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3"/>
        </w:rPr>
      </w:pPr>
    </w:p>
    <w:p>
      <w:pPr>
        <w:spacing w:line="709" w:lineRule="exact" w:before="0"/>
        <w:ind w:left="277" w:right="920" w:firstLine="0"/>
        <w:jc w:val="center"/>
        <w:rPr>
          <w:rFonts w:ascii="微软雅黑" w:eastAsia="微软雅黑" w:hint="eastAsia"/>
          <w:b/>
          <w:sz w:val="44"/>
        </w:rPr>
      </w:pPr>
      <w:r>
        <w:rPr>
          <w:rFonts w:ascii="微软雅黑" w:eastAsia="微软雅黑" w:hint="eastAsia"/>
          <w:b/>
          <w:sz w:val="44"/>
        </w:rPr>
        <w:t>易方达 50 指数证券投资基金</w:t>
      </w:r>
    </w:p>
    <w:p>
      <w:pPr>
        <w:spacing w:before="45"/>
        <w:ind w:left="277" w:right="920" w:firstLine="0"/>
        <w:jc w:val="center"/>
        <w:rPr>
          <w:rFonts w:ascii="微软雅黑" w:eastAsia="微软雅黑" w:hint="eastAsia"/>
          <w:b/>
          <w:sz w:val="44"/>
        </w:rPr>
      </w:pPr>
      <w:r>
        <w:rPr>
          <w:rFonts w:ascii="微软雅黑" w:eastAsia="微软雅黑" w:hint="eastAsia"/>
          <w:b/>
          <w:sz w:val="44"/>
        </w:rPr>
        <w:t>更新的招募说明书</w:t>
      </w: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spacing w:before="4"/>
        <w:ind w:left="0"/>
        <w:rPr>
          <w:rFonts w:ascii="微软雅黑"/>
          <w:b/>
          <w:sz w:val="48"/>
        </w:rPr>
      </w:pPr>
    </w:p>
    <w:p>
      <w:pPr>
        <w:spacing w:line="254" w:lineRule="auto" w:before="0"/>
        <w:ind w:left="2220" w:right="2503" w:hanging="161"/>
        <w:jc w:val="left"/>
        <w:rPr>
          <w:rFonts w:ascii="微软雅黑" w:eastAsia="微软雅黑" w:hint="eastAsia"/>
          <w:b/>
          <w:sz w:val="32"/>
        </w:rPr>
      </w:pPr>
      <w:r>
        <w:rPr>
          <w:rFonts w:ascii="微软雅黑" w:eastAsia="微软雅黑" w:hint="eastAsia"/>
          <w:b/>
          <w:sz w:val="32"/>
        </w:rPr>
        <w:t>基金管理人：易方达基金管理有限公司基金托管人：交通银行股份有限公司</w:t>
      </w:r>
    </w:p>
    <w:p>
      <w:pPr>
        <w:pStyle w:val="BodyText"/>
        <w:spacing w:before="6"/>
        <w:ind w:left="0"/>
        <w:rPr>
          <w:rFonts w:ascii="微软雅黑"/>
          <w:b/>
          <w:sz w:val="34"/>
        </w:rPr>
      </w:pPr>
    </w:p>
    <w:p>
      <w:pPr>
        <w:spacing w:before="1"/>
        <w:ind w:left="277" w:right="920" w:firstLine="0"/>
        <w:jc w:val="center"/>
        <w:rPr>
          <w:rFonts w:ascii="微软雅黑" w:hAnsi="微软雅黑" w:eastAsia="微软雅黑" w:hint="eastAsia"/>
          <w:b/>
          <w:sz w:val="32"/>
        </w:rPr>
      </w:pPr>
      <w:r>
        <w:rPr>
          <w:rFonts w:ascii="微软雅黑" w:hAnsi="微软雅黑" w:eastAsia="微软雅黑" w:hint="eastAsia"/>
          <w:b/>
          <w:w w:val="110"/>
          <w:sz w:val="32"/>
        </w:rPr>
        <w:t>二</w:t>
      </w:r>
      <w:r>
        <w:rPr>
          <w:rFonts w:ascii="微软雅黑" w:hAnsi="微软雅黑" w:eastAsia="微软雅黑" w:hint="eastAsia"/>
          <w:b/>
          <w:w w:val="145"/>
          <w:sz w:val="32"/>
        </w:rPr>
        <w:t>○</w:t>
      </w:r>
      <w:r>
        <w:rPr>
          <w:rFonts w:ascii="微软雅黑" w:hAnsi="微软雅黑" w:eastAsia="微软雅黑" w:hint="eastAsia"/>
          <w:b/>
          <w:w w:val="110"/>
          <w:sz w:val="32"/>
        </w:rPr>
        <w:t>二</w:t>
      </w:r>
      <w:r>
        <w:rPr>
          <w:rFonts w:ascii="微软雅黑" w:hAnsi="微软雅黑" w:eastAsia="微软雅黑" w:hint="eastAsia"/>
          <w:b/>
          <w:w w:val="145"/>
          <w:sz w:val="32"/>
        </w:rPr>
        <w:t>○</w:t>
      </w:r>
      <w:r>
        <w:rPr>
          <w:rFonts w:ascii="微软雅黑" w:hAnsi="微软雅黑" w:eastAsia="微软雅黑" w:hint="eastAsia"/>
          <w:b/>
          <w:w w:val="110"/>
          <w:sz w:val="32"/>
        </w:rPr>
        <w:t>年四月</w:t>
      </w:r>
    </w:p>
    <w:p>
      <w:pPr>
        <w:spacing w:after="0"/>
        <w:jc w:val="center"/>
        <w:rPr>
          <w:rFonts w:ascii="微软雅黑" w:hAnsi="微软雅黑" w:eastAsia="微软雅黑" w:hint="eastAsia"/>
          <w:sz w:val="32"/>
        </w:rPr>
        <w:sectPr>
          <w:type w:val="continuous"/>
          <w:pgSz w:w="11910" w:h="16840"/>
          <w:pgMar w:top="1580" w:bottom="280" w:left="1520" w:right="360"/>
        </w:sectPr>
      </w:pPr>
    </w:p>
    <w:p>
      <w:pPr>
        <w:spacing w:before="5"/>
        <w:ind w:left="277" w:right="920" w:firstLine="0"/>
        <w:jc w:val="center"/>
        <w:rPr>
          <w:rFonts w:ascii="微软雅黑" w:eastAsia="微软雅黑" w:hint="eastAsia"/>
          <w:b/>
          <w:sz w:val="32"/>
        </w:rPr>
      </w:pPr>
      <w:r>
        <w:rPr>
          <w:rFonts w:ascii="微软雅黑" w:eastAsia="微软雅黑" w:hint="eastAsia"/>
          <w:b/>
          <w:sz w:val="32"/>
        </w:rPr>
        <w:t>重要提示</w:t>
      </w:r>
    </w:p>
    <w:p>
      <w:pPr>
        <w:pStyle w:val="BodyText"/>
        <w:spacing w:line="364" w:lineRule="auto" w:before="134"/>
        <w:ind w:left="293" w:right="936" w:firstLine="420"/>
        <w:jc w:val="both"/>
      </w:pPr>
      <w:r>
        <w:rPr>
          <w:spacing w:val="-6"/>
        </w:rPr>
        <w:t>本基金经中国证监会 </w:t>
      </w:r>
      <w:r>
        <w:rPr/>
        <w:t>2004</w:t>
      </w:r>
      <w:r>
        <w:rPr>
          <w:spacing w:val="-35"/>
        </w:rPr>
        <w:t> 年 </w:t>
      </w:r>
      <w:r>
        <w:rPr/>
        <w:t>2</w:t>
      </w:r>
      <w:r>
        <w:rPr>
          <w:spacing w:val="-35"/>
        </w:rPr>
        <w:t> 月 </w:t>
      </w:r>
      <w:r>
        <w:rPr/>
        <w:t>13</w:t>
      </w:r>
      <w:r>
        <w:rPr>
          <w:spacing w:val="-9"/>
        </w:rPr>
        <w:t> 日证监基金字</w:t>
      </w:r>
      <w:r>
        <w:rPr/>
        <w:t>[2004]13</w:t>
      </w:r>
      <w:r>
        <w:rPr>
          <w:spacing w:val="-12"/>
        </w:rPr>
        <w:t> 号文件“关于同意易方达 </w:t>
      </w:r>
      <w:r>
        <w:rPr/>
        <w:t>50</w:t>
      </w:r>
      <w:r>
        <w:rPr>
          <w:spacing w:val="-26"/>
        </w:rPr>
        <w:t> 指</w:t>
      </w:r>
      <w:r>
        <w:rPr>
          <w:spacing w:val="2"/>
        </w:rPr>
        <w:t>数证券投资基金设立的批复”批准募集。本基金的基金合同于 </w:t>
      </w:r>
      <w:r>
        <w:rPr/>
        <w:t>2004</w:t>
      </w:r>
      <w:r>
        <w:rPr>
          <w:spacing w:val="-34"/>
        </w:rPr>
        <w:t> 年 </w:t>
      </w:r>
      <w:r>
        <w:rPr/>
        <w:t>3</w:t>
      </w:r>
      <w:r>
        <w:rPr>
          <w:spacing w:val="-34"/>
        </w:rPr>
        <w:t> 月 </w:t>
      </w:r>
      <w:r>
        <w:rPr/>
        <w:t>22</w:t>
      </w:r>
      <w:r>
        <w:rPr>
          <w:spacing w:val="-4"/>
        </w:rPr>
        <w:t> 日正式生效。本基金类型为契约型开放式。</w:t>
      </w:r>
    </w:p>
    <w:p>
      <w:pPr>
        <w:pStyle w:val="BodyText"/>
        <w:spacing w:line="364" w:lineRule="auto"/>
        <w:ind w:left="293" w:right="936" w:firstLine="420"/>
        <w:jc w:val="both"/>
      </w:pPr>
      <w:r>
        <w:rPr/>
        <w:t>基金管理人保证本招募说明书的内容真实、准确、完整。本招募说明书经中国证监会核准，但中国证监会对本基金募集的核准，并不表明其对本基金的价值和收益做出实质性判断或保证，也不表明投资于本基金没有风险。</w:t>
      </w:r>
    </w:p>
    <w:p>
      <w:pPr>
        <w:pStyle w:val="BodyText"/>
        <w:spacing w:line="364" w:lineRule="auto"/>
        <w:ind w:left="293" w:right="936" w:firstLine="420"/>
      </w:pPr>
      <w:r>
        <w:rPr/>
        <w:t>投资有风险，投资者申购基金时应认真阅读本招募说明书、基金合同和基金产品资料概要等信息披露文件。</w:t>
      </w:r>
    </w:p>
    <w:p>
      <w:pPr>
        <w:pStyle w:val="BodyText"/>
        <w:spacing w:line="268" w:lineRule="exact"/>
      </w:pPr>
      <w:r>
        <w:rPr/>
        <w:t>基金的过往业绩并不预示其未来表现。</w:t>
      </w:r>
    </w:p>
    <w:p>
      <w:pPr>
        <w:pStyle w:val="BodyText"/>
        <w:spacing w:line="364" w:lineRule="auto" w:before="136"/>
        <w:ind w:left="190" w:right="936" w:firstLine="525"/>
      </w:pPr>
      <w:r>
        <w:rPr/>
        <w:t>基金管理人依照恪尽职守、诚实信用、谨慎勤勉的原则管理和运用基金财产，但不保证基金一定盈利，也不保证最低收益。</w:t>
      </w:r>
    </w:p>
    <w:p>
      <w:pPr>
        <w:pStyle w:val="BodyText"/>
        <w:spacing w:line="364" w:lineRule="auto"/>
        <w:ind w:left="190" w:right="936" w:firstLine="525"/>
      </w:pPr>
      <w:r>
        <w:rPr/>
        <w:t>基金合同约定的基金产品资料概要编制、披露与更新要求，自《信息披露办法》实施之日起一年后开始执行。</w:t>
      </w:r>
    </w:p>
    <w:p>
      <w:pPr>
        <w:pStyle w:val="BodyText"/>
        <w:spacing w:line="364" w:lineRule="auto"/>
        <w:ind w:left="190" w:right="936" w:firstLine="525"/>
      </w:pPr>
      <w:r>
        <w:rPr>
          <w:spacing w:val="1"/>
        </w:rPr>
        <w:t>除非另有说明，本招募说明书所载内容截止日为 </w:t>
      </w:r>
      <w:r>
        <w:rPr/>
        <w:t>2020</w:t>
      </w:r>
      <w:r>
        <w:rPr>
          <w:spacing w:val="-34"/>
        </w:rPr>
        <w:t> 年 </w:t>
      </w:r>
      <w:r>
        <w:rPr/>
        <w:t>3</w:t>
      </w:r>
      <w:r>
        <w:rPr>
          <w:spacing w:val="-34"/>
        </w:rPr>
        <w:t> 月 </w:t>
      </w:r>
      <w:r>
        <w:rPr/>
        <w:t>16</w:t>
      </w:r>
      <w:r>
        <w:rPr>
          <w:spacing w:val="-3"/>
        </w:rPr>
        <w:t> 日，有关财务数据截止日</w:t>
      </w:r>
      <w:r>
        <w:rPr>
          <w:spacing w:val="-28"/>
        </w:rPr>
        <w:t>为 </w:t>
      </w:r>
      <w:r>
        <w:rPr/>
        <w:t>2019</w:t>
      </w:r>
      <w:r>
        <w:rPr>
          <w:spacing w:val="-36"/>
        </w:rPr>
        <w:t> 年 </w:t>
      </w:r>
      <w:r>
        <w:rPr/>
        <w:t>12</w:t>
      </w:r>
      <w:r>
        <w:rPr>
          <w:spacing w:val="-36"/>
        </w:rPr>
        <w:t> 月 </w:t>
      </w:r>
      <w:r>
        <w:rPr/>
        <w:t>31</w:t>
      </w:r>
      <w:r>
        <w:rPr>
          <w:spacing w:val="-12"/>
        </w:rPr>
        <w:t> 日，净值表现截止日为 </w:t>
      </w:r>
      <w:r>
        <w:rPr/>
        <w:t>2019</w:t>
      </w:r>
      <w:r>
        <w:rPr>
          <w:spacing w:val="-36"/>
        </w:rPr>
        <w:t> 年 </w:t>
      </w:r>
      <w:r>
        <w:rPr/>
        <w:t>12</w:t>
      </w:r>
      <w:r>
        <w:rPr>
          <w:spacing w:val="-36"/>
        </w:rPr>
        <w:t> 月 </w:t>
      </w:r>
      <w:r>
        <w:rPr/>
        <w:t>31</w:t>
      </w:r>
      <w:r>
        <w:rPr>
          <w:spacing w:val="-8"/>
        </w:rPr>
        <w:t> 日。财务数据未经审计。</w:t>
      </w:r>
    </w:p>
    <w:p>
      <w:pPr>
        <w:spacing w:after="0" w:line="364" w:lineRule="auto"/>
        <w:sectPr>
          <w:pgSz w:w="11910" w:h="16840"/>
          <w:pgMar w:top="1580" w:bottom="280" w:left="1520" w:right="360"/>
        </w:sectPr>
      </w:pPr>
    </w:p>
    <w:p>
      <w:pPr>
        <w:spacing w:before="5"/>
        <w:ind w:left="917" w:right="920" w:firstLine="0"/>
        <w:jc w:val="center"/>
        <w:rPr>
          <w:rFonts w:ascii="微软雅黑" w:eastAsia="微软雅黑" w:hint="eastAsia"/>
          <w:b/>
          <w:sz w:val="32"/>
        </w:rPr>
      </w:pPr>
      <w:r>
        <w:rPr>
          <w:rFonts w:ascii="微软雅黑" w:eastAsia="微软雅黑" w:hint="eastAsia"/>
          <w:b/>
          <w:sz w:val="32"/>
        </w:rPr>
        <w:t>目录</w:t>
      </w:r>
    </w:p>
    <w:p>
      <w:pPr>
        <w:spacing w:after="0"/>
        <w:jc w:val="center"/>
        <w:rPr>
          <w:rFonts w:ascii="微软雅黑" w:eastAsia="微软雅黑" w:hint="eastAsia"/>
          <w:sz w:val="32"/>
        </w:rPr>
        <w:sectPr>
          <w:footerReference w:type="default" r:id="rId5"/>
          <w:pgSz w:w="11910" w:h="16840"/>
          <w:pgMar w:footer="1252" w:header="0" w:top="1580" w:bottom="1794" w:left="1520" w:right="360"/>
          <w:pgNumType w:start="1"/>
        </w:sectPr>
      </w:pPr>
    </w:p>
    <w:sdt>
      <w:sdtPr>
        <w:docPartObj>
          <w:docPartGallery w:val="Table of Contents"/>
          <w:docPartUnique/>
        </w:docPartObj>
      </w:sdtPr>
      <w:sdtEndPr/>
      <w:sdtContent>
        <w:p>
          <w:pPr>
            <w:pStyle w:val="TOC1"/>
            <w:tabs>
              <w:tab w:pos="8657" w:val="right" w:leader="dot"/>
            </w:tabs>
            <w:spacing w:before="125"/>
            <w:rPr>
              <w:rFonts w:ascii="宋体" w:eastAsia="宋体" w:hint="eastAsia"/>
              <w:b w:val="0"/>
            </w:rPr>
          </w:pPr>
          <w:hyperlink w:history="true" w:anchor="_bookmark0">
            <w:r>
              <w:rPr/>
              <w:t>一、绪言</w:t>
              <w:tab/>
            </w:r>
            <w:r>
              <w:rPr>
                <w:rFonts w:ascii="宋体" w:eastAsia="宋体" w:hint="eastAsia"/>
                <w:b w:val="0"/>
              </w:rPr>
              <w:t>1</w:t>
            </w:r>
          </w:hyperlink>
        </w:p>
        <w:p>
          <w:pPr>
            <w:pStyle w:val="TOC1"/>
            <w:tabs>
              <w:tab w:pos="8657" w:val="right" w:leader="dot"/>
            </w:tabs>
            <w:spacing w:before="5"/>
            <w:rPr>
              <w:rFonts w:ascii="宋体" w:eastAsia="宋体" w:hint="eastAsia"/>
              <w:b w:val="0"/>
            </w:rPr>
          </w:pPr>
          <w:hyperlink w:history="true" w:anchor="_bookmark1">
            <w:r>
              <w:rPr/>
              <w:t>二、释义</w:t>
              <w:tab/>
            </w:r>
            <w:r>
              <w:rPr>
                <w:rFonts w:ascii="宋体" w:eastAsia="宋体" w:hint="eastAsia"/>
                <w:b w:val="0"/>
              </w:rPr>
              <w:t>2</w:t>
            </w:r>
          </w:hyperlink>
        </w:p>
        <w:p>
          <w:pPr>
            <w:pStyle w:val="TOC1"/>
            <w:tabs>
              <w:tab w:pos="8657" w:val="right" w:leader="dot"/>
            </w:tabs>
            <w:spacing w:before="4"/>
            <w:rPr>
              <w:rFonts w:ascii="宋体" w:eastAsia="宋体" w:hint="eastAsia"/>
              <w:b w:val="0"/>
            </w:rPr>
          </w:pPr>
          <w:hyperlink w:history="true" w:anchor="_bookmark2">
            <w:r>
              <w:rPr/>
              <w:t>三、基金管理人</w:t>
              <w:tab/>
            </w:r>
            <w:r>
              <w:rPr>
                <w:rFonts w:ascii="宋体" w:eastAsia="宋体" w:hint="eastAsia"/>
                <w:b w:val="0"/>
              </w:rPr>
              <w:t>5</w:t>
            </w:r>
          </w:hyperlink>
        </w:p>
        <w:p>
          <w:pPr>
            <w:pStyle w:val="TOC3"/>
            <w:tabs>
              <w:tab w:pos="8657" w:val="right" w:leader="dot"/>
            </w:tabs>
            <w:spacing w:before="101"/>
            <w:rPr>
              <w:rFonts w:ascii="Times New Roman" w:eastAsia="Times New Roman"/>
            </w:rPr>
          </w:pPr>
          <w:hyperlink w:history="true" w:anchor="_bookmark3">
            <w:r>
              <w:rPr/>
              <w:t>（一）基金管理人基本情况</w:t>
              <w:tab/>
            </w:r>
            <w:r>
              <w:rPr>
                <w:rFonts w:ascii="Times New Roman" w:eastAsia="Times New Roman"/>
              </w:rPr>
              <w:t>5</w:t>
            </w:r>
          </w:hyperlink>
        </w:p>
        <w:p>
          <w:pPr>
            <w:pStyle w:val="TOC3"/>
            <w:tabs>
              <w:tab w:pos="8657" w:val="right" w:leader="dot"/>
            </w:tabs>
            <w:rPr>
              <w:rFonts w:ascii="Times New Roman" w:eastAsia="Times New Roman"/>
            </w:rPr>
          </w:pPr>
          <w:hyperlink w:history="true" w:anchor="_bookmark4">
            <w:r>
              <w:rPr/>
              <w:t>（二）主要人员情况</w:t>
              <w:tab/>
            </w:r>
            <w:r>
              <w:rPr>
                <w:rFonts w:ascii="Times New Roman" w:eastAsia="Times New Roman"/>
              </w:rPr>
              <w:t>5</w:t>
            </w:r>
          </w:hyperlink>
        </w:p>
        <w:p>
          <w:pPr>
            <w:pStyle w:val="TOC3"/>
            <w:tabs>
              <w:tab w:pos="8657" w:val="right" w:leader="dot"/>
            </w:tabs>
            <w:rPr>
              <w:rFonts w:ascii="Times New Roman" w:eastAsia="Times New Roman"/>
            </w:rPr>
          </w:pPr>
          <w:hyperlink w:history="true" w:anchor="_bookmark5">
            <w:r>
              <w:rPr/>
              <w:t>（三）基金管理人的职责</w:t>
              <w:tab/>
            </w:r>
            <w:r>
              <w:rPr>
                <w:rFonts w:ascii="Times New Roman" w:eastAsia="Times New Roman"/>
              </w:rPr>
              <w:t>10</w:t>
            </w:r>
          </w:hyperlink>
        </w:p>
        <w:p>
          <w:pPr>
            <w:pStyle w:val="TOC3"/>
            <w:tabs>
              <w:tab w:pos="8657" w:val="right" w:leader="dot"/>
            </w:tabs>
            <w:rPr>
              <w:rFonts w:ascii="Times New Roman" w:eastAsia="Times New Roman"/>
            </w:rPr>
          </w:pPr>
          <w:hyperlink w:history="true" w:anchor="_bookmark6">
            <w:r>
              <w:rPr/>
              <w:t>（四）基金管理人的承诺</w:t>
              <w:tab/>
            </w:r>
            <w:r>
              <w:rPr>
                <w:rFonts w:ascii="Times New Roman" w:eastAsia="Times New Roman"/>
              </w:rPr>
              <w:t>11</w:t>
            </w:r>
          </w:hyperlink>
        </w:p>
        <w:p>
          <w:pPr>
            <w:pStyle w:val="TOC3"/>
            <w:tabs>
              <w:tab w:pos="8657" w:val="right" w:leader="dot"/>
            </w:tabs>
            <w:rPr>
              <w:rFonts w:ascii="Times New Roman" w:eastAsia="Times New Roman"/>
            </w:rPr>
          </w:pPr>
          <w:hyperlink w:history="true" w:anchor="_bookmark7">
            <w:r>
              <w:rPr/>
              <w:t>（五）基金管理人的内部控制制度</w:t>
              <w:tab/>
            </w:r>
            <w:r>
              <w:rPr>
                <w:rFonts w:ascii="Times New Roman" w:eastAsia="Times New Roman"/>
              </w:rPr>
              <w:t>12</w:t>
            </w:r>
          </w:hyperlink>
        </w:p>
        <w:p>
          <w:pPr>
            <w:pStyle w:val="TOC1"/>
            <w:tabs>
              <w:tab w:pos="8657" w:val="right" w:leader="dot"/>
            </w:tabs>
            <w:rPr>
              <w:rFonts w:ascii="宋体" w:eastAsia="宋体" w:hint="eastAsia"/>
              <w:b w:val="0"/>
            </w:rPr>
          </w:pPr>
          <w:hyperlink w:history="true" w:anchor="_bookmark8">
            <w:r>
              <w:rPr/>
              <w:t>四、基金托管人</w:t>
              <w:tab/>
            </w:r>
            <w:r>
              <w:rPr>
                <w:rFonts w:ascii="宋体" w:eastAsia="宋体" w:hint="eastAsia"/>
                <w:b w:val="0"/>
              </w:rPr>
              <w:t>15</w:t>
            </w:r>
          </w:hyperlink>
        </w:p>
        <w:p>
          <w:pPr>
            <w:pStyle w:val="TOC1"/>
            <w:tabs>
              <w:tab w:pos="8657" w:val="right" w:leader="dot"/>
            </w:tabs>
            <w:spacing w:before="4"/>
            <w:rPr>
              <w:rFonts w:ascii="宋体" w:eastAsia="宋体" w:hint="eastAsia"/>
              <w:b w:val="0"/>
            </w:rPr>
          </w:pPr>
          <w:hyperlink w:history="true" w:anchor="_bookmark9">
            <w:r>
              <w:rPr/>
              <w:t>五、相关服务机构</w:t>
              <w:tab/>
            </w:r>
            <w:r>
              <w:rPr>
                <w:rFonts w:ascii="宋体" w:eastAsia="宋体" w:hint="eastAsia"/>
                <w:b w:val="0"/>
              </w:rPr>
              <w:t>18</w:t>
            </w:r>
          </w:hyperlink>
        </w:p>
        <w:p>
          <w:pPr>
            <w:pStyle w:val="TOC3"/>
            <w:tabs>
              <w:tab w:pos="8657" w:val="right" w:leader="dot"/>
            </w:tabs>
            <w:spacing w:before="101"/>
            <w:rPr>
              <w:rFonts w:ascii="Times New Roman" w:eastAsia="Times New Roman"/>
            </w:rPr>
          </w:pPr>
          <w:hyperlink w:history="true" w:anchor="_bookmark10">
            <w:r>
              <w:rPr/>
              <w:t>（一）基金份额销售机构</w:t>
              <w:tab/>
            </w:r>
            <w:r>
              <w:rPr>
                <w:rFonts w:ascii="Times New Roman" w:eastAsia="Times New Roman"/>
              </w:rPr>
              <w:t>18</w:t>
            </w:r>
          </w:hyperlink>
        </w:p>
        <w:p>
          <w:pPr>
            <w:pStyle w:val="TOC3"/>
            <w:tabs>
              <w:tab w:pos="8657" w:val="right" w:leader="dot"/>
            </w:tabs>
            <w:rPr>
              <w:rFonts w:ascii="Times New Roman" w:eastAsia="Times New Roman"/>
            </w:rPr>
          </w:pPr>
          <w:hyperlink w:history="true" w:anchor="_bookmark11">
            <w:r>
              <w:rPr/>
              <w:t>（二）注册登记机构</w:t>
              <w:tab/>
            </w:r>
            <w:r>
              <w:rPr>
                <w:rFonts w:ascii="Times New Roman" w:eastAsia="Times New Roman"/>
              </w:rPr>
              <w:t>93</w:t>
            </w:r>
          </w:hyperlink>
        </w:p>
        <w:p>
          <w:pPr>
            <w:pStyle w:val="TOC3"/>
            <w:tabs>
              <w:tab w:pos="8657" w:val="right" w:leader="dot"/>
            </w:tabs>
            <w:rPr>
              <w:rFonts w:ascii="Times New Roman" w:eastAsia="Times New Roman"/>
            </w:rPr>
          </w:pPr>
          <w:hyperlink w:history="true" w:anchor="_bookmark12">
            <w:r>
              <w:rPr/>
              <w:t>（三）律师事务所和经办律师</w:t>
              <w:tab/>
            </w:r>
            <w:r>
              <w:rPr>
                <w:rFonts w:ascii="Times New Roman" w:eastAsia="Times New Roman"/>
              </w:rPr>
              <w:t>93</w:t>
            </w:r>
          </w:hyperlink>
        </w:p>
        <w:p>
          <w:pPr>
            <w:pStyle w:val="TOC3"/>
            <w:tabs>
              <w:tab w:pos="8657" w:val="right" w:leader="dot"/>
            </w:tabs>
            <w:rPr>
              <w:rFonts w:ascii="Times New Roman" w:eastAsia="Times New Roman"/>
            </w:rPr>
          </w:pPr>
          <w:hyperlink w:history="true" w:anchor="_bookmark13">
            <w:r>
              <w:rPr/>
              <w:t>（四）会计师事务所和经办注册会计师</w:t>
              <w:tab/>
            </w:r>
            <w:r>
              <w:rPr>
                <w:rFonts w:ascii="Times New Roman" w:eastAsia="Times New Roman"/>
              </w:rPr>
              <w:t>94</w:t>
            </w:r>
          </w:hyperlink>
        </w:p>
        <w:p>
          <w:pPr>
            <w:pStyle w:val="TOC1"/>
            <w:tabs>
              <w:tab w:pos="8657" w:val="right" w:leader="dot"/>
            </w:tabs>
            <w:rPr>
              <w:rFonts w:ascii="宋体" w:eastAsia="宋体" w:hint="eastAsia"/>
              <w:b w:val="0"/>
            </w:rPr>
          </w:pPr>
          <w:hyperlink w:history="true" w:anchor="_bookmark14">
            <w:r>
              <w:rPr/>
              <w:t>六、基金份额的申购、赎回和转换</w:t>
              <w:tab/>
            </w:r>
            <w:r>
              <w:rPr>
                <w:rFonts w:ascii="宋体" w:eastAsia="宋体" w:hint="eastAsia"/>
                <w:b w:val="0"/>
              </w:rPr>
              <w:t>95</w:t>
            </w:r>
          </w:hyperlink>
        </w:p>
        <w:p>
          <w:pPr>
            <w:pStyle w:val="TOC3"/>
            <w:tabs>
              <w:tab w:pos="8657" w:val="right" w:leader="dot"/>
            </w:tabs>
            <w:spacing w:before="100"/>
            <w:rPr>
              <w:rFonts w:ascii="Times New Roman" w:eastAsia="Times New Roman"/>
            </w:rPr>
          </w:pPr>
          <w:hyperlink w:history="true" w:anchor="_bookmark15">
            <w:r>
              <w:rPr/>
              <w:t>（一）投资者范围</w:t>
              <w:tab/>
            </w:r>
            <w:r>
              <w:rPr>
                <w:rFonts w:ascii="Times New Roman" w:eastAsia="Times New Roman"/>
              </w:rPr>
              <w:t>95</w:t>
            </w:r>
          </w:hyperlink>
        </w:p>
        <w:p>
          <w:pPr>
            <w:pStyle w:val="TOC3"/>
            <w:tabs>
              <w:tab w:pos="8657" w:val="right" w:leader="dot"/>
            </w:tabs>
            <w:rPr>
              <w:rFonts w:ascii="Times New Roman" w:eastAsia="Times New Roman"/>
            </w:rPr>
          </w:pPr>
          <w:hyperlink w:history="true" w:anchor="_bookmark16">
            <w:r>
              <w:rPr/>
              <w:t>（二）申购、赎回和转换场所</w:t>
              <w:tab/>
            </w:r>
            <w:r>
              <w:rPr>
                <w:rFonts w:ascii="Times New Roman" w:eastAsia="Times New Roman"/>
              </w:rPr>
              <w:t>95</w:t>
            </w:r>
          </w:hyperlink>
        </w:p>
        <w:p>
          <w:pPr>
            <w:pStyle w:val="TOC3"/>
            <w:tabs>
              <w:tab w:pos="8657" w:val="right" w:leader="dot"/>
            </w:tabs>
            <w:rPr>
              <w:rFonts w:ascii="Times New Roman" w:eastAsia="Times New Roman"/>
            </w:rPr>
          </w:pPr>
          <w:hyperlink w:history="true" w:anchor="_bookmark17">
            <w:r>
              <w:rPr/>
              <w:t>（三）申购、赎回和转换的开放日期及办理时间</w:t>
              <w:tab/>
            </w:r>
            <w:r>
              <w:rPr>
                <w:rFonts w:ascii="Times New Roman" w:eastAsia="Times New Roman"/>
              </w:rPr>
              <w:t>95</w:t>
            </w:r>
          </w:hyperlink>
        </w:p>
        <w:p>
          <w:pPr>
            <w:pStyle w:val="TOC3"/>
            <w:tabs>
              <w:tab w:pos="8657" w:val="right" w:leader="dot"/>
            </w:tabs>
            <w:rPr>
              <w:rFonts w:ascii="Times New Roman" w:eastAsia="Times New Roman"/>
            </w:rPr>
          </w:pPr>
          <w:hyperlink w:history="true" w:anchor="_bookmark18">
            <w:r>
              <w:rPr/>
              <w:t>（四）申购、赎回和转换的原则</w:t>
              <w:tab/>
            </w:r>
            <w:r>
              <w:rPr>
                <w:rFonts w:ascii="Times New Roman" w:eastAsia="Times New Roman"/>
              </w:rPr>
              <w:t>95</w:t>
            </w:r>
          </w:hyperlink>
        </w:p>
        <w:p>
          <w:pPr>
            <w:pStyle w:val="TOC3"/>
            <w:tabs>
              <w:tab w:pos="8657" w:val="right" w:leader="dot"/>
            </w:tabs>
            <w:rPr>
              <w:rFonts w:ascii="Times New Roman" w:eastAsia="Times New Roman"/>
            </w:rPr>
          </w:pPr>
          <w:hyperlink w:history="true" w:anchor="_bookmark19">
            <w:r>
              <w:rPr/>
              <w:t>（五）申购、赎回和转换的程序</w:t>
              <w:tab/>
            </w:r>
            <w:r>
              <w:rPr>
                <w:rFonts w:ascii="Times New Roman" w:eastAsia="Times New Roman"/>
              </w:rPr>
              <w:t>96</w:t>
            </w:r>
          </w:hyperlink>
        </w:p>
        <w:p>
          <w:pPr>
            <w:pStyle w:val="TOC3"/>
            <w:tabs>
              <w:tab w:pos="8657" w:val="right" w:leader="dot"/>
            </w:tabs>
            <w:rPr>
              <w:rFonts w:ascii="Times New Roman" w:eastAsia="Times New Roman"/>
            </w:rPr>
          </w:pPr>
          <w:hyperlink w:history="true" w:anchor="_bookmark20">
            <w:r>
              <w:rPr/>
              <w:t>（六）申购、赎回和转换的数额限制</w:t>
              <w:tab/>
            </w:r>
            <w:r>
              <w:rPr>
                <w:rFonts w:ascii="Times New Roman" w:eastAsia="Times New Roman"/>
              </w:rPr>
              <w:t>96</w:t>
            </w:r>
          </w:hyperlink>
        </w:p>
        <w:p>
          <w:pPr>
            <w:pStyle w:val="TOC3"/>
            <w:tabs>
              <w:tab w:pos="8657" w:val="right" w:leader="dot"/>
            </w:tabs>
            <w:rPr>
              <w:rFonts w:ascii="Times New Roman" w:eastAsia="Times New Roman"/>
            </w:rPr>
          </w:pPr>
          <w:hyperlink w:history="true" w:anchor="_bookmark21">
            <w:r>
              <w:rPr/>
              <w:t>（七）申购份额、赎回金额和转换份额的计算方式</w:t>
              <w:tab/>
            </w:r>
            <w:r>
              <w:rPr>
                <w:rFonts w:ascii="Times New Roman" w:eastAsia="Times New Roman"/>
              </w:rPr>
              <w:t>97</w:t>
            </w:r>
          </w:hyperlink>
        </w:p>
        <w:p>
          <w:pPr>
            <w:pStyle w:val="TOC3"/>
            <w:tabs>
              <w:tab w:pos="8657" w:val="right" w:leader="dot"/>
            </w:tabs>
            <w:rPr>
              <w:rFonts w:ascii="Times New Roman" w:eastAsia="Times New Roman"/>
            </w:rPr>
          </w:pPr>
          <w:hyperlink w:history="true" w:anchor="_bookmark22">
            <w:r>
              <w:rPr/>
              <w:t>（八）申购、赎回和转换的注册登记</w:t>
              <w:tab/>
            </w:r>
            <w:r>
              <w:rPr>
                <w:rFonts w:ascii="Times New Roman" w:eastAsia="Times New Roman"/>
              </w:rPr>
              <w:t>102</w:t>
            </w:r>
          </w:hyperlink>
        </w:p>
        <w:p>
          <w:pPr>
            <w:pStyle w:val="TOC3"/>
            <w:tabs>
              <w:tab w:pos="8657" w:val="right" w:leader="dot"/>
            </w:tabs>
            <w:rPr>
              <w:rFonts w:ascii="Times New Roman" w:eastAsia="Times New Roman"/>
            </w:rPr>
          </w:pPr>
          <w:hyperlink w:history="true" w:anchor="_bookmark23">
            <w:r>
              <w:rPr/>
              <w:t>（九）巨额赎回的认定及处理方式</w:t>
              <w:tab/>
            </w:r>
            <w:r>
              <w:rPr>
                <w:rFonts w:ascii="Times New Roman" w:eastAsia="Times New Roman"/>
              </w:rPr>
              <w:t>102</w:t>
            </w:r>
          </w:hyperlink>
        </w:p>
        <w:p>
          <w:pPr>
            <w:pStyle w:val="TOC3"/>
            <w:tabs>
              <w:tab w:pos="8657" w:val="right" w:leader="dot"/>
            </w:tabs>
            <w:rPr>
              <w:rFonts w:ascii="Times New Roman" w:eastAsia="Times New Roman"/>
            </w:rPr>
          </w:pPr>
          <w:hyperlink w:history="true" w:anchor="_bookmark24">
            <w:r>
              <w:rPr/>
              <w:t>（十）拒绝或暂停申购、赎回和转换的情形及处理方式</w:t>
              <w:tab/>
            </w:r>
            <w:r>
              <w:rPr>
                <w:rFonts w:ascii="Times New Roman" w:eastAsia="Times New Roman"/>
              </w:rPr>
              <w:t>103</w:t>
            </w:r>
          </w:hyperlink>
        </w:p>
        <w:p>
          <w:pPr>
            <w:pStyle w:val="TOC1"/>
            <w:tabs>
              <w:tab w:pos="8657" w:val="right" w:leader="dot"/>
            </w:tabs>
            <w:rPr>
              <w:rFonts w:ascii="宋体" w:eastAsia="宋体" w:hint="eastAsia"/>
              <w:b w:val="0"/>
            </w:rPr>
          </w:pPr>
          <w:hyperlink w:history="true" w:anchor="_bookmark25">
            <w:r>
              <w:rPr/>
              <w:t>七、基金的非交易过户、转托管、冻结与质押</w:t>
              <w:tab/>
            </w:r>
            <w:r>
              <w:rPr>
                <w:rFonts w:ascii="宋体" w:eastAsia="宋体" w:hint="eastAsia"/>
                <w:b w:val="0"/>
              </w:rPr>
              <w:t>105</w:t>
            </w:r>
          </w:hyperlink>
        </w:p>
        <w:p>
          <w:pPr>
            <w:pStyle w:val="TOC2"/>
            <w:tabs>
              <w:tab w:pos="8657" w:val="right" w:leader="dot"/>
            </w:tabs>
            <w:spacing w:before="4"/>
            <w:rPr>
              <w:rFonts w:ascii="宋体" w:eastAsia="宋体" w:hint="eastAsia"/>
              <w:b w:val="0"/>
              <w:i w:val="0"/>
              <w:sz w:val="24"/>
            </w:rPr>
          </w:pPr>
          <w:hyperlink w:history="true" w:anchor="_bookmark26">
            <w:r>
              <w:rPr>
                <w:i w:val="0"/>
                <w:sz w:val="24"/>
              </w:rPr>
              <w:t>八、基金的投资</w:t>
              <w:tab/>
            </w:r>
            <w:r>
              <w:rPr>
                <w:rFonts w:ascii="宋体" w:eastAsia="宋体" w:hint="eastAsia"/>
                <w:b w:val="0"/>
                <w:i w:val="0"/>
                <w:sz w:val="24"/>
              </w:rPr>
              <w:t>107</w:t>
            </w:r>
          </w:hyperlink>
        </w:p>
        <w:p>
          <w:pPr>
            <w:pStyle w:val="TOC3"/>
            <w:tabs>
              <w:tab w:pos="8657" w:val="right" w:leader="dot"/>
            </w:tabs>
            <w:spacing w:before="101" w:after="240"/>
            <w:rPr>
              <w:rFonts w:ascii="Times New Roman" w:eastAsia="Times New Roman"/>
            </w:rPr>
          </w:pPr>
          <w:hyperlink w:history="true" w:anchor="_bookmark27">
            <w:r>
              <w:rPr/>
              <w:t>（一）投资目标</w:t>
              <w:tab/>
            </w:r>
            <w:r>
              <w:rPr>
                <w:rFonts w:ascii="Times New Roman" w:eastAsia="Times New Roman"/>
              </w:rPr>
              <w:t>107</w:t>
            </w:r>
          </w:hyperlink>
        </w:p>
        <w:p>
          <w:pPr>
            <w:pStyle w:val="TOC3"/>
            <w:tabs>
              <w:tab w:pos="8657" w:val="right" w:leader="dot"/>
            </w:tabs>
            <w:spacing w:before="193"/>
            <w:rPr>
              <w:rFonts w:ascii="Times New Roman" w:eastAsia="Times New Roman"/>
            </w:rPr>
          </w:pPr>
          <w:hyperlink w:history="true" w:anchor="_bookmark28">
            <w:r>
              <w:rPr/>
              <w:t>（二）目标指数</w:t>
              <w:tab/>
            </w:r>
            <w:r>
              <w:rPr>
                <w:rFonts w:ascii="Times New Roman" w:eastAsia="Times New Roman"/>
              </w:rPr>
              <w:t>107</w:t>
            </w:r>
          </w:hyperlink>
        </w:p>
        <w:p>
          <w:pPr>
            <w:pStyle w:val="TOC3"/>
            <w:tabs>
              <w:tab w:pos="8657" w:val="right" w:leader="dot"/>
            </w:tabs>
            <w:rPr>
              <w:rFonts w:ascii="Times New Roman" w:eastAsia="Times New Roman"/>
            </w:rPr>
          </w:pPr>
          <w:hyperlink w:history="true" w:anchor="_bookmark29">
            <w:r>
              <w:rPr/>
              <w:t>（三）投资方向和投资对象</w:t>
              <w:tab/>
            </w:r>
            <w:r>
              <w:rPr>
                <w:rFonts w:ascii="Times New Roman" w:eastAsia="Times New Roman"/>
              </w:rPr>
              <w:t>107</w:t>
            </w:r>
          </w:hyperlink>
        </w:p>
        <w:p>
          <w:pPr>
            <w:pStyle w:val="TOC3"/>
            <w:tabs>
              <w:tab w:pos="8657" w:val="right" w:leader="dot"/>
            </w:tabs>
            <w:rPr>
              <w:rFonts w:ascii="Times New Roman" w:eastAsia="Times New Roman"/>
            </w:rPr>
          </w:pPr>
          <w:hyperlink w:history="true" w:anchor="_bookmark30">
            <w:r>
              <w:rPr/>
              <w:t>（四）投资理念</w:t>
              <w:tab/>
            </w:r>
            <w:r>
              <w:rPr>
                <w:rFonts w:ascii="Times New Roman" w:eastAsia="Times New Roman"/>
              </w:rPr>
              <w:t>107</w:t>
            </w:r>
          </w:hyperlink>
        </w:p>
        <w:p>
          <w:pPr>
            <w:pStyle w:val="TOC3"/>
            <w:tabs>
              <w:tab w:pos="8657" w:val="right" w:leader="dot"/>
            </w:tabs>
            <w:rPr>
              <w:rFonts w:ascii="Times New Roman" w:eastAsia="Times New Roman"/>
            </w:rPr>
          </w:pPr>
          <w:hyperlink w:history="true" w:anchor="_bookmark31">
            <w:r>
              <w:rPr/>
              <w:t>（五）业绩比较基准</w:t>
              <w:tab/>
            </w:r>
            <w:r>
              <w:rPr>
                <w:rFonts w:ascii="Times New Roman" w:eastAsia="Times New Roman"/>
              </w:rPr>
              <w:t>107</w:t>
            </w:r>
          </w:hyperlink>
        </w:p>
        <w:p>
          <w:pPr>
            <w:pStyle w:val="TOC3"/>
            <w:tabs>
              <w:tab w:pos="8657" w:val="right" w:leader="dot"/>
            </w:tabs>
            <w:rPr>
              <w:rFonts w:ascii="Times New Roman" w:eastAsia="Times New Roman"/>
            </w:rPr>
          </w:pPr>
          <w:hyperlink w:history="true" w:anchor="_bookmark32">
            <w:r>
              <w:rPr/>
              <w:t>（六）基金的风险收益特征</w:t>
              <w:tab/>
            </w:r>
            <w:r>
              <w:rPr>
                <w:rFonts w:ascii="Times New Roman" w:eastAsia="Times New Roman"/>
              </w:rPr>
              <w:t>107</w:t>
            </w:r>
          </w:hyperlink>
        </w:p>
        <w:p>
          <w:pPr>
            <w:pStyle w:val="TOC3"/>
            <w:tabs>
              <w:tab w:pos="8657" w:val="right" w:leader="dot"/>
            </w:tabs>
            <w:rPr>
              <w:rFonts w:ascii="Times New Roman" w:eastAsia="Times New Roman"/>
            </w:rPr>
          </w:pPr>
          <w:hyperlink w:history="true" w:anchor="_bookmark33">
            <w:r>
              <w:rPr/>
              <w:t>（七）投资策略</w:t>
              <w:tab/>
            </w:r>
            <w:r>
              <w:rPr>
                <w:rFonts w:ascii="Times New Roman" w:eastAsia="Times New Roman"/>
              </w:rPr>
              <w:t>108</w:t>
            </w:r>
          </w:hyperlink>
        </w:p>
        <w:p>
          <w:pPr>
            <w:pStyle w:val="TOC3"/>
            <w:tabs>
              <w:tab w:pos="8657" w:val="right" w:leader="dot"/>
            </w:tabs>
            <w:rPr>
              <w:rFonts w:ascii="Times New Roman" w:eastAsia="Times New Roman"/>
            </w:rPr>
          </w:pPr>
          <w:hyperlink w:history="true" w:anchor="_bookmark34">
            <w:r>
              <w:rPr/>
              <w:t>（八）投资程序</w:t>
              <w:tab/>
            </w:r>
            <w:r>
              <w:rPr>
                <w:rFonts w:ascii="Times New Roman" w:eastAsia="Times New Roman"/>
              </w:rPr>
              <w:t>110</w:t>
            </w:r>
          </w:hyperlink>
        </w:p>
        <w:p>
          <w:pPr>
            <w:pStyle w:val="TOC3"/>
            <w:tabs>
              <w:tab w:pos="8657" w:val="right" w:leader="dot"/>
            </w:tabs>
            <w:rPr>
              <w:rFonts w:ascii="Times New Roman" w:eastAsia="Times New Roman"/>
            </w:rPr>
          </w:pPr>
          <w:hyperlink w:history="true" w:anchor="_bookmark35">
            <w:r>
              <w:rPr/>
              <w:t>（九）基金投资限制</w:t>
              <w:tab/>
            </w:r>
            <w:r>
              <w:rPr>
                <w:rFonts w:ascii="Times New Roman" w:eastAsia="Times New Roman"/>
              </w:rPr>
              <w:t>110</w:t>
            </w:r>
          </w:hyperlink>
        </w:p>
        <w:p>
          <w:pPr>
            <w:pStyle w:val="TOC3"/>
            <w:tabs>
              <w:tab w:pos="8657" w:val="right" w:leader="dot"/>
            </w:tabs>
            <w:rPr>
              <w:rFonts w:ascii="Times New Roman" w:eastAsia="Times New Roman"/>
            </w:rPr>
          </w:pPr>
          <w:hyperlink w:history="true" w:anchor="_bookmark36">
            <w:r>
              <w:rPr/>
              <w:t>（十）禁止行为</w:t>
              <w:tab/>
            </w:r>
            <w:r>
              <w:rPr>
                <w:rFonts w:ascii="Times New Roman" w:eastAsia="Times New Roman"/>
              </w:rPr>
              <w:t>111</w:t>
            </w:r>
          </w:hyperlink>
        </w:p>
        <w:p>
          <w:pPr>
            <w:pStyle w:val="TOC3"/>
            <w:tabs>
              <w:tab w:pos="8657" w:val="right" w:leader="dot"/>
            </w:tabs>
            <w:rPr>
              <w:rFonts w:ascii="Times New Roman" w:eastAsia="Times New Roman"/>
            </w:rPr>
          </w:pPr>
          <w:hyperlink w:history="true" w:anchor="_bookmark37">
            <w:r>
              <w:rPr/>
              <w:t>（十一）基金管理人代表基金行使所投资证券产生权利的处理原则及方法</w:t>
              <w:tab/>
            </w:r>
            <w:r>
              <w:rPr>
                <w:rFonts w:ascii="Times New Roman" w:eastAsia="Times New Roman"/>
              </w:rPr>
              <w:t>111</w:t>
            </w:r>
          </w:hyperlink>
        </w:p>
        <w:p>
          <w:pPr>
            <w:pStyle w:val="TOC3"/>
            <w:tabs>
              <w:tab w:pos="8657" w:val="right" w:leader="dot"/>
            </w:tabs>
            <w:rPr>
              <w:rFonts w:ascii="Times New Roman" w:eastAsia="Times New Roman"/>
            </w:rPr>
          </w:pPr>
          <w:hyperlink w:history="true" w:anchor="_bookmark38">
            <w:r>
              <w:rPr/>
              <w:t>（十二）基金投资组合报告(未经审计)</w:t>
              <w:tab/>
            </w:r>
            <w:r>
              <w:rPr>
                <w:rFonts w:ascii="Times New Roman" w:eastAsia="Times New Roman"/>
              </w:rPr>
              <w:t>111</w:t>
            </w:r>
          </w:hyperlink>
        </w:p>
        <w:p>
          <w:pPr>
            <w:pStyle w:val="TOC2"/>
            <w:tabs>
              <w:tab w:pos="8657" w:val="right" w:leader="dot"/>
            </w:tabs>
            <w:rPr>
              <w:rFonts w:ascii="宋体" w:eastAsia="宋体" w:hint="eastAsia"/>
              <w:b w:val="0"/>
              <w:i w:val="0"/>
              <w:sz w:val="24"/>
            </w:rPr>
          </w:pPr>
          <w:hyperlink w:history="true" w:anchor="_bookmark39">
            <w:r>
              <w:rPr>
                <w:i w:val="0"/>
                <w:sz w:val="24"/>
              </w:rPr>
              <w:t>九、基金的业绩</w:t>
              <w:tab/>
            </w:r>
            <w:r>
              <w:rPr>
                <w:rFonts w:ascii="宋体" w:eastAsia="宋体" w:hint="eastAsia"/>
                <w:b w:val="0"/>
                <w:i w:val="0"/>
                <w:sz w:val="24"/>
              </w:rPr>
              <w:t>119</w:t>
            </w:r>
          </w:hyperlink>
        </w:p>
        <w:p>
          <w:pPr>
            <w:pStyle w:val="TOC2"/>
            <w:tabs>
              <w:tab w:pos="8657" w:val="right" w:leader="dot"/>
            </w:tabs>
            <w:spacing w:before="4"/>
            <w:rPr>
              <w:rFonts w:ascii="宋体" w:eastAsia="宋体" w:hint="eastAsia"/>
              <w:b w:val="0"/>
              <w:i w:val="0"/>
              <w:sz w:val="24"/>
            </w:rPr>
          </w:pPr>
          <w:hyperlink w:history="true" w:anchor="_bookmark40">
            <w:r>
              <w:rPr>
                <w:i w:val="0"/>
                <w:sz w:val="24"/>
              </w:rPr>
              <w:t>十、基金的财产</w:t>
              <w:tab/>
            </w:r>
            <w:r>
              <w:rPr>
                <w:rFonts w:ascii="宋体" w:eastAsia="宋体" w:hint="eastAsia"/>
                <w:b w:val="0"/>
                <w:i w:val="0"/>
                <w:sz w:val="24"/>
              </w:rPr>
              <w:t>121</w:t>
            </w:r>
          </w:hyperlink>
        </w:p>
        <w:p>
          <w:pPr>
            <w:pStyle w:val="TOC3"/>
            <w:tabs>
              <w:tab w:pos="8657" w:val="right" w:leader="dot"/>
            </w:tabs>
            <w:spacing w:before="101"/>
            <w:rPr>
              <w:rFonts w:ascii="Times New Roman" w:eastAsia="Times New Roman"/>
            </w:rPr>
          </w:pPr>
          <w:hyperlink w:history="true" w:anchor="_bookmark41">
            <w:r>
              <w:rPr/>
              <w:t>（一）基金财产的构成</w:t>
              <w:tab/>
            </w:r>
            <w:r>
              <w:rPr>
                <w:rFonts w:ascii="Times New Roman" w:eastAsia="Times New Roman"/>
              </w:rPr>
              <w:t>121</w:t>
            </w:r>
          </w:hyperlink>
        </w:p>
        <w:p>
          <w:pPr>
            <w:pStyle w:val="TOC3"/>
            <w:tabs>
              <w:tab w:pos="8657" w:val="right" w:leader="dot"/>
            </w:tabs>
            <w:rPr>
              <w:rFonts w:ascii="Times New Roman" w:eastAsia="Times New Roman"/>
            </w:rPr>
          </w:pPr>
          <w:hyperlink w:history="true" w:anchor="_bookmark42">
            <w:r>
              <w:rPr/>
              <w:t>（二）基金财产的账户</w:t>
              <w:tab/>
            </w:r>
            <w:r>
              <w:rPr>
                <w:rFonts w:ascii="Times New Roman" w:eastAsia="Times New Roman"/>
              </w:rPr>
              <w:t>121</w:t>
            </w:r>
          </w:hyperlink>
        </w:p>
        <w:p>
          <w:pPr>
            <w:pStyle w:val="TOC3"/>
            <w:tabs>
              <w:tab w:pos="8657" w:val="right" w:leader="dot"/>
            </w:tabs>
            <w:rPr>
              <w:rFonts w:ascii="Times New Roman" w:eastAsia="Times New Roman"/>
            </w:rPr>
          </w:pPr>
          <w:hyperlink w:history="true" w:anchor="_bookmark43">
            <w:r>
              <w:rPr/>
              <w:t>（三）基金财产的保管与处分</w:t>
              <w:tab/>
            </w:r>
            <w:r>
              <w:rPr>
                <w:rFonts w:ascii="Times New Roman" w:eastAsia="Times New Roman"/>
              </w:rPr>
              <w:t>121</w:t>
            </w:r>
          </w:hyperlink>
        </w:p>
        <w:p>
          <w:pPr>
            <w:pStyle w:val="TOC2"/>
            <w:tabs>
              <w:tab w:pos="8657" w:val="right" w:leader="dot"/>
            </w:tabs>
            <w:rPr>
              <w:rFonts w:ascii="宋体" w:eastAsia="宋体" w:hint="eastAsia"/>
              <w:b w:val="0"/>
              <w:i w:val="0"/>
              <w:sz w:val="24"/>
            </w:rPr>
          </w:pPr>
          <w:hyperlink w:history="true" w:anchor="_bookmark44">
            <w:r>
              <w:rPr>
                <w:i w:val="0"/>
                <w:sz w:val="24"/>
              </w:rPr>
              <w:t>十一、基金资产的估值</w:t>
              <w:tab/>
            </w:r>
            <w:r>
              <w:rPr>
                <w:rFonts w:ascii="宋体" w:eastAsia="宋体" w:hint="eastAsia"/>
                <w:b w:val="0"/>
                <w:i w:val="0"/>
                <w:sz w:val="24"/>
              </w:rPr>
              <w:t>122</w:t>
            </w:r>
          </w:hyperlink>
        </w:p>
        <w:p>
          <w:pPr>
            <w:pStyle w:val="TOC3"/>
            <w:tabs>
              <w:tab w:pos="8657" w:val="right" w:leader="dot"/>
            </w:tabs>
            <w:spacing w:before="100"/>
            <w:rPr>
              <w:rFonts w:ascii="Times New Roman" w:eastAsia="Times New Roman"/>
            </w:rPr>
          </w:pPr>
          <w:hyperlink w:history="true" w:anchor="_bookmark45">
            <w:r>
              <w:rPr/>
              <w:t>（一）估值目的</w:t>
              <w:tab/>
            </w:r>
            <w:r>
              <w:rPr>
                <w:rFonts w:ascii="Times New Roman" w:eastAsia="Times New Roman"/>
              </w:rPr>
              <w:t>122</w:t>
            </w:r>
          </w:hyperlink>
        </w:p>
        <w:p>
          <w:pPr>
            <w:pStyle w:val="TOC3"/>
            <w:tabs>
              <w:tab w:pos="8657" w:val="right" w:leader="dot"/>
            </w:tabs>
            <w:rPr>
              <w:rFonts w:ascii="Times New Roman" w:eastAsia="Times New Roman"/>
            </w:rPr>
          </w:pPr>
          <w:hyperlink w:history="true" w:anchor="_bookmark46">
            <w:r>
              <w:rPr/>
              <w:t>（二）估值日</w:t>
              <w:tab/>
            </w:r>
            <w:r>
              <w:rPr>
                <w:rFonts w:ascii="Times New Roman" w:eastAsia="Times New Roman"/>
              </w:rPr>
              <w:t>122</w:t>
            </w:r>
          </w:hyperlink>
        </w:p>
        <w:p>
          <w:pPr>
            <w:pStyle w:val="TOC3"/>
            <w:tabs>
              <w:tab w:pos="8657" w:val="right" w:leader="dot"/>
            </w:tabs>
            <w:rPr>
              <w:rFonts w:ascii="Times New Roman" w:eastAsia="Times New Roman"/>
            </w:rPr>
          </w:pPr>
          <w:hyperlink w:history="true" w:anchor="_bookmark47">
            <w:r>
              <w:rPr/>
              <w:t>（三）估值对象</w:t>
              <w:tab/>
            </w:r>
            <w:r>
              <w:rPr>
                <w:rFonts w:ascii="Times New Roman" w:eastAsia="Times New Roman"/>
              </w:rPr>
              <w:t>122</w:t>
            </w:r>
          </w:hyperlink>
        </w:p>
        <w:p>
          <w:pPr>
            <w:pStyle w:val="TOC3"/>
            <w:tabs>
              <w:tab w:pos="8657" w:val="right" w:leader="dot"/>
            </w:tabs>
            <w:rPr>
              <w:rFonts w:ascii="Times New Roman" w:eastAsia="Times New Roman"/>
            </w:rPr>
          </w:pPr>
          <w:hyperlink w:history="true" w:anchor="_bookmark48">
            <w:r>
              <w:rPr/>
              <w:t>（四）估值方法</w:t>
              <w:tab/>
            </w:r>
            <w:r>
              <w:rPr>
                <w:rFonts w:ascii="Times New Roman" w:eastAsia="Times New Roman"/>
              </w:rPr>
              <w:t>122</w:t>
            </w:r>
          </w:hyperlink>
        </w:p>
        <w:p>
          <w:pPr>
            <w:pStyle w:val="TOC3"/>
            <w:tabs>
              <w:tab w:pos="8657" w:val="right" w:leader="dot"/>
            </w:tabs>
            <w:rPr>
              <w:rFonts w:ascii="Times New Roman" w:eastAsia="Times New Roman"/>
            </w:rPr>
          </w:pPr>
          <w:hyperlink w:history="true" w:anchor="_bookmark49">
            <w:r>
              <w:rPr/>
              <w:t>（五）估值程序</w:t>
              <w:tab/>
            </w:r>
            <w:r>
              <w:rPr>
                <w:rFonts w:ascii="Times New Roman" w:eastAsia="Times New Roman"/>
              </w:rPr>
              <w:t>123</w:t>
            </w:r>
          </w:hyperlink>
        </w:p>
        <w:p>
          <w:pPr>
            <w:pStyle w:val="TOC3"/>
            <w:tabs>
              <w:tab w:pos="8657" w:val="right" w:leader="dot"/>
            </w:tabs>
            <w:rPr>
              <w:rFonts w:ascii="Times New Roman" w:eastAsia="Times New Roman"/>
            </w:rPr>
          </w:pPr>
          <w:hyperlink w:history="true" w:anchor="_bookmark50">
            <w:r>
              <w:rPr/>
              <w:t>（六）暂停估值的情形</w:t>
              <w:tab/>
            </w:r>
            <w:r>
              <w:rPr>
                <w:rFonts w:ascii="Times New Roman" w:eastAsia="Times New Roman"/>
              </w:rPr>
              <w:t>123</w:t>
            </w:r>
          </w:hyperlink>
        </w:p>
        <w:p>
          <w:pPr>
            <w:pStyle w:val="TOC3"/>
            <w:tabs>
              <w:tab w:pos="8657" w:val="right" w:leader="dot"/>
            </w:tabs>
            <w:rPr>
              <w:rFonts w:ascii="Times New Roman" w:eastAsia="Times New Roman"/>
            </w:rPr>
          </w:pPr>
          <w:hyperlink w:history="true" w:anchor="_bookmark51">
            <w:r>
              <w:rPr/>
              <w:t>（七）基金份额净值的确认</w:t>
              <w:tab/>
            </w:r>
            <w:r>
              <w:rPr>
                <w:rFonts w:ascii="Times New Roman" w:eastAsia="Times New Roman"/>
              </w:rPr>
              <w:t>123</w:t>
            </w:r>
          </w:hyperlink>
        </w:p>
        <w:p>
          <w:pPr>
            <w:pStyle w:val="TOC3"/>
            <w:tabs>
              <w:tab w:pos="8657" w:val="right" w:leader="dot"/>
            </w:tabs>
            <w:rPr>
              <w:rFonts w:ascii="Times New Roman" w:eastAsia="Times New Roman"/>
            </w:rPr>
          </w:pPr>
          <w:hyperlink w:history="true" w:anchor="_bookmark52">
            <w:r>
              <w:rPr/>
              <w:t>（八）估值错误的处理</w:t>
              <w:tab/>
            </w:r>
            <w:r>
              <w:rPr>
                <w:rFonts w:ascii="Times New Roman" w:eastAsia="Times New Roman"/>
              </w:rPr>
              <w:t>124</w:t>
            </w:r>
          </w:hyperlink>
        </w:p>
        <w:p>
          <w:pPr>
            <w:pStyle w:val="TOC3"/>
            <w:tabs>
              <w:tab w:pos="8657" w:val="right" w:leader="dot"/>
            </w:tabs>
            <w:rPr>
              <w:rFonts w:ascii="Times New Roman" w:eastAsia="Times New Roman"/>
            </w:rPr>
          </w:pPr>
          <w:hyperlink w:history="true" w:anchor="_bookmark53">
            <w:r>
              <w:rPr/>
              <w:t>（九）特殊情形的处理</w:t>
              <w:tab/>
            </w:r>
            <w:r>
              <w:rPr>
                <w:rFonts w:ascii="Times New Roman" w:eastAsia="Times New Roman"/>
              </w:rPr>
              <w:t>124</w:t>
            </w:r>
          </w:hyperlink>
        </w:p>
        <w:p>
          <w:pPr>
            <w:pStyle w:val="TOC2"/>
            <w:tabs>
              <w:tab w:pos="8657" w:val="right" w:leader="dot"/>
            </w:tabs>
            <w:rPr>
              <w:rFonts w:ascii="宋体" w:eastAsia="宋体" w:hint="eastAsia"/>
              <w:b w:val="0"/>
              <w:i w:val="0"/>
              <w:sz w:val="24"/>
            </w:rPr>
          </w:pPr>
          <w:hyperlink w:history="true" w:anchor="_bookmark54">
            <w:r>
              <w:rPr>
                <w:i w:val="0"/>
                <w:sz w:val="24"/>
              </w:rPr>
              <w:t>十二、基金的收益分配</w:t>
              <w:tab/>
            </w:r>
            <w:r>
              <w:rPr>
                <w:rFonts w:ascii="宋体" w:eastAsia="宋体" w:hint="eastAsia"/>
                <w:b w:val="0"/>
                <w:i w:val="0"/>
                <w:sz w:val="24"/>
              </w:rPr>
              <w:t>125</w:t>
            </w:r>
          </w:hyperlink>
        </w:p>
        <w:p>
          <w:pPr>
            <w:pStyle w:val="TOC3"/>
            <w:tabs>
              <w:tab w:pos="8657" w:val="right" w:leader="dot"/>
            </w:tabs>
            <w:spacing w:before="100"/>
            <w:rPr>
              <w:rFonts w:ascii="Times New Roman" w:eastAsia="Times New Roman"/>
            </w:rPr>
          </w:pPr>
          <w:hyperlink w:history="true" w:anchor="_bookmark55">
            <w:r>
              <w:rPr/>
              <w:t>（一）收益的构成</w:t>
              <w:tab/>
            </w:r>
            <w:r>
              <w:rPr>
                <w:rFonts w:ascii="Times New Roman" w:eastAsia="Times New Roman"/>
              </w:rPr>
              <w:t>125</w:t>
            </w:r>
          </w:hyperlink>
        </w:p>
        <w:p>
          <w:pPr>
            <w:pStyle w:val="TOC3"/>
            <w:tabs>
              <w:tab w:pos="8657" w:val="right" w:leader="dot"/>
            </w:tabs>
            <w:rPr>
              <w:rFonts w:ascii="Times New Roman" w:eastAsia="Times New Roman"/>
            </w:rPr>
          </w:pPr>
          <w:hyperlink w:history="true" w:anchor="_bookmark56">
            <w:r>
              <w:rPr/>
              <w:t>（二）收益分配原则</w:t>
              <w:tab/>
            </w:r>
            <w:r>
              <w:rPr>
                <w:rFonts w:ascii="Times New Roman" w:eastAsia="Times New Roman"/>
              </w:rPr>
              <w:t>125</w:t>
            </w:r>
          </w:hyperlink>
        </w:p>
        <w:p>
          <w:pPr>
            <w:pStyle w:val="TOC3"/>
            <w:tabs>
              <w:tab w:pos="8657" w:val="right" w:leader="dot"/>
            </w:tabs>
            <w:spacing w:after="20"/>
            <w:rPr>
              <w:rFonts w:ascii="Times New Roman" w:eastAsia="Times New Roman"/>
            </w:rPr>
          </w:pPr>
          <w:hyperlink w:history="true" w:anchor="_bookmark57">
            <w:r>
              <w:rPr/>
              <w:t>（三）收益分配方案的确定与公告</w:t>
              <w:tab/>
            </w:r>
            <w:r>
              <w:rPr>
                <w:rFonts w:ascii="Times New Roman" w:eastAsia="Times New Roman"/>
              </w:rPr>
              <w:t>125</w:t>
            </w:r>
          </w:hyperlink>
        </w:p>
        <w:p>
          <w:pPr>
            <w:pStyle w:val="TOC3"/>
            <w:tabs>
              <w:tab w:pos="8342" w:val="left" w:leader="dot"/>
            </w:tabs>
            <w:spacing w:before="193"/>
            <w:rPr>
              <w:rFonts w:ascii="Times New Roman" w:eastAsia="Times New Roman"/>
            </w:rPr>
          </w:pPr>
          <w:hyperlink w:history="true" w:anchor="_bookmark58">
            <w:r>
              <w:rPr/>
              <w:t>（四）收益分配中发生的费用</w:t>
              <w:tab/>
            </w:r>
            <w:r>
              <w:rPr>
                <w:rFonts w:ascii="Times New Roman" w:eastAsia="Times New Roman"/>
              </w:rPr>
              <w:t>125</w:t>
            </w:r>
          </w:hyperlink>
        </w:p>
        <w:p>
          <w:pPr>
            <w:pStyle w:val="TOC1"/>
            <w:tabs>
              <w:tab w:pos="8297" w:val="left" w:leader="dot"/>
            </w:tabs>
            <w:rPr>
              <w:rFonts w:ascii="宋体" w:eastAsia="宋体" w:hint="eastAsia"/>
              <w:b w:val="0"/>
            </w:rPr>
          </w:pPr>
          <w:hyperlink w:history="true" w:anchor="_bookmark59">
            <w:r>
              <w:rPr/>
              <w:t>十三、基金的费用与税收</w:t>
              <w:tab/>
            </w:r>
            <w:r>
              <w:rPr>
                <w:rFonts w:ascii="宋体" w:eastAsia="宋体" w:hint="eastAsia"/>
                <w:b w:val="0"/>
              </w:rPr>
              <w:t>126</w:t>
            </w:r>
          </w:hyperlink>
        </w:p>
        <w:p>
          <w:pPr>
            <w:pStyle w:val="TOC3"/>
            <w:tabs>
              <w:tab w:pos="8342" w:val="left" w:leader="dot"/>
            </w:tabs>
            <w:spacing w:before="101"/>
            <w:rPr>
              <w:rFonts w:ascii="Times New Roman" w:eastAsia="Times New Roman"/>
            </w:rPr>
          </w:pPr>
          <w:hyperlink w:history="true" w:anchor="_bookmark60">
            <w:r>
              <w:rPr/>
              <w:t>（一）与基金运作有关的费用</w:t>
              <w:tab/>
            </w:r>
            <w:r>
              <w:rPr>
                <w:rFonts w:ascii="Times New Roman" w:eastAsia="Times New Roman"/>
              </w:rPr>
              <w:t>126</w:t>
            </w:r>
          </w:hyperlink>
        </w:p>
        <w:p>
          <w:pPr>
            <w:pStyle w:val="TOC3"/>
            <w:tabs>
              <w:tab w:pos="8342" w:val="left" w:leader="dot"/>
            </w:tabs>
            <w:rPr>
              <w:rFonts w:ascii="Times New Roman" w:eastAsia="Times New Roman"/>
            </w:rPr>
          </w:pPr>
          <w:hyperlink w:history="true" w:anchor="_bookmark61">
            <w:r>
              <w:rPr/>
              <w:t>（二）与基金销售有关的费用</w:t>
              <w:tab/>
            </w:r>
            <w:r>
              <w:rPr>
                <w:rFonts w:ascii="Times New Roman" w:eastAsia="Times New Roman"/>
              </w:rPr>
              <w:t>127</w:t>
            </w:r>
          </w:hyperlink>
        </w:p>
        <w:p>
          <w:pPr>
            <w:pStyle w:val="TOC3"/>
            <w:tabs>
              <w:tab w:pos="8342" w:val="left" w:leader="dot"/>
            </w:tabs>
            <w:rPr>
              <w:rFonts w:ascii="Times New Roman" w:eastAsia="Times New Roman"/>
            </w:rPr>
          </w:pPr>
          <w:hyperlink w:history="true" w:anchor="_bookmark62">
            <w:r>
              <w:rPr/>
              <w:t>（三）基金的税收</w:t>
              <w:tab/>
            </w:r>
            <w:r>
              <w:rPr>
                <w:rFonts w:ascii="Times New Roman" w:eastAsia="Times New Roman"/>
              </w:rPr>
              <w:t>128</w:t>
            </w:r>
          </w:hyperlink>
        </w:p>
        <w:p>
          <w:pPr>
            <w:pStyle w:val="TOC1"/>
            <w:tabs>
              <w:tab w:pos="8297" w:val="left" w:leader="dot"/>
            </w:tabs>
            <w:rPr>
              <w:rFonts w:ascii="宋体" w:eastAsia="宋体" w:hint="eastAsia"/>
              <w:b w:val="0"/>
            </w:rPr>
          </w:pPr>
          <w:hyperlink w:history="true" w:anchor="_bookmark63">
            <w:r>
              <w:rPr/>
              <w:t>十四、基金的会计与审计</w:t>
              <w:tab/>
            </w:r>
            <w:r>
              <w:rPr>
                <w:rFonts w:ascii="宋体" w:eastAsia="宋体" w:hint="eastAsia"/>
                <w:b w:val="0"/>
              </w:rPr>
              <w:t>129</w:t>
            </w:r>
          </w:hyperlink>
        </w:p>
        <w:p>
          <w:pPr>
            <w:pStyle w:val="TOC3"/>
            <w:tabs>
              <w:tab w:pos="8342" w:val="left" w:leader="dot"/>
            </w:tabs>
            <w:spacing w:before="100"/>
            <w:rPr>
              <w:rFonts w:ascii="Times New Roman" w:eastAsia="Times New Roman"/>
            </w:rPr>
          </w:pPr>
          <w:hyperlink w:history="true" w:anchor="_bookmark64">
            <w:r>
              <w:rPr/>
              <w:t>（一）基金会计政策</w:t>
              <w:tab/>
            </w:r>
            <w:r>
              <w:rPr>
                <w:rFonts w:ascii="Times New Roman" w:eastAsia="Times New Roman"/>
              </w:rPr>
              <w:t>129</w:t>
            </w:r>
          </w:hyperlink>
        </w:p>
        <w:p>
          <w:pPr>
            <w:pStyle w:val="TOC3"/>
            <w:tabs>
              <w:tab w:pos="8342" w:val="left" w:leader="dot"/>
            </w:tabs>
            <w:rPr>
              <w:rFonts w:ascii="Times New Roman" w:eastAsia="Times New Roman"/>
            </w:rPr>
          </w:pPr>
          <w:hyperlink w:history="true" w:anchor="_bookmark65">
            <w:r>
              <w:rPr/>
              <w:t>（二）基金的审计</w:t>
              <w:tab/>
            </w:r>
            <w:r>
              <w:rPr>
                <w:rFonts w:ascii="Times New Roman" w:eastAsia="Times New Roman"/>
              </w:rPr>
              <w:t>129</w:t>
            </w:r>
          </w:hyperlink>
        </w:p>
        <w:p>
          <w:pPr>
            <w:pStyle w:val="TOC2"/>
            <w:tabs>
              <w:tab w:pos="8297" w:val="left" w:leader="dot"/>
            </w:tabs>
            <w:rPr>
              <w:rFonts w:ascii="宋体" w:eastAsia="宋体" w:hint="eastAsia"/>
              <w:b w:val="0"/>
              <w:i w:val="0"/>
              <w:sz w:val="24"/>
            </w:rPr>
          </w:pPr>
          <w:hyperlink w:history="true" w:anchor="_bookmark66">
            <w:r>
              <w:rPr>
                <w:i w:val="0"/>
                <w:sz w:val="24"/>
              </w:rPr>
              <w:t>十五、基金的信息披露</w:t>
              <w:tab/>
            </w:r>
            <w:r>
              <w:rPr>
                <w:rFonts w:ascii="宋体" w:eastAsia="宋体" w:hint="eastAsia"/>
                <w:b w:val="0"/>
                <w:i w:val="0"/>
                <w:sz w:val="24"/>
              </w:rPr>
              <w:t>130</w:t>
            </w:r>
          </w:hyperlink>
        </w:p>
        <w:p>
          <w:pPr>
            <w:pStyle w:val="TOC3"/>
            <w:tabs>
              <w:tab w:pos="8342" w:val="left" w:leader="dot"/>
            </w:tabs>
            <w:spacing w:before="101"/>
            <w:rPr>
              <w:rFonts w:ascii="Times New Roman" w:eastAsia="Times New Roman"/>
            </w:rPr>
          </w:pPr>
          <w:hyperlink w:history="true" w:anchor="_bookmark67">
            <w:r>
              <w:rPr/>
              <w:t>（一）信息披露的形式</w:t>
              <w:tab/>
            </w:r>
            <w:r>
              <w:rPr>
                <w:rFonts w:ascii="Times New Roman" w:eastAsia="Times New Roman"/>
              </w:rPr>
              <w:t>130</w:t>
            </w:r>
          </w:hyperlink>
        </w:p>
        <w:p>
          <w:pPr>
            <w:pStyle w:val="TOC3"/>
            <w:tabs>
              <w:tab w:pos="8342" w:val="left" w:leader="dot"/>
            </w:tabs>
            <w:rPr>
              <w:rFonts w:ascii="Times New Roman" w:eastAsia="Times New Roman"/>
            </w:rPr>
          </w:pPr>
          <w:hyperlink w:history="true" w:anchor="_bookmark68">
            <w:r>
              <w:rPr/>
              <w:t>（二）信息披露的种类、披露时间和披露形式</w:t>
              <w:tab/>
            </w:r>
            <w:r>
              <w:rPr>
                <w:rFonts w:ascii="Times New Roman" w:eastAsia="Times New Roman"/>
              </w:rPr>
              <w:t>130</w:t>
            </w:r>
          </w:hyperlink>
        </w:p>
        <w:p>
          <w:pPr>
            <w:pStyle w:val="TOC3"/>
            <w:tabs>
              <w:tab w:pos="8342" w:val="left" w:leader="dot"/>
            </w:tabs>
            <w:rPr>
              <w:rFonts w:ascii="Times New Roman" w:eastAsia="Times New Roman"/>
            </w:rPr>
          </w:pPr>
          <w:hyperlink w:history="true" w:anchor="_bookmark69">
            <w:r>
              <w:rPr/>
              <w:t>（三）信息披露事务管理</w:t>
              <w:tab/>
            </w:r>
            <w:r>
              <w:rPr>
                <w:rFonts w:ascii="Times New Roman" w:eastAsia="Times New Roman"/>
              </w:rPr>
              <w:t>132</w:t>
            </w:r>
          </w:hyperlink>
        </w:p>
        <w:p>
          <w:pPr>
            <w:pStyle w:val="TOC3"/>
            <w:tabs>
              <w:tab w:pos="8342" w:val="left" w:leader="dot"/>
            </w:tabs>
            <w:rPr>
              <w:rFonts w:ascii="Times New Roman" w:eastAsia="Times New Roman"/>
            </w:rPr>
          </w:pPr>
          <w:hyperlink w:history="true" w:anchor="_bookmark70">
            <w:r>
              <w:rPr/>
              <w:t>（四）信息披露文件的存放与查阅</w:t>
              <w:tab/>
            </w:r>
            <w:r>
              <w:rPr>
                <w:rFonts w:ascii="Times New Roman" w:eastAsia="Times New Roman"/>
              </w:rPr>
              <w:t>133</w:t>
            </w:r>
          </w:hyperlink>
        </w:p>
        <w:p>
          <w:pPr>
            <w:pStyle w:val="TOC2"/>
            <w:tabs>
              <w:tab w:pos="8297" w:val="left" w:leader="dot"/>
            </w:tabs>
            <w:rPr>
              <w:rFonts w:ascii="宋体" w:eastAsia="宋体" w:hint="eastAsia"/>
              <w:b w:val="0"/>
              <w:i w:val="0"/>
              <w:sz w:val="24"/>
            </w:rPr>
          </w:pPr>
          <w:hyperlink w:history="true" w:anchor="_bookmark71">
            <w:r>
              <w:rPr>
                <w:i w:val="0"/>
                <w:sz w:val="24"/>
              </w:rPr>
              <w:t>十六、风险揭示</w:t>
              <w:tab/>
            </w:r>
            <w:r>
              <w:rPr>
                <w:rFonts w:ascii="宋体" w:eastAsia="宋体" w:hint="eastAsia"/>
                <w:b w:val="0"/>
                <w:i w:val="0"/>
                <w:sz w:val="24"/>
              </w:rPr>
              <w:t>134</w:t>
            </w:r>
          </w:hyperlink>
        </w:p>
        <w:p>
          <w:pPr>
            <w:pStyle w:val="TOC3"/>
            <w:tabs>
              <w:tab w:pos="8342" w:val="left" w:leader="dot"/>
            </w:tabs>
            <w:spacing w:before="100"/>
            <w:rPr>
              <w:rFonts w:ascii="Times New Roman" w:eastAsia="Times New Roman"/>
            </w:rPr>
          </w:pPr>
          <w:hyperlink w:history="true" w:anchor="_bookmark72">
            <w:r>
              <w:rPr/>
              <w:t>（一）市场风险</w:t>
              <w:tab/>
            </w:r>
            <w:r>
              <w:rPr>
                <w:rFonts w:ascii="Times New Roman" w:eastAsia="Times New Roman"/>
              </w:rPr>
              <w:t>134</w:t>
            </w:r>
          </w:hyperlink>
        </w:p>
        <w:p>
          <w:pPr>
            <w:pStyle w:val="TOC3"/>
            <w:tabs>
              <w:tab w:pos="8342" w:val="left" w:leader="dot"/>
            </w:tabs>
            <w:rPr>
              <w:rFonts w:ascii="Times New Roman" w:eastAsia="Times New Roman"/>
            </w:rPr>
          </w:pPr>
          <w:hyperlink w:history="true" w:anchor="_bookmark73">
            <w:r>
              <w:rPr/>
              <w:t>（二）本基金特有的风险</w:t>
              <w:tab/>
            </w:r>
            <w:r>
              <w:rPr>
                <w:rFonts w:ascii="Times New Roman" w:eastAsia="Times New Roman"/>
              </w:rPr>
              <w:t>134</w:t>
            </w:r>
          </w:hyperlink>
        </w:p>
        <w:p>
          <w:pPr>
            <w:pStyle w:val="TOC3"/>
            <w:tabs>
              <w:tab w:pos="8342" w:val="left" w:leader="dot"/>
            </w:tabs>
            <w:rPr>
              <w:rFonts w:ascii="Times New Roman" w:eastAsia="Times New Roman"/>
            </w:rPr>
          </w:pPr>
          <w:hyperlink w:history="true" w:anchor="_bookmark74">
            <w:r>
              <w:rPr/>
              <w:t>（三）目标指数变更的风险</w:t>
              <w:tab/>
            </w:r>
            <w:r>
              <w:rPr>
                <w:rFonts w:ascii="Times New Roman" w:eastAsia="Times New Roman"/>
              </w:rPr>
              <w:t>135</w:t>
            </w:r>
          </w:hyperlink>
        </w:p>
        <w:p>
          <w:pPr>
            <w:pStyle w:val="TOC3"/>
            <w:tabs>
              <w:tab w:pos="8342" w:val="left" w:leader="dot"/>
            </w:tabs>
            <w:rPr>
              <w:rFonts w:ascii="Times New Roman" w:eastAsia="Times New Roman"/>
            </w:rPr>
          </w:pPr>
          <w:hyperlink w:history="true" w:anchor="_bookmark75">
            <w:r>
              <w:rPr/>
              <w:t>（四）流动性风险</w:t>
              <w:tab/>
            </w:r>
            <w:r>
              <w:rPr>
                <w:rFonts w:ascii="Times New Roman" w:eastAsia="Times New Roman"/>
              </w:rPr>
              <w:t>135</w:t>
            </w:r>
          </w:hyperlink>
        </w:p>
        <w:p>
          <w:pPr>
            <w:pStyle w:val="TOC3"/>
            <w:tabs>
              <w:tab w:pos="8342" w:val="left" w:leader="dot"/>
            </w:tabs>
            <w:rPr>
              <w:rFonts w:ascii="Times New Roman" w:eastAsia="Times New Roman"/>
            </w:rPr>
          </w:pPr>
          <w:hyperlink w:history="true" w:anchor="_bookmark76">
            <w:r>
              <w:rPr/>
              <w:t>（五）管理风险</w:t>
              <w:tab/>
            </w:r>
            <w:r>
              <w:rPr>
                <w:rFonts w:ascii="Times New Roman" w:eastAsia="Times New Roman"/>
              </w:rPr>
              <w:t>136</w:t>
            </w:r>
          </w:hyperlink>
        </w:p>
        <w:p>
          <w:pPr>
            <w:pStyle w:val="TOC3"/>
            <w:tabs>
              <w:tab w:pos="8342" w:val="left" w:leader="dot"/>
            </w:tabs>
            <w:spacing w:line="398" w:lineRule="auto"/>
            <w:ind w:left="613" w:right="1011" w:firstLine="420"/>
            <w:rPr>
              <w:rFonts w:ascii="Times New Roman" w:eastAsia="Times New Roman"/>
            </w:rPr>
          </w:pPr>
          <w:hyperlink w:history="true" w:anchor="_bookmark77">
            <w:r>
              <w:rPr/>
              <w:t>（六）本基金法律文件中涉及基金风险特征的表述与销售机构对基金的风险评级可能</w:t>
            </w:r>
            <w:r>
              <w:rPr>
                <w:spacing w:val="-18"/>
              </w:rPr>
              <w:t>不</w:t>
            </w:r>
          </w:hyperlink>
          <w:hyperlink w:history="true" w:anchor="_bookmark77">
            <w:r>
              <w:rPr/>
              <w:t>一致的风险</w:t>
              <w:tab/>
            </w:r>
            <w:r>
              <w:rPr>
                <w:rFonts w:ascii="Times New Roman" w:eastAsia="Times New Roman"/>
              </w:rPr>
              <w:t>136</w:t>
            </w:r>
          </w:hyperlink>
        </w:p>
        <w:p>
          <w:pPr>
            <w:pStyle w:val="TOC3"/>
            <w:tabs>
              <w:tab w:pos="8342" w:val="left" w:leader="dot"/>
            </w:tabs>
            <w:spacing w:before="1"/>
            <w:rPr>
              <w:rFonts w:ascii="Times New Roman" w:eastAsia="Times New Roman"/>
            </w:rPr>
          </w:pPr>
          <w:hyperlink w:history="true" w:anchor="_bookmark78">
            <w:r>
              <w:rPr/>
              <w:t>（七）其他风险</w:t>
              <w:tab/>
            </w:r>
            <w:r>
              <w:rPr>
                <w:rFonts w:ascii="Times New Roman" w:eastAsia="Times New Roman"/>
              </w:rPr>
              <w:t>137</w:t>
            </w:r>
          </w:hyperlink>
        </w:p>
        <w:p>
          <w:pPr>
            <w:pStyle w:val="TOC1"/>
            <w:tabs>
              <w:tab w:pos="8297" w:val="left" w:leader="dot"/>
            </w:tabs>
            <w:rPr>
              <w:rFonts w:ascii="宋体" w:eastAsia="宋体" w:hint="eastAsia"/>
              <w:b w:val="0"/>
            </w:rPr>
          </w:pPr>
          <w:hyperlink w:history="true" w:anchor="_bookmark79">
            <w:r>
              <w:rPr/>
              <w:t>十七、基金合同的终止与清算</w:t>
              <w:tab/>
            </w:r>
            <w:r>
              <w:rPr>
                <w:rFonts w:ascii="宋体" w:eastAsia="宋体" w:hint="eastAsia"/>
                <w:b w:val="0"/>
              </w:rPr>
              <w:t>138</w:t>
            </w:r>
          </w:hyperlink>
        </w:p>
        <w:p>
          <w:pPr>
            <w:pStyle w:val="TOC3"/>
            <w:tabs>
              <w:tab w:pos="8342" w:val="left" w:leader="dot"/>
            </w:tabs>
            <w:spacing w:before="100"/>
            <w:rPr>
              <w:rFonts w:ascii="Times New Roman" w:eastAsia="Times New Roman"/>
            </w:rPr>
          </w:pPr>
          <w:hyperlink w:history="true" w:anchor="_bookmark80">
            <w:r>
              <w:rPr/>
              <w:t>（一）基金合同的终止</w:t>
              <w:tab/>
            </w:r>
            <w:r>
              <w:rPr>
                <w:rFonts w:ascii="Times New Roman" w:eastAsia="Times New Roman"/>
              </w:rPr>
              <w:t>138</w:t>
            </w:r>
          </w:hyperlink>
        </w:p>
        <w:p>
          <w:pPr>
            <w:pStyle w:val="TOC3"/>
            <w:tabs>
              <w:tab w:pos="8342" w:val="left" w:leader="dot"/>
            </w:tabs>
            <w:rPr>
              <w:rFonts w:ascii="Times New Roman" w:eastAsia="Times New Roman"/>
            </w:rPr>
          </w:pPr>
          <w:hyperlink w:history="true" w:anchor="_bookmark81">
            <w:r>
              <w:rPr/>
              <w:t>（二）基金财产的清算</w:t>
              <w:tab/>
            </w:r>
            <w:r>
              <w:rPr>
                <w:rFonts w:ascii="Times New Roman" w:eastAsia="Times New Roman"/>
              </w:rPr>
              <w:t>138</w:t>
            </w:r>
          </w:hyperlink>
        </w:p>
        <w:p>
          <w:pPr>
            <w:pStyle w:val="TOC1"/>
            <w:tabs>
              <w:tab w:pos="8297" w:val="left" w:leader="dot"/>
            </w:tabs>
            <w:rPr>
              <w:rFonts w:ascii="宋体" w:eastAsia="宋体" w:hint="eastAsia"/>
              <w:b w:val="0"/>
            </w:rPr>
          </w:pPr>
          <w:hyperlink w:history="true" w:anchor="_bookmark82">
            <w:r>
              <w:rPr/>
              <w:t>十八、基金合同的内容摘要</w:t>
              <w:tab/>
            </w:r>
            <w:r>
              <w:rPr>
                <w:rFonts w:ascii="宋体" w:eastAsia="宋体" w:hint="eastAsia"/>
                <w:b w:val="0"/>
              </w:rPr>
              <w:t>140</w:t>
            </w:r>
          </w:hyperlink>
        </w:p>
        <w:p>
          <w:pPr>
            <w:pStyle w:val="TOC3"/>
            <w:tabs>
              <w:tab w:pos="8342" w:val="left" w:leader="dot"/>
            </w:tabs>
            <w:spacing w:before="101"/>
            <w:rPr>
              <w:rFonts w:ascii="Times New Roman" w:eastAsia="Times New Roman"/>
            </w:rPr>
          </w:pPr>
          <w:hyperlink w:history="true" w:anchor="_bookmark83">
            <w:r>
              <w:rPr/>
              <w:t>（一）基金管理人的权利和义务</w:t>
              <w:tab/>
            </w:r>
            <w:r>
              <w:rPr>
                <w:rFonts w:ascii="Times New Roman" w:eastAsia="Times New Roman"/>
              </w:rPr>
              <w:t>140</w:t>
            </w:r>
          </w:hyperlink>
        </w:p>
        <w:p>
          <w:pPr>
            <w:pStyle w:val="TOC3"/>
            <w:tabs>
              <w:tab w:pos="8342" w:val="left" w:leader="dot"/>
            </w:tabs>
            <w:rPr>
              <w:rFonts w:ascii="Times New Roman" w:eastAsia="Times New Roman"/>
            </w:rPr>
          </w:pPr>
          <w:hyperlink w:history="true" w:anchor="_bookmark84">
            <w:r>
              <w:rPr/>
              <w:t>（二）基金托管人的权利和义务</w:t>
              <w:tab/>
            </w:r>
            <w:r>
              <w:rPr>
                <w:rFonts w:ascii="Times New Roman" w:eastAsia="Times New Roman"/>
              </w:rPr>
              <w:t>143</w:t>
            </w:r>
          </w:hyperlink>
        </w:p>
        <w:p>
          <w:pPr>
            <w:pStyle w:val="TOC3"/>
            <w:tabs>
              <w:tab w:pos="8342" w:val="left" w:leader="dot"/>
            </w:tabs>
            <w:spacing w:before="177"/>
            <w:rPr>
              <w:rFonts w:ascii="Times New Roman" w:eastAsia="Times New Roman"/>
            </w:rPr>
          </w:pPr>
          <w:hyperlink w:history="true" w:anchor="_bookmark85">
            <w:r>
              <w:rPr/>
              <w:t>（三）基金份额持有人的权利和义务</w:t>
              <w:tab/>
            </w:r>
            <w:r>
              <w:rPr>
                <w:rFonts w:ascii="Times New Roman" w:eastAsia="Times New Roman"/>
              </w:rPr>
              <w:t>145</w:t>
            </w:r>
          </w:hyperlink>
        </w:p>
        <w:p>
          <w:pPr>
            <w:pStyle w:val="TOC3"/>
            <w:tabs>
              <w:tab w:pos="8342" w:val="left" w:leader="dot"/>
            </w:tabs>
            <w:spacing w:after="20"/>
            <w:rPr>
              <w:rFonts w:ascii="Times New Roman" w:eastAsia="Times New Roman"/>
            </w:rPr>
          </w:pPr>
          <w:hyperlink w:history="true" w:anchor="_bookmark86">
            <w:r>
              <w:rPr/>
              <w:t>（四）基金份额持有人大会</w:t>
              <w:tab/>
            </w:r>
            <w:r>
              <w:rPr>
                <w:rFonts w:ascii="Times New Roman" w:eastAsia="Times New Roman"/>
              </w:rPr>
              <w:t>145</w:t>
            </w:r>
          </w:hyperlink>
        </w:p>
        <w:p>
          <w:pPr>
            <w:pStyle w:val="TOC3"/>
            <w:tabs>
              <w:tab w:pos="8657" w:val="right" w:leader="dot"/>
            </w:tabs>
            <w:spacing w:before="193"/>
            <w:rPr>
              <w:rFonts w:ascii="Times New Roman" w:eastAsia="Times New Roman"/>
            </w:rPr>
          </w:pPr>
          <w:hyperlink w:history="true" w:anchor="_bookmark87">
            <w:r>
              <w:rPr/>
              <w:t>（五）基金合同的终止</w:t>
              <w:tab/>
            </w:r>
            <w:r>
              <w:rPr>
                <w:rFonts w:ascii="Times New Roman" w:eastAsia="Times New Roman"/>
              </w:rPr>
              <w:t>150</w:t>
            </w:r>
          </w:hyperlink>
        </w:p>
        <w:p>
          <w:pPr>
            <w:pStyle w:val="TOC3"/>
            <w:tabs>
              <w:tab w:pos="8657" w:val="right" w:leader="dot"/>
            </w:tabs>
            <w:rPr>
              <w:rFonts w:ascii="Times New Roman" w:eastAsia="Times New Roman"/>
            </w:rPr>
          </w:pPr>
          <w:hyperlink w:history="true" w:anchor="_bookmark88">
            <w:r>
              <w:rPr/>
              <w:t>（六）争议的处理</w:t>
              <w:tab/>
            </w:r>
            <w:r>
              <w:rPr>
                <w:rFonts w:ascii="Times New Roman" w:eastAsia="Times New Roman"/>
              </w:rPr>
              <w:t>150</w:t>
            </w:r>
          </w:hyperlink>
        </w:p>
        <w:p>
          <w:pPr>
            <w:pStyle w:val="TOC3"/>
            <w:tabs>
              <w:tab w:pos="8657" w:val="right" w:leader="dot"/>
            </w:tabs>
            <w:rPr>
              <w:rFonts w:ascii="Times New Roman" w:eastAsia="Times New Roman"/>
            </w:rPr>
          </w:pPr>
          <w:hyperlink w:history="true" w:anchor="_bookmark89">
            <w:r>
              <w:rPr/>
              <w:t>（七）基金合同存放地和投资者取得基金合同的方式</w:t>
              <w:tab/>
            </w:r>
            <w:r>
              <w:rPr>
                <w:rFonts w:ascii="Times New Roman" w:eastAsia="Times New Roman"/>
              </w:rPr>
              <w:t>151</w:t>
            </w:r>
          </w:hyperlink>
        </w:p>
        <w:p>
          <w:pPr>
            <w:pStyle w:val="TOC1"/>
            <w:tabs>
              <w:tab w:pos="8657" w:val="right" w:leader="dot"/>
            </w:tabs>
            <w:rPr>
              <w:rFonts w:ascii="宋体" w:eastAsia="宋体" w:hint="eastAsia"/>
              <w:b w:val="0"/>
            </w:rPr>
          </w:pPr>
          <w:hyperlink w:history="true" w:anchor="_bookmark90">
            <w:r>
              <w:rPr/>
              <w:t>十九、基金托管协议的内容摘要</w:t>
              <w:tab/>
            </w:r>
            <w:r>
              <w:rPr>
                <w:rFonts w:ascii="宋体" w:eastAsia="宋体" w:hint="eastAsia"/>
                <w:b w:val="0"/>
              </w:rPr>
              <w:t>152</w:t>
            </w:r>
          </w:hyperlink>
        </w:p>
        <w:p>
          <w:pPr>
            <w:pStyle w:val="TOC3"/>
            <w:tabs>
              <w:tab w:pos="8657" w:val="right" w:leader="dot"/>
            </w:tabs>
            <w:spacing w:before="101"/>
            <w:rPr>
              <w:rFonts w:ascii="Times New Roman" w:eastAsia="Times New Roman"/>
            </w:rPr>
          </w:pPr>
          <w:hyperlink w:history="true" w:anchor="_bookmark91">
            <w:r>
              <w:rPr/>
              <w:t>（一）托管协议当事人</w:t>
              <w:tab/>
            </w:r>
            <w:r>
              <w:rPr>
                <w:rFonts w:ascii="Times New Roman" w:eastAsia="Times New Roman"/>
              </w:rPr>
              <w:t>152</w:t>
            </w:r>
          </w:hyperlink>
        </w:p>
        <w:p>
          <w:pPr>
            <w:pStyle w:val="TOC3"/>
            <w:tabs>
              <w:tab w:pos="8657" w:val="right" w:leader="dot"/>
            </w:tabs>
            <w:rPr>
              <w:rFonts w:ascii="Times New Roman" w:eastAsia="Times New Roman"/>
            </w:rPr>
          </w:pPr>
          <w:hyperlink w:history="true" w:anchor="_bookmark92">
            <w:r>
              <w:rPr/>
              <w:t>（二）基金托管人与基金管理人之间的业务监督、核查</w:t>
              <w:tab/>
            </w:r>
            <w:r>
              <w:rPr>
                <w:rFonts w:ascii="Times New Roman" w:eastAsia="Times New Roman"/>
              </w:rPr>
              <w:t>152</w:t>
            </w:r>
          </w:hyperlink>
        </w:p>
        <w:p>
          <w:pPr>
            <w:pStyle w:val="TOC3"/>
            <w:tabs>
              <w:tab w:pos="8657" w:val="right" w:leader="dot"/>
            </w:tabs>
            <w:rPr>
              <w:rFonts w:ascii="Times New Roman" w:eastAsia="Times New Roman"/>
            </w:rPr>
          </w:pPr>
          <w:hyperlink w:history="true" w:anchor="_bookmark93">
            <w:r>
              <w:rPr/>
              <w:t>（三）基金财产的保管</w:t>
              <w:tab/>
            </w:r>
            <w:r>
              <w:rPr>
                <w:rFonts w:ascii="Times New Roman" w:eastAsia="Times New Roman"/>
              </w:rPr>
              <w:t>153</w:t>
            </w:r>
          </w:hyperlink>
        </w:p>
        <w:p>
          <w:pPr>
            <w:pStyle w:val="TOC3"/>
            <w:tabs>
              <w:tab w:pos="8657" w:val="right" w:leader="dot"/>
            </w:tabs>
            <w:rPr>
              <w:rFonts w:ascii="Times New Roman" w:eastAsia="Times New Roman"/>
            </w:rPr>
          </w:pPr>
          <w:hyperlink w:history="true" w:anchor="_bookmark94">
            <w:r>
              <w:rPr/>
              <w:t>（四）基金资产净值计算与复核</w:t>
              <w:tab/>
            </w:r>
            <w:r>
              <w:rPr>
                <w:rFonts w:ascii="Times New Roman" w:eastAsia="Times New Roman"/>
              </w:rPr>
              <w:t>155</w:t>
            </w:r>
          </w:hyperlink>
        </w:p>
        <w:p>
          <w:pPr>
            <w:pStyle w:val="TOC3"/>
            <w:tabs>
              <w:tab w:pos="8657" w:val="right" w:leader="dot"/>
            </w:tabs>
            <w:spacing w:before="177"/>
            <w:rPr>
              <w:rFonts w:ascii="Times New Roman" w:eastAsia="Times New Roman"/>
            </w:rPr>
          </w:pPr>
          <w:hyperlink w:history="true" w:anchor="_bookmark95">
            <w:r>
              <w:rPr/>
              <w:t>（五）基金份额持有人名册的登记与保管</w:t>
              <w:tab/>
            </w:r>
            <w:r>
              <w:rPr>
                <w:rFonts w:ascii="Times New Roman" w:eastAsia="Times New Roman"/>
              </w:rPr>
              <w:t>156</w:t>
            </w:r>
          </w:hyperlink>
        </w:p>
        <w:p>
          <w:pPr>
            <w:pStyle w:val="TOC3"/>
            <w:tabs>
              <w:tab w:pos="8657" w:val="right" w:leader="dot"/>
            </w:tabs>
            <w:rPr>
              <w:rFonts w:ascii="Times New Roman" w:eastAsia="Times New Roman"/>
            </w:rPr>
          </w:pPr>
          <w:hyperlink w:history="true" w:anchor="_bookmark96">
            <w:r>
              <w:rPr/>
              <w:t>（六）争议解决方式</w:t>
              <w:tab/>
            </w:r>
            <w:r>
              <w:rPr>
                <w:rFonts w:ascii="Times New Roman" w:eastAsia="Times New Roman"/>
              </w:rPr>
              <w:t>156</w:t>
            </w:r>
          </w:hyperlink>
        </w:p>
        <w:p>
          <w:pPr>
            <w:pStyle w:val="TOC3"/>
            <w:tabs>
              <w:tab w:pos="8657" w:val="right" w:leader="dot"/>
            </w:tabs>
            <w:rPr>
              <w:rFonts w:ascii="Times New Roman" w:eastAsia="Times New Roman"/>
            </w:rPr>
          </w:pPr>
          <w:hyperlink w:history="true" w:anchor="_bookmark97">
            <w:r>
              <w:rPr/>
              <w:t>（七）托管协议的修改与终止</w:t>
              <w:tab/>
            </w:r>
            <w:r>
              <w:rPr>
                <w:rFonts w:ascii="Times New Roman" w:eastAsia="Times New Roman"/>
              </w:rPr>
              <w:t>156</w:t>
            </w:r>
          </w:hyperlink>
        </w:p>
        <w:p>
          <w:pPr>
            <w:pStyle w:val="TOC1"/>
            <w:tabs>
              <w:tab w:pos="8657" w:val="right" w:leader="dot"/>
            </w:tabs>
            <w:spacing w:before="83"/>
            <w:rPr>
              <w:rFonts w:ascii="宋体" w:eastAsia="宋体" w:hint="eastAsia"/>
              <w:b w:val="0"/>
            </w:rPr>
          </w:pPr>
          <w:hyperlink w:history="true" w:anchor="_bookmark98">
            <w:r>
              <w:rPr/>
              <w:t>二十、对基金份额持有人的服务</w:t>
              <w:tab/>
            </w:r>
            <w:r>
              <w:rPr>
                <w:rFonts w:ascii="宋体" w:eastAsia="宋体" w:hint="eastAsia"/>
                <w:b w:val="0"/>
              </w:rPr>
              <w:t>157</w:t>
            </w:r>
          </w:hyperlink>
        </w:p>
        <w:p>
          <w:pPr>
            <w:pStyle w:val="TOC1"/>
            <w:tabs>
              <w:tab w:pos="8657" w:val="right" w:leader="dot"/>
            </w:tabs>
            <w:spacing w:before="4"/>
            <w:rPr>
              <w:rFonts w:ascii="宋体" w:eastAsia="宋体" w:hint="eastAsia"/>
              <w:b w:val="0"/>
            </w:rPr>
          </w:pPr>
          <w:hyperlink w:history="true" w:anchor="_bookmark99">
            <w:r>
              <w:rPr/>
              <w:t>二十一、其他应披露事项</w:t>
              <w:tab/>
            </w:r>
            <w:r>
              <w:rPr>
                <w:rFonts w:ascii="宋体" w:eastAsia="宋体" w:hint="eastAsia"/>
                <w:b w:val="0"/>
              </w:rPr>
              <w:t>158</w:t>
            </w:r>
          </w:hyperlink>
        </w:p>
        <w:p>
          <w:pPr>
            <w:pStyle w:val="TOC1"/>
            <w:tabs>
              <w:tab w:pos="8657" w:val="right" w:leader="dot"/>
            </w:tabs>
            <w:spacing w:before="5"/>
            <w:rPr>
              <w:rFonts w:ascii="宋体" w:eastAsia="宋体" w:hint="eastAsia"/>
              <w:b w:val="0"/>
            </w:rPr>
          </w:pPr>
          <w:hyperlink w:history="true" w:anchor="_bookmark100">
            <w:r>
              <w:rPr/>
              <w:t>二十二、招募说明书的存放及查阅方式</w:t>
              <w:tab/>
            </w:r>
            <w:r>
              <w:rPr>
                <w:rFonts w:ascii="宋体" w:eastAsia="宋体" w:hint="eastAsia"/>
                <w:b w:val="0"/>
              </w:rPr>
              <w:t>163</w:t>
            </w:r>
          </w:hyperlink>
        </w:p>
        <w:p>
          <w:pPr>
            <w:pStyle w:val="TOC2"/>
            <w:tabs>
              <w:tab w:pos="8657" w:val="right" w:leader="dot"/>
            </w:tabs>
            <w:spacing w:before="4"/>
            <w:rPr>
              <w:rFonts w:ascii="宋体" w:eastAsia="宋体" w:hint="eastAsia"/>
              <w:b w:val="0"/>
              <w:i w:val="0"/>
              <w:sz w:val="24"/>
            </w:rPr>
          </w:pPr>
          <w:hyperlink w:history="true" w:anchor="_bookmark101">
            <w:r>
              <w:rPr>
                <w:i w:val="0"/>
                <w:sz w:val="24"/>
              </w:rPr>
              <w:t>二十三、备查文件</w:t>
              <w:tab/>
            </w:r>
            <w:r>
              <w:rPr>
                <w:rFonts w:ascii="宋体" w:eastAsia="宋体" w:hint="eastAsia"/>
                <w:b w:val="0"/>
                <w:i w:val="0"/>
                <w:sz w:val="24"/>
              </w:rPr>
              <w:t>164</w:t>
            </w:r>
          </w:hyperlink>
        </w:p>
      </w:sdtContent>
    </w:sdt>
    <w:p>
      <w:pPr>
        <w:spacing w:after="0"/>
        <w:rPr>
          <w:rFonts w:ascii="宋体" w:eastAsia="宋体" w:hint="eastAsia"/>
          <w:sz w:val="24"/>
        </w:rPr>
        <w:sectPr>
          <w:type w:val="continuous"/>
          <w:pgSz w:w="11910" w:h="16840"/>
          <w:pgMar w:top="1600" w:bottom="1794" w:left="1520" w:right="360"/>
        </w:sectPr>
      </w:pPr>
    </w:p>
    <w:p>
      <w:pPr>
        <w:pStyle w:val="Heading1"/>
        <w:ind w:right="920"/>
        <w:jc w:val="center"/>
      </w:pPr>
      <w:bookmarkStart w:name="_bookmark0" w:id="1"/>
      <w:bookmarkEnd w:id="1"/>
      <w:r>
        <w:rPr>
          <w:b w:val="0"/>
        </w:rPr>
      </w:r>
      <w:r>
        <w:rPr/>
        <w:t>一、绪言</w:t>
      </w:r>
    </w:p>
    <w:p>
      <w:pPr>
        <w:pStyle w:val="BodyText"/>
        <w:spacing w:line="364" w:lineRule="auto" w:before="117"/>
        <w:ind w:left="293" w:right="831" w:firstLine="420"/>
        <w:jc w:val="both"/>
      </w:pPr>
      <w:r>
        <w:rPr>
          <w:spacing w:val="-1"/>
        </w:rPr>
        <w:t>本招募说明书依据《中华人民共和国证券投资基金法》</w:t>
      </w:r>
      <w:r>
        <w:rPr>
          <w:spacing w:val="4"/>
        </w:rPr>
        <w:t>（</w:t>
      </w:r>
      <w:r>
        <w:rPr>
          <w:spacing w:val="-8"/>
        </w:rPr>
        <w:t>以下简称《基金法》</w:t>
      </w:r>
      <w:r>
        <w:rPr>
          <w:spacing w:val="-101"/>
        </w:rPr>
        <w:t>）</w:t>
      </w:r>
      <w:r>
        <w:rPr>
          <w:spacing w:val="-15"/>
        </w:rPr>
        <w:t>、《证券投资</w:t>
      </w:r>
      <w:r>
        <w:rPr>
          <w:spacing w:val="-25"/>
        </w:rPr>
        <w:t>基金运作管理办法》</w:t>
      </w:r>
      <w:r>
        <w:rPr/>
        <w:t>（</w:t>
      </w:r>
      <w:r>
        <w:rPr>
          <w:spacing w:val="-11"/>
        </w:rPr>
        <w:t>以下简称《运作办法》</w:t>
      </w:r>
      <w:r>
        <w:rPr>
          <w:spacing w:val="-104"/>
        </w:rPr>
        <w:t>）</w:t>
      </w:r>
      <w:r>
        <w:rPr>
          <w:spacing w:val="-18"/>
        </w:rPr>
        <w:t>、《证券投资基金销售管理办法》</w:t>
      </w:r>
      <w:r>
        <w:rPr/>
        <w:t>（以下简称《销售</w:t>
      </w:r>
      <w:r>
        <w:rPr>
          <w:spacing w:val="-35"/>
        </w:rPr>
        <w:t>办法》</w:t>
      </w:r>
      <w:r>
        <w:rPr>
          <w:spacing w:val="-104"/>
        </w:rPr>
        <w:t>）</w:t>
      </w:r>
      <w:r>
        <w:rPr>
          <w:spacing w:val="-16"/>
        </w:rPr>
        <w:t>、《公开募集证券投资基金信息披露管理办法》</w:t>
      </w:r>
      <w:r>
        <w:rPr/>
        <w:t>（</w:t>
      </w:r>
      <w:r>
        <w:rPr>
          <w:spacing w:val="-9"/>
        </w:rPr>
        <w:t>以下简称《信息披露办法》</w:t>
      </w:r>
      <w:r>
        <w:rPr>
          <w:spacing w:val="-104"/>
        </w:rPr>
        <w:t>）</w:t>
      </w:r>
      <w:r>
        <w:rPr>
          <w:spacing w:val="-19"/>
        </w:rPr>
        <w:t>、《证券投资基金信息披露内容与格式准则第5</w:t>
      </w:r>
      <w:r>
        <w:rPr>
          <w:spacing w:val="-23"/>
        </w:rPr>
        <w:t>号&lt;招募说明书的内容与格式&gt;》、《公开募集开放式证券投资基</w:t>
      </w:r>
      <w:r>
        <w:rPr>
          <w:spacing w:val="-6"/>
        </w:rPr>
        <w:t>金流动性风险管理规定》</w:t>
      </w:r>
      <w:r>
        <w:rPr>
          <w:spacing w:val="4"/>
        </w:rPr>
        <w:t>（</w:t>
      </w:r>
      <w:r>
        <w:rPr>
          <w:spacing w:val="-6"/>
        </w:rPr>
        <w:t>以下简称“《管理规定》</w:t>
      </w:r>
      <w:r>
        <w:rPr>
          <w:spacing w:val="-101"/>
        </w:rPr>
        <w:t>”）</w:t>
      </w:r>
      <w:r>
        <w:rPr>
          <w:spacing w:val="-18"/>
        </w:rPr>
        <w:t>、《易方达</w:t>
      </w:r>
      <w:r>
        <w:rPr/>
        <w:t>50</w:t>
      </w:r>
      <w:r>
        <w:rPr>
          <w:spacing w:val="3"/>
        </w:rPr>
        <w:t>指数证券投资基金基金合同》</w:t>
      </w:r>
    </w:p>
    <w:p>
      <w:pPr>
        <w:pStyle w:val="BodyText"/>
        <w:spacing w:line="267" w:lineRule="exact"/>
        <w:ind w:left="293"/>
      </w:pPr>
      <w:r>
        <w:rPr/>
        <w:t>（以下简称基金合同）及其它有关规定等编写。</w:t>
      </w:r>
    </w:p>
    <w:p>
      <w:pPr>
        <w:pStyle w:val="BodyText"/>
        <w:spacing w:line="364" w:lineRule="auto" w:before="139"/>
        <w:ind w:left="293" w:right="936" w:firstLine="420"/>
        <w:jc w:val="both"/>
      </w:pPr>
      <w:r>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BodyText"/>
        <w:spacing w:line="364" w:lineRule="auto"/>
        <w:ind w:left="293" w:right="936" w:firstLine="420"/>
        <w:jc w:val="both"/>
      </w:pPr>
      <w:r>
        <w:rPr>
          <w:spacing w:val="3"/>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 </w:t>
      </w:r>
      <w:r>
        <w:rPr>
          <w:spacing w:val="-9"/>
        </w:rPr>
        <w:t>并按照《基金法》、基金合同及其他有关规定享有权利、承担义务。基金投资人欲了解基金份额持有人的权利和义务，应详细查阅基金合同。</w:t>
      </w:r>
    </w:p>
    <w:p>
      <w:pPr>
        <w:spacing w:after="0" w:line="364" w:lineRule="auto"/>
        <w:jc w:val="both"/>
        <w:sectPr>
          <w:footerReference w:type="default" r:id="rId6"/>
          <w:pgSz w:w="11910" w:h="16840"/>
          <w:pgMar w:footer="1172" w:header="0" w:top="1580" w:bottom="1360" w:left="1520" w:right="360"/>
          <w:pgNumType w:start="1"/>
        </w:sectPr>
      </w:pPr>
    </w:p>
    <w:p>
      <w:pPr>
        <w:pStyle w:val="Heading1"/>
        <w:ind w:right="920"/>
        <w:jc w:val="center"/>
      </w:pPr>
      <w:bookmarkStart w:name="_bookmark1" w:id="2"/>
      <w:bookmarkEnd w:id="2"/>
      <w:r>
        <w:rPr>
          <w:b w:val="0"/>
        </w:rPr>
      </w:r>
      <w:r>
        <w:rPr/>
        <w:t>二、释义</w:t>
      </w:r>
    </w:p>
    <w:p>
      <w:pPr>
        <w:pStyle w:val="BodyText"/>
        <w:spacing w:before="117"/>
      </w:pPr>
      <w:r>
        <w:rPr/>
        <w:t>本招募说明书中除非文意另有所指，下列词语有如下含义：</w:t>
      </w:r>
    </w:p>
    <w:p>
      <w:pPr>
        <w:pStyle w:val="BodyText"/>
        <w:tabs>
          <w:tab w:pos="3095" w:val="left" w:leader="none"/>
        </w:tabs>
        <w:spacing w:before="139"/>
        <w:ind w:left="543"/>
      </w:pPr>
      <w:r>
        <w:rPr/>
        <w:t>《基金合同》：</w:t>
        <w:tab/>
      </w:r>
      <w:r>
        <w:rPr>
          <w:spacing w:val="6"/>
        </w:rPr>
        <w:t>指《易方</w:t>
      </w:r>
      <w:r>
        <w:rPr/>
        <w:t>达</w:t>
      </w:r>
      <w:r>
        <w:rPr>
          <w:spacing w:val="-47"/>
        </w:rPr>
        <w:t> </w:t>
      </w:r>
      <w:r>
        <w:rPr/>
        <w:t>50</w:t>
      </w:r>
      <w:r>
        <w:rPr>
          <w:spacing w:val="-53"/>
        </w:rPr>
        <w:t> </w:t>
      </w:r>
      <w:r>
        <w:rPr>
          <w:spacing w:val="6"/>
        </w:rPr>
        <w:t>指数证券投资基金基金合同》及对该合同</w:t>
      </w:r>
      <w:r>
        <w:rPr/>
        <w:t>的</w:t>
      </w:r>
    </w:p>
    <w:p>
      <w:pPr>
        <w:pStyle w:val="BodyText"/>
        <w:spacing w:before="139"/>
        <w:ind w:left="3095"/>
      </w:pPr>
      <w:r>
        <w:rPr/>
        <w:t>任何修订和补充</w:t>
      </w:r>
    </w:p>
    <w:p>
      <w:pPr>
        <w:pStyle w:val="BodyText"/>
        <w:tabs>
          <w:tab w:pos="3095" w:val="left" w:leader="none"/>
        </w:tabs>
        <w:spacing w:before="140"/>
        <w:ind w:left="543"/>
      </w:pPr>
      <w:r>
        <w:rPr/>
        <w:t>《托管协议》：</w:t>
        <w:tab/>
      </w:r>
      <w:r>
        <w:rPr>
          <w:spacing w:val="6"/>
        </w:rPr>
        <w:t>指《易方</w:t>
      </w:r>
      <w:r>
        <w:rPr/>
        <w:t>达</w:t>
      </w:r>
      <w:r>
        <w:rPr>
          <w:spacing w:val="-47"/>
        </w:rPr>
        <w:t> </w:t>
      </w:r>
      <w:r>
        <w:rPr/>
        <w:t>50</w:t>
      </w:r>
      <w:r>
        <w:rPr>
          <w:spacing w:val="-53"/>
        </w:rPr>
        <w:t> </w:t>
      </w:r>
      <w:r>
        <w:rPr>
          <w:spacing w:val="6"/>
        </w:rPr>
        <w:t>指数证券投资基金托管协议》及对该协议</w:t>
      </w:r>
      <w:r>
        <w:rPr/>
        <w:t>的</w:t>
      </w:r>
    </w:p>
    <w:p>
      <w:pPr>
        <w:pStyle w:val="BodyText"/>
        <w:spacing w:before="139"/>
        <w:ind w:left="3095"/>
      </w:pPr>
      <w:r>
        <w:rPr/>
        <w:t>任何修订和补充</w:t>
      </w:r>
    </w:p>
    <w:p>
      <w:pPr>
        <w:pStyle w:val="BodyText"/>
        <w:tabs>
          <w:tab w:pos="3095" w:val="left" w:leader="none"/>
        </w:tabs>
        <w:spacing w:before="140"/>
        <w:ind w:left="543"/>
      </w:pPr>
      <w:r>
        <w:rPr/>
        <w:t>《销售代理协议》：</w:t>
        <w:tab/>
      </w:r>
      <w:r>
        <w:rPr>
          <w:spacing w:val="6"/>
        </w:rPr>
        <w:t>指《易方</w:t>
      </w:r>
      <w:r>
        <w:rPr/>
        <w:t>达</w:t>
      </w:r>
      <w:r>
        <w:rPr>
          <w:spacing w:val="-47"/>
        </w:rPr>
        <w:t> </w:t>
      </w:r>
      <w:r>
        <w:rPr/>
        <w:t>50</w:t>
      </w:r>
      <w:r>
        <w:rPr>
          <w:spacing w:val="-53"/>
        </w:rPr>
        <w:t> </w:t>
      </w:r>
      <w:r>
        <w:rPr>
          <w:spacing w:val="6"/>
        </w:rPr>
        <w:t>指数证券投资基金销售代理协议》及对该</w:t>
      </w:r>
      <w:r>
        <w:rPr/>
        <w:t>协</w:t>
      </w:r>
    </w:p>
    <w:p>
      <w:pPr>
        <w:pStyle w:val="BodyText"/>
        <w:spacing w:before="139"/>
        <w:ind w:left="3095"/>
      </w:pPr>
      <w:r>
        <w:rPr/>
        <w:t>议的任何修订和补充</w:t>
      </w:r>
    </w:p>
    <w:p>
      <w:pPr>
        <w:pStyle w:val="BodyText"/>
        <w:tabs>
          <w:tab w:pos="3095" w:val="left" w:leader="none"/>
        </w:tabs>
        <w:spacing w:before="140"/>
        <w:ind w:left="543"/>
      </w:pPr>
      <w:r>
        <w:rPr/>
        <w:t>《信托法》：</w:t>
        <w:tab/>
        <w:t>指《中华人民共和国信托法》</w:t>
      </w:r>
    </w:p>
    <w:p>
      <w:pPr>
        <w:pStyle w:val="BodyText"/>
        <w:ind w:left="0"/>
        <w:rPr>
          <w:sz w:val="20"/>
        </w:rPr>
      </w:pPr>
    </w:p>
    <w:p>
      <w:pPr>
        <w:pStyle w:val="BodyText"/>
        <w:spacing w:before="9"/>
        <w:ind w:left="0"/>
        <w:rPr>
          <w:sz w:val="22"/>
        </w:rPr>
      </w:pPr>
    </w:p>
    <w:p>
      <w:pPr>
        <w:pStyle w:val="BodyText"/>
        <w:tabs>
          <w:tab w:pos="3095" w:val="left" w:leader="none"/>
        </w:tabs>
        <w:ind w:left="543"/>
      </w:pPr>
      <w:r>
        <w:rPr/>
        <w:t>《证券法》：</w:t>
        <w:tab/>
        <w:t>指《中华人民共和国证券法》</w:t>
      </w:r>
    </w:p>
    <w:p>
      <w:pPr>
        <w:pStyle w:val="BodyText"/>
        <w:tabs>
          <w:tab w:pos="3095" w:val="left" w:leader="none"/>
        </w:tabs>
        <w:spacing w:before="140"/>
        <w:ind w:left="543"/>
      </w:pPr>
      <w:r>
        <w:rPr/>
        <w:t>《基金法》：</w:t>
        <w:tab/>
        <w:t>指《中华人民共和国证券投资基金法》</w:t>
      </w:r>
    </w:p>
    <w:p>
      <w:pPr>
        <w:pStyle w:val="BodyText"/>
        <w:tabs>
          <w:tab w:pos="3095" w:val="left" w:leader="none"/>
        </w:tabs>
        <w:spacing w:before="139"/>
        <w:ind w:left="543"/>
      </w:pPr>
      <w:r>
        <w:rPr/>
        <w:t>《运作办法》：</w:t>
        <w:tab/>
        <w:t>指《证券投资基金运作管理办法》</w:t>
      </w:r>
    </w:p>
    <w:p>
      <w:pPr>
        <w:pStyle w:val="BodyText"/>
        <w:tabs>
          <w:tab w:pos="3095" w:val="left" w:leader="none"/>
        </w:tabs>
        <w:spacing w:before="140"/>
        <w:ind w:left="543"/>
      </w:pPr>
      <w:r>
        <w:rPr/>
        <w:t>《销售办法》：</w:t>
        <w:tab/>
        <w:t>指《证券投资基金销售管理办法》</w:t>
      </w:r>
    </w:p>
    <w:p>
      <w:pPr>
        <w:spacing w:after="0"/>
        <w:sectPr>
          <w:pgSz w:w="11910" w:h="16840"/>
          <w:pgMar w:header="0" w:footer="1172" w:top="1580" w:bottom="1440" w:left="1520" w:right="360"/>
        </w:sectPr>
      </w:pPr>
    </w:p>
    <w:p>
      <w:pPr>
        <w:pStyle w:val="BodyText"/>
        <w:spacing w:before="139"/>
        <w:ind w:left="543"/>
      </w:pPr>
      <w:r>
        <w:rPr/>
        <w:t>《信息披露办法》：</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543"/>
      </w:pPr>
      <w:r>
        <w:rPr/>
        <w:t>《管理规定》：</w:t>
      </w:r>
    </w:p>
    <w:p>
      <w:pPr>
        <w:pStyle w:val="BodyText"/>
        <w:spacing w:before="139"/>
        <w:ind w:left="543"/>
      </w:pPr>
      <w:r>
        <w:rPr/>
        <w:br w:type="column"/>
      </w:r>
      <w:r>
        <w:rPr/>
        <w:t>指中国证监会 2019 年 7 月 26 日颁布、同年 9 月 1 日实施的</w:t>
      </w:r>
    </w:p>
    <w:p>
      <w:pPr>
        <w:pStyle w:val="BodyText"/>
        <w:spacing w:line="364" w:lineRule="auto" w:before="140"/>
        <w:ind w:left="543" w:right="1423"/>
      </w:pPr>
      <w:r>
        <w:rPr/>
        <w:t>《公开募集证券投资基金信息披露管理办法》及颁布机关对其不时做出的修订</w:t>
      </w:r>
    </w:p>
    <w:p>
      <w:pPr>
        <w:pStyle w:val="BodyText"/>
        <w:spacing w:line="364" w:lineRule="auto"/>
        <w:ind w:left="543" w:right="1423"/>
        <w:jc w:val="both"/>
      </w:pPr>
      <w:r>
        <w:rPr>
          <w:spacing w:val="-2"/>
        </w:rPr>
        <w:t>指中国证监会 </w:t>
      </w:r>
      <w:r>
        <w:rPr/>
        <w:t>2017</w:t>
      </w:r>
      <w:r>
        <w:rPr>
          <w:spacing w:val="-33"/>
        </w:rPr>
        <w:t> 年 </w:t>
      </w:r>
      <w:r>
        <w:rPr/>
        <w:t>8</w:t>
      </w:r>
      <w:r>
        <w:rPr>
          <w:spacing w:val="-33"/>
        </w:rPr>
        <w:t> 月 </w:t>
      </w:r>
      <w:r>
        <w:rPr/>
        <w:t>31</w:t>
      </w:r>
      <w:r>
        <w:rPr>
          <w:spacing w:val="-9"/>
        </w:rPr>
        <w:t> 日颁布、同年 </w:t>
      </w:r>
      <w:r>
        <w:rPr/>
        <w:t>10</w:t>
      </w:r>
      <w:r>
        <w:rPr>
          <w:spacing w:val="-33"/>
        </w:rPr>
        <w:t> 月 </w:t>
      </w:r>
      <w:r>
        <w:rPr/>
        <w:t>1</w:t>
      </w:r>
      <w:r>
        <w:rPr>
          <w:spacing w:val="-10"/>
        </w:rPr>
        <w:t> 日实施的《公开募集开放式证券投资基金流动性风险管理规定》及颁布机关对其不时做出的修订</w:t>
      </w:r>
    </w:p>
    <w:p>
      <w:pPr>
        <w:spacing w:after="0" w:line="364" w:lineRule="auto"/>
        <w:jc w:val="both"/>
        <w:sectPr>
          <w:type w:val="continuous"/>
          <w:pgSz w:w="11910" w:h="16840"/>
          <w:pgMar w:top="1580" w:bottom="280" w:left="1520" w:right="360"/>
          <w:cols w:num="2" w:equalWidth="0">
            <w:col w:w="2475" w:space="77"/>
            <w:col w:w="7478"/>
          </w:cols>
        </w:sectPr>
      </w:pPr>
    </w:p>
    <w:p>
      <w:pPr>
        <w:pStyle w:val="BodyText"/>
        <w:tabs>
          <w:tab w:pos="3095" w:val="left" w:leader="none"/>
        </w:tabs>
        <w:spacing w:line="267" w:lineRule="exact"/>
        <w:ind w:left="543"/>
      </w:pPr>
      <w:r>
        <w:rPr/>
        <w:t>元：</w:t>
        <w:tab/>
        <w:t>指人民币元</w:t>
      </w:r>
    </w:p>
    <w:p>
      <w:pPr>
        <w:pStyle w:val="BodyText"/>
        <w:tabs>
          <w:tab w:pos="3095" w:val="left" w:leader="none"/>
        </w:tabs>
        <w:spacing w:line="364" w:lineRule="auto" w:before="139"/>
        <w:ind w:left="543" w:right="1574"/>
      </w:pPr>
      <w:r>
        <w:rPr/>
        <w:t>基金或本基金：</w:t>
        <w:tab/>
        <w:t>指依据《基金合同》所募集的易方达</w:t>
      </w:r>
      <w:r>
        <w:rPr>
          <w:spacing w:val="-53"/>
        </w:rPr>
        <w:t> </w:t>
      </w:r>
      <w:r>
        <w:rPr/>
        <w:t>50</w:t>
      </w:r>
      <w:r>
        <w:rPr>
          <w:spacing w:val="-53"/>
        </w:rPr>
        <w:t> </w:t>
      </w:r>
      <w:r>
        <w:rPr/>
        <w:t>指数证券投资基</w:t>
      </w:r>
      <w:r>
        <w:rPr>
          <w:spacing w:val="-17"/>
        </w:rPr>
        <w:t>金</w:t>
      </w:r>
      <w:r>
        <w:rPr/>
        <w:t>中国证监会：</w:t>
        <w:tab/>
        <w:t>指中国证券监督管理委员会</w:t>
      </w:r>
    </w:p>
    <w:p>
      <w:pPr>
        <w:pStyle w:val="BodyText"/>
        <w:tabs>
          <w:tab w:pos="3095" w:val="left" w:leader="none"/>
        </w:tabs>
        <w:spacing w:line="268" w:lineRule="exact"/>
        <w:ind w:left="543"/>
      </w:pPr>
      <w:r>
        <w:rPr/>
        <w:t>基金管理人：</w:t>
        <w:tab/>
        <w:t>指易方达基金管理有限公司</w:t>
      </w:r>
    </w:p>
    <w:p>
      <w:pPr>
        <w:pStyle w:val="BodyText"/>
        <w:tabs>
          <w:tab w:pos="3095" w:val="left" w:leader="none"/>
        </w:tabs>
        <w:spacing w:before="140"/>
        <w:ind w:left="543"/>
      </w:pPr>
      <w:r>
        <w:rPr/>
        <w:t>基金发起人：</w:t>
        <w:tab/>
        <w:t>指易方达基金管理有限公司</w:t>
      </w:r>
    </w:p>
    <w:p>
      <w:pPr>
        <w:pStyle w:val="BodyText"/>
        <w:tabs>
          <w:tab w:pos="3095" w:val="left" w:leader="none"/>
        </w:tabs>
        <w:spacing w:before="139"/>
        <w:ind w:left="543"/>
      </w:pPr>
      <w:r>
        <w:rPr/>
        <w:t>基金托管人：</w:t>
        <w:tab/>
        <w:t>指交通银行</w:t>
      </w:r>
    </w:p>
    <w:p>
      <w:pPr>
        <w:pStyle w:val="BodyText"/>
        <w:tabs>
          <w:tab w:pos="3095" w:val="left" w:leader="none"/>
        </w:tabs>
        <w:spacing w:before="139"/>
        <w:ind w:left="543"/>
      </w:pPr>
      <w:r>
        <w:rPr/>
        <w:t>基金非直销销售机构：</w:t>
        <w:tab/>
        <w:t>指符合《销售办法》和中国证监会规定的其他条件，取得基</w:t>
      </w:r>
    </w:p>
    <w:p>
      <w:pPr>
        <w:pStyle w:val="BodyText"/>
        <w:spacing w:line="364" w:lineRule="auto" w:before="140"/>
        <w:ind w:left="3095" w:right="1423"/>
      </w:pPr>
      <w:r>
        <w:rPr/>
        <w:t>金销售业务资格并与基金管理人签订了基金销售服务协议， 办理基金销售业务的机构</w:t>
      </w:r>
    </w:p>
    <w:p>
      <w:pPr>
        <w:pStyle w:val="BodyText"/>
        <w:tabs>
          <w:tab w:pos="3095" w:val="left" w:leader="none"/>
        </w:tabs>
        <w:spacing w:line="268" w:lineRule="exact"/>
        <w:ind w:left="543"/>
      </w:pPr>
      <w:r>
        <w:rPr/>
        <w:t>基金注册登记机构：</w:t>
        <w:tab/>
        <w:t>指基金管理人或接受基金管理人委托代为办理本基金注册与</w:t>
      </w:r>
    </w:p>
    <w:p>
      <w:pPr>
        <w:pStyle w:val="BodyText"/>
        <w:spacing w:before="139"/>
        <w:ind w:left="3095"/>
      </w:pPr>
      <w:r>
        <w:rPr/>
        <w:t>过户登记业务的机构</w:t>
      </w:r>
    </w:p>
    <w:p>
      <w:pPr>
        <w:pStyle w:val="BodyText"/>
        <w:tabs>
          <w:tab w:pos="3095" w:val="left" w:leader="none"/>
        </w:tabs>
        <w:spacing w:before="140"/>
        <w:ind w:left="543"/>
      </w:pPr>
      <w:r>
        <w:rPr/>
        <w:t>个人投资者：</w:t>
        <w:tab/>
        <w:t>指依据中华人民共和国有关法律法规及其他有关规定可以投</w:t>
      </w:r>
    </w:p>
    <w:p>
      <w:pPr>
        <w:spacing w:after="0"/>
        <w:sectPr>
          <w:type w:val="continuous"/>
          <w:pgSz w:w="11910" w:h="16840"/>
          <w:pgMar w:top="1580" w:bottom="280" w:left="1520" w:right="360"/>
        </w:sectPr>
      </w:pPr>
    </w:p>
    <w:p>
      <w:pPr>
        <w:pStyle w:val="BodyText"/>
        <w:spacing w:before="106"/>
        <w:ind w:left="3095"/>
      </w:pPr>
      <w:r>
        <w:rPr/>
        <w:t>资于证券投资基金的自然人投资者</w:t>
      </w:r>
    </w:p>
    <w:p>
      <w:pPr>
        <w:pStyle w:val="BodyText"/>
        <w:tabs>
          <w:tab w:pos="3095" w:val="left" w:leader="none"/>
        </w:tabs>
        <w:spacing w:before="139"/>
        <w:ind w:left="543"/>
        <w:jc w:val="both"/>
      </w:pPr>
      <w:r>
        <w:rPr/>
        <w:t>机构投资者：</w:t>
        <w:tab/>
        <w:t>指依据中华人民共和国有关法律法规及其他有关规定可以投</w:t>
      </w:r>
    </w:p>
    <w:p>
      <w:pPr>
        <w:pStyle w:val="BodyText"/>
        <w:spacing w:before="140"/>
        <w:ind w:left="3095"/>
      </w:pPr>
      <w:r>
        <w:rPr/>
        <w:t>资于证券投资基金的法人、社会团体、其它组织或投资主体</w:t>
      </w:r>
    </w:p>
    <w:p>
      <w:pPr>
        <w:pStyle w:val="BodyText"/>
        <w:tabs>
          <w:tab w:pos="3095" w:val="left" w:leader="none"/>
        </w:tabs>
        <w:spacing w:line="364" w:lineRule="auto" w:before="139"/>
        <w:ind w:left="3095" w:right="1423" w:hanging="2552"/>
      </w:pPr>
      <w:r>
        <w:rPr/>
        <w:t>募集期：</w:t>
        <w:tab/>
        <w:t>指自《招募说明书》公告的份额发售开始之日起到基金合同生效日止的时间段，最长不超过</w:t>
      </w:r>
      <w:r>
        <w:rPr>
          <w:spacing w:val="-53"/>
        </w:rPr>
        <w:t> </w:t>
      </w:r>
      <w:r>
        <w:rPr/>
        <w:t>3</w:t>
      </w:r>
      <w:r>
        <w:rPr>
          <w:spacing w:val="-53"/>
        </w:rPr>
        <w:t> </w:t>
      </w:r>
      <w:r>
        <w:rPr/>
        <w:t>个月</w:t>
      </w:r>
    </w:p>
    <w:p>
      <w:pPr>
        <w:pStyle w:val="BodyText"/>
        <w:tabs>
          <w:tab w:pos="3095" w:val="left" w:leader="none"/>
        </w:tabs>
        <w:spacing w:line="268" w:lineRule="exact"/>
        <w:ind w:left="543"/>
      </w:pPr>
      <w:r>
        <w:rPr/>
        <w:t>基金合同生效日：</w:t>
        <w:tab/>
        <w:t>指基金合同达到生效条件后，基金管理人宣布基金合同生效</w:t>
      </w:r>
    </w:p>
    <w:p>
      <w:pPr>
        <w:pStyle w:val="BodyText"/>
        <w:spacing w:before="140"/>
        <w:ind w:left="3095"/>
      </w:pPr>
      <w:r>
        <w:rPr/>
        <w:t>的日期</w:t>
      </w:r>
    </w:p>
    <w:p>
      <w:pPr>
        <w:pStyle w:val="BodyText"/>
        <w:tabs>
          <w:tab w:pos="3095" w:val="left" w:leader="none"/>
        </w:tabs>
        <w:spacing w:before="139"/>
        <w:ind w:left="543"/>
        <w:jc w:val="both"/>
      </w:pPr>
      <w:r>
        <w:rPr/>
        <w:t>存续期限：</w:t>
        <w:tab/>
        <w:t>指基金合同生效并存续的不定期之期限</w:t>
      </w:r>
    </w:p>
    <w:p>
      <w:pPr>
        <w:pStyle w:val="BodyText"/>
        <w:tabs>
          <w:tab w:pos="3095" w:val="left" w:leader="none"/>
        </w:tabs>
        <w:spacing w:before="140"/>
        <w:ind w:left="543"/>
        <w:jc w:val="both"/>
      </w:pPr>
      <w:r>
        <w:rPr/>
        <w:t>工作日：</w:t>
        <w:tab/>
        <w:t>指上海证券交易所和深圳证券交易所的正常交易日</w:t>
      </w:r>
    </w:p>
    <w:p>
      <w:pPr>
        <w:pStyle w:val="BodyText"/>
        <w:tabs>
          <w:tab w:pos="3095" w:val="left" w:leader="none"/>
        </w:tabs>
        <w:spacing w:before="139"/>
        <w:ind w:left="543"/>
        <w:jc w:val="both"/>
      </w:pPr>
      <w:r>
        <w:rPr/>
        <w:t>开放日：</w:t>
        <w:tab/>
        <w:t>指为投资者办理基金申购、赎回等业务的工作日</w:t>
      </w:r>
    </w:p>
    <w:p>
      <w:pPr>
        <w:pStyle w:val="BodyText"/>
        <w:tabs>
          <w:tab w:pos="3095" w:val="left" w:leader="none"/>
        </w:tabs>
        <w:spacing w:before="139"/>
        <w:ind w:left="543"/>
        <w:jc w:val="both"/>
      </w:pPr>
      <w:r>
        <w:rPr/>
        <w:t>T</w:t>
      </w:r>
      <w:r>
        <w:rPr>
          <w:spacing w:val="-53"/>
        </w:rPr>
        <w:t> </w:t>
      </w:r>
      <w:r>
        <w:rPr/>
        <w:t>日：</w:t>
        <w:tab/>
        <w:t>指申购、赎回或其他交易的申请日</w:t>
      </w:r>
    </w:p>
    <w:p>
      <w:pPr>
        <w:pStyle w:val="BodyText"/>
        <w:tabs>
          <w:tab w:pos="3095" w:val="left" w:leader="none"/>
        </w:tabs>
        <w:spacing w:before="140"/>
        <w:ind w:left="543"/>
        <w:jc w:val="both"/>
      </w:pPr>
      <w:r>
        <w:rPr/>
        <w:t>认购：</w:t>
        <w:tab/>
        <w:t>指在募集期内购买基金份额的行为</w:t>
      </w:r>
    </w:p>
    <w:p>
      <w:pPr>
        <w:pStyle w:val="BodyText"/>
        <w:tabs>
          <w:tab w:pos="3095" w:val="left" w:leader="none"/>
        </w:tabs>
        <w:spacing w:before="139"/>
        <w:ind w:left="543"/>
        <w:jc w:val="both"/>
      </w:pPr>
      <w:r>
        <w:rPr/>
        <w:t>申购：</w:t>
        <w:tab/>
        <w:t>指在基金合同生效后，基金投资者购买基金份额的行为</w:t>
      </w:r>
    </w:p>
    <w:p>
      <w:pPr>
        <w:pStyle w:val="BodyText"/>
        <w:tabs>
          <w:tab w:pos="3095" w:val="left" w:leader="none"/>
        </w:tabs>
        <w:spacing w:before="140"/>
        <w:ind w:left="543"/>
        <w:jc w:val="both"/>
      </w:pPr>
      <w:r>
        <w:rPr/>
        <w:t>赎回：</w:t>
        <w:tab/>
        <w:t>指在基金合同生效后，基金投资者卖出基金份额的行为</w:t>
      </w:r>
    </w:p>
    <w:p>
      <w:pPr>
        <w:pStyle w:val="BodyText"/>
        <w:tabs>
          <w:tab w:pos="3095" w:val="left" w:leader="none"/>
        </w:tabs>
        <w:spacing w:line="364" w:lineRule="auto" w:before="139"/>
        <w:ind w:left="3095" w:right="1469" w:hanging="2552"/>
        <w:jc w:val="both"/>
      </w:pPr>
      <w:r>
        <w:rPr/>
        <w:t>转换：</w:t>
        <w:tab/>
        <w:t>基金转换是指基金份额持有人按基金管理人规定的条件将</w:t>
      </w:r>
      <w:r>
        <w:rPr>
          <w:spacing w:val="-18"/>
        </w:rPr>
        <w:t>其</w:t>
      </w:r>
      <w:r>
        <w:rPr/>
        <w:t>持有的某一基金的基金份额转为同一基金管理人管理的另</w:t>
      </w:r>
      <w:r>
        <w:rPr>
          <w:spacing w:val="-18"/>
        </w:rPr>
        <w:t>一</w:t>
      </w:r>
      <w:r>
        <w:rPr/>
        <w:t>只基金的基金份额的行为</w:t>
      </w:r>
    </w:p>
    <w:p>
      <w:pPr>
        <w:pStyle w:val="BodyText"/>
        <w:tabs>
          <w:tab w:pos="3095" w:val="left" w:leader="none"/>
        </w:tabs>
        <w:spacing w:line="268" w:lineRule="exact"/>
        <w:ind w:left="543"/>
        <w:jc w:val="both"/>
      </w:pPr>
      <w:r>
        <w:rPr/>
        <w:t>基金收益：</w:t>
        <w:tab/>
        <w:t>指基金投资所得红利、股息、债券利息、买卖证券差价、银</w:t>
      </w:r>
    </w:p>
    <w:p>
      <w:pPr>
        <w:pStyle w:val="BodyText"/>
        <w:spacing w:before="140"/>
        <w:ind w:left="3095"/>
      </w:pPr>
      <w:r>
        <w:rPr/>
        <w:t>行存款利息以及其他收益</w:t>
      </w:r>
    </w:p>
    <w:p>
      <w:pPr>
        <w:pStyle w:val="BodyText"/>
        <w:tabs>
          <w:tab w:pos="3095" w:val="left" w:leader="none"/>
        </w:tabs>
        <w:spacing w:before="139"/>
        <w:ind w:left="543"/>
      </w:pPr>
      <w:r>
        <w:rPr/>
        <w:t>基金资产总值：</w:t>
        <w:tab/>
        <w:t>指基金所购买的各类证券价值、银行存款本息和基金应收的</w:t>
      </w:r>
    </w:p>
    <w:p>
      <w:pPr>
        <w:pStyle w:val="BodyText"/>
        <w:tabs>
          <w:tab w:pos="3095" w:val="left" w:leader="none"/>
        </w:tabs>
        <w:spacing w:line="364" w:lineRule="auto" w:before="140"/>
        <w:ind w:left="543" w:right="3149" w:firstLine="2552"/>
      </w:pPr>
      <w:r>
        <w:rPr/>
        <w:t>申购款项以及其他投资所形成的价值总</w:t>
      </w:r>
      <w:r>
        <w:rPr>
          <w:spacing w:val="-18"/>
        </w:rPr>
        <w:t>和</w:t>
      </w:r>
      <w:r>
        <w:rPr/>
        <w:t>基金资产净值：</w:t>
        <w:tab/>
        <w:t>指基金资产总值减去负债后的价值</w:t>
      </w:r>
    </w:p>
    <w:p>
      <w:pPr>
        <w:pStyle w:val="BodyText"/>
        <w:tabs>
          <w:tab w:pos="3095" w:val="left" w:leader="none"/>
        </w:tabs>
        <w:spacing w:line="268" w:lineRule="exact"/>
        <w:ind w:left="543"/>
      </w:pPr>
      <w:r>
        <w:rPr/>
        <w:t>基金资产估值：</w:t>
        <w:tab/>
        <w:t>指计算评估基金资产和负债的价值，以确定基金资产净值和</w:t>
      </w:r>
    </w:p>
    <w:p>
      <w:pPr>
        <w:pStyle w:val="BodyText"/>
        <w:spacing w:before="139"/>
        <w:ind w:left="3095"/>
      </w:pPr>
      <w:r>
        <w:rPr/>
        <w:t>基金份额净值的过程</w:t>
      </w:r>
    </w:p>
    <w:p>
      <w:pPr>
        <w:pStyle w:val="BodyText"/>
        <w:tabs>
          <w:tab w:pos="3095" w:val="left" w:leader="none"/>
        </w:tabs>
        <w:spacing w:before="139"/>
        <w:ind w:left="543"/>
      </w:pPr>
      <w:r>
        <w:rPr/>
        <w:t>更新的招募说明书：</w:t>
        <w:tab/>
        <w:t>指基金合同生效后，基金管理人根据《信息披露办法》规定</w:t>
      </w:r>
    </w:p>
    <w:p>
      <w:pPr>
        <w:pStyle w:val="BodyText"/>
        <w:spacing w:before="140"/>
        <w:ind w:left="3095"/>
      </w:pPr>
      <w:r>
        <w:rPr/>
        <w:t>不定期对原招募说明书进行的内容更新</w:t>
      </w:r>
    </w:p>
    <w:p>
      <w:pPr>
        <w:pStyle w:val="BodyText"/>
        <w:tabs>
          <w:tab w:pos="3095" w:val="left" w:leader="none"/>
        </w:tabs>
        <w:spacing w:before="139"/>
        <w:ind w:left="543"/>
      </w:pPr>
      <w:r>
        <w:rPr/>
        <w:t>基金份额持有人服务：</w:t>
        <w:tab/>
        <w:t>指基金管理人承诺为基金份额持有人提供的一系列服务</w:t>
      </w:r>
    </w:p>
    <w:p>
      <w:pPr>
        <w:pStyle w:val="BodyText"/>
        <w:tabs>
          <w:tab w:pos="3095" w:val="left" w:leader="none"/>
        </w:tabs>
        <w:spacing w:before="140"/>
        <w:ind w:left="543"/>
      </w:pPr>
      <w:r>
        <w:rPr/>
        <w:t>销售机构：</w:t>
        <w:tab/>
        <w:t>指依据有关规定办理本基金申购、赎回和其他业务的机构，</w:t>
      </w:r>
    </w:p>
    <w:p>
      <w:pPr>
        <w:pStyle w:val="BodyText"/>
        <w:spacing w:before="139"/>
        <w:ind w:left="3095"/>
      </w:pPr>
      <w:r>
        <w:rPr/>
        <w:t>包括基金管理人和基金非直销销售机构</w:t>
      </w:r>
    </w:p>
    <w:p>
      <w:pPr>
        <w:pStyle w:val="BodyText"/>
        <w:tabs>
          <w:tab w:pos="3095" w:val="left" w:leader="none"/>
        </w:tabs>
        <w:spacing w:before="140"/>
        <w:ind w:left="543"/>
      </w:pPr>
      <w:r>
        <w:rPr/>
        <w:t>基金销售网点：</w:t>
        <w:tab/>
        <w:t>指基金管理人的直销网点及基金非直销销售机构的销售网点</w:t>
      </w:r>
    </w:p>
    <w:p>
      <w:pPr>
        <w:pStyle w:val="BodyText"/>
        <w:spacing w:before="10"/>
        <w:ind w:left="0"/>
        <w:rPr>
          <w:sz w:val="25"/>
        </w:rPr>
      </w:pPr>
    </w:p>
    <w:p>
      <w:pPr>
        <w:pStyle w:val="BodyText"/>
        <w:tabs>
          <w:tab w:pos="3095" w:val="left" w:leader="none"/>
        </w:tabs>
        <w:ind w:left="543"/>
      </w:pPr>
      <w:r>
        <w:rPr/>
        <w:t>指定媒介：</w:t>
        <w:tab/>
        <w:t>指中国证监会指定的用以进行信息披露的全国性报刊及指定</w:t>
      </w:r>
    </w:p>
    <w:p>
      <w:pPr>
        <w:pStyle w:val="BodyText"/>
        <w:spacing w:before="140"/>
        <w:ind w:left="3095"/>
      </w:pPr>
      <w:r>
        <w:rPr/>
        <w:t>互联网网站（包括基金管理人网站、基金托管人网站、中国</w:t>
      </w:r>
    </w:p>
    <w:p>
      <w:pPr>
        <w:spacing w:after="0"/>
        <w:sectPr>
          <w:pgSz w:w="11910" w:h="16840"/>
          <w:pgMar w:header="0" w:footer="1172" w:top="1580" w:bottom="1440" w:left="1520" w:right="360"/>
        </w:sectPr>
      </w:pPr>
    </w:p>
    <w:p>
      <w:pPr>
        <w:pStyle w:val="BodyText"/>
        <w:ind w:left="0"/>
        <w:rPr>
          <w:sz w:val="20"/>
        </w:rPr>
      </w:pPr>
    </w:p>
    <w:p>
      <w:pPr>
        <w:pStyle w:val="BodyText"/>
        <w:spacing w:before="2"/>
        <w:ind w:left="0"/>
        <w:rPr>
          <w:sz w:val="20"/>
        </w:rPr>
      </w:pPr>
    </w:p>
    <w:p>
      <w:pPr>
        <w:pStyle w:val="BodyText"/>
        <w:ind w:left="543"/>
      </w:pPr>
      <w:r>
        <w:rPr/>
        <w:t>流动性受限资产：</w:t>
      </w:r>
    </w:p>
    <w:p>
      <w:pPr>
        <w:pStyle w:val="BodyText"/>
        <w:spacing w:before="106"/>
        <w:ind w:left="543"/>
      </w:pPr>
      <w:r>
        <w:rPr/>
        <w:br w:type="column"/>
      </w:r>
      <w:r>
        <w:rPr/>
        <w:t>证监会基金电子披露网站）等媒介</w:t>
      </w:r>
    </w:p>
    <w:p>
      <w:pPr>
        <w:pStyle w:val="BodyText"/>
        <w:spacing w:line="364" w:lineRule="auto" w:before="139"/>
        <w:ind w:left="543" w:right="1423"/>
        <w:jc w:val="both"/>
      </w:pPr>
      <w:r>
        <w:rPr/>
        <w:t>指由于法律法规、监管、合同或操作障碍等原因无法以合理</w:t>
      </w:r>
      <w:r>
        <w:rPr>
          <w:spacing w:val="2"/>
        </w:rPr>
        <w:t>价格予以变现的资产，包括但不限于到期日在 </w:t>
      </w:r>
      <w:r>
        <w:rPr/>
        <w:t>10</w:t>
      </w:r>
      <w:r>
        <w:rPr>
          <w:spacing w:val="-8"/>
        </w:rPr>
        <w:t> 个交易日以上的逆回购与银行定期存款（含协议约定有条件提前支取</w:t>
      </w:r>
      <w:r>
        <w:rPr>
          <w:spacing w:val="5"/>
        </w:rPr>
        <w:t>的银行存款</w:t>
      </w:r>
      <w:r>
        <w:rPr>
          <w:spacing w:val="-100"/>
        </w:rPr>
        <w:t>）</w:t>
      </w:r>
      <w:r>
        <w:rPr>
          <w:spacing w:val="4"/>
        </w:rPr>
        <w:t>、停牌股票、流通受限的新股及非公开发行股票、资产支持证券、因发行人债务违约无法进行转让或交易的债券等</w:t>
      </w:r>
    </w:p>
    <w:p>
      <w:pPr>
        <w:spacing w:after="0" w:line="364" w:lineRule="auto"/>
        <w:jc w:val="both"/>
        <w:sectPr>
          <w:pgSz w:w="11910" w:h="16840"/>
          <w:pgMar w:header="0" w:footer="1172" w:top="1580" w:bottom="1440" w:left="1520" w:right="360"/>
          <w:cols w:num="2" w:equalWidth="0">
            <w:col w:w="2265" w:space="287"/>
            <w:col w:w="7478"/>
          </w:cols>
        </w:sectPr>
      </w:pPr>
    </w:p>
    <w:p>
      <w:pPr>
        <w:pStyle w:val="BodyText"/>
        <w:tabs>
          <w:tab w:pos="3095" w:val="left" w:leader="none"/>
        </w:tabs>
        <w:spacing w:line="267" w:lineRule="exact"/>
        <w:ind w:left="543"/>
      </w:pPr>
      <w:r>
        <w:rPr/>
        <w:t>A</w:t>
      </w:r>
      <w:r>
        <w:rPr>
          <w:spacing w:val="-53"/>
        </w:rPr>
        <w:t> </w:t>
      </w:r>
      <w:r>
        <w:rPr/>
        <w:t>类基金份额：</w:t>
        <w:tab/>
        <w:t>在投资人申购基金时收取申购费用，并不再从本类别基金资</w:t>
      </w:r>
    </w:p>
    <w:p>
      <w:pPr>
        <w:pStyle w:val="BodyText"/>
        <w:spacing w:before="139"/>
        <w:ind w:left="3095"/>
      </w:pPr>
      <w:r>
        <w:rPr/>
        <w:t>产中计提销售服务费的基金份额，称为 A 类基金份额</w:t>
      </w:r>
    </w:p>
    <w:p>
      <w:pPr>
        <w:pStyle w:val="BodyText"/>
        <w:tabs>
          <w:tab w:pos="3095" w:val="left" w:leader="none"/>
        </w:tabs>
        <w:spacing w:before="140"/>
        <w:ind w:left="543"/>
      </w:pPr>
      <w:r>
        <w:rPr/>
        <w:t>C</w:t>
      </w:r>
      <w:r>
        <w:rPr>
          <w:spacing w:val="-53"/>
        </w:rPr>
        <w:t> </w:t>
      </w:r>
      <w:r>
        <w:rPr/>
        <w:t>类基金份额：</w:t>
        <w:tab/>
        <w:t>从本类基金资产中计提销售服务费，并不收取申购费用的基</w:t>
      </w:r>
    </w:p>
    <w:p>
      <w:pPr>
        <w:pStyle w:val="BodyText"/>
        <w:spacing w:before="139"/>
        <w:ind w:left="3095"/>
      </w:pPr>
      <w:r>
        <w:rPr/>
        <w:t>金份额，称为 C 类基金份额</w:t>
      </w:r>
    </w:p>
    <w:p>
      <w:pPr>
        <w:pStyle w:val="BodyText"/>
        <w:tabs>
          <w:tab w:pos="3095" w:val="left" w:leader="none"/>
        </w:tabs>
        <w:spacing w:before="139"/>
        <w:ind w:left="543"/>
      </w:pPr>
      <w:r>
        <w:rPr/>
        <w:t>基金产品资料概要：</w:t>
        <w:tab/>
      </w:r>
      <w:r>
        <w:rPr>
          <w:spacing w:val="6"/>
        </w:rPr>
        <w:t>指《易方</w:t>
      </w:r>
      <w:r>
        <w:rPr/>
        <w:t>达</w:t>
      </w:r>
      <w:r>
        <w:rPr>
          <w:spacing w:val="-47"/>
        </w:rPr>
        <w:t> </w:t>
      </w:r>
      <w:r>
        <w:rPr/>
        <w:t>50</w:t>
      </w:r>
      <w:r>
        <w:rPr>
          <w:spacing w:val="-53"/>
        </w:rPr>
        <w:t> </w:t>
      </w:r>
      <w:r>
        <w:rPr>
          <w:spacing w:val="6"/>
        </w:rPr>
        <w:t>指数证券投资基金基金产品资料概要》及</w:t>
      </w:r>
      <w:r>
        <w:rPr/>
        <w:t>其</w:t>
      </w:r>
    </w:p>
    <w:p>
      <w:pPr>
        <w:pStyle w:val="BodyText"/>
        <w:spacing w:before="140"/>
        <w:ind w:left="3095"/>
      </w:pPr>
      <w:r>
        <w:rPr/>
        <w:t>更新</w:t>
      </w:r>
    </w:p>
    <w:p>
      <w:pPr>
        <w:spacing w:after="0"/>
        <w:sectPr>
          <w:type w:val="continuous"/>
          <w:pgSz w:w="11910" w:h="16840"/>
          <w:pgMar w:top="1580" w:bottom="280" w:left="1520" w:right="360"/>
        </w:sectPr>
      </w:pPr>
    </w:p>
    <w:p>
      <w:pPr>
        <w:pStyle w:val="Heading1"/>
        <w:ind w:right="920"/>
        <w:jc w:val="center"/>
      </w:pPr>
      <w:bookmarkStart w:name="_bookmark2" w:id="3"/>
      <w:bookmarkEnd w:id="3"/>
      <w:r>
        <w:rPr>
          <w:b w:val="0"/>
        </w:rPr>
      </w:r>
      <w:r>
        <w:rPr/>
        <w:t>三、基金管理人</w:t>
      </w:r>
    </w:p>
    <w:p>
      <w:pPr>
        <w:pStyle w:val="Heading2"/>
        <w:spacing w:before="118"/>
      </w:pPr>
      <w:bookmarkStart w:name="_bookmark3" w:id="4"/>
      <w:bookmarkEnd w:id="4"/>
      <w:r>
        <w:rPr/>
      </w:r>
      <w:r>
        <w:rPr/>
        <w:t>（一）基金管理人基本情况</w:t>
      </w:r>
    </w:p>
    <w:p>
      <w:pPr>
        <w:pStyle w:val="BodyText"/>
        <w:spacing w:before="11"/>
        <w:ind w:left="0"/>
        <w:rPr>
          <w:sz w:val="8"/>
        </w:rPr>
      </w:pPr>
    </w:p>
    <w:p>
      <w:pPr>
        <w:pStyle w:val="BodyText"/>
        <w:spacing w:before="71"/>
      </w:pPr>
      <w:r>
        <w:rPr/>
        <w:t>1、基金管理人：易方达基金管理有限公司</w:t>
      </w:r>
    </w:p>
    <w:p>
      <w:pPr>
        <w:pStyle w:val="BodyText"/>
        <w:spacing w:line="364" w:lineRule="auto" w:before="139"/>
        <w:ind w:right="2591"/>
      </w:pPr>
      <w:r>
        <w:rPr/>
        <w:t>注册地址：广东省珠海市横琴新区宝华路6号105室-42891（集中办公区） 办公地址：广州市天河区珠江新城珠江东路30号广州银行大厦40-43楼</w:t>
      </w:r>
    </w:p>
    <w:p>
      <w:pPr>
        <w:pStyle w:val="BodyText"/>
        <w:spacing w:line="364" w:lineRule="auto"/>
        <w:ind w:right="6896"/>
      </w:pPr>
      <w:r>
        <w:rPr/>
        <w:t>设立日期：2001年4月17日法定代表人：刘晓艳</w:t>
      </w:r>
    </w:p>
    <w:p>
      <w:pPr>
        <w:pStyle w:val="BodyText"/>
        <w:spacing w:line="364" w:lineRule="auto"/>
        <w:ind w:right="7211"/>
      </w:pPr>
      <w:r>
        <w:rPr/>
        <w:t>联系电话：4008818088 联系人：李红枫</w:t>
      </w:r>
    </w:p>
    <w:p>
      <w:pPr>
        <w:pStyle w:val="BodyText"/>
        <w:spacing w:line="268" w:lineRule="exact"/>
      </w:pPr>
      <w:r>
        <w:rPr/>
        <w:t>注册资本：13,244.2万元人民币</w:t>
      </w:r>
    </w:p>
    <w:p>
      <w:pPr>
        <w:pStyle w:val="BodyText"/>
        <w:spacing w:line="364" w:lineRule="auto" w:before="138"/>
        <w:ind w:right="2642"/>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1701"/>
      </w:tblGrid>
      <w:tr>
        <w:trPr>
          <w:trHeight w:val="408" w:hRule="atLeast"/>
        </w:trPr>
        <w:tc>
          <w:tcPr>
            <w:tcW w:w="4503" w:type="dxa"/>
          </w:tcPr>
          <w:p>
            <w:pPr>
              <w:pStyle w:val="TableParagraph"/>
              <w:spacing w:line="268" w:lineRule="exact"/>
              <w:ind w:left="1811" w:right="1801"/>
              <w:jc w:val="center"/>
              <w:rPr>
                <w:sz w:val="21"/>
              </w:rPr>
            </w:pPr>
            <w:r>
              <w:rPr>
                <w:sz w:val="21"/>
              </w:rPr>
              <w:t>股东名称</w:t>
            </w:r>
          </w:p>
        </w:tc>
        <w:tc>
          <w:tcPr>
            <w:tcW w:w="1701" w:type="dxa"/>
          </w:tcPr>
          <w:p>
            <w:pPr>
              <w:pStyle w:val="TableParagraph"/>
              <w:spacing w:line="268" w:lineRule="exact"/>
              <w:ind w:left="453"/>
              <w:rPr>
                <w:sz w:val="21"/>
              </w:rPr>
            </w:pPr>
            <w:r>
              <w:rPr>
                <w:sz w:val="21"/>
              </w:rPr>
              <w:t>出资比例</w:t>
            </w:r>
          </w:p>
        </w:tc>
      </w:tr>
      <w:tr>
        <w:trPr>
          <w:trHeight w:val="408" w:hRule="atLeast"/>
        </w:trPr>
        <w:tc>
          <w:tcPr>
            <w:tcW w:w="4503" w:type="dxa"/>
          </w:tcPr>
          <w:p>
            <w:pPr>
              <w:pStyle w:val="TableParagraph"/>
              <w:spacing w:line="268" w:lineRule="exact"/>
              <w:ind w:left="108"/>
              <w:rPr>
                <w:sz w:val="21"/>
              </w:rPr>
            </w:pPr>
            <w:r>
              <w:rPr>
                <w:sz w:val="21"/>
              </w:rPr>
              <w:t>广东粤财信托有限公司</w:t>
            </w:r>
          </w:p>
        </w:tc>
        <w:tc>
          <w:tcPr>
            <w:tcW w:w="1701" w:type="dxa"/>
          </w:tcPr>
          <w:p>
            <w:pPr>
              <w:pStyle w:val="TableParagraph"/>
              <w:spacing w:line="268" w:lineRule="exact"/>
              <w:ind w:right="96"/>
              <w:jc w:val="right"/>
              <w:rPr>
                <w:sz w:val="21"/>
              </w:rPr>
            </w:pPr>
            <w:r>
              <w:rPr>
                <w:sz w:val="21"/>
              </w:rPr>
              <w:t>22.6514％</w:t>
            </w:r>
          </w:p>
        </w:tc>
      </w:tr>
      <w:tr>
        <w:trPr>
          <w:trHeight w:val="408" w:hRule="atLeast"/>
        </w:trPr>
        <w:tc>
          <w:tcPr>
            <w:tcW w:w="4503" w:type="dxa"/>
          </w:tcPr>
          <w:p>
            <w:pPr>
              <w:pStyle w:val="TableParagraph"/>
              <w:spacing w:line="268" w:lineRule="exact"/>
              <w:ind w:left="108"/>
              <w:rPr>
                <w:sz w:val="21"/>
              </w:rPr>
            </w:pPr>
            <w:r>
              <w:rPr>
                <w:sz w:val="21"/>
              </w:rPr>
              <w:t>广发证券股份有限公司</w:t>
            </w:r>
          </w:p>
        </w:tc>
        <w:tc>
          <w:tcPr>
            <w:tcW w:w="1701" w:type="dxa"/>
          </w:tcPr>
          <w:p>
            <w:pPr>
              <w:pStyle w:val="TableParagraph"/>
              <w:spacing w:line="268" w:lineRule="exact"/>
              <w:ind w:right="96"/>
              <w:jc w:val="right"/>
              <w:rPr>
                <w:sz w:val="21"/>
              </w:rPr>
            </w:pPr>
            <w:r>
              <w:rPr>
                <w:sz w:val="21"/>
              </w:rPr>
              <w:t>22.6514％</w:t>
            </w:r>
          </w:p>
        </w:tc>
      </w:tr>
      <w:tr>
        <w:trPr>
          <w:trHeight w:val="408" w:hRule="atLeast"/>
        </w:trPr>
        <w:tc>
          <w:tcPr>
            <w:tcW w:w="4503" w:type="dxa"/>
          </w:tcPr>
          <w:p>
            <w:pPr>
              <w:pStyle w:val="TableParagraph"/>
              <w:spacing w:line="268" w:lineRule="exact"/>
              <w:ind w:left="108"/>
              <w:rPr>
                <w:sz w:val="21"/>
              </w:rPr>
            </w:pPr>
            <w:r>
              <w:rPr>
                <w:sz w:val="21"/>
              </w:rPr>
              <w:t>盈峰控股集团有限公司</w:t>
            </w:r>
          </w:p>
        </w:tc>
        <w:tc>
          <w:tcPr>
            <w:tcW w:w="1701" w:type="dxa"/>
          </w:tcPr>
          <w:p>
            <w:pPr>
              <w:pStyle w:val="TableParagraph"/>
              <w:spacing w:line="268" w:lineRule="exact"/>
              <w:ind w:right="96"/>
              <w:jc w:val="right"/>
              <w:rPr>
                <w:sz w:val="21"/>
              </w:rPr>
            </w:pPr>
            <w:r>
              <w:rPr>
                <w:sz w:val="21"/>
              </w:rPr>
              <w:t>22.6514％</w:t>
            </w:r>
          </w:p>
        </w:tc>
      </w:tr>
      <w:tr>
        <w:trPr>
          <w:trHeight w:val="408" w:hRule="atLeast"/>
        </w:trPr>
        <w:tc>
          <w:tcPr>
            <w:tcW w:w="4503" w:type="dxa"/>
          </w:tcPr>
          <w:p>
            <w:pPr>
              <w:pStyle w:val="TableParagraph"/>
              <w:spacing w:line="268" w:lineRule="exact"/>
              <w:ind w:left="108"/>
              <w:rPr>
                <w:sz w:val="21"/>
              </w:rPr>
            </w:pPr>
            <w:r>
              <w:rPr>
                <w:sz w:val="21"/>
              </w:rPr>
              <w:t>广东省广晟资产经营有限公司</w:t>
            </w:r>
          </w:p>
        </w:tc>
        <w:tc>
          <w:tcPr>
            <w:tcW w:w="1701" w:type="dxa"/>
          </w:tcPr>
          <w:p>
            <w:pPr>
              <w:pStyle w:val="TableParagraph"/>
              <w:spacing w:line="268" w:lineRule="exact"/>
              <w:ind w:right="96"/>
              <w:jc w:val="right"/>
              <w:rPr>
                <w:sz w:val="21"/>
              </w:rPr>
            </w:pPr>
            <w:r>
              <w:rPr>
                <w:sz w:val="21"/>
              </w:rPr>
              <w:t>15.1010％</w:t>
            </w:r>
          </w:p>
        </w:tc>
      </w:tr>
      <w:tr>
        <w:trPr>
          <w:trHeight w:val="408" w:hRule="atLeast"/>
        </w:trPr>
        <w:tc>
          <w:tcPr>
            <w:tcW w:w="4503" w:type="dxa"/>
          </w:tcPr>
          <w:p>
            <w:pPr>
              <w:pStyle w:val="TableParagraph"/>
              <w:spacing w:line="268" w:lineRule="exact"/>
              <w:ind w:left="108"/>
              <w:rPr>
                <w:sz w:val="21"/>
              </w:rPr>
            </w:pPr>
            <w:r>
              <w:rPr>
                <w:sz w:val="21"/>
              </w:rPr>
              <w:t>广州市广永国有资产经营有限公司</w:t>
            </w:r>
          </w:p>
        </w:tc>
        <w:tc>
          <w:tcPr>
            <w:tcW w:w="1701" w:type="dxa"/>
          </w:tcPr>
          <w:p>
            <w:pPr>
              <w:pStyle w:val="TableParagraph"/>
              <w:spacing w:line="268" w:lineRule="exact"/>
              <w:ind w:right="96"/>
              <w:jc w:val="right"/>
              <w:rPr>
                <w:sz w:val="21"/>
              </w:rPr>
            </w:pPr>
            <w:r>
              <w:rPr>
                <w:sz w:val="21"/>
              </w:rPr>
              <w:t>7.5505％</w:t>
            </w:r>
          </w:p>
        </w:tc>
      </w:tr>
      <w:tr>
        <w:trPr>
          <w:trHeight w:val="408" w:hRule="atLeast"/>
        </w:trPr>
        <w:tc>
          <w:tcPr>
            <w:tcW w:w="4503" w:type="dxa"/>
          </w:tcPr>
          <w:p>
            <w:pPr>
              <w:pStyle w:val="TableParagraph"/>
              <w:spacing w:line="268" w:lineRule="exact"/>
              <w:ind w:left="108"/>
              <w:rPr>
                <w:sz w:val="21"/>
              </w:rPr>
            </w:pPr>
            <w:r>
              <w:rPr>
                <w:sz w:val="21"/>
              </w:rPr>
              <w:t>珠海祺荣宝股权投资合伙企业（有限合伙）</w:t>
            </w:r>
          </w:p>
        </w:tc>
        <w:tc>
          <w:tcPr>
            <w:tcW w:w="1701" w:type="dxa"/>
          </w:tcPr>
          <w:p>
            <w:pPr>
              <w:pStyle w:val="TableParagraph"/>
              <w:spacing w:line="268" w:lineRule="exact"/>
              <w:ind w:right="96"/>
              <w:jc w:val="right"/>
              <w:rPr>
                <w:sz w:val="21"/>
              </w:rPr>
            </w:pPr>
            <w:r>
              <w:rPr>
                <w:sz w:val="21"/>
              </w:rPr>
              <w:t>1.5087％</w:t>
            </w:r>
          </w:p>
        </w:tc>
      </w:tr>
      <w:tr>
        <w:trPr>
          <w:trHeight w:val="408" w:hRule="atLeast"/>
        </w:trPr>
        <w:tc>
          <w:tcPr>
            <w:tcW w:w="4503" w:type="dxa"/>
          </w:tcPr>
          <w:p>
            <w:pPr>
              <w:pStyle w:val="TableParagraph"/>
              <w:spacing w:line="268" w:lineRule="exact"/>
              <w:ind w:left="108"/>
              <w:rPr>
                <w:sz w:val="21"/>
              </w:rPr>
            </w:pPr>
            <w:r>
              <w:rPr>
                <w:sz w:val="21"/>
              </w:rPr>
              <w:t>珠海祺泰宝股权投资合伙企业（有限合伙）</w:t>
            </w:r>
          </w:p>
        </w:tc>
        <w:tc>
          <w:tcPr>
            <w:tcW w:w="1701" w:type="dxa"/>
          </w:tcPr>
          <w:p>
            <w:pPr>
              <w:pStyle w:val="TableParagraph"/>
              <w:spacing w:line="268" w:lineRule="exact"/>
              <w:ind w:right="96"/>
              <w:jc w:val="right"/>
              <w:rPr>
                <w:sz w:val="21"/>
              </w:rPr>
            </w:pPr>
            <w:r>
              <w:rPr>
                <w:sz w:val="21"/>
              </w:rPr>
              <w:t>1.6205％</w:t>
            </w:r>
          </w:p>
        </w:tc>
      </w:tr>
      <w:tr>
        <w:trPr>
          <w:trHeight w:val="408" w:hRule="atLeast"/>
        </w:trPr>
        <w:tc>
          <w:tcPr>
            <w:tcW w:w="4503" w:type="dxa"/>
          </w:tcPr>
          <w:p>
            <w:pPr>
              <w:pStyle w:val="TableParagraph"/>
              <w:spacing w:line="268" w:lineRule="exact"/>
              <w:ind w:left="108"/>
              <w:rPr>
                <w:sz w:val="21"/>
              </w:rPr>
            </w:pPr>
            <w:r>
              <w:rPr>
                <w:sz w:val="21"/>
              </w:rPr>
              <w:t>珠海祺丰宝股权投资合伙企业（有限合伙）</w:t>
            </w:r>
          </w:p>
        </w:tc>
        <w:tc>
          <w:tcPr>
            <w:tcW w:w="1701" w:type="dxa"/>
          </w:tcPr>
          <w:p>
            <w:pPr>
              <w:pStyle w:val="TableParagraph"/>
              <w:spacing w:line="268" w:lineRule="exact"/>
              <w:ind w:right="96"/>
              <w:jc w:val="right"/>
              <w:rPr>
                <w:sz w:val="21"/>
              </w:rPr>
            </w:pPr>
            <w:r>
              <w:rPr>
                <w:sz w:val="21"/>
              </w:rPr>
              <w:t>1.5309％</w:t>
            </w:r>
          </w:p>
        </w:tc>
      </w:tr>
      <w:tr>
        <w:trPr>
          <w:trHeight w:val="408" w:hRule="atLeast"/>
        </w:trPr>
        <w:tc>
          <w:tcPr>
            <w:tcW w:w="4503" w:type="dxa"/>
          </w:tcPr>
          <w:p>
            <w:pPr>
              <w:pStyle w:val="TableParagraph"/>
              <w:spacing w:line="268" w:lineRule="exact"/>
              <w:ind w:left="108"/>
              <w:rPr>
                <w:sz w:val="21"/>
              </w:rPr>
            </w:pPr>
            <w:r>
              <w:rPr>
                <w:sz w:val="21"/>
              </w:rPr>
              <w:t>珠海聚莱康股权投资合伙企业（有限合伙）</w:t>
            </w:r>
          </w:p>
        </w:tc>
        <w:tc>
          <w:tcPr>
            <w:tcW w:w="1701" w:type="dxa"/>
          </w:tcPr>
          <w:p>
            <w:pPr>
              <w:pStyle w:val="TableParagraph"/>
              <w:spacing w:line="268" w:lineRule="exact"/>
              <w:ind w:right="96"/>
              <w:jc w:val="right"/>
              <w:rPr>
                <w:sz w:val="21"/>
              </w:rPr>
            </w:pPr>
            <w:r>
              <w:rPr>
                <w:sz w:val="21"/>
              </w:rPr>
              <w:t>1.7558％</w:t>
            </w:r>
          </w:p>
        </w:tc>
      </w:tr>
      <w:tr>
        <w:trPr>
          <w:trHeight w:val="408" w:hRule="atLeast"/>
        </w:trPr>
        <w:tc>
          <w:tcPr>
            <w:tcW w:w="4503" w:type="dxa"/>
          </w:tcPr>
          <w:p>
            <w:pPr>
              <w:pStyle w:val="TableParagraph"/>
              <w:spacing w:line="268" w:lineRule="exact"/>
              <w:ind w:left="108"/>
              <w:rPr>
                <w:sz w:val="21"/>
              </w:rPr>
            </w:pPr>
            <w:r>
              <w:rPr>
                <w:sz w:val="21"/>
              </w:rPr>
              <w:t>珠海聚宁康股权投资合伙企业（有限合伙）</w:t>
            </w:r>
          </w:p>
        </w:tc>
        <w:tc>
          <w:tcPr>
            <w:tcW w:w="1701" w:type="dxa"/>
          </w:tcPr>
          <w:p>
            <w:pPr>
              <w:pStyle w:val="TableParagraph"/>
              <w:spacing w:line="268" w:lineRule="exact"/>
              <w:ind w:right="96"/>
              <w:jc w:val="right"/>
              <w:rPr>
                <w:sz w:val="21"/>
              </w:rPr>
            </w:pPr>
            <w:r>
              <w:rPr>
                <w:sz w:val="21"/>
              </w:rPr>
              <w:t>1.4396％</w:t>
            </w:r>
          </w:p>
        </w:tc>
      </w:tr>
      <w:tr>
        <w:trPr>
          <w:trHeight w:val="408" w:hRule="atLeast"/>
        </w:trPr>
        <w:tc>
          <w:tcPr>
            <w:tcW w:w="4503" w:type="dxa"/>
          </w:tcPr>
          <w:p>
            <w:pPr>
              <w:pStyle w:val="TableParagraph"/>
              <w:spacing w:line="268" w:lineRule="exact"/>
              <w:ind w:left="108"/>
              <w:rPr>
                <w:sz w:val="21"/>
              </w:rPr>
            </w:pPr>
            <w:r>
              <w:rPr>
                <w:sz w:val="21"/>
              </w:rPr>
              <w:t>珠海聚弘康股权投资合伙企业（有限合伙）</w:t>
            </w:r>
          </w:p>
        </w:tc>
        <w:tc>
          <w:tcPr>
            <w:tcW w:w="1701" w:type="dxa"/>
          </w:tcPr>
          <w:p>
            <w:pPr>
              <w:pStyle w:val="TableParagraph"/>
              <w:spacing w:line="268" w:lineRule="exact"/>
              <w:ind w:right="96"/>
              <w:jc w:val="right"/>
              <w:rPr>
                <w:sz w:val="21"/>
              </w:rPr>
            </w:pPr>
            <w:r>
              <w:rPr>
                <w:sz w:val="21"/>
              </w:rPr>
              <w:t>1.5388％</w:t>
            </w:r>
          </w:p>
        </w:tc>
      </w:tr>
      <w:tr>
        <w:trPr>
          <w:trHeight w:val="408" w:hRule="atLeast"/>
        </w:trPr>
        <w:tc>
          <w:tcPr>
            <w:tcW w:w="4503" w:type="dxa"/>
          </w:tcPr>
          <w:p>
            <w:pPr>
              <w:pStyle w:val="TableParagraph"/>
              <w:spacing w:line="268" w:lineRule="exact"/>
              <w:ind w:left="108"/>
              <w:rPr>
                <w:sz w:val="21"/>
              </w:rPr>
            </w:pPr>
            <w:r>
              <w:rPr>
                <w:sz w:val="21"/>
              </w:rPr>
              <w:t>总计</w:t>
            </w:r>
          </w:p>
        </w:tc>
        <w:tc>
          <w:tcPr>
            <w:tcW w:w="1701" w:type="dxa"/>
          </w:tcPr>
          <w:p>
            <w:pPr>
              <w:pStyle w:val="TableParagraph"/>
              <w:spacing w:line="268" w:lineRule="exact"/>
              <w:ind w:right="96"/>
              <w:jc w:val="right"/>
              <w:rPr>
                <w:sz w:val="21"/>
              </w:rPr>
            </w:pPr>
            <w:r>
              <w:rPr>
                <w:sz w:val="21"/>
              </w:rPr>
              <w:t>100％</w:t>
            </w:r>
          </w:p>
        </w:tc>
      </w:tr>
    </w:tbl>
    <w:p>
      <w:pPr>
        <w:pStyle w:val="BodyText"/>
        <w:ind w:left="0"/>
        <w:rPr>
          <w:sz w:val="20"/>
        </w:rPr>
      </w:pPr>
    </w:p>
    <w:p>
      <w:pPr>
        <w:pStyle w:val="Heading2"/>
        <w:spacing w:before="152"/>
      </w:pPr>
      <w:bookmarkStart w:name="_bookmark4" w:id="5"/>
      <w:bookmarkEnd w:id="5"/>
      <w:r>
        <w:rPr/>
      </w:r>
      <w:r>
        <w:rPr/>
        <w:t>（二）主要人员情况</w:t>
      </w:r>
    </w:p>
    <w:p>
      <w:pPr>
        <w:pStyle w:val="BodyText"/>
        <w:spacing w:before="185"/>
      </w:pPr>
      <w:r>
        <w:rPr/>
        <w:t>1、董事、监事及高级管理人员</w:t>
      </w:r>
    </w:p>
    <w:p>
      <w:pPr>
        <w:pStyle w:val="BodyText"/>
        <w:spacing w:line="364" w:lineRule="auto" w:before="139"/>
        <w:ind w:left="293" w:right="936" w:firstLine="420"/>
      </w:pPr>
      <w:r>
        <w:rPr>
          <w:spacing w:val="3"/>
        </w:rPr>
        <w:t>詹余引先生，工商管理博士，董事长。曾任中国平安保险公司证券部研究咨询室总经理助</w:t>
      </w:r>
      <w:r>
        <w:rPr>
          <w:spacing w:val="4"/>
        </w:rPr>
        <w:t>理；平安证券有限责任公司研究咨询部副总经理（主持工作</w:t>
      </w:r>
      <w:r>
        <w:rPr>
          <w:spacing w:val="-101"/>
        </w:rPr>
        <w:t>）</w:t>
      </w:r>
      <w:r>
        <w:rPr>
          <w:spacing w:val="4"/>
        </w:rPr>
        <w:t>、国债部副总经理（主持工作</w:t>
      </w:r>
      <w:r>
        <w:rPr>
          <w:spacing w:val="-101"/>
        </w:rPr>
        <w:t>）</w:t>
      </w:r>
      <w:r>
        <w:rPr/>
        <w:t>、</w:t>
      </w:r>
    </w:p>
    <w:p>
      <w:pPr>
        <w:spacing w:after="0" w:line="364" w:lineRule="auto"/>
        <w:sectPr>
          <w:pgSz w:w="11910" w:h="16840"/>
          <w:pgMar w:header="0" w:footer="1172" w:top="1580" w:bottom="1440" w:left="1520" w:right="360"/>
        </w:sectPr>
      </w:pPr>
    </w:p>
    <w:p>
      <w:pPr>
        <w:pStyle w:val="BodyText"/>
        <w:spacing w:line="364" w:lineRule="auto" w:before="106"/>
        <w:ind w:left="293" w:right="936"/>
        <w:jc w:val="both"/>
      </w:pPr>
      <w:r>
        <w:rPr>
          <w:spacing w:val="1"/>
        </w:rPr>
        <w:t>资产管理部副总经理、总经理；中国平安保险股份有限公司投资管理部副总经理（主持工作</w:t>
      </w:r>
      <w:r>
        <w:rPr>
          <w:spacing w:val="-104"/>
        </w:rPr>
        <w:t>）</w:t>
      </w:r>
      <w:r>
        <w:rPr/>
        <w:t>；</w:t>
      </w:r>
      <w:r>
        <w:rPr>
          <w:spacing w:val="3"/>
        </w:rPr>
        <w:t>全国社会保障基金理事会投资部资产配置处处长、投资部副主任、境外投资部主任、投资部主</w:t>
      </w:r>
      <w:r>
        <w:rPr>
          <w:spacing w:val="9"/>
        </w:rPr>
        <w:t>任、证券投资部主任。现任易方达基金管理有限公司董事长；易方达国际控股有限公司董事</w:t>
      </w:r>
      <w:r>
        <w:rPr/>
        <w:t>长。</w:t>
      </w:r>
    </w:p>
    <w:p>
      <w:pPr>
        <w:pStyle w:val="BodyText"/>
        <w:spacing w:line="364" w:lineRule="auto"/>
        <w:ind w:left="293" w:right="936" w:firstLine="420"/>
        <w:jc w:val="both"/>
      </w:pPr>
      <w:r>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pPr>
        <w:pStyle w:val="BodyText"/>
        <w:spacing w:line="364" w:lineRule="auto"/>
        <w:ind w:left="293" w:right="936" w:firstLine="420"/>
        <w:jc w:val="both"/>
      </w:pPr>
      <w:r>
        <w:rPr>
          <w:spacing w:val="2"/>
        </w:rPr>
        <w:t>周泽群先生，高级管理人员工商管理硕士（</w:t>
      </w:r>
      <w:r>
        <w:rPr/>
        <w:t>EMBA</w:t>
      </w:r>
      <w:r>
        <w:rPr>
          <w:spacing w:val="-103"/>
        </w:rPr>
        <w:t>）</w:t>
      </w:r>
      <w:r>
        <w:rPr>
          <w:spacing w:val="1"/>
        </w:rPr>
        <w:t>，董事。曾任珠海粤财实业有限公司董事</w:t>
      </w:r>
      <w:r>
        <w:rPr>
          <w:spacing w:val="4"/>
        </w:rPr>
        <w:t>长；粤财控股（北京）</w:t>
      </w:r>
      <w:r>
        <w:rPr>
          <w:spacing w:val="3"/>
        </w:rPr>
        <w:t>有限公司总经理、董事长；广东粤财投资控股有限公司总经理助理、办公室主任，广东粤财投资控股有限公司副总经理。现任易方达基金管理有限公司董事；广东粤财投资控股有限公司董事、总经理。</w:t>
      </w:r>
    </w:p>
    <w:p>
      <w:pPr>
        <w:pStyle w:val="BodyText"/>
        <w:spacing w:line="364" w:lineRule="auto"/>
        <w:ind w:left="293" w:right="936" w:firstLine="420"/>
        <w:jc w:val="both"/>
      </w:pPr>
      <w:r>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pPr>
        <w:pStyle w:val="BodyText"/>
        <w:spacing w:line="364" w:lineRule="auto"/>
        <w:ind w:left="293" w:right="936" w:firstLine="420"/>
        <w:jc w:val="both"/>
      </w:pPr>
      <w:r>
        <w:rPr>
          <w:spacing w:val="3"/>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pPr>
        <w:pStyle w:val="BodyText"/>
        <w:spacing w:line="364" w:lineRule="auto"/>
        <w:ind w:left="293" w:right="936" w:firstLine="420"/>
        <w:jc w:val="both"/>
      </w:pPr>
      <w:r>
        <w:rPr>
          <w:spacing w:val="3"/>
        </w:rPr>
        <w:t>戚思胤先生，经济学硕士，董事。曾任广东省高速公路发展股份有限公司证券部投资者关系管理业务员、投资者关系管理主管、信息披露主管、证券事务代表；广东省广晟资产经营有</w:t>
      </w:r>
      <w:r>
        <w:rPr>
          <w:spacing w:val="4"/>
        </w:rPr>
        <w:t>限公司资本运营部高级主管、团委副书记、副部长、部长；（香港）</w:t>
      </w:r>
      <w:r>
        <w:rPr>
          <w:spacing w:val="3"/>
        </w:rPr>
        <w:t>广晟投资发展有限公司董事、常务副总经理等职务。现任易方达基金管理有限公司董事；广东省广晟资产经营有限公司</w:t>
      </w:r>
      <w:r>
        <w:rPr>
          <w:spacing w:val="4"/>
        </w:rPr>
        <w:t>董事会办公室（法务中心）</w:t>
      </w:r>
      <w:r>
        <w:rPr>
          <w:spacing w:val="3"/>
        </w:rPr>
        <w:t>主任；广东风华高新科技股份有限公司董事；佛山电器照明股份有</w:t>
      </w:r>
      <w:r>
        <w:rPr>
          <w:spacing w:val="9"/>
        </w:rPr>
        <w:t>限公司董事；深圳市中金岭南有色金属股份有限公司董事；佛山市国星光电股份有限公司董</w:t>
      </w:r>
      <w:r>
        <w:rPr/>
        <w:t>事；广东南粤银行股份有限公司董事。</w:t>
      </w:r>
    </w:p>
    <w:p>
      <w:pPr>
        <w:pStyle w:val="BodyText"/>
        <w:spacing w:line="364" w:lineRule="auto"/>
        <w:ind w:left="293" w:right="936" w:firstLine="420"/>
        <w:jc w:val="both"/>
      </w:pPr>
      <w:r>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w:t>
      </w:r>
    </w:p>
    <w:p>
      <w:pPr>
        <w:spacing w:after="0" w:line="364" w:lineRule="auto"/>
        <w:jc w:val="both"/>
        <w:sectPr>
          <w:pgSz w:w="11910" w:h="16840"/>
          <w:pgMar w:header="0" w:footer="1172" w:top="1580" w:bottom="1440" w:left="1520" w:right="360"/>
        </w:sectPr>
      </w:pPr>
    </w:p>
    <w:p>
      <w:pPr>
        <w:pStyle w:val="BodyText"/>
        <w:spacing w:before="106"/>
        <w:ind w:left="293"/>
      </w:pPr>
      <w:r>
        <w:rPr/>
        <w:t>董事。</w:t>
      </w:r>
    </w:p>
    <w:p>
      <w:pPr>
        <w:pStyle w:val="BodyText"/>
        <w:spacing w:line="364" w:lineRule="auto" w:before="139"/>
        <w:ind w:left="293" w:right="936" w:firstLine="420"/>
        <w:jc w:val="both"/>
      </w:pPr>
      <w:r>
        <w:rPr>
          <w:spacing w:val="1"/>
        </w:rPr>
        <w:t>谭劲松先生，管理学博士（会计学</w:t>
      </w:r>
      <w:r>
        <w:rPr>
          <w:spacing w:val="-103"/>
        </w:rPr>
        <w:t>）</w:t>
      </w:r>
      <w:r>
        <w:rPr/>
        <w:t>，独立董事。曾任邵阳市财会学校教师；中山大学管理</w:t>
      </w:r>
      <w:r>
        <w:rPr>
          <w:spacing w:val="3"/>
        </w:rPr>
        <w:t>学院助教、讲师、副教授。现任易方达基金管理有限公司独立董事；中山大学管理学院教授； 中远海运特种运输股份有限公司独立董事；上海莱士血液制品股份有限公司独立董事；珠海华发实业股份有限公司独立董事；广州恒运企业集团股份有限公司独立董事；中国南方航空股份</w:t>
      </w:r>
      <w:r>
        <w:rPr>
          <w:spacing w:val="4"/>
        </w:rPr>
        <w:t>有限公司独立董事；广州环保投资集团有限公司外部董事；玉山银行（中国）</w:t>
      </w:r>
      <w:r>
        <w:rPr>
          <w:spacing w:val="3"/>
        </w:rPr>
        <w:t>有限公司独立董事；广东粤财金融租赁股份有限公司独立董事；中新广州知识城投资开发有限公司监事；美的置业控股有限公司独立非执行董事；中信证券华南股份有限公司独立董事。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293" w:right="936" w:firstLine="420"/>
        <w:jc w:val="both"/>
      </w:pPr>
      <w:r>
        <w:rPr/>
        <w:t>庄伟燕女士，法学博士，独立董事。曾任广东省妇女联合会干部；广东鸿鼎律师事务所主任；广东广悦鸿鼎律师事务所管委会主任。现任易方达基金管理有限公司独立董事；广东广信君达律师事务所高级合伙人。</w:t>
      </w:r>
    </w:p>
    <w:p>
      <w:pPr>
        <w:pStyle w:val="BodyText"/>
        <w:spacing w:line="364" w:lineRule="auto"/>
        <w:ind w:left="293" w:right="936" w:firstLine="420"/>
        <w:jc w:val="both"/>
      </w:pPr>
      <w:r>
        <w:rPr>
          <w:spacing w:val="4"/>
        </w:rPr>
        <w:t>刘发宏先生，工商管理硕士</w:t>
      </w:r>
      <w:r>
        <w:rPr>
          <w:spacing w:val="5"/>
        </w:rPr>
        <w:t>（</w:t>
      </w:r>
      <w:r>
        <w:rPr/>
        <w:t>MBA</w:t>
      </w:r>
      <w:r>
        <w:rPr>
          <w:spacing w:val="-101"/>
        </w:rPr>
        <w:t>）</w:t>
      </w:r>
      <w:r>
        <w:rPr>
          <w:spacing w:val="3"/>
        </w:rPr>
        <w:t>，监事会主席。曾任天津商学院团总支书记兼政治辅导</w:t>
      </w:r>
      <w:r>
        <w:rPr>
          <w:spacing w:val="4"/>
        </w:rPr>
        <w:t>员、人事处干部；海南省三亚国际奥林匹克射击娱乐中心会计主管；三英（珠海）</w:t>
      </w:r>
      <w:r>
        <w:rPr>
          <w:spacing w:val="3"/>
        </w:rPr>
        <w:t>纺织有限公司财务主管；珠海市饼业食品有限公司财务部长、审计部长；珠海市国弘财务顾问有限公司项目经理；珠海市迪威有限公司会计师；珠海市卡都九洲食品有限公司财务总监；珠海格力集团</w:t>
      </w:r>
    </w:p>
    <w:p>
      <w:pPr>
        <w:pStyle w:val="BodyText"/>
        <w:spacing w:line="364" w:lineRule="auto"/>
        <w:ind w:left="293" w:right="936"/>
        <w:jc w:val="both"/>
      </w:pPr>
      <w:r>
        <w:rPr/>
        <w:t>（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pPr>
        <w:pStyle w:val="BodyText"/>
        <w:spacing w:line="364" w:lineRule="auto"/>
        <w:ind w:left="293" w:right="936"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pPr>
        <w:pStyle w:val="BodyText"/>
        <w:spacing w:line="364" w:lineRule="auto"/>
        <w:ind w:left="293" w:right="936" w:firstLine="420"/>
        <w:jc w:val="both"/>
      </w:pPr>
      <w:r>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w:t>
      </w:r>
    </w:p>
    <w:p>
      <w:pPr>
        <w:pStyle w:val="BodyText"/>
        <w:spacing w:line="364" w:lineRule="auto"/>
        <w:ind w:left="293" w:right="936"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pPr>
        <w:pStyle w:val="BodyText"/>
        <w:spacing w:line="364" w:lineRule="auto"/>
        <w:ind w:left="293" w:right="936" w:firstLine="420"/>
      </w:pPr>
      <w:r>
        <w:rPr/>
        <w:t>邓志盛先生，经济学研究生，监事。曾任广东证监会信息部部长、中国证监会广州证管办机构二处处长；金鹰基金管理有限公司副总经理；易方达基金管理有限公司综合管理部总经</w:t>
      </w:r>
    </w:p>
    <w:p>
      <w:pPr>
        <w:spacing w:after="0" w:line="364" w:lineRule="auto"/>
        <w:sectPr>
          <w:pgSz w:w="11910" w:h="16840"/>
          <w:pgMar w:header="0" w:footer="1172" w:top="1580" w:bottom="1440" w:left="1520" w:right="360"/>
        </w:sectPr>
      </w:pPr>
    </w:p>
    <w:p>
      <w:pPr>
        <w:pStyle w:val="BodyText"/>
        <w:spacing w:before="106"/>
        <w:ind w:left="293"/>
      </w:pPr>
      <w:r>
        <w:rPr/>
        <w:t>理、董事会秘书。现任易方达基金管理有限公司监事、行政总监。</w:t>
      </w:r>
    </w:p>
    <w:p>
      <w:pPr>
        <w:pStyle w:val="BodyText"/>
        <w:spacing w:line="364" w:lineRule="auto" w:before="139"/>
        <w:ind w:left="293" w:right="936" w:firstLine="420"/>
        <w:jc w:val="both"/>
      </w:pPr>
      <w:r>
        <w:rPr/>
        <w:t>张优造先生，工商管理硕士(MBA)，常务副总裁。曾任南方证券交易中心业务发展部经理； 广东证券公司发行上市部经理；深圳证券业务部总经理、基金部总经理；易方达基金管理有限公司董事、副总裁。现任易方达基金管理有限公司常务副总裁；易方达国际控股有限公司董事。</w:t>
      </w:r>
    </w:p>
    <w:p>
      <w:pPr>
        <w:pStyle w:val="BodyText"/>
        <w:spacing w:line="364" w:lineRule="auto"/>
        <w:ind w:left="293" w:right="936" w:firstLine="420"/>
        <w:jc w:val="both"/>
      </w:pPr>
      <w:r>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pPr>
        <w:pStyle w:val="BodyText"/>
        <w:spacing w:line="364" w:lineRule="auto"/>
        <w:ind w:left="293" w:right="935" w:firstLine="420"/>
        <w:jc w:val="both"/>
      </w:pPr>
      <w:r>
        <w:rPr>
          <w:spacing w:val="2"/>
        </w:rPr>
        <w:t>马骏先生，高级管理人员工商管理硕士（</w:t>
      </w:r>
      <w:r>
        <w:rPr/>
        <w:t>EMBA</w:t>
      </w:r>
      <w:r>
        <w:rPr>
          <w:spacing w:val="-103"/>
        </w:rPr>
        <w:t>）</w:t>
      </w:r>
      <w:r>
        <w:rPr>
          <w:spacing w:val="1"/>
        </w:rPr>
        <w:t>，副总裁。曾任君安证券有限公司营业部职</w:t>
      </w:r>
      <w:r>
        <w:rPr>
          <w:spacing w:val="3"/>
        </w:rPr>
        <w:t>员；深圳众大投资有限公司投资部副总经理；广发证券有限责任公司研究员；易方达基金管理有限公司固定收益部总经理、现金管理部总经理、固定收益总部总经理、总裁助理、固定收益</w:t>
      </w:r>
      <w:r>
        <w:rPr>
          <w:spacing w:val="1"/>
        </w:rPr>
        <w:t>投资总监、固定收益首席投资官、基金科讯基金经理、易方达 </w:t>
      </w:r>
      <w:r>
        <w:rPr/>
        <w:t>50</w:t>
      </w:r>
      <w:r>
        <w:rPr>
          <w:spacing w:val="-6"/>
        </w:rPr>
        <w:t> 指数证券投资基金基金经理、易方达深证 </w:t>
      </w:r>
      <w:r>
        <w:rPr/>
        <w:t>100</w:t>
      </w:r>
      <w:r>
        <w:rPr>
          <w:spacing w:val="-4"/>
        </w:rPr>
        <w:t> 交易型开放式指数基金基金经理。现任易方达基金管理有限公司副总裁；易方达资产管理（香港）有限公司董事、人民币合格境外投资者（RQFII）业务负责人、证券交易负</w:t>
      </w:r>
      <w:r>
        <w:rPr>
          <w:spacing w:val="1"/>
        </w:rPr>
        <w:t>责人员（</w:t>
      </w:r>
      <w:r>
        <w:rPr/>
        <w:t>RO</w:t>
      </w:r>
      <w:r>
        <w:rPr>
          <w:spacing w:val="-103"/>
        </w:rPr>
        <w:t>）</w:t>
      </w:r>
      <w:r>
        <w:rPr>
          <w:spacing w:val="1"/>
        </w:rPr>
        <w:t>、就证券提供意见负责人员</w:t>
      </w:r>
      <w:r>
        <w:rPr>
          <w:spacing w:val="2"/>
        </w:rPr>
        <w:t>（</w:t>
      </w:r>
      <w:r>
        <w:rPr/>
        <w:t>RO</w:t>
      </w:r>
      <w:r>
        <w:rPr>
          <w:spacing w:val="-103"/>
        </w:rPr>
        <w:t>）</w:t>
      </w:r>
      <w:r>
        <w:rPr>
          <w:spacing w:val="1"/>
        </w:rPr>
        <w:t>、提供资产管理负责人员（</w:t>
      </w:r>
      <w:r>
        <w:rPr/>
        <w:t>RO</w:t>
      </w:r>
      <w:r>
        <w:rPr>
          <w:spacing w:val="-103"/>
        </w:rPr>
        <w:t>）</w:t>
      </w:r>
      <w:r>
        <w:rPr/>
        <w:t>、固定收益投资决策委员会委员、产品审批委员会委员。</w:t>
      </w:r>
    </w:p>
    <w:p>
      <w:pPr>
        <w:pStyle w:val="BodyText"/>
        <w:spacing w:line="364" w:lineRule="auto"/>
        <w:ind w:left="293" w:right="936" w:firstLine="420"/>
        <w:jc w:val="both"/>
      </w:pPr>
      <w:r>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pPr>
        <w:pStyle w:val="BodyText"/>
        <w:spacing w:line="364" w:lineRule="auto"/>
        <w:ind w:left="293" w:right="936" w:firstLine="420"/>
        <w:jc w:val="both"/>
      </w:pPr>
      <w:r>
        <w:rPr>
          <w:spacing w:val="3"/>
        </w:rPr>
        <w:t>张南女士，经济学博士，督察长。曾任广东省经济贸易委员会主任科员、副处长；易方达</w:t>
      </w:r>
      <w:r>
        <w:rPr>
          <w:spacing w:val="9"/>
        </w:rPr>
        <w:t>基金管理有限公司市场拓展部副总经理、监察部总经理。现任易方达基金管理有限公司督察</w:t>
      </w:r>
      <w:r>
        <w:rPr/>
        <w:t>长。</w:t>
      </w:r>
    </w:p>
    <w:p>
      <w:pPr>
        <w:pStyle w:val="BodyText"/>
        <w:spacing w:line="364" w:lineRule="auto"/>
        <w:ind w:left="293" w:right="936" w:firstLine="420"/>
        <w:jc w:val="both"/>
      </w:pPr>
      <w:r>
        <w:rPr>
          <w:spacing w:val="8"/>
        </w:rPr>
        <w:t>范岳先生，工商管理硕士</w:t>
      </w:r>
      <w:r>
        <w:rPr/>
        <w:t>(MBA)</w:t>
      </w:r>
      <w:r>
        <w:rPr>
          <w:spacing w:val="4"/>
        </w:rPr>
        <w:t>，首席产品官。曾任中国工商银行深圳分行国际业务部科</w:t>
      </w:r>
      <w:r>
        <w:rPr>
          <w:spacing w:val="3"/>
        </w:rPr>
        <w:t>员；深圳证券登记结算公司办公室经理、国际部经理；深圳证券交易所北京中心助理主任、上</w:t>
      </w:r>
      <w:r>
        <w:rPr>
          <w:spacing w:val="9"/>
        </w:rPr>
        <w:t>市部副总监、基金债券部副总监、基金管理部总监。现任易方达基金管理有限公司首席产品</w:t>
      </w:r>
      <w:r>
        <w:rPr/>
        <w:t>官。</w:t>
      </w:r>
    </w:p>
    <w:p>
      <w:pPr>
        <w:pStyle w:val="BodyText"/>
        <w:spacing w:line="364" w:lineRule="auto"/>
        <w:ind w:left="293" w:right="937" w:firstLine="420"/>
        <w:jc w:val="both"/>
      </w:pPr>
      <w:r>
        <w:rPr>
          <w:spacing w:val="-3"/>
        </w:rPr>
        <w:t>关秀霞女士，财务硕士、工商管理硕士，首席国际业务官。曾任中国银行 (香港) 分析员； </w:t>
      </w:r>
      <w:r>
        <w:rPr/>
        <w:t>Daniel Dennis</w:t>
      </w:r>
      <w:r>
        <w:rPr>
          <w:spacing w:val="-5"/>
        </w:rPr>
        <w:t> 高级审计师；美国道富银行波士顿及亚洲总部大中华地区高级副总裁、董事总经</w:t>
      </w:r>
      <w:r>
        <w:rPr>
          <w:spacing w:val="4"/>
        </w:rPr>
        <w:t>理、中国区行长、亚洲区（除日本外）</w:t>
      </w:r>
      <w:r>
        <w:rPr>
          <w:spacing w:val="3"/>
        </w:rPr>
        <w:t>副总裁、机构服务主管、美国共同基金业务风险经理、</w:t>
      </w:r>
    </w:p>
    <w:p>
      <w:pPr>
        <w:spacing w:after="0" w:line="364" w:lineRule="auto"/>
        <w:jc w:val="both"/>
        <w:sectPr>
          <w:pgSz w:w="11910" w:h="16840"/>
          <w:pgMar w:header="0" w:footer="1172" w:top="1580" w:bottom="1440" w:left="1520" w:right="360"/>
        </w:sectPr>
      </w:pPr>
    </w:p>
    <w:p>
      <w:pPr>
        <w:pStyle w:val="BodyText"/>
        <w:spacing w:before="106"/>
        <w:ind w:left="293"/>
      </w:pPr>
      <w:r>
        <w:rPr/>
        <w:t>公司内部审计部高级审计师。现任易方达基金管理有限公司首席国际业务官。</w:t>
      </w:r>
    </w:p>
    <w:p>
      <w:pPr>
        <w:pStyle w:val="BodyText"/>
        <w:spacing w:line="364" w:lineRule="auto" w:before="139"/>
        <w:ind w:left="293" w:right="936" w:firstLine="420"/>
        <w:jc w:val="both"/>
      </w:pPr>
      <w:r>
        <w:rPr>
          <w:spacing w:val="2"/>
        </w:rPr>
        <w:t>高松凡先生，高级管理人员工商管理硕士（</w:t>
      </w:r>
      <w:r>
        <w:rPr/>
        <w:t>EMBA</w:t>
      </w:r>
      <w:r>
        <w:rPr>
          <w:spacing w:val="-103"/>
        </w:rPr>
        <w:t>）</w:t>
      </w:r>
      <w:r>
        <w:rPr>
          <w:spacing w:val="1"/>
        </w:rPr>
        <w:t>，首席养老金业务官。曾任招商银行总行</w:t>
      </w:r>
      <w:r>
        <w:rPr>
          <w:spacing w:val="3"/>
        </w:rPr>
        <w:t>人事部高级经理、企业年金中心副主任；浦东发展银行总行企业年金部总经理；长江养老保险公司首席市场总监；易方达基金管理有限公司养老金业务总监。现任易方达基金管理有限公司首席养老金业务官。</w:t>
      </w:r>
    </w:p>
    <w:p>
      <w:pPr>
        <w:pStyle w:val="BodyText"/>
        <w:spacing w:line="364" w:lineRule="auto"/>
        <w:ind w:left="293" w:right="936" w:firstLine="420"/>
        <w:jc w:val="both"/>
      </w:pPr>
      <w:r>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公司财务中心主任；易方达资产管理（香港）有限公司董事；易方达资产管理有限公司监事；易方达海外投资（深圳）有限公司监事。</w:t>
      </w:r>
    </w:p>
    <w:p>
      <w:pPr>
        <w:pStyle w:val="BodyText"/>
        <w:spacing w:line="364" w:lineRule="auto"/>
        <w:ind w:left="293" w:right="936" w:firstLine="420"/>
        <w:jc w:val="both"/>
      </w:pPr>
      <w:r>
        <w:rPr>
          <w:spacing w:val="3"/>
        </w:rPr>
        <w:t>汪兰英女士，工学学士、法学学士，首席大类资产配置官。曾任中信证券股份有限公司风险投资部投资经理助理；中国证监会基金监管部副主任科员、主任科员、副处长、处长；中国</w:t>
      </w:r>
      <w:r>
        <w:rPr>
          <w:spacing w:val="4"/>
        </w:rPr>
        <w:t>人寿资产管理有限公司风险管理部副总经理（主持工作</w:t>
      </w:r>
      <w:r>
        <w:rPr>
          <w:spacing w:val="-101"/>
        </w:rPr>
        <w:t>）</w:t>
      </w:r>
      <w:r>
        <w:rPr>
          <w:spacing w:val="4"/>
        </w:rPr>
        <w:t>、项目评审部副总经理（主持工作</w:t>
      </w:r>
      <w:r>
        <w:rPr>
          <w:spacing w:val="-101"/>
        </w:rPr>
        <w:t>）</w:t>
      </w:r>
      <w:r>
        <w:rPr/>
        <w:t>、基金投资部副总经理（主持工作</w:t>
      </w:r>
      <w:r>
        <w:rPr>
          <w:spacing w:val="-104"/>
        </w:rPr>
        <w:t>）</w:t>
      </w:r>
      <w:r>
        <w:rPr/>
        <w:t>。现任易方达基金管理有限公司首席大类资产配置官；易方达资产管理有限公司董事。</w:t>
      </w:r>
    </w:p>
    <w:p>
      <w:pPr>
        <w:pStyle w:val="BodyText"/>
        <w:spacing w:line="267" w:lineRule="exact"/>
      </w:pPr>
      <w:r>
        <w:rPr/>
        <w:t>2、基金经理</w:t>
      </w:r>
    </w:p>
    <w:p>
      <w:pPr>
        <w:pStyle w:val="BodyText"/>
        <w:spacing w:line="364" w:lineRule="auto" w:before="136"/>
        <w:ind w:left="293" w:right="936" w:firstLine="420"/>
        <w:jc w:val="both"/>
      </w:pPr>
      <w:r>
        <w:rPr>
          <w:spacing w:val="3"/>
        </w:rPr>
        <w:t>张胜记先生，管理学硕士。曾任易方达基金管理有限公司投资经理助理、基金经理助理、行业研究员、指数与量化投资部总经理助理、指数与量化投资部副总经理、指数及增强投资部</w:t>
      </w:r>
      <w:r>
        <w:rPr/>
        <w:t>副总经理、指数投资部总经理、易方达沪深 300</w:t>
      </w:r>
      <w:r>
        <w:rPr>
          <w:spacing w:val="-4"/>
        </w:rPr>
        <w:t> 交易型开放式指数发起式证券投资基金联接基金基金经理（</w:t>
      </w:r>
      <w:r>
        <w:rPr>
          <w:spacing w:val="-26"/>
        </w:rPr>
        <w:t>自 </w:t>
      </w:r>
      <w:r>
        <w:rPr/>
        <w:t>2011</w:t>
      </w:r>
      <w:r>
        <w:rPr>
          <w:spacing w:val="-32"/>
        </w:rPr>
        <w:t> 年 </w:t>
      </w:r>
      <w:r>
        <w:rPr/>
        <w:t>1</w:t>
      </w:r>
      <w:r>
        <w:rPr>
          <w:spacing w:val="-32"/>
        </w:rPr>
        <w:t> 月 </w:t>
      </w:r>
      <w:r>
        <w:rPr/>
        <w:t>1</w:t>
      </w:r>
      <w:r>
        <w:rPr>
          <w:spacing w:val="-25"/>
        </w:rPr>
        <w:t> 日至 </w:t>
      </w:r>
      <w:r>
        <w:rPr/>
        <w:t>2013</w:t>
      </w:r>
      <w:r>
        <w:rPr>
          <w:spacing w:val="-32"/>
        </w:rPr>
        <w:t> 年 </w:t>
      </w:r>
      <w:r>
        <w:rPr/>
        <w:t>11</w:t>
      </w:r>
      <w:r>
        <w:rPr>
          <w:spacing w:val="-32"/>
        </w:rPr>
        <w:t> 月 </w:t>
      </w:r>
      <w:r>
        <w:rPr/>
        <w:t>13</w:t>
      </w:r>
      <w:r>
        <w:rPr>
          <w:spacing w:val="-25"/>
        </w:rPr>
        <w:t> 日</w:t>
      </w:r>
      <w:r>
        <w:rPr>
          <w:spacing w:val="-103"/>
        </w:rPr>
        <w:t>）</w:t>
      </w:r>
      <w:r>
        <w:rPr/>
        <w:t>、易方达上证中盘交易型开放式指数证券投资基金基金经理（</w:t>
      </w:r>
      <w:r>
        <w:rPr>
          <w:spacing w:val="-24"/>
        </w:rPr>
        <w:t>自 </w:t>
      </w:r>
      <w:r>
        <w:rPr/>
        <w:t>2010</w:t>
      </w:r>
      <w:r>
        <w:rPr>
          <w:spacing w:val="-32"/>
        </w:rPr>
        <w:t> 年 </w:t>
      </w:r>
      <w:r>
        <w:rPr/>
        <w:t>3</w:t>
      </w:r>
      <w:r>
        <w:rPr>
          <w:spacing w:val="-32"/>
        </w:rPr>
        <w:t> 月 </w:t>
      </w:r>
      <w:r>
        <w:rPr/>
        <w:t>29</w:t>
      </w:r>
      <w:r>
        <w:rPr>
          <w:spacing w:val="-25"/>
        </w:rPr>
        <w:t> 日至 </w:t>
      </w:r>
      <w:r>
        <w:rPr/>
        <w:t>2018</w:t>
      </w:r>
      <w:r>
        <w:rPr>
          <w:spacing w:val="-32"/>
        </w:rPr>
        <w:t> 年 </w:t>
      </w:r>
      <w:r>
        <w:rPr/>
        <w:t>8</w:t>
      </w:r>
      <w:r>
        <w:rPr>
          <w:spacing w:val="-32"/>
        </w:rPr>
        <w:t> 月 </w:t>
      </w:r>
      <w:r>
        <w:rPr/>
        <w:t>10</w:t>
      </w:r>
      <w:r>
        <w:rPr>
          <w:spacing w:val="-25"/>
        </w:rPr>
        <w:t> 日</w:t>
      </w:r>
      <w:r>
        <w:rPr>
          <w:spacing w:val="-103"/>
        </w:rPr>
        <w:t>）</w:t>
      </w:r>
      <w:r>
        <w:rPr/>
        <w:t>、易方达上证中盘交易型开放式指数证券投资基金联接基金基金经理（</w:t>
      </w:r>
      <w:r>
        <w:rPr>
          <w:spacing w:val="-24"/>
        </w:rPr>
        <w:t>自 </w:t>
      </w:r>
      <w:r>
        <w:rPr/>
        <w:t>2010</w:t>
      </w:r>
      <w:r>
        <w:rPr>
          <w:spacing w:val="-32"/>
        </w:rPr>
        <w:t> 年 </w:t>
      </w:r>
      <w:r>
        <w:rPr/>
        <w:t>3</w:t>
      </w:r>
      <w:r>
        <w:rPr>
          <w:spacing w:val="-32"/>
        </w:rPr>
        <w:t> 月 </w:t>
      </w:r>
      <w:r>
        <w:rPr/>
        <w:t>31</w:t>
      </w:r>
      <w:r>
        <w:rPr>
          <w:spacing w:val="-25"/>
        </w:rPr>
        <w:t> 日至 </w:t>
      </w:r>
      <w:r>
        <w:rPr/>
        <w:t>2018</w:t>
      </w:r>
      <w:r>
        <w:rPr>
          <w:spacing w:val="-32"/>
        </w:rPr>
        <w:t> 年 </w:t>
      </w:r>
      <w:r>
        <w:rPr/>
        <w:t>8</w:t>
      </w:r>
      <w:r>
        <w:rPr>
          <w:spacing w:val="-32"/>
        </w:rPr>
        <w:t> 月 </w:t>
      </w:r>
      <w:r>
        <w:rPr/>
        <w:t>10</w:t>
      </w:r>
      <w:r>
        <w:rPr>
          <w:spacing w:val="-25"/>
        </w:rPr>
        <w:t> 日</w:t>
      </w:r>
      <w:r>
        <w:rPr>
          <w:spacing w:val="-103"/>
        </w:rPr>
        <w:t>）</w:t>
      </w:r>
      <w:r>
        <w:rPr/>
        <w:t>、易方达标</w:t>
      </w:r>
      <w:r>
        <w:rPr>
          <w:spacing w:val="6"/>
        </w:rPr>
        <w:t>普医疗保健指数证券投资基金</w:t>
      </w:r>
      <w:r>
        <w:rPr>
          <w:spacing w:val="2"/>
        </w:rPr>
        <w:t>（LOF）</w:t>
      </w:r>
      <w:r>
        <w:rPr>
          <w:spacing w:val="6"/>
        </w:rPr>
        <w:t>基金经理（</w:t>
      </w:r>
      <w:r>
        <w:rPr>
          <w:spacing w:val="-24"/>
        </w:rPr>
        <w:t>自 </w:t>
      </w:r>
      <w:r>
        <w:rPr/>
        <w:t>2016</w:t>
      </w:r>
      <w:r>
        <w:rPr>
          <w:spacing w:val="-34"/>
        </w:rPr>
        <w:t> 年 </w:t>
      </w:r>
      <w:r>
        <w:rPr/>
        <w:t>12</w:t>
      </w:r>
      <w:r>
        <w:rPr>
          <w:spacing w:val="-34"/>
        </w:rPr>
        <w:t> 月 </w:t>
      </w:r>
      <w:r>
        <w:rPr/>
        <w:t>3</w:t>
      </w:r>
      <w:r>
        <w:rPr>
          <w:spacing w:val="-24"/>
        </w:rPr>
        <w:t> 日至 </w:t>
      </w:r>
      <w:r>
        <w:rPr/>
        <w:t>2018</w:t>
      </w:r>
      <w:r>
        <w:rPr>
          <w:spacing w:val="-34"/>
        </w:rPr>
        <w:t> 年 </w:t>
      </w:r>
      <w:r>
        <w:rPr/>
        <w:t>8</w:t>
      </w:r>
      <w:r>
        <w:rPr>
          <w:spacing w:val="-34"/>
        </w:rPr>
        <w:t> 月 </w:t>
      </w:r>
      <w:r>
        <w:rPr/>
        <w:t>10</w:t>
      </w:r>
      <w:r>
        <w:rPr>
          <w:spacing w:val="-24"/>
        </w:rPr>
        <w:t> 日</w:t>
      </w:r>
      <w:r>
        <w:rPr>
          <w:spacing w:val="-99"/>
        </w:rPr>
        <w:t>）</w:t>
      </w:r>
      <w:r>
        <w:rPr/>
        <w:t>、</w:t>
      </w:r>
      <w:r>
        <w:rPr>
          <w:spacing w:val="-1"/>
        </w:rPr>
        <w:t>易方达标普 </w:t>
      </w:r>
      <w:r>
        <w:rPr/>
        <w:t>500</w:t>
      </w:r>
      <w:r>
        <w:rPr>
          <w:spacing w:val="1"/>
        </w:rPr>
        <w:t> 指数证券投资基金</w:t>
      </w:r>
      <w:r>
        <w:rPr>
          <w:spacing w:val="4"/>
        </w:rPr>
        <w:t>（LOF）</w:t>
      </w:r>
      <w:r>
        <w:rPr>
          <w:spacing w:val="10"/>
        </w:rPr>
        <w:t>基金经理（</w:t>
      </w:r>
      <w:r>
        <w:rPr>
          <w:spacing w:val="-21"/>
        </w:rPr>
        <w:t>自 </w:t>
      </w:r>
      <w:r>
        <w:rPr/>
        <w:t>2016</w:t>
      </w:r>
      <w:r>
        <w:rPr>
          <w:spacing w:val="-32"/>
        </w:rPr>
        <w:t> 年 </w:t>
      </w:r>
      <w:r>
        <w:rPr/>
        <w:t>12</w:t>
      </w:r>
      <w:r>
        <w:rPr>
          <w:spacing w:val="-32"/>
        </w:rPr>
        <w:t> 月 </w:t>
      </w:r>
      <w:r>
        <w:rPr/>
        <w:t>6</w:t>
      </w:r>
      <w:r>
        <w:rPr>
          <w:spacing w:val="-22"/>
        </w:rPr>
        <w:t> 日至 </w:t>
      </w:r>
      <w:r>
        <w:rPr/>
        <w:t>2018</w:t>
      </w:r>
      <w:r>
        <w:rPr>
          <w:spacing w:val="-32"/>
        </w:rPr>
        <w:t> 年 </w:t>
      </w:r>
      <w:r>
        <w:rPr/>
        <w:t>8</w:t>
      </w:r>
      <w:r>
        <w:rPr>
          <w:spacing w:val="-32"/>
        </w:rPr>
        <w:t> 月 </w:t>
      </w:r>
      <w:r>
        <w:rPr/>
        <w:t>10 </w:t>
      </w:r>
      <w:r>
        <w:rPr>
          <w:spacing w:val="5"/>
        </w:rPr>
        <w:t>日</w:t>
      </w:r>
      <w:r>
        <w:rPr>
          <w:spacing w:val="-100"/>
        </w:rPr>
        <w:t>）</w:t>
      </w:r>
      <w:r>
        <w:rPr>
          <w:spacing w:val="5"/>
        </w:rPr>
        <w:t>、易方达标普生物科技指数证券投资基金</w:t>
      </w:r>
      <w:r>
        <w:rPr/>
        <w:t>（LOF）</w:t>
      </w:r>
      <w:r>
        <w:rPr>
          <w:spacing w:val="5"/>
        </w:rPr>
        <w:t>基金经理（</w:t>
      </w:r>
      <w:r>
        <w:rPr>
          <w:spacing w:val="-23"/>
        </w:rPr>
        <w:t>自 </w:t>
      </w:r>
      <w:r>
        <w:rPr/>
        <w:t>2016</w:t>
      </w:r>
      <w:r>
        <w:rPr>
          <w:spacing w:val="-33"/>
        </w:rPr>
        <w:t> 年 </w:t>
      </w:r>
      <w:r>
        <w:rPr/>
        <w:t>12</w:t>
      </w:r>
      <w:r>
        <w:rPr>
          <w:spacing w:val="-33"/>
        </w:rPr>
        <w:t> 月 </w:t>
      </w:r>
      <w:r>
        <w:rPr/>
        <w:t>15</w:t>
      </w:r>
      <w:r>
        <w:rPr>
          <w:spacing w:val="-24"/>
        </w:rPr>
        <w:t> 日至 </w:t>
      </w:r>
      <w:r>
        <w:rPr/>
        <w:t>2018 </w:t>
      </w:r>
      <w:r>
        <w:rPr>
          <w:spacing w:val="-23"/>
        </w:rPr>
        <w:t>年 </w:t>
      </w:r>
      <w:r>
        <w:rPr/>
        <w:t>8</w:t>
      </w:r>
      <w:r>
        <w:rPr>
          <w:spacing w:val="-34"/>
        </w:rPr>
        <w:t> 月 </w:t>
      </w:r>
      <w:r>
        <w:rPr/>
        <w:t>10</w:t>
      </w:r>
      <w:r>
        <w:rPr>
          <w:spacing w:val="-24"/>
        </w:rPr>
        <w:t> 日</w:t>
      </w:r>
      <w:r>
        <w:rPr>
          <w:spacing w:val="-100"/>
        </w:rPr>
        <w:t>）</w:t>
      </w:r>
      <w:r>
        <w:rPr>
          <w:spacing w:val="5"/>
        </w:rPr>
        <w:t>、易方达标普信息科技指数证券投资基金</w:t>
      </w:r>
      <w:r>
        <w:rPr/>
        <w:t>（LOF）</w:t>
      </w:r>
      <w:r>
        <w:rPr>
          <w:spacing w:val="5"/>
        </w:rPr>
        <w:t>基金经理（</w:t>
      </w:r>
      <w:r>
        <w:rPr>
          <w:spacing w:val="-23"/>
        </w:rPr>
        <w:t>自 </w:t>
      </w:r>
      <w:r>
        <w:rPr/>
        <w:t>2016</w:t>
      </w:r>
      <w:r>
        <w:rPr>
          <w:spacing w:val="-33"/>
        </w:rPr>
        <w:t> 年 </w:t>
      </w:r>
      <w:r>
        <w:rPr/>
        <w:t>12</w:t>
      </w:r>
      <w:r>
        <w:rPr>
          <w:spacing w:val="-33"/>
        </w:rPr>
        <w:t> 月 </w:t>
      </w:r>
      <w:r>
        <w:rPr/>
        <w:t>15 </w:t>
      </w:r>
      <w:r>
        <w:rPr>
          <w:spacing w:val="-14"/>
        </w:rPr>
        <w:t>日至 </w:t>
      </w:r>
      <w:r>
        <w:rPr/>
        <w:t>2018</w:t>
      </w:r>
      <w:r>
        <w:rPr>
          <w:spacing w:val="-34"/>
        </w:rPr>
        <w:t> 年 </w:t>
      </w:r>
      <w:r>
        <w:rPr/>
        <w:t>8</w:t>
      </w:r>
      <w:r>
        <w:rPr>
          <w:spacing w:val="-34"/>
        </w:rPr>
        <w:t> 月 </w:t>
      </w:r>
      <w:r>
        <w:rPr/>
        <w:t>10</w:t>
      </w:r>
      <w:r>
        <w:rPr>
          <w:spacing w:val="-24"/>
        </w:rPr>
        <w:t> 日</w:t>
      </w:r>
      <w:r>
        <w:rPr>
          <w:spacing w:val="-99"/>
        </w:rPr>
        <w:t>）</w:t>
      </w:r>
      <w:r>
        <w:rPr>
          <w:spacing w:val="6"/>
        </w:rPr>
        <w:t>、易方达恒生中国企业交易型开放式指数证券投资基金基金经理（</w:t>
      </w:r>
      <w:r>
        <w:rPr/>
        <w:t>自2012</w:t>
      </w:r>
      <w:r>
        <w:rPr>
          <w:spacing w:val="-36"/>
        </w:rPr>
        <w:t> 年 </w:t>
      </w:r>
      <w:r>
        <w:rPr/>
        <w:t>8</w:t>
      </w:r>
      <w:r>
        <w:rPr>
          <w:spacing w:val="-36"/>
        </w:rPr>
        <w:t> 月 </w:t>
      </w:r>
      <w:r>
        <w:rPr/>
        <w:t>9</w:t>
      </w:r>
      <w:r>
        <w:rPr>
          <w:spacing w:val="-27"/>
        </w:rPr>
        <w:t> 日至 </w:t>
      </w:r>
      <w:r>
        <w:rPr/>
        <w:t>2020</w:t>
      </w:r>
      <w:r>
        <w:rPr>
          <w:spacing w:val="-36"/>
        </w:rPr>
        <w:t> 年 </w:t>
      </w:r>
      <w:r>
        <w:rPr/>
        <w:t>3</w:t>
      </w:r>
      <w:r>
        <w:rPr>
          <w:spacing w:val="-36"/>
        </w:rPr>
        <w:t> 月 </w:t>
      </w:r>
      <w:r>
        <w:rPr/>
        <w:t>17</w:t>
      </w:r>
      <w:r>
        <w:rPr>
          <w:spacing w:val="-27"/>
        </w:rPr>
        <w:t> 日</w:t>
      </w:r>
      <w:r>
        <w:rPr>
          <w:spacing w:val="-105"/>
        </w:rPr>
        <w:t>）</w:t>
      </w:r>
      <w:r>
        <w:rPr/>
        <w:t>、易方达恒生中国企业交易型开放式指数证券投资基金联接基金基金经理（</w:t>
      </w:r>
      <w:r>
        <w:rPr>
          <w:spacing w:val="-24"/>
        </w:rPr>
        <w:t>自 </w:t>
      </w:r>
      <w:r>
        <w:rPr/>
        <w:t>2012</w:t>
      </w:r>
      <w:r>
        <w:rPr>
          <w:spacing w:val="-32"/>
        </w:rPr>
        <w:t> 年 </w:t>
      </w:r>
      <w:r>
        <w:rPr/>
        <w:t>8</w:t>
      </w:r>
      <w:r>
        <w:rPr>
          <w:spacing w:val="-32"/>
        </w:rPr>
        <w:t> 月 </w:t>
      </w:r>
      <w:r>
        <w:rPr/>
        <w:t>21</w:t>
      </w:r>
      <w:r>
        <w:rPr>
          <w:spacing w:val="-25"/>
        </w:rPr>
        <w:t> 日至 </w:t>
      </w:r>
      <w:r>
        <w:rPr/>
        <w:t>2020</w:t>
      </w:r>
      <w:r>
        <w:rPr>
          <w:spacing w:val="-32"/>
        </w:rPr>
        <w:t> 年 </w:t>
      </w:r>
      <w:r>
        <w:rPr/>
        <w:t>3</w:t>
      </w:r>
      <w:r>
        <w:rPr>
          <w:spacing w:val="-32"/>
        </w:rPr>
        <w:t> 月 </w:t>
      </w:r>
      <w:r>
        <w:rPr/>
        <w:t>17</w:t>
      </w:r>
      <w:r>
        <w:rPr>
          <w:spacing w:val="-25"/>
        </w:rPr>
        <w:t> 日</w:t>
      </w:r>
      <w:r>
        <w:rPr>
          <w:spacing w:val="-103"/>
        </w:rPr>
        <w:t>）</w:t>
      </w:r>
      <w:r>
        <w:rPr/>
        <w:t>、易方达香港恒生综合小型股指数</w:t>
      </w:r>
      <w:r>
        <w:rPr>
          <w:spacing w:val="6"/>
        </w:rPr>
        <w:t>证券投资基金</w:t>
      </w:r>
      <w:r>
        <w:rPr>
          <w:spacing w:val="2"/>
        </w:rPr>
        <w:t>（LOF）</w:t>
      </w:r>
      <w:r>
        <w:rPr>
          <w:spacing w:val="6"/>
        </w:rPr>
        <w:t>基金经理（</w:t>
      </w:r>
      <w:r>
        <w:rPr>
          <w:spacing w:val="-24"/>
        </w:rPr>
        <w:t>自 </w:t>
      </w:r>
      <w:r>
        <w:rPr/>
        <w:t>2016</w:t>
      </w:r>
      <w:r>
        <w:rPr>
          <w:spacing w:val="-34"/>
        </w:rPr>
        <w:t> 年 </w:t>
      </w:r>
      <w:r>
        <w:rPr/>
        <w:t>11</w:t>
      </w:r>
      <w:r>
        <w:rPr>
          <w:spacing w:val="-34"/>
        </w:rPr>
        <w:t> 月 </w:t>
      </w:r>
      <w:r>
        <w:rPr/>
        <w:t>2</w:t>
      </w:r>
      <w:r>
        <w:rPr>
          <w:spacing w:val="-24"/>
        </w:rPr>
        <w:t> 日至 </w:t>
      </w:r>
      <w:r>
        <w:rPr/>
        <w:t>2020</w:t>
      </w:r>
      <w:r>
        <w:rPr>
          <w:spacing w:val="-34"/>
        </w:rPr>
        <w:t> 年 </w:t>
      </w:r>
      <w:r>
        <w:rPr/>
        <w:t>3</w:t>
      </w:r>
      <w:r>
        <w:rPr>
          <w:spacing w:val="-34"/>
        </w:rPr>
        <w:t> 月 </w:t>
      </w:r>
      <w:r>
        <w:rPr/>
        <w:t>17</w:t>
      </w:r>
      <w:r>
        <w:rPr>
          <w:spacing w:val="-24"/>
        </w:rPr>
        <w:t> 日</w:t>
      </w:r>
      <w:r>
        <w:rPr>
          <w:spacing w:val="-99"/>
        </w:rPr>
        <w:t>）</w:t>
      </w:r>
      <w:r>
        <w:rPr>
          <w:spacing w:val="5"/>
        </w:rPr>
        <w:t>、易方达原油证券</w:t>
      </w:r>
      <w:r>
        <w:rPr>
          <w:spacing w:val="6"/>
        </w:rPr>
        <w:t>投资基金</w:t>
      </w:r>
      <w:r>
        <w:rPr/>
        <w:t>（QDII）</w:t>
      </w:r>
      <w:r>
        <w:rPr>
          <w:spacing w:val="6"/>
        </w:rPr>
        <w:t>基金经理（</w:t>
      </w:r>
      <w:r>
        <w:rPr>
          <w:spacing w:val="-23"/>
        </w:rPr>
        <w:t>自 </w:t>
      </w:r>
      <w:r>
        <w:rPr/>
        <w:t>2016</w:t>
      </w:r>
      <w:r>
        <w:rPr>
          <w:spacing w:val="-33"/>
        </w:rPr>
        <w:t> 年 </w:t>
      </w:r>
      <w:r>
        <w:rPr/>
        <w:t>12</w:t>
      </w:r>
      <w:r>
        <w:rPr>
          <w:spacing w:val="-33"/>
        </w:rPr>
        <w:t> 月 </w:t>
      </w:r>
      <w:r>
        <w:rPr/>
        <w:t>19</w:t>
      </w:r>
      <w:r>
        <w:rPr>
          <w:spacing w:val="-24"/>
        </w:rPr>
        <w:t> 日至 </w:t>
      </w:r>
      <w:r>
        <w:rPr/>
        <w:t>2020</w:t>
      </w:r>
      <w:r>
        <w:rPr>
          <w:spacing w:val="-33"/>
        </w:rPr>
        <w:t> 年 </w:t>
      </w:r>
      <w:r>
        <w:rPr/>
        <w:t>3</w:t>
      </w:r>
      <w:r>
        <w:rPr>
          <w:spacing w:val="-33"/>
        </w:rPr>
        <w:t> 月 </w:t>
      </w:r>
      <w:r>
        <w:rPr/>
        <w:t>17</w:t>
      </w:r>
      <w:r>
        <w:rPr>
          <w:spacing w:val="-23"/>
        </w:rPr>
        <w:t> 日</w:t>
      </w:r>
      <w:r>
        <w:rPr>
          <w:spacing w:val="-99"/>
        </w:rPr>
        <w:t>）</w:t>
      </w:r>
      <w:r>
        <w:rPr>
          <w:spacing w:val="5"/>
        </w:rPr>
        <w:t>。现任易方达基金管</w:t>
      </w:r>
      <w:r>
        <w:rPr>
          <w:spacing w:val="1"/>
        </w:rPr>
        <w:t>理有限公司指数增强投资部联席总经理、易方达 </w:t>
      </w:r>
      <w:r>
        <w:rPr/>
        <w:t>50</w:t>
      </w:r>
      <w:r>
        <w:rPr>
          <w:spacing w:val="-3"/>
        </w:rPr>
        <w:t> 指数证券投资基金基金经理</w:t>
      </w:r>
      <w:r>
        <w:rPr>
          <w:spacing w:val="5"/>
        </w:rPr>
        <w:t>（</w:t>
      </w:r>
      <w:r>
        <w:rPr>
          <w:spacing w:val="-24"/>
        </w:rPr>
        <w:t>自 </w:t>
      </w:r>
      <w:r>
        <w:rPr/>
        <w:t>2012</w:t>
      </w:r>
      <w:r>
        <w:rPr>
          <w:spacing w:val="-34"/>
        </w:rPr>
        <w:t> 年 </w:t>
      </w:r>
      <w:r>
        <w:rPr/>
        <w:t>9 </w:t>
      </w:r>
      <w:r>
        <w:rPr>
          <w:spacing w:val="-21"/>
        </w:rPr>
        <w:t>月 </w:t>
      </w:r>
      <w:r>
        <w:rPr/>
        <w:t>28</w:t>
      </w:r>
      <w:r>
        <w:rPr>
          <w:spacing w:val="-9"/>
        </w:rPr>
        <w:t> 日起任职</w:t>
      </w:r>
      <w:r>
        <w:rPr>
          <w:spacing w:val="-103"/>
        </w:rPr>
        <w:t>）</w:t>
      </w:r>
      <w:r>
        <w:rPr/>
        <w:t>、易方达标普全球高端消费品指数增强型证券投资基金基金经理（</w:t>
      </w:r>
      <w:r>
        <w:rPr>
          <w:spacing w:val="-21"/>
        </w:rPr>
        <w:t>自 </w:t>
      </w:r>
      <w:r>
        <w:rPr/>
        <w:t>2014</w:t>
      </w:r>
      <w:r>
        <w:rPr>
          <w:spacing w:val="-28"/>
        </w:rPr>
        <w:t> 年 </w:t>
      </w:r>
      <w:r>
        <w:rPr/>
        <w:t>9</w:t>
      </w:r>
    </w:p>
    <w:p>
      <w:pPr>
        <w:spacing w:after="0" w:line="364" w:lineRule="auto"/>
        <w:jc w:val="both"/>
        <w:sectPr>
          <w:pgSz w:w="11910" w:h="16840"/>
          <w:pgMar w:header="0" w:footer="1172" w:top="1580" w:bottom="1440" w:left="1520" w:right="360"/>
        </w:sectPr>
      </w:pPr>
    </w:p>
    <w:p>
      <w:pPr>
        <w:pStyle w:val="BodyText"/>
        <w:spacing w:before="106"/>
        <w:ind w:left="293"/>
        <w:jc w:val="both"/>
      </w:pPr>
      <w:r>
        <w:rPr>
          <w:spacing w:val="-27"/>
        </w:rPr>
        <w:t>月 </w:t>
      </w:r>
      <w:r>
        <w:rPr/>
        <w:t>13</w:t>
      </w:r>
      <w:r>
        <w:rPr>
          <w:spacing w:val="-12"/>
        </w:rPr>
        <w:t> 日起任职</w:t>
      </w:r>
      <w:r>
        <w:rPr>
          <w:spacing w:val="-105"/>
        </w:rPr>
        <w:t>）</w:t>
      </w:r>
      <w:r>
        <w:rPr/>
        <w:t>。</w:t>
      </w:r>
    </w:p>
    <w:p>
      <w:pPr>
        <w:pStyle w:val="BodyText"/>
        <w:spacing w:line="364" w:lineRule="auto" w:before="139"/>
        <w:ind w:left="293" w:right="988" w:firstLine="420"/>
        <w:jc w:val="both"/>
      </w:pPr>
      <w:r>
        <w:rPr>
          <w:spacing w:val="5"/>
        </w:rPr>
        <w:t>本基金历任基金经理情况：王守章先生，管理时间为 </w:t>
      </w:r>
      <w:r>
        <w:rPr/>
        <w:t>2004</w:t>
      </w:r>
      <w:r>
        <w:rPr>
          <w:spacing w:val="-33"/>
        </w:rPr>
        <w:t> 年 </w:t>
      </w:r>
      <w:r>
        <w:rPr/>
        <w:t>3</w:t>
      </w:r>
      <w:r>
        <w:rPr>
          <w:spacing w:val="-33"/>
        </w:rPr>
        <w:t> 月 </w:t>
      </w:r>
      <w:r>
        <w:rPr/>
        <w:t>22</w:t>
      </w:r>
      <w:r>
        <w:rPr>
          <w:spacing w:val="-22"/>
        </w:rPr>
        <w:t> 日至 </w:t>
      </w:r>
      <w:r>
        <w:rPr/>
        <w:t>2006</w:t>
      </w:r>
      <w:r>
        <w:rPr>
          <w:spacing w:val="-33"/>
        </w:rPr>
        <w:t> 年 </w:t>
      </w:r>
      <w:r>
        <w:rPr/>
        <w:t>4</w:t>
      </w:r>
      <w:r>
        <w:rPr>
          <w:spacing w:val="-33"/>
        </w:rPr>
        <w:t> 月 </w:t>
      </w:r>
      <w:r>
        <w:rPr/>
        <w:t>7 </w:t>
      </w:r>
      <w:r>
        <w:rPr>
          <w:spacing w:val="-1"/>
        </w:rPr>
        <w:t>日；梁天喜先生，管理时间为 </w:t>
      </w:r>
      <w:r>
        <w:rPr/>
        <w:t>2006</w:t>
      </w:r>
      <w:r>
        <w:rPr>
          <w:spacing w:val="-35"/>
        </w:rPr>
        <w:t> 年 </w:t>
      </w:r>
      <w:r>
        <w:rPr/>
        <w:t>4</w:t>
      </w:r>
      <w:r>
        <w:rPr>
          <w:spacing w:val="-35"/>
        </w:rPr>
        <w:t> 月 </w:t>
      </w:r>
      <w:r>
        <w:rPr/>
        <w:t>8</w:t>
      </w:r>
      <w:r>
        <w:rPr>
          <w:spacing w:val="-25"/>
        </w:rPr>
        <w:t> 日至 </w:t>
      </w:r>
      <w:r>
        <w:rPr/>
        <w:t>2007</w:t>
      </w:r>
      <w:r>
        <w:rPr>
          <w:spacing w:val="-35"/>
        </w:rPr>
        <w:t> 年 </w:t>
      </w:r>
      <w:r>
        <w:rPr/>
        <w:t>12</w:t>
      </w:r>
      <w:r>
        <w:rPr>
          <w:spacing w:val="-35"/>
        </w:rPr>
        <w:t> 月 </w:t>
      </w:r>
      <w:r>
        <w:rPr/>
        <w:t>31</w:t>
      </w:r>
      <w:r>
        <w:rPr>
          <w:spacing w:val="-4"/>
        </w:rPr>
        <w:t> 日；马骏先生，管理时间为2004</w:t>
      </w:r>
      <w:r>
        <w:rPr>
          <w:spacing w:val="-35"/>
        </w:rPr>
        <w:t> 年 </w:t>
      </w:r>
      <w:r>
        <w:rPr/>
        <w:t>3</w:t>
      </w:r>
      <w:r>
        <w:rPr>
          <w:spacing w:val="-35"/>
        </w:rPr>
        <w:t> 月 </w:t>
      </w:r>
      <w:r>
        <w:rPr/>
        <w:t>22</w:t>
      </w:r>
      <w:r>
        <w:rPr>
          <w:spacing w:val="-27"/>
        </w:rPr>
        <w:t> 日至 </w:t>
      </w:r>
      <w:r>
        <w:rPr/>
        <w:t>2007</w:t>
      </w:r>
      <w:r>
        <w:rPr>
          <w:spacing w:val="-35"/>
        </w:rPr>
        <w:t> 年 </w:t>
      </w:r>
      <w:r>
        <w:rPr/>
        <w:t>12</w:t>
      </w:r>
      <w:r>
        <w:rPr>
          <w:spacing w:val="-35"/>
        </w:rPr>
        <w:t> 月 </w:t>
      </w:r>
      <w:r>
        <w:rPr/>
        <w:t>31</w:t>
      </w:r>
      <w:r>
        <w:rPr>
          <w:spacing w:val="-12"/>
        </w:rPr>
        <w:t> 日；林飞先生，管理时间为 </w:t>
      </w:r>
      <w:r>
        <w:rPr/>
        <w:t>2007</w:t>
      </w:r>
      <w:r>
        <w:rPr>
          <w:spacing w:val="-35"/>
        </w:rPr>
        <w:t> 年 </w:t>
      </w:r>
      <w:r>
        <w:rPr/>
        <w:t>2</w:t>
      </w:r>
      <w:r>
        <w:rPr>
          <w:spacing w:val="-35"/>
        </w:rPr>
        <w:t> 月 </w:t>
      </w:r>
      <w:r>
        <w:rPr/>
        <w:t>10</w:t>
      </w:r>
      <w:r>
        <w:rPr>
          <w:spacing w:val="-27"/>
        </w:rPr>
        <w:t> 日至 </w:t>
      </w:r>
      <w:r>
        <w:rPr/>
        <w:t>2015</w:t>
      </w:r>
      <w:r>
        <w:rPr>
          <w:spacing w:val="-35"/>
        </w:rPr>
        <w:t> 年 </w:t>
      </w:r>
      <w:r>
        <w:rPr/>
        <w:t>6 </w:t>
      </w:r>
      <w:r>
        <w:rPr>
          <w:spacing w:val="-27"/>
        </w:rPr>
        <w:t>月 </w:t>
      </w:r>
      <w:r>
        <w:rPr/>
        <w:t>5</w:t>
      </w:r>
      <w:r>
        <w:rPr>
          <w:spacing w:val="-18"/>
        </w:rPr>
        <w:t> 日。</w:t>
      </w:r>
    </w:p>
    <w:p>
      <w:pPr>
        <w:pStyle w:val="BodyText"/>
        <w:spacing w:line="267" w:lineRule="exact"/>
      </w:pPr>
      <w:r>
        <w:rPr/>
        <w:t>3、权益决策委员会成员</w:t>
      </w:r>
    </w:p>
    <w:p>
      <w:pPr>
        <w:pStyle w:val="BodyText"/>
        <w:spacing w:line="364" w:lineRule="auto" w:before="140"/>
        <w:ind w:left="293" w:right="936" w:firstLine="420"/>
      </w:pPr>
      <w:r>
        <w:rPr/>
        <w:t>本公司权益投资决策委员会成员包括：吴欣荣先生、冯波先生、陈皓先生、张坤先生、孙松先生、付浩先生。</w:t>
      </w:r>
    </w:p>
    <w:p>
      <w:pPr>
        <w:pStyle w:val="BodyText"/>
        <w:spacing w:line="268" w:lineRule="exact"/>
      </w:pPr>
      <w:r>
        <w:rPr/>
        <w:t>吴欣荣先生，同上。</w:t>
      </w:r>
    </w:p>
    <w:p>
      <w:pPr>
        <w:pStyle w:val="BodyText"/>
        <w:spacing w:line="364" w:lineRule="auto" w:before="139"/>
        <w:ind w:left="293" w:right="936" w:firstLine="420"/>
        <w:jc w:val="both"/>
      </w:pPr>
      <w:r>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pPr>
        <w:pStyle w:val="BodyText"/>
        <w:spacing w:line="364" w:lineRule="auto"/>
        <w:ind w:left="293" w:right="936" w:firstLine="420"/>
        <w:jc w:val="both"/>
      </w:pPr>
      <w:r>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p>
    <w:p>
      <w:pPr>
        <w:pStyle w:val="BodyText"/>
        <w:spacing w:line="364" w:lineRule="auto"/>
        <w:ind w:left="293" w:right="936" w:firstLine="420"/>
        <w:jc w:val="both"/>
      </w:pPr>
      <w:r>
        <w:rPr/>
        <w:t>张坤先生，理学硕士。曾任易方达基金管理有限公司行业研究员、基金经理助理、研究部总经理助理。现任易方达基金管理有限公司易方达中小盘混合型证券投资基金基金经理、易方达亚洲精选股票型证券投资基金基金经理、易方达新丝路灵活配置混合型证券投资基金基金经理、易方达蓝筹精选混合型证券投资基金基金经理。</w:t>
      </w:r>
    </w:p>
    <w:p>
      <w:pPr>
        <w:pStyle w:val="BodyText"/>
        <w:spacing w:line="364" w:lineRule="auto"/>
        <w:ind w:left="293" w:right="936" w:firstLine="420"/>
        <w:jc w:val="both"/>
      </w:pPr>
      <w:r>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pPr>
        <w:pStyle w:val="BodyText"/>
        <w:spacing w:line="364" w:lineRule="auto"/>
        <w:ind w:left="293" w:right="936" w:firstLine="420"/>
      </w:pPr>
      <w:r>
        <w:rPr/>
        <w:t>付浩先生，经济学硕士。曾任广东粤财信托投资有限公司国际金融部职员，深圳和君创业研究咨询有限公司管理咨询项目经理，湖南证券投资银行总部项目经理，融通基金管理有限公</w:t>
      </w:r>
    </w:p>
    <w:p>
      <w:pPr>
        <w:spacing w:after="0" w:line="364" w:lineRule="auto"/>
        <w:sectPr>
          <w:pgSz w:w="11910" w:h="16840"/>
          <w:pgMar w:header="0" w:footer="1172" w:top="1580" w:bottom="1440" w:left="1520" w:right="360"/>
        </w:sectPr>
      </w:pPr>
    </w:p>
    <w:p>
      <w:pPr>
        <w:pStyle w:val="BodyText"/>
        <w:spacing w:line="364" w:lineRule="auto" w:before="106"/>
        <w:ind w:left="293" w:right="936"/>
        <w:jc w:val="both"/>
      </w:pPr>
      <w:r>
        <w:rPr/>
        <w:t>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 3 年封闭运作战略配售灵活配置混合型证券投资基金（LOF）基金经理。</w:t>
      </w:r>
    </w:p>
    <w:p>
      <w:pPr>
        <w:pStyle w:val="BodyText"/>
        <w:spacing w:line="267" w:lineRule="exact"/>
      </w:pPr>
      <w:r>
        <w:rPr/>
        <w:t>4、上述人员之间均不存在近亲属关系。</w:t>
      </w:r>
    </w:p>
    <w:p>
      <w:pPr>
        <w:pStyle w:val="Heading2"/>
        <w:spacing w:before="140"/>
      </w:pPr>
      <w:bookmarkStart w:name="_bookmark5" w:id="6"/>
      <w:bookmarkEnd w:id="6"/>
      <w:r>
        <w:rPr/>
      </w:r>
      <w:r>
        <w:rPr/>
        <w:t>（三）基金管理人的职责</w:t>
      </w:r>
    </w:p>
    <w:p>
      <w:pPr>
        <w:pStyle w:val="BodyText"/>
        <w:spacing w:before="185"/>
      </w:pPr>
      <w:r>
        <w:rPr/>
        <w:t>1、依法募集资金，办理基金份额的发售和登记事宜；</w:t>
      </w:r>
    </w:p>
    <w:p>
      <w:pPr>
        <w:pStyle w:val="BodyText"/>
        <w:spacing w:before="140"/>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pStyle w:val="BodyText"/>
        <w:spacing w:before="139"/>
      </w:pPr>
      <w:r>
        <w:rPr/>
        <w:t>5、进行基金会计核算并编制基金财务会计报告；</w:t>
      </w:r>
    </w:p>
    <w:p>
      <w:pPr>
        <w:pStyle w:val="BodyText"/>
        <w:spacing w:before="140"/>
      </w:pPr>
      <w:r>
        <w:rPr/>
        <w:t>6、编制季度报告、中期报告和年度报告；</w:t>
      </w:r>
    </w:p>
    <w:p>
      <w:pPr>
        <w:pStyle w:val="BodyText"/>
        <w:spacing w:before="139"/>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before="140"/>
      </w:pPr>
      <w:r>
        <w:rPr/>
        <w:t>11、以基金管理人名义，代表基金份额持有人利益行使诉讼权利或者实施其他法律行为；</w:t>
      </w:r>
    </w:p>
    <w:p>
      <w:pPr>
        <w:pStyle w:val="BodyText"/>
        <w:spacing w:before="139"/>
      </w:pPr>
      <w:r>
        <w:rPr/>
        <w:t>12、国务院证券监督管理机构规定的其他职责。</w:t>
      </w:r>
    </w:p>
    <w:p>
      <w:pPr>
        <w:pStyle w:val="Heading2"/>
        <w:spacing w:before="141"/>
      </w:pPr>
      <w:bookmarkStart w:name="_bookmark6" w:id="7"/>
      <w:bookmarkEnd w:id="7"/>
      <w:r>
        <w:rPr/>
      </w:r>
      <w:r>
        <w:rPr/>
        <w:t>（四）基金管理人的承诺</w:t>
      </w:r>
    </w:p>
    <w:p>
      <w:pPr>
        <w:pStyle w:val="BodyText"/>
        <w:spacing w:line="364" w:lineRule="auto" w:before="185"/>
        <w:ind w:left="293" w:right="936" w:firstLine="420"/>
        <w:jc w:val="both"/>
      </w:pPr>
      <w:r>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pPr>
        <w:pStyle w:val="BodyText"/>
        <w:spacing w:line="364" w:lineRule="auto"/>
        <w:ind w:left="293" w:right="936" w:firstLine="420"/>
      </w:pPr>
      <w:r>
        <w:rPr/>
        <w:t>2、本基金管理人承诺严格遵守《证券法》、《基金法》及有关法律法规，建立健全内部控制制度，采取有效措施，防止下列行为发生：</w:t>
      </w:r>
    </w:p>
    <w:p>
      <w:pPr>
        <w:pStyle w:val="ListParagraph"/>
        <w:numPr>
          <w:ilvl w:val="0"/>
          <w:numId w:val="1"/>
        </w:numPr>
        <w:tabs>
          <w:tab w:pos="1428" w:val="left" w:leader="none"/>
        </w:tabs>
        <w:spacing w:line="268" w:lineRule="exact" w:before="0" w:after="0"/>
        <w:ind w:left="1428" w:right="0" w:hanging="715"/>
        <w:jc w:val="left"/>
        <w:rPr>
          <w:sz w:val="21"/>
        </w:rPr>
      </w:pPr>
      <w:r>
        <w:rPr>
          <w:sz w:val="21"/>
        </w:rPr>
        <w:t>将其固有财产或者他人财产混同于基金财产从事证券投资；</w:t>
      </w:r>
    </w:p>
    <w:p>
      <w:pPr>
        <w:pStyle w:val="ListParagraph"/>
        <w:numPr>
          <w:ilvl w:val="0"/>
          <w:numId w:val="1"/>
        </w:numPr>
        <w:tabs>
          <w:tab w:pos="1428" w:val="left" w:leader="none"/>
        </w:tabs>
        <w:spacing w:line="240" w:lineRule="auto" w:before="138" w:after="0"/>
        <w:ind w:left="1428" w:right="0" w:hanging="715"/>
        <w:jc w:val="left"/>
        <w:rPr>
          <w:sz w:val="21"/>
        </w:rPr>
      </w:pPr>
      <w:r>
        <w:rPr>
          <w:sz w:val="21"/>
        </w:rPr>
        <w:t>不公平地对待其管理的不同基金财产；</w:t>
      </w:r>
    </w:p>
    <w:p>
      <w:pPr>
        <w:pStyle w:val="ListParagraph"/>
        <w:numPr>
          <w:ilvl w:val="0"/>
          <w:numId w:val="1"/>
        </w:numPr>
        <w:tabs>
          <w:tab w:pos="1428" w:val="left" w:leader="none"/>
        </w:tabs>
        <w:spacing w:line="240" w:lineRule="auto" w:before="139" w:after="0"/>
        <w:ind w:left="1428" w:right="0" w:hanging="715"/>
        <w:jc w:val="left"/>
        <w:rPr>
          <w:sz w:val="21"/>
        </w:rPr>
      </w:pPr>
      <w:r>
        <w:rPr>
          <w:sz w:val="21"/>
        </w:rPr>
        <w:t>利用基金财产或者职务之便为基金份额持有人以外的第三人谋取利益；</w:t>
      </w:r>
    </w:p>
    <w:p>
      <w:pPr>
        <w:pStyle w:val="ListParagraph"/>
        <w:numPr>
          <w:ilvl w:val="0"/>
          <w:numId w:val="1"/>
        </w:numPr>
        <w:tabs>
          <w:tab w:pos="1428" w:val="left" w:leader="none"/>
        </w:tabs>
        <w:spacing w:line="240" w:lineRule="auto" w:before="139" w:after="0"/>
        <w:ind w:left="1428" w:right="0" w:hanging="715"/>
        <w:jc w:val="left"/>
        <w:rPr>
          <w:sz w:val="21"/>
        </w:rPr>
      </w:pPr>
      <w:r>
        <w:rPr>
          <w:sz w:val="21"/>
        </w:rPr>
        <w:t>向基金份额持有人违规承诺收益或者承担损失；</w:t>
      </w:r>
    </w:p>
    <w:p>
      <w:pPr>
        <w:pStyle w:val="ListParagraph"/>
        <w:numPr>
          <w:ilvl w:val="0"/>
          <w:numId w:val="1"/>
        </w:numPr>
        <w:tabs>
          <w:tab w:pos="1428" w:val="left" w:leader="none"/>
        </w:tabs>
        <w:spacing w:line="240" w:lineRule="auto" w:before="140" w:after="0"/>
        <w:ind w:left="1428" w:right="0" w:hanging="715"/>
        <w:jc w:val="left"/>
        <w:rPr>
          <w:sz w:val="21"/>
        </w:rPr>
      </w:pPr>
      <w:r>
        <w:rPr>
          <w:sz w:val="21"/>
        </w:rPr>
        <w:t>侵占、挪用基金财产；</w:t>
      </w:r>
    </w:p>
    <w:p>
      <w:pPr>
        <w:pStyle w:val="ListParagraph"/>
        <w:numPr>
          <w:ilvl w:val="0"/>
          <w:numId w:val="1"/>
        </w:numPr>
        <w:tabs>
          <w:tab w:pos="1434" w:val="left" w:leader="none"/>
        </w:tabs>
        <w:spacing w:line="364" w:lineRule="auto" w:before="139" w:after="0"/>
        <w:ind w:left="1427" w:right="936" w:hanging="714"/>
        <w:jc w:val="left"/>
        <w:rPr>
          <w:sz w:val="21"/>
        </w:rPr>
      </w:pPr>
      <w:r>
        <w:rPr>
          <w:sz w:val="21"/>
        </w:rPr>
        <w:t>泄露因职务便利获取的未公开信息、利用该信息从事或者明示、暗示他人从事相关的交易活动；</w:t>
      </w:r>
    </w:p>
    <w:p>
      <w:pPr>
        <w:spacing w:after="0" w:line="364" w:lineRule="auto"/>
        <w:jc w:val="left"/>
        <w:rPr>
          <w:sz w:val="21"/>
        </w:rPr>
        <w:sectPr>
          <w:pgSz w:w="11910" w:h="16840"/>
          <w:pgMar w:header="0" w:footer="1172" w:top="1580" w:bottom="1440" w:left="1520" w:right="360"/>
        </w:sectPr>
      </w:pPr>
    </w:p>
    <w:p>
      <w:pPr>
        <w:pStyle w:val="ListParagraph"/>
        <w:numPr>
          <w:ilvl w:val="0"/>
          <w:numId w:val="1"/>
        </w:numPr>
        <w:tabs>
          <w:tab w:pos="1428" w:val="left" w:leader="none"/>
        </w:tabs>
        <w:spacing w:line="240" w:lineRule="auto" w:before="106" w:after="0"/>
        <w:ind w:left="1428" w:right="0" w:hanging="715"/>
        <w:jc w:val="left"/>
        <w:rPr>
          <w:sz w:val="21"/>
        </w:rPr>
      </w:pPr>
      <w:r>
        <w:rPr>
          <w:sz w:val="21"/>
        </w:rPr>
        <w:t>玩忽职守，不按照规定履行职责；</w:t>
      </w:r>
    </w:p>
    <w:p>
      <w:pPr>
        <w:pStyle w:val="ListParagraph"/>
        <w:numPr>
          <w:ilvl w:val="0"/>
          <w:numId w:val="1"/>
        </w:numPr>
        <w:tabs>
          <w:tab w:pos="1428" w:val="left" w:leader="none"/>
        </w:tabs>
        <w:spacing w:line="240" w:lineRule="auto" w:before="139" w:after="0"/>
        <w:ind w:left="1428" w:right="0" w:hanging="715"/>
        <w:jc w:val="left"/>
        <w:rPr>
          <w:sz w:val="21"/>
        </w:rPr>
      </w:pPr>
      <w:r>
        <w:rPr>
          <w:sz w:val="21"/>
        </w:rPr>
        <w:t>法律、行政法规和中国证监会规定禁止的其他行为。</w:t>
      </w:r>
    </w:p>
    <w:p>
      <w:pPr>
        <w:pStyle w:val="BodyText"/>
        <w:spacing w:before="140"/>
      </w:pPr>
      <w:r>
        <w:rPr/>
        <w:t>3、本基金管理人禁止利用基金资产从事以下投资或活动：</w:t>
      </w:r>
    </w:p>
    <w:p>
      <w:pPr>
        <w:pStyle w:val="ListParagraph"/>
        <w:numPr>
          <w:ilvl w:val="0"/>
          <w:numId w:val="2"/>
        </w:numPr>
        <w:tabs>
          <w:tab w:pos="1240" w:val="left" w:leader="none"/>
        </w:tabs>
        <w:spacing w:line="240" w:lineRule="auto" w:before="139" w:after="0"/>
        <w:ind w:left="1240" w:right="0" w:hanging="527"/>
        <w:jc w:val="left"/>
        <w:rPr>
          <w:sz w:val="21"/>
        </w:rPr>
      </w:pPr>
      <w:r>
        <w:rPr>
          <w:sz w:val="21"/>
        </w:rPr>
        <w:t>承销证券；</w:t>
      </w:r>
    </w:p>
    <w:p>
      <w:pPr>
        <w:pStyle w:val="ListParagraph"/>
        <w:numPr>
          <w:ilvl w:val="0"/>
          <w:numId w:val="2"/>
        </w:numPr>
        <w:tabs>
          <w:tab w:pos="1240" w:val="left" w:leader="none"/>
        </w:tabs>
        <w:spacing w:line="240" w:lineRule="auto" w:before="140" w:after="0"/>
        <w:ind w:left="1240" w:right="0" w:hanging="527"/>
        <w:jc w:val="left"/>
        <w:rPr>
          <w:sz w:val="21"/>
        </w:rPr>
      </w:pPr>
      <w:r>
        <w:rPr>
          <w:sz w:val="21"/>
        </w:rPr>
        <w:t>向他人贷款或者提供担保；</w:t>
      </w:r>
    </w:p>
    <w:p>
      <w:pPr>
        <w:pStyle w:val="ListParagraph"/>
        <w:numPr>
          <w:ilvl w:val="0"/>
          <w:numId w:val="2"/>
        </w:numPr>
        <w:tabs>
          <w:tab w:pos="1240" w:val="left" w:leader="none"/>
        </w:tabs>
        <w:spacing w:line="240" w:lineRule="auto" w:before="139" w:after="0"/>
        <w:ind w:left="1240" w:right="0" w:hanging="527"/>
        <w:jc w:val="left"/>
        <w:rPr>
          <w:sz w:val="21"/>
        </w:rPr>
      </w:pPr>
      <w:r>
        <w:rPr>
          <w:sz w:val="21"/>
        </w:rPr>
        <w:t>从事承担无限责任的投资；</w:t>
      </w:r>
    </w:p>
    <w:p>
      <w:pPr>
        <w:pStyle w:val="ListParagraph"/>
        <w:numPr>
          <w:ilvl w:val="0"/>
          <w:numId w:val="2"/>
        </w:numPr>
        <w:tabs>
          <w:tab w:pos="1240" w:val="left" w:leader="none"/>
        </w:tabs>
        <w:spacing w:line="240" w:lineRule="auto" w:before="140" w:after="0"/>
        <w:ind w:left="1240" w:right="0" w:hanging="527"/>
        <w:jc w:val="left"/>
        <w:rPr>
          <w:sz w:val="21"/>
        </w:rPr>
      </w:pPr>
      <w:r>
        <w:rPr>
          <w:sz w:val="21"/>
        </w:rPr>
        <w:t>买卖其他基金份额，但是国务院另有规定的除外；</w:t>
      </w:r>
    </w:p>
    <w:p>
      <w:pPr>
        <w:pStyle w:val="ListParagraph"/>
        <w:numPr>
          <w:ilvl w:val="0"/>
          <w:numId w:val="2"/>
        </w:numPr>
        <w:tabs>
          <w:tab w:pos="1244" w:val="left" w:leader="none"/>
        </w:tabs>
        <w:spacing w:line="364" w:lineRule="auto" w:before="139" w:after="0"/>
        <w:ind w:left="713" w:right="936" w:firstLine="0"/>
        <w:jc w:val="left"/>
        <w:rPr>
          <w:sz w:val="21"/>
        </w:rPr>
      </w:pPr>
      <w:r>
        <w:rPr>
          <w:sz w:val="21"/>
        </w:rPr>
        <w:t>向其基金管理人、基金托管人出资或者买卖其基金管理人、基金托管人发行的股票或者债券；</w:t>
      </w:r>
    </w:p>
    <w:p>
      <w:pPr>
        <w:pStyle w:val="ListParagraph"/>
        <w:numPr>
          <w:ilvl w:val="0"/>
          <w:numId w:val="2"/>
        </w:numPr>
        <w:tabs>
          <w:tab w:pos="1244" w:val="left" w:leader="none"/>
        </w:tabs>
        <w:spacing w:line="364" w:lineRule="auto" w:before="0" w:after="0"/>
        <w:ind w:left="713" w:right="936" w:firstLine="0"/>
        <w:jc w:val="left"/>
        <w:rPr>
          <w:sz w:val="21"/>
        </w:rPr>
      </w:pPr>
      <w:r>
        <w:rPr>
          <w:sz w:val="21"/>
        </w:rPr>
        <w:t>买卖与其基金管理人、基金托管人有控股关系的股东或者与其基金管理人、基金托管人有其他重大利害关系的公司发行的证券或者承销期内承销的证券；</w:t>
      </w:r>
    </w:p>
    <w:p>
      <w:pPr>
        <w:pStyle w:val="ListParagraph"/>
        <w:numPr>
          <w:ilvl w:val="0"/>
          <w:numId w:val="2"/>
        </w:numPr>
        <w:tabs>
          <w:tab w:pos="1240" w:val="left" w:leader="none"/>
        </w:tabs>
        <w:spacing w:line="268" w:lineRule="exact" w:before="0" w:after="0"/>
        <w:ind w:left="1240" w:right="0" w:hanging="527"/>
        <w:jc w:val="left"/>
        <w:rPr>
          <w:sz w:val="21"/>
        </w:rPr>
      </w:pPr>
      <w:r>
        <w:rPr>
          <w:sz w:val="21"/>
        </w:rPr>
        <w:t>从事内幕交易、操纵证券交易价格及其他不正当的证券交易活动；</w:t>
      </w:r>
    </w:p>
    <w:p>
      <w:pPr>
        <w:pStyle w:val="ListParagraph"/>
        <w:numPr>
          <w:ilvl w:val="0"/>
          <w:numId w:val="2"/>
        </w:numPr>
        <w:tabs>
          <w:tab w:pos="1240" w:val="left" w:leader="none"/>
        </w:tabs>
        <w:spacing w:line="240" w:lineRule="auto" w:before="139" w:after="0"/>
        <w:ind w:left="1240" w:right="0" w:hanging="527"/>
        <w:jc w:val="left"/>
        <w:rPr>
          <w:sz w:val="21"/>
        </w:rPr>
      </w:pPr>
      <w:r>
        <w:rPr>
          <w:sz w:val="21"/>
        </w:rPr>
        <w:t>依照法律、行政法规有关规定，由国务院证券监督管理机构规定禁止的其他活动。</w:t>
      </w:r>
    </w:p>
    <w:p>
      <w:pPr>
        <w:pStyle w:val="BodyText"/>
        <w:spacing w:before="139"/>
      </w:pPr>
      <w:r>
        <w:rPr/>
        <w:t>4、基金经理承诺</w:t>
      </w:r>
    </w:p>
    <w:p>
      <w:pPr>
        <w:pStyle w:val="ListParagraph"/>
        <w:numPr>
          <w:ilvl w:val="0"/>
          <w:numId w:val="3"/>
        </w:numPr>
        <w:tabs>
          <w:tab w:pos="1244" w:val="left" w:leader="none"/>
        </w:tabs>
        <w:spacing w:line="364" w:lineRule="auto" w:before="139" w:after="0"/>
        <w:ind w:left="713" w:right="936" w:firstLine="0"/>
        <w:jc w:val="left"/>
        <w:rPr>
          <w:sz w:val="21"/>
        </w:rPr>
      </w:pPr>
      <w:r>
        <w:rPr>
          <w:sz w:val="21"/>
        </w:rPr>
        <w:t>依照有关法律、法规和《基金合同》的规定，本着谨慎的原则为基金份额持有人谋取最大利益；</w:t>
      </w:r>
    </w:p>
    <w:p>
      <w:pPr>
        <w:pStyle w:val="ListParagraph"/>
        <w:numPr>
          <w:ilvl w:val="0"/>
          <w:numId w:val="3"/>
        </w:numPr>
        <w:tabs>
          <w:tab w:pos="1240" w:val="left" w:leader="none"/>
        </w:tabs>
        <w:spacing w:line="268" w:lineRule="exact" w:before="0" w:after="0"/>
        <w:ind w:left="1240" w:right="0" w:hanging="527"/>
        <w:jc w:val="left"/>
        <w:rPr>
          <w:sz w:val="21"/>
        </w:rPr>
      </w:pPr>
      <w:r>
        <w:rPr>
          <w:sz w:val="21"/>
        </w:rPr>
        <w:t>不利用职务之便为自己及其代理人、受雇人或任何第三人谋取利益；</w:t>
      </w:r>
    </w:p>
    <w:p>
      <w:pPr>
        <w:pStyle w:val="ListParagraph"/>
        <w:numPr>
          <w:ilvl w:val="0"/>
          <w:numId w:val="3"/>
        </w:numPr>
        <w:tabs>
          <w:tab w:pos="1244" w:val="left" w:leader="none"/>
        </w:tabs>
        <w:spacing w:line="364" w:lineRule="auto" w:before="140" w:after="0"/>
        <w:ind w:left="713" w:right="936" w:firstLine="0"/>
        <w:jc w:val="both"/>
        <w:rPr>
          <w:sz w:val="21"/>
        </w:rPr>
      </w:pPr>
      <w:r>
        <w:rPr>
          <w:sz w:val="21"/>
        </w:rPr>
        <w:t>不违反现行有效的有关法律、法规、规章、基金合同和中国证监会的有关规定，不泄</w:t>
      </w:r>
      <w:r>
        <w:rPr>
          <w:spacing w:val="3"/>
          <w:sz w:val="21"/>
        </w:rPr>
        <w:t>漏在任职期间知悉的有关证券、基金的商业秘密、尚未依法公开的基金投资内容、基金投资计划等信息；</w:t>
      </w:r>
    </w:p>
    <w:p>
      <w:pPr>
        <w:pStyle w:val="ListParagraph"/>
        <w:numPr>
          <w:ilvl w:val="0"/>
          <w:numId w:val="3"/>
        </w:numPr>
        <w:tabs>
          <w:tab w:pos="1240" w:val="left" w:leader="none"/>
        </w:tabs>
        <w:spacing w:line="268" w:lineRule="exact" w:before="0" w:after="0"/>
        <w:ind w:left="1240" w:right="0" w:hanging="527"/>
        <w:jc w:val="left"/>
        <w:rPr>
          <w:sz w:val="21"/>
        </w:rPr>
      </w:pPr>
      <w:r>
        <w:rPr>
          <w:sz w:val="21"/>
        </w:rPr>
        <w:t>不从事损害基金财产和基金份额持有人利益的证券交易及其他活动。</w:t>
      </w:r>
    </w:p>
    <w:p>
      <w:pPr>
        <w:pStyle w:val="Heading2"/>
        <w:spacing w:before="140"/>
      </w:pPr>
      <w:bookmarkStart w:name="_bookmark7" w:id="8"/>
      <w:bookmarkEnd w:id="8"/>
      <w:r>
        <w:rPr/>
      </w:r>
      <w:r>
        <w:rPr/>
        <w:t>（五）基金管理人的内部控制制度</w:t>
      </w:r>
    </w:p>
    <w:p>
      <w:pPr>
        <w:pStyle w:val="BodyText"/>
        <w:spacing w:line="364" w:lineRule="auto" w:before="185"/>
        <w:ind w:left="293" w:right="936" w:firstLine="420"/>
        <w:jc w:val="both"/>
      </w:pPr>
      <w:r>
        <w:rPr/>
        <w:t>为保证公司规范化运作，有效地防范和化解经营风险，促进公司诚信、合法、有效经营， 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1"/>
          <w:numId w:val="3"/>
        </w:numPr>
        <w:tabs>
          <w:tab w:pos="1701" w:val="left" w:leader="none"/>
        </w:tabs>
        <w:spacing w:line="240" w:lineRule="auto" w:before="140" w:after="0"/>
        <w:ind w:left="1701" w:right="0" w:hanging="568"/>
        <w:jc w:val="left"/>
        <w:rPr>
          <w:sz w:val="21"/>
        </w:rPr>
      </w:pPr>
      <w:r>
        <w:rPr>
          <w:sz w:val="21"/>
        </w:rPr>
        <w:t>保证公司经营管理活动的合法合规性；</w:t>
      </w:r>
    </w:p>
    <w:p>
      <w:pPr>
        <w:pStyle w:val="ListParagraph"/>
        <w:numPr>
          <w:ilvl w:val="1"/>
          <w:numId w:val="3"/>
        </w:numPr>
        <w:tabs>
          <w:tab w:pos="1701" w:val="left" w:leader="none"/>
        </w:tabs>
        <w:spacing w:line="240" w:lineRule="auto" w:before="139" w:after="0"/>
        <w:ind w:left="1701" w:right="0" w:hanging="568"/>
        <w:jc w:val="left"/>
        <w:rPr>
          <w:sz w:val="21"/>
        </w:rPr>
      </w:pPr>
      <w:r>
        <w:rPr>
          <w:sz w:val="21"/>
        </w:rPr>
        <w:t>保证基金份额持有人的合法权益不受侵犯；</w:t>
      </w:r>
    </w:p>
    <w:p>
      <w:pPr>
        <w:pStyle w:val="ListParagraph"/>
        <w:numPr>
          <w:ilvl w:val="1"/>
          <w:numId w:val="3"/>
        </w:numPr>
        <w:tabs>
          <w:tab w:pos="1701" w:val="left" w:leader="none"/>
        </w:tabs>
        <w:spacing w:line="240" w:lineRule="auto" w:before="140" w:after="0"/>
        <w:ind w:left="1701" w:right="0" w:hanging="568"/>
        <w:jc w:val="left"/>
        <w:rPr>
          <w:sz w:val="21"/>
        </w:rPr>
      </w:pPr>
      <w:r>
        <w:rPr>
          <w:sz w:val="21"/>
        </w:rPr>
        <w:t>实现公司稳健、持续发展，维护股东权益；</w:t>
      </w:r>
    </w:p>
    <w:p>
      <w:pPr>
        <w:pStyle w:val="ListParagraph"/>
        <w:numPr>
          <w:ilvl w:val="1"/>
          <w:numId w:val="3"/>
        </w:numPr>
        <w:tabs>
          <w:tab w:pos="1701" w:val="left" w:leader="none"/>
        </w:tabs>
        <w:spacing w:line="240" w:lineRule="auto" w:before="139" w:after="0"/>
        <w:ind w:left="1701" w:right="0" w:hanging="568"/>
        <w:jc w:val="left"/>
        <w:rPr>
          <w:sz w:val="21"/>
        </w:rPr>
      </w:pPr>
      <w:r>
        <w:rPr>
          <w:sz w:val="21"/>
        </w:rPr>
        <w:t>促进公司全体员工恪守职业操守，正直诚信，廉洁自律，勤勉尽责；</w:t>
      </w:r>
    </w:p>
    <w:p>
      <w:pPr>
        <w:pStyle w:val="ListParagraph"/>
        <w:numPr>
          <w:ilvl w:val="1"/>
          <w:numId w:val="3"/>
        </w:numPr>
        <w:tabs>
          <w:tab w:pos="1701" w:val="left" w:leader="none"/>
        </w:tabs>
        <w:spacing w:line="240" w:lineRule="auto" w:before="139" w:after="0"/>
        <w:ind w:left="1701" w:right="0" w:hanging="568"/>
        <w:jc w:val="left"/>
        <w:rPr>
          <w:sz w:val="21"/>
        </w:rPr>
      </w:pPr>
      <w:r>
        <w:rPr>
          <w:sz w:val="21"/>
        </w:rPr>
        <w:t>保护公司最重要的资本：公司声誉。</w:t>
      </w:r>
    </w:p>
    <w:p>
      <w:pPr>
        <w:pStyle w:val="BodyText"/>
        <w:spacing w:before="140"/>
      </w:pPr>
      <w:r>
        <w:rPr/>
        <w:t>2、公司内部控制遵循的原则</w:t>
      </w:r>
    </w:p>
    <w:p>
      <w:pPr>
        <w:spacing w:after="0"/>
        <w:sectPr>
          <w:pgSz w:w="11910" w:h="16840"/>
          <w:pgMar w:header="0" w:footer="1172" w:top="1580" w:bottom="1440" w:left="1520" w:right="360"/>
        </w:sectPr>
      </w:pPr>
    </w:p>
    <w:p>
      <w:pPr>
        <w:pStyle w:val="ListParagraph"/>
        <w:numPr>
          <w:ilvl w:val="0"/>
          <w:numId w:val="4"/>
        </w:numPr>
        <w:tabs>
          <w:tab w:pos="1244" w:val="left" w:leader="none"/>
        </w:tabs>
        <w:spacing w:line="364" w:lineRule="auto" w:before="106" w:after="0"/>
        <w:ind w:left="293" w:right="936"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0"/>
          <w:numId w:val="4"/>
        </w:numPr>
        <w:tabs>
          <w:tab w:pos="1244" w:val="left" w:leader="none"/>
        </w:tabs>
        <w:spacing w:line="364" w:lineRule="auto" w:before="0" w:after="0"/>
        <w:ind w:left="293" w:right="936"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4"/>
        </w:numPr>
        <w:tabs>
          <w:tab w:pos="1240" w:val="left" w:leader="none"/>
        </w:tabs>
        <w:spacing w:line="268" w:lineRule="exact" w:before="0" w:after="0"/>
        <w:ind w:left="1240" w:right="0" w:hanging="527"/>
        <w:jc w:val="left"/>
        <w:rPr>
          <w:sz w:val="21"/>
        </w:rPr>
      </w:pPr>
      <w:r>
        <w:rPr>
          <w:sz w:val="21"/>
        </w:rPr>
        <w:t>相互制约原则：公司设置的各部门、各岗位权责分明、相互制衡。</w:t>
      </w:r>
    </w:p>
    <w:p>
      <w:pPr>
        <w:pStyle w:val="ListParagraph"/>
        <w:numPr>
          <w:ilvl w:val="0"/>
          <w:numId w:val="4"/>
        </w:numPr>
        <w:tabs>
          <w:tab w:pos="1244" w:val="left" w:leader="none"/>
        </w:tabs>
        <w:spacing w:line="364" w:lineRule="auto" w:before="138" w:after="0"/>
        <w:ind w:left="293" w:right="936"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4"/>
        </w:numPr>
        <w:tabs>
          <w:tab w:pos="1244" w:val="left" w:leader="none"/>
        </w:tabs>
        <w:spacing w:line="364" w:lineRule="auto" w:before="0" w:after="0"/>
        <w:ind w:left="293" w:right="936" w:firstLine="420"/>
        <w:jc w:val="left"/>
        <w:rPr>
          <w:sz w:val="21"/>
        </w:rPr>
      </w:pPr>
      <w:r>
        <w:rPr>
          <w:sz w:val="21"/>
        </w:rPr>
        <w:t>有效性原则：各种内部管理制度具有高度的权威性，应是所有员工严格遵守的行动指南；执行内部管理制度不能有任何例外，任何人不得拥有超越制度或违反规章的权力；</w:t>
      </w:r>
    </w:p>
    <w:p>
      <w:pPr>
        <w:pStyle w:val="ListParagraph"/>
        <w:numPr>
          <w:ilvl w:val="0"/>
          <w:numId w:val="4"/>
        </w:numPr>
        <w:tabs>
          <w:tab w:pos="1244" w:val="left" w:leader="none"/>
        </w:tabs>
        <w:spacing w:line="364" w:lineRule="auto" w:before="0" w:after="0"/>
        <w:ind w:left="293" w:right="936" w:firstLine="420"/>
        <w:jc w:val="both"/>
        <w:rPr>
          <w:sz w:val="21"/>
        </w:rPr>
      </w:pPr>
      <w:r>
        <w:rPr>
          <w:sz w:val="21"/>
        </w:rPr>
        <w:t>适时性原则：内部控制应具有前瞻性，并且必须随着公司经营战略、经营方针、经营</w:t>
      </w:r>
      <w:r>
        <w:rPr>
          <w:spacing w:val="3"/>
          <w:sz w:val="21"/>
        </w:rPr>
        <w:t>理念等内部环境的变化和国家法律、法规、政策制度等外部环境的改变及时进行相应的修改和完善；</w:t>
      </w:r>
    </w:p>
    <w:p>
      <w:pPr>
        <w:pStyle w:val="ListParagraph"/>
        <w:numPr>
          <w:ilvl w:val="0"/>
          <w:numId w:val="4"/>
        </w:numPr>
        <w:tabs>
          <w:tab w:pos="1244" w:val="left" w:leader="none"/>
        </w:tabs>
        <w:spacing w:line="364" w:lineRule="auto" w:before="0" w:after="0"/>
        <w:ind w:left="293" w:right="936" w:firstLine="420"/>
        <w:jc w:val="left"/>
        <w:rPr>
          <w:sz w:val="21"/>
        </w:rPr>
      </w:pPr>
      <w:r>
        <w:rPr>
          <w:sz w:val="21"/>
        </w:rPr>
        <w:t>成本效益原则：公司运用科学化的经营管理方法降低运作成本，提高经济效益，力争以合理的控制成本达到最佳的内部控制效果。</w:t>
      </w:r>
    </w:p>
    <w:p>
      <w:pPr>
        <w:pStyle w:val="BodyText"/>
        <w:spacing w:line="268" w:lineRule="exact"/>
      </w:pPr>
      <w:r>
        <w:rPr/>
        <w:t>3、内部控制的制度体系</w:t>
      </w:r>
    </w:p>
    <w:p>
      <w:pPr>
        <w:pStyle w:val="BodyText"/>
        <w:spacing w:line="364" w:lineRule="auto" w:before="137"/>
        <w:ind w:left="293" w:right="936" w:firstLine="420"/>
        <w:jc w:val="both"/>
      </w:pPr>
      <w:r>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pPr>
        <w:pStyle w:val="BodyText"/>
        <w:spacing w:line="266" w:lineRule="exact"/>
      </w:pPr>
      <w:r>
        <w:rPr/>
        <w:t>4、关于授权、研究、投资、交易等方面的控制点</w:t>
      </w:r>
    </w:p>
    <w:p>
      <w:pPr>
        <w:pStyle w:val="ListParagraph"/>
        <w:numPr>
          <w:ilvl w:val="0"/>
          <w:numId w:val="5"/>
        </w:numPr>
        <w:tabs>
          <w:tab w:pos="1240" w:val="left" w:leader="none"/>
        </w:tabs>
        <w:spacing w:line="240" w:lineRule="auto" w:before="139" w:after="0"/>
        <w:ind w:left="1240" w:right="0" w:hanging="527"/>
        <w:jc w:val="left"/>
        <w:rPr>
          <w:sz w:val="21"/>
        </w:rPr>
      </w:pPr>
      <w:r>
        <w:rPr>
          <w:sz w:val="21"/>
        </w:rPr>
        <w:t>授权制度</w:t>
      </w:r>
    </w:p>
    <w:p>
      <w:pPr>
        <w:pStyle w:val="BodyText"/>
        <w:spacing w:line="364" w:lineRule="auto" w:before="139"/>
        <w:ind w:left="293" w:right="936" w:firstLine="420"/>
        <w:jc w:val="both"/>
      </w:pPr>
      <w:r>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 对已获授权的部门和人员应建立有效的评价和反馈机制，对已不适用的授权应及时修改或取消授权。</w:t>
      </w:r>
    </w:p>
    <w:p>
      <w:pPr>
        <w:pStyle w:val="ListParagraph"/>
        <w:numPr>
          <w:ilvl w:val="0"/>
          <w:numId w:val="5"/>
        </w:numPr>
        <w:tabs>
          <w:tab w:pos="1240" w:val="left" w:leader="none"/>
        </w:tabs>
        <w:spacing w:line="266" w:lineRule="exact" w:before="0" w:after="0"/>
        <w:ind w:left="1240" w:right="0" w:hanging="527"/>
        <w:jc w:val="left"/>
        <w:rPr>
          <w:sz w:val="21"/>
        </w:rPr>
      </w:pPr>
      <w:r>
        <w:rPr>
          <w:sz w:val="21"/>
        </w:rPr>
        <w:t>公司研究业务</w:t>
      </w:r>
    </w:p>
    <w:p>
      <w:pPr>
        <w:pStyle w:val="BodyText"/>
        <w:spacing w:line="364" w:lineRule="auto" w:before="140"/>
        <w:ind w:left="293" w:right="936" w:firstLine="420"/>
      </w:pPr>
      <w:r>
        <w:rPr/>
        <w:t>研究工作应保持独立、客观，不受任何部门及个人的不正当影响；建立严密的研究工作业务流程，形成科学、有效的研究方法；建立投资产品备选库制度，研究部门根据投资产品的特</w:t>
      </w:r>
    </w:p>
    <w:p>
      <w:pPr>
        <w:spacing w:after="0" w:line="364" w:lineRule="auto"/>
        <w:sectPr>
          <w:pgSz w:w="11910" w:h="16840"/>
          <w:pgMar w:header="0" w:footer="1172" w:top="1580" w:bottom="1440" w:left="1520" w:right="360"/>
        </w:sectPr>
      </w:pPr>
    </w:p>
    <w:p>
      <w:pPr>
        <w:pStyle w:val="BodyText"/>
        <w:spacing w:line="364" w:lineRule="auto" w:before="106"/>
        <w:ind w:left="293" w:right="936"/>
      </w:pPr>
      <w:r>
        <w:rPr/>
        <w:t>征，在充分研究的基础上建立和维护备选库。建立研究与投资的业务交流制度，保持畅通的交流渠道；建立研究报告质量评价体系，不断提高研究水平。</w:t>
      </w:r>
    </w:p>
    <w:p>
      <w:pPr>
        <w:pStyle w:val="ListParagraph"/>
        <w:numPr>
          <w:ilvl w:val="0"/>
          <w:numId w:val="5"/>
        </w:numPr>
        <w:tabs>
          <w:tab w:pos="1240" w:val="left" w:leader="none"/>
        </w:tabs>
        <w:spacing w:line="268" w:lineRule="exact" w:before="0" w:after="0"/>
        <w:ind w:left="1240" w:right="0" w:hanging="527"/>
        <w:jc w:val="left"/>
        <w:rPr>
          <w:sz w:val="21"/>
        </w:rPr>
      </w:pPr>
      <w:r>
        <w:rPr>
          <w:sz w:val="21"/>
        </w:rPr>
        <w:t>基金投资业务</w:t>
      </w:r>
    </w:p>
    <w:p>
      <w:pPr>
        <w:pStyle w:val="BodyText"/>
        <w:spacing w:line="364" w:lineRule="auto" w:before="139"/>
        <w:ind w:left="293" w:right="936" w:firstLine="420"/>
        <w:jc w:val="both"/>
      </w:pPr>
      <w:r>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pPr>
        <w:pStyle w:val="ListParagraph"/>
        <w:numPr>
          <w:ilvl w:val="0"/>
          <w:numId w:val="5"/>
        </w:numPr>
        <w:tabs>
          <w:tab w:pos="1240" w:val="left" w:leader="none"/>
        </w:tabs>
        <w:spacing w:line="267" w:lineRule="exact" w:before="0" w:after="0"/>
        <w:ind w:left="1240" w:right="0" w:hanging="527"/>
        <w:jc w:val="left"/>
        <w:rPr>
          <w:sz w:val="21"/>
        </w:rPr>
      </w:pPr>
      <w:r>
        <w:rPr>
          <w:sz w:val="21"/>
        </w:rPr>
        <w:t>交易业务</w:t>
      </w:r>
    </w:p>
    <w:p>
      <w:pPr>
        <w:pStyle w:val="BodyText"/>
        <w:spacing w:line="364" w:lineRule="auto" w:before="140"/>
        <w:ind w:left="293" w:right="936" w:firstLine="420"/>
        <w:jc w:val="both"/>
      </w:pPr>
      <w:r>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pPr>
        <w:pStyle w:val="ListParagraph"/>
        <w:numPr>
          <w:ilvl w:val="0"/>
          <w:numId w:val="5"/>
        </w:numPr>
        <w:tabs>
          <w:tab w:pos="1240" w:val="left" w:leader="none"/>
        </w:tabs>
        <w:spacing w:line="267" w:lineRule="exact" w:before="0" w:after="0"/>
        <w:ind w:left="1240" w:right="0" w:hanging="527"/>
        <w:jc w:val="left"/>
        <w:rPr>
          <w:sz w:val="21"/>
        </w:rPr>
      </w:pPr>
      <w:r>
        <w:rPr>
          <w:sz w:val="21"/>
        </w:rPr>
        <w:t>基金会计核算</w:t>
      </w:r>
    </w:p>
    <w:p>
      <w:pPr>
        <w:pStyle w:val="BodyText"/>
        <w:spacing w:line="364" w:lineRule="auto" w:before="139"/>
        <w:ind w:left="293" w:right="936" w:firstLine="420"/>
        <w:jc w:val="both"/>
      </w:pPr>
      <w:r>
        <w:rPr/>
        <w:t>公司根据法律法规及业务的要求建立会计制度，并根据风险控制点建立严密的会计系统， 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pPr>
        <w:pStyle w:val="ListParagraph"/>
        <w:numPr>
          <w:ilvl w:val="0"/>
          <w:numId w:val="5"/>
        </w:numPr>
        <w:tabs>
          <w:tab w:pos="1240" w:val="left" w:leader="none"/>
        </w:tabs>
        <w:spacing w:line="267" w:lineRule="exact" w:before="0" w:after="0"/>
        <w:ind w:left="1240" w:right="0" w:hanging="527"/>
        <w:jc w:val="left"/>
        <w:rPr>
          <w:sz w:val="21"/>
        </w:rPr>
      </w:pPr>
      <w:r>
        <w:rPr>
          <w:sz w:val="21"/>
        </w:rPr>
        <w:t>信息披露</w:t>
      </w:r>
    </w:p>
    <w:p>
      <w:pPr>
        <w:pStyle w:val="BodyText"/>
        <w:spacing w:line="364" w:lineRule="auto" w:before="140"/>
        <w:ind w:left="293" w:right="936" w:firstLine="420"/>
        <w:jc w:val="both"/>
      </w:pPr>
      <w:r>
        <w:rPr>
          <w:spacing w:val="3"/>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pPr>
        <w:pStyle w:val="ListParagraph"/>
        <w:numPr>
          <w:ilvl w:val="0"/>
          <w:numId w:val="5"/>
        </w:numPr>
        <w:tabs>
          <w:tab w:pos="1240" w:val="left" w:leader="none"/>
        </w:tabs>
        <w:spacing w:line="267" w:lineRule="exact" w:before="0" w:after="0"/>
        <w:ind w:left="1240" w:right="0" w:hanging="527"/>
        <w:jc w:val="left"/>
        <w:rPr>
          <w:sz w:val="21"/>
        </w:rPr>
      </w:pPr>
      <w:r>
        <w:rPr>
          <w:sz w:val="21"/>
        </w:rPr>
        <w:t>监察与合规管理</w:t>
      </w:r>
    </w:p>
    <w:p>
      <w:pPr>
        <w:pStyle w:val="BodyText"/>
        <w:spacing w:line="364" w:lineRule="auto" w:before="139"/>
        <w:ind w:left="293" w:right="936"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364" w:lineRule="auto"/>
        <w:ind w:left="293" w:right="936" w:firstLine="420"/>
        <w:jc w:val="both"/>
      </w:pPr>
      <w:r>
        <w:rPr/>
        <w:t>公司设立监察合规管理部门开展监察与合规管理工作，并保证监察合规管理部门的独立性和权威性。公司明确了监察合规管理部门及内部各岗位的具体职责，严格制订了专业任职条件、操作程序和组织纪律。</w:t>
      </w:r>
    </w:p>
    <w:p>
      <w:pPr>
        <w:pStyle w:val="BodyText"/>
        <w:spacing w:line="364" w:lineRule="auto"/>
        <w:ind w:left="293" w:right="936" w:firstLine="420"/>
      </w:pPr>
      <w:r>
        <w:rPr/>
        <w:t>监察合规管理部门强化内部检查制度，通过定期或不定期检查内部控制制度的执行情况， 促使公司各项经营管理活动的规范运行。</w:t>
      </w:r>
    </w:p>
    <w:p>
      <w:pPr>
        <w:spacing w:after="0" w:line="364" w:lineRule="auto"/>
        <w:sectPr>
          <w:pgSz w:w="11910" w:h="16840"/>
          <w:pgMar w:header="0" w:footer="1172" w:top="1580" w:bottom="1440" w:left="1520" w:right="360"/>
        </w:sectPr>
      </w:pPr>
    </w:p>
    <w:p>
      <w:pPr>
        <w:pStyle w:val="BodyText"/>
        <w:spacing w:line="364" w:lineRule="auto" w:before="106"/>
        <w:ind w:left="293" w:right="936" w:firstLine="420"/>
      </w:pPr>
      <w:r>
        <w:rPr/>
        <w:t>公司董事会和管理层充分重视和支持监察与合规管理工作，对违反法律、法规和公司内部控制制度的，追究有关部门和人员的责任。</w:t>
      </w:r>
    </w:p>
    <w:p>
      <w:pPr>
        <w:pStyle w:val="BodyText"/>
        <w:spacing w:line="268" w:lineRule="exact"/>
      </w:pPr>
      <w:r>
        <w:rPr/>
        <w:t>5、基金管理人关于内部控制制度声明书</w:t>
      </w:r>
    </w:p>
    <w:p>
      <w:pPr>
        <w:pStyle w:val="ListParagraph"/>
        <w:numPr>
          <w:ilvl w:val="0"/>
          <w:numId w:val="6"/>
        </w:numPr>
        <w:tabs>
          <w:tab w:pos="1240" w:val="left" w:leader="none"/>
        </w:tabs>
        <w:spacing w:line="240" w:lineRule="auto" w:before="139" w:after="0"/>
        <w:ind w:left="1240" w:right="0" w:hanging="527"/>
        <w:jc w:val="left"/>
        <w:rPr>
          <w:sz w:val="21"/>
        </w:rPr>
      </w:pPr>
      <w:r>
        <w:rPr>
          <w:sz w:val="21"/>
        </w:rPr>
        <w:t>本公司承诺以上关于内部控制制度的披露真实、准确；</w:t>
      </w:r>
    </w:p>
    <w:p>
      <w:pPr>
        <w:pStyle w:val="ListParagraph"/>
        <w:numPr>
          <w:ilvl w:val="0"/>
          <w:numId w:val="6"/>
        </w:numPr>
        <w:tabs>
          <w:tab w:pos="1240" w:val="left" w:leader="none"/>
        </w:tabs>
        <w:spacing w:line="240" w:lineRule="auto" w:before="140" w:after="0"/>
        <w:ind w:left="1240" w:right="0" w:hanging="52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72" w:top="1580" w:bottom="1440" w:left="1520" w:right="360"/>
        </w:sectPr>
      </w:pPr>
    </w:p>
    <w:p>
      <w:pPr>
        <w:pStyle w:val="Heading1"/>
        <w:ind w:right="920"/>
        <w:jc w:val="center"/>
      </w:pPr>
      <w:bookmarkStart w:name="_bookmark8" w:id="9"/>
      <w:bookmarkEnd w:id="9"/>
      <w:r>
        <w:rPr>
          <w:b w:val="0"/>
        </w:rPr>
      </w:r>
      <w:r>
        <w:rPr/>
        <w:t>四、基金托管人</w:t>
      </w:r>
    </w:p>
    <w:p>
      <w:pPr>
        <w:pStyle w:val="BodyText"/>
        <w:spacing w:before="117"/>
      </w:pPr>
      <w:r>
        <w:rPr/>
        <w:t>（一）基金托管人基本情况</w:t>
      </w:r>
    </w:p>
    <w:p>
      <w:pPr>
        <w:pStyle w:val="BodyText"/>
        <w:spacing w:before="139"/>
      </w:pPr>
      <w:r>
        <w:rPr/>
        <w:t>1、基金托管人概况</w:t>
      </w:r>
    </w:p>
    <w:p>
      <w:pPr>
        <w:pStyle w:val="BodyText"/>
        <w:spacing w:line="364" w:lineRule="auto" w:before="139"/>
        <w:ind w:right="3431"/>
      </w:pPr>
      <w:r>
        <w:rPr/>
        <w:t>公司法定中文名称：交通银行股份有限公司（简称：交通银行） 公司法定英文名称：BANK OF COMMUNICATIONS CO.,LTD</w:t>
      </w:r>
    </w:p>
    <w:p>
      <w:pPr>
        <w:pStyle w:val="BodyText"/>
        <w:spacing w:line="268" w:lineRule="exact"/>
      </w:pPr>
      <w:r>
        <w:rPr/>
        <w:t>法定代表人：任德奇</w:t>
      </w:r>
    </w:p>
    <w:p>
      <w:pPr>
        <w:pStyle w:val="BodyText"/>
        <w:tabs>
          <w:tab w:pos="1343" w:val="left" w:leader="none"/>
        </w:tabs>
        <w:spacing w:line="364" w:lineRule="auto" w:before="140"/>
        <w:ind w:right="4166"/>
      </w:pPr>
      <w:r>
        <w:rPr/>
        <w:t>住</w:t>
        <w:tab/>
        <w:t>所：中国（上海）自由贸易试验区银城中路188</w:t>
      </w:r>
      <w:r>
        <w:rPr>
          <w:spacing w:val="-18"/>
        </w:rPr>
        <w:t>号</w:t>
      </w:r>
      <w:r>
        <w:rPr/>
        <w:t>办公地址：上海市长宁区仙霞路18号</w:t>
      </w:r>
    </w:p>
    <w:p>
      <w:pPr>
        <w:pStyle w:val="BodyText"/>
        <w:spacing w:line="268" w:lineRule="exact"/>
      </w:pPr>
      <w:r>
        <w:rPr/>
        <w:t>邮政编码：200336</w:t>
      </w:r>
    </w:p>
    <w:p>
      <w:pPr>
        <w:pStyle w:val="BodyText"/>
        <w:spacing w:line="364" w:lineRule="auto" w:before="139"/>
        <w:ind w:right="6896"/>
      </w:pPr>
      <w:r>
        <w:rPr/>
        <w:t>注册时间：1987年3月30日注册资本：742.63亿元</w:t>
      </w:r>
    </w:p>
    <w:p>
      <w:pPr>
        <w:pStyle w:val="BodyText"/>
        <w:spacing w:line="364" w:lineRule="auto"/>
        <w:ind w:right="3851"/>
      </w:pPr>
      <w:r>
        <w:rPr/>
        <w:t>基金托管资格批文及文号：中国证监会证监基字[1998]25</w:t>
      </w:r>
      <w:r>
        <w:rPr>
          <w:spacing w:val="-18"/>
        </w:rPr>
        <w:t>号</w:t>
      </w:r>
      <w:r>
        <w:rPr/>
        <w:t>联系人：陆志俊</w:t>
      </w:r>
    </w:p>
    <w:p>
      <w:pPr>
        <w:pStyle w:val="BodyText"/>
        <w:tabs>
          <w:tab w:pos="1133" w:val="left" w:leader="none"/>
        </w:tabs>
        <w:spacing w:line="268" w:lineRule="exact"/>
      </w:pPr>
      <w:r>
        <w:rPr/>
        <w:t>电</w:t>
        <w:tab/>
        <w:t>话：95559</w:t>
      </w:r>
    </w:p>
    <w:p>
      <w:pPr>
        <w:pStyle w:val="BodyText"/>
        <w:spacing w:line="364" w:lineRule="auto" w:before="139"/>
        <w:ind w:left="293" w:right="935" w:firstLine="420"/>
        <w:jc w:val="both"/>
      </w:pPr>
      <w:hyperlink r:id="rId7">
        <w:r>
          <w:rPr/>
          <w:t>交通银行</w:t>
        </w:r>
      </w:hyperlink>
      <w:r>
        <w:rPr/>
        <w:t>始建于1908年，是中国历史最悠久的银行之一，也是近代中国的发钞行之一。1987年重新组建后的交通银行正式对外营业，成为中国第一家全国性的国有股份制商业银行， 总部设在上海。2005年6月交通银行在香港联合交易所挂牌上市，2007年5月在上海证券交易所挂牌上市。根据2019年英国《银行家》杂志发布的全球千家大银行报告，交通银行一级资本位列第11位，连续五年跻身全球银行20强；根据2019年美国《财富》杂志发布的世界500强公司排行榜，交通银行营业收入位列第150位，较上年提升18位。</w:t>
      </w:r>
    </w:p>
    <w:p>
      <w:pPr>
        <w:pStyle w:val="BodyText"/>
        <w:spacing w:line="364" w:lineRule="auto"/>
        <w:ind w:left="293" w:right="936" w:firstLine="420"/>
      </w:pPr>
      <w:r>
        <w:rPr/>
        <w:t>截至2019年12月31日，交通银行资产总额为人民币99，056亿元。2019年1-12月，交通银行实现净利润(归属于母公司股东)人民币772.81亿元。</w:t>
      </w:r>
    </w:p>
    <w:p>
      <w:pPr>
        <w:pStyle w:val="BodyText"/>
        <w:spacing w:line="364" w:lineRule="auto"/>
        <w:ind w:left="293" w:right="936" w:firstLine="420"/>
        <w:jc w:val="both"/>
      </w:pPr>
      <w:r>
        <w:rPr>
          <w:spacing w:val="4"/>
        </w:rPr>
        <w:t>交通银行总行设资产托管业务中心（下文简称“托管中心</w:t>
      </w:r>
      <w:r>
        <w:rPr>
          <w:spacing w:val="-101"/>
        </w:rPr>
        <w:t>”）</w:t>
      </w:r>
      <w:r>
        <w:rPr>
          <w:spacing w:val="3"/>
        </w:rPr>
        <w:t>。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pPr>
        <w:pStyle w:val="BodyText"/>
        <w:spacing w:line="267" w:lineRule="exact"/>
      </w:pPr>
      <w:r>
        <w:rPr/>
        <w:t>2、主要人员情况</w:t>
      </w:r>
    </w:p>
    <w:p>
      <w:pPr>
        <w:pStyle w:val="BodyText"/>
        <w:spacing w:before="135"/>
      </w:pPr>
      <w:r>
        <w:rPr/>
        <w:t>任德奇先生，董事长、执行董事，高级经济师。</w:t>
      </w:r>
    </w:p>
    <w:p>
      <w:pPr>
        <w:pStyle w:val="BodyText"/>
        <w:spacing w:line="364" w:lineRule="auto" w:before="140"/>
        <w:ind w:left="293" w:right="937" w:firstLine="420"/>
        <w:jc w:val="both"/>
      </w:pPr>
      <w:r>
        <w:rPr/>
        <w:t>任先生2020年1月起任本行董事长、执行董事，代为履行行长职责，2018年8月至2020年1月</w:t>
      </w:r>
      <w:r>
        <w:rPr>
          <w:spacing w:val="5"/>
        </w:rPr>
        <w:t>任本行副董事长（</w:t>
      </w:r>
      <w:r>
        <w:rPr>
          <w:spacing w:val="3"/>
        </w:rPr>
        <w:t>其中：</w:t>
      </w:r>
      <w:r>
        <w:rPr/>
        <w:t>2019</w:t>
      </w:r>
      <w:r>
        <w:rPr>
          <w:spacing w:val="5"/>
        </w:rPr>
        <w:t>年</w:t>
      </w:r>
      <w:r>
        <w:rPr/>
        <w:t>4</w:t>
      </w:r>
      <w:r>
        <w:rPr>
          <w:spacing w:val="5"/>
        </w:rPr>
        <w:t>月至</w:t>
      </w:r>
      <w:r>
        <w:rPr/>
        <w:t>2020</w:t>
      </w:r>
      <w:r>
        <w:rPr>
          <w:spacing w:val="5"/>
        </w:rPr>
        <w:t>年</w:t>
      </w:r>
      <w:r>
        <w:rPr/>
        <w:t>1</w:t>
      </w:r>
      <w:r>
        <w:rPr>
          <w:spacing w:val="5"/>
        </w:rPr>
        <w:t>月代为履行董事长职责</w:t>
      </w:r>
      <w:r>
        <w:rPr>
          <w:spacing w:val="-100"/>
        </w:rPr>
        <w:t>）</w:t>
      </w:r>
      <w:r>
        <w:rPr>
          <w:spacing w:val="4"/>
        </w:rPr>
        <w:t>、执行董事，</w:t>
      </w:r>
      <w:r>
        <w:rPr/>
        <w:t>2018</w:t>
      </w:r>
      <w:r>
        <w:rPr>
          <w:spacing w:val="5"/>
        </w:rPr>
        <w:t>年</w:t>
      </w:r>
      <w:r>
        <w:rPr/>
        <w:t>8月至2019年12</w:t>
      </w:r>
      <w:r>
        <w:rPr>
          <w:spacing w:val="-4"/>
        </w:rPr>
        <w:t>月任本行行长； </w:t>
      </w:r>
      <w:r>
        <w:rPr/>
        <w:t>2016年12月至2018年6月任中国银行执行董事、副行长，其中</w:t>
      </w:r>
      <w:r>
        <w:rPr>
          <w:spacing w:val="-4"/>
        </w:rPr>
        <w:t>：2015 </w:t>
      </w:r>
      <w:r>
        <w:rPr/>
        <w:t>年10月至2018年6月兼任中银香港（控股）有限公司非执行董事，2016年9月至2018年6月兼任中</w:t>
      </w:r>
    </w:p>
    <w:p>
      <w:pPr>
        <w:spacing w:after="0" w:line="364" w:lineRule="auto"/>
        <w:jc w:val="both"/>
        <w:sectPr>
          <w:pgSz w:w="11910" w:h="16840"/>
          <w:pgMar w:header="0" w:footer="1172" w:top="1580" w:bottom="1440" w:left="1520" w:right="360"/>
        </w:sectPr>
      </w:pPr>
    </w:p>
    <w:p>
      <w:pPr>
        <w:pStyle w:val="BodyText"/>
        <w:spacing w:line="364" w:lineRule="auto" w:before="106"/>
        <w:ind w:left="293" w:right="936"/>
        <w:jc w:val="both"/>
      </w:pPr>
      <w:r>
        <w:rPr/>
        <w:t>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pPr>
        <w:pStyle w:val="BodyText"/>
        <w:spacing w:line="267" w:lineRule="exact"/>
      </w:pPr>
      <w:r>
        <w:rPr/>
        <w:t>袁庆伟女士，资产托管业务中心总裁，高级经济师。</w:t>
      </w:r>
    </w:p>
    <w:p>
      <w:pPr>
        <w:pStyle w:val="BodyText"/>
        <w:spacing w:line="364" w:lineRule="auto" w:before="139"/>
        <w:ind w:left="293" w:right="936" w:firstLine="420"/>
        <w:jc w:val="both"/>
      </w:pPr>
      <w:r>
        <w:rPr/>
        <w:t>袁女士2015年8月起任本行资产托管业务中心总裁；2007年12月至2015年8月，历任本行资产托管部总经理助理、副总经理，本行资产托管业务中心副总裁；1999年12月至2007年12月， 历任本行乌鲁木齐分行财务会计部副科长、科长、处长助理、副处长，会计结算部高级经理。袁女士1992年毕业于中国石油大学计算机科学系，获得学士学位，2005年于新疆财经学院获硕士学位。</w:t>
      </w:r>
    </w:p>
    <w:p>
      <w:pPr>
        <w:pStyle w:val="BodyText"/>
        <w:spacing w:line="267" w:lineRule="exact"/>
      </w:pPr>
      <w:r>
        <w:rPr/>
        <w:t>3、基金托管业务经营情况</w:t>
      </w:r>
    </w:p>
    <w:p>
      <w:pPr>
        <w:pStyle w:val="BodyText"/>
        <w:spacing w:line="364" w:lineRule="auto" w:before="140"/>
        <w:ind w:left="293" w:right="936" w:firstLine="420"/>
        <w:jc w:val="both"/>
      </w:pPr>
      <w:r>
        <w:rPr/>
        <w:t>截至2019年12月31日，交通银行共托管证券投资基金433只。此外，交通银行还托管了基金公司特定客户资产管理计划、证券公司客户资产管理计划、银行理财产品、信托计划、私募投资基金、保险资金、QDIE资金、全国社保基金、养老保障管理基金、企业年金基金、职业年金基金、QFII证券投资资产、RQFII证券投资资产、QDII证券投资资产、RQDII证券投资资产和QDLP资金等产品。</w:t>
      </w:r>
    </w:p>
    <w:p>
      <w:pPr>
        <w:pStyle w:val="BodyText"/>
        <w:spacing w:line="267" w:lineRule="exact"/>
      </w:pPr>
      <w:r>
        <w:rPr/>
        <w:t>（二）基金托管人的内部控制制度</w:t>
      </w:r>
    </w:p>
    <w:p>
      <w:pPr>
        <w:pStyle w:val="BodyText"/>
        <w:spacing w:before="139"/>
      </w:pPr>
      <w:r>
        <w:rPr/>
        <w:t>1、内部控制目标</w:t>
      </w:r>
    </w:p>
    <w:p>
      <w:pPr>
        <w:pStyle w:val="BodyText"/>
        <w:spacing w:line="364" w:lineRule="auto" w:before="140"/>
        <w:ind w:left="293" w:right="936" w:firstLine="420"/>
        <w:jc w:val="both"/>
      </w:pPr>
      <w:r>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pPr>
        <w:pStyle w:val="BodyText"/>
        <w:spacing w:line="268" w:lineRule="exact"/>
      </w:pPr>
      <w:r>
        <w:rPr/>
        <w:t>2、内部控制原则</w:t>
      </w:r>
    </w:p>
    <w:p>
      <w:pPr>
        <w:pStyle w:val="ListParagraph"/>
        <w:numPr>
          <w:ilvl w:val="0"/>
          <w:numId w:val="7"/>
        </w:numPr>
        <w:tabs>
          <w:tab w:pos="1032" w:val="left" w:leader="none"/>
        </w:tabs>
        <w:spacing w:line="364" w:lineRule="auto" w:before="139" w:after="0"/>
        <w:ind w:left="293" w:right="936" w:firstLine="420"/>
        <w:jc w:val="left"/>
        <w:rPr>
          <w:sz w:val="21"/>
        </w:rPr>
      </w:pPr>
      <w:r>
        <w:rPr>
          <w:sz w:val="21"/>
        </w:rPr>
        <w:t>合法性原则：托管中心制定的各项制度符合国家法律法规及监管机构的监管要求，并贯穿于托管业务经营管理活动始终。</w:t>
      </w:r>
    </w:p>
    <w:p>
      <w:pPr>
        <w:pStyle w:val="ListParagraph"/>
        <w:numPr>
          <w:ilvl w:val="0"/>
          <w:numId w:val="7"/>
        </w:numPr>
        <w:tabs>
          <w:tab w:pos="1032" w:val="left" w:leader="none"/>
        </w:tabs>
        <w:spacing w:line="364" w:lineRule="auto" w:before="0" w:after="0"/>
        <w:ind w:left="293" w:right="936" w:firstLine="420"/>
        <w:jc w:val="both"/>
        <w:rPr>
          <w:sz w:val="21"/>
        </w:rPr>
      </w:pPr>
      <w:r>
        <w:rPr>
          <w:sz w:val="21"/>
        </w:rPr>
        <w:t>全面性原则：托管中心建立各二级部自我监控和风险合规部风险管控的内部控制机制， </w:t>
      </w:r>
      <w:r>
        <w:rPr>
          <w:spacing w:val="3"/>
          <w:sz w:val="21"/>
        </w:rPr>
        <w:t>覆盖各项业务、各个部门和各级人员，并渗透到决策、执行、监督、反馈等各个经营环节，建立全面的风险管理监督机制。</w:t>
      </w:r>
    </w:p>
    <w:p>
      <w:pPr>
        <w:pStyle w:val="ListParagraph"/>
        <w:numPr>
          <w:ilvl w:val="0"/>
          <w:numId w:val="7"/>
        </w:numPr>
        <w:tabs>
          <w:tab w:pos="1032" w:val="left" w:leader="none"/>
        </w:tabs>
        <w:spacing w:line="364" w:lineRule="auto" w:before="0" w:after="0"/>
        <w:ind w:left="293" w:right="936" w:firstLine="420"/>
        <w:jc w:val="left"/>
        <w:rPr>
          <w:sz w:val="21"/>
        </w:rPr>
      </w:pPr>
      <w:r>
        <w:rPr>
          <w:sz w:val="21"/>
        </w:rPr>
        <w:t>独立性原则：托管中心独立负责受托基金资产的保管，保证基金资产与交通银行的自有资产相互独立，对不同的受托基金资产分别设置账户，独立核算，分账管理。</w:t>
      </w:r>
    </w:p>
    <w:p>
      <w:pPr>
        <w:pStyle w:val="ListParagraph"/>
        <w:numPr>
          <w:ilvl w:val="0"/>
          <w:numId w:val="7"/>
        </w:numPr>
        <w:tabs>
          <w:tab w:pos="1032" w:val="left" w:leader="none"/>
        </w:tabs>
        <w:spacing w:line="364" w:lineRule="auto" w:before="0" w:after="0"/>
        <w:ind w:left="293" w:right="936" w:firstLine="420"/>
        <w:jc w:val="left"/>
        <w:rPr>
          <w:sz w:val="21"/>
        </w:rPr>
      </w:pPr>
      <w:r>
        <w:rPr>
          <w:sz w:val="21"/>
        </w:rPr>
        <w:t>制衡性原则：托管中心贯彻适当授权、相互制约的原则，从组织架构的设置上确保各二级部和各岗位权责分明、相互制约，并通过有效的相互制衡措施消除内部控制中的盲点。</w:t>
      </w:r>
    </w:p>
    <w:p>
      <w:pPr>
        <w:pStyle w:val="ListParagraph"/>
        <w:numPr>
          <w:ilvl w:val="0"/>
          <w:numId w:val="7"/>
        </w:numPr>
        <w:tabs>
          <w:tab w:pos="1032" w:val="left" w:leader="none"/>
        </w:tabs>
        <w:spacing w:line="268" w:lineRule="exact" w:before="0" w:after="0"/>
        <w:ind w:left="1031" w:right="0" w:hanging="319"/>
        <w:jc w:val="left"/>
        <w:rPr>
          <w:sz w:val="21"/>
        </w:rPr>
      </w:pPr>
      <w:r>
        <w:rPr>
          <w:sz w:val="21"/>
        </w:rPr>
        <w:t>有效性原则：托管中心在岗位、业务二级部和风险合规部三级内控管理模式的基础上，</w:t>
      </w:r>
    </w:p>
    <w:p>
      <w:pPr>
        <w:spacing w:after="0" w:line="268" w:lineRule="exact"/>
        <w:jc w:val="left"/>
        <w:rPr>
          <w:sz w:val="21"/>
        </w:rPr>
        <w:sectPr>
          <w:pgSz w:w="11910" w:h="16840"/>
          <w:pgMar w:header="0" w:footer="1172" w:top="1580" w:bottom="1440" w:left="1520" w:right="360"/>
        </w:sectPr>
      </w:pPr>
    </w:p>
    <w:p>
      <w:pPr>
        <w:pStyle w:val="BodyText"/>
        <w:spacing w:line="364" w:lineRule="auto" w:before="106"/>
        <w:ind w:left="293" w:right="936"/>
      </w:pPr>
      <w:r>
        <w:rPr/>
        <w:t>形成科学合理的内部控制决策机制、执行机制和监督机制，通过行之有效的控制流程、控制措施，建立合理的内控程序，保障各项内控管理目标被有效执行。</w:t>
      </w:r>
    </w:p>
    <w:p>
      <w:pPr>
        <w:pStyle w:val="ListParagraph"/>
        <w:numPr>
          <w:ilvl w:val="0"/>
          <w:numId w:val="7"/>
        </w:numPr>
        <w:tabs>
          <w:tab w:pos="1032" w:val="left" w:leader="none"/>
        </w:tabs>
        <w:spacing w:line="364" w:lineRule="auto" w:before="0" w:after="0"/>
        <w:ind w:left="293" w:right="936" w:firstLine="420"/>
        <w:jc w:val="left"/>
        <w:rPr>
          <w:sz w:val="21"/>
        </w:rPr>
      </w:pPr>
      <w:r>
        <w:rPr>
          <w:sz w:val="21"/>
        </w:rPr>
        <w:t>效益性原则：托管中心内部控制与基金托管规模、业务范围和业务运作环节的风险控制要求相适应，尽量降低经营运作成本，以合理的控制成本实现最佳的内部控制目标。</w:t>
      </w:r>
    </w:p>
    <w:p>
      <w:pPr>
        <w:pStyle w:val="BodyText"/>
        <w:spacing w:line="268" w:lineRule="exact"/>
      </w:pPr>
      <w:r>
        <w:rPr/>
        <w:t>3、内部控制制度及措施</w:t>
      </w:r>
    </w:p>
    <w:p>
      <w:pPr>
        <w:pStyle w:val="BodyText"/>
        <w:spacing w:line="364" w:lineRule="auto" w:before="138"/>
        <w:ind w:left="293" w:right="935" w:firstLine="420"/>
        <w:jc w:val="both"/>
      </w:pPr>
      <w:r>
        <w:rPr>
          <w:spacing w:val="-19"/>
        </w:rPr>
        <w:t>根据《证券投资基金法》、《中华人民共和国商业银行法》、《商业银行资产托管业务指引》</w:t>
      </w:r>
      <w:r>
        <w:rPr>
          <w:spacing w:val="3"/>
        </w:rPr>
        <w:t>等法律法规，托管中心制定了一整套严密、完整的证券投资基金托管管理规章制度，确保基金</w:t>
      </w:r>
      <w:r>
        <w:rPr>
          <w:spacing w:val="-3"/>
        </w:rPr>
        <w:t>托管业务运行的规范、安全、高效，包括《交通银行资产托管业务管理办法》、《交通银行资产</w:t>
      </w:r>
      <w:r>
        <w:rPr>
          <w:spacing w:val="-17"/>
        </w:rPr>
        <w:t>托管业务风险管理办法》、《交通银行资产托管业务系统建设管理办法》、《交通银行资产托管部</w:t>
      </w:r>
      <w:r>
        <w:rPr>
          <w:spacing w:val="-18"/>
        </w:rPr>
        <w:t>信息披露制度》、《交通银行资产托管业务商业秘密管理规定》、《交通银行资产托管业务从业人</w:t>
      </w:r>
      <w:r>
        <w:rPr>
          <w:spacing w:val="-12"/>
        </w:rPr>
        <w:t>员行为规范》、《交通银行资产托管业务档案管理暂行办法》等，并根据市场变化和基金业务的</w:t>
      </w:r>
      <w:r>
        <w:rPr>
          <w:spacing w:val="3"/>
        </w:rPr>
        <w:t>发展不断加以完善。做到业务分工科学合理，技术系统管理规范，业务管理制度健全，核心作业区实行封闭管理，落实各项安全隔离措施，相关信息披露由专人负责。</w:t>
      </w:r>
    </w:p>
    <w:p>
      <w:pPr>
        <w:pStyle w:val="BodyText"/>
        <w:spacing w:line="364" w:lineRule="auto"/>
        <w:ind w:left="293" w:right="936" w:firstLine="420"/>
        <w:jc w:val="both"/>
      </w:pPr>
      <w:r>
        <w:rPr/>
        <w:t>托管中心通过对基金托管业务各环节的事前揭示、事中控制和事后检查措施实现全流程、全链条的风险管理，聘请国际著名会计师事务所对基金托管业务运行进行国际标准的内部控制评审。</w:t>
      </w:r>
    </w:p>
    <w:p>
      <w:pPr>
        <w:pStyle w:val="BodyText"/>
        <w:spacing w:line="268" w:lineRule="exact"/>
      </w:pPr>
      <w:r>
        <w:rPr/>
        <w:t>（三）基金托管人对基金管理人运作基金进行监督的方法和程序</w:t>
      </w:r>
    </w:p>
    <w:p>
      <w:pPr>
        <w:pStyle w:val="BodyText"/>
        <w:spacing w:line="364" w:lineRule="auto" w:before="136"/>
        <w:ind w:left="293" w:right="936" w:firstLine="420"/>
        <w:jc w:val="both"/>
      </w:pPr>
      <w:r>
        <w:rPr>
          <w:spacing w:val="-6"/>
        </w:rPr>
        <w:t>交通银行作为基金托管人，根据《证券投资基金法》、《公开募集证券投资基金运作管理办</w:t>
      </w:r>
      <w:r>
        <w:rPr>
          <w:spacing w:val="9"/>
        </w:rPr>
        <w:t>法》和有关证券法规的规定，对基金的投资对象、基金资产的投资组合比例、基金资产的核</w:t>
      </w:r>
      <w:r>
        <w:rPr>
          <w:spacing w:val="3"/>
        </w:rPr>
        <w:t>算、基金资产净值的计算、基金管理人报酬的计提和支付、基金托管人报酬的计提和支付、基金的申购资金的到账与赎回资金的划付、基金收益分配等行为的合法性、合规性进行监督和核查。</w:t>
      </w:r>
    </w:p>
    <w:p>
      <w:pPr>
        <w:pStyle w:val="BodyText"/>
        <w:spacing w:line="364" w:lineRule="auto"/>
        <w:ind w:left="293" w:right="936" w:firstLine="420"/>
        <w:jc w:val="both"/>
      </w:pPr>
      <w:r>
        <w:rPr>
          <w:spacing w:val="-4"/>
        </w:rPr>
        <w:t>交通银行作为基金托管人，发现基金管理人有违反《证券投资基金法》、《公开募集证券投</w:t>
      </w:r>
      <w:r>
        <w:rPr>
          <w:spacing w:val="9"/>
        </w:rPr>
        <w:t>资基金运作管理办法》等有关证券法规和《基金合同》的行为，及时通知基金管理人予以纠</w:t>
      </w:r>
      <w:r>
        <w:rPr>
          <w:spacing w:val="3"/>
        </w:rPr>
        <w:t>正，基金管理人收到通知后及时核对确认并进行调整。交通银行有权对通知事项进行复查，督促基金管理人改正。基金管理人对交通银行通知的违规事项未能及时纠正的，交通银行有权报告中国证监会。</w:t>
      </w:r>
    </w:p>
    <w:p>
      <w:pPr>
        <w:pStyle w:val="BodyText"/>
        <w:spacing w:line="364" w:lineRule="auto"/>
        <w:ind w:left="293" w:right="936" w:firstLine="420"/>
      </w:pPr>
      <w:r>
        <w:rPr/>
        <w:t>交通银行作为基金托管人，发现基金管理人有重大违规行为，有权立即报告中国证监会， 同时通知基金管理人限期纠正。</w:t>
      </w:r>
    </w:p>
    <w:p>
      <w:pPr>
        <w:pStyle w:val="BodyText"/>
        <w:spacing w:line="268" w:lineRule="exact"/>
      </w:pPr>
      <w:r>
        <w:rPr/>
        <w:t>（四）其他事项</w:t>
      </w:r>
    </w:p>
    <w:p>
      <w:pPr>
        <w:pStyle w:val="BodyText"/>
        <w:spacing w:line="364" w:lineRule="auto" w:before="135"/>
        <w:ind w:left="293" w:right="936" w:firstLine="420"/>
        <w:jc w:val="both"/>
      </w:pPr>
      <w:r>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pPr>
        <w:spacing w:after="0" w:line="364" w:lineRule="auto"/>
        <w:jc w:val="both"/>
        <w:sectPr>
          <w:pgSz w:w="11910" w:h="16840"/>
          <w:pgMar w:header="0" w:footer="1172" w:top="1580" w:bottom="1440" w:left="1520" w:right="360"/>
        </w:sectPr>
      </w:pPr>
    </w:p>
    <w:p>
      <w:pPr>
        <w:pStyle w:val="BodyText"/>
        <w:spacing w:before="4"/>
        <w:ind w:left="0"/>
        <w:rPr>
          <w:rFonts w:ascii="Times New Roman"/>
          <w:sz w:val="17"/>
        </w:rPr>
      </w:pPr>
    </w:p>
    <w:p>
      <w:pPr>
        <w:spacing w:after="0"/>
        <w:rPr>
          <w:rFonts w:ascii="Times New Roman"/>
          <w:sz w:val="17"/>
        </w:rPr>
        <w:sectPr>
          <w:pgSz w:w="11910" w:h="16840"/>
          <w:pgMar w:header="0" w:footer="1172" w:top="1580" w:bottom="1360" w:left="1520" w:right="360"/>
        </w:sectPr>
      </w:pPr>
    </w:p>
    <w:p>
      <w:pPr>
        <w:pStyle w:val="BodyText"/>
        <w:ind w:left="0"/>
        <w:rPr>
          <w:rFonts w:ascii="Times New Roman"/>
          <w:sz w:val="20"/>
        </w:rPr>
      </w:pPr>
    </w:p>
    <w:p>
      <w:pPr>
        <w:pStyle w:val="BodyText"/>
        <w:spacing w:before="10"/>
        <w:ind w:left="0"/>
        <w:rPr>
          <w:rFonts w:ascii="Times New Roman"/>
          <w:sz w:val="22"/>
        </w:rPr>
      </w:pPr>
    </w:p>
    <w:p>
      <w:pPr>
        <w:pStyle w:val="Heading1"/>
        <w:spacing w:line="488" w:lineRule="exact" w:before="0"/>
        <w:ind w:right="920"/>
        <w:jc w:val="center"/>
      </w:pPr>
      <w:bookmarkStart w:name="_bookmark9" w:id="10"/>
      <w:bookmarkEnd w:id="10"/>
      <w:r>
        <w:rPr>
          <w:b w:val="0"/>
        </w:rPr>
      </w:r>
      <w:r>
        <w:rPr/>
        <w:t>五、相关服务机构</w:t>
      </w:r>
    </w:p>
    <w:p>
      <w:pPr>
        <w:pStyle w:val="Heading2"/>
        <w:spacing w:before="118"/>
      </w:pPr>
      <w:bookmarkStart w:name="_bookmark10" w:id="11"/>
      <w:bookmarkEnd w:id="11"/>
      <w:r>
        <w:rPr/>
      </w:r>
      <w:r>
        <w:rPr/>
        <w:t>（一）基金份额销售机构</w:t>
      </w:r>
    </w:p>
    <w:p>
      <w:pPr>
        <w:pStyle w:val="BodyText"/>
        <w:spacing w:before="12"/>
        <w:ind w:left="0"/>
        <w:rPr>
          <w:sz w:val="8"/>
        </w:rPr>
      </w:pPr>
    </w:p>
    <w:p>
      <w:pPr>
        <w:pStyle w:val="BodyText"/>
        <w:spacing w:before="70"/>
      </w:pPr>
      <w:r>
        <w:rPr/>
        <w:t>1、直销机构</w:t>
      </w:r>
    </w:p>
    <w:p>
      <w:pPr>
        <w:pStyle w:val="BodyText"/>
        <w:spacing w:before="140"/>
      </w:pPr>
      <w:r>
        <w:rPr/>
        <w:t>易方达基金管理有限公司</w:t>
      </w:r>
    </w:p>
    <w:p>
      <w:pPr>
        <w:pStyle w:val="BodyText"/>
        <w:spacing w:line="364" w:lineRule="auto" w:before="139"/>
        <w:ind w:right="2381"/>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421"/>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896"/>
      </w:pPr>
      <w:hyperlink r:id="rId8">
        <w:r>
          <w:rPr/>
          <w:t>网址：www.efunds.com.cn </w:t>
        </w:r>
      </w:hyperlink>
      <w:r>
        <w:rPr/>
        <w:t>直销机构网点信息：</w:t>
      </w:r>
    </w:p>
    <w:p>
      <w:pPr>
        <w:pStyle w:val="ListParagraph"/>
        <w:numPr>
          <w:ilvl w:val="0"/>
          <w:numId w:val="8"/>
        </w:numPr>
        <w:tabs>
          <w:tab w:pos="1240" w:val="left" w:leader="none"/>
        </w:tabs>
        <w:spacing w:line="268" w:lineRule="exact" w:before="0" w:after="0"/>
        <w:ind w:left="1240" w:right="0" w:hanging="527"/>
        <w:jc w:val="left"/>
        <w:rPr>
          <w:sz w:val="21"/>
        </w:rPr>
      </w:pPr>
      <w:r>
        <w:rPr>
          <w:sz w:val="21"/>
        </w:rPr>
        <w:t>易方达基金管理有限公司广州直销中心</w:t>
      </w:r>
    </w:p>
    <w:p>
      <w:pPr>
        <w:pStyle w:val="BodyText"/>
        <w:spacing w:line="364" w:lineRule="auto" w:before="139"/>
        <w:ind w:right="3011"/>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8"/>
        </w:numPr>
        <w:tabs>
          <w:tab w:pos="1240" w:val="left" w:leader="none"/>
        </w:tabs>
        <w:spacing w:line="240" w:lineRule="auto" w:before="140" w:after="0"/>
        <w:ind w:left="1240" w:right="0" w:hanging="527"/>
        <w:jc w:val="left"/>
        <w:rPr>
          <w:sz w:val="21"/>
        </w:rPr>
      </w:pPr>
      <w:r>
        <w:rPr>
          <w:sz w:val="21"/>
        </w:rPr>
        <w:t>易方达基金管理有限公司北京直销中心</w:t>
      </w:r>
    </w:p>
    <w:p>
      <w:pPr>
        <w:pStyle w:val="BodyText"/>
        <w:spacing w:line="364" w:lineRule="auto" w:before="139"/>
        <w:ind w:right="3956"/>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40"/>
      </w:pPr>
      <w:r>
        <w:rPr/>
        <w:t>联系人：刘蕾</w:t>
      </w:r>
    </w:p>
    <w:p>
      <w:pPr>
        <w:pStyle w:val="ListParagraph"/>
        <w:numPr>
          <w:ilvl w:val="0"/>
          <w:numId w:val="8"/>
        </w:numPr>
        <w:tabs>
          <w:tab w:pos="1240" w:val="left" w:leader="none"/>
        </w:tabs>
        <w:spacing w:line="240" w:lineRule="auto" w:before="139" w:after="0"/>
        <w:ind w:left="1240" w:right="0" w:hanging="527"/>
        <w:jc w:val="left"/>
        <w:rPr>
          <w:sz w:val="21"/>
        </w:rPr>
      </w:pPr>
      <w:r>
        <w:rPr>
          <w:sz w:val="21"/>
        </w:rPr>
        <w:t>易方达基金管理有限公司上海直销中心</w:t>
      </w:r>
    </w:p>
    <w:p>
      <w:pPr>
        <w:pStyle w:val="BodyText"/>
        <w:spacing w:line="364" w:lineRule="auto" w:before="140"/>
        <w:ind w:right="4061"/>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联系人：于楠</w:t>
      </w:r>
    </w:p>
    <w:p>
      <w:pPr>
        <w:pStyle w:val="ListParagraph"/>
        <w:numPr>
          <w:ilvl w:val="0"/>
          <w:numId w:val="8"/>
        </w:numPr>
        <w:tabs>
          <w:tab w:pos="1240" w:val="left" w:leader="none"/>
        </w:tabs>
        <w:spacing w:line="364" w:lineRule="auto" w:before="139" w:after="0"/>
        <w:ind w:left="713" w:right="5216" w:firstLine="0"/>
        <w:jc w:val="left"/>
        <w:rPr>
          <w:sz w:val="21"/>
        </w:rPr>
      </w:pPr>
      <w:r>
        <w:rPr>
          <w:spacing w:val="-2"/>
          <w:sz w:val="21"/>
        </w:rPr>
        <w:t>易方达基金管理有限公司网上交易系统</w:t>
      </w:r>
      <w:hyperlink r:id="rId8">
        <w:r>
          <w:rPr>
            <w:sz w:val="21"/>
          </w:rPr>
          <w:t>网址：www.efunds.com.cn</w:t>
        </w:r>
      </w:hyperlink>
    </w:p>
    <w:p>
      <w:pPr>
        <w:pStyle w:val="BodyText"/>
        <w:spacing w:line="268" w:lineRule="exact"/>
      </w:pPr>
      <w:r>
        <w:rPr/>
        <w:t>2、非直销销售机构（以下排序不分先后）</w:t>
      </w:r>
    </w:p>
    <w:p>
      <w:pPr>
        <w:pStyle w:val="BodyText"/>
        <w:spacing w:before="140"/>
      </w:pPr>
      <w:r>
        <w:rPr/>
        <w:t>（1）A 类基金份额</w:t>
      </w:r>
    </w:p>
    <w:p>
      <w:pPr>
        <w:spacing w:after="0"/>
        <w:sectPr>
          <w:pgSz w:w="11910" w:h="16840"/>
          <w:pgMar w:header="0" w:footer="1172" w:top="1580" w:bottom="1360" w:left="1520" w:right="360"/>
        </w:sectPr>
      </w:pPr>
    </w:p>
    <w:p>
      <w:pPr>
        <w:pStyle w:val="ListParagraph"/>
        <w:numPr>
          <w:ilvl w:val="0"/>
          <w:numId w:val="9"/>
        </w:numPr>
        <w:tabs>
          <w:tab w:pos="1029" w:val="left" w:leader="none"/>
        </w:tabs>
        <w:spacing w:line="240" w:lineRule="auto" w:before="106" w:after="0"/>
        <w:ind w:left="1029" w:right="0" w:hanging="316"/>
        <w:jc w:val="both"/>
        <w:rPr>
          <w:sz w:val="21"/>
        </w:rPr>
      </w:pPr>
      <w:r>
        <w:rPr>
          <w:sz w:val="21"/>
        </w:rPr>
        <w:t>交通银行</w:t>
      </w:r>
    </w:p>
    <w:p>
      <w:pPr>
        <w:pStyle w:val="BodyText"/>
        <w:spacing w:line="364" w:lineRule="auto" w:before="139"/>
        <w:ind w:right="4061"/>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9">
        <w:r>
          <w:rPr/>
          <w:t>网址：www.bankcomm.com</w:t>
        </w:r>
      </w:hyperlink>
    </w:p>
    <w:p>
      <w:pPr>
        <w:pStyle w:val="ListParagraph"/>
        <w:numPr>
          <w:ilvl w:val="0"/>
          <w:numId w:val="9"/>
        </w:numPr>
        <w:tabs>
          <w:tab w:pos="1029" w:val="left" w:leader="none"/>
        </w:tabs>
        <w:spacing w:line="240" w:lineRule="auto" w:before="139" w:after="0"/>
        <w:ind w:left="1029" w:right="0" w:hanging="316"/>
        <w:jc w:val="both"/>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4271"/>
      </w:pPr>
      <w:r>
        <w:rPr>
          <w:spacing w:val="-4"/>
        </w:rPr>
        <w:t>办公地址：天津市河东区海河东路 </w:t>
      </w:r>
      <w:r>
        <w:rPr/>
        <w:t>218</w:t>
      </w:r>
      <w:r>
        <w:rPr>
          <w:spacing w:val="-10"/>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7316"/>
      </w:pPr>
      <w:r>
        <w:rPr/>
        <w:t>客户服务电话：95541 传真：022-58316569</w:t>
      </w:r>
    </w:p>
    <w:p>
      <w:pPr>
        <w:pStyle w:val="BodyText"/>
        <w:spacing w:line="268" w:lineRule="exact"/>
      </w:pPr>
      <w:hyperlink r:id="rId10">
        <w:r>
          <w:rPr/>
          <w:t>网址：www.cbhb.com.cn</w:t>
        </w:r>
      </w:hyperlink>
    </w:p>
    <w:p>
      <w:pPr>
        <w:pStyle w:val="ListParagraph"/>
        <w:numPr>
          <w:ilvl w:val="0"/>
          <w:numId w:val="9"/>
        </w:numPr>
        <w:tabs>
          <w:tab w:pos="1029" w:val="left" w:leader="none"/>
        </w:tabs>
        <w:spacing w:line="240" w:lineRule="auto" w:before="139" w:after="0"/>
        <w:ind w:left="1029" w:right="0" w:hanging="316"/>
        <w:jc w:val="both"/>
        <w:rPr>
          <w:sz w:val="21"/>
        </w:rPr>
      </w:pPr>
      <w:r>
        <w:rPr>
          <w:sz w:val="21"/>
        </w:rPr>
        <w:t>广发银行</w:t>
      </w:r>
    </w:p>
    <w:p>
      <w:pPr>
        <w:pStyle w:val="BodyText"/>
        <w:spacing w:line="364" w:lineRule="auto" w:before="140"/>
        <w:ind w:right="4901"/>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法定代表人：王滨</w:t>
      </w:r>
    </w:p>
    <w:p>
      <w:pPr>
        <w:pStyle w:val="BodyText"/>
        <w:spacing w:line="364" w:lineRule="auto"/>
        <w:ind w:right="6581"/>
      </w:pPr>
      <w:r>
        <w:rPr/>
        <w:t>客户服务电话：400-830-8003 </w:t>
      </w:r>
      <w:hyperlink r:id="rId11">
        <w:r>
          <w:rPr/>
          <w:t>网址：www.cgbchina.com.cn</w:t>
        </w:r>
      </w:hyperlink>
    </w:p>
    <w:p>
      <w:pPr>
        <w:pStyle w:val="ListParagraph"/>
        <w:numPr>
          <w:ilvl w:val="0"/>
          <w:numId w:val="9"/>
        </w:numPr>
        <w:tabs>
          <w:tab w:pos="1029" w:val="left" w:leader="none"/>
        </w:tabs>
        <w:spacing w:line="268" w:lineRule="exact" w:before="0" w:after="0"/>
        <w:ind w:left="1029" w:right="0" w:hanging="316"/>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39"/>
        <w:ind w:right="3956"/>
      </w:pPr>
      <w:r>
        <w:rPr>
          <w:spacing w:val="-3"/>
        </w:rPr>
        <w:t>办公地址：北京市东城区建国门内大街 </w:t>
      </w:r>
      <w:r>
        <w:rPr/>
        <w:t>22</w:t>
      </w:r>
      <w:r>
        <w:rPr>
          <w:spacing w:val="-10"/>
        </w:rPr>
        <w:t> 号华夏银行大厦</w:t>
      </w:r>
      <w:r>
        <w:rPr/>
        <w:t>法定代表人：李民吉</w:t>
      </w:r>
    </w:p>
    <w:p>
      <w:pPr>
        <w:pStyle w:val="BodyText"/>
        <w:spacing w:line="268" w:lineRule="exact"/>
      </w:pPr>
      <w:r>
        <w:rPr/>
        <w:t>联系人：王者凡</w:t>
      </w:r>
    </w:p>
    <w:p>
      <w:pPr>
        <w:pStyle w:val="BodyText"/>
        <w:spacing w:line="364" w:lineRule="auto" w:before="140"/>
        <w:ind w:right="7316"/>
      </w:pPr>
      <w:r>
        <w:rPr/>
        <w:t>客户服务电话：95577 传真：010-85238680</w:t>
      </w:r>
    </w:p>
    <w:p>
      <w:pPr>
        <w:pStyle w:val="BodyText"/>
        <w:spacing w:line="268" w:lineRule="exact"/>
      </w:pPr>
      <w:hyperlink r:id="rId12">
        <w:r>
          <w:rPr/>
          <w:t>网址：www.hxb.com.cn</w:t>
        </w:r>
      </w:hyperlink>
    </w:p>
    <w:p>
      <w:pPr>
        <w:pStyle w:val="ListParagraph"/>
        <w:numPr>
          <w:ilvl w:val="0"/>
          <w:numId w:val="9"/>
        </w:numPr>
        <w:tabs>
          <w:tab w:pos="1029" w:val="left" w:leader="none"/>
        </w:tabs>
        <w:spacing w:line="240" w:lineRule="auto" w:before="139" w:after="0"/>
        <w:ind w:left="1029" w:right="0" w:hanging="316"/>
        <w:jc w:val="both"/>
        <w:rPr>
          <w:sz w:val="21"/>
        </w:rPr>
      </w:pPr>
      <w:r>
        <w:rPr>
          <w:sz w:val="21"/>
        </w:rPr>
        <w:t>平安银行</w:t>
      </w:r>
    </w:p>
    <w:p>
      <w:pPr>
        <w:pStyle w:val="BodyText"/>
        <w:spacing w:before="140"/>
      </w:pPr>
      <w:r>
        <w:rPr/>
        <w:t>注册地址：广东省深圳市罗湖区深南东路 5047 号</w:t>
      </w:r>
    </w:p>
    <w:p>
      <w:pPr>
        <w:spacing w:after="0"/>
        <w:sectPr>
          <w:pgSz w:w="11910" w:h="16840"/>
          <w:pgMar w:header="0" w:footer="1172" w:top="1580" w:bottom="1440" w:left="1520" w:right="360"/>
        </w:sectPr>
      </w:pPr>
    </w:p>
    <w:p>
      <w:pPr>
        <w:pStyle w:val="BodyText"/>
        <w:spacing w:line="364" w:lineRule="auto" w:before="106"/>
        <w:ind w:right="4796"/>
      </w:pP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7106"/>
      </w:pPr>
      <w:r>
        <w:rPr/>
        <w:t>客户服务电话：95511-3 传真：021-50979507</w:t>
      </w:r>
    </w:p>
    <w:p>
      <w:pPr>
        <w:pStyle w:val="BodyText"/>
        <w:spacing w:line="268" w:lineRule="exact"/>
      </w:pPr>
      <w:r>
        <w:rPr/>
        <w:t>网址：bank.pingan.com</w:t>
      </w:r>
    </w:p>
    <w:p>
      <w:pPr>
        <w:pStyle w:val="ListParagraph"/>
        <w:numPr>
          <w:ilvl w:val="0"/>
          <w:numId w:val="9"/>
        </w:numPr>
        <w:tabs>
          <w:tab w:pos="1029" w:val="left" w:leader="none"/>
        </w:tabs>
        <w:spacing w:line="240" w:lineRule="auto" w:before="139" w:after="0"/>
        <w:ind w:left="1029" w:right="0" w:hanging="316"/>
        <w:jc w:val="both"/>
        <w:rPr>
          <w:sz w:val="21"/>
        </w:rPr>
      </w:pPr>
      <w:r>
        <w:rPr>
          <w:sz w:val="21"/>
        </w:rPr>
        <w:t>浦发银行</w:t>
      </w:r>
    </w:p>
    <w:p>
      <w:pPr>
        <w:pStyle w:val="BodyText"/>
        <w:spacing w:line="364" w:lineRule="auto" w:before="140"/>
        <w:ind w:right="6056"/>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7316"/>
      </w:pPr>
      <w:r>
        <w:rPr/>
        <w:t>客户服务电话：95528 传真：021-63604196</w:t>
      </w:r>
    </w:p>
    <w:p>
      <w:pPr>
        <w:pStyle w:val="BodyText"/>
        <w:spacing w:line="268" w:lineRule="exact"/>
      </w:pPr>
      <w:hyperlink r:id="rId13">
        <w:r>
          <w:rPr/>
          <w:t>网址：www.spdb.com.cn</w:t>
        </w:r>
      </w:hyperlink>
    </w:p>
    <w:p>
      <w:pPr>
        <w:pStyle w:val="ListParagraph"/>
        <w:numPr>
          <w:ilvl w:val="0"/>
          <w:numId w:val="9"/>
        </w:numPr>
        <w:tabs>
          <w:tab w:pos="1029" w:val="left" w:leader="none"/>
        </w:tabs>
        <w:spacing w:line="240" w:lineRule="auto" w:before="139" w:after="0"/>
        <w:ind w:left="1029" w:right="0" w:hanging="316"/>
        <w:jc w:val="both"/>
        <w:rPr>
          <w:sz w:val="21"/>
        </w:rPr>
      </w:pPr>
      <w:r>
        <w:rPr>
          <w:sz w:val="21"/>
        </w:rPr>
        <w:t>兴业银行</w:t>
      </w:r>
    </w:p>
    <w:p>
      <w:pPr>
        <w:pStyle w:val="BodyText"/>
        <w:spacing w:before="139"/>
      </w:pPr>
      <w:r>
        <w:rPr/>
        <w:t>注册地址：福州市湖东路 154 号中山大厦</w:t>
      </w:r>
    </w:p>
    <w:p>
      <w:pPr>
        <w:pStyle w:val="BodyText"/>
        <w:spacing w:before="140"/>
      </w:pPr>
      <w:r>
        <w:rPr/>
        <w:t>办公地址：上海市银城路 167 号兴业银行大厦</w:t>
      </w:r>
    </w:p>
    <w:p>
      <w:pPr>
        <w:pStyle w:val="BodyText"/>
        <w:spacing w:line="364" w:lineRule="auto" w:before="139"/>
        <w:ind w:right="4691"/>
      </w:pPr>
      <w:r>
        <w:rPr/>
        <w:t>法定代表人：陶以平（代为履行法定代表人职权） 联系人：孙琪虹</w:t>
      </w:r>
    </w:p>
    <w:p>
      <w:pPr>
        <w:pStyle w:val="BodyText"/>
        <w:spacing w:line="364" w:lineRule="auto"/>
        <w:ind w:right="7211"/>
      </w:pPr>
      <w:r>
        <w:rPr/>
        <w:t>客户服务电话：95561 </w:t>
      </w:r>
      <w:hyperlink r:id="rId14">
        <w:r>
          <w:rPr/>
          <w:t>网址</w:t>
        </w:r>
        <w:r>
          <w:rPr>
            <w:spacing w:val="-2"/>
          </w:rPr>
          <w:t>：www.cib.com.cn</w:t>
        </w:r>
      </w:hyperlink>
    </w:p>
    <w:p>
      <w:pPr>
        <w:pStyle w:val="ListParagraph"/>
        <w:numPr>
          <w:ilvl w:val="0"/>
          <w:numId w:val="9"/>
        </w:numPr>
        <w:tabs>
          <w:tab w:pos="1029" w:val="left" w:leader="none"/>
        </w:tabs>
        <w:spacing w:line="268" w:lineRule="exact" w:before="0" w:after="0"/>
        <w:ind w:left="1029" w:right="0" w:hanging="316"/>
        <w:jc w:val="left"/>
        <w:rPr>
          <w:sz w:val="21"/>
        </w:rPr>
      </w:pPr>
      <w:r>
        <w:rPr>
          <w:sz w:val="21"/>
        </w:rPr>
        <w:t>招商银行</w:t>
      </w:r>
    </w:p>
    <w:p>
      <w:pPr>
        <w:pStyle w:val="BodyText"/>
        <w:spacing w:line="364" w:lineRule="auto" w:before="139"/>
        <w:ind w:right="4166"/>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ListParagraph"/>
        <w:numPr>
          <w:ilvl w:val="0"/>
          <w:numId w:val="9"/>
        </w:numPr>
        <w:tabs>
          <w:tab w:pos="1029" w:val="left" w:leader="none"/>
        </w:tabs>
        <w:spacing w:line="240" w:lineRule="auto" w:before="139" w:after="0"/>
        <w:ind w:left="1029" w:right="0" w:hanging="316"/>
        <w:jc w:val="both"/>
        <w:rPr>
          <w:sz w:val="21"/>
        </w:rPr>
      </w:pPr>
      <w:r>
        <w:rPr>
          <w:sz w:val="21"/>
        </w:rPr>
        <w:t>浙商银行</w:t>
      </w:r>
    </w:p>
    <w:p>
      <w:pPr>
        <w:pStyle w:val="BodyText"/>
        <w:spacing w:line="364" w:lineRule="auto" w:before="140"/>
        <w:ind w:right="5006"/>
      </w:pPr>
      <w:r>
        <w:rPr>
          <w:spacing w:val="-3"/>
        </w:rPr>
        <w:t>注册地址：浙江省杭州市萧山区鸿宁路 </w:t>
      </w:r>
      <w:r>
        <w:rPr/>
        <w:t>1788</w:t>
      </w:r>
      <w:r>
        <w:rPr>
          <w:spacing w:val="-35"/>
        </w:rPr>
        <w:t> 号</w:t>
      </w:r>
      <w:r>
        <w:rPr>
          <w:spacing w:val="-4"/>
        </w:rPr>
        <w:t>办公地址：浙江杭州市庆春路 </w:t>
      </w:r>
      <w:r>
        <w:rPr/>
        <w:t>288</w:t>
      </w:r>
      <w:r>
        <w:rPr>
          <w:spacing w:val="-27"/>
        </w:rPr>
        <w:t> 号</w:t>
      </w:r>
    </w:p>
    <w:p>
      <w:pPr>
        <w:spacing w:after="0" w:line="364" w:lineRule="auto"/>
        <w:sectPr>
          <w:pgSz w:w="11910" w:h="16840"/>
          <w:pgMar w:header="0" w:footer="1172" w:top="1580" w:bottom="1440" w:left="1520" w:right="360"/>
        </w:sectPr>
      </w:pPr>
    </w:p>
    <w:p>
      <w:pPr>
        <w:pStyle w:val="BodyText"/>
        <w:spacing w:line="364" w:lineRule="auto" w:before="106"/>
        <w:ind w:right="7421"/>
      </w:pPr>
      <w:r>
        <w:rPr/>
        <w:t>法定代表人：沈仁康联系人：沈崟杰</w:t>
      </w:r>
    </w:p>
    <w:p>
      <w:pPr>
        <w:pStyle w:val="BodyText"/>
        <w:spacing w:line="268" w:lineRule="exact"/>
      </w:pPr>
      <w:r>
        <w:rPr/>
        <w:t>联系电话：0571- 88261822</w:t>
      </w:r>
    </w:p>
    <w:p>
      <w:pPr>
        <w:pStyle w:val="BodyText"/>
        <w:spacing w:line="364" w:lineRule="auto" w:before="139"/>
        <w:ind w:right="7316"/>
      </w:pPr>
      <w:r>
        <w:rPr/>
        <w:t>客户服务电话：95527 传真：0571-87659954</w:t>
      </w:r>
    </w:p>
    <w:p>
      <w:pPr>
        <w:pStyle w:val="BodyText"/>
        <w:spacing w:line="268" w:lineRule="exact"/>
      </w:pPr>
      <w:hyperlink r:id="rId16">
        <w:r>
          <w:rPr/>
          <w:t>网址：www.czbank.com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中国工商银行</w:t>
      </w:r>
    </w:p>
    <w:p>
      <w:pPr>
        <w:pStyle w:val="BodyText"/>
        <w:spacing w:line="364" w:lineRule="auto" w:before="139"/>
        <w:ind w:right="5426"/>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40"/>
        <w:ind w:right="7106"/>
      </w:pPr>
      <w:r>
        <w:rPr/>
        <w:t>客户服务电话：95588 </w:t>
      </w:r>
      <w:hyperlink r:id="rId17">
        <w:r>
          <w:rPr>
            <w:spacing w:val="-1"/>
          </w:rPr>
          <w:t>网址</w:t>
        </w:r>
        <w:r>
          <w:rPr/>
          <w:t>：www.icbc.com.cn</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中国光大银行</w:t>
      </w:r>
    </w:p>
    <w:p>
      <w:pPr>
        <w:pStyle w:val="BodyText"/>
        <w:spacing w:before="139"/>
      </w:pPr>
      <w:r>
        <w:rPr/>
        <w:t>注册地址：北京市西城区太平桥大街 25 号、甲 25 号中国光大中心</w:t>
      </w:r>
    </w:p>
    <w:p>
      <w:pPr>
        <w:pStyle w:val="BodyText"/>
        <w:spacing w:line="364" w:lineRule="auto" w:before="140"/>
        <w:ind w:right="2381"/>
      </w:pPr>
      <w:r>
        <w:rPr>
          <w:spacing w:val="-4"/>
        </w:rPr>
        <w:t>办公地址：北京市西城区太平桥大街 </w:t>
      </w:r>
      <w:r>
        <w:rPr/>
        <w:t>25</w:t>
      </w:r>
      <w:r>
        <w:rPr>
          <w:spacing w:val="-19"/>
        </w:rPr>
        <w:t> 号金融街 </w:t>
      </w:r>
      <w:r>
        <w:rPr/>
        <w:t>F3</w:t>
      </w:r>
      <w:r>
        <w:rPr>
          <w:spacing w:val="-18"/>
        </w:rPr>
        <w:t> 大厦</w:t>
      </w:r>
      <w:r>
        <w:rPr/>
        <w:t>（中国光大中心</w:t>
      </w:r>
      <w:r>
        <w:rPr>
          <w:spacing w:val="-16"/>
        </w:rPr>
        <w:t>） </w:t>
      </w:r>
      <w:r>
        <w:rPr/>
        <w:t>法定代表人：刘秋明</w:t>
      </w:r>
    </w:p>
    <w:p>
      <w:pPr>
        <w:pStyle w:val="BodyText"/>
        <w:spacing w:line="268" w:lineRule="exact"/>
      </w:pPr>
      <w:r>
        <w:rPr/>
        <w:t>联系人：朱红</w:t>
      </w:r>
    </w:p>
    <w:p>
      <w:pPr>
        <w:pStyle w:val="BodyText"/>
        <w:spacing w:before="139"/>
      </w:pPr>
      <w:r>
        <w:rPr/>
        <w:t>联系电话：010-63636153</w:t>
      </w:r>
    </w:p>
    <w:p>
      <w:pPr>
        <w:pStyle w:val="BodyText"/>
        <w:spacing w:line="364" w:lineRule="auto" w:before="139"/>
        <w:ind w:right="7316"/>
      </w:pPr>
      <w:r>
        <w:rPr/>
        <w:t>客户服务电话：95595 传真：010-63639709</w:t>
      </w:r>
    </w:p>
    <w:p>
      <w:pPr>
        <w:pStyle w:val="BodyText"/>
        <w:spacing w:line="268" w:lineRule="exact"/>
      </w:pPr>
      <w:hyperlink r:id="rId18">
        <w:r>
          <w:rPr/>
          <w:t>网址：www.cebbank.com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中国建设银行</w:t>
      </w:r>
    </w:p>
    <w:p>
      <w:pPr>
        <w:pStyle w:val="BodyText"/>
        <w:spacing w:before="139"/>
      </w:pPr>
      <w:r>
        <w:rPr/>
        <w:t>注册地址：北京市西城区金融大街 25 号</w:t>
      </w:r>
    </w:p>
    <w:p>
      <w:pPr>
        <w:pStyle w:val="BodyText"/>
        <w:spacing w:line="364" w:lineRule="auto" w:before="140"/>
        <w:ind w:right="4691"/>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39"/>
        <w:ind w:right="7316"/>
      </w:pPr>
      <w:r>
        <w:rPr/>
        <w:t>客户服务电话：95533 </w:t>
      </w:r>
      <w:hyperlink r:id="rId19">
        <w:r>
          <w:rPr/>
          <w:t>网址：www.ccb.com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中国民生银行</w:t>
      </w:r>
    </w:p>
    <w:p>
      <w:pPr>
        <w:pStyle w:val="BodyText"/>
        <w:spacing w:line="364" w:lineRule="auto" w:before="140"/>
        <w:ind w:right="5321"/>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spacing w:after="0" w:line="364" w:lineRule="auto"/>
        <w:jc w:val="both"/>
        <w:sectPr>
          <w:pgSz w:w="11910" w:h="16840"/>
          <w:pgMar w:header="0" w:footer="1172" w:top="1580" w:bottom="1440" w:left="1520" w:right="360"/>
        </w:sectPr>
      </w:pPr>
    </w:p>
    <w:p>
      <w:pPr>
        <w:pStyle w:val="BodyText"/>
        <w:spacing w:before="106"/>
      </w:pPr>
      <w:r>
        <w:rPr/>
        <w:t>联系人：徐野</w:t>
      </w:r>
    </w:p>
    <w:p>
      <w:pPr>
        <w:pStyle w:val="BodyText"/>
        <w:spacing w:line="364" w:lineRule="auto" w:before="139"/>
        <w:ind w:right="7106"/>
      </w:pPr>
      <w:r>
        <w:rPr/>
        <w:t>客户服务电话：95568 </w:t>
      </w:r>
      <w:hyperlink r:id="rId20">
        <w:r>
          <w:rPr>
            <w:spacing w:val="-1"/>
          </w:rPr>
          <w:t>网址</w:t>
        </w:r>
        <w:r>
          <w:rPr/>
          <w:t>：www.cmbc.com.cn</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中国农业银行</w:t>
      </w:r>
    </w:p>
    <w:p>
      <w:pPr>
        <w:pStyle w:val="BodyText"/>
        <w:spacing w:line="364" w:lineRule="auto" w:before="140"/>
        <w:ind w:right="5216"/>
        <w:jc w:val="both"/>
      </w:pPr>
      <w:r>
        <w:rPr>
          <w:spacing w:val="-3"/>
        </w:rPr>
        <w:t>注册地址：北京市东城区建国门内大街 </w:t>
      </w:r>
      <w:r>
        <w:rPr/>
        <w:t>69</w:t>
      </w:r>
      <w:r>
        <w:rPr>
          <w:spacing w:val="-35"/>
        </w:rPr>
        <w:t> 号</w:t>
      </w:r>
      <w:r>
        <w:rPr>
          <w:spacing w:val="-3"/>
        </w:rPr>
        <w:t>办公地址：北京市东城区建国门内大街 </w:t>
      </w:r>
      <w:r>
        <w:rPr/>
        <w:t>69</w:t>
      </w:r>
      <w:r>
        <w:rPr>
          <w:spacing w:val="-35"/>
        </w:rPr>
        <w:t> 号</w:t>
      </w:r>
      <w:r>
        <w:rPr/>
        <w:t>法定代表人：周慕冰</w:t>
      </w:r>
    </w:p>
    <w:p>
      <w:pPr>
        <w:pStyle w:val="BodyText"/>
        <w:spacing w:line="268" w:lineRule="exact"/>
      </w:pPr>
      <w:r>
        <w:rPr/>
        <w:t>联系人：李紫钰</w:t>
      </w:r>
    </w:p>
    <w:p>
      <w:pPr>
        <w:pStyle w:val="BodyText"/>
        <w:spacing w:line="364" w:lineRule="auto" w:before="139"/>
        <w:ind w:right="7316"/>
      </w:pPr>
      <w:r>
        <w:rPr/>
        <w:t>客户服务电话：95599 传真：010-85109219</w:t>
      </w:r>
    </w:p>
    <w:p>
      <w:pPr>
        <w:pStyle w:val="BodyText"/>
        <w:spacing w:line="268" w:lineRule="exact"/>
      </w:pPr>
      <w:hyperlink r:id="rId21">
        <w:r>
          <w:rPr/>
          <w:t>网址：www.abchina.com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中国银行</w:t>
      </w:r>
    </w:p>
    <w:p>
      <w:pPr>
        <w:pStyle w:val="BodyText"/>
        <w:spacing w:line="364" w:lineRule="auto" w:before="139"/>
        <w:ind w:right="5321"/>
        <w:jc w:val="both"/>
      </w:pPr>
      <w:r>
        <w:rPr>
          <w:spacing w:val="-3"/>
        </w:rPr>
        <w:t>注册地址：北京市西城区复兴门内大街 </w:t>
      </w:r>
      <w:r>
        <w:rPr/>
        <w:t>1</w:t>
      </w:r>
      <w:r>
        <w:rPr>
          <w:spacing w:val="-35"/>
        </w:rPr>
        <w:t> 号</w:t>
      </w:r>
      <w:r>
        <w:rPr>
          <w:spacing w:val="-3"/>
        </w:rPr>
        <w:t>办公地址：北京市西城区复兴门内大街 </w:t>
      </w:r>
      <w:r>
        <w:rPr/>
        <w:t>1</w:t>
      </w:r>
      <w:r>
        <w:rPr>
          <w:spacing w:val="-35"/>
        </w:rPr>
        <w:t> 号</w:t>
      </w:r>
      <w:r>
        <w:rPr/>
        <w:t>法定代表人：刘连舸</w:t>
      </w:r>
    </w:p>
    <w:p>
      <w:pPr>
        <w:pStyle w:val="BodyText"/>
        <w:spacing w:line="364" w:lineRule="auto"/>
        <w:ind w:right="7316"/>
      </w:pPr>
      <w:r>
        <w:rPr/>
        <w:t>客户服务电话：95566 </w:t>
      </w:r>
      <w:hyperlink r:id="rId22">
        <w:r>
          <w:rPr/>
          <w:t>网址：www.boc.cn</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中国邮政储蓄银行</w:t>
      </w:r>
    </w:p>
    <w:p>
      <w:pPr>
        <w:pStyle w:val="BodyText"/>
        <w:spacing w:line="364" w:lineRule="auto" w:before="138"/>
        <w:ind w:right="5741"/>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40"/>
        <w:ind w:right="7316"/>
      </w:pPr>
      <w:r>
        <w:rPr/>
        <w:t>客户服务电话</w:t>
      </w:r>
      <w:r>
        <w:rPr>
          <w:spacing w:val="-3"/>
        </w:rPr>
        <w:t>：95580 </w:t>
      </w:r>
      <w:r>
        <w:rPr/>
        <w:t>传真：010-68858057</w:t>
      </w:r>
    </w:p>
    <w:p>
      <w:pPr>
        <w:pStyle w:val="BodyText"/>
        <w:spacing w:line="268" w:lineRule="exact"/>
      </w:pPr>
      <w:hyperlink r:id="rId23">
        <w:r>
          <w:rPr/>
          <w:t>网址：www.psbc.com</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中信银行</w:t>
      </w:r>
    </w:p>
    <w:p>
      <w:pPr>
        <w:pStyle w:val="BodyText"/>
        <w:spacing w:line="364" w:lineRule="auto" w:before="139"/>
        <w:ind w:right="5321"/>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40"/>
        <w:ind w:right="7316"/>
      </w:pPr>
      <w:r>
        <w:rPr/>
        <w:t>客户服务电话：95558 传真：010-85230049</w:t>
      </w:r>
    </w:p>
    <w:p>
      <w:pPr>
        <w:pStyle w:val="BodyText"/>
        <w:spacing w:line="268" w:lineRule="exact"/>
      </w:pPr>
      <w:r>
        <w:rPr/>
        <w:t>网址：bank.ecitic.com</w:t>
      </w:r>
    </w:p>
    <w:p>
      <w:pPr>
        <w:spacing w:after="0" w:line="268" w:lineRule="exact"/>
        <w:sectPr>
          <w:pgSz w:w="11910" w:h="16840"/>
          <w:pgMar w:header="0" w:footer="1172" w:top="1580" w:bottom="1440" w:left="1520" w:right="360"/>
        </w:sectPr>
      </w:pPr>
    </w:p>
    <w:p>
      <w:pPr>
        <w:pStyle w:val="ListParagraph"/>
        <w:numPr>
          <w:ilvl w:val="0"/>
          <w:numId w:val="9"/>
        </w:numPr>
        <w:tabs>
          <w:tab w:pos="1134" w:val="left" w:leader="none"/>
        </w:tabs>
        <w:spacing w:line="240" w:lineRule="auto" w:before="106" w:after="0"/>
        <w:ind w:left="1134" w:right="0" w:hanging="421"/>
        <w:jc w:val="both"/>
        <w:rPr>
          <w:sz w:val="21"/>
        </w:rPr>
      </w:pPr>
      <w:r>
        <w:rPr>
          <w:sz w:val="21"/>
        </w:rPr>
        <w:t>包商银行</w:t>
      </w:r>
    </w:p>
    <w:p>
      <w:pPr>
        <w:pStyle w:val="BodyText"/>
        <w:spacing w:line="364" w:lineRule="auto" w:before="139"/>
        <w:ind w:right="4481"/>
        <w:jc w:val="both"/>
      </w:pPr>
      <w:r>
        <w:rPr>
          <w:spacing w:val="-3"/>
        </w:rPr>
        <w:t>注册地址：内蒙古自治区包头市青山区钢铁大街 </w:t>
      </w:r>
      <w:r>
        <w:rPr/>
        <w:t>6</w:t>
      </w:r>
      <w:r>
        <w:rPr>
          <w:spacing w:val="-35"/>
        </w:rPr>
        <w:t> 号</w:t>
      </w:r>
      <w:r>
        <w:rPr>
          <w:spacing w:val="-3"/>
        </w:rPr>
        <w:t>办公地址：内蒙古自治区包头市青山区钢铁大街 </w:t>
      </w:r>
      <w:r>
        <w:rPr/>
        <w:t>6</w:t>
      </w:r>
      <w:r>
        <w:rPr>
          <w:spacing w:val="-35"/>
        </w:rPr>
        <w:t> 号</w:t>
      </w:r>
      <w:r>
        <w:rPr/>
        <w:t>法定代表人：周学东</w:t>
      </w:r>
    </w:p>
    <w:p>
      <w:pPr>
        <w:pStyle w:val="BodyText"/>
        <w:spacing w:line="268" w:lineRule="exact"/>
      </w:pPr>
      <w:r>
        <w:rPr/>
        <w:t>联系人：张晶</w:t>
      </w:r>
    </w:p>
    <w:p>
      <w:pPr>
        <w:pStyle w:val="BodyText"/>
        <w:spacing w:before="140"/>
      </w:pPr>
      <w:r>
        <w:rPr/>
        <w:t>联系电话：0472-5189165</w:t>
      </w:r>
    </w:p>
    <w:p>
      <w:pPr>
        <w:pStyle w:val="BodyText"/>
        <w:spacing w:line="364" w:lineRule="auto" w:before="139"/>
        <w:ind w:right="7316"/>
      </w:pPr>
      <w:r>
        <w:rPr/>
        <w:t>客户服务电话：95352 传真：010-84596546</w:t>
      </w:r>
    </w:p>
    <w:p>
      <w:pPr>
        <w:pStyle w:val="BodyText"/>
        <w:spacing w:line="268" w:lineRule="exact"/>
      </w:pPr>
      <w:hyperlink r:id="rId24">
        <w:r>
          <w:rPr/>
          <w:t>网址：www.bsb.com.cn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北京农商银行</w:t>
      </w:r>
    </w:p>
    <w:p>
      <w:pPr>
        <w:pStyle w:val="BodyText"/>
        <w:spacing w:line="364" w:lineRule="auto" w:before="139"/>
        <w:ind w:right="4901"/>
        <w:jc w:val="both"/>
      </w:pPr>
      <w:r>
        <w:rPr>
          <w:spacing w:val="-4"/>
        </w:rPr>
        <w:t>注册地址：北京市西城区月坛南街 </w:t>
      </w:r>
      <w:r>
        <w:rPr/>
        <w:t>1</w:t>
      </w:r>
      <w:r>
        <w:rPr>
          <w:spacing w:val="-27"/>
        </w:rPr>
        <w:t> 号院 </w:t>
      </w:r>
      <w:r>
        <w:rPr/>
        <w:t>2</w:t>
      </w:r>
      <w:r>
        <w:rPr>
          <w:spacing w:val="-24"/>
        </w:rPr>
        <w:t> 号楼</w:t>
      </w:r>
      <w:r>
        <w:rPr>
          <w:spacing w:val="-4"/>
        </w:rPr>
        <w:t>办公地址：北京市西城区月坛南街 </w:t>
      </w:r>
      <w:r>
        <w:rPr/>
        <w:t>1</w:t>
      </w:r>
      <w:r>
        <w:rPr>
          <w:spacing w:val="-27"/>
        </w:rPr>
        <w:t> 号院 </w:t>
      </w:r>
      <w:r>
        <w:rPr/>
        <w:t>2</w:t>
      </w:r>
      <w:r>
        <w:rPr>
          <w:spacing w:val="-24"/>
        </w:rPr>
        <w:t> 号楼</w:t>
      </w:r>
      <w:r>
        <w:rPr/>
        <w:t>法定代表人：王金山</w:t>
      </w:r>
    </w:p>
    <w:p>
      <w:pPr>
        <w:pStyle w:val="BodyText"/>
        <w:spacing w:line="268" w:lineRule="exact"/>
      </w:pPr>
      <w:r>
        <w:rPr/>
        <w:t>联系人：鲁娟</w:t>
      </w:r>
    </w:p>
    <w:p>
      <w:pPr>
        <w:pStyle w:val="BodyText"/>
        <w:spacing w:before="140"/>
      </w:pPr>
      <w:r>
        <w:rPr/>
        <w:t>联系电话：010-89198762</w:t>
      </w:r>
    </w:p>
    <w:p>
      <w:pPr>
        <w:pStyle w:val="BodyText"/>
        <w:spacing w:line="364" w:lineRule="auto" w:before="139"/>
        <w:ind w:right="4271"/>
      </w:pPr>
      <w:r>
        <w:rPr/>
        <w:t>客户服务电话：96198（北京</w:t>
      </w:r>
      <w:r>
        <w:rPr>
          <w:spacing w:val="-105"/>
        </w:rPr>
        <w:t>）</w:t>
      </w:r>
      <w:r>
        <w:rPr/>
        <w:t>、400-66-96198（全国</w:t>
      </w:r>
      <w:r>
        <w:rPr>
          <w:spacing w:val="-18"/>
        </w:rPr>
        <w:t>） </w:t>
      </w:r>
      <w:hyperlink r:id="rId25">
        <w:r>
          <w:rPr/>
          <w:t>网址：www.bjrcb.com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北京银行</w:t>
      </w:r>
    </w:p>
    <w:p>
      <w:pPr>
        <w:pStyle w:val="BodyText"/>
        <w:spacing w:line="364" w:lineRule="auto" w:before="139"/>
        <w:ind w:right="5006"/>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7421"/>
      </w:pPr>
      <w:r>
        <w:rPr/>
        <w:t>法定代表人：张东宁联系人：周黎</w:t>
      </w:r>
    </w:p>
    <w:p>
      <w:pPr>
        <w:pStyle w:val="BodyText"/>
        <w:spacing w:line="268" w:lineRule="exact"/>
      </w:pPr>
      <w:r>
        <w:rPr/>
        <w:t>客户服务电话：95526</w:t>
      </w:r>
    </w:p>
    <w:p>
      <w:pPr>
        <w:pStyle w:val="BodyText"/>
        <w:spacing w:before="139"/>
      </w:pPr>
      <w:hyperlink r:id="rId26">
        <w:r>
          <w:rPr/>
          <w:t>网址：www.bankofbeijing.com.cn</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长安银行</w:t>
      </w:r>
    </w:p>
    <w:p>
      <w:pPr>
        <w:pStyle w:val="BodyText"/>
        <w:spacing w:line="364" w:lineRule="auto" w:before="140"/>
        <w:ind w:right="2486"/>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7421"/>
      </w:pPr>
      <w:r>
        <w:rPr/>
        <w:t>法定代表人：赵永军联系人：闫石</w:t>
      </w:r>
    </w:p>
    <w:p>
      <w:pPr>
        <w:pStyle w:val="BodyText"/>
        <w:spacing w:line="364" w:lineRule="auto"/>
        <w:ind w:right="5111"/>
      </w:pPr>
      <w:r>
        <w:rPr/>
        <w:t>客户服务电话：400-05-96669；（029）96669 传真：029-88609566</w:t>
      </w:r>
    </w:p>
    <w:p>
      <w:pPr>
        <w:pStyle w:val="BodyText"/>
        <w:spacing w:line="268" w:lineRule="exact"/>
      </w:pPr>
      <w:hyperlink r:id="rId27">
        <w:r>
          <w:rPr/>
          <w:t>网址：http://www.ccabchina.com/</w:t>
        </w:r>
      </w:hyperlink>
    </w:p>
    <w:p>
      <w:pPr>
        <w:pStyle w:val="ListParagraph"/>
        <w:numPr>
          <w:ilvl w:val="0"/>
          <w:numId w:val="9"/>
        </w:numPr>
        <w:tabs>
          <w:tab w:pos="1134" w:val="left" w:leader="none"/>
        </w:tabs>
        <w:spacing w:line="240" w:lineRule="auto" w:before="137" w:after="0"/>
        <w:ind w:left="1134" w:right="0" w:hanging="421"/>
        <w:jc w:val="left"/>
        <w:rPr>
          <w:sz w:val="21"/>
        </w:rPr>
      </w:pPr>
      <w:r>
        <w:rPr>
          <w:sz w:val="21"/>
        </w:rPr>
        <w:t>长城华西银行</w:t>
      </w:r>
    </w:p>
    <w:p>
      <w:pPr>
        <w:spacing w:after="0" w:line="240" w:lineRule="auto"/>
        <w:jc w:val="left"/>
        <w:rPr>
          <w:sz w:val="21"/>
        </w:rPr>
        <w:sectPr>
          <w:pgSz w:w="11910" w:h="16840"/>
          <w:pgMar w:header="0" w:footer="1172" w:top="1580" w:bottom="1440" w:left="1520" w:right="360"/>
        </w:sectPr>
      </w:pPr>
    </w:p>
    <w:p>
      <w:pPr>
        <w:pStyle w:val="BodyText"/>
        <w:spacing w:before="106"/>
      </w:pPr>
      <w:r>
        <w:rPr/>
        <w:t>注册地址：德阳市旌阳区蒙山街 14 号</w:t>
      </w:r>
    </w:p>
    <w:p>
      <w:pPr>
        <w:pStyle w:val="BodyText"/>
        <w:spacing w:line="364" w:lineRule="auto" w:before="139"/>
        <w:ind w:right="5216"/>
      </w:pPr>
      <w:r>
        <w:rPr>
          <w:spacing w:val="-3"/>
        </w:rPr>
        <w:t>办公地址：四川省德阳市旌阳区蒙山街 </w:t>
      </w:r>
      <w:r>
        <w:rPr/>
        <w:t>14</w:t>
      </w:r>
      <w:r>
        <w:rPr>
          <w:spacing w:val="-35"/>
        </w:rPr>
        <w:t> 号</w:t>
      </w:r>
      <w:r>
        <w:rPr/>
        <w:t>法定代表人：谭运财</w:t>
      </w:r>
    </w:p>
    <w:p>
      <w:pPr>
        <w:pStyle w:val="BodyText"/>
        <w:spacing w:line="268" w:lineRule="exact"/>
      </w:pPr>
      <w:r>
        <w:rPr/>
        <w:t>联系人：王丽鹃</w:t>
      </w:r>
    </w:p>
    <w:p>
      <w:pPr>
        <w:pStyle w:val="BodyText"/>
        <w:spacing w:before="140"/>
      </w:pPr>
      <w:r>
        <w:rPr/>
        <w:t>电话：028-61963271</w:t>
      </w:r>
    </w:p>
    <w:p>
      <w:pPr>
        <w:pStyle w:val="BodyText"/>
        <w:spacing w:line="364" w:lineRule="auto" w:before="139"/>
        <w:ind w:right="6896"/>
      </w:pPr>
      <w:r>
        <w:rPr>
          <w:spacing w:val="-1"/>
        </w:rPr>
        <w:t>客户服务电话</w:t>
      </w:r>
      <w:r>
        <w:rPr/>
        <w:t>：028-96836 传真：0838-2371812</w:t>
      </w:r>
    </w:p>
    <w:p>
      <w:pPr>
        <w:pStyle w:val="BodyText"/>
        <w:spacing w:line="268" w:lineRule="exact"/>
      </w:pPr>
      <w:hyperlink r:id="rId28">
        <w:r>
          <w:rPr/>
          <w:t>网址：www.gwbank.com.cn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成都农商银行</w:t>
      </w:r>
    </w:p>
    <w:p>
      <w:pPr>
        <w:pStyle w:val="BodyText"/>
        <w:spacing w:line="364" w:lineRule="auto" w:before="139"/>
        <w:ind w:right="5636"/>
        <w:jc w:val="both"/>
      </w:pPr>
      <w:r>
        <w:rPr>
          <w:spacing w:val="-4"/>
        </w:rPr>
        <w:t>注册地址：成都市武侯区科华中路 </w:t>
      </w:r>
      <w:r>
        <w:rPr/>
        <w:t>88</w:t>
      </w:r>
      <w:r>
        <w:rPr>
          <w:spacing w:val="-35"/>
        </w:rPr>
        <w:t> 号</w:t>
      </w:r>
      <w:r>
        <w:rPr>
          <w:spacing w:val="-4"/>
        </w:rPr>
        <w:t>办公地址：成都市武侯区科华中路 </w:t>
      </w:r>
      <w:r>
        <w:rPr/>
        <w:t>88</w:t>
      </w:r>
      <w:r>
        <w:rPr>
          <w:spacing w:val="-35"/>
        </w:rPr>
        <w:t> 号</w:t>
      </w:r>
      <w:r>
        <w:rPr/>
        <w:t>法定代表人：陈萍</w:t>
      </w:r>
    </w:p>
    <w:p>
      <w:pPr>
        <w:pStyle w:val="BodyText"/>
        <w:spacing w:line="268" w:lineRule="exact"/>
      </w:pPr>
      <w:r>
        <w:rPr/>
        <w:t>联系人：杨琪</w:t>
      </w:r>
    </w:p>
    <w:p>
      <w:pPr>
        <w:pStyle w:val="BodyText"/>
        <w:spacing w:before="140"/>
      </w:pPr>
      <w:r>
        <w:rPr/>
        <w:t>联系电话：028-85315412</w:t>
      </w:r>
    </w:p>
    <w:p>
      <w:pPr>
        <w:pStyle w:val="BodyText"/>
        <w:tabs>
          <w:tab w:pos="3023" w:val="left" w:leader="none"/>
        </w:tabs>
        <w:spacing w:before="139"/>
      </w:pPr>
      <w:r>
        <w:rPr/>
        <w:t>客户服务电话：95392</w:t>
        <w:tab/>
        <w:t>4006-028-666</w:t>
      </w:r>
    </w:p>
    <w:p>
      <w:pPr>
        <w:pStyle w:val="BodyText"/>
        <w:spacing w:before="139"/>
      </w:pPr>
      <w:r>
        <w:rPr/>
        <w:t>传真：028-85390961</w:t>
      </w:r>
    </w:p>
    <w:p>
      <w:pPr>
        <w:pStyle w:val="BodyText"/>
        <w:spacing w:before="140"/>
      </w:pPr>
      <w:hyperlink r:id="rId29">
        <w:r>
          <w:rPr/>
          <w:t>网址：http://www.cdrcb.com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大连银行</w:t>
      </w:r>
    </w:p>
    <w:p>
      <w:pPr>
        <w:pStyle w:val="BodyText"/>
        <w:spacing w:line="364" w:lineRule="auto" w:before="140"/>
        <w:ind w:right="5216"/>
      </w:pPr>
      <w:r>
        <w:rPr>
          <w:spacing w:val="-3"/>
        </w:rPr>
        <w:t>注册地址：辽宁省大连市中山区中山路 </w:t>
      </w:r>
      <w:r>
        <w:rPr/>
        <w:t>88</w:t>
      </w:r>
      <w:r>
        <w:rPr>
          <w:spacing w:val="-35"/>
        </w:rPr>
        <w:t> 号</w:t>
      </w:r>
      <w:r>
        <w:rPr>
          <w:spacing w:val="-4"/>
        </w:rPr>
        <w:t>办公地址：大连市中山区中山路 </w:t>
      </w:r>
      <w:r>
        <w:rPr/>
        <w:t>88</w:t>
      </w:r>
      <w:r>
        <w:rPr>
          <w:spacing w:val="-27"/>
        </w:rPr>
        <w:t> 号</w:t>
      </w:r>
    </w:p>
    <w:p>
      <w:pPr>
        <w:pStyle w:val="BodyText"/>
        <w:spacing w:line="364" w:lineRule="auto"/>
        <w:ind w:right="7631"/>
      </w:pPr>
      <w:r>
        <w:rPr/>
        <w:t>法定代表人：崔磊联系人：卜书慧</w:t>
      </w:r>
    </w:p>
    <w:p>
      <w:pPr>
        <w:pStyle w:val="BodyText"/>
        <w:spacing w:line="268" w:lineRule="exact"/>
      </w:pPr>
      <w:r>
        <w:rPr/>
        <w:t>联系电话：0411-82311936</w:t>
      </w:r>
    </w:p>
    <w:p>
      <w:pPr>
        <w:pStyle w:val="BodyText"/>
        <w:spacing w:line="364" w:lineRule="auto" w:before="138"/>
        <w:ind w:right="6581"/>
      </w:pPr>
      <w:r>
        <w:rPr/>
        <w:t>客户服务电话</w:t>
      </w:r>
      <w:r>
        <w:rPr>
          <w:spacing w:val="-2"/>
        </w:rPr>
        <w:t>：400-664-0099 </w:t>
      </w:r>
      <w:hyperlink r:id="rId30">
        <w:r>
          <w:rPr/>
          <w:t>网址：www.bankofdl.com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德州银行</w:t>
      </w:r>
    </w:p>
    <w:p>
      <w:pPr>
        <w:pStyle w:val="BodyText"/>
        <w:spacing w:line="364" w:lineRule="auto" w:before="140"/>
        <w:ind w:right="5426"/>
        <w:jc w:val="both"/>
      </w:pPr>
      <w:r>
        <w:rPr>
          <w:spacing w:val="-4"/>
        </w:rPr>
        <w:t>注册地址：山东省德州市三八东路 </w:t>
      </w:r>
      <w:r>
        <w:rPr/>
        <w:t>1266</w:t>
      </w:r>
      <w:r>
        <w:rPr>
          <w:spacing w:val="-35"/>
        </w:rPr>
        <w:t> 号</w:t>
      </w:r>
      <w:r>
        <w:rPr>
          <w:spacing w:val="-4"/>
        </w:rPr>
        <w:t>办公地址：山东省德州市三八东路 </w:t>
      </w:r>
      <w:r>
        <w:rPr/>
        <w:t>1266</w:t>
      </w:r>
      <w:r>
        <w:rPr>
          <w:spacing w:val="-35"/>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40"/>
        <w:ind w:right="6581"/>
      </w:pPr>
      <w:r>
        <w:rPr/>
        <w:t>客户服务电话：400-01-96588 </w:t>
      </w:r>
      <w:hyperlink r:id="rId31">
        <w:r>
          <w:rPr/>
          <w:t>网址：www.dzbchina.com</w:t>
        </w:r>
      </w:hyperlink>
    </w:p>
    <w:p>
      <w:pPr>
        <w:spacing w:after="0" w:line="364" w:lineRule="auto"/>
        <w:sectPr>
          <w:pgSz w:w="11910" w:h="16840"/>
          <w:pgMar w:header="0" w:footer="1172" w:top="1580" w:bottom="1440" w:left="1520" w:right="360"/>
        </w:sectPr>
      </w:pPr>
    </w:p>
    <w:p>
      <w:pPr>
        <w:pStyle w:val="ListParagraph"/>
        <w:numPr>
          <w:ilvl w:val="0"/>
          <w:numId w:val="9"/>
        </w:numPr>
        <w:tabs>
          <w:tab w:pos="1134" w:val="left" w:leader="none"/>
        </w:tabs>
        <w:spacing w:line="240" w:lineRule="auto" w:before="106" w:after="0"/>
        <w:ind w:left="1134" w:right="0" w:hanging="421"/>
        <w:jc w:val="both"/>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40"/>
        <w:ind w:right="3431"/>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686"/>
      </w:pPr>
      <w:r>
        <w:rPr/>
        <w:t>客户服务电话：0769-961122 </w:t>
      </w:r>
      <w:hyperlink r:id="rId32">
        <w:r>
          <w:rPr/>
          <w:t>网址：www.drcbank.com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东莞银行</w:t>
      </w:r>
    </w:p>
    <w:p>
      <w:pPr>
        <w:pStyle w:val="BodyText"/>
        <w:spacing w:before="140"/>
      </w:pPr>
      <w:r>
        <w:rPr/>
        <w:t>注册地址：东莞市莞城区体育路 21 号</w:t>
      </w:r>
    </w:p>
    <w:p>
      <w:pPr>
        <w:pStyle w:val="BodyText"/>
        <w:spacing w:line="364" w:lineRule="auto" w:before="139"/>
        <w:ind w:right="4586"/>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before="139"/>
      </w:pPr>
      <w:r>
        <w:rPr/>
        <w:t>客户服务电话：956033</w:t>
      </w:r>
    </w:p>
    <w:p>
      <w:pPr>
        <w:pStyle w:val="BodyText"/>
        <w:spacing w:before="139"/>
      </w:pPr>
      <w:hyperlink r:id="rId33">
        <w:r>
          <w:rPr/>
          <w:t>网址：www.dongguanbank.cn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佛山农商银行</w:t>
      </w:r>
    </w:p>
    <w:p>
      <w:pPr>
        <w:pStyle w:val="BodyText"/>
        <w:spacing w:line="364" w:lineRule="auto" w:before="139"/>
        <w:ind w:right="5741"/>
        <w:jc w:val="both"/>
      </w:pPr>
      <w:r>
        <w:rPr>
          <w:spacing w:val="-4"/>
        </w:rPr>
        <w:t>注册地址：佛山市禅城区华远东路 </w:t>
      </w:r>
      <w:r>
        <w:rPr/>
        <w:t>5</w:t>
      </w:r>
      <w:r>
        <w:rPr>
          <w:spacing w:val="-35"/>
        </w:rPr>
        <w:t> 号</w:t>
      </w:r>
      <w:r>
        <w:rPr>
          <w:spacing w:val="-4"/>
        </w:rPr>
        <w:t>办公地址：佛山市禅城区华远东路 </w:t>
      </w:r>
      <w:r>
        <w:rPr/>
        <w:t>5</w:t>
      </w:r>
      <w:r>
        <w:rPr>
          <w:spacing w:val="-35"/>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34">
        <w:r>
          <w:rPr/>
          <w:t>网址：www.foshanbank.cn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福建海峡银行</w:t>
      </w:r>
    </w:p>
    <w:p>
      <w:pPr>
        <w:pStyle w:val="BodyText"/>
        <w:spacing w:before="139"/>
      </w:pPr>
      <w:r>
        <w:rPr/>
        <w:t>注册地址：福建省福州市台江区江滨中大道 358 号海峡银行大厦</w:t>
      </w:r>
    </w:p>
    <w:p>
      <w:pPr>
        <w:pStyle w:val="BodyText"/>
        <w:spacing w:line="364" w:lineRule="auto" w:before="140"/>
        <w:ind w:right="3011"/>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39"/>
        <w:ind w:right="6581"/>
      </w:pPr>
      <w:r>
        <w:rPr/>
        <w:t>客户服务电话：400-893-9999 传真：0591-87330926</w:t>
      </w:r>
    </w:p>
    <w:p>
      <w:pPr>
        <w:pStyle w:val="BodyText"/>
        <w:spacing w:line="268" w:lineRule="exact"/>
      </w:pPr>
      <w:hyperlink r:id="rId35">
        <w:r>
          <w:rPr/>
          <w:t>网址：www.fjhxbank.com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富滇银行</w:t>
      </w:r>
    </w:p>
    <w:p>
      <w:pPr>
        <w:pStyle w:val="BodyText"/>
        <w:spacing w:before="139"/>
      </w:pPr>
      <w:r>
        <w:rPr/>
        <w:t>注册地址：云南省昆明市拓东路 41 号</w:t>
      </w:r>
    </w:p>
    <w:p>
      <w:pPr>
        <w:spacing w:after="0"/>
        <w:sectPr>
          <w:pgSz w:w="11910" w:h="16840"/>
          <w:pgMar w:header="0" w:footer="1172" w:top="1580" w:bottom="1440" w:left="1520" w:right="360"/>
        </w:sectPr>
      </w:pPr>
    </w:p>
    <w:p>
      <w:pPr>
        <w:pStyle w:val="BodyText"/>
        <w:spacing w:line="364" w:lineRule="auto" w:before="106"/>
        <w:ind w:right="5846"/>
      </w:pPr>
      <w:r>
        <w:rPr>
          <w:spacing w:val="-4"/>
        </w:rPr>
        <w:t>办公地址：云南省昆明市拓东路 </w:t>
      </w:r>
      <w:r>
        <w:rPr/>
        <w:t>41</w:t>
      </w:r>
      <w:r>
        <w:rPr>
          <w:spacing w:val="-35"/>
        </w:rPr>
        <w:t> 号</w:t>
      </w:r>
      <w:r>
        <w:rPr/>
        <w:t>法定代表人：洪维智</w:t>
      </w:r>
    </w:p>
    <w:p>
      <w:pPr>
        <w:pStyle w:val="BodyText"/>
        <w:spacing w:line="268" w:lineRule="exact"/>
      </w:pPr>
      <w:r>
        <w:rPr/>
        <w:t>联系人：杨翊琳</w:t>
      </w:r>
    </w:p>
    <w:p>
      <w:pPr>
        <w:pStyle w:val="BodyText"/>
        <w:spacing w:before="139"/>
      </w:pPr>
      <w:r>
        <w:rPr/>
        <w:t>电话：0871-63140324</w:t>
      </w:r>
    </w:p>
    <w:p>
      <w:pPr>
        <w:pStyle w:val="BodyText"/>
        <w:spacing w:line="364" w:lineRule="auto" w:before="140"/>
        <w:ind w:right="6581"/>
      </w:pPr>
      <w:r>
        <w:rPr/>
        <w:t>客户服务电话</w:t>
      </w:r>
      <w:r>
        <w:rPr>
          <w:spacing w:val="-2"/>
        </w:rPr>
        <w:t>：400-88-96533 </w:t>
      </w:r>
      <w:r>
        <w:rPr/>
        <w:t>传真：0871-63194471</w:t>
      </w:r>
    </w:p>
    <w:p>
      <w:pPr>
        <w:pStyle w:val="BodyText"/>
        <w:spacing w:line="268" w:lineRule="exact"/>
      </w:pPr>
      <w:hyperlink r:id="rId36">
        <w:r>
          <w:rPr/>
          <w:t>网址：http://www.fudian-bank.com/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富阳农商银行</w:t>
      </w:r>
    </w:p>
    <w:p>
      <w:pPr>
        <w:pStyle w:val="BodyText"/>
        <w:spacing w:line="364" w:lineRule="auto" w:before="140"/>
        <w:ind w:right="4271"/>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7421"/>
      </w:pPr>
      <w:r>
        <w:rPr/>
        <w:t>法定代表人：丁松茂联系人：陈硕</w:t>
      </w:r>
    </w:p>
    <w:p>
      <w:pPr>
        <w:pStyle w:val="BodyText"/>
        <w:spacing w:line="268" w:lineRule="exact"/>
      </w:pPr>
      <w:r>
        <w:rPr/>
        <w:t>联系电话：0571-63280253</w:t>
      </w:r>
    </w:p>
    <w:p>
      <w:pPr>
        <w:pStyle w:val="BodyText"/>
        <w:spacing w:line="364" w:lineRule="auto" w:before="138"/>
        <w:ind w:right="6056"/>
      </w:pPr>
      <w:r>
        <w:rPr/>
        <w:t>客户服务电话：96596、4008896596 </w:t>
      </w:r>
      <w:hyperlink r:id="rId37">
        <w:r>
          <w:rPr/>
          <w:t>网址：www.fyrcbk.com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广东华兴银行</w:t>
      </w:r>
    </w:p>
    <w:p>
      <w:pPr>
        <w:pStyle w:val="BodyText"/>
        <w:spacing w:line="364" w:lineRule="auto" w:before="140"/>
        <w:ind w:right="4796"/>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7421"/>
      </w:pPr>
      <w:r>
        <w:rPr/>
        <w:t>法定代表人：周泽荣联系人：许悦</w:t>
      </w:r>
    </w:p>
    <w:p>
      <w:pPr>
        <w:pStyle w:val="BodyText"/>
        <w:spacing w:line="268" w:lineRule="exact"/>
      </w:pPr>
      <w:r>
        <w:rPr/>
        <w:t>联系电话：020-38173552</w:t>
      </w:r>
    </w:p>
    <w:p>
      <w:pPr>
        <w:pStyle w:val="BodyText"/>
        <w:spacing w:line="364" w:lineRule="auto" w:before="138"/>
        <w:ind w:right="6791"/>
      </w:pPr>
      <w:r>
        <w:rPr/>
        <w:t>客户服务电话：4008308001 传真：020-38173857</w:t>
      </w:r>
    </w:p>
    <w:p>
      <w:pPr>
        <w:pStyle w:val="BodyText"/>
        <w:spacing w:line="268" w:lineRule="exact"/>
      </w:pPr>
      <w:hyperlink r:id="rId38">
        <w:r>
          <w:rPr/>
          <w:t>网址：www.ghbank.com.cn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广东南粤银行</w:t>
      </w:r>
    </w:p>
    <w:p>
      <w:pPr>
        <w:pStyle w:val="BodyText"/>
        <w:spacing w:line="364" w:lineRule="auto" w:before="139"/>
        <w:ind w:right="4166"/>
        <w:jc w:val="both"/>
      </w:pPr>
      <w:r>
        <w:rPr>
          <w:spacing w:val="-3"/>
        </w:rPr>
        <w:t>注册地址：广东省湛江市经济技术开发区乐山大道 </w:t>
      </w:r>
      <w:r>
        <w:rPr/>
        <w:t>60</w:t>
      </w:r>
      <w:r>
        <w:rPr>
          <w:spacing w:val="-35"/>
        </w:rPr>
        <w:t> 号</w:t>
      </w:r>
      <w:r>
        <w:rPr>
          <w:spacing w:val="-3"/>
        </w:rPr>
        <w:t>办公地址：广东省湛江市经济技术开发区乐山大道 </w:t>
      </w:r>
      <w:r>
        <w:rPr/>
        <w:t>60</w:t>
      </w:r>
      <w:r>
        <w:rPr>
          <w:spacing w:val="-35"/>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40"/>
        <w:ind w:right="6686"/>
      </w:pPr>
      <w:r>
        <w:rPr/>
        <w:t>客户服务电话</w:t>
      </w:r>
      <w:r>
        <w:rPr>
          <w:spacing w:val="-2"/>
        </w:rPr>
        <w:t>：4000-961818 </w:t>
      </w:r>
      <w:hyperlink r:id="rId39">
        <w:r>
          <w:rPr/>
          <w:t>网址：www.gdnybank.com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广州农商银行</w:t>
      </w:r>
    </w:p>
    <w:p>
      <w:pPr>
        <w:spacing w:after="0" w:line="268" w:lineRule="exact"/>
        <w:jc w:val="left"/>
        <w:rPr>
          <w:sz w:val="21"/>
        </w:rPr>
        <w:sectPr>
          <w:pgSz w:w="11910" w:h="16840"/>
          <w:pgMar w:header="0" w:footer="1172" w:top="1580" w:bottom="1440" w:left="1520" w:right="360"/>
        </w:sectPr>
      </w:pPr>
    </w:p>
    <w:p>
      <w:pPr>
        <w:pStyle w:val="BodyText"/>
        <w:spacing w:before="106"/>
      </w:pPr>
      <w:r>
        <w:rPr/>
        <w:t>注册地址：广州市黄埔区映日路 9 号</w:t>
      </w:r>
    </w:p>
    <w:p>
      <w:pPr>
        <w:pStyle w:val="BodyText"/>
        <w:spacing w:line="364" w:lineRule="auto" w:before="139"/>
        <w:ind w:right="5111"/>
      </w:pPr>
      <w:r>
        <w:rPr>
          <w:spacing w:val="-3"/>
        </w:rPr>
        <w:t>办公地址：广州市天河区珠江新城华夏路 </w:t>
      </w:r>
      <w:r>
        <w:rPr/>
        <w:t>1</w:t>
      </w:r>
      <w:r>
        <w:rPr>
          <w:spacing w:val="-35"/>
        </w:rPr>
        <w:t> 号</w:t>
      </w:r>
      <w:r>
        <w:rPr/>
        <w:t>法定代表人：王继康</w:t>
      </w:r>
    </w:p>
    <w:p>
      <w:pPr>
        <w:pStyle w:val="BodyText"/>
        <w:spacing w:line="268" w:lineRule="exact"/>
      </w:pPr>
      <w:r>
        <w:rPr/>
        <w:t>联系人：刘强</w:t>
      </w:r>
    </w:p>
    <w:p>
      <w:pPr>
        <w:pStyle w:val="BodyText"/>
        <w:spacing w:before="140"/>
      </w:pPr>
      <w:r>
        <w:rPr/>
        <w:t>联系电话：020-22389067</w:t>
      </w:r>
    </w:p>
    <w:p>
      <w:pPr>
        <w:pStyle w:val="BodyText"/>
        <w:spacing w:line="364" w:lineRule="auto" w:before="139"/>
        <w:ind w:right="7316"/>
      </w:pPr>
      <w:r>
        <w:rPr/>
        <w:t>客户服务电话：95313 传真：020-22389031</w:t>
      </w:r>
    </w:p>
    <w:p>
      <w:pPr>
        <w:pStyle w:val="BodyText"/>
        <w:spacing w:line="268" w:lineRule="exact"/>
      </w:pPr>
      <w:hyperlink r:id="rId40">
        <w:r>
          <w:rPr/>
          <w:t>网址：www.grcbank.com</w:t>
        </w:r>
      </w:hyperlink>
    </w:p>
    <w:p>
      <w:pPr>
        <w:pStyle w:val="ListParagraph"/>
        <w:numPr>
          <w:ilvl w:val="0"/>
          <w:numId w:val="9"/>
        </w:numPr>
        <w:tabs>
          <w:tab w:pos="1134" w:val="left" w:leader="none"/>
        </w:tabs>
        <w:spacing w:line="240" w:lineRule="auto" w:before="140" w:after="0"/>
        <w:ind w:left="1134" w:right="0" w:hanging="421"/>
        <w:jc w:val="left"/>
        <w:rPr>
          <w:sz w:val="21"/>
        </w:rPr>
      </w:pPr>
      <w:r>
        <w:rPr>
          <w:sz w:val="21"/>
        </w:rPr>
        <w:t>广州银行</w:t>
      </w:r>
    </w:p>
    <w:p>
      <w:pPr>
        <w:pStyle w:val="BodyText"/>
        <w:spacing w:before="139"/>
      </w:pPr>
      <w:r>
        <w:rPr/>
        <w:t>注册地址：广州市天河区珠江东路 30 号</w:t>
      </w:r>
    </w:p>
    <w:p>
      <w:pPr>
        <w:pStyle w:val="BodyText"/>
        <w:spacing w:line="364" w:lineRule="auto" w:before="140"/>
        <w:ind w:right="4376"/>
      </w:pPr>
      <w:r>
        <w:rPr>
          <w:spacing w:val="-4"/>
        </w:rPr>
        <w:t>办公地址：广州市天河区珠江东路 </w:t>
      </w:r>
      <w:r>
        <w:rPr/>
        <w:t>30</w:t>
      </w:r>
      <w:r>
        <w:rPr>
          <w:spacing w:val="-10"/>
        </w:rPr>
        <w:t> 号广州银行大厦</w:t>
      </w:r>
      <w:r>
        <w:rPr/>
        <w:t>法定代表人：黄子励</w:t>
      </w:r>
    </w:p>
    <w:p>
      <w:pPr>
        <w:pStyle w:val="BodyText"/>
        <w:spacing w:line="268" w:lineRule="exact"/>
      </w:pPr>
      <w:r>
        <w:rPr/>
        <w:t>联系人：唐荟</w:t>
      </w:r>
    </w:p>
    <w:p>
      <w:pPr>
        <w:pStyle w:val="BodyText"/>
        <w:spacing w:line="364" w:lineRule="auto" w:before="139"/>
        <w:ind w:right="4376"/>
      </w:pPr>
      <w:r>
        <w:rPr/>
        <w:t>客户服务电话：96699（广东）400-83-96699（全国） </w:t>
      </w:r>
      <w:hyperlink r:id="rId41">
        <w:r>
          <w:rPr/>
          <w:t>网址：www.gzcb.com.cn</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贵阳银行</w:t>
      </w:r>
    </w:p>
    <w:p>
      <w:pPr>
        <w:pStyle w:val="BodyText"/>
        <w:spacing w:line="364" w:lineRule="auto" w:before="139"/>
        <w:ind w:right="1646"/>
      </w:pPr>
      <w:r>
        <w:rPr>
          <w:spacing w:val="-3"/>
        </w:rPr>
        <w:t>注册地址：贵州省贵阳市观山湖区长岭北路中天•会展城 </w:t>
      </w:r>
      <w:r>
        <w:rPr/>
        <w:t>B</w:t>
      </w:r>
      <w:r>
        <w:rPr>
          <w:spacing w:val="-13"/>
        </w:rPr>
        <w:t> 区金融商务区东区 </w:t>
      </w:r>
      <w:r>
        <w:rPr/>
        <w:t>1-6</w:t>
      </w:r>
      <w:r>
        <w:rPr>
          <w:spacing w:val="-35"/>
        </w:rPr>
        <w:t> 栋</w:t>
      </w:r>
      <w:r>
        <w:rPr>
          <w:spacing w:val="-4"/>
        </w:rPr>
        <w:t>办公地址：贵州省贵阳市中华北路 </w:t>
      </w:r>
      <w:r>
        <w:rPr/>
        <w:t>77</w:t>
      </w:r>
      <w:r>
        <w:rPr>
          <w:spacing w:val="-27"/>
        </w:rPr>
        <w:t> 号</w:t>
      </w:r>
    </w:p>
    <w:p>
      <w:pPr>
        <w:pStyle w:val="BodyText"/>
        <w:spacing w:line="364" w:lineRule="auto"/>
        <w:ind w:right="7316"/>
      </w:pPr>
      <w:r>
        <w:rPr/>
        <w:t>法定代表人： 张正海联系人：何西</w:t>
      </w:r>
    </w:p>
    <w:p>
      <w:pPr>
        <w:pStyle w:val="BodyText"/>
        <w:spacing w:line="268" w:lineRule="exact"/>
      </w:pPr>
      <w:r>
        <w:rPr/>
        <w:t>电话：0851-86858673</w:t>
      </w:r>
    </w:p>
    <w:p>
      <w:pPr>
        <w:pStyle w:val="BodyText"/>
        <w:spacing w:line="364" w:lineRule="auto" w:before="139"/>
        <w:ind w:right="6686"/>
      </w:pPr>
      <w:r>
        <w:rPr/>
        <w:t>客户服务电话</w:t>
      </w:r>
      <w:r>
        <w:rPr>
          <w:spacing w:val="-2"/>
        </w:rPr>
        <w:t>：40011-96033 </w:t>
      </w:r>
      <w:r>
        <w:rPr/>
        <w:t>传真：0851-86858673</w:t>
      </w:r>
    </w:p>
    <w:p>
      <w:pPr>
        <w:pStyle w:val="BodyText"/>
        <w:spacing w:line="268" w:lineRule="exact"/>
      </w:pPr>
      <w:hyperlink r:id="rId42">
        <w:r>
          <w:rPr/>
          <w:t>网址：http://www.96033.cn</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哈尔滨银行</w:t>
      </w:r>
    </w:p>
    <w:p>
      <w:pPr>
        <w:pStyle w:val="BodyText"/>
        <w:spacing w:line="364" w:lineRule="auto" w:before="140"/>
        <w:ind w:right="5321"/>
      </w:pPr>
      <w:r>
        <w:rPr>
          <w:spacing w:val="-4"/>
        </w:rPr>
        <w:t>注册地址：哈尔滨市道里区尚志大街 </w:t>
      </w:r>
      <w:r>
        <w:rPr/>
        <w:t>160</w:t>
      </w:r>
      <w:r>
        <w:rPr>
          <w:spacing w:val="-35"/>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7316"/>
      </w:pPr>
      <w:r>
        <w:rPr/>
        <w:t>客户服务电话</w:t>
      </w:r>
      <w:r>
        <w:rPr>
          <w:spacing w:val="-3"/>
        </w:rPr>
        <w:t>：95537 </w:t>
      </w:r>
      <w:r>
        <w:rPr>
          <w:spacing w:val="-2"/>
        </w:rPr>
        <w:t>传真</w:t>
      </w:r>
      <w:r>
        <w:rPr>
          <w:spacing w:val="-1"/>
        </w:rPr>
        <w:t>：0451-87792682</w:t>
      </w:r>
    </w:p>
    <w:p>
      <w:pPr>
        <w:pStyle w:val="BodyText"/>
        <w:spacing w:line="268" w:lineRule="exact"/>
      </w:pPr>
      <w:hyperlink r:id="rId43">
        <w:r>
          <w:rPr/>
          <w:t>网址：www.hrbb.com.cn</w:t>
        </w:r>
      </w:hyperlink>
    </w:p>
    <w:p>
      <w:pPr>
        <w:spacing w:after="0" w:line="268" w:lineRule="exact"/>
        <w:sectPr>
          <w:pgSz w:w="11910" w:h="16840"/>
          <w:pgMar w:header="0" w:footer="1172" w:top="1580" w:bottom="1440" w:left="1520" w:right="360"/>
        </w:sectPr>
      </w:pPr>
    </w:p>
    <w:p>
      <w:pPr>
        <w:pStyle w:val="ListParagraph"/>
        <w:numPr>
          <w:ilvl w:val="0"/>
          <w:numId w:val="9"/>
        </w:numPr>
        <w:tabs>
          <w:tab w:pos="1134" w:val="left" w:leader="none"/>
        </w:tabs>
        <w:spacing w:line="240" w:lineRule="auto" w:before="106" w:after="0"/>
        <w:ind w:left="1134" w:right="0" w:hanging="421"/>
        <w:jc w:val="left"/>
        <w:rPr>
          <w:sz w:val="21"/>
        </w:rPr>
      </w:pPr>
      <w:r>
        <w:rPr>
          <w:sz w:val="21"/>
        </w:rPr>
        <w:t>杭州联合银行</w:t>
      </w:r>
    </w:p>
    <w:p>
      <w:pPr>
        <w:pStyle w:val="BodyText"/>
        <w:spacing w:line="364" w:lineRule="auto" w:before="139"/>
        <w:ind w:right="5006"/>
      </w:pPr>
      <w:r>
        <w:rPr>
          <w:spacing w:val="-3"/>
        </w:rPr>
        <w:t>注册地址：浙江省杭州市上城区建国中路 </w:t>
      </w:r>
      <w:r>
        <w:rPr/>
        <w:t>99</w:t>
      </w:r>
      <w:r>
        <w:rPr>
          <w:spacing w:val="-35"/>
        </w:rPr>
        <w:t> 号</w:t>
      </w:r>
      <w:r>
        <w:rPr>
          <w:spacing w:val="-5"/>
        </w:rPr>
        <w:t>办公地址：杭州市建国中路 </w:t>
      </w:r>
      <w:r>
        <w:rPr/>
        <w:t>99</w:t>
      </w:r>
      <w:r>
        <w:rPr>
          <w:spacing w:val="-27"/>
        </w:rPr>
        <w:t> 号</w:t>
      </w:r>
    </w:p>
    <w:p>
      <w:pPr>
        <w:pStyle w:val="BodyText"/>
        <w:spacing w:line="364" w:lineRule="auto"/>
        <w:ind w:right="7421"/>
      </w:pPr>
      <w:r>
        <w:rPr/>
        <w:t>法定代表人：张海林联系人：吴徐立</w:t>
      </w:r>
    </w:p>
    <w:p>
      <w:pPr>
        <w:pStyle w:val="BodyText"/>
        <w:spacing w:line="268" w:lineRule="exact"/>
      </w:pPr>
      <w:r>
        <w:rPr/>
        <w:t>联系电话：0571-87923324</w:t>
      </w:r>
    </w:p>
    <w:p>
      <w:pPr>
        <w:pStyle w:val="BodyText"/>
        <w:spacing w:line="364" w:lineRule="auto" w:before="139"/>
        <w:ind w:right="7316"/>
      </w:pPr>
      <w:r>
        <w:rPr/>
        <w:t>客户服务电话</w:t>
      </w:r>
      <w:r>
        <w:rPr>
          <w:spacing w:val="-3"/>
        </w:rPr>
        <w:t>：96596 </w:t>
      </w:r>
      <w:r>
        <w:rPr>
          <w:spacing w:val="-2"/>
        </w:rPr>
        <w:t>传真</w:t>
      </w:r>
      <w:r>
        <w:rPr>
          <w:spacing w:val="-1"/>
        </w:rPr>
        <w:t>：0571-87923214</w:t>
      </w:r>
    </w:p>
    <w:p>
      <w:pPr>
        <w:pStyle w:val="BodyText"/>
        <w:spacing w:line="268" w:lineRule="exact"/>
      </w:pPr>
      <w:hyperlink r:id="rId44">
        <w:r>
          <w:rPr/>
          <w:t>网址：www.urcb.com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杭州银行</w:t>
      </w:r>
    </w:p>
    <w:p>
      <w:pPr>
        <w:pStyle w:val="BodyText"/>
        <w:spacing w:before="140"/>
      </w:pPr>
      <w:r>
        <w:rPr/>
        <w:t>注册地址：浙江省杭州市下城区庆春路 46 号</w:t>
      </w:r>
    </w:p>
    <w:p>
      <w:pPr>
        <w:pStyle w:val="BodyText"/>
        <w:spacing w:line="364" w:lineRule="auto" w:before="139"/>
        <w:ind w:right="4586"/>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联系人：董猛</w:t>
      </w:r>
    </w:p>
    <w:p>
      <w:pPr>
        <w:pStyle w:val="BodyText"/>
        <w:spacing w:before="140"/>
      </w:pPr>
      <w:r>
        <w:rPr/>
        <w:t>联系电话：0571-85872972</w:t>
      </w:r>
    </w:p>
    <w:p>
      <w:pPr>
        <w:pStyle w:val="BodyText"/>
        <w:spacing w:line="364" w:lineRule="auto" w:before="139"/>
        <w:ind w:right="7316"/>
      </w:pPr>
      <w:r>
        <w:rPr/>
        <w:t>客户服务电话：95398 传真：0571-85106576</w:t>
      </w:r>
    </w:p>
    <w:p>
      <w:pPr>
        <w:pStyle w:val="BodyText"/>
        <w:spacing w:line="268" w:lineRule="exact"/>
      </w:pPr>
      <w:hyperlink r:id="rId45">
        <w:r>
          <w:rPr/>
          <w:t>网址：www.hzbank.com.cn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河北银行</w:t>
      </w:r>
    </w:p>
    <w:p>
      <w:pPr>
        <w:pStyle w:val="BodyText"/>
        <w:spacing w:line="364" w:lineRule="auto" w:before="139"/>
        <w:ind w:right="5846"/>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6581"/>
      </w:pPr>
      <w:r>
        <w:rPr/>
        <w:t>客户服务电话：400-612-9999 传真：0311-67806407</w:t>
      </w:r>
    </w:p>
    <w:p>
      <w:pPr>
        <w:pStyle w:val="BodyText"/>
        <w:spacing w:line="268" w:lineRule="exact"/>
      </w:pPr>
      <w:hyperlink r:id="rId46">
        <w:r>
          <w:rPr/>
          <w:t>网址：www.hebbank.com</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华融湘江银行</w:t>
      </w:r>
    </w:p>
    <w:p>
      <w:pPr>
        <w:pStyle w:val="BodyText"/>
        <w:spacing w:before="140"/>
      </w:pPr>
      <w:r>
        <w:rPr/>
        <w:t>注册地址：长沙市天心区芙蓉南路一段 828 号杰座大厦</w:t>
      </w:r>
    </w:p>
    <w:p>
      <w:pPr>
        <w:pStyle w:val="BodyText"/>
        <w:spacing w:line="364" w:lineRule="auto" w:before="139"/>
        <w:ind w:right="3431"/>
      </w:pPr>
      <w:r>
        <w:rPr>
          <w:spacing w:val="-3"/>
        </w:rPr>
        <w:t>办公地址：湖南省长沙市湘府东路二段 </w:t>
      </w:r>
      <w:r>
        <w:rPr/>
        <w:t>208</w:t>
      </w:r>
      <w:r>
        <w:rPr>
          <w:spacing w:val="-9"/>
        </w:rPr>
        <w:t> 号万境财智中心南栋</w:t>
      </w:r>
      <w:r>
        <w:rPr/>
        <w:t>法定代表人：张永宏</w:t>
      </w:r>
    </w:p>
    <w:p>
      <w:pPr>
        <w:pStyle w:val="BodyText"/>
        <w:spacing w:line="268" w:lineRule="exact"/>
      </w:pPr>
      <w:r>
        <w:rPr/>
        <w:t>联系人：闾娇蓉</w:t>
      </w:r>
    </w:p>
    <w:p>
      <w:pPr>
        <w:pStyle w:val="BodyText"/>
        <w:spacing w:before="140"/>
      </w:pPr>
      <w:r>
        <w:rPr/>
        <w:t>联系电话：0731-89828182</w:t>
      </w:r>
    </w:p>
    <w:p>
      <w:pPr>
        <w:spacing w:after="0"/>
        <w:sectPr>
          <w:pgSz w:w="11910" w:h="16840"/>
          <w:pgMar w:header="0" w:footer="1172" w:top="1580" w:bottom="1440" w:left="1520" w:right="360"/>
        </w:sectPr>
      </w:pPr>
    </w:p>
    <w:p>
      <w:pPr>
        <w:pStyle w:val="BodyText"/>
        <w:spacing w:line="364" w:lineRule="auto" w:before="106"/>
        <w:ind w:right="6791"/>
      </w:pPr>
      <w:r>
        <w:rPr/>
        <w:t>客户服务电话：0731-96599 传真：0731-89828806</w:t>
      </w:r>
    </w:p>
    <w:p>
      <w:pPr>
        <w:pStyle w:val="BodyText"/>
        <w:spacing w:line="268" w:lineRule="exact"/>
      </w:pPr>
      <w:hyperlink r:id="rId47">
        <w:r>
          <w:rPr/>
          <w:t>网址：www.hrxjbank.com.cn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吉林银行</w:t>
      </w:r>
    </w:p>
    <w:p>
      <w:pPr>
        <w:pStyle w:val="BodyText"/>
        <w:spacing w:line="364" w:lineRule="auto" w:before="140"/>
        <w:ind w:right="3746"/>
        <w:jc w:val="both"/>
      </w:pPr>
      <w:r>
        <w:rPr>
          <w:spacing w:val="-3"/>
        </w:rPr>
        <w:t>注册地址：吉林省长春市经济技术开发区东南湖大路 </w:t>
      </w:r>
      <w:r>
        <w:rPr/>
        <w:t>1817</w:t>
      </w:r>
      <w:r>
        <w:rPr>
          <w:spacing w:val="-35"/>
        </w:rPr>
        <w:t> 号</w:t>
      </w:r>
      <w:r>
        <w:rPr>
          <w:spacing w:val="-3"/>
        </w:rPr>
        <w:t>办公地址：吉林省长春市经济技术开发区东南湖大路 </w:t>
      </w:r>
      <w:r>
        <w:rPr/>
        <w:t>1817</w:t>
      </w:r>
      <w:r>
        <w:rPr>
          <w:spacing w:val="-35"/>
        </w:rPr>
        <w:t> 号</w:t>
      </w:r>
      <w:r>
        <w:rPr/>
        <w:t>法定代表人：陈宇龙</w:t>
      </w:r>
    </w:p>
    <w:p>
      <w:pPr>
        <w:pStyle w:val="BodyText"/>
        <w:spacing w:line="268" w:lineRule="exact"/>
      </w:pPr>
      <w:r>
        <w:rPr/>
        <w:t>联系人：孟明</w:t>
      </w:r>
    </w:p>
    <w:p>
      <w:pPr>
        <w:pStyle w:val="BodyText"/>
        <w:spacing w:before="139"/>
      </w:pPr>
      <w:r>
        <w:rPr/>
        <w:t>联系电话：0431-84992680</w:t>
      </w:r>
    </w:p>
    <w:p>
      <w:pPr>
        <w:pStyle w:val="BodyText"/>
        <w:spacing w:line="364" w:lineRule="auto" w:before="140"/>
        <w:ind w:right="6581"/>
      </w:pPr>
      <w:r>
        <w:rPr/>
        <w:t>客户服务电话：400-88-96666 传真：0431-84992649</w:t>
      </w:r>
    </w:p>
    <w:p>
      <w:pPr>
        <w:pStyle w:val="BodyText"/>
        <w:spacing w:line="268" w:lineRule="exact"/>
      </w:pPr>
      <w:hyperlink r:id="rId48">
        <w:r>
          <w:rPr/>
          <w:t>网址：www.jlbank.com.cn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嘉兴银行</w:t>
      </w:r>
    </w:p>
    <w:p>
      <w:pPr>
        <w:pStyle w:val="BodyText"/>
        <w:spacing w:line="364" w:lineRule="auto" w:before="140"/>
        <w:ind w:right="5426"/>
        <w:jc w:val="both"/>
      </w:pPr>
      <w:r>
        <w:rPr>
          <w:spacing w:val="-4"/>
        </w:rPr>
        <w:t>注册地址：浙江省嘉兴市昌盛南路 </w:t>
      </w:r>
      <w:r>
        <w:rPr/>
        <w:t>1001</w:t>
      </w:r>
      <w:r>
        <w:rPr>
          <w:spacing w:val="-35"/>
        </w:rPr>
        <w:t> 号</w:t>
      </w:r>
      <w:r>
        <w:rPr>
          <w:spacing w:val="-4"/>
        </w:rPr>
        <w:t>办公地址：浙江省嘉兴市昌盛南路 </w:t>
      </w:r>
      <w:r>
        <w:rPr/>
        <w:t>1001</w:t>
      </w:r>
      <w:r>
        <w:rPr>
          <w:spacing w:val="-35"/>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39"/>
        <w:ind w:right="6686"/>
      </w:pPr>
      <w:r>
        <w:rPr/>
        <w:t>客户服务电话：0573-96528 </w:t>
      </w:r>
      <w:hyperlink r:id="rId49">
        <w:r>
          <w:rPr/>
          <w:t>网址：http://www.bojx.com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江南农村商业银行</w:t>
      </w:r>
    </w:p>
    <w:p>
      <w:pPr>
        <w:pStyle w:val="BodyText"/>
        <w:spacing w:line="364" w:lineRule="auto" w:before="140"/>
        <w:ind w:right="6161"/>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791"/>
      </w:pPr>
      <w:r>
        <w:rPr>
          <w:spacing w:val="-1"/>
        </w:rPr>
        <w:t>客户服务电话</w:t>
      </w:r>
      <w:r>
        <w:rPr/>
        <w:t>：0519-96005 传真：0519-89995170</w:t>
      </w:r>
    </w:p>
    <w:p>
      <w:pPr>
        <w:pStyle w:val="BodyText"/>
        <w:spacing w:line="268" w:lineRule="exact"/>
      </w:pPr>
      <w:hyperlink r:id="rId50">
        <w:r>
          <w:rPr/>
          <w:t>网址：http://www.jnbank.com.cn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江苏银行</w:t>
      </w:r>
    </w:p>
    <w:p>
      <w:pPr>
        <w:pStyle w:val="BodyText"/>
        <w:spacing w:line="364" w:lineRule="auto" w:before="140"/>
        <w:ind w:right="6476"/>
        <w:jc w:val="both"/>
      </w:pPr>
      <w:r>
        <w:rPr>
          <w:spacing w:val="-5"/>
        </w:rPr>
        <w:t>注册地址：南京市中华路 </w:t>
      </w:r>
      <w:r>
        <w:rPr/>
        <w:t>26</w:t>
      </w:r>
      <w:r>
        <w:rPr>
          <w:spacing w:val="-35"/>
        </w:rPr>
        <w:t> 号</w:t>
      </w:r>
      <w:r>
        <w:rPr>
          <w:spacing w:val="-5"/>
        </w:rPr>
        <w:t>办公地址：南京市中华路 </w:t>
      </w:r>
      <w:r>
        <w:rPr/>
        <w:t>26</w:t>
      </w:r>
      <w:r>
        <w:rPr>
          <w:spacing w:val="-35"/>
        </w:rPr>
        <w:t> 号</w:t>
      </w:r>
      <w:r>
        <w:rPr/>
        <w:t>法定代表人：夏平</w:t>
      </w:r>
    </w:p>
    <w:p>
      <w:pPr>
        <w:spacing w:after="0" w:line="364" w:lineRule="auto"/>
        <w:jc w:val="both"/>
        <w:sectPr>
          <w:pgSz w:w="11910" w:h="16840"/>
          <w:pgMar w:header="0" w:footer="1172" w:top="1580" w:bottom="1440" w:left="1520" w:right="360"/>
        </w:sectPr>
      </w:pPr>
    </w:p>
    <w:p>
      <w:pPr>
        <w:pStyle w:val="BodyText"/>
        <w:spacing w:before="106"/>
      </w:pPr>
      <w:r>
        <w:rPr/>
        <w:t>联系人：展海军</w:t>
      </w:r>
    </w:p>
    <w:p>
      <w:pPr>
        <w:pStyle w:val="BodyText"/>
        <w:spacing w:before="139"/>
      </w:pPr>
      <w:r>
        <w:rPr/>
        <w:t>联系电话：025-58587039</w:t>
      </w:r>
    </w:p>
    <w:p>
      <w:pPr>
        <w:pStyle w:val="BodyText"/>
        <w:spacing w:line="364" w:lineRule="auto" w:before="140"/>
        <w:ind w:right="7316"/>
      </w:pPr>
      <w:r>
        <w:rPr/>
        <w:t>客户服务电话：95319 传真：025-58587820</w:t>
      </w:r>
    </w:p>
    <w:p>
      <w:pPr>
        <w:pStyle w:val="BodyText"/>
        <w:spacing w:line="268" w:lineRule="exact"/>
      </w:pPr>
      <w:hyperlink r:id="rId51">
        <w:r>
          <w:rPr/>
          <w:t>网址：www.jsbchina.cn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江西银行</w:t>
      </w:r>
    </w:p>
    <w:p>
      <w:pPr>
        <w:pStyle w:val="BodyText"/>
        <w:spacing w:line="364" w:lineRule="auto" w:before="140"/>
        <w:ind w:right="4481"/>
        <w:jc w:val="both"/>
      </w:pPr>
      <w:r>
        <w:rPr>
          <w:spacing w:val="-3"/>
        </w:rPr>
        <w:t>注册地址：江西省南昌市红谷滩新区金融大街 </w:t>
      </w:r>
      <w:r>
        <w:rPr/>
        <w:t>699</w:t>
      </w:r>
      <w:r>
        <w:rPr>
          <w:spacing w:val="-35"/>
        </w:rPr>
        <w:t> 号</w:t>
      </w:r>
      <w:r>
        <w:rPr>
          <w:spacing w:val="-3"/>
        </w:rPr>
        <w:t>办公地址：江西省南昌市红谷滩新区金融大街 </w:t>
      </w:r>
      <w:r>
        <w:rPr/>
        <w:t>699</w:t>
      </w:r>
      <w:r>
        <w:rPr>
          <w:spacing w:val="-35"/>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7211"/>
      </w:pPr>
      <w:r>
        <w:rPr/>
        <w:t>客户服务电话：956055 传真：0791-86790795</w:t>
      </w:r>
    </w:p>
    <w:p>
      <w:pPr>
        <w:pStyle w:val="BodyText"/>
        <w:spacing w:line="268" w:lineRule="exact"/>
      </w:pPr>
      <w:hyperlink r:id="rId52">
        <w:r>
          <w:rPr/>
          <w:t>网址：www.jx-bank.com</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金华银行</w:t>
      </w:r>
    </w:p>
    <w:p>
      <w:pPr>
        <w:pStyle w:val="BodyText"/>
        <w:spacing w:before="139"/>
      </w:pPr>
      <w:r>
        <w:rPr/>
        <w:t>注册地址：浙江省金华市丹溪路 1388 号</w:t>
      </w:r>
    </w:p>
    <w:p>
      <w:pPr>
        <w:pStyle w:val="BodyText"/>
        <w:spacing w:line="364" w:lineRule="auto" w:before="140"/>
        <w:ind w:right="5111"/>
      </w:pPr>
      <w:r>
        <w:rPr>
          <w:spacing w:val="-3"/>
        </w:rPr>
        <w:t>办公地址：浙江省金华市金东区光南路 </w:t>
      </w:r>
      <w:r>
        <w:rPr/>
        <w:t>668</w:t>
      </w:r>
      <w:r>
        <w:rPr>
          <w:spacing w:val="-35"/>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6581"/>
      </w:pPr>
      <w:r>
        <w:rPr/>
        <w:t>客户服务电话：400-711-6668 传真：0579-82178321</w:t>
      </w:r>
    </w:p>
    <w:p>
      <w:pPr>
        <w:pStyle w:val="BodyText"/>
        <w:spacing w:line="268" w:lineRule="exact"/>
      </w:pPr>
      <w:hyperlink r:id="rId53">
        <w:r>
          <w:rPr/>
          <w:t>网址：www.jhccb.com.cn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锦州银行</w:t>
      </w:r>
    </w:p>
    <w:p>
      <w:pPr>
        <w:pStyle w:val="BodyText"/>
        <w:spacing w:line="364" w:lineRule="auto" w:before="140"/>
        <w:ind w:right="5846"/>
        <w:jc w:val="both"/>
      </w:pPr>
      <w:r>
        <w:rPr>
          <w:spacing w:val="-4"/>
        </w:rPr>
        <w:t>注册地址：辽宁省锦州市科技路 </w:t>
      </w:r>
      <w:r>
        <w:rPr/>
        <w:t>68</w:t>
      </w:r>
      <w:r>
        <w:rPr>
          <w:spacing w:val="-35"/>
        </w:rPr>
        <w:t> 号</w:t>
      </w:r>
      <w:r>
        <w:rPr>
          <w:spacing w:val="-4"/>
        </w:rPr>
        <w:t>办公地址：辽宁省锦州市科技路 </w:t>
      </w:r>
      <w:r>
        <w:rPr/>
        <w:t>68</w:t>
      </w:r>
      <w:r>
        <w:rPr>
          <w:spacing w:val="-35"/>
        </w:rPr>
        <w:t> 号</w:t>
      </w:r>
      <w:r>
        <w:rPr/>
        <w:t>法定代表人：魏学坤</w:t>
      </w:r>
    </w:p>
    <w:p>
      <w:pPr>
        <w:pStyle w:val="BodyText"/>
        <w:spacing w:line="268" w:lineRule="exact"/>
      </w:pPr>
      <w:r>
        <w:rPr/>
        <w:t>联系人：庞璐璐</w:t>
      </w:r>
    </w:p>
    <w:p>
      <w:pPr>
        <w:pStyle w:val="BodyText"/>
        <w:spacing w:line="364" w:lineRule="auto" w:before="139"/>
        <w:ind w:right="6581"/>
      </w:pPr>
      <w:r>
        <w:rPr/>
        <w:t>客户服务电话：400-66-96178 </w:t>
      </w:r>
      <w:hyperlink r:id="rId54">
        <w:r>
          <w:rPr/>
          <w:t>网址：www.jinzhoubank.com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九江银行</w:t>
      </w:r>
    </w:p>
    <w:p>
      <w:pPr>
        <w:pStyle w:val="BodyText"/>
        <w:spacing w:line="364" w:lineRule="auto" w:before="140"/>
        <w:ind w:right="4901"/>
      </w:pPr>
      <w:r>
        <w:rPr>
          <w:spacing w:val="-3"/>
        </w:rPr>
        <w:t>注册地址：江西省九江市濂溪区长虹大道 </w:t>
      </w:r>
      <w:r>
        <w:rPr/>
        <w:t>619</w:t>
      </w:r>
      <w:r>
        <w:rPr>
          <w:spacing w:val="-35"/>
        </w:rPr>
        <w:t> 号</w:t>
      </w:r>
      <w:r>
        <w:rPr>
          <w:spacing w:val="-3"/>
        </w:rPr>
        <w:t>办公地址：江西省九江市濂溪区长虹大道 </w:t>
      </w:r>
      <w:r>
        <w:rPr/>
        <w:t>619</w:t>
      </w:r>
      <w:r>
        <w:rPr>
          <w:spacing w:val="-35"/>
        </w:rPr>
        <w:t> 号</w:t>
      </w:r>
    </w:p>
    <w:p>
      <w:pPr>
        <w:spacing w:after="0" w:line="364" w:lineRule="auto"/>
        <w:sectPr>
          <w:pgSz w:w="11910" w:h="16840"/>
          <w:pgMar w:header="0" w:footer="1172" w:top="1580" w:bottom="1440" w:left="1520" w:right="360"/>
        </w:sectPr>
      </w:pPr>
    </w:p>
    <w:p>
      <w:pPr>
        <w:pStyle w:val="BodyText"/>
        <w:spacing w:line="364" w:lineRule="auto" w:before="106"/>
        <w:ind w:right="7421"/>
      </w:pPr>
      <w:r>
        <w:rPr/>
        <w:t>法定代表人：刘羡庭联系人：胡浩</w:t>
      </w:r>
    </w:p>
    <w:p>
      <w:pPr>
        <w:pStyle w:val="BodyText"/>
        <w:spacing w:line="268" w:lineRule="exact"/>
      </w:pPr>
      <w:r>
        <w:rPr/>
        <w:t>联系电话：0792-2171968</w:t>
      </w:r>
    </w:p>
    <w:p>
      <w:pPr>
        <w:pStyle w:val="BodyText"/>
        <w:spacing w:line="364" w:lineRule="auto" w:before="139"/>
        <w:ind w:right="7316"/>
      </w:pPr>
      <w:r>
        <w:rPr/>
        <w:t>客户服务电话：95316 </w:t>
      </w:r>
      <w:hyperlink r:id="rId55">
        <w:r>
          <w:rPr/>
          <w:t>网址：www.jjccb.com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九台农商银行</w:t>
      </w:r>
    </w:p>
    <w:p>
      <w:pPr>
        <w:pStyle w:val="BodyText"/>
        <w:spacing w:before="140"/>
      </w:pPr>
      <w:r>
        <w:rPr/>
        <w:t>注册地址：吉林省长春市九台区新华大街 504 号</w:t>
      </w:r>
    </w:p>
    <w:p>
      <w:pPr>
        <w:pStyle w:val="BodyText"/>
        <w:spacing w:line="364" w:lineRule="auto" w:before="139"/>
        <w:ind w:right="4586"/>
      </w:pPr>
      <w:r>
        <w:rPr>
          <w:spacing w:val="-3"/>
        </w:rPr>
        <w:t>办公地址：吉林省长春市高新开发区蔚山路 </w:t>
      </w:r>
      <w:r>
        <w:rPr/>
        <w:t>2559</w:t>
      </w:r>
      <w:r>
        <w:rPr>
          <w:spacing w:val="-35"/>
        </w:rPr>
        <w:t> 号</w:t>
      </w:r>
      <w:r>
        <w:rPr/>
        <w:t>法定代表人：高兵</w:t>
      </w:r>
    </w:p>
    <w:p>
      <w:pPr>
        <w:pStyle w:val="BodyText"/>
        <w:spacing w:line="268" w:lineRule="exact"/>
      </w:pPr>
      <w:r>
        <w:rPr/>
        <w:t>联系人：曲凌</w:t>
      </w:r>
    </w:p>
    <w:p>
      <w:pPr>
        <w:pStyle w:val="BodyText"/>
        <w:spacing w:line="364" w:lineRule="auto" w:before="140"/>
        <w:ind w:right="6371"/>
      </w:pPr>
      <w:r>
        <w:rPr/>
        <w:t>客户服务电话：0431-96888-0-2 </w:t>
      </w:r>
      <w:hyperlink r:id="rId56">
        <w:r>
          <w:rPr/>
          <w:t>网址：http://www.jtnsh.com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昆仑银行</w:t>
      </w:r>
    </w:p>
    <w:p>
      <w:pPr>
        <w:pStyle w:val="BodyText"/>
        <w:spacing w:line="364" w:lineRule="auto" w:before="139"/>
        <w:ind w:right="5321"/>
      </w:pPr>
      <w:r>
        <w:rPr>
          <w:spacing w:val="-3"/>
        </w:rPr>
        <w:t>注册地址：新疆克拉玛依市世纪大道 </w:t>
      </w:r>
      <w:r>
        <w:rPr/>
        <w:t>7</w:t>
      </w:r>
      <w:r>
        <w:rPr>
          <w:spacing w:val="-25"/>
        </w:rPr>
        <w:t> 号 </w:t>
      </w:r>
      <w:r>
        <w:rPr>
          <w:spacing w:val="-27"/>
        </w:rPr>
        <w:t>办公地址：北京市西城区金融大街 </w:t>
      </w:r>
      <w:r>
        <w:rPr/>
        <w:t>1</w:t>
      </w:r>
      <w:r>
        <w:rPr>
          <w:spacing w:val="-36"/>
        </w:rPr>
        <w:t> 号 </w:t>
      </w:r>
      <w:r>
        <w:rPr/>
        <w:t>B</w:t>
      </w:r>
      <w:r>
        <w:rPr>
          <w:spacing w:val="-35"/>
        </w:rPr>
        <w:t> 座</w:t>
      </w:r>
      <w:r>
        <w:rPr/>
        <w:t>法定代表人：蒋尚军</w:t>
      </w:r>
    </w:p>
    <w:p>
      <w:pPr>
        <w:pStyle w:val="BodyText"/>
        <w:spacing w:line="268" w:lineRule="exact"/>
      </w:pPr>
      <w:r>
        <w:rPr/>
        <w:t>联系人：张碧华</w:t>
      </w:r>
    </w:p>
    <w:p>
      <w:pPr>
        <w:pStyle w:val="BodyText"/>
        <w:spacing w:before="140"/>
      </w:pPr>
      <w:r>
        <w:rPr/>
        <w:t>联系电话：010-89026813</w:t>
      </w:r>
    </w:p>
    <w:p>
      <w:pPr>
        <w:pStyle w:val="BodyText"/>
        <w:spacing w:line="364" w:lineRule="auto" w:before="139"/>
        <w:ind w:right="7316"/>
      </w:pPr>
      <w:r>
        <w:rPr/>
        <w:t>客户服务电话：95379 传真：010-89025421</w:t>
      </w:r>
    </w:p>
    <w:p>
      <w:pPr>
        <w:pStyle w:val="BodyText"/>
        <w:spacing w:line="268" w:lineRule="exact"/>
      </w:pPr>
      <w:hyperlink r:id="rId57">
        <w:r>
          <w:rPr/>
          <w:t>网址：www.klb.cn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昆山农村商业银行</w:t>
      </w:r>
    </w:p>
    <w:p>
      <w:pPr>
        <w:pStyle w:val="BodyText"/>
        <w:spacing w:line="364" w:lineRule="auto" w:before="140"/>
        <w:ind w:right="5531"/>
        <w:jc w:val="both"/>
      </w:pPr>
      <w:r>
        <w:rPr>
          <w:spacing w:val="-4"/>
        </w:rPr>
        <w:t>注册地址：江苏省昆山市前进东路 </w:t>
      </w:r>
      <w:r>
        <w:rPr/>
        <w:t>828</w:t>
      </w:r>
      <w:r>
        <w:rPr>
          <w:spacing w:val="-35"/>
        </w:rPr>
        <w:t> 号</w:t>
      </w:r>
      <w:r>
        <w:rPr>
          <w:spacing w:val="-4"/>
        </w:rPr>
        <w:t>办公地址：江苏省昆山市前进东路 </w:t>
      </w:r>
      <w:r>
        <w:rPr/>
        <w:t>828</w:t>
      </w:r>
      <w:r>
        <w:rPr>
          <w:spacing w:val="-35"/>
        </w:rPr>
        <w:t> 号</w:t>
      </w:r>
      <w:r>
        <w:rPr/>
        <w:t>法定代表人：张哲清</w:t>
      </w:r>
    </w:p>
    <w:p>
      <w:pPr>
        <w:pStyle w:val="BodyText"/>
        <w:spacing w:line="268" w:lineRule="exact"/>
      </w:pPr>
      <w:r>
        <w:rPr/>
        <w:t>联系人：黄怡</w:t>
      </w:r>
    </w:p>
    <w:p>
      <w:pPr>
        <w:pStyle w:val="BodyText"/>
        <w:spacing w:line="364" w:lineRule="auto" w:before="139"/>
        <w:ind w:right="6791"/>
      </w:pPr>
      <w:r>
        <w:rPr/>
        <w:t>客户服务电话：0512-96079 </w:t>
      </w:r>
      <w:hyperlink r:id="rId58">
        <w:r>
          <w:rPr/>
          <w:t>网址：www.ksrcb.com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乐清农商银行</w:t>
      </w:r>
    </w:p>
    <w:p>
      <w:pPr>
        <w:pStyle w:val="BodyText"/>
        <w:spacing w:line="364" w:lineRule="auto" w:before="140"/>
        <w:ind w:right="4796"/>
        <w:jc w:val="both"/>
      </w:pPr>
      <w:r>
        <w:rPr>
          <w:spacing w:val="-3"/>
        </w:rPr>
        <w:t>注册地址：浙江省乐清市城南街道伯乐西路 </w:t>
      </w:r>
      <w:r>
        <w:rPr/>
        <w:t>99</w:t>
      </w:r>
      <w:r>
        <w:rPr>
          <w:spacing w:val="-35"/>
        </w:rPr>
        <w:t> 号</w:t>
      </w:r>
      <w:r>
        <w:rPr>
          <w:spacing w:val="-3"/>
        </w:rPr>
        <w:t>办公地址：浙江省乐清市城南街道伯乐西路 </w:t>
      </w:r>
      <w:r>
        <w:rPr/>
        <w:t>99</w:t>
      </w:r>
      <w:r>
        <w:rPr>
          <w:spacing w:val="-35"/>
        </w:rPr>
        <w:t> 号</w:t>
      </w:r>
      <w:r>
        <w:rPr/>
        <w:t>法定代表人：高剑飞</w:t>
      </w:r>
    </w:p>
    <w:p>
      <w:pPr>
        <w:pStyle w:val="BodyText"/>
        <w:spacing w:line="268" w:lineRule="exact"/>
      </w:pPr>
      <w:r>
        <w:rPr/>
        <w:t>联系人：金晓娇</w:t>
      </w:r>
    </w:p>
    <w:p>
      <w:pPr>
        <w:spacing w:after="0" w:line="268" w:lineRule="exact"/>
        <w:sectPr>
          <w:pgSz w:w="11910" w:h="16840"/>
          <w:pgMar w:header="0" w:footer="1172" w:top="1580" w:bottom="1440" w:left="1520" w:right="360"/>
        </w:sectPr>
      </w:pPr>
    </w:p>
    <w:p>
      <w:pPr>
        <w:pStyle w:val="BodyText"/>
        <w:spacing w:before="106"/>
      </w:pPr>
      <w:r>
        <w:rPr/>
        <w:t>联系电话：0577-61566028</w:t>
      </w:r>
    </w:p>
    <w:p>
      <w:pPr>
        <w:pStyle w:val="BodyText"/>
        <w:spacing w:line="364" w:lineRule="auto" w:before="139"/>
        <w:ind w:right="6791"/>
      </w:pPr>
      <w:r>
        <w:rPr>
          <w:spacing w:val="-1"/>
        </w:rPr>
        <w:t>客户服务电话</w:t>
      </w:r>
      <w:r>
        <w:rPr/>
        <w:t>：4008896596 传真：0577-61566063</w:t>
      </w:r>
    </w:p>
    <w:p>
      <w:pPr>
        <w:pStyle w:val="BodyText"/>
        <w:spacing w:line="268" w:lineRule="exact"/>
      </w:pPr>
      <w:hyperlink r:id="rId59">
        <w:r>
          <w:rPr/>
          <w:t>网址：www.yqbank.com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龙江银行</w:t>
      </w:r>
    </w:p>
    <w:p>
      <w:pPr>
        <w:pStyle w:val="BodyText"/>
        <w:spacing w:line="364" w:lineRule="auto" w:before="139"/>
        <w:ind w:right="4691"/>
        <w:jc w:val="both"/>
      </w:pPr>
      <w:r>
        <w:rPr>
          <w:spacing w:val="-3"/>
        </w:rPr>
        <w:t>注册地址：黑龙江省哈尔滨市道里区友谊路 </w:t>
      </w:r>
      <w:r>
        <w:rPr/>
        <w:t>436</w:t>
      </w:r>
      <w:r>
        <w:rPr>
          <w:spacing w:val="-35"/>
        </w:rPr>
        <w:t> 号</w:t>
      </w:r>
      <w:r>
        <w:rPr>
          <w:spacing w:val="-3"/>
        </w:rPr>
        <w:t>办公地址：黑龙江省哈尔滨市道里区友谊路 </w:t>
      </w:r>
      <w:r>
        <w:rPr/>
        <w:t>436</w:t>
      </w:r>
      <w:r>
        <w:rPr>
          <w:spacing w:val="-35"/>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6581"/>
      </w:pPr>
      <w:r>
        <w:rPr/>
        <w:t>客户服务电话：400-645-8888 传真：0451-85706036</w:t>
      </w:r>
    </w:p>
    <w:p>
      <w:pPr>
        <w:pStyle w:val="BodyText"/>
        <w:spacing w:line="268" w:lineRule="exact"/>
      </w:pPr>
      <w:hyperlink r:id="rId60">
        <w:r>
          <w:rPr/>
          <w:t>网址：http://www.lj-bank.com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龙湾农商银行</w:t>
      </w:r>
    </w:p>
    <w:p>
      <w:pPr>
        <w:pStyle w:val="BodyText"/>
        <w:spacing w:line="364" w:lineRule="auto" w:before="139"/>
        <w:ind w:right="4061"/>
        <w:jc w:val="both"/>
      </w:pPr>
      <w:r>
        <w:rPr>
          <w:spacing w:val="-3"/>
        </w:rPr>
        <w:t>注册地址：浙江省温州市龙湾区永中街道永宁西路 </w:t>
      </w:r>
      <w:r>
        <w:rPr/>
        <w:t>555</w:t>
      </w:r>
      <w:r>
        <w:rPr>
          <w:spacing w:val="-35"/>
        </w:rPr>
        <w:t> 号</w:t>
      </w:r>
      <w:r>
        <w:rPr>
          <w:spacing w:val="-3"/>
        </w:rPr>
        <w:t>办公地址：浙江省温州市龙湾区永中街道永宁西路 </w:t>
      </w:r>
      <w:r>
        <w:rPr/>
        <w:t>555</w:t>
      </w:r>
      <w:r>
        <w:rPr>
          <w:spacing w:val="-35"/>
        </w:rPr>
        <w:t> 号</w:t>
      </w:r>
      <w:r>
        <w:rPr/>
        <w:t>法定代表人：朱朋远</w:t>
      </w:r>
    </w:p>
    <w:p>
      <w:pPr>
        <w:pStyle w:val="BodyText"/>
        <w:spacing w:line="268" w:lineRule="exact"/>
      </w:pPr>
      <w:r>
        <w:rPr/>
        <w:t>联系人：胡俊杰</w:t>
      </w:r>
    </w:p>
    <w:p>
      <w:pPr>
        <w:pStyle w:val="BodyText"/>
        <w:spacing w:before="139"/>
      </w:pPr>
      <w:r>
        <w:rPr/>
        <w:t>联系电话：0577-86923223</w:t>
      </w:r>
    </w:p>
    <w:p>
      <w:pPr>
        <w:pStyle w:val="BodyText"/>
        <w:spacing w:line="364" w:lineRule="auto" w:before="140"/>
        <w:ind w:right="6791"/>
      </w:pPr>
      <w:r>
        <w:rPr>
          <w:spacing w:val="-1"/>
        </w:rPr>
        <w:t>客户服务电话</w:t>
      </w:r>
      <w:r>
        <w:rPr/>
        <w:t>：4008296596 传真：0577-86921250</w:t>
      </w:r>
    </w:p>
    <w:p>
      <w:pPr>
        <w:pStyle w:val="BodyText"/>
        <w:spacing w:line="268" w:lineRule="exact"/>
      </w:pPr>
      <w:hyperlink r:id="rId61">
        <w:r>
          <w:rPr/>
          <w:t>网址：www.lwrcb.com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鹿城农商银行</w:t>
      </w:r>
    </w:p>
    <w:p>
      <w:pPr>
        <w:pStyle w:val="BodyText"/>
        <w:spacing w:line="364" w:lineRule="auto" w:before="140"/>
        <w:ind w:right="4166"/>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7421"/>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62">
        <w:r>
          <w:rPr/>
          <w:t>网址：http://www.lcrcbank.com/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洛阳银行</w:t>
      </w:r>
    </w:p>
    <w:p>
      <w:pPr>
        <w:pStyle w:val="BodyText"/>
        <w:spacing w:line="364" w:lineRule="auto" w:before="140"/>
        <w:ind w:right="4481"/>
      </w:pPr>
      <w:r>
        <w:rPr/>
        <w:t>注册地址：洛阳市洛阳新区开元大道与通济街交叉口办公地址：河南省洛阳市开元大道 256 号</w:t>
      </w:r>
    </w:p>
    <w:p>
      <w:pPr>
        <w:spacing w:after="0" w:line="364" w:lineRule="auto"/>
        <w:sectPr>
          <w:pgSz w:w="11910" w:h="16840"/>
          <w:pgMar w:header="0" w:footer="1172" w:top="1580" w:bottom="1440" w:left="1520" w:right="360"/>
        </w:sectPr>
      </w:pPr>
    </w:p>
    <w:p>
      <w:pPr>
        <w:pStyle w:val="BodyText"/>
        <w:spacing w:line="364" w:lineRule="auto" w:before="106"/>
        <w:ind w:right="7421"/>
      </w:pPr>
      <w:r>
        <w:rPr/>
        <w:t>法定代表人：王建甫联系人：郭文博</w:t>
      </w:r>
    </w:p>
    <w:p>
      <w:pPr>
        <w:pStyle w:val="BodyText"/>
        <w:spacing w:line="268" w:lineRule="exact"/>
      </w:pPr>
      <w:r>
        <w:rPr/>
        <w:t>联系电话：0379-65921977</w:t>
      </w:r>
    </w:p>
    <w:p>
      <w:pPr>
        <w:pStyle w:val="BodyText"/>
        <w:spacing w:line="364" w:lineRule="auto" w:before="139"/>
        <w:ind w:right="6791"/>
      </w:pPr>
      <w:r>
        <w:rPr/>
        <w:t>客户服务电话：0379-96699 传真：0379-65938595</w:t>
      </w:r>
    </w:p>
    <w:p>
      <w:pPr>
        <w:pStyle w:val="BodyText"/>
        <w:spacing w:line="268" w:lineRule="exact"/>
      </w:pPr>
      <w:hyperlink r:id="rId63">
        <w:r>
          <w:rPr/>
          <w:t>网址：www.bankofluoyang.com.cn/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南海农商银行</w:t>
      </w:r>
    </w:p>
    <w:p>
      <w:pPr>
        <w:pStyle w:val="BodyText"/>
        <w:spacing w:before="139"/>
      </w:pPr>
      <w:r>
        <w:rPr/>
        <w:t>注册地址：广东省佛山市南海区桂城街道南海大道北 26 号</w:t>
      </w:r>
    </w:p>
    <w:p>
      <w:pPr>
        <w:pStyle w:val="BodyText"/>
        <w:spacing w:line="364" w:lineRule="auto" w:before="140"/>
        <w:ind w:right="2696"/>
      </w:pPr>
      <w:r>
        <w:rPr>
          <w:spacing w:val="-3"/>
        </w:rPr>
        <w:t>办公地址：广东省佛山市南海区桂城街道南海大道北 </w:t>
      </w:r>
      <w:r>
        <w:rPr/>
        <w:t>26</w:t>
      </w:r>
      <w:r>
        <w:rPr>
          <w:spacing w:val="-10"/>
        </w:rPr>
        <w:t> 号农商银行大厦</w:t>
      </w:r>
      <w:r>
        <w:rPr/>
        <w:t>法定代表人：李宜心</w:t>
      </w:r>
    </w:p>
    <w:p>
      <w:pPr>
        <w:pStyle w:val="BodyText"/>
        <w:spacing w:line="268" w:lineRule="exact"/>
      </w:pPr>
      <w:r>
        <w:rPr/>
        <w:t>联系人：廖雪</w:t>
      </w:r>
    </w:p>
    <w:p>
      <w:pPr>
        <w:pStyle w:val="BodyText"/>
        <w:spacing w:before="139"/>
      </w:pPr>
      <w:r>
        <w:rPr/>
        <w:t>电话：0757-86266566</w:t>
      </w:r>
    </w:p>
    <w:p>
      <w:pPr>
        <w:pStyle w:val="BodyText"/>
        <w:spacing w:line="364" w:lineRule="auto" w:before="140"/>
        <w:ind w:right="7316"/>
      </w:pPr>
      <w:r>
        <w:rPr/>
        <w:t>客户服务电话</w:t>
      </w:r>
      <w:r>
        <w:rPr>
          <w:spacing w:val="-3"/>
        </w:rPr>
        <w:t>：96138 </w:t>
      </w:r>
      <w:r>
        <w:rPr>
          <w:spacing w:val="-2"/>
        </w:rPr>
        <w:t>传真</w:t>
      </w:r>
      <w:r>
        <w:rPr>
          <w:spacing w:val="-1"/>
        </w:rPr>
        <w:t>：0757-86250627</w:t>
      </w:r>
    </w:p>
    <w:p>
      <w:pPr>
        <w:pStyle w:val="BodyText"/>
        <w:spacing w:line="268" w:lineRule="exact"/>
      </w:pPr>
      <w:hyperlink r:id="rId64">
        <w:r>
          <w:rPr/>
          <w:t>网址：www.nanhaibank.com</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南洋商业银行</w:t>
      </w:r>
    </w:p>
    <w:p>
      <w:pPr>
        <w:pStyle w:val="BodyText"/>
        <w:spacing w:before="139"/>
      </w:pPr>
      <w:r>
        <w:rPr/>
        <w:t>注册地址：中国（上海）自由贸易试验区世纪大道 800 号三层、六层至九层（不含六层 A</w:t>
      </w:r>
    </w:p>
    <w:p>
      <w:pPr>
        <w:pStyle w:val="BodyText"/>
        <w:spacing w:before="140"/>
        <w:ind w:left="293"/>
      </w:pPr>
      <w:r>
        <w:rPr/>
        <w:t>座）</w:t>
      </w:r>
    </w:p>
    <w:p>
      <w:pPr>
        <w:pStyle w:val="BodyText"/>
        <w:spacing w:before="139"/>
      </w:pPr>
      <w:r>
        <w:rPr/>
        <w:t>办公地址：中国（上海）自由贸易试验区世纪大道 800 号三层、六层至九层（不含六层 A</w:t>
      </w:r>
    </w:p>
    <w:p>
      <w:pPr>
        <w:pStyle w:val="BodyText"/>
        <w:spacing w:before="140"/>
        <w:ind w:left="293"/>
      </w:pPr>
      <w:r>
        <w:rPr/>
        <w:t>座）</w:t>
      </w:r>
    </w:p>
    <w:p>
      <w:pPr>
        <w:pStyle w:val="BodyText"/>
        <w:spacing w:line="364" w:lineRule="auto" w:before="139"/>
        <w:ind w:right="7421"/>
      </w:pPr>
      <w:r>
        <w:rPr/>
        <w:t>法定代表人：陈孝周联系人：马小明</w:t>
      </w:r>
    </w:p>
    <w:p>
      <w:pPr>
        <w:pStyle w:val="BodyText"/>
        <w:spacing w:line="268" w:lineRule="exact"/>
      </w:pPr>
      <w:r>
        <w:rPr/>
        <w:t>联系电话：021-38566452</w:t>
      </w:r>
    </w:p>
    <w:p>
      <w:pPr>
        <w:pStyle w:val="BodyText"/>
        <w:spacing w:before="140"/>
      </w:pPr>
      <w:r>
        <w:rPr>
          <w:spacing w:val="13"/>
        </w:rPr>
        <w:t>客户服务电话：</w:t>
      </w:r>
      <w:r>
        <w:rPr>
          <w:spacing w:val="2"/>
        </w:rPr>
        <w:t>8008207898（</w:t>
      </w:r>
      <w:r>
        <w:rPr>
          <w:spacing w:val="15"/>
        </w:rPr>
        <w:t>内地固话用户</w:t>
      </w:r>
      <w:r>
        <w:rPr>
          <w:spacing w:val="-90"/>
        </w:rPr>
        <w:t>）</w:t>
      </w:r>
      <w:r>
        <w:rPr>
          <w:spacing w:val="15"/>
        </w:rPr>
        <w:t>、</w:t>
      </w:r>
      <w:r>
        <w:rPr/>
        <w:t>4008207898（</w:t>
      </w:r>
      <w:r>
        <w:rPr>
          <w:spacing w:val="15"/>
        </w:rPr>
        <w:t>内地手机用户</w:t>
      </w:r>
      <w:r>
        <w:rPr>
          <w:spacing w:val="-90"/>
        </w:rPr>
        <w:t>）、</w:t>
      </w:r>
      <w:r>
        <w:rPr>
          <w:spacing w:val="2"/>
        </w:rPr>
        <w:t>（86551）</w:t>
      </w:r>
    </w:p>
    <w:p>
      <w:pPr>
        <w:pStyle w:val="BodyText"/>
        <w:spacing w:line="364" w:lineRule="auto" w:before="139"/>
        <w:ind w:right="7211" w:hanging="420"/>
      </w:pPr>
      <w:r>
        <w:rPr/>
        <w:t>64360499（港澳台及境外） 传真：021-38566400</w:t>
      </w:r>
    </w:p>
    <w:p>
      <w:pPr>
        <w:pStyle w:val="BodyText"/>
        <w:spacing w:line="268" w:lineRule="exact"/>
      </w:pPr>
      <w:hyperlink r:id="rId65">
        <w:r>
          <w:rPr/>
          <w:t>网址：http://www.ncbchina.cn/cn/index.html</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宁波银行</w:t>
      </w:r>
    </w:p>
    <w:p>
      <w:pPr>
        <w:pStyle w:val="BodyText"/>
        <w:spacing w:line="364" w:lineRule="auto" w:before="139"/>
        <w:ind w:right="5111"/>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联系人：夏禾</w:t>
      </w:r>
    </w:p>
    <w:p>
      <w:pPr>
        <w:pStyle w:val="BodyText"/>
        <w:spacing w:before="139"/>
      </w:pPr>
      <w:r>
        <w:rPr/>
        <w:t>客户服务电话：95574</w:t>
      </w:r>
    </w:p>
    <w:p>
      <w:pPr>
        <w:spacing w:after="0"/>
        <w:sectPr>
          <w:pgSz w:w="11910" w:h="16840"/>
          <w:pgMar w:header="0" w:footer="1172" w:top="1580" w:bottom="1440" w:left="1520" w:right="360"/>
        </w:sectPr>
      </w:pPr>
    </w:p>
    <w:p>
      <w:pPr>
        <w:pStyle w:val="BodyText"/>
        <w:spacing w:before="106"/>
      </w:pPr>
      <w:hyperlink r:id="rId66">
        <w:r>
          <w:rPr/>
          <w:t>网址：www.nbcb.com.cn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齐商银行</w:t>
      </w:r>
    </w:p>
    <w:p>
      <w:pPr>
        <w:pStyle w:val="BodyText"/>
        <w:spacing w:before="140"/>
      </w:pPr>
      <w:r>
        <w:rPr/>
        <w:t>注册地址：淄博市张店区中心路 105 号</w:t>
      </w:r>
    </w:p>
    <w:p>
      <w:pPr>
        <w:pStyle w:val="BodyText"/>
        <w:spacing w:line="364" w:lineRule="auto" w:before="139"/>
        <w:ind w:right="4901"/>
      </w:pPr>
      <w:r>
        <w:rPr>
          <w:spacing w:val="-3"/>
        </w:rPr>
        <w:t>办公地址：山东省淄博市张店区金晶大道 </w:t>
      </w:r>
      <w:r>
        <w:rPr/>
        <w:t>105</w:t>
      </w:r>
      <w:r>
        <w:rPr>
          <w:spacing w:val="-35"/>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6581"/>
      </w:pPr>
      <w:r>
        <w:rPr/>
        <w:t>客户服务电话</w:t>
      </w:r>
      <w:r>
        <w:rPr>
          <w:spacing w:val="-2"/>
        </w:rPr>
        <w:t>：400-86-96588 </w:t>
      </w:r>
      <w:r>
        <w:rPr/>
        <w:t>传真：0533-2180303</w:t>
      </w:r>
    </w:p>
    <w:p>
      <w:pPr>
        <w:pStyle w:val="BodyText"/>
        <w:spacing w:line="268" w:lineRule="exact"/>
      </w:pPr>
      <w:hyperlink r:id="rId67">
        <w:r>
          <w:rPr/>
          <w:t>网址：www.qsbank.cc</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青岛银行</w:t>
      </w:r>
    </w:p>
    <w:p>
      <w:pPr>
        <w:pStyle w:val="BodyText"/>
        <w:spacing w:line="364" w:lineRule="auto" w:before="139"/>
        <w:ind w:right="4691"/>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联系电话：0532-68629925</w:t>
      </w:r>
    </w:p>
    <w:p>
      <w:pPr>
        <w:pStyle w:val="BodyText"/>
        <w:spacing w:line="364" w:lineRule="auto" w:before="140"/>
        <w:ind w:right="4376"/>
      </w:pPr>
      <w:r>
        <w:rPr/>
        <w:t>客户服务电话：96588（青岛）400-66-96588（全国） </w:t>
      </w:r>
      <w:hyperlink r:id="rId68">
        <w:r>
          <w:rPr/>
          <w:t>网址：http://www.qdccb.com/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泉州银行</w:t>
      </w:r>
    </w:p>
    <w:p>
      <w:pPr>
        <w:pStyle w:val="BodyText"/>
        <w:spacing w:line="364" w:lineRule="auto" w:before="139"/>
        <w:ind w:right="5951"/>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6581"/>
      </w:pPr>
      <w:r>
        <w:rPr/>
        <w:t>客户服务电话：400-88-96312 传真：0595-22578871</w:t>
      </w:r>
    </w:p>
    <w:p>
      <w:pPr>
        <w:pStyle w:val="BodyText"/>
        <w:spacing w:line="268" w:lineRule="exact"/>
      </w:pPr>
      <w:hyperlink r:id="rId69">
        <w:r>
          <w:rPr/>
          <w:t>网址：http://www.qzccbank.com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日照银行</w:t>
      </w:r>
    </w:p>
    <w:p>
      <w:pPr>
        <w:pStyle w:val="BodyText"/>
        <w:spacing w:line="364" w:lineRule="auto" w:before="139"/>
        <w:ind w:right="5741"/>
        <w:jc w:val="both"/>
      </w:pPr>
      <w:r>
        <w:rPr>
          <w:spacing w:val="-4"/>
        </w:rPr>
        <w:t>注册地址：山东省日照市烟台路 </w:t>
      </w:r>
      <w:r>
        <w:rPr/>
        <w:t>197</w:t>
      </w:r>
      <w:r>
        <w:rPr>
          <w:spacing w:val="-35"/>
        </w:rPr>
        <w:t> 号</w:t>
      </w:r>
      <w:r>
        <w:rPr>
          <w:spacing w:val="-4"/>
        </w:rPr>
        <w:t>办公地址：山东省日照市烟台路 </w:t>
      </w:r>
      <w:r>
        <w:rPr/>
        <w:t>197</w:t>
      </w:r>
      <w:r>
        <w:rPr>
          <w:spacing w:val="-35"/>
        </w:rPr>
        <w:t> 号</w:t>
      </w:r>
      <w:r>
        <w:rPr/>
        <w:t>法定代表人：王森</w:t>
      </w:r>
    </w:p>
    <w:p>
      <w:pPr>
        <w:pStyle w:val="BodyText"/>
        <w:spacing w:line="268" w:lineRule="exact"/>
      </w:pPr>
      <w:r>
        <w:rPr/>
        <w:t>联系人：孔颖</w:t>
      </w:r>
    </w:p>
    <w:p>
      <w:pPr>
        <w:pStyle w:val="BodyText"/>
        <w:spacing w:before="140"/>
      </w:pPr>
      <w:r>
        <w:rPr/>
        <w:t>联系电话：0633-8081590</w:t>
      </w:r>
    </w:p>
    <w:p>
      <w:pPr>
        <w:spacing w:after="0"/>
        <w:sectPr>
          <w:pgSz w:w="11910" w:h="16840"/>
          <w:pgMar w:header="0" w:footer="1172" w:top="1580" w:bottom="1440" w:left="1520" w:right="360"/>
        </w:sectPr>
      </w:pPr>
    </w:p>
    <w:p>
      <w:pPr>
        <w:pStyle w:val="BodyText"/>
        <w:spacing w:line="364" w:lineRule="auto" w:before="106"/>
        <w:ind w:right="3746"/>
      </w:pPr>
      <w:r>
        <w:rPr/>
        <w:t>客户服务电话：400-68-96588（全国</w:t>
      </w:r>
      <w:r>
        <w:rPr>
          <w:spacing w:val="-105"/>
        </w:rPr>
        <w:t>）</w:t>
      </w:r>
      <w:r>
        <w:rPr/>
        <w:t>、0633-96588（日照</w:t>
      </w:r>
      <w:r>
        <w:rPr>
          <w:spacing w:val="-18"/>
        </w:rPr>
        <w:t>） </w:t>
      </w:r>
      <w:r>
        <w:rPr/>
        <w:t>传真：0633-8081276</w:t>
      </w:r>
    </w:p>
    <w:p>
      <w:pPr>
        <w:pStyle w:val="BodyText"/>
        <w:spacing w:line="268" w:lineRule="exact"/>
      </w:pPr>
      <w:hyperlink r:id="rId70">
        <w:r>
          <w:rPr/>
          <w:t>网址：http://www.bankofrizhao.com.cn/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瑞安农商银行</w:t>
      </w:r>
    </w:p>
    <w:p>
      <w:pPr>
        <w:pStyle w:val="BodyText"/>
        <w:spacing w:line="364" w:lineRule="auto" w:before="140"/>
        <w:ind w:right="5321"/>
        <w:jc w:val="both"/>
      </w:pPr>
      <w:r>
        <w:rPr>
          <w:spacing w:val="-4"/>
        </w:rPr>
        <w:t>注册地址：瑞安市安阳街道万松东路 </w:t>
      </w:r>
      <w:r>
        <w:rPr/>
        <w:t>148</w:t>
      </w:r>
      <w:r>
        <w:rPr>
          <w:spacing w:val="-35"/>
        </w:rPr>
        <w:t> 号</w:t>
      </w:r>
      <w:r>
        <w:rPr>
          <w:spacing w:val="-4"/>
        </w:rPr>
        <w:t>办公地址：瑞安市安阳街道万松东路 </w:t>
      </w:r>
      <w:r>
        <w:rPr/>
        <w:t>148</w:t>
      </w:r>
      <w:r>
        <w:rPr>
          <w:spacing w:val="-35"/>
        </w:rPr>
        <w:t> 号</w:t>
      </w:r>
      <w:r>
        <w:rPr/>
        <w:t>法定代表人：王光领</w:t>
      </w:r>
    </w:p>
    <w:p>
      <w:pPr>
        <w:pStyle w:val="BodyText"/>
        <w:spacing w:line="268" w:lineRule="exact"/>
      </w:pPr>
      <w:r>
        <w:rPr/>
        <w:t>联系人：吴清萍</w:t>
      </w:r>
    </w:p>
    <w:p>
      <w:pPr>
        <w:pStyle w:val="BodyText"/>
        <w:spacing w:before="139"/>
      </w:pPr>
      <w:r>
        <w:rPr/>
        <w:t>联系电话：0577-66816501</w:t>
      </w:r>
    </w:p>
    <w:p>
      <w:pPr>
        <w:pStyle w:val="BodyText"/>
        <w:spacing w:before="140"/>
      </w:pPr>
      <w:r>
        <w:rPr/>
        <w:t>客户服务电话：4008057702</w:t>
      </w:r>
    </w:p>
    <w:p>
      <w:pPr>
        <w:pStyle w:val="BodyText"/>
        <w:spacing w:before="139"/>
      </w:pPr>
      <w:hyperlink r:id="rId71">
        <w:r>
          <w:rPr/>
          <w:t>网址：https://www.rarcbank.com/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瑞丰银行</w:t>
      </w:r>
    </w:p>
    <w:p>
      <w:pPr>
        <w:pStyle w:val="BodyText"/>
        <w:spacing w:line="364" w:lineRule="auto" w:before="139"/>
        <w:ind w:right="5006"/>
        <w:jc w:val="both"/>
      </w:pPr>
      <w:r>
        <w:rPr>
          <w:spacing w:val="-3"/>
        </w:rPr>
        <w:t>注册地址：浙江省绍兴市柯桥区笛扬路 </w:t>
      </w:r>
      <w:r>
        <w:rPr/>
        <w:t>1363</w:t>
      </w:r>
      <w:r>
        <w:rPr>
          <w:spacing w:val="-35"/>
        </w:rPr>
        <w:t> 号</w:t>
      </w:r>
      <w:r>
        <w:rPr>
          <w:spacing w:val="-3"/>
        </w:rPr>
        <w:t>办公地址：浙江省绍兴市柯桥区笛扬路 </w:t>
      </w:r>
      <w:r>
        <w:rPr/>
        <w:t>1363</w:t>
      </w:r>
      <w:r>
        <w:rPr>
          <w:spacing w:val="-35"/>
        </w:rPr>
        <w:t> 号</w:t>
      </w:r>
      <w:r>
        <w:rPr/>
        <w:t>法定代表人：章伟东</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6581"/>
      </w:pPr>
      <w:r>
        <w:rPr/>
        <w:t>客户服务电话：400-88-96596 传真：0575-84788134</w:t>
      </w:r>
    </w:p>
    <w:p>
      <w:pPr>
        <w:pStyle w:val="BodyText"/>
        <w:spacing w:line="268" w:lineRule="exact"/>
      </w:pPr>
      <w:hyperlink r:id="rId72">
        <w:r>
          <w:rPr/>
          <w:t>网址：www.borf.cn</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3746"/>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5951"/>
      </w:pPr>
      <w:r>
        <w:rPr/>
        <w:t>开放式基金业务传真：021-50105124 </w:t>
      </w:r>
      <w:hyperlink r:id="rId73">
        <w:r>
          <w:rPr/>
          <w:t>网址：www.srcb.com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上海银行</w:t>
      </w:r>
    </w:p>
    <w:p>
      <w:pPr>
        <w:pStyle w:val="BodyText"/>
        <w:spacing w:line="364" w:lineRule="auto" w:before="139"/>
        <w:ind w:right="4061"/>
      </w:pPr>
      <w:r>
        <w:rPr/>
        <w:t>注册地址：中国（上海）</w:t>
      </w:r>
      <w:r>
        <w:rPr>
          <w:spacing w:val="-5"/>
        </w:rPr>
        <w:t>自由贸易试验区银城中路 </w:t>
      </w:r>
      <w:r>
        <w:rPr/>
        <w:t>168</w:t>
      </w:r>
      <w:r>
        <w:rPr>
          <w:spacing w:val="-35"/>
        </w:rPr>
        <w:t> 号</w:t>
      </w:r>
      <w:r>
        <w:rPr>
          <w:spacing w:val="-4"/>
        </w:rPr>
        <w:t>办公地址：上海市浦东新区银城中路 </w:t>
      </w:r>
      <w:r>
        <w:rPr/>
        <w:t>168</w:t>
      </w:r>
      <w:r>
        <w:rPr>
          <w:spacing w:val="-27"/>
        </w:rPr>
        <w:t> 号</w:t>
      </w:r>
    </w:p>
    <w:p>
      <w:pPr>
        <w:pStyle w:val="BodyText"/>
        <w:spacing w:line="268" w:lineRule="exact"/>
      </w:pPr>
      <w:r>
        <w:rPr/>
        <w:t>法定代表人：金煜</w:t>
      </w:r>
    </w:p>
    <w:p>
      <w:pPr>
        <w:spacing w:after="0" w:line="268" w:lineRule="exact"/>
        <w:sectPr>
          <w:pgSz w:w="11910" w:h="16840"/>
          <w:pgMar w:header="0" w:footer="1172" w:top="1580" w:bottom="1440" w:left="1520" w:right="360"/>
        </w:sectPr>
      </w:pPr>
    </w:p>
    <w:p>
      <w:pPr>
        <w:pStyle w:val="BodyText"/>
        <w:spacing w:before="106"/>
      </w:pPr>
      <w:r>
        <w:rPr/>
        <w:t>联系人：王笑</w:t>
      </w:r>
    </w:p>
    <w:p>
      <w:pPr>
        <w:pStyle w:val="BodyText"/>
        <w:spacing w:before="139"/>
      </w:pPr>
      <w:r>
        <w:rPr/>
        <w:t>联系电话：021-68475732</w:t>
      </w:r>
    </w:p>
    <w:p>
      <w:pPr>
        <w:pStyle w:val="BodyText"/>
        <w:spacing w:before="140"/>
      </w:pPr>
      <w:r>
        <w:rPr/>
        <w:t>客户服务电话：95594</w:t>
      </w:r>
    </w:p>
    <w:p>
      <w:pPr>
        <w:pStyle w:val="BodyText"/>
        <w:spacing w:before="139"/>
      </w:pPr>
      <w:hyperlink r:id="rId74">
        <w:r>
          <w:rPr/>
          <w:t>网址：http://www.bosc.cn/</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深圳农村商业银行</w:t>
      </w:r>
    </w:p>
    <w:p>
      <w:pPr>
        <w:pStyle w:val="BodyText"/>
        <w:spacing w:before="139"/>
      </w:pPr>
      <w:r>
        <w:rPr/>
        <w:t>注册地址：深圳市罗湖区深南东路 3038 号</w:t>
      </w:r>
    </w:p>
    <w:p>
      <w:pPr>
        <w:pStyle w:val="BodyText"/>
        <w:spacing w:line="364" w:lineRule="auto" w:before="140"/>
        <w:ind w:right="4166"/>
      </w:pPr>
      <w:r>
        <w:rPr>
          <w:spacing w:val="-4"/>
        </w:rPr>
        <w:t>办公地址：深圳市罗湖区深南东路 </w:t>
      </w:r>
      <w:r>
        <w:rPr/>
        <w:t>3038</w:t>
      </w:r>
      <w:r>
        <w:rPr>
          <w:spacing w:val="-10"/>
        </w:rPr>
        <w:t> 号合作金融大厦</w:t>
      </w:r>
      <w:r>
        <w:rPr/>
        <w:t>法定代表人：李光安</w:t>
      </w:r>
    </w:p>
    <w:p>
      <w:pPr>
        <w:pStyle w:val="BodyText"/>
        <w:spacing w:line="268" w:lineRule="exact"/>
      </w:pPr>
      <w:r>
        <w:rPr/>
        <w:t>联系人：陈泽鑫</w:t>
      </w:r>
    </w:p>
    <w:p>
      <w:pPr>
        <w:pStyle w:val="BodyText"/>
        <w:spacing w:before="139"/>
      </w:pPr>
      <w:r>
        <w:rPr/>
        <w:t>联系电话：0755-25188271</w:t>
      </w:r>
    </w:p>
    <w:p>
      <w:pPr>
        <w:pStyle w:val="BodyText"/>
        <w:spacing w:before="139"/>
      </w:pPr>
      <w:r>
        <w:rPr/>
        <w:t>客户服务电话：4001961200</w:t>
      </w:r>
    </w:p>
    <w:p>
      <w:pPr>
        <w:pStyle w:val="BodyText"/>
        <w:spacing w:before="140"/>
      </w:pPr>
      <w:hyperlink r:id="rId75">
        <w:r>
          <w:rPr/>
          <w:t>网址：http://www.4001961200.com/</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顺德农村商业银行</w:t>
      </w:r>
    </w:p>
    <w:p>
      <w:pPr>
        <w:pStyle w:val="BodyText"/>
        <w:spacing w:line="364" w:lineRule="auto" w:before="140"/>
        <w:ind w:right="4061"/>
        <w:jc w:val="both"/>
      </w:pPr>
      <w:r>
        <w:rPr>
          <w:spacing w:val="-3"/>
        </w:rPr>
        <w:t>注册地址：广东佛山市顺德区大良德和居委会拥翠路 </w:t>
      </w:r>
      <w:r>
        <w:rPr/>
        <w:t>2</w:t>
      </w:r>
      <w:r>
        <w:rPr>
          <w:spacing w:val="-35"/>
        </w:rPr>
        <w:t> 号</w:t>
      </w:r>
      <w:r>
        <w:rPr>
          <w:spacing w:val="-3"/>
        </w:rPr>
        <w:t>办公地址：广东佛山市顺德区大良德和居委会拥翠路 </w:t>
      </w:r>
      <w:r>
        <w:rPr/>
        <w:t>2</w:t>
      </w:r>
      <w:r>
        <w:rPr>
          <w:spacing w:val="-35"/>
        </w:rPr>
        <w:t> 号</w:t>
      </w:r>
      <w:r>
        <w:rPr/>
        <w:t>法定代表人：姚真勇</w:t>
      </w:r>
    </w:p>
    <w:p>
      <w:pPr>
        <w:pStyle w:val="BodyText"/>
        <w:spacing w:line="364" w:lineRule="auto"/>
        <w:ind w:right="6896"/>
      </w:pPr>
      <w:r>
        <w:rPr/>
        <w:t>联系人：杨素苗、区敏欣联系电话：0757-22382524</w:t>
      </w:r>
    </w:p>
    <w:p>
      <w:pPr>
        <w:pStyle w:val="BodyText"/>
        <w:spacing w:line="364" w:lineRule="auto"/>
        <w:ind w:right="6476"/>
      </w:pPr>
      <w:r>
        <w:rPr/>
        <w:t>客户服务电话：0757-22223388 传真：0757-22388235</w:t>
      </w:r>
    </w:p>
    <w:p>
      <w:pPr>
        <w:pStyle w:val="BodyText"/>
        <w:spacing w:line="268" w:lineRule="exact"/>
      </w:pPr>
      <w:hyperlink r:id="rId76">
        <w:r>
          <w:rPr/>
          <w:t>网址：www.sdebank.com</w:t>
        </w:r>
      </w:hyperlink>
    </w:p>
    <w:p>
      <w:pPr>
        <w:pStyle w:val="ListParagraph"/>
        <w:numPr>
          <w:ilvl w:val="0"/>
          <w:numId w:val="9"/>
        </w:numPr>
        <w:tabs>
          <w:tab w:pos="1134" w:val="left" w:leader="none"/>
        </w:tabs>
        <w:spacing w:line="240" w:lineRule="auto" w:before="137" w:after="0"/>
        <w:ind w:left="1134" w:right="0" w:hanging="421"/>
        <w:jc w:val="both"/>
        <w:rPr>
          <w:sz w:val="21"/>
        </w:rPr>
      </w:pPr>
      <w:r>
        <w:rPr>
          <w:sz w:val="21"/>
        </w:rPr>
        <w:t>四川天府银行</w:t>
      </w:r>
    </w:p>
    <w:p>
      <w:pPr>
        <w:pStyle w:val="BodyText"/>
        <w:spacing w:before="139"/>
      </w:pPr>
      <w:r>
        <w:rPr/>
        <w:t>注册地址：四川省南充市涪江路 1 号</w:t>
      </w:r>
    </w:p>
    <w:p>
      <w:pPr>
        <w:pStyle w:val="BodyText"/>
        <w:spacing w:line="364" w:lineRule="auto" w:before="140"/>
        <w:ind w:right="4271"/>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6581"/>
      </w:pPr>
      <w:r>
        <w:rPr/>
        <w:t>客户服务电话：400-16-96869 </w:t>
      </w:r>
      <w:hyperlink r:id="rId77">
        <w:r>
          <w:rPr/>
          <w:t>网址：www.tf.cn</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苏州农村商业银行</w:t>
      </w:r>
    </w:p>
    <w:p>
      <w:pPr>
        <w:pStyle w:val="BodyText"/>
        <w:spacing w:line="364" w:lineRule="auto" w:before="139"/>
        <w:ind w:right="4796"/>
        <w:jc w:val="both"/>
      </w:pPr>
      <w:r>
        <w:rPr>
          <w:spacing w:val="-3"/>
        </w:rPr>
        <w:t>注册地址：江苏省苏州市吴江区中山南路 </w:t>
      </w:r>
      <w:r>
        <w:rPr/>
        <w:t>1777</w:t>
      </w:r>
      <w:r>
        <w:rPr>
          <w:spacing w:val="-35"/>
        </w:rPr>
        <w:t> 号</w:t>
      </w:r>
      <w:r>
        <w:rPr>
          <w:spacing w:val="-3"/>
        </w:rPr>
        <w:t>办公地址：江苏省苏州市吴江区中山南路 </w:t>
      </w:r>
      <w:r>
        <w:rPr/>
        <w:t>1777</w:t>
      </w:r>
      <w:r>
        <w:rPr>
          <w:spacing w:val="-35"/>
        </w:rPr>
        <w:t> 号</w:t>
      </w:r>
      <w:r>
        <w:rPr/>
        <w:t>法定代表人：魏礼亚</w:t>
      </w:r>
    </w:p>
    <w:p>
      <w:pPr>
        <w:spacing w:after="0" w:line="364" w:lineRule="auto"/>
        <w:jc w:val="both"/>
        <w:sectPr>
          <w:pgSz w:w="11910" w:h="16840"/>
          <w:pgMar w:header="0" w:footer="1172" w:top="1580" w:bottom="1440" w:left="1520" w:right="360"/>
        </w:sectPr>
      </w:pPr>
    </w:p>
    <w:p>
      <w:pPr>
        <w:pStyle w:val="BodyText"/>
        <w:spacing w:before="106"/>
      </w:pPr>
      <w:r>
        <w:rPr/>
        <w:t>联系人：杨晨</w:t>
      </w:r>
    </w:p>
    <w:p>
      <w:pPr>
        <w:pStyle w:val="BodyText"/>
        <w:spacing w:before="139"/>
      </w:pPr>
      <w:r>
        <w:rPr/>
        <w:t>联系电话：0512-63969209</w:t>
      </w:r>
    </w:p>
    <w:p>
      <w:pPr>
        <w:pStyle w:val="BodyText"/>
        <w:spacing w:line="364" w:lineRule="auto" w:before="140"/>
        <w:ind w:right="3431"/>
      </w:pPr>
      <w:r>
        <w:rPr/>
        <w:t>客户服务电话：96068（江苏省内</w:t>
      </w:r>
      <w:r>
        <w:rPr>
          <w:spacing w:val="-105"/>
        </w:rPr>
        <w:t>）</w:t>
      </w:r>
      <w:r>
        <w:rPr/>
        <w:t>、400-86-96068（江苏省外</w:t>
      </w:r>
      <w:r>
        <w:rPr>
          <w:spacing w:val="-18"/>
        </w:rPr>
        <w:t>） </w:t>
      </w:r>
      <w:r>
        <w:rPr/>
        <w:t>传真：0512-63969071</w:t>
      </w:r>
    </w:p>
    <w:p>
      <w:pPr>
        <w:pStyle w:val="BodyText"/>
        <w:spacing w:line="268" w:lineRule="exact"/>
      </w:pPr>
      <w:hyperlink r:id="rId78">
        <w:r>
          <w:rPr/>
          <w:t>网址：www.wjrcb.com</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苏州银行</w:t>
      </w:r>
    </w:p>
    <w:p>
      <w:pPr>
        <w:pStyle w:val="BodyText"/>
        <w:spacing w:line="364" w:lineRule="auto" w:before="140"/>
        <w:ind w:right="4901"/>
        <w:jc w:val="both"/>
      </w:pPr>
      <w:r>
        <w:rPr>
          <w:spacing w:val="-3"/>
        </w:rPr>
        <w:t>注册地址：江苏省苏州市工业园区钟园路 </w:t>
      </w:r>
      <w:r>
        <w:rPr/>
        <w:t>728</w:t>
      </w:r>
      <w:r>
        <w:rPr>
          <w:spacing w:val="-35"/>
        </w:rPr>
        <w:t> 号</w:t>
      </w:r>
      <w:r>
        <w:rPr>
          <w:spacing w:val="-3"/>
        </w:rPr>
        <w:t>办公地址：江苏省苏州市工业园区钟园路 </w:t>
      </w:r>
      <w:r>
        <w:rPr/>
        <w:t>728</w:t>
      </w:r>
      <w:r>
        <w:rPr>
          <w:spacing w:val="-35"/>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7316"/>
      </w:pPr>
      <w:r>
        <w:rPr/>
        <w:t>客户服务电话：96067 传真：0512-69868373</w:t>
      </w:r>
    </w:p>
    <w:p>
      <w:pPr>
        <w:pStyle w:val="BodyText"/>
        <w:spacing w:line="268" w:lineRule="exact"/>
      </w:pPr>
      <w:hyperlink r:id="rId79">
        <w:r>
          <w:rPr/>
          <w:t>网址：www.suzhoubank.com</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天津银行</w:t>
      </w:r>
    </w:p>
    <w:p>
      <w:pPr>
        <w:pStyle w:val="BodyText"/>
        <w:spacing w:line="364" w:lineRule="auto" w:before="139"/>
        <w:ind w:right="5846"/>
        <w:jc w:val="both"/>
      </w:pPr>
      <w:r>
        <w:rPr>
          <w:spacing w:val="-4"/>
        </w:rPr>
        <w:t>注册地址：天津市河西区友谊路 </w:t>
      </w:r>
      <w:r>
        <w:rPr/>
        <w:t>15</w:t>
      </w:r>
      <w:r>
        <w:rPr>
          <w:spacing w:val="-35"/>
        </w:rPr>
        <w:t> 号</w:t>
      </w:r>
      <w:r>
        <w:rPr>
          <w:spacing w:val="-4"/>
        </w:rPr>
        <w:t>办公地址：天津市河西区友谊路 </w:t>
      </w:r>
      <w:r>
        <w:rPr/>
        <w:t>15</w:t>
      </w:r>
      <w:r>
        <w:rPr>
          <w:spacing w:val="-35"/>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7211"/>
      </w:pPr>
      <w:r>
        <w:rPr/>
        <w:t>客户服务电话：956056 传真：022-28405631</w:t>
      </w:r>
    </w:p>
    <w:p>
      <w:pPr>
        <w:pStyle w:val="BodyText"/>
        <w:spacing w:line="268" w:lineRule="exact"/>
      </w:pPr>
      <w:hyperlink r:id="rId80">
        <w:r>
          <w:rPr/>
          <w:t>网址：www.bank-of-tianjin.com.cn</w:t>
        </w:r>
      </w:hyperlink>
    </w:p>
    <w:p>
      <w:pPr>
        <w:pStyle w:val="ListParagraph"/>
        <w:numPr>
          <w:ilvl w:val="0"/>
          <w:numId w:val="9"/>
        </w:numPr>
        <w:tabs>
          <w:tab w:pos="1134" w:val="left" w:leader="none"/>
        </w:tabs>
        <w:spacing w:line="240" w:lineRule="auto" w:before="140" w:after="0"/>
        <w:ind w:left="1134" w:right="0" w:hanging="421"/>
        <w:jc w:val="left"/>
        <w:rPr>
          <w:sz w:val="21"/>
        </w:rPr>
      </w:pPr>
      <w:r>
        <w:rPr>
          <w:sz w:val="21"/>
        </w:rPr>
        <w:t>威海市商业银行</w:t>
      </w:r>
    </w:p>
    <w:p>
      <w:pPr>
        <w:pStyle w:val="BodyText"/>
        <w:spacing w:before="139"/>
      </w:pPr>
      <w:r>
        <w:rPr/>
        <w:t>注册地址：威海市宝泉路 9 号</w:t>
      </w:r>
    </w:p>
    <w:p>
      <w:pPr>
        <w:pStyle w:val="BodyText"/>
        <w:spacing w:line="364" w:lineRule="auto" w:before="140"/>
        <w:ind w:right="5741"/>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39"/>
      </w:pPr>
      <w:hyperlink r:id="rId81">
        <w:r>
          <w:rPr/>
          <w:t>网址：www.whccb.com</w:t>
        </w:r>
      </w:hyperlink>
      <w:r>
        <w:rPr/>
        <w:t>，</w:t>
      </w:r>
      <w:hyperlink r:id="rId82">
        <w:r>
          <w:rPr/>
          <w:t>www.whccb.com.cn</w:t>
        </w:r>
      </w:hyperlink>
    </w:p>
    <w:p>
      <w:pPr>
        <w:pStyle w:val="ListParagraph"/>
        <w:numPr>
          <w:ilvl w:val="0"/>
          <w:numId w:val="9"/>
        </w:numPr>
        <w:tabs>
          <w:tab w:pos="1134" w:val="left" w:leader="none"/>
        </w:tabs>
        <w:spacing w:line="240" w:lineRule="auto" w:before="140" w:after="0"/>
        <w:ind w:left="1134" w:right="0" w:hanging="421"/>
        <w:jc w:val="left"/>
        <w:rPr>
          <w:sz w:val="21"/>
        </w:rPr>
      </w:pPr>
      <w:r>
        <w:rPr>
          <w:sz w:val="21"/>
        </w:rPr>
        <w:t>微众银行</w:t>
      </w:r>
    </w:p>
    <w:p>
      <w:pPr>
        <w:spacing w:after="0" w:line="240" w:lineRule="auto"/>
        <w:jc w:val="left"/>
        <w:rPr>
          <w:sz w:val="21"/>
        </w:rPr>
        <w:sectPr>
          <w:pgSz w:w="11910" w:h="16840"/>
          <w:pgMar w:header="0" w:footer="1172" w:top="1580" w:bottom="1440" w:left="1520" w:right="360"/>
        </w:sectPr>
      </w:pPr>
    </w:p>
    <w:p>
      <w:pPr>
        <w:pStyle w:val="BodyText"/>
        <w:spacing w:line="364" w:lineRule="auto" w:before="106"/>
        <w:ind w:left="293" w:right="936" w:firstLine="420"/>
      </w:pPr>
      <w:r>
        <w:rPr>
          <w:spacing w:val="1"/>
        </w:rPr>
        <w:t>注册地址：深圳市前海深港合作区前湾一路 </w:t>
      </w:r>
      <w:r>
        <w:rPr/>
        <w:t>1</w:t>
      </w:r>
      <w:r>
        <w:rPr>
          <w:spacing w:val="-34"/>
        </w:rPr>
        <w:t> 号 </w:t>
      </w:r>
      <w:r>
        <w:rPr/>
        <w:t>A</w:t>
      </w:r>
      <w:r>
        <w:rPr>
          <w:spacing w:val="-34"/>
        </w:rPr>
        <w:t> 栋 </w:t>
      </w:r>
      <w:r>
        <w:rPr/>
        <w:t>201</w:t>
      </w:r>
      <w:r>
        <w:rPr>
          <w:spacing w:val="-24"/>
        </w:rPr>
        <w:t> 室</w:t>
      </w:r>
      <w:r>
        <w:rPr>
          <w:spacing w:val="5"/>
        </w:rPr>
        <w:t>（</w:t>
      </w:r>
      <w:r>
        <w:rPr>
          <w:spacing w:val="4"/>
        </w:rPr>
        <w:t>入驻深圳市前海商务秘书有限公司）</w:t>
      </w:r>
    </w:p>
    <w:p>
      <w:pPr>
        <w:pStyle w:val="BodyText"/>
        <w:spacing w:line="364" w:lineRule="auto"/>
        <w:ind w:right="2276"/>
      </w:pPr>
      <w:r>
        <w:rPr>
          <w:spacing w:val="-3"/>
        </w:rPr>
        <w:t>办公地址：广东省深圳市南山区沙河西路 </w:t>
      </w:r>
      <w:r>
        <w:rPr/>
        <w:t>1819</w:t>
      </w:r>
      <w:r>
        <w:rPr>
          <w:spacing w:val="-13"/>
        </w:rPr>
        <w:t> 号深圳湾科技生态园 </w:t>
      </w:r>
      <w:r>
        <w:rPr/>
        <w:t>7</w:t>
      </w:r>
      <w:r>
        <w:rPr>
          <w:spacing w:val="-36"/>
        </w:rPr>
        <w:t> 栋 </w:t>
      </w:r>
      <w:r>
        <w:rPr/>
        <w:t>A</w:t>
      </w:r>
      <w:r>
        <w:rPr>
          <w:spacing w:val="-34"/>
        </w:rPr>
        <w:t> 座</w:t>
      </w:r>
      <w:r>
        <w:rPr/>
        <w:t>法定代表人：顾敏</w:t>
      </w:r>
    </w:p>
    <w:p>
      <w:pPr>
        <w:pStyle w:val="BodyText"/>
        <w:spacing w:line="268" w:lineRule="exact"/>
      </w:pPr>
      <w:r>
        <w:rPr/>
        <w:t>客户服务电话：95384</w:t>
      </w:r>
    </w:p>
    <w:p>
      <w:pPr>
        <w:pStyle w:val="BodyText"/>
        <w:spacing w:before="138"/>
      </w:pPr>
      <w:hyperlink r:id="rId83">
        <w:r>
          <w:rPr/>
          <w:t>网址：http://www.webank.com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潍坊银行</w:t>
      </w:r>
    </w:p>
    <w:p>
      <w:pPr>
        <w:pStyle w:val="BodyText"/>
        <w:spacing w:line="364" w:lineRule="auto" w:before="139"/>
        <w:ind w:right="4796"/>
        <w:jc w:val="both"/>
      </w:pPr>
      <w:r>
        <w:rPr>
          <w:spacing w:val="-3"/>
        </w:rPr>
        <w:t>注册地址：山东省潍坊市奎文区胜利东街 </w:t>
      </w:r>
      <w:r>
        <w:rPr/>
        <w:t>5139</w:t>
      </w:r>
      <w:r>
        <w:rPr>
          <w:spacing w:val="-35"/>
        </w:rPr>
        <w:t> 号</w:t>
      </w:r>
      <w:r>
        <w:rPr>
          <w:spacing w:val="-3"/>
        </w:rPr>
        <w:t>办公地址：山东省潍坊市奎文区胜利东街 </w:t>
      </w:r>
      <w:r>
        <w:rPr/>
        <w:t>5139</w:t>
      </w:r>
      <w:r>
        <w:rPr>
          <w:spacing w:val="-35"/>
        </w:rPr>
        <w:t> 号</w:t>
      </w:r>
      <w:r>
        <w:rPr/>
        <w:t>法定代表人：郭虎英</w:t>
      </w:r>
    </w:p>
    <w:p>
      <w:pPr>
        <w:pStyle w:val="BodyText"/>
        <w:spacing w:line="268" w:lineRule="exact"/>
      </w:pPr>
      <w:r>
        <w:rPr/>
        <w:t>联系人：井靖</w:t>
      </w:r>
    </w:p>
    <w:p>
      <w:pPr>
        <w:pStyle w:val="BodyText"/>
        <w:spacing w:before="140"/>
      </w:pPr>
      <w:r>
        <w:rPr/>
        <w:t>联系电话：0536-8051904</w:t>
      </w:r>
    </w:p>
    <w:p>
      <w:pPr>
        <w:pStyle w:val="BodyText"/>
        <w:spacing w:line="364" w:lineRule="auto" w:before="139"/>
        <w:ind w:right="6581"/>
      </w:pPr>
      <w:r>
        <w:rPr/>
        <w:t>客户服务电话</w:t>
      </w:r>
      <w:r>
        <w:rPr>
          <w:spacing w:val="-2"/>
        </w:rPr>
        <w:t>：400-61-96588 </w:t>
      </w:r>
      <w:r>
        <w:rPr/>
        <w:t>传真：0536-8056061</w:t>
      </w:r>
    </w:p>
    <w:p>
      <w:pPr>
        <w:pStyle w:val="BodyText"/>
        <w:spacing w:line="268" w:lineRule="exact"/>
      </w:pPr>
      <w:hyperlink r:id="rId84">
        <w:r>
          <w:rPr/>
          <w:t>网址：www.wfccb.com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乌鲁木齐银行</w:t>
      </w:r>
    </w:p>
    <w:p>
      <w:pPr>
        <w:pStyle w:val="BodyText"/>
        <w:spacing w:line="364" w:lineRule="auto" w:before="139"/>
        <w:ind w:right="1646"/>
        <w:jc w:val="both"/>
      </w:pPr>
      <w:r>
        <w:rPr>
          <w:spacing w:val="-3"/>
        </w:rPr>
        <w:t>注册地址：新疆乌鲁木齐市水磨沟区会展大道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spacing w:val="-3"/>
        </w:rPr>
        <w:t>办公地址：新疆乌鲁木齐市水磨沟区会展大道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t>法定代表人：任思宇</w:t>
      </w:r>
    </w:p>
    <w:p>
      <w:pPr>
        <w:pStyle w:val="BodyText"/>
        <w:spacing w:line="268" w:lineRule="exact"/>
      </w:pPr>
      <w:r>
        <w:rPr/>
        <w:t>联系人：王小培</w:t>
      </w:r>
    </w:p>
    <w:p>
      <w:pPr>
        <w:pStyle w:val="BodyText"/>
        <w:spacing w:before="140"/>
      </w:pPr>
      <w:r>
        <w:rPr/>
        <w:t>联系电话：0991-4500319</w:t>
      </w:r>
    </w:p>
    <w:p>
      <w:pPr>
        <w:pStyle w:val="BodyText"/>
        <w:spacing w:line="364" w:lineRule="auto" w:before="139"/>
        <w:ind w:right="6791"/>
      </w:pPr>
      <w:r>
        <w:rPr/>
        <w:t>客户服务电话：0991-96518 传真：0991-8824667</w:t>
      </w:r>
    </w:p>
    <w:p>
      <w:pPr>
        <w:pStyle w:val="BodyText"/>
        <w:spacing w:line="268" w:lineRule="exact"/>
      </w:pPr>
      <w:hyperlink r:id="rId85">
        <w:r>
          <w:rPr/>
          <w:t>网址：www.uccb.com.cn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厦门银行</w:t>
      </w:r>
    </w:p>
    <w:p>
      <w:pPr>
        <w:pStyle w:val="BodyText"/>
        <w:spacing w:line="364" w:lineRule="auto" w:before="140"/>
        <w:ind w:right="4271"/>
        <w:jc w:val="both"/>
      </w:pPr>
      <w:r>
        <w:rPr>
          <w:spacing w:val="-4"/>
        </w:rPr>
        <w:t>注册地址：厦门市思明区湖滨北路 </w:t>
      </w:r>
      <w:r>
        <w:rPr/>
        <w:t>101</w:t>
      </w:r>
      <w:r>
        <w:rPr>
          <w:spacing w:val="-10"/>
        </w:rPr>
        <w:t> 号商业银行大厦</w:t>
      </w:r>
      <w:r>
        <w:rPr>
          <w:spacing w:val="-4"/>
        </w:rPr>
        <w:t>办公地址：厦门市思明区湖滨北路 </w:t>
      </w:r>
      <w:r>
        <w:rPr/>
        <w:t>101</w:t>
      </w:r>
      <w:r>
        <w:rPr>
          <w:spacing w:val="-10"/>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6581"/>
      </w:pPr>
      <w:r>
        <w:rPr/>
        <w:t>客户服务电话：400-858-8888 传真：0592-5373973</w:t>
      </w:r>
    </w:p>
    <w:p>
      <w:pPr>
        <w:pStyle w:val="BodyText"/>
        <w:spacing w:line="268" w:lineRule="exact"/>
      </w:pPr>
      <w:hyperlink r:id="rId86">
        <w:r>
          <w:rPr/>
          <w:t>网址：www.xmbankonline.com</w:t>
        </w:r>
      </w:hyperlink>
    </w:p>
    <w:p>
      <w:pPr>
        <w:spacing w:after="0" w:line="268" w:lineRule="exact"/>
        <w:sectPr>
          <w:pgSz w:w="11910" w:h="16840"/>
          <w:pgMar w:header="0" w:footer="1172" w:top="1580" w:bottom="1440" w:left="1520" w:right="360"/>
        </w:sectPr>
      </w:pPr>
    </w:p>
    <w:p>
      <w:pPr>
        <w:pStyle w:val="ListParagraph"/>
        <w:numPr>
          <w:ilvl w:val="0"/>
          <w:numId w:val="9"/>
        </w:numPr>
        <w:tabs>
          <w:tab w:pos="1134" w:val="left" w:leader="none"/>
        </w:tabs>
        <w:spacing w:line="240" w:lineRule="auto" w:before="106" w:after="0"/>
        <w:ind w:left="1134" w:right="0" w:hanging="421"/>
        <w:jc w:val="both"/>
        <w:rPr>
          <w:sz w:val="21"/>
        </w:rPr>
      </w:pPr>
      <w:r>
        <w:rPr>
          <w:sz w:val="21"/>
        </w:rPr>
        <w:t>西安银行</w:t>
      </w:r>
    </w:p>
    <w:p>
      <w:pPr>
        <w:pStyle w:val="BodyText"/>
        <w:spacing w:line="364" w:lineRule="auto" w:before="139"/>
        <w:ind w:right="6476"/>
        <w:jc w:val="both"/>
      </w:pPr>
      <w:r>
        <w:rPr>
          <w:spacing w:val="-5"/>
        </w:rPr>
        <w:t>注册地址：西安市高新路 </w:t>
      </w:r>
      <w:r>
        <w:rPr/>
        <w:t>60</w:t>
      </w:r>
      <w:r>
        <w:rPr>
          <w:spacing w:val="-35"/>
        </w:rPr>
        <w:t> 号</w:t>
      </w:r>
      <w:r>
        <w:rPr>
          <w:spacing w:val="-5"/>
        </w:rPr>
        <w:t>办公地址：西安市高新路 </w:t>
      </w:r>
      <w:r>
        <w:rPr/>
        <w:t>60</w:t>
      </w:r>
      <w:r>
        <w:rPr>
          <w:spacing w:val="-35"/>
        </w:rPr>
        <w:t> 号</w:t>
      </w:r>
      <w:r>
        <w:rPr/>
        <w:t>法定代表人：郭军</w:t>
      </w:r>
    </w:p>
    <w:p>
      <w:pPr>
        <w:pStyle w:val="BodyText"/>
        <w:spacing w:line="268" w:lineRule="exact"/>
      </w:pPr>
      <w:r>
        <w:rPr/>
        <w:t>联系人：白智</w:t>
      </w:r>
    </w:p>
    <w:p>
      <w:pPr>
        <w:pStyle w:val="BodyText"/>
        <w:spacing w:before="140"/>
      </w:pPr>
      <w:r>
        <w:rPr/>
        <w:t>联系电话：029-88992881</w:t>
      </w:r>
    </w:p>
    <w:p>
      <w:pPr>
        <w:pStyle w:val="BodyText"/>
        <w:spacing w:line="364" w:lineRule="auto" w:before="139"/>
        <w:ind w:right="4376"/>
      </w:pPr>
      <w:r>
        <w:rPr/>
        <w:t>客户服务电话：40086-96779（全国</w:t>
      </w:r>
      <w:r>
        <w:rPr>
          <w:spacing w:val="-105"/>
        </w:rPr>
        <w:t>）</w:t>
      </w:r>
      <w:r>
        <w:rPr/>
        <w:t>、96779（陕西</w:t>
      </w:r>
      <w:r>
        <w:rPr>
          <w:spacing w:val="-18"/>
        </w:rPr>
        <w:t>） </w:t>
      </w:r>
      <w:hyperlink r:id="rId87">
        <w:r>
          <w:rPr/>
          <w:t>网址：www.xacbank.com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萧山农商银行</w:t>
      </w:r>
    </w:p>
    <w:p>
      <w:pPr>
        <w:pStyle w:val="BodyText"/>
        <w:spacing w:before="140"/>
      </w:pPr>
      <w:r>
        <w:rPr/>
        <w:t>注册地址：萧山区人民路 258 号</w:t>
      </w:r>
    </w:p>
    <w:p>
      <w:pPr>
        <w:pStyle w:val="BodyText"/>
        <w:spacing w:line="364" w:lineRule="auto" w:before="139"/>
        <w:ind w:right="5111"/>
      </w:pPr>
      <w:r>
        <w:rPr>
          <w:spacing w:val="-3"/>
        </w:rPr>
        <w:t>办公地址：浙江省杭州市萧山区人民路 </w:t>
      </w:r>
      <w:r>
        <w:rPr/>
        <w:t>258</w:t>
      </w:r>
      <w:r>
        <w:rPr>
          <w:spacing w:val="-35"/>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pStyle w:val="BodyText"/>
        <w:spacing w:before="139"/>
      </w:pPr>
      <w:hyperlink r:id="rId88">
        <w:r>
          <w:rPr/>
          <w:t>网址：http://www.zjxsbank.com/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新昌农商银行</w:t>
      </w:r>
    </w:p>
    <w:p>
      <w:pPr>
        <w:pStyle w:val="BodyText"/>
        <w:spacing w:line="364" w:lineRule="auto" w:before="139"/>
        <w:ind w:right="4376"/>
        <w:jc w:val="both"/>
      </w:pPr>
      <w:r>
        <w:rPr>
          <w:spacing w:val="-3"/>
        </w:rPr>
        <w:t>注册地址：浙江省绍兴市新昌县七星街道七星路 </w:t>
      </w:r>
      <w:r>
        <w:rPr/>
        <w:t>18</w:t>
      </w:r>
      <w:r>
        <w:rPr>
          <w:spacing w:val="-35"/>
        </w:rPr>
        <w:t> 号</w:t>
      </w:r>
      <w:r>
        <w:rPr>
          <w:spacing w:val="-3"/>
        </w:rPr>
        <w:t>办公地址：浙江省绍兴市新昌县七星街道七星路 </w:t>
      </w:r>
      <w:r>
        <w:rPr/>
        <w:t>18</w:t>
      </w:r>
      <w:r>
        <w:rPr>
          <w:spacing w:val="-35"/>
        </w:rPr>
        <w:t> 号</w:t>
      </w:r>
      <w:r>
        <w:rPr/>
        <w:t>法定代表人：陆斌</w:t>
      </w:r>
    </w:p>
    <w:p>
      <w:pPr>
        <w:pStyle w:val="BodyText"/>
        <w:spacing w:line="268" w:lineRule="exact"/>
      </w:pPr>
      <w:r>
        <w:rPr/>
        <w:t>联系人：陈春华</w:t>
      </w:r>
    </w:p>
    <w:p>
      <w:pPr>
        <w:pStyle w:val="BodyText"/>
        <w:spacing w:before="140"/>
      </w:pPr>
      <w:r>
        <w:rPr/>
        <w:t>联系电话：0575-86266991</w:t>
      </w:r>
    </w:p>
    <w:p>
      <w:pPr>
        <w:pStyle w:val="BodyText"/>
        <w:spacing w:line="364" w:lineRule="auto" w:before="139"/>
        <w:ind w:right="5741"/>
      </w:pPr>
      <w:r>
        <w:rPr/>
        <w:t>客户服务电话：96596、0575-86266928 传真：0575-86383121</w:t>
      </w:r>
    </w:p>
    <w:p>
      <w:pPr>
        <w:pStyle w:val="BodyText"/>
        <w:spacing w:line="268" w:lineRule="exact"/>
      </w:pPr>
      <w:hyperlink r:id="rId89">
        <w:r>
          <w:rPr/>
          <w:t>网址：http://xcbank.com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烟台银行</w:t>
      </w:r>
    </w:p>
    <w:p>
      <w:pPr>
        <w:pStyle w:val="BodyText"/>
        <w:spacing w:line="364" w:lineRule="auto" w:before="139"/>
        <w:ind w:right="5216"/>
        <w:jc w:val="both"/>
      </w:pPr>
      <w:r>
        <w:rPr>
          <w:spacing w:val="-3"/>
        </w:rPr>
        <w:t>注册地址：山东省烟台市芝罘区海港路 </w:t>
      </w:r>
      <w:r>
        <w:rPr/>
        <w:t>25</w:t>
      </w:r>
      <w:r>
        <w:rPr>
          <w:spacing w:val="-35"/>
        </w:rPr>
        <w:t> 号</w:t>
      </w:r>
      <w:r>
        <w:rPr>
          <w:spacing w:val="-3"/>
        </w:rPr>
        <w:t>办公地址：山东省烟台市芝罘区海港路 </w:t>
      </w:r>
      <w:r>
        <w:rPr/>
        <w:t>25</w:t>
      </w:r>
      <w:r>
        <w:rPr>
          <w:spacing w:val="-35"/>
        </w:rPr>
        <w:t> 号</w:t>
      </w:r>
      <w:r>
        <w:rPr/>
        <w:t>法定代表人：吴明理</w:t>
      </w:r>
    </w:p>
    <w:p>
      <w:pPr>
        <w:pStyle w:val="BodyText"/>
        <w:spacing w:line="268" w:lineRule="exact"/>
      </w:pPr>
      <w:r>
        <w:rPr/>
        <w:t>联系人：张卓智</w:t>
      </w:r>
    </w:p>
    <w:p>
      <w:pPr>
        <w:pStyle w:val="BodyText"/>
        <w:spacing w:before="140"/>
      </w:pPr>
      <w:r>
        <w:rPr/>
        <w:t>联系电话：0535-6699671</w:t>
      </w:r>
    </w:p>
    <w:p>
      <w:pPr>
        <w:pStyle w:val="BodyText"/>
        <w:spacing w:line="364" w:lineRule="auto" w:before="139"/>
        <w:ind w:right="6581"/>
      </w:pPr>
      <w:r>
        <w:rPr/>
        <w:t>客户服务电话：4008-311-777 传真：0535-6699884</w:t>
      </w:r>
    </w:p>
    <w:p>
      <w:pPr>
        <w:spacing w:after="0" w:line="364" w:lineRule="auto"/>
        <w:sectPr>
          <w:pgSz w:w="11910" w:h="16840"/>
          <w:pgMar w:header="0" w:footer="1172" w:top="1580" w:bottom="1440" w:left="1520" w:right="360"/>
        </w:sectPr>
      </w:pPr>
    </w:p>
    <w:p>
      <w:pPr>
        <w:pStyle w:val="BodyText"/>
        <w:spacing w:before="106"/>
      </w:pPr>
      <w:hyperlink r:id="rId90">
        <w:r>
          <w:rPr/>
          <w:t>网址：www.yantaibank.net</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鄞州银行</w:t>
      </w:r>
    </w:p>
    <w:p>
      <w:pPr>
        <w:pStyle w:val="BodyText"/>
        <w:spacing w:line="364" w:lineRule="auto" w:before="140"/>
        <w:ind w:right="5636"/>
        <w:jc w:val="both"/>
      </w:pPr>
      <w:r>
        <w:rPr>
          <w:spacing w:val="-4"/>
        </w:rPr>
        <w:t>注册地址：宁波市鄞州区民惠西路 </w:t>
      </w:r>
      <w:r>
        <w:rPr/>
        <w:t>88</w:t>
      </w:r>
      <w:r>
        <w:rPr>
          <w:spacing w:val="-35"/>
        </w:rPr>
        <w:t> 号</w:t>
      </w:r>
      <w:r>
        <w:rPr>
          <w:spacing w:val="-4"/>
        </w:rPr>
        <w:t>办公地址：宁波市鄞州区民惠西路 </w:t>
      </w:r>
      <w:r>
        <w:rPr/>
        <w:t>88</w:t>
      </w:r>
      <w:r>
        <w:rPr>
          <w:spacing w:val="-35"/>
        </w:rPr>
        <w:t> 号</w:t>
      </w:r>
      <w:r>
        <w:rPr/>
        <w:t>法定代表人：周建斌</w:t>
      </w:r>
    </w:p>
    <w:p>
      <w:pPr>
        <w:pStyle w:val="BodyText"/>
        <w:spacing w:line="268" w:lineRule="exact"/>
      </w:pPr>
      <w:r>
        <w:rPr/>
        <w:t>联系人：朱霓虹</w:t>
      </w:r>
    </w:p>
    <w:p>
      <w:pPr>
        <w:pStyle w:val="BodyText"/>
        <w:spacing w:before="139"/>
      </w:pPr>
      <w:r>
        <w:rPr/>
        <w:t>联系电话：0574-87412569</w:t>
      </w:r>
    </w:p>
    <w:p>
      <w:pPr>
        <w:pStyle w:val="BodyText"/>
        <w:spacing w:line="364" w:lineRule="auto" w:before="140"/>
        <w:ind w:right="7106"/>
      </w:pPr>
      <w:r>
        <w:rPr/>
        <w:t>客户服务电话：956058 </w:t>
      </w:r>
      <w:hyperlink r:id="rId91">
        <w:r>
          <w:rPr/>
          <w:t>网址：www.beeb.com.cn</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余杭农村商业银行</w:t>
      </w:r>
    </w:p>
    <w:p>
      <w:pPr>
        <w:pStyle w:val="BodyText"/>
        <w:spacing w:line="364" w:lineRule="auto" w:before="139"/>
        <w:ind w:right="5006"/>
        <w:jc w:val="both"/>
      </w:pPr>
      <w:r>
        <w:rPr>
          <w:spacing w:val="-3"/>
        </w:rPr>
        <w:t>注册地址：杭州市余杭区南苑街道南大街 </w:t>
      </w:r>
      <w:r>
        <w:rPr/>
        <w:t>72</w:t>
      </w:r>
      <w:r>
        <w:rPr>
          <w:spacing w:val="-35"/>
        </w:rPr>
        <w:t> 号</w:t>
      </w:r>
      <w:r>
        <w:rPr>
          <w:spacing w:val="-3"/>
        </w:rPr>
        <w:t>办公地址：杭州市余杭区南苑街道南大街 </w:t>
      </w:r>
      <w:r>
        <w:rPr/>
        <w:t>72</w:t>
      </w:r>
      <w:r>
        <w:rPr>
          <w:spacing w:val="-35"/>
        </w:rPr>
        <w:t> 号</w:t>
      </w:r>
      <w:r>
        <w:rPr/>
        <w:t>法定代表人：来煜标</w:t>
      </w:r>
    </w:p>
    <w:p>
      <w:pPr>
        <w:pStyle w:val="BodyText"/>
        <w:spacing w:line="268" w:lineRule="exact"/>
      </w:pPr>
      <w:r>
        <w:rPr/>
        <w:t>联系人：蔡亮</w:t>
      </w:r>
    </w:p>
    <w:p>
      <w:pPr>
        <w:pStyle w:val="BodyText"/>
        <w:spacing w:before="140"/>
      </w:pPr>
      <w:r>
        <w:rPr/>
        <w:t>联系电话：0571-86209980</w:t>
      </w:r>
    </w:p>
    <w:p>
      <w:pPr>
        <w:pStyle w:val="BodyText"/>
        <w:spacing w:line="364" w:lineRule="auto" w:before="139"/>
        <w:ind w:right="6056"/>
      </w:pPr>
      <w:r>
        <w:rPr/>
        <w:t>客户服务电话：96596，4008896596 </w:t>
      </w:r>
      <w:hyperlink r:id="rId92">
        <w:r>
          <w:rPr/>
          <w:t>网址：www.yhrcb.com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4481"/>
      </w:pPr>
      <w:r>
        <w:rPr>
          <w:spacing w:val="-3"/>
        </w:rPr>
        <w:t>办公地址：云南省昆明市盘龙区世博路低碳中心 </w:t>
      </w:r>
      <w:r>
        <w:rPr/>
        <w:t>A</w:t>
      </w:r>
      <w:r>
        <w:rPr>
          <w:spacing w:val="-35"/>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40"/>
        <w:ind w:right="6791"/>
      </w:pPr>
      <w:r>
        <w:rPr>
          <w:spacing w:val="-1"/>
        </w:rPr>
        <w:t>客户服务电话</w:t>
      </w:r>
      <w:r>
        <w:rPr/>
        <w:t>：0877-96522 </w:t>
      </w:r>
      <w:hyperlink r:id="rId93">
        <w:r>
          <w:rPr/>
          <w:t>网址：www.ynhtbank.com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浙江稠州商业银行</w:t>
      </w:r>
    </w:p>
    <w:p>
      <w:pPr>
        <w:pStyle w:val="BodyText"/>
        <w:spacing w:line="364" w:lineRule="auto" w:before="139"/>
        <w:ind w:right="4901"/>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6791"/>
      </w:pPr>
      <w:r>
        <w:rPr/>
        <w:t>客户服务电话：0571-96527 传真：0571-87117607</w:t>
      </w:r>
    </w:p>
    <w:p>
      <w:pPr>
        <w:spacing w:after="0" w:line="364" w:lineRule="auto"/>
        <w:sectPr>
          <w:pgSz w:w="11910" w:h="16840"/>
          <w:pgMar w:header="0" w:footer="1172" w:top="1580" w:bottom="1440" w:left="1520" w:right="360"/>
        </w:sectPr>
      </w:pPr>
    </w:p>
    <w:p>
      <w:pPr>
        <w:pStyle w:val="BodyText"/>
        <w:spacing w:before="106"/>
      </w:pPr>
      <w:hyperlink r:id="rId94">
        <w:r>
          <w:rPr/>
          <w:t>网址：http://www.czcb.com.cn/</w:t>
        </w:r>
      </w:hyperlink>
    </w:p>
    <w:p>
      <w:pPr>
        <w:pStyle w:val="ListParagraph"/>
        <w:numPr>
          <w:ilvl w:val="0"/>
          <w:numId w:val="9"/>
        </w:numPr>
        <w:tabs>
          <w:tab w:pos="1134" w:val="left" w:leader="none"/>
        </w:tabs>
        <w:spacing w:line="240" w:lineRule="auto" w:before="139" w:after="0"/>
        <w:ind w:left="1134" w:right="0" w:hanging="421"/>
        <w:jc w:val="both"/>
        <w:rPr>
          <w:sz w:val="21"/>
        </w:rPr>
      </w:pPr>
      <w:r>
        <w:rPr>
          <w:sz w:val="21"/>
        </w:rPr>
        <w:t>浙江泰隆商业银行</w:t>
      </w:r>
    </w:p>
    <w:p>
      <w:pPr>
        <w:pStyle w:val="BodyText"/>
        <w:spacing w:line="364" w:lineRule="auto" w:before="140"/>
        <w:ind w:right="4901"/>
        <w:jc w:val="both"/>
      </w:pPr>
      <w:r>
        <w:rPr>
          <w:spacing w:val="-3"/>
        </w:rPr>
        <w:t>注册地址：浙江省台州市路桥区南官大道 </w:t>
      </w:r>
      <w:r>
        <w:rPr/>
        <w:t>188</w:t>
      </w:r>
      <w:r>
        <w:rPr>
          <w:spacing w:val="-35"/>
        </w:rPr>
        <w:t> 号</w:t>
      </w:r>
      <w:r>
        <w:rPr>
          <w:spacing w:val="-3"/>
        </w:rPr>
        <w:t>办公地址：浙江省台州市路桥区南官大道 </w:t>
      </w:r>
      <w:r>
        <w:rPr/>
        <w:t>188</w:t>
      </w:r>
      <w:r>
        <w:rPr>
          <w:spacing w:val="-35"/>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7211"/>
      </w:pPr>
      <w:r>
        <w:rPr/>
        <w:t>客户服务电话：95347 </w:t>
      </w:r>
      <w:hyperlink r:id="rId95">
        <w:r>
          <w:rPr/>
          <w:t>网址：www.zjtlcb.com</w:t>
        </w:r>
      </w:hyperlink>
    </w:p>
    <w:p>
      <w:pPr>
        <w:pStyle w:val="ListParagraph"/>
        <w:numPr>
          <w:ilvl w:val="0"/>
          <w:numId w:val="9"/>
        </w:numPr>
        <w:tabs>
          <w:tab w:pos="1134" w:val="left" w:leader="none"/>
        </w:tabs>
        <w:spacing w:line="268" w:lineRule="exact" w:before="0" w:after="0"/>
        <w:ind w:left="1134" w:right="0" w:hanging="421"/>
        <w:jc w:val="left"/>
        <w:rPr>
          <w:sz w:val="21"/>
        </w:rPr>
      </w:pPr>
      <w:r>
        <w:rPr>
          <w:sz w:val="21"/>
        </w:rPr>
        <w:t>中原银行</w:t>
      </w:r>
    </w:p>
    <w:p>
      <w:pPr>
        <w:pStyle w:val="BodyText"/>
        <w:spacing w:line="364" w:lineRule="auto" w:before="139"/>
        <w:ind w:right="2906"/>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tabs>
          <w:tab w:pos="2393" w:val="left" w:leader="none"/>
        </w:tabs>
        <w:spacing w:line="364" w:lineRule="auto"/>
        <w:ind w:right="5216"/>
      </w:pPr>
      <w:r>
        <w:rPr/>
        <w:t>联系人：张星强</w:t>
        <w:tab/>
      </w:r>
      <w:r>
        <w:rPr>
          <w:spacing w:val="-1"/>
        </w:rPr>
        <w:t>联系</w:t>
      </w:r>
      <w:r>
        <w:rPr/>
        <w:t>电话：0371-85517713 客户服务电话：95186</w:t>
      </w:r>
    </w:p>
    <w:p>
      <w:pPr>
        <w:pStyle w:val="BodyText"/>
        <w:spacing w:line="268" w:lineRule="exact"/>
      </w:pPr>
      <w:hyperlink r:id="rId96">
        <w:r>
          <w:rPr/>
          <w:t>网址：www.zybank.com.cn</w:t>
        </w:r>
      </w:hyperlink>
    </w:p>
    <w:p>
      <w:pPr>
        <w:pStyle w:val="ListParagraph"/>
        <w:numPr>
          <w:ilvl w:val="0"/>
          <w:numId w:val="9"/>
        </w:numPr>
        <w:tabs>
          <w:tab w:pos="1134" w:val="left" w:leader="none"/>
        </w:tabs>
        <w:spacing w:line="240" w:lineRule="auto" w:before="138" w:after="0"/>
        <w:ind w:left="1134" w:right="0" w:hanging="421"/>
        <w:jc w:val="both"/>
        <w:rPr>
          <w:sz w:val="21"/>
        </w:rPr>
      </w:pPr>
      <w:r>
        <w:rPr>
          <w:sz w:val="21"/>
        </w:rPr>
        <w:t>重庆农村商业银行</w:t>
      </w:r>
    </w:p>
    <w:p>
      <w:pPr>
        <w:pStyle w:val="BodyText"/>
        <w:spacing w:line="364" w:lineRule="auto" w:before="140"/>
        <w:ind w:right="5636"/>
        <w:jc w:val="both"/>
      </w:pPr>
      <w:r>
        <w:rPr>
          <w:spacing w:val="-4"/>
        </w:rPr>
        <w:t>注册地址：重庆市江北区金沙门路 </w:t>
      </w:r>
      <w:r>
        <w:rPr/>
        <w:t>36</w:t>
      </w:r>
      <w:r>
        <w:rPr>
          <w:spacing w:val="-35"/>
        </w:rPr>
        <w:t> 号</w:t>
      </w:r>
      <w:r>
        <w:rPr>
          <w:spacing w:val="-4"/>
        </w:rPr>
        <w:t>办公地址：重庆市江北区金沙门路 </w:t>
      </w:r>
      <w:r>
        <w:rPr/>
        <w:t>36</w:t>
      </w:r>
      <w:r>
        <w:rPr>
          <w:spacing w:val="-35"/>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39"/>
        <w:ind w:right="7316"/>
      </w:pPr>
      <w:r>
        <w:rPr/>
        <w:t>客户服务电话</w:t>
      </w:r>
      <w:r>
        <w:rPr>
          <w:spacing w:val="-3"/>
        </w:rPr>
        <w:t>：95389 </w:t>
      </w:r>
      <w:r>
        <w:rPr/>
        <w:t>传真：023-61110146</w:t>
      </w:r>
    </w:p>
    <w:p>
      <w:pPr>
        <w:pStyle w:val="BodyText"/>
        <w:spacing w:line="268" w:lineRule="exact"/>
      </w:pPr>
      <w:hyperlink r:id="rId97">
        <w:r>
          <w:rPr/>
          <w:t>网址：www.cqrcb.com</w:t>
        </w:r>
      </w:hyperlink>
    </w:p>
    <w:p>
      <w:pPr>
        <w:pStyle w:val="ListParagraph"/>
        <w:numPr>
          <w:ilvl w:val="0"/>
          <w:numId w:val="9"/>
        </w:numPr>
        <w:tabs>
          <w:tab w:pos="1134" w:val="left" w:leader="none"/>
        </w:tabs>
        <w:spacing w:line="240" w:lineRule="auto" w:before="140" w:after="0"/>
        <w:ind w:left="1134" w:right="0" w:hanging="421"/>
        <w:jc w:val="both"/>
        <w:rPr>
          <w:sz w:val="21"/>
        </w:rPr>
      </w:pPr>
      <w:r>
        <w:rPr>
          <w:sz w:val="21"/>
        </w:rPr>
        <w:t>重庆银行</w:t>
      </w:r>
    </w:p>
    <w:p>
      <w:pPr>
        <w:pStyle w:val="BodyText"/>
        <w:spacing w:line="364" w:lineRule="auto" w:before="139"/>
        <w:ind w:right="5741"/>
        <w:jc w:val="both"/>
      </w:pPr>
      <w:r>
        <w:rPr>
          <w:spacing w:val="-4"/>
        </w:rPr>
        <w:t>注册地址：重庆市渝中区邹容路 </w:t>
      </w:r>
      <w:r>
        <w:rPr/>
        <w:t>153</w:t>
      </w:r>
      <w:r>
        <w:rPr>
          <w:spacing w:val="-35"/>
        </w:rPr>
        <w:t> 号</w:t>
      </w:r>
      <w:r>
        <w:rPr>
          <w:spacing w:val="-4"/>
        </w:rPr>
        <w:t>办公地址：重庆市江北区永平门街 </w:t>
      </w:r>
      <w:r>
        <w:rPr/>
        <w:t>6</w:t>
      </w:r>
      <w:r>
        <w:rPr>
          <w:spacing w:val="-35"/>
        </w:rPr>
        <w:t> 号</w:t>
      </w:r>
      <w:r>
        <w:rPr/>
        <w:t>法定代表人：林军</w:t>
      </w:r>
    </w:p>
    <w:p>
      <w:pPr>
        <w:pStyle w:val="BodyText"/>
        <w:spacing w:line="268" w:lineRule="exact"/>
      </w:pPr>
      <w:r>
        <w:rPr/>
        <w:t>联系人：石千凡</w:t>
      </w:r>
    </w:p>
    <w:p>
      <w:pPr>
        <w:pStyle w:val="BodyText"/>
        <w:spacing w:before="140"/>
      </w:pPr>
      <w:r>
        <w:rPr/>
        <w:t>联系电话：023-63367180</w:t>
      </w:r>
    </w:p>
    <w:p>
      <w:pPr>
        <w:pStyle w:val="BodyText"/>
        <w:spacing w:line="364" w:lineRule="auto" w:before="139"/>
        <w:ind w:right="6056"/>
      </w:pPr>
      <w:r>
        <w:rPr/>
        <w:t>客户服务电话：96899，4007096899 </w:t>
      </w:r>
      <w:hyperlink r:id="rId98">
        <w:r>
          <w:rPr/>
          <w:t>网址：www.cqcbank.com.cn</w:t>
        </w:r>
      </w:hyperlink>
    </w:p>
    <w:p>
      <w:pPr>
        <w:spacing w:after="0" w:line="364" w:lineRule="auto"/>
        <w:sectPr>
          <w:pgSz w:w="11910" w:h="16840"/>
          <w:pgMar w:header="0" w:footer="1172" w:top="1580" w:bottom="1440" w:left="1520" w:right="360"/>
        </w:sectPr>
      </w:pPr>
    </w:p>
    <w:p>
      <w:pPr>
        <w:pStyle w:val="ListParagraph"/>
        <w:numPr>
          <w:ilvl w:val="0"/>
          <w:numId w:val="9"/>
        </w:numPr>
        <w:tabs>
          <w:tab w:pos="1134" w:val="left" w:leader="none"/>
        </w:tabs>
        <w:spacing w:line="240" w:lineRule="auto" w:before="106" w:after="0"/>
        <w:ind w:left="1134" w:right="0" w:hanging="421"/>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3116"/>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99">
        <w:r>
          <w:rPr/>
          <w:t>网址：www.crbank.com.cn</w:t>
        </w:r>
      </w:hyperlink>
    </w:p>
    <w:p>
      <w:pPr>
        <w:pStyle w:val="ListParagraph"/>
        <w:numPr>
          <w:ilvl w:val="0"/>
          <w:numId w:val="9"/>
        </w:numPr>
        <w:tabs>
          <w:tab w:pos="1134" w:val="left" w:leader="none"/>
        </w:tabs>
        <w:spacing w:line="240" w:lineRule="auto" w:before="140" w:after="0"/>
        <w:ind w:left="1134" w:right="0" w:hanging="421"/>
        <w:jc w:val="left"/>
        <w:rPr>
          <w:sz w:val="21"/>
        </w:rPr>
      </w:pPr>
      <w:r>
        <w:rPr>
          <w:sz w:val="21"/>
        </w:rPr>
        <w:t>安信证券</w:t>
      </w:r>
    </w:p>
    <w:p>
      <w:pPr>
        <w:pStyle w:val="BodyText"/>
        <w:spacing w:line="364" w:lineRule="auto" w:before="139"/>
        <w:ind w:right="2747"/>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3326"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7316"/>
      </w:pPr>
      <w:r>
        <w:rPr/>
        <w:t>客户服务电话：95517 传真：0755-82558355</w:t>
      </w:r>
    </w:p>
    <w:p>
      <w:pPr>
        <w:pStyle w:val="BodyText"/>
        <w:spacing w:line="268" w:lineRule="exact"/>
      </w:pPr>
      <w:hyperlink r:id="rId100">
        <w:r>
          <w:rPr/>
          <w:t>网址：www.essence.com.cn</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渤海证券</w:t>
      </w:r>
    </w:p>
    <w:p>
      <w:pPr>
        <w:pStyle w:val="BodyText"/>
        <w:spacing w:line="364" w:lineRule="auto" w:before="140"/>
        <w:ind w:right="3536"/>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7421"/>
      </w:pPr>
      <w:r>
        <w:rPr/>
        <w:t>法定代表人：安志勇联系人：王星</w:t>
      </w:r>
    </w:p>
    <w:p>
      <w:pPr>
        <w:pStyle w:val="BodyText"/>
        <w:spacing w:line="268" w:lineRule="exact"/>
      </w:pPr>
      <w:r>
        <w:rPr/>
        <w:t>联系电话：022-28451922</w:t>
      </w:r>
    </w:p>
    <w:p>
      <w:pPr>
        <w:pStyle w:val="BodyText"/>
        <w:spacing w:line="364" w:lineRule="auto" w:before="138"/>
        <w:ind w:right="6581"/>
      </w:pPr>
      <w:r>
        <w:rPr/>
        <w:t>客户服务电话：400-651-5988 传真：022-28451892</w:t>
      </w:r>
    </w:p>
    <w:p>
      <w:pPr>
        <w:pStyle w:val="BodyText"/>
        <w:spacing w:line="268" w:lineRule="exact"/>
      </w:pPr>
      <w:hyperlink r:id="rId101">
        <w:r>
          <w:rPr/>
          <w:t>网址：www.ewww.com.cn</w:t>
        </w:r>
      </w:hyperlink>
    </w:p>
    <w:p>
      <w:pPr>
        <w:pStyle w:val="ListParagraph"/>
        <w:numPr>
          <w:ilvl w:val="0"/>
          <w:numId w:val="9"/>
        </w:numPr>
        <w:tabs>
          <w:tab w:pos="1134" w:val="left" w:leader="none"/>
        </w:tabs>
        <w:spacing w:line="240" w:lineRule="auto" w:before="140" w:after="0"/>
        <w:ind w:left="1134" w:right="0" w:hanging="421"/>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906"/>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spacing w:after="0"/>
        <w:sectPr>
          <w:pgSz w:w="11910" w:h="16840"/>
          <w:pgMar w:header="0" w:footer="1172" w:top="1580" w:bottom="1440" w:left="1520" w:right="360"/>
        </w:sectPr>
      </w:pPr>
    </w:p>
    <w:p>
      <w:pPr>
        <w:pStyle w:val="BodyText"/>
        <w:spacing w:line="364" w:lineRule="auto" w:before="106"/>
        <w:ind w:right="3641"/>
      </w:pPr>
      <w:r>
        <w:rPr/>
        <w:t>客户服务电话：95363（河北省内</w:t>
      </w:r>
      <w:r>
        <w:rPr>
          <w:spacing w:val="-105"/>
        </w:rPr>
        <w:t>）</w:t>
      </w:r>
      <w:r>
        <w:rPr/>
        <w:t>；0311-95363（河北省外</w:t>
      </w:r>
      <w:r>
        <w:rPr>
          <w:spacing w:val="-18"/>
        </w:rPr>
        <w:t>）</w:t>
      </w:r>
      <w:r>
        <w:rPr/>
        <w:t>传真：0311-66006414</w:t>
      </w:r>
    </w:p>
    <w:p>
      <w:pPr>
        <w:pStyle w:val="BodyText"/>
        <w:spacing w:line="268" w:lineRule="exact"/>
      </w:pPr>
      <w:hyperlink r:id="rId102">
        <w:r>
          <w:rPr/>
          <w:t>网址：www.s10000.com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财通证券</w:t>
      </w:r>
    </w:p>
    <w:p>
      <w:pPr>
        <w:pStyle w:val="BodyText"/>
        <w:spacing w:line="364" w:lineRule="auto" w:before="140"/>
        <w:ind w:left="293" w:right="936" w:firstLine="420"/>
      </w:pPr>
      <w:r>
        <w:rPr/>
        <w:t>注册地址：浙江省杭州市杭大路 15 号嘉华国际商务中心 201，501，502，1103，1601- 1615，1701-1716 室</w:t>
      </w:r>
    </w:p>
    <w:p>
      <w:pPr>
        <w:pStyle w:val="BodyText"/>
        <w:spacing w:line="364" w:lineRule="auto"/>
        <w:ind w:right="4166"/>
      </w:pPr>
      <w:r>
        <w:rPr>
          <w:spacing w:val="-4"/>
        </w:rPr>
        <w:t>办公地址：浙江省杭州市杭大路 </w:t>
      </w:r>
      <w:r>
        <w:rPr/>
        <w:t>15</w:t>
      </w:r>
      <w:r>
        <w:rPr>
          <w:spacing w:val="-9"/>
        </w:rPr>
        <w:t> 号嘉华国际商务中心</w:t>
      </w:r>
      <w:r>
        <w:rPr/>
        <w:t>法定代表人：陆建强</w:t>
      </w:r>
    </w:p>
    <w:p>
      <w:pPr>
        <w:pStyle w:val="BodyText"/>
        <w:spacing w:line="268" w:lineRule="exact"/>
      </w:pPr>
      <w:r>
        <w:rPr/>
        <w:t>联系人：陶志华</w:t>
      </w:r>
    </w:p>
    <w:p>
      <w:pPr>
        <w:pStyle w:val="BodyText"/>
        <w:spacing w:line="364" w:lineRule="auto" w:before="138"/>
        <w:ind w:right="6791"/>
      </w:pPr>
      <w:r>
        <w:rPr>
          <w:spacing w:val="-1"/>
        </w:rPr>
        <w:t>联系电话</w:t>
      </w:r>
      <w:r>
        <w:rPr/>
        <w:t>：0571－87789160 客户服务电话：95336</w:t>
      </w:r>
    </w:p>
    <w:p>
      <w:pPr>
        <w:pStyle w:val="BodyText"/>
        <w:spacing w:line="268" w:lineRule="exact"/>
      </w:pPr>
      <w:hyperlink r:id="rId103">
        <w:r>
          <w:rPr/>
          <w:t>网址：www.ctsec.com</w:t>
        </w:r>
      </w:hyperlink>
    </w:p>
    <w:p>
      <w:pPr>
        <w:pStyle w:val="ListParagraph"/>
        <w:numPr>
          <w:ilvl w:val="0"/>
          <w:numId w:val="9"/>
        </w:numPr>
        <w:tabs>
          <w:tab w:pos="1134" w:val="left" w:leader="none"/>
        </w:tabs>
        <w:spacing w:line="240" w:lineRule="auto" w:before="140" w:after="0"/>
        <w:ind w:left="1134" w:right="0" w:hanging="421"/>
        <w:jc w:val="left"/>
        <w:rPr>
          <w:sz w:val="21"/>
        </w:rPr>
      </w:pPr>
      <w:r>
        <w:rPr>
          <w:sz w:val="21"/>
        </w:rPr>
        <w:t>财信证券</w:t>
      </w:r>
    </w:p>
    <w:p>
      <w:pPr>
        <w:pStyle w:val="BodyText"/>
        <w:spacing w:before="139"/>
      </w:pPr>
      <w:r>
        <w:rPr/>
        <w:t>注册地址：长沙市芙蓉中路二段 80 号顺天国际财富中心 26 层</w:t>
      </w:r>
    </w:p>
    <w:p>
      <w:pPr>
        <w:pStyle w:val="BodyText"/>
        <w:spacing w:line="364" w:lineRule="auto" w:before="140"/>
        <w:ind w:right="3326"/>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pStyle w:val="BodyText"/>
        <w:spacing w:line="364" w:lineRule="auto" w:before="140"/>
        <w:ind w:right="7316"/>
      </w:pPr>
      <w:r>
        <w:rPr/>
        <w:t>客户服务电话</w:t>
      </w:r>
      <w:r>
        <w:rPr>
          <w:spacing w:val="-3"/>
        </w:rPr>
        <w:t>：95317 </w:t>
      </w:r>
      <w:r>
        <w:rPr>
          <w:spacing w:val="-2"/>
        </w:rPr>
        <w:t>传真</w:t>
      </w:r>
      <w:r>
        <w:rPr>
          <w:spacing w:val="-1"/>
        </w:rPr>
        <w:t>：0731-84403439</w:t>
      </w:r>
    </w:p>
    <w:p>
      <w:pPr>
        <w:pStyle w:val="BodyText"/>
        <w:spacing w:line="268" w:lineRule="exact"/>
      </w:pPr>
      <w:hyperlink r:id="rId104">
        <w:r>
          <w:rPr/>
          <w:t>网址：www.cfzq.com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40"/>
        <w:ind w:right="4061"/>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6581"/>
      </w:pPr>
      <w:r>
        <w:rPr/>
        <w:t>客户服务电话</w:t>
      </w:r>
      <w:r>
        <w:rPr>
          <w:spacing w:val="-2"/>
        </w:rPr>
        <w:t>：400-0099-886 </w:t>
      </w:r>
      <w:r>
        <w:rPr/>
        <w:t>传真：0592-2079602</w:t>
      </w:r>
    </w:p>
    <w:p>
      <w:pPr>
        <w:pStyle w:val="BodyText"/>
        <w:spacing w:line="268" w:lineRule="exact"/>
      </w:pPr>
      <w:hyperlink r:id="rId105">
        <w:r>
          <w:rPr/>
          <w:t>网址：www.gwgsc.com</w:t>
        </w:r>
      </w:hyperlink>
    </w:p>
    <w:p>
      <w:pPr>
        <w:pStyle w:val="ListParagraph"/>
        <w:numPr>
          <w:ilvl w:val="0"/>
          <w:numId w:val="9"/>
        </w:numPr>
        <w:tabs>
          <w:tab w:pos="1134" w:val="left" w:leader="none"/>
        </w:tabs>
        <w:spacing w:line="240" w:lineRule="auto" w:before="139" w:after="0"/>
        <w:ind w:left="1134" w:right="0" w:hanging="421"/>
        <w:jc w:val="left"/>
        <w:rPr>
          <w:sz w:val="21"/>
        </w:rPr>
      </w:pPr>
      <w:r>
        <w:rPr>
          <w:sz w:val="21"/>
        </w:rPr>
        <w:t>长城证券</w:t>
      </w:r>
    </w:p>
    <w:p>
      <w:pPr>
        <w:pStyle w:val="BodyText"/>
        <w:spacing w:before="140"/>
      </w:pPr>
      <w:r>
        <w:rPr/>
        <w:t>注册地址：深圳市福田区福田街道金田路 2026 号能源大厦南塔楼 10-19 层</w:t>
      </w:r>
    </w:p>
    <w:p>
      <w:pPr>
        <w:pStyle w:val="BodyText"/>
        <w:spacing w:before="139"/>
      </w:pPr>
      <w:r>
        <w:rPr/>
        <w:t>办公地址：深圳市福田区福田街道金田路 2026 号能源大厦南塔楼 10-19 层长城证券</w:t>
      </w:r>
    </w:p>
    <w:p>
      <w:pPr>
        <w:spacing w:after="0"/>
        <w:sectPr>
          <w:pgSz w:w="11910" w:h="16840"/>
          <w:pgMar w:header="0" w:footer="1172" w:top="1580" w:bottom="1440" w:left="1520" w:right="360"/>
        </w:sectPr>
      </w:pPr>
    </w:p>
    <w:p>
      <w:pPr>
        <w:pStyle w:val="BodyText"/>
        <w:spacing w:line="364" w:lineRule="auto" w:before="106"/>
        <w:ind w:right="7631"/>
      </w:pPr>
      <w:r>
        <w:rPr/>
        <w:t>法定代表人：曹宏联系人：梁浩</w:t>
      </w:r>
    </w:p>
    <w:p>
      <w:pPr>
        <w:pStyle w:val="BodyText"/>
        <w:spacing w:line="268" w:lineRule="exact"/>
      </w:pPr>
      <w:r>
        <w:rPr/>
        <w:t>联系电话：0755-83530715</w:t>
      </w:r>
    </w:p>
    <w:p>
      <w:pPr>
        <w:pStyle w:val="BodyText"/>
        <w:spacing w:line="364" w:lineRule="auto" w:before="139"/>
        <w:ind w:right="6581"/>
      </w:pPr>
      <w:r>
        <w:rPr/>
        <w:t>客户服务电话</w:t>
      </w:r>
      <w:r>
        <w:rPr>
          <w:spacing w:val="-2"/>
        </w:rPr>
        <w:t>：400-6666-888 </w:t>
      </w:r>
      <w:r>
        <w:rPr/>
        <w:t>传真：0755-83516199</w:t>
      </w:r>
    </w:p>
    <w:p>
      <w:pPr>
        <w:pStyle w:val="BodyText"/>
        <w:spacing w:line="268" w:lineRule="exact"/>
      </w:pPr>
      <w:hyperlink r:id="rId106">
        <w:r>
          <w:rPr/>
          <w:t>网址：www.cgws.com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长江证券</w:t>
      </w:r>
    </w:p>
    <w:p>
      <w:pPr>
        <w:pStyle w:val="BodyText"/>
        <w:spacing w:line="364" w:lineRule="auto" w:before="139"/>
        <w:ind w:right="5741"/>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107">
        <w:r>
          <w:rPr/>
          <w:t>网址：www.95579.com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川财证券</w:t>
      </w:r>
    </w:p>
    <w:p>
      <w:pPr>
        <w:pStyle w:val="BodyText"/>
        <w:spacing w:before="140"/>
      </w:pPr>
      <w:r>
        <w:rPr/>
        <w:t>注册地址：中国（四川）自由贸易试验区成都高新区交子大道 177 号中海国际中心 B 座 17</w:t>
      </w:r>
    </w:p>
    <w:p>
      <w:pPr>
        <w:pStyle w:val="BodyText"/>
        <w:spacing w:before="139"/>
        <w:ind w:left="293"/>
      </w:pPr>
      <w:r>
        <w:rPr/>
        <w:t>楼</w:t>
      </w:r>
    </w:p>
    <w:p>
      <w:pPr>
        <w:pStyle w:val="BodyText"/>
        <w:spacing w:line="364" w:lineRule="auto" w:before="140"/>
        <w:ind w:right="2906"/>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6791"/>
      </w:pPr>
      <w:r>
        <w:rPr/>
        <w:t>客户服务电话：028-962708 </w:t>
      </w:r>
      <w:hyperlink r:id="rId108">
        <w:r>
          <w:rPr/>
          <w:t>网址：www.cczq.com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大通证券</w:t>
      </w:r>
    </w:p>
    <w:p>
      <w:pPr>
        <w:pStyle w:val="BodyText"/>
        <w:spacing w:before="139"/>
      </w:pPr>
      <w:r>
        <w:rPr/>
        <w:t>注册地址：辽宁省大连市沙河口区会展路 129 号大连国际金融中心 A 座-大连期货大厦 38、</w:t>
      </w:r>
    </w:p>
    <w:p>
      <w:pPr>
        <w:pStyle w:val="BodyText"/>
        <w:spacing w:before="140"/>
        <w:ind w:left="293"/>
      </w:pPr>
      <w:r>
        <w:rPr/>
        <w:t>39</w:t>
      </w:r>
      <w:r>
        <w:rPr>
          <w:spacing w:val="-27"/>
        </w:rPr>
        <w:t> 层</w:t>
      </w:r>
    </w:p>
    <w:p>
      <w:pPr>
        <w:pStyle w:val="BodyText"/>
        <w:spacing w:line="364" w:lineRule="auto" w:before="139"/>
        <w:ind w:left="293" w:right="936" w:firstLine="420"/>
      </w:pPr>
      <w:r>
        <w:rPr>
          <w:spacing w:val="-3"/>
        </w:rPr>
        <w:t>办公地址：辽宁省大连市沙河口区会展路 </w:t>
      </w:r>
      <w:r>
        <w:rPr/>
        <w:t>129</w:t>
      </w:r>
      <w:r>
        <w:rPr>
          <w:spacing w:val="-12"/>
        </w:rPr>
        <w:t> 号大连国际金融中心 </w:t>
      </w:r>
      <w:r>
        <w:rPr/>
        <w:t>A</w:t>
      </w:r>
      <w:r>
        <w:rPr>
          <w:spacing w:val="-13"/>
        </w:rPr>
        <w:t> 座-大连期货大厦 </w:t>
      </w:r>
      <w:r>
        <w:rPr/>
        <w:t>38、39</w:t>
      </w:r>
      <w:r>
        <w:rPr>
          <w:spacing w:val="-27"/>
        </w:rPr>
        <w:t> 层</w:t>
      </w:r>
    </w:p>
    <w:p>
      <w:pPr>
        <w:pStyle w:val="BodyText"/>
        <w:spacing w:line="364" w:lineRule="auto"/>
        <w:ind w:right="7631"/>
      </w:pPr>
      <w:r>
        <w:rPr/>
        <w:t>法定代表人：赵玺联系人：谢立军</w:t>
      </w:r>
    </w:p>
    <w:p>
      <w:pPr>
        <w:pStyle w:val="BodyText"/>
        <w:spacing w:line="268" w:lineRule="exact"/>
      </w:pPr>
      <w:r>
        <w:rPr/>
        <w:t>联系电话：0411-39991807</w:t>
      </w:r>
    </w:p>
    <w:p>
      <w:pPr>
        <w:pStyle w:val="BodyText"/>
        <w:spacing w:before="138"/>
      </w:pPr>
      <w:r>
        <w:rPr/>
        <w:t>客户服务电话：4008-169-169</w:t>
      </w:r>
    </w:p>
    <w:p>
      <w:pPr>
        <w:spacing w:after="0"/>
        <w:sectPr>
          <w:pgSz w:w="11910" w:h="16840"/>
          <w:pgMar w:header="0" w:footer="1172" w:top="1580" w:bottom="1440" w:left="1520" w:right="360"/>
        </w:sectPr>
      </w:pPr>
    </w:p>
    <w:p>
      <w:pPr>
        <w:pStyle w:val="BodyText"/>
        <w:spacing w:before="106"/>
      </w:pPr>
      <w:r>
        <w:rPr/>
        <w:t>传真：0411-39673214</w:t>
      </w:r>
    </w:p>
    <w:p>
      <w:pPr>
        <w:pStyle w:val="BodyText"/>
        <w:spacing w:before="139"/>
      </w:pPr>
      <w:hyperlink r:id="rId109">
        <w:r>
          <w:rPr/>
          <w:t>网址：www.daton.com.cn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7631"/>
      </w:pPr>
      <w:r>
        <w:rPr/>
        <w:t>法定代表人：董祥联系人：薛津</w:t>
      </w:r>
    </w:p>
    <w:p>
      <w:pPr>
        <w:pStyle w:val="BodyText"/>
        <w:spacing w:line="268" w:lineRule="exact"/>
      </w:pPr>
      <w:r>
        <w:rPr/>
        <w:t>联系电话：0351-4130322</w:t>
      </w:r>
    </w:p>
    <w:p>
      <w:pPr>
        <w:pStyle w:val="BodyText"/>
        <w:spacing w:line="364" w:lineRule="auto" w:before="140"/>
        <w:ind w:right="6791"/>
      </w:pPr>
      <w:r>
        <w:rPr/>
        <w:t>客户服务电话：4007121212 传真：0351-7219891</w:t>
      </w:r>
    </w:p>
    <w:p>
      <w:pPr>
        <w:pStyle w:val="BodyText"/>
        <w:spacing w:line="268" w:lineRule="exact"/>
      </w:pPr>
      <w:hyperlink r:id="rId110">
        <w:r>
          <w:rPr/>
          <w:t>网址：www.dtsbc.com.cn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德邦证券</w:t>
      </w:r>
    </w:p>
    <w:p>
      <w:pPr>
        <w:pStyle w:val="BodyText"/>
        <w:spacing w:line="364" w:lineRule="auto" w:before="139"/>
        <w:ind w:right="4586"/>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6581"/>
      </w:pPr>
      <w:r>
        <w:rPr/>
        <w:t>客户服务电话：400-8888-128 传真：021-68767880</w:t>
      </w:r>
    </w:p>
    <w:p>
      <w:pPr>
        <w:pStyle w:val="BodyText"/>
        <w:spacing w:line="268" w:lineRule="exact"/>
      </w:pPr>
      <w:hyperlink r:id="rId111">
        <w:r>
          <w:rPr/>
          <w:t>网址：http://www.tebon.com.cn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第一创业证券</w:t>
      </w:r>
    </w:p>
    <w:p>
      <w:pPr>
        <w:pStyle w:val="BodyText"/>
        <w:spacing w:line="364" w:lineRule="auto" w:before="139"/>
        <w:ind w:right="4166"/>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112">
        <w:r>
          <w:rPr/>
          <w:t>网址：www.firstcapital.com.cn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东北证券</w:t>
      </w:r>
    </w:p>
    <w:p>
      <w:pPr>
        <w:pStyle w:val="BodyText"/>
        <w:spacing w:line="364" w:lineRule="auto" w:before="139"/>
        <w:ind w:right="6056"/>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spacing w:after="0" w:line="268" w:lineRule="exact"/>
        <w:sectPr>
          <w:pgSz w:w="11910" w:h="16840"/>
          <w:pgMar w:header="0" w:footer="1172" w:top="1580" w:bottom="1440" w:left="1520" w:right="360"/>
        </w:sectPr>
      </w:pPr>
    </w:p>
    <w:p>
      <w:pPr>
        <w:pStyle w:val="BodyText"/>
        <w:spacing w:before="106"/>
      </w:pPr>
      <w:r>
        <w:rPr/>
        <w:t>联系电话：0431-85096517</w:t>
      </w:r>
    </w:p>
    <w:p>
      <w:pPr>
        <w:pStyle w:val="BodyText"/>
        <w:spacing w:line="364" w:lineRule="auto" w:before="139"/>
        <w:ind w:right="7316"/>
      </w:pPr>
      <w:r>
        <w:rPr/>
        <w:t>客户服务电话：95360 传真：0431-85096795</w:t>
      </w:r>
    </w:p>
    <w:p>
      <w:pPr>
        <w:pStyle w:val="BodyText"/>
        <w:spacing w:line="268" w:lineRule="exact"/>
      </w:pPr>
      <w:hyperlink r:id="rId113">
        <w:r>
          <w:rPr/>
          <w:t>网址：www.nesc.cn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东方证券</w:t>
      </w:r>
    </w:p>
    <w:p>
      <w:pPr>
        <w:pStyle w:val="BodyText"/>
        <w:spacing w:before="139"/>
      </w:pPr>
      <w:r>
        <w:rPr/>
        <w:t>注册地址：上海市中山南路 318 号 2 号楼 22 层、23 层、25 层-29 层</w:t>
      </w:r>
    </w:p>
    <w:p>
      <w:pPr>
        <w:pStyle w:val="BodyText"/>
        <w:spacing w:line="364" w:lineRule="auto" w:before="140"/>
        <w:ind w:left="293" w:right="935" w:firstLine="420"/>
      </w:pPr>
      <w:r>
        <w:rPr>
          <w:spacing w:val="-5"/>
        </w:rPr>
        <w:t>办公地址：上海市中山南路 </w:t>
      </w:r>
      <w:r>
        <w:rPr/>
        <w:t>318</w:t>
      </w:r>
      <w:r>
        <w:rPr>
          <w:spacing w:val="-36"/>
        </w:rPr>
        <w:t> 号 </w:t>
      </w:r>
      <w:r>
        <w:rPr/>
        <w:t>2</w:t>
      </w:r>
      <w:r>
        <w:rPr>
          <w:spacing w:val="-27"/>
        </w:rPr>
        <w:t> 号楼 </w:t>
      </w:r>
      <w:r>
        <w:rPr/>
        <w:t>13</w:t>
      </w:r>
      <w:r>
        <w:rPr>
          <w:spacing w:val="-18"/>
        </w:rPr>
        <w:t> 层、</w:t>
      </w:r>
      <w:r>
        <w:rPr/>
        <w:t>21</w:t>
      </w:r>
      <w:r>
        <w:rPr>
          <w:spacing w:val="-27"/>
        </w:rPr>
        <w:t> 层</w:t>
      </w:r>
      <w:r>
        <w:rPr/>
        <w:t>-23</w:t>
      </w:r>
      <w:r>
        <w:rPr>
          <w:spacing w:val="-18"/>
        </w:rPr>
        <w:t> 层、</w:t>
      </w:r>
      <w:r>
        <w:rPr/>
        <w:t>25-29</w:t>
      </w:r>
      <w:r>
        <w:rPr>
          <w:spacing w:val="-18"/>
        </w:rPr>
        <w:t> 层、</w:t>
      </w:r>
      <w:r>
        <w:rPr/>
        <w:t>32</w:t>
      </w:r>
      <w:r>
        <w:rPr>
          <w:spacing w:val="-14"/>
        </w:rPr>
        <w:t> 层、</w:t>
      </w:r>
      <w:r>
        <w:rPr/>
        <w:t>36</w:t>
      </w:r>
      <w:r>
        <w:rPr>
          <w:spacing w:val="-14"/>
        </w:rPr>
        <w:t> 层、</w:t>
      </w:r>
      <w:r>
        <w:rPr>
          <w:spacing w:val="-5"/>
        </w:rPr>
        <w:t>39 </w:t>
      </w:r>
      <w:r>
        <w:rPr/>
        <w:t>层、40 层</w:t>
      </w:r>
    </w:p>
    <w:p>
      <w:pPr>
        <w:pStyle w:val="BodyText"/>
        <w:spacing w:line="364" w:lineRule="auto"/>
        <w:ind w:right="7421"/>
      </w:pPr>
      <w:r>
        <w:rPr/>
        <w:t>法定代表人：潘鑫军联系人：朱琼玉</w:t>
      </w:r>
    </w:p>
    <w:p>
      <w:pPr>
        <w:pStyle w:val="BodyText"/>
        <w:spacing w:line="268" w:lineRule="exact"/>
      </w:pPr>
      <w:r>
        <w:rPr/>
        <w:t>联系电话：021-63325888</w:t>
      </w:r>
    </w:p>
    <w:p>
      <w:pPr>
        <w:pStyle w:val="BodyText"/>
        <w:spacing w:line="364" w:lineRule="auto" w:before="138"/>
        <w:ind w:right="7316"/>
      </w:pPr>
      <w:r>
        <w:rPr/>
        <w:t>客户服务电话：95503 传真：021-63326729</w:t>
      </w:r>
    </w:p>
    <w:p>
      <w:pPr>
        <w:pStyle w:val="BodyText"/>
        <w:spacing w:line="268" w:lineRule="exact"/>
      </w:pPr>
      <w:hyperlink r:id="rId114">
        <w:r>
          <w:rPr/>
          <w:t>网址：http://www.dfzq.com.cn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东莞证券</w:t>
      </w:r>
    </w:p>
    <w:p>
      <w:pPr>
        <w:pStyle w:val="BodyText"/>
        <w:spacing w:before="139"/>
      </w:pPr>
      <w:r>
        <w:rPr/>
        <w:t>注册地址：东莞市莞城区可园南路一号</w:t>
      </w:r>
    </w:p>
    <w:p>
      <w:pPr>
        <w:pStyle w:val="BodyText"/>
        <w:spacing w:line="364" w:lineRule="auto" w:before="140"/>
        <w:ind w:right="4376"/>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39"/>
        <w:ind w:right="7316"/>
      </w:pPr>
      <w:r>
        <w:rPr/>
        <w:t>客户服务电话：95328 传真：0769-22115712</w:t>
      </w:r>
    </w:p>
    <w:p>
      <w:pPr>
        <w:pStyle w:val="BodyText"/>
        <w:spacing w:line="268" w:lineRule="exact"/>
      </w:pPr>
      <w:hyperlink r:id="rId115">
        <w:r>
          <w:rPr/>
          <w:t>网址：www.dgzq.com.cn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东海证券</w:t>
      </w:r>
    </w:p>
    <w:p>
      <w:pPr>
        <w:pStyle w:val="BodyText"/>
        <w:spacing w:line="364" w:lineRule="auto" w:before="139"/>
        <w:ind w:right="4166"/>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846"/>
      </w:pPr>
      <w:r>
        <w:rPr/>
        <w:t>客户服务电话：95531、400-8888-588 传真：021-50498825</w:t>
      </w:r>
    </w:p>
    <w:p>
      <w:pPr>
        <w:pStyle w:val="BodyText"/>
        <w:spacing w:line="268" w:lineRule="exact"/>
      </w:pPr>
      <w:hyperlink r:id="rId116">
        <w:r>
          <w:rPr/>
          <w:t>网址：www.longone.com.cn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东吴证券</w:t>
      </w:r>
    </w:p>
    <w:p>
      <w:pPr>
        <w:spacing w:after="0" w:line="240" w:lineRule="auto"/>
        <w:jc w:val="left"/>
        <w:rPr>
          <w:sz w:val="21"/>
        </w:rPr>
        <w:sectPr>
          <w:pgSz w:w="11910" w:h="16840"/>
          <w:pgMar w:header="0" w:footer="1172" w:top="1580" w:bottom="1440" w:left="1520" w:right="360"/>
        </w:sectPr>
      </w:pPr>
    </w:p>
    <w:p>
      <w:pPr>
        <w:pStyle w:val="BodyText"/>
        <w:spacing w:line="364" w:lineRule="auto" w:before="106"/>
        <w:ind w:right="5951"/>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7316"/>
      </w:pPr>
      <w:r>
        <w:rPr/>
        <w:t>客户服务电话：95330 传真：0512-65588021</w:t>
      </w:r>
    </w:p>
    <w:p>
      <w:pPr>
        <w:pStyle w:val="BodyText"/>
        <w:spacing w:line="268" w:lineRule="exact"/>
      </w:pPr>
      <w:hyperlink r:id="rId117">
        <w:r>
          <w:rPr/>
          <w:t>网址：www.dwzq.com.cn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2591"/>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7316"/>
      </w:pPr>
      <w:r>
        <w:rPr/>
        <w:t>客户服务电话</w:t>
      </w:r>
      <w:r>
        <w:rPr>
          <w:spacing w:val="-3"/>
        </w:rPr>
        <w:t>：95309 </w:t>
      </w:r>
      <w:r>
        <w:rPr/>
        <w:t>传真：010-66555133</w:t>
      </w:r>
    </w:p>
    <w:p>
      <w:pPr>
        <w:pStyle w:val="BodyText"/>
        <w:spacing w:line="268" w:lineRule="exact"/>
      </w:pPr>
      <w:hyperlink r:id="rId118">
        <w:r>
          <w:rPr/>
          <w:t>网址：www.dxzq.net</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方正证券</w:t>
      </w:r>
    </w:p>
    <w:p>
      <w:pPr>
        <w:pStyle w:val="BodyText"/>
        <w:spacing w:before="140"/>
      </w:pPr>
      <w:r>
        <w:rPr/>
        <w:t>注册地址：长沙市天心区湘江中路二段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7631"/>
      </w:pPr>
      <w:r>
        <w:rPr/>
        <w:t>法定代表人：施华联系人：程博怡</w:t>
      </w:r>
    </w:p>
    <w:p>
      <w:pPr>
        <w:pStyle w:val="BodyText"/>
        <w:spacing w:line="268" w:lineRule="exact"/>
      </w:pPr>
      <w:r>
        <w:rPr/>
        <w:t>联系电话：010-56437060</w:t>
      </w:r>
    </w:p>
    <w:p>
      <w:pPr>
        <w:pStyle w:val="BodyText"/>
        <w:spacing w:line="364" w:lineRule="auto" w:before="139"/>
        <w:ind w:right="7316"/>
      </w:pPr>
      <w:r>
        <w:rPr/>
        <w:t>客户服务电话：95571 传真：010-56437013</w:t>
      </w:r>
    </w:p>
    <w:p>
      <w:pPr>
        <w:pStyle w:val="BodyText"/>
        <w:spacing w:line="268" w:lineRule="exact"/>
      </w:pPr>
      <w:hyperlink r:id="rId119">
        <w:r>
          <w:rPr/>
          <w:t>网址：www.foundersc.com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光大证券</w:t>
      </w:r>
    </w:p>
    <w:p>
      <w:pPr>
        <w:pStyle w:val="BodyText"/>
        <w:spacing w:line="364" w:lineRule="auto" w:before="139"/>
        <w:ind w:right="5636"/>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法定代表人：刘秋明</w:t>
      </w:r>
    </w:p>
    <w:p>
      <w:pPr>
        <w:pStyle w:val="BodyText"/>
        <w:spacing w:line="268" w:lineRule="exact"/>
      </w:pPr>
      <w:r>
        <w:rPr/>
        <w:t>联系人：龚俊涛</w:t>
      </w:r>
    </w:p>
    <w:p>
      <w:pPr>
        <w:pStyle w:val="BodyText"/>
        <w:spacing w:before="140"/>
      </w:pPr>
      <w:r>
        <w:rPr/>
        <w:t>联系电话：021-22169999</w:t>
      </w:r>
    </w:p>
    <w:p>
      <w:pPr>
        <w:pStyle w:val="BodyText"/>
        <w:spacing w:before="139"/>
      </w:pPr>
      <w:r>
        <w:rPr/>
        <w:t>客户服务电话：95525</w:t>
      </w:r>
    </w:p>
    <w:p>
      <w:pPr>
        <w:spacing w:after="0"/>
        <w:sectPr>
          <w:pgSz w:w="11910" w:h="16840"/>
          <w:pgMar w:header="0" w:footer="1172" w:top="1580" w:bottom="1440" w:left="1520" w:right="360"/>
        </w:sectPr>
      </w:pPr>
    </w:p>
    <w:p>
      <w:pPr>
        <w:pStyle w:val="BodyText"/>
        <w:spacing w:before="106"/>
      </w:pPr>
      <w:r>
        <w:rPr/>
        <w:t>传真：021-22169134</w:t>
      </w:r>
    </w:p>
    <w:p>
      <w:pPr>
        <w:pStyle w:val="BodyText"/>
        <w:spacing w:before="139"/>
      </w:pPr>
      <w:hyperlink r:id="rId120">
        <w:r>
          <w:rPr/>
          <w:t>网址：www.ebscn.com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广发证券</w:t>
      </w:r>
    </w:p>
    <w:p>
      <w:pPr>
        <w:pStyle w:val="BodyText"/>
        <w:spacing w:line="364" w:lineRule="auto" w:before="139"/>
        <w:ind w:right="3011"/>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7421"/>
      </w:pPr>
      <w:r>
        <w:rPr/>
        <w:t>法定代表人：孙树明联系人：黄岚</w:t>
      </w:r>
    </w:p>
    <w:p>
      <w:pPr>
        <w:pStyle w:val="BodyText"/>
        <w:spacing w:line="268" w:lineRule="exact"/>
      </w:pPr>
      <w:r>
        <w:rPr/>
        <w:t>客户服务电话：95575 或 02095575</w:t>
      </w:r>
    </w:p>
    <w:p>
      <w:pPr>
        <w:pStyle w:val="BodyText"/>
        <w:spacing w:before="139"/>
      </w:pPr>
      <w:hyperlink r:id="rId121">
        <w:r>
          <w:rPr/>
          <w:t>网址：www.gf.com.cn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国都证券</w:t>
      </w:r>
    </w:p>
    <w:p>
      <w:pPr>
        <w:pStyle w:val="BodyText"/>
        <w:spacing w:line="364" w:lineRule="auto" w:before="140"/>
        <w:ind w:right="3116"/>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法定代表人：王少华</w:t>
      </w:r>
    </w:p>
    <w:p>
      <w:pPr>
        <w:pStyle w:val="BodyText"/>
        <w:spacing w:line="268" w:lineRule="exact"/>
      </w:pPr>
      <w:r>
        <w:rPr/>
        <w:t>联系人：黄静</w:t>
      </w:r>
    </w:p>
    <w:p>
      <w:pPr>
        <w:pStyle w:val="BodyText"/>
        <w:spacing w:before="139"/>
      </w:pPr>
      <w:r>
        <w:rPr/>
        <w:t>联系电话：010-84183389</w:t>
      </w:r>
    </w:p>
    <w:p>
      <w:pPr>
        <w:pStyle w:val="BodyText"/>
        <w:spacing w:line="364" w:lineRule="auto" w:before="140"/>
        <w:ind w:right="6581"/>
      </w:pPr>
      <w:r>
        <w:rPr/>
        <w:t>客户服务电话</w:t>
      </w:r>
      <w:r>
        <w:rPr>
          <w:spacing w:val="-2"/>
        </w:rPr>
        <w:t>：400-818-8118 </w:t>
      </w:r>
      <w:r>
        <w:rPr/>
        <w:t>传真：010-84183311-3122</w:t>
      </w:r>
    </w:p>
    <w:p>
      <w:pPr>
        <w:pStyle w:val="BodyText"/>
        <w:spacing w:line="268" w:lineRule="exact"/>
      </w:pPr>
      <w:hyperlink r:id="rId122">
        <w:r>
          <w:rPr/>
          <w:t>网址：www.guodu.com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国海证券</w:t>
      </w:r>
    </w:p>
    <w:p>
      <w:pPr>
        <w:pStyle w:val="BodyText"/>
        <w:spacing w:before="139"/>
      </w:pPr>
      <w:r>
        <w:rPr/>
        <w:t>注册地址：广西桂林市辅星路 13 号</w:t>
      </w:r>
    </w:p>
    <w:p>
      <w:pPr>
        <w:pStyle w:val="BodyText"/>
        <w:spacing w:line="364" w:lineRule="auto" w:before="140"/>
        <w:ind w:right="4271"/>
      </w:pPr>
      <w:r>
        <w:rPr>
          <w:spacing w:val="-3"/>
        </w:rPr>
        <w:t>办公地址：深圳市福田区竹子林四路光大银行大厦 </w:t>
      </w:r>
      <w:r>
        <w:rPr/>
        <w:t>3</w:t>
      </w:r>
      <w:r>
        <w:rPr>
          <w:spacing w:val="-35"/>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40"/>
      </w:pPr>
      <w:r>
        <w:rPr/>
        <w:t>客户服务电话：95563 或 0771-95563</w:t>
      </w:r>
    </w:p>
    <w:p>
      <w:pPr>
        <w:pStyle w:val="BodyText"/>
        <w:spacing w:before="139"/>
      </w:pPr>
      <w:hyperlink r:id="rId123">
        <w:r>
          <w:rPr/>
          <w:t>网址：www.ghzq.com.cn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国金证券</w:t>
      </w:r>
    </w:p>
    <w:p>
      <w:pPr>
        <w:pStyle w:val="BodyText"/>
        <w:spacing w:before="139"/>
      </w:pPr>
      <w:r>
        <w:rPr/>
        <w:t>注册地址：成都市青羊区东城根上街 95 号</w:t>
      </w:r>
    </w:p>
    <w:p>
      <w:pPr>
        <w:pStyle w:val="BodyText"/>
        <w:spacing w:line="364" w:lineRule="auto" w:before="139"/>
        <w:ind w:right="4586"/>
      </w:pPr>
      <w:r>
        <w:rPr>
          <w:spacing w:val="-4"/>
        </w:rPr>
        <w:t>办公地址：成都市青羊区东城根上街 </w:t>
      </w:r>
      <w:r>
        <w:rPr/>
        <w:t>95</w:t>
      </w:r>
      <w:r>
        <w:rPr>
          <w:spacing w:val="-13"/>
        </w:rPr>
        <w:t> 号成证大厦</w:t>
      </w:r>
      <w:r>
        <w:rPr/>
        <w:t>法定代表人：冉云</w:t>
      </w:r>
    </w:p>
    <w:p>
      <w:pPr>
        <w:pStyle w:val="BodyText"/>
        <w:spacing w:line="364" w:lineRule="auto"/>
        <w:ind w:right="7001"/>
      </w:pPr>
      <w:r>
        <w:rPr/>
        <w:t>联系人：杜晶、黎建平 联系电话</w:t>
      </w:r>
      <w:r>
        <w:rPr>
          <w:spacing w:val="-2"/>
        </w:rPr>
        <w:t>：028-86690057</w:t>
      </w:r>
    </w:p>
    <w:p>
      <w:pPr>
        <w:pStyle w:val="BodyText"/>
        <w:spacing w:line="268" w:lineRule="exact"/>
      </w:pPr>
      <w:r>
        <w:rPr/>
        <w:t>客户服务电话：95310</w:t>
      </w:r>
    </w:p>
    <w:p>
      <w:pPr>
        <w:spacing w:after="0" w:line="268" w:lineRule="exact"/>
        <w:sectPr>
          <w:pgSz w:w="11910" w:h="16840"/>
          <w:pgMar w:header="0" w:footer="1172" w:top="1580" w:bottom="1440" w:left="1520" w:right="360"/>
        </w:sectPr>
      </w:pPr>
    </w:p>
    <w:p>
      <w:pPr>
        <w:pStyle w:val="BodyText"/>
        <w:spacing w:before="106"/>
      </w:pPr>
      <w:r>
        <w:rPr/>
        <w:t>传真：028-86690126</w:t>
      </w:r>
    </w:p>
    <w:p>
      <w:pPr>
        <w:pStyle w:val="BodyText"/>
        <w:spacing w:before="139"/>
      </w:pPr>
      <w:hyperlink r:id="rId124">
        <w:r>
          <w:rPr/>
          <w:t>网址：www.gjzq.com.cn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国开证券</w:t>
      </w:r>
    </w:p>
    <w:p>
      <w:pPr>
        <w:pStyle w:val="BodyText"/>
        <w:spacing w:line="364" w:lineRule="auto" w:before="139"/>
        <w:ind w:right="4586"/>
        <w:jc w:val="both"/>
      </w:pPr>
      <w:r>
        <w:rPr>
          <w:spacing w:val="-3"/>
        </w:rPr>
        <w:t>注册地址：北京市西城区阜成门外大街 </w:t>
      </w:r>
      <w:r>
        <w:rPr/>
        <w:t>29</w:t>
      </w:r>
      <w:r>
        <w:rPr>
          <w:spacing w:val="-36"/>
        </w:rPr>
        <w:t> 号 </w:t>
      </w:r>
      <w:r>
        <w:rPr/>
        <w:t>1-9</w:t>
      </w:r>
      <w:r>
        <w:rPr>
          <w:spacing w:val="-35"/>
        </w:rPr>
        <w:t> 层</w:t>
      </w:r>
      <w:r>
        <w:rPr>
          <w:spacing w:val="-3"/>
        </w:rPr>
        <w:t>办公地址：北京市西城区阜成门外大街 </w:t>
      </w:r>
      <w:r>
        <w:rPr/>
        <w:t>29</w:t>
      </w:r>
      <w:r>
        <w:rPr>
          <w:spacing w:val="-36"/>
        </w:rPr>
        <w:t> 号 </w:t>
      </w:r>
      <w:r>
        <w:rPr/>
        <w:t>1-9</w:t>
      </w:r>
      <w:r>
        <w:rPr>
          <w:spacing w:val="-35"/>
        </w:rPr>
        <w:t> 层</w:t>
      </w:r>
      <w:r>
        <w:rPr/>
        <w:t>法定代表人：张宝荣</w:t>
      </w:r>
    </w:p>
    <w:p>
      <w:pPr>
        <w:pStyle w:val="BodyText"/>
        <w:spacing w:line="268" w:lineRule="exact"/>
      </w:pPr>
      <w:r>
        <w:rPr/>
        <w:t>联系人：刘欣灿</w:t>
      </w:r>
    </w:p>
    <w:p>
      <w:pPr>
        <w:pStyle w:val="BodyText"/>
        <w:spacing w:before="140"/>
      </w:pPr>
      <w:r>
        <w:rPr/>
        <w:t>联系电话：010-88300715</w:t>
      </w:r>
    </w:p>
    <w:p>
      <w:pPr>
        <w:pStyle w:val="BodyText"/>
        <w:spacing w:line="364" w:lineRule="auto" w:before="139"/>
        <w:ind w:right="6581"/>
      </w:pPr>
      <w:r>
        <w:rPr/>
        <w:t>客户服务电话：400-88-95593 传真：010-88300694</w:t>
      </w:r>
    </w:p>
    <w:p>
      <w:pPr>
        <w:pStyle w:val="BodyText"/>
        <w:spacing w:line="268" w:lineRule="exact"/>
      </w:pPr>
      <w:hyperlink r:id="rId125">
        <w:r>
          <w:rPr/>
          <w:t>网址：www.gkzq.com.cn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国联证券</w:t>
      </w:r>
    </w:p>
    <w:p>
      <w:pPr>
        <w:pStyle w:val="BodyText"/>
        <w:spacing w:before="139"/>
      </w:pPr>
      <w:r>
        <w:rPr/>
        <w:t>注册地址：江苏省无锡市太湖新城金融一街 8 号</w:t>
      </w:r>
    </w:p>
    <w:p>
      <w:pPr>
        <w:pStyle w:val="BodyText"/>
        <w:spacing w:line="364" w:lineRule="auto" w:before="139"/>
        <w:ind w:right="3641"/>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7316"/>
      </w:pPr>
      <w:r>
        <w:rPr/>
        <w:t>客户服务电话：95570 传真：0510-82830162</w:t>
      </w:r>
    </w:p>
    <w:p>
      <w:pPr>
        <w:pStyle w:val="BodyText"/>
        <w:spacing w:line="268" w:lineRule="exact"/>
      </w:pPr>
      <w:hyperlink r:id="rId126">
        <w:r>
          <w:rPr/>
          <w:t>网址：www.glsc.com.cn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国融证券</w:t>
      </w:r>
    </w:p>
    <w:p>
      <w:pPr>
        <w:pStyle w:val="BodyText"/>
        <w:spacing w:line="364" w:lineRule="auto" w:before="139"/>
        <w:ind w:right="3536"/>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40"/>
      </w:pPr>
      <w:r>
        <w:rPr/>
        <w:t>联系电话：010-83991848</w:t>
      </w:r>
    </w:p>
    <w:p>
      <w:pPr>
        <w:pStyle w:val="BodyText"/>
        <w:spacing w:line="364" w:lineRule="auto" w:before="139"/>
        <w:ind w:right="7316"/>
      </w:pPr>
      <w:r>
        <w:rPr/>
        <w:t>客户服务电话</w:t>
      </w:r>
      <w:r>
        <w:rPr>
          <w:spacing w:val="-3"/>
        </w:rPr>
        <w:t>：95385 </w:t>
      </w:r>
      <w:r>
        <w:rPr/>
        <w:t>传真：010-66412537</w:t>
      </w:r>
    </w:p>
    <w:p>
      <w:pPr>
        <w:pStyle w:val="BodyText"/>
        <w:spacing w:line="268" w:lineRule="exact"/>
      </w:pPr>
      <w:hyperlink r:id="rId127">
        <w:r>
          <w:rPr/>
          <w:t>网址：www.grzq.com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39"/>
        <w:ind w:right="2906"/>
      </w:pPr>
      <w:r>
        <w:rPr>
          <w:spacing w:val="-3"/>
        </w:rPr>
        <w:t>办公地址：江西省南昌市红谷滩新区凤凰中大道 </w:t>
      </w:r>
      <w:r>
        <w:rPr/>
        <w:t>1115</w:t>
      </w:r>
      <w:r>
        <w:rPr>
          <w:spacing w:val="-10"/>
        </w:rPr>
        <w:t> 号北京银行大厦</w:t>
      </w:r>
      <w:r>
        <w:rPr/>
        <w:t>法定代表人：徐丽峰</w:t>
      </w:r>
    </w:p>
    <w:p>
      <w:pPr>
        <w:spacing w:after="0" w:line="364" w:lineRule="auto"/>
        <w:sectPr>
          <w:pgSz w:w="11910" w:h="16840"/>
          <w:pgMar w:header="0" w:footer="1172" w:top="1580" w:bottom="1440" w:left="1520" w:right="360"/>
        </w:sectPr>
      </w:pPr>
    </w:p>
    <w:p>
      <w:pPr>
        <w:pStyle w:val="BodyText"/>
        <w:spacing w:before="106"/>
      </w:pPr>
      <w:r>
        <w:rPr/>
        <w:t>联系人：占文驰</w:t>
      </w:r>
    </w:p>
    <w:p>
      <w:pPr>
        <w:pStyle w:val="BodyText"/>
        <w:spacing w:before="139"/>
      </w:pPr>
      <w:r>
        <w:rPr/>
        <w:t>联系电话：0791-88250812</w:t>
      </w:r>
    </w:p>
    <w:p>
      <w:pPr>
        <w:pStyle w:val="BodyText"/>
        <w:spacing w:line="364" w:lineRule="auto" w:before="140"/>
        <w:ind w:right="7211"/>
      </w:pPr>
      <w:r>
        <w:rPr/>
        <w:t>客户服务电话</w:t>
      </w:r>
      <w:r>
        <w:rPr>
          <w:spacing w:val="-3"/>
        </w:rPr>
        <w:t>：956080 </w:t>
      </w:r>
      <w:r>
        <w:rPr/>
        <w:t>传真：0791-86281305</w:t>
      </w:r>
    </w:p>
    <w:p>
      <w:pPr>
        <w:pStyle w:val="BodyText"/>
        <w:spacing w:line="268" w:lineRule="exact"/>
      </w:pPr>
      <w:hyperlink r:id="rId128">
        <w:r>
          <w:rPr/>
          <w:t>网址：www.gszq.com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国泰君安证券</w:t>
      </w:r>
    </w:p>
    <w:p>
      <w:pPr>
        <w:pStyle w:val="BodyText"/>
        <w:spacing w:line="364" w:lineRule="auto" w:before="140"/>
        <w:ind w:right="4271"/>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39"/>
        <w:ind w:right="7316"/>
      </w:pPr>
      <w:r>
        <w:rPr/>
        <w:t>客户服务电话</w:t>
      </w:r>
      <w:r>
        <w:rPr>
          <w:spacing w:val="-3"/>
        </w:rPr>
        <w:t>：95521 </w:t>
      </w:r>
      <w:r>
        <w:rPr/>
        <w:t>传真：021-38670666</w:t>
      </w:r>
    </w:p>
    <w:p>
      <w:pPr>
        <w:pStyle w:val="BodyText"/>
        <w:spacing w:line="268" w:lineRule="exact"/>
      </w:pPr>
      <w:hyperlink r:id="rId129">
        <w:r>
          <w:rPr/>
          <w:t>网址：www.gtja.com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国信证券</w:t>
      </w:r>
    </w:p>
    <w:p>
      <w:pPr>
        <w:pStyle w:val="BodyText"/>
        <w:spacing w:line="364" w:lineRule="auto" w:before="139"/>
        <w:ind w:right="2486"/>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7316"/>
      </w:pPr>
      <w:r>
        <w:rPr/>
        <w:t>客户服务电话：95536 传真：0755-82133952</w:t>
      </w:r>
    </w:p>
    <w:p>
      <w:pPr>
        <w:pStyle w:val="BodyText"/>
        <w:spacing w:line="268" w:lineRule="exact"/>
      </w:pPr>
      <w:hyperlink r:id="rId130">
        <w:r>
          <w:rPr/>
          <w:t>网址：www.guosen.com.cn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906"/>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40"/>
        <w:ind w:right="7316"/>
      </w:pPr>
      <w:r>
        <w:rPr/>
        <w:t>客户服务电话：95578 传真：0551-2272100</w:t>
      </w:r>
    </w:p>
    <w:p>
      <w:pPr>
        <w:pStyle w:val="BodyText"/>
        <w:spacing w:line="268" w:lineRule="exact"/>
      </w:pPr>
      <w:hyperlink r:id="rId131">
        <w:r>
          <w:rPr/>
          <w:t>网址：www.gyzq.com.cn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海通证券</w:t>
      </w:r>
    </w:p>
    <w:p>
      <w:pPr>
        <w:pStyle w:val="BodyText"/>
        <w:spacing w:line="364" w:lineRule="auto" w:before="140"/>
        <w:ind w:right="6371"/>
      </w:pPr>
      <w:r>
        <w:rPr>
          <w:spacing w:val="-5"/>
        </w:rPr>
        <w:t>注册地址：上海市广东路 </w:t>
      </w:r>
      <w:r>
        <w:rPr/>
        <w:t>689</w:t>
      </w:r>
      <w:r>
        <w:rPr>
          <w:spacing w:val="-35"/>
        </w:rPr>
        <w:t> 号</w:t>
      </w:r>
      <w:r>
        <w:rPr>
          <w:spacing w:val="-5"/>
        </w:rPr>
        <w:t>办公地址：上海市广东路 </w:t>
      </w:r>
      <w:r>
        <w:rPr/>
        <w:t>689</w:t>
      </w:r>
      <w:r>
        <w:rPr>
          <w:spacing w:val="-35"/>
        </w:rPr>
        <w:t> 号</w:t>
      </w:r>
    </w:p>
    <w:p>
      <w:pPr>
        <w:spacing w:after="0" w:line="364" w:lineRule="auto"/>
        <w:sectPr>
          <w:pgSz w:w="11910" w:h="16840"/>
          <w:pgMar w:header="0" w:footer="1172" w:top="1580" w:bottom="1440" w:left="1520" w:right="360"/>
        </w:sectPr>
      </w:pPr>
    </w:p>
    <w:p>
      <w:pPr>
        <w:pStyle w:val="BodyText"/>
        <w:spacing w:before="106"/>
      </w:pPr>
      <w:r>
        <w:rPr/>
        <w:t>法定代表人：周杰</w:t>
      </w:r>
    </w:p>
    <w:p>
      <w:pPr>
        <w:pStyle w:val="BodyText"/>
        <w:spacing w:line="364" w:lineRule="auto" w:before="139"/>
        <w:ind w:right="7001"/>
      </w:pPr>
      <w:r>
        <w:rPr/>
        <w:t>联系人：金芸、李笑鸣 联系电话</w:t>
      </w:r>
      <w:r>
        <w:rPr>
          <w:spacing w:val="-2"/>
        </w:rPr>
        <w:t>：021-23219000</w:t>
      </w:r>
    </w:p>
    <w:p>
      <w:pPr>
        <w:pStyle w:val="BodyText"/>
        <w:spacing w:line="364" w:lineRule="auto"/>
        <w:ind w:right="7316"/>
      </w:pPr>
      <w:r>
        <w:rPr/>
        <w:t>客户服务电话</w:t>
      </w:r>
      <w:r>
        <w:rPr>
          <w:spacing w:val="-3"/>
        </w:rPr>
        <w:t>：95553 </w:t>
      </w:r>
      <w:r>
        <w:rPr/>
        <w:t>传真：021-23219100</w:t>
      </w:r>
    </w:p>
    <w:p>
      <w:pPr>
        <w:pStyle w:val="BodyText"/>
        <w:spacing w:line="268" w:lineRule="exact"/>
      </w:pPr>
      <w:hyperlink r:id="rId132">
        <w:r>
          <w:rPr/>
          <w:t>网址：www.htsec.com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恒泰证券</w:t>
      </w:r>
    </w:p>
    <w:p>
      <w:pPr>
        <w:pStyle w:val="BodyText"/>
        <w:spacing w:line="364" w:lineRule="auto" w:before="139"/>
        <w:ind w:right="1961"/>
      </w:pPr>
      <w:r>
        <w:rPr/>
        <w:t>注册地址：内蒙古自治区呼和浩特市新城区海拉尔东街满世尚都办公商业综合楼办公地址：呼和浩特市新城区海拉尔东街满世书香苑办公楼 7 楼</w:t>
      </w:r>
    </w:p>
    <w:p>
      <w:pPr>
        <w:pStyle w:val="BodyText"/>
        <w:spacing w:line="364" w:lineRule="auto"/>
        <w:ind w:right="7421"/>
      </w:pPr>
      <w:r>
        <w:rPr/>
        <w:t>法定代表人：庞介民联系人：熊丽</w:t>
      </w:r>
    </w:p>
    <w:p>
      <w:pPr>
        <w:pStyle w:val="BodyText"/>
        <w:spacing w:line="268" w:lineRule="exact"/>
      </w:pPr>
      <w:r>
        <w:rPr/>
        <w:t>联系电话：0471-4972675</w:t>
      </w:r>
    </w:p>
    <w:p>
      <w:pPr>
        <w:pStyle w:val="BodyText"/>
        <w:spacing w:before="139"/>
      </w:pPr>
      <w:r>
        <w:rPr/>
        <w:t>客户服务电话：4001966188,956088</w:t>
      </w:r>
    </w:p>
    <w:p>
      <w:pPr>
        <w:pStyle w:val="BodyText"/>
        <w:spacing w:before="139"/>
      </w:pPr>
      <w:hyperlink r:id="rId133">
        <w:r>
          <w:rPr/>
          <w:t>网址：www.cnht.com.cn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红塔证券</w:t>
      </w:r>
    </w:p>
    <w:p>
      <w:pPr>
        <w:pStyle w:val="BodyText"/>
        <w:spacing w:line="364" w:lineRule="auto" w:before="139"/>
        <w:ind w:right="5111"/>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40"/>
      </w:pPr>
      <w:r>
        <w:rPr/>
        <w:t>联系电话：0871-63582843</w:t>
      </w:r>
    </w:p>
    <w:p>
      <w:pPr>
        <w:pStyle w:val="BodyText"/>
        <w:spacing w:line="364" w:lineRule="auto" w:before="139"/>
        <w:ind w:right="7211"/>
      </w:pPr>
      <w:r>
        <w:rPr/>
        <w:t>客户服务电话：956060 传真：0871-63578827</w:t>
      </w:r>
    </w:p>
    <w:p>
      <w:pPr>
        <w:pStyle w:val="BodyText"/>
        <w:spacing w:line="268" w:lineRule="exact"/>
      </w:pPr>
      <w:hyperlink r:id="rId134">
        <w:r>
          <w:rPr/>
          <w:t>网址：http://www.hongtastock.com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华安证券</w:t>
      </w:r>
    </w:p>
    <w:p>
      <w:pPr>
        <w:pStyle w:val="BodyText"/>
        <w:spacing w:line="364" w:lineRule="auto" w:before="140"/>
        <w:ind w:right="4271"/>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7316"/>
      </w:pPr>
      <w:r>
        <w:rPr/>
        <w:t>客户服务电话</w:t>
      </w:r>
      <w:r>
        <w:rPr>
          <w:spacing w:val="-3"/>
        </w:rPr>
        <w:t>：95318 </w:t>
      </w:r>
      <w:r>
        <w:rPr>
          <w:spacing w:val="-2"/>
        </w:rPr>
        <w:t>传真</w:t>
      </w:r>
      <w:r>
        <w:rPr>
          <w:spacing w:val="-1"/>
        </w:rPr>
        <w:t>：0551-65161825</w:t>
      </w:r>
    </w:p>
    <w:p>
      <w:pPr>
        <w:pStyle w:val="BodyText"/>
        <w:spacing w:line="268" w:lineRule="exact"/>
      </w:pPr>
      <w:hyperlink r:id="rId135">
        <w:r>
          <w:rPr/>
          <w:t>网址：www.hazq.com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华宝证券</w:t>
      </w:r>
    </w:p>
    <w:p>
      <w:pPr>
        <w:spacing w:after="0" w:line="240" w:lineRule="auto"/>
        <w:jc w:val="both"/>
        <w:rPr>
          <w:sz w:val="21"/>
        </w:rPr>
        <w:sectPr>
          <w:pgSz w:w="11910" w:h="16840"/>
          <w:pgMar w:header="0" w:footer="1172" w:top="1580" w:bottom="1440" w:left="1520" w:right="360"/>
        </w:sectPr>
      </w:pPr>
    </w:p>
    <w:p>
      <w:pPr>
        <w:pStyle w:val="BodyText"/>
        <w:spacing w:line="364" w:lineRule="auto" w:before="106"/>
        <w:ind w:right="3536"/>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6581"/>
      </w:pPr>
      <w:r>
        <w:rPr/>
        <w:t>客户服务电话：400-820-9898 传真：021-20515593</w:t>
      </w:r>
    </w:p>
    <w:p>
      <w:pPr>
        <w:pStyle w:val="BodyText"/>
        <w:spacing w:line="268" w:lineRule="exact"/>
      </w:pPr>
      <w:hyperlink r:id="rId136">
        <w:r>
          <w:rPr/>
          <w:t>网址：www.cnhbstock.com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华福证券</w:t>
      </w:r>
    </w:p>
    <w:p>
      <w:pPr>
        <w:pStyle w:val="BodyText"/>
        <w:spacing w:line="364" w:lineRule="auto" w:before="140"/>
        <w:ind w:right="2906"/>
      </w:pPr>
      <w:r>
        <w:rPr>
          <w:spacing w:val="-3"/>
        </w:rPr>
        <w:t>注册地址：福建省福州市鼓楼区鼓屏路 </w:t>
      </w:r>
      <w:r>
        <w:rPr/>
        <w:t>27</w:t>
      </w:r>
      <w:r>
        <w:rPr>
          <w:spacing w:val="-30"/>
        </w:rPr>
        <w:t> 号 </w:t>
      </w:r>
      <w:r>
        <w:rPr/>
        <w:t>1#</w:t>
      </w:r>
      <w:r>
        <w:rPr>
          <w:spacing w:val="-22"/>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7316"/>
      </w:pPr>
      <w:r>
        <w:rPr/>
        <w:t>客户服务电话：95547 传真：021-20655196</w:t>
      </w:r>
    </w:p>
    <w:p>
      <w:pPr>
        <w:pStyle w:val="BodyText"/>
        <w:spacing w:line="268" w:lineRule="exact"/>
      </w:pPr>
      <w:hyperlink r:id="rId137">
        <w:r>
          <w:rPr/>
          <w:t>网址：www.hfzq.com.cn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华金证券</w:t>
      </w:r>
    </w:p>
    <w:p>
      <w:pPr>
        <w:pStyle w:val="BodyText"/>
        <w:spacing w:line="364" w:lineRule="auto" w:before="139"/>
        <w:ind w:right="3536"/>
        <w:jc w:val="both"/>
      </w:pPr>
      <w:r>
        <w:rPr/>
        <w:t>注册地址：中国（上海）</w:t>
      </w:r>
      <w:r>
        <w:rPr>
          <w:spacing w:val="-5"/>
        </w:rPr>
        <w:t>自由贸易试验区杨高南路 </w:t>
      </w:r>
      <w:r>
        <w:rPr/>
        <w:t>759</w:t>
      </w:r>
      <w:r>
        <w:rPr>
          <w:spacing w:val="-36"/>
        </w:rPr>
        <w:t> 号 </w:t>
      </w:r>
      <w:r>
        <w:rPr/>
        <w:t>30</w:t>
      </w:r>
      <w:r>
        <w:rPr>
          <w:spacing w:val="-35"/>
        </w:rPr>
        <w:t> 层</w:t>
      </w:r>
      <w:r>
        <w:rPr/>
        <w:t>办公地址：中国（上海）</w:t>
      </w:r>
      <w:r>
        <w:rPr>
          <w:spacing w:val="-5"/>
        </w:rPr>
        <w:t>自由贸易试验区杨高南路 </w:t>
      </w:r>
      <w:r>
        <w:rPr/>
        <w:t>759</w:t>
      </w:r>
      <w:r>
        <w:rPr>
          <w:spacing w:val="-36"/>
        </w:rPr>
        <w:t> 号 </w:t>
      </w:r>
      <w:r>
        <w:rPr/>
        <w:t>30</w:t>
      </w:r>
      <w:r>
        <w:rPr>
          <w:spacing w:val="-35"/>
        </w:rPr>
        <w:t> 层</w:t>
      </w:r>
      <w:r>
        <w:rPr/>
        <w:t>法定代表人：宋卫东</w:t>
      </w:r>
    </w:p>
    <w:p>
      <w:pPr>
        <w:pStyle w:val="BodyText"/>
        <w:spacing w:line="268" w:lineRule="exact"/>
      </w:pPr>
      <w:r>
        <w:rPr/>
        <w:t>联系人：郑媛</w:t>
      </w:r>
    </w:p>
    <w:p>
      <w:pPr>
        <w:pStyle w:val="BodyText"/>
        <w:spacing w:before="140"/>
      </w:pPr>
      <w:r>
        <w:rPr/>
        <w:t>联系电话：021-20655746</w:t>
      </w:r>
    </w:p>
    <w:p>
      <w:pPr>
        <w:pStyle w:val="BodyText"/>
        <w:spacing w:line="364" w:lineRule="auto" w:before="139"/>
        <w:ind w:right="7211"/>
      </w:pPr>
      <w:r>
        <w:rPr/>
        <w:t>客户服务电话：956011 传真：021-20655577</w:t>
      </w:r>
    </w:p>
    <w:p>
      <w:pPr>
        <w:pStyle w:val="BodyText"/>
        <w:spacing w:line="268" w:lineRule="exact"/>
      </w:pPr>
      <w:hyperlink r:id="rId138">
        <w:r>
          <w:rPr/>
          <w:t>网址：www.huajinsc.cn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华林证券</w:t>
      </w:r>
    </w:p>
    <w:p>
      <w:pPr>
        <w:pStyle w:val="BodyText"/>
        <w:spacing w:line="364" w:lineRule="auto" w:before="139"/>
        <w:ind w:right="4322"/>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before="139"/>
      </w:pPr>
      <w:r>
        <w:rPr/>
        <w:t>客户服务电话：400-188-3888</w:t>
      </w:r>
    </w:p>
    <w:p>
      <w:pPr>
        <w:spacing w:after="0"/>
        <w:sectPr>
          <w:pgSz w:w="11910" w:h="16840"/>
          <w:pgMar w:header="0" w:footer="1172" w:top="1580" w:bottom="1440" w:left="1520" w:right="360"/>
        </w:sectPr>
      </w:pPr>
    </w:p>
    <w:p>
      <w:pPr>
        <w:pStyle w:val="BodyText"/>
        <w:spacing w:before="106"/>
      </w:pPr>
      <w:hyperlink r:id="rId139">
        <w:r>
          <w:rPr/>
          <w:t>网址：www.chinalin.com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华龙证券</w:t>
      </w:r>
    </w:p>
    <w:p>
      <w:pPr>
        <w:pStyle w:val="BodyText"/>
        <w:spacing w:line="364" w:lineRule="auto" w:before="140"/>
        <w:ind w:right="3746"/>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7421"/>
      </w:pPr>
      <w:r>
        <w:rPr/>
        <w:t>法定代表人：陈牧原联系人：范坤</w:t>
      </w:r>
    </w:p>
    <w:p>
      <w:pPr>
        <w:pStyle w:val="BodyText"/>
        <w:spacing w:line="268" w:lineRule="exact"/>
      </w:pPr>
      <w:r>
        <w:rPr/>
        <w:t>联系电话：0931-4890208</w:t>
      </w:r>
    </w:p>
    <w:p>
      <w:pPr>
        <w:pStyle w:val="BodyText"/>
        <w:spacing w:line="364" w:lineRule="auto" w:before="138"/>
        <w:ind w:right="5846"/>
      </w:pPr>
      <w:r>
        <w:rPr/>
        <w:t>客户服务电话：95368、</w:t>
      </w:r>
      <w:r>
        <w:rPr>
          <w:spacing w:val="-2"/>
        </w:rPr>
        <w:t>400-689-8888 </w:t>
      </w:r>
      <w:r>
        <w:rPr/>
        <w:t>传真：0931-4890628</w:t>
      </w:r>
    </w:p>
    <w:p>
      <w:pPr>
        <w:pStyle w:val="BodyText"/>
        <w:spacing w:line="268" w:lineRule="exact"/>
      </w:pPr>
      <w:hyperlink r:id="rId140">
        <w:r>
          <w:rPr/>
          <w:t>网址：www.hlzq.com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2486"/>
      </w:pPr>
      <w:r>
        <w:rPr>
          <w:spacing w:val="-3"/>
        </w:rPr>
        <w:t>办公地址：北京市朝阳区朝阳门北大街 </w:t>
      </w:r>
      <w:r>
        <w:rPr/>
        <w:t>18</w:t>
      </w:r>
      <w:r>
        <w:rPr>
          <w:spacing w:val="-13"/>
        </w:rPr>
        <w:t> 号中国人保寿险大厦 </w:t>
      </w:r>
      <w:r>
        <w:rPr/>
        <w:t>11</w:t>
      </w:r>
      <w:r>
        <w:rPr>
          <w:spacing w:val="-36"/>
        </w:rPr>
        <w:t> 至 </w:t>
      </w:r>
      <w:r>
        <w:rPr/>
        <w:t>18</w:t>
      </w:r>
      <w:r>
        <w:rPr>
          <w:spacing w:val="-34"/>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40"/>
        <w:ind w:right="7316"/>
      </w:pPr>
      <w:r>
        <w:rPr/>
        <w:t>客户服务电话：95390 传真：010-85556088</w:t>
      </w:r>
    </w:p>
    <w:p>
      <w:pPr>
        <w:pStyle w:val="BodyText"/>
        <w:spacing w:line="268" w:lineRule="exact"/>
      </w:pPr>
      <w:hyperlink r:id="rId141">
        <w:r>
          <w:rPr/>
          <w:t>网址：www.hrsec.com.cn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4271"/>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7316"/>
      </w:pPr>
      <w:r>
        <w:rPr/>
        <w:t>客户服务电话：95597 传真：025-83387523</w:t>
      </w:r>
    </w:p>
    <w:p>
      <w:pPr>
        <w:pStyle w:val="BodyText"/>
        <w:spacing w:line="268" w:lineRule="exact"/>
      </w:pPr>
      <w:hyperlink r:id="rId142">
        <w:r>
          <w:rPr/>
          <w:t>网址：www.htsc.com.cn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华西证券</w:t>
      </w:r>
    </w:p>
    <w:p>
      <w:pPr>
        <w:pStyle w:val="BodyText"/>
        <w:spacing w:before="140"/>
      </w:pPr>
      <w:r>
        <w:rPr/>
        <w:t>注册地址：四川省成都市高新区天府二街 198 号</w:t>
      </w:r>
    </w:p>
    <w:p>
      <w:pPr>
        <w:pStyle w:val="BodyText"/>
        <w:spacing w:line="364" w:lineRule="auto" w:before="139"/>
        <w:ind w:right="3641"/>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spacing w:after="0" w:line="268" w:lineRule="exact"/>
        <w:sectPr>
          <w:pgSz w:w="11910" w:h="16840"/>
          <w:pgMar w:header="0" w:footer="1172" w:top="1580" w:bottom="1440" w:left="1520" w:right="360"/>
        </w:sectPr>
      </w:pPr>
    </w:p>
    <w:p>
      <w:pPr>
        <w:pStyle w:val="BodyText"/>
        <w:spacing w:before="106"/>
      </w:pPr>
      <w:r>
        <w:rPr/>
        <w:t>联系电话：010-58124967</w:t>
      </w:r>
    </w:p>
    <w:p>
      <w:pPr>
        <w:pStyle w:val="BodyText"/>
        <w:spacing w:line="364" w:lineRule="auto" w:before="139"/>
        <w:ind w:right="7316"/>
      </w:pPr>
      <w:r>
        <w:rPr/>
        <w:t>客户服务电话：95584 传真：028-86150040</w:t>
      </w:r>
    </w:p>
    <w:p>
      <w:pPr>
        <w:pStyle w:val="BodyText"/>
        <w:spacing w:line="268" w:lineRule="exact"/>
      </w:pPr>
      <w:hyperlink r:id="rId143">
        <w:r>
          <w:rPr/>
          <w:t>网址：www.hx168.com.cn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华鑫证券</w:t>
      </w:r>
    </w:p>
    <w:p>
      <w:pPr>
        <w:pStyle w:val="BodyText"/>
        <w:spacing w:before="139"/>
      </w:pPr>
      <w:r>
        <w:rPr/>
        <w:t>注册地址：深圳市福田区莲花街道福中社区深南大道 2008 号中国凤凰大厦 1 栋 20C-1</w:t>
      </w:r>
    </w:p>
    <w:p>
      <w:pPr>
        <w:pStyle w:val="BodyText"/>
        <w:spacing w:line="364" w:lineRule="auto" w:before="140"/>
        <w:ind w:right="5741"/>
      </w:pPr>
      <w:r>
        <w:rPr>
          <w:spacing w:val="-4"/>
        </w:rPr>
        <w:t>办公地址：上海市徐汇区宛平南路 </w:t>
      </w:r>
      <w:r>
        <w:rPr/>
        <w:t>8</w:t>
      </w:r>
      <w:r>
        <w:rPr>
          <w:spacing w:val="-35"/>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2066"/>
      </w:pPr>
      <w:r>
        <w:rPr/>
        <w:t>客户服务电话：95323（全国</w:t>
      </w:r>
      <w:r>
        <w:rPr>
          <w:spacing w:val="-105"/>
        </w:rPr>
        <w:t>）</w:t>
      </w:r>
      <w:r>
        <w:rPr/>
        <w:t>、400-109-9918（全国</w:t>
      </w:r>
      <w:r>
        <w:rPr>
          <w:spacing w:val="-105"/>
        </w:rPr>
        <w:t>）</w:t>
      </w:r>
      <w:r>
        <w:rPr/>
        <w:t>、029-68918888（西安</w:t>
      </w:r>
      <w:r>
        <w:rPr>
          <w:spacing w:val="-18"/>
        </w:rPr>
        <w:t>） </w:t>
      </w:r>
      <w:r>
        <w:rPr/>
        <w:t>传真：021-54967293</w:t>
      </w:r>
    </w:p>
    <w:p>
      <w:pPr>
        <w:pStyle w:val="BodyText"/>
        <w:spacing w:line="268" w:lineRule="exact"/>
      </w:pPr>
      <w:hyperlink r:id="rId144">
        <w:r>
          <w:rPr/>
          <w:t>网址：www.cfsc.com.cn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华信证券</w:t>
      </w:r>
    </w:p>
    <w:p>
      <w:pPr>
        <w:pStyle w:val="BodyText"/>
        <w:spacing w:line="364" w:lineRule="auto" w:before="139"/>
        <w:ind w:right="3851"/>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7421"/>
      </w:pPr>
      <w:r>
        <w:rPr/>
        <w:t>法定代表人：陈灿辉联系人：徐璐</w:t>
      </w:r>
    </w:p>
    <w:p>
      <w:pPr>
        <w:pStyle w:val="BodyText"/>
        <w:spacing w:line="268" w:lineRule="exact"/>
      </w:pPr>
      <w:r>
        <w:rPr/>
        <w:t>联系电话：021-63898952</w:t>
      </w:r>
    </w:p>
    <w:p>
      <w:pPr>
        <w:pStyle w:val="BodyText"/>
        <w:spacing w:line="364" w:lineRule="auto" w:before="139"/>
        <w:ind w:right="6581"/>
      </w:pPr>
      <w:r>
        <w:rPr/>
        <w:t>客户服务电话：400-820-5999 传真：021-68776977 转 8952</w:t>
      </w:r>
    </w:p>
    <w:p>
      <w:pPr>
        <w:pStyle w:val="BodyText"/>
        <w:spacing w:line="268" w:lineRule="exact"/>
      </w:pPr>
      <w:hyperlink r:id="rId145">
        <w:r>
          <w:rPr/>
          <w:t>网址：www.shhxzq.com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4481"/>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7211"/>
      </w:pPr>
      <w:r>
        <w:rPr/>
        <w:t>客户服务电话：956007 传真：0451-82337279</w:t>
      </w:r>
    </w:p>
    <w:p>
      <w:pPr>
        <w:pStyle w:val="BodyText"/>
        <w:spacing w:line="268" w:lineRule="exact"/>
      </w:pPr>
      <w:hyperlink r:id="rId146">
        <w:r>
          <w:rPr/>
          <w:t>网址：www.jhzq.com.cn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金元证券</w:t>
      </w:r>
    </w:p>
    <w:p>
      <w:pPr>
        <w:pStyle w:val="BodyText"/>
        <w:spacing w:before="139"/>
      </w:pPr>
      <w:r>
        <w:rPr/>
        <w:t>注册地址：海口市南宝路 36 号证券大厦 4 楼</w:t>
      </w:r>
    </w:p>
    <w:p>
      <w:pPr>
        <w:spacing w:after="0"/>
        <w:sectPr>
          <w:pgSz w:w="11910" w:h="16840"/>
          <w:pgMar w:header="0" w:footer="1172" w:top="1580" w:bottom="1440" w:left="1520" w:right="360"/>
        </w:sectPr>
      </w:pPr>
    </w:p>
    <w:p>
      <w:pPr>
        <w:pStyle w:val="BodyText"/>
        <w:spacing w:line="364" w:lineRule="auto" w:before="106"/>
        <w:ind w:right="3851"/>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7316"/>
      </w:pPr>
      <w:r>
        <w:rPr/>
        <w:t>客户服务电话：95372 传真：0755-83025625</w:t>
      </w:r>
    </w:p>
    <w:p>
      <w:pPr>
        <w:pStyle w:val="BodyText"/>
        <w:spacing w:line="268" w:lineRule="exact"/>
      </w:pPr>
      <w:hyperlink r:id="rId147">
        <w:r>
          <w:rPr/>
          <w:t>网址：www.jyzq.cn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3746"/>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7316"/>
      </w:pPr>
      <w:r>
        <w:rPr/>
        <w:t>客户服务电话</w:t>
      </w:r>
      <w:r>
        <w:rPr>
          <w:spacing w:val="-3"/>
        </w:rPr>
        <w:t>：95305 </w:t>
      </w:r>
      <w:r>
        <w:rPr/>
        <w:t>传真：010-57672296</w:t>
      </w:r>
    </w:p>
    <w:p>
      <w:pPr>
        <w:pStyle w:val="BodyText"/>
        <w:spacing w:line="268" w:lineRule="exact"/>
      </w:pPr>
      <w:hyperlink r:id="rId148">
        <w:r>
          <w:rPr/>
          <w:t>网址：www.jzsec.com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开源证券</w:t>
      </w:r>
    </w:p>
    <w:p>
      <w:pPr>
        <w:pStyle w:val="BodyText"/>
        <w:spacing w:line="364" w:lineRule="auto" w:before="140"/>
        <w:ind w:right="3641"/>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7316"/>
      </w:pPr>
      <w:r>
        <w:rPr/>
        <w:t>客户服务电话：95325 </w:t>
      </w:r>
      <w:hyperlink r:id="rId149">
        <w:r>
          <w:rPr/>
          <w:t>网址：www.kysec.cn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联储证券</w:t>
      </w:r>
    </w:p>
    <w:p>
      <w:pPr>
        <w:pStyle w:val="BodyText"/>
        <w:spacing w:line="364" w:lineRule="auto" w:before="139"/>
        <w:ind w:right="1751"/>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7421"/>
      </w:pPr>
      <w:r>
        <w:rPr/>
        <w:t>法定代表人：吕春卫联系人：张婉婷</w:t>
      </w:r>
    </w:p>
    <w:p>
      <w:pPr>
        <w:pStyle w:val="BodyText"/>
        <w:spacing w:line="268" w:lineRule="exact"/>
      </w:pPr>
      <w:r>
        <w:rPr/>
        <w:t>联系电话：010-86499765</w:t>
      </w:r>
    </w:p>
    <w:p>
      <w:pPr>
        <w:pStyle w:val="BodyText"/>
        <w:spacing w:line="364" w:lineRule="auto" w:before="139"/>
        <w:ind w:right="6581"/>
      </w:pPr>
      <w:r>
        <w:rPr/>
        <w:t>客户服务电话：400-620-6868 </w:t>
      </w:r>
      <w:hyperlink r:id="rId150">
        <w:r>
          <w:rPr/>
          <w:t>网址：www.lczq.com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南京证券</w:t>
      </w:r>
    </w:p>
    <w:p>
      <w:pPr>
        <w:spacing w:after="0" w:line="268" w:lineRule="exact"/>
        <w:jc w:val="left"/>
        <w:rPr>
          <w:sz w:val="21"/>
        </w:rPr>
        <w:sectPr>
          <w:pgSz w:w="11910" w:h="16840"/>
          <w:pgMar w:header="0" w:footer="1172" w:top="1580" w:bottom="1440" w:left="1520" w:right="360"/>
        </w:sectPr>
      </w:pPr>
    </w:p>
    <w:p>
      <w:pPr>
        <w:pStyle w:val="BodyText"/>
        <w:spacing w:line="364" w:lineRule="auto" w:before="106"/>
        <w:ind w:right="6161"/>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7316"/>
      </w:pPr>
      <w:r>
        <w:rPr/>
        <w:t>客户服务电话：95386 传真：025-83369725</w:t>
      </w:r>
    </w:p>
    <w:p>
      <w:pPr>
        <w:pStyle w:val="BodyText"/>
        <w:spacing w:line="268" w:lineRule="exact"/>
      </w:pPr>
      <w:hyperlink r:id="rId151">
        <w:r>
          <w:rPr/>
          <w:t>网址：www.njzq.com.cn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平安证券</w:t>
      </w:r>
    </w:p>
    <w:p>
      <w:pPr>
        <w:pStyle w:val="BodyText"/>
        <w:spacing w:line="364" w:lineRule="auto" w:before="140"/>
        <w:ind w:right="2066"/>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7421"/>
      </w:pPr>
      <w:r>
        <w:rPr/>
        <w:t>法定代表人：何之江联系人：周驰</w:t>
      </w:r>
    </w:p>
    <w:p>
      <w:pPr>
        <w:pStyle w:val="BodyText"/>
        <w:spacing w:line="268" w:lineRule="exact"/>
      </w:pPr>
      <w:r>
        <w:rPr/>
        <w:t>联系电话：021-38643230</w:t>
      </w:r>
    </w:p>
    <w:p>
      <w:pPr>
        <w:pStyle w:val="BodyText"/>
        <w:spacing w:line="364" w:lineRule="auto" w:before="138"/>
        <w:ind w:right="7106"/>
      </w:pPr>
      <w:r>
        <w:rPr/>
        <w:t>客户服务电话：95511-8 传真：021-58991896</w:t>
      </w:r>
    </w:p>
    <w:p>
      <w:pPr>
        <w:pStyle w:val="BodyText"/>
        <w:spacing w:line="268" w:lineRule="exact"/>
      </w:pPr>
      <w:r>
        <w:rPr/>
        <w:t>网址：stock.pingan.com</w:t>
      </w:r>
    </w:p>
    <w:p>
      <w:pPr>
        <w:pStyle w:val="ListParagraph"/>
        <w:numPr>
          <w:ilvl w:val="0"/>
          <w:numId w:val="9"/>
        </w:numPr>
        <w:tabs>
          <w:tab w:pos="1239" w:val="left" w:leader="none"/>
        </w:tabs>
        <w:spacing w:line="240" w:lineRule="auto" w:before="140" w:after="0"/>
        <w:ind w:left="1239" w:right="0" w:hanging="526"/>
        <w:jc w:val="both"/>
        <w:rPr>
          <w:sz w:val="21"/>
        </w:rPr>
      </w:pPr>
      <w:r>
        <w:rPr>
          <w:sz w:val="21"/>
        </w:rPr>
        <w:t>瑞银证券</w:t>
      </w:r>
    </w:p>
    <w:p>
      <w:pPr>
        <w:pStyle w:val="BodyText"/>
        <w:spacing w:line="364" w:lineRule="auto" w:before="139"/>
        <w:ind w:right="2852"/>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6581"/>
      </w:pPr>
      <w:r>
        <w:rPr/>
        <w:t>客户服务电话：400-887-8827 传真：010-58328170</w:t>
      </w:r>
    </w:p>
    <w:p>
      <w:pPr>
        <w:pStyle w:val="BodyText"/>
        <w:spacing w:line="268" w:lineRule="exact"/>
      </w:pPr>
      <w:hyperlink r:id="rId152">
        <w:r>
          <w:rPr/>
          <w:t>网址：https://www.ubs.com/ubssecurities</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山西证券</w:t>
      </w:r>
    </w:p>
    <w:p>
      <w:pPr>
        <w:pStyle w:val="BodyText"/>
        <w:spacing w:line="364" w:lineRule="auto" w:before="140"/>
        <w:ind w:right="4166"/>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spacing w:after="0"/>
        <w:sectPr>
          <w:pgSz w:w="11910" w:h="16840"/>
          <w:pgMar w:header="0" w:footer="1172" w:top="1580" w:bottom="1440" w:left="1520" w:right="360"/>
        </w:sectPr>
      </w:pPr>
    </w:p>
    <w:p>
      <w:pPr>
        <w:pStyle w:val="BodyText"/>
        <w:spacing w:before="106"/>
      </w:pPr>
      <w:r>
        <w:rPr/>
        <w:t>传真：0351-8686619</w:t>
      </w:r>
    </w:p>
    <w:p>
      <w:pPr>
        <w:pStyle w:val="BodyText"/>
        <w:spacing w:before="139"/>
      </w:pPr>
      <w:hyperlink r:id="rId153">
        <w:r>
          <w:rPr/>
          <w:t>网址：www.i618.com.cn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4481"/>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39"/>
      </w:pPr>
      <w:hyperlink r:id="rId154">
        <w:r>
          <w:rPr/>
          <w:t>网址：https://www.shzq.com/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申万宏源西部证券</w:t>
      </w:r>
    </w:p>
    <w:p>
      <w:pPr>
        <w:pStyle w:val="BodyText"/>
        <w:spacing w:line="364" w:lineRule="auto" w:before="139"/>
        <w:ind w:right="1121"/>
        <w:jc w:val="both"/>
      </w:pPr>
      <w:r>
        <w:rPr/>
        <w:t>注册地址：新疆乌鲁木齐市高新区（新市区）</w:t>
      </w:r>
      <w:r>
        <w:rPr>
          <w:spacing w:val="-11"/>
        </w:rPr>
        <w:t>北京南路 </w:t>
      </w:r>
      <w:r>
        <w:rPr/>
        <w:t>358</w:t>
      </w:r>
      <w:r>
        <w:rPr>
          <w:spacing w:val="-13"/>
        </w:rPr>
        <w:t> 号大成国际大厦 </w:t>
      </w:r>
      <w:r>
        <w:rPr/>
        <w:t>20</w:t>
      </w:r>
      <w:r>
        <w:rPr>
          <w:spacing w:val="-36"/>
        </w:rPr>
        <w:t> 楼 </w:t>
      </w:r>
      <w:r>
        <w:rPr/>
        <w:t>2005</w:t>
      </w:r>
      <w:r>
        <w:rPr>
          <w:spacing w:val="-34"/>
        </w:rPr>
        <w:t> 室</w:t>
      </w:r>
      <w:r>
        <w:rPr/>
        <w:t>办公地址：新疆乌鲁木齐市高新区（新市区）</w:t>
      </w:r>
      <w:r>
        <w:rPr>
          <w:spacing w:val="-11"/>
        </w:rPr>
        <w:t>北京南路 </w:t>
      </w:r>
      <w:r>
        <w:rPr/>
        <w:t>358</w:t>
      </w:r>
      <w:r>
        <w:rPr>
          <w:spacing w:val="-13"/>
        </w:rPr>
        <w:t> 号大成国际大厦 </w:t>
      </w:r>
      <w:r>
        <w:rPr/>
        <w:t>20</w:t>
      </w:r>
      <w:r>
        <w:rPr>
          <w:spacing w:val="-36"/>
        </w:rPr>
        <w:t> 楼 </w:t>
      </w:r>
      <w:r>
        <w:rPr/>
        <w:t>2005</w:t>
      </w:r>
      <w:r>
        <w:rPr>
          <w:spacing w:val="-34"/>
        </w:rPr>
        <w:t> 室</w:t>
      </w:r>
      <w:r>
        <w:rPr/>
        <w:t>法定代表人：李琦</w:t>
      </w:r>
    </w:p>
    <w:p>
      <w:pPr>
        <w:pStyle w:val="BodyText"/>
        <w:spacing w:line="268" w:lineRule="exact"/>
      </w:pPr>
      <w:r>
        <w:rPr/>
        <w:t>联系人：王怀春</w:t>
      </w:r>
    </w:p>
    <w:p>
      <w:pPr>
        <w:pStyle w:val="BodyText"/>
        <w:spacing w:before="140"/>
      </w:pPr>
      <w:r>
        <w:rPr/>
        <w:t>联系电话：0991-2307105</w:t>
      </w:r>
    </w:p>
    <w:p>
      <w:pPr>
        <w:pStyle w:val="BodyText"/>
        <w:spacing w:line="364" w:lineRule="auto" w:before="139"/>
        <w:ind w:right="6581"/>
      </w:pPr>
      <w:r>
        <w:rPr/>
        <w:t>客户服务电话</w:t>
      </w:r>
      <w:r>
        <w:rPr>
          <w:spacing w:val="-2"/>
        </w:rPr>
        <w:t>：4008-000-562 </w:t>
      </w:r>
      <w:r>
        <w:rPr/>
        <w:t>传真：010-88085195</w:t>
      </w:r>
    </w:p>
    <w:p>
      <w:pPr>
        <w:pStyle w:val="BodyText"/>
        <w:spacing w:line="268" w:lineRule="exact"/>
      </w:pPr>
      <w:hyperlink r:id="rId155">
        <w:r>
          <w:rPr/>
          <w:t>网址：www.hysec.com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956"/>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39"/>
      </w:pPr>
      <w:r>
        <w:rPr/>
        <w:t>联系电话：021-33388252</w:t>
      </w:r>
    </w:p>
    <w:p>
      <w:pPr>
        <w:pStyle w:val="BodyText"/>
        <w:spacing w:line="364" w:lineRule="auto" w:before="139"/>
        <w:ind w:right="6056"/>
      </w:pPr>
      <w:r>
        <w:rPr/>
        <w:t>客户服务电话：95523、4008895523 传真：021-33388224</w:t>
      </w:r>
    </w:p>
    <w:p>
      <w:pPr>
        <w:pStyle w:val="BodyText"/>
        <w:spacing w:line="268" w:lineRule="exact"/>
      </w:pPr>
      <w:hyperlink r:id="rId156">
        <w:r>
          <w:rPr/>
          <w:t>网址：www.swhysc.com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世纪证券</w:t>
      </w:r>
    </w:p>
    <w:p>
      <w:pPr>
        <w:pStyle w:val="BodyText"/>
        <w:spacing w:line="364" w:lineRule="auto" w:before="139"/>
        <w:ind w:left="293" w:right="936" w:firstLine="420"/>
      </w:pPr>
      <w:r>
        <w:rPr/>
        <w:t>注册地址：深圳市前海深港合作区南山街道桂湾五路 128 号前海深港基金小镇对冲基金中心 406</w:t>
      </w:r>
    </w:p>
    <w:p>
      <w:pPr>
        <w:pStyle w:val="BodyText"/>
        <w:spacing w:line="268" w:lineRule="exact"/>
      </w:pPr>
      <w:r>
        <w:rPr/>
        <w:t>办公地址：深圳市福田区深南大道招商银行大厦 40-42 层</w:t>
      </w:r>
    </w:p>
    <w:p>
      <w:pPr>
        <w:spacing w:after="0" w:line="268" w:lineRule="exact"/>
        <w:sectPr>
          <w:pgSz w:w="11910" w:h="16840"/>
          <w:pgMar w:header="0" w:footer="1172" w:top="1580" w:bottom="1440" w:left="1520" w:right="360"/>
        </w:sectPr>
      </w:pPr>
    </w:p>
    <w:p>
      <w:pPr>
        <w:pStyle w:val="BodyText"/>
        <w:spacing w:line="364" w:lineRule="auto" w:before="106"/>
        <w:ind w:right="7631"/>
      </w:pPr>
      <w:r>
        <w:rPr/>
        <w:t>法定代表人：李强联系人：王雯</w:t>
      </w:r>
    </w:p>
    <w:p>
      <w:pPr>
        <w:pStyle w:val="BodyText"/>
        <w:spacing w:line="268" w:lineRule="exact"/>
      </w:pPr>
      <w:r>
        <w:rPr/>
        <w:t>联系电话：0755-83199511</w:t>
      </w:r>
    </w:p>
    <w:p>
      <w:pPr>
        <w:pStyle w:val="BodyText"/>
        <w:spacing w:line="364" w:lineRule="auto" w:before="139"/>
        <w:ind w:right="6791"/>
      </w:pPr>
      <w:r>
        <w:rPr/>
        <w:t>客户服务电话：4008323000 </w:t>
      </w:r>
      <w:hyperlink r:id="rId157">
        <w:r>
          <w:rPr/>
          <w:t>网址：www.csco.com.cn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首创证券</w:t>
      </w:r>
    </w:p>
    <w:p>
      <w:pPr>
        <w:pStyle w:val="BodyText"/>
        <w:spacing w:line="364" w:lineRule="auto" w:before="140"/>
        <w:ind w:right="3851"/>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581"/>
      </w:pPr>
      <w:r>
        <w:rPr/>
        <w:t>客户服务电话：400-620-0620 传真：010-59366055</w:t>
      </w:r>
    </w:p>
    <w:p>
      <w:pPr>
        <w:pStyle w:val="BodyText"/>
        <w:spacing w:line="268" w:lineRule="exact"/>
      </w:pPr>
      <w:hyperlink r:id="rId158">
        <w:r>
          <w:rPr/>
          <w:t>网址：http://www.sczq.com.cn/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天风证券</w:t>
      </w:r>
    </w:p>
    <w:p>
      <w:pPr>
        <w:pStyle w:val="BodyText"/>
        <w:spacing w:line="364" w:lineRule="auto" w:before="140"/>
        <w:ind w:right="2801"/>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631"/>
      </w:pPr>
      <w:r>
        <w:rPr/>
        <w:t>法定代表人：余磊联系人：王雅薇</w:t>
      </w:r>
    </w:p>
    <w:p>
      <w:pPr>
        <w:pStyle w:val="BodyText"/>
        <w:spacing w:line="268" w:lineRule="exact"/>
      </w:pPr>
      <w:r>
        <w:rPr/>
        <w:t>联系电话：027-87617017</w:t>
      </w:r>
    </w:p>
    <w:p>
      <w:pPr>
        <w:pStyle w:val="BodyText"/>
        <w:spacing w:line="364" w:lineRule="auto" w:before="138"/>
        <w:ind w:right="6056"/>
      </w:pPr>
      <w:r>
        <w:rPr/>
        <w:t>客户服务电话：4008005000、95391 传真：027-87618863</w:t>
      </w:r>
    </w:p>
    <w:p>
      <w:pPr>
        <w:pStyle w:val="BodyText"/>
        <w:spacing w:line="268" w:lineRule="exact"/>
      </w:pPr>
      <w:hyperlink r:id="rId159">
        <w:r>
          <w:rPr/>
          <w:t>网址：http://www.tfzq.com/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39"/>
        <w:ind w:right="3431"/>
      </w:pPr>
      <w:r>
        <w:rPr>
          <w:spacing w:val="-4"/>
        </w:rPr>
        <w:t>办公地址：广州市天河区珠江东路 </w:t>
      </w:r>
      <w:r>
        <w:rPr/>
        <w:t>13</w:t>
      </w:r>
      <w:r>
        <w:rPr>
          <w:spacing w:val="-13"/>
        </w:rPr>
        <w:t> 号高德置地广场 </w:t>
      </w:r>
      <w:r>
        <w:rPr/>
        <w:t>E</w:t>
      </w:r>
      <w:r>
        <w:rPr>
          <w:spacing w:val="-36"/>
        </w:rPr>
        <w:t> 栋 </w:t>
      </w:r>
      <w:r>
        <w:rPr/>
        <w:t>12</w:t>
      </w:r>
      <w:r>
        <w:rPr>
          <w:spacing w:val="-34"/>
        </w:rPr>
        <w:t> 层</w:t>
      </w:r>
      <w:r>
        <w:rPr/>
        <w:t>法定代表人：罗钦城</w:t>
      </w:r>
    </w:p>
    <w:p>
      <w:pPr>
        <w:pStyle w:val="BodyText"/>
        <w:spacing w:line="268" w:lineRule="exact"/>
      </w:pPr>
      <w:r>
        <w:rPr/>
        <w:t>联系人：甘蕾</w:t>
      </w:r>
    </w:p>
    <w:p>
      <w:pPr>
        <w:pStyle w:val="BodyText"/>
        <w:spacing w:before="140"/>
      </w:pPr>
      <w:r>
        <w:rPr/>
        <w:t>联系电话：020-38286026</w:t>
      </w:r>
    </w:p>
    <w:p>
      <w:pPr>
        <w:pStyle w:val="BodyText"/>
        <w:spacing w:line="364" w:lineRule="auto" w:before="139"/>
        <w:ind w:right="7316"/>
      </w:pPr>
      <w:r>
        <w:rPr/>
        <w:t>客户服务电话</w:t>
      </w:r>
      <w:r>
        <w:rPr>
          <w:spacing w:val="-3"/>
        </w:rPr>
        <w:t>：95322 </w:t>
      </w:r>
      <w:r>
        <w:rPr/>
        <w:t>传真：020-38286588</w:t>
      </w:r>
    </w:p>
    <w:p>
      <w:pPr>
        <w:pStyle w:val="BodyText"/>
        <w:spacing w:line="268" w:lineRule="exact"/>
      </w:pPr>
      <w:hyperlink r:id="rId160">
        <w:r>
          <w:rPr/>
          <w:t>网址：www.wlzq.cn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五矿证券</w:t>
      </w:r>
    </w:p>
    <w:p>
      <w:pPr>
        <w:spacing w:after="0" w:line="240" w:lineRule="auto"/>
        <w:jc w:val="left"/>
        <w:rPr>
          <w:sz w:val="21"/>
        </w:rPr>
        <w:sectPr>
          <w:pgSz w:w="11910" w:h="16840"/>
          <w:pgMar w:header="0" w:footer="1172" w:top="1580" w:bottom="1440" w:left="1520" w:right="360"/>
        </w:sectPr>
      </w:pPr>
    </w:p>
    <w:p>
      <w:pPr>
        <w:pStyle w:val="BodyText"/>
        <w:spacing w:line="364" w:lineRule="auto" w:before="106"/>
        <w:ind w:right="2486"/>
      </w:pPr>
      <w:r>
        <w:rPr>
          <w:spacing w:val="-4"/>
        </w:rPr>
        <w:t>注册地址：深圳市福田区金田路 </w:t>
      </w:r>
      <w:r>
        <w:rPr/>
        <w:t>4028</w:t>
      </w:r>
      <w:r>
        <w:rPr>
          <w:spacing w:val="-12"/>
        </w:rPr>
        <w:t> 号荣超经贸中心办公楼 </w:t>
      </w:r>
      <w:r>
        <w:rPr/>
        <w:t>47</w:t>
      </w:r>
      <w:r>
        <w:rPr>
          <w:spacing w:val="-36"/>
        </w:rPr>
        <w:t> 层 </w:t>
      </w:r>
      <w:r>
        <w:rPr/>
        <w:t>01</w:t>
      </w:r>
      <w:r>
        <w:rPr>
          <w:spacing w:val="-23"/>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7421"/>
      </w:pPr>
      <w:r>
        <w:rPr/>
        <w:t>法定代表人：黄海洲联系人：濮耘瑶</w:t>
      </w:r>
    </w:p>
    <w:p>
      <w:pPr>
        <w:pStyle w:val="BodyText"/>
        <w:spacing w:line="268" w:lineRule="exact"/>
      </w:pPr>
      <w:r>
        <w:rPr/>
        <w:t>联系电话：0755-82545596</w:t>
      </w:r>
    </w:p>
    <w:p>
      <w:pPr>
        <w:pStyle w:val="BodyText"/>
        <w:spacing w:line="364" w:lineRule="auto" w:before="138"/>
        <w:ind w:right="6686"/>
      </w:pPr>
      <w:r>
        <w:rPr/>
        <w:t>客户服务电话：40018-40028 传真：0755-82545500</w:t>
      </w:r>
    </w:p>
    <w:p>
      <w:pPr>
        <w:pStyle w:val="BodyText"/>
        <w:spacing w:line="268" w:lineRule="exact"/>
      </w:pPr>
      <w:hyperlink r:id="rId161">
        <w:r>
          <w:rPr/>
          <w:t>网址：www.wkzq.com.cn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西部证券</w:t>
      </w:r>
    </w:p>
    <w:p>
      <w:pPr>
        <w:pStyle w:val="BodyText"/>
        <w:spacing w:line="364" w:lineRule="auto" w:before="139"/>
        <w:ind w:right="3851"/>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7316"/>
      </w:pPr>
      <w:r>
        <w:rPr/>
        <w:t>客户服务电话：95582 传真：029-87211478</w:t>
      </w:r>
    </w:p>
    <w:p>
      <w:pPr>
        <w:pStyle w:val="BodyText"/>
        <w:spacing w:line="268" w:lineRule="exact"/>
      </w:pPr>
      <w:hyperlink r:id="rId162">
        <w:r>
          <w:rPr/>
          <w:t>网址：www.westsecu.com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691"/>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39"/>
      </w:pPr>
      <w:r>
        <w:rPr/>
        <w:t>客户服务电话：4008096096 或 95355</w:t>
      </w:r>
    </w:p>
    <w:p>
      <w:pPr>
        <w:pStyle w:val="BodyText"/>
        <w:spacing w:before="140"/>
      </w:pPr>
      <w:r>
        <w:rPr/>
        <w:t>传真：023-63786212</w:t>
      </w:r>
    </w:p>
    <w:p>
      <w:pPr>
        <w:pStyle w:val="BodyText"/>
        <w:spacing w:before="139"/>
      </w:pPr>
      <w:hyperlink r:id="rId163">
        <w:r>
          <w:rPr/>
          <w:t>网址：www.swsc.com.cn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湘财证券</w:t>
      </w:r>
    </w:p>
    <w:p>
      <w:pPr>
        <w:pStyle w:val="BodyText"/>
        <w:spacing w:line="364" w:lineRule="auto" w:before="139"/>
        <w:ind w:right="2486"/>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before="139"/>
      </w:pPr>
      <w:r>
        <w:rPr/>
        <w:t>客户服务电话：95351</w:t>
      </w:r>
    </w:p>
    <w:p>
      <w:pPr>
        <w:spacing w:after="0"/>
        <w:sectPr>
          <w:pgSz w:w="11910" w:h="16840"/>
          <w:pgMar w:header="0" w:footer="1172" w:top="1580" w:bottom="1440" w:left="1520" w:right="360"/>
        </w:sectPr>
      </w:pPr>
    </w:p>
    <w:p>
      <w:pPr>
        <w:pStyle w:val="BodyText"/>
        <w:spacing w:before="106"/>
      </w:pPr>
      <w:r>
        <w:rPr/>
        <w:t>传真：021-68865680</w:t>
      </w:r>
    </w:p>
    <w:p>
      <w:pPr>
        <w:pStyle w:val="BodyText"/>
        <w:spacing w:before="139"/>
      </w:pPr>
      <w:hyperlink r:id="rId164">
        <w:r>
          <w:rPr/>
          <w:t>网址：www.xcsc.com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新时代证券</w:t>
      </w:r>
    </w:p>
    <w:p>
      <w:pPr>
        <w:pStyle w:val="BodyText"/>
        <w:spacing w:line="364" w:lineRule="auto" w:before="139"/>
        <w:ind w:right="3587"/>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7316"/>
      </w:pPr>
      <w:r>
        <w:rPr/>
        <w:t>客户服务电话：95399 </w:t>
      </w:r>
      <w:hyperlink r:id="rId165">
        <w:r>
          <w:rPr/>
          <w:t>网址：www.xsdzq.cn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信达证券</w:t>
      </w:r>
    </w:p>
    <w:p>
      <w:pPr>
        <w:pStyle w:val="BodyText"/>
        <w:spacing w:line="364" w:lineRule="auto" w:before="140"/>
        <w:ind w:right="4691"/>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39"/>
        <w:ind w:right="7316"/>
      </w:pPr>
      <w:r>
        <w:rPr/>
        <w:t>客户服务电话：95321 传真：010-63080978</w:t>
      </w:r>
    </w:p>
    <w:p>
      <w:pPr>
        <w:pStyle w:val="BodyText"/>
        <w:spacing w:line="268" w:lineRule="exact"/>
      </w:pPr>
      <w:hyperlink r:id="rId166">
        <w:r>
          <w:rPr/>
          <w:t>网址：www.cindasc.com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兴业证券</w:t>
      </w:r>
    </w:p>
    <w:p>
      <w:pPr>
        <w:pStyle w:val="BodyText"/>
        <w:spacing w:before="139"/>
      </w:pPr>
      <w:r>
        <w:rPr/>
        <w:t>注册地址：福州市湖东路 268 号</w:t>
      </w:r>
    </w:p>
    <w:p>
      <w:pPr>
        <w:pStyle w:val="BodyText"/>
        <w:spacing w:line="364" w:lineRule="auto" w:before="140"/>
        <w:ind w:right="4061"/>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7106"/>
      </w:pPr>
      <w:r>
        <w:rPr/>
        <w:t>客户服务电话：95562 </w:t>
      </w:r>
      <w:hyperlink r:id="rId167">
        <w:r>
          <w:rPr>
            <w:spacing w:val="-1"/>
          </w:rPr>
          <w:t>网址</w:t>
        </w:r>
        <w:r>
          <w:rPr/>
          <w:t>：www.xyzq.com.cn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956"/>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spacing w:after="0"/>
        <w:sectPr>
          <w:pgSz w:w="11910" w:h="16840"/>
          <w:pgMar w:header="0" w:footer="1172" w:top="1580" w:bottom="1440" w:left="1520" w:right="360"/>
        </w:sectPr>
      </w:pPr>
    </w:p>
    <w:p>
      <w:pPr>
        <w:pStyle w:val="BodyText"/>
        <w:spacing w:before="106"/>
      </w:pPr>
      <w:r>
        <w:rPr/>
        <w:t>客户服务电话：4008-888-888 或 95551</w:t>
      </w:r>
    </w:p>
    <w:p>
      <w:pPr>
        <w:pStyle w:val="BodyText"/>
        <w:spacing w:before="139"/>
      </w:pPr>
      <w:hyperlink r:id="rId168">
        <w:r>
          <w:rPr/>
          <w:t>网址：www.chinastock.com.cn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粤开证券</w:t>
      </w:r>
    </w:p>
    <w:p>
      <w:pPr>
        <w:pStyle w:val="BodyText"/>
        <w:spacing w:line="364" w:lineRule="auto" w:before="139"/>
        <w:ind w:right="1856"/>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7421"/>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69">
        <w:r>
          <w:rPr/>
          <w:t>公司网址：http://www.ykzq.com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招商证券</w:t>
      </w:r>
    </w:p>
    <w:p>
      <w:pPr>
        <w:pStyle w:val="BodyText"/>
        <w:spacing w:line="364" w:lineRule="auto" w:before="139"/>
        <w:ind w:right="4691"/>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5846"/>
      </w:pPr>
      <w:r>
        <w:rPr/>
        <w:t>客户服务电话：95565、400-8888-111 传真：0755-82943636</w:t>
      </w:r>
    </w:p>
    <w:p>
      <w:pPr>
        <w:pStyle w:val="BodyText"/>
        <w:spacing w:line="268" w:lineRule="exact"/>
      </w:pPr>
      <w:hyperlink r:id="rId170">
        <w:r>
          <w:rPr/>
          <w:t>网址：www.newone.com.cn</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浙商证券</w:t>
      </w:r>
    </w:p>
    <w:p>
      <w:pPr>
        <w:pStyle w:val="BodyText"/>
        <w:spacing w:before="140"/>
      </w:pPr>
      <w:r>
        <w:rPr/>
        <w:t>注册地址：浙江省杭州市江干区五星路 201 号</w:t>
      </w:r>
    </w:p>
    <w:p>
      <w:pPr>
        <w:pStyle w:val="BodyText"/>
        <w:spacing w:line="364" w:lineRule="auto" w:before="139"/>
        <w:ind w:right="3431"/>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7316"/>
      </w:pPr>
      <w:r>
        <w:rPr/>
        <w:t>客户服务电话：95345 传真：0571-87901913</w:t>
      </w:r>
    </w:p>
    <w:p>
      <w:pPr>
        <w:pStyle w:val="BodyText"/>
        <w:spacing w:line="268" w:lineRule="exact"/>
      </w:pPr>
      <w:hyperlink r:id="rId171">
        <w:r>
          <w:rPr/>
          <w:t>网址：www.stocke.com.cn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中航证券</w:t>
      </w:r>
    </w:p>
    <w:p>
      <w:pPr>
        <w:pStyle w:val="BodyText"/>
        <w:spacing w:line="364" w:lineRule="auto" w:before="139"/>
        <w:ind w:right="1541"/>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4"/>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4"/>
        </w:rPr>
        <w:t> 层</w:t>
      </w:r>
      <w:r>
        <w:rPr/>
        <w:t>法定代表人：王晓峰</w:t>
      </w:r>
    </w:p>
    <w:p>
      <w:pPr>
        <w:pStyle w:val="BodyText"/>
        <w:spacing w:line="268" w:lineRule="exact"/>
      </w:pPr>
      <w:r>
        <w:rPr/>
        <w:t>联系人：王紫雯</w:t>
      </w:r>
    </w:p>
    <w:p>
      <w:pPr>
        <w:spacing w:after="0" w:line="268" w:lineRule="exact"/>
        <w:sectPr>
          <w:pgSz w:w="11910" w:h="16840"/>
          <w:pgMar w:header="0" w:footer="1172" w:top="1580" w:bottom="1440" w:left="1520" w:right="360"/>
        </w:sectPr>
      </w:pPr>
    </w:p>
    <w:p>
      <w:pPr>
        <w:pStyle w:val="BodyText"/>
        <w:spacing w:before="106"/>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72">
        <w:r>
          <w:rPr/>
          <w:t>网址：www.avicsec.com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中金财富</w:t>
      </w:r>
    </w:p>
    <w:p>
      <w:pPr>
        <w:pStyle w:val="BodyText"/>
        <w:spacing w:line="364" w:lineRule="auto" w:before="139"/>
        <w:ind w:left="293" w:right="912" w:firstLine="420"/>
      </w:pPr>
      <w:r>
        <w:rPr/>
        <w:t>注册地址：深圳市福田区益田路与福中路交界处荣超商务中心 A 栋第 18-21 层及第 04 层01.02.03.05.11.12.13.15.16.18.19.20.21.22.23 单元</w:t>
      </w:r>
    </w:p>
    <w:p>
      <w:pPr>
        <w:pStyle w:val="BodyText"/>
        <w:spacing w:line="364" w:lineRule="auto"/>
        <w:ind w:right="2747"/>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39"/>
      </w:pPr>
      <w:r>
        <w:rPr/>
        <w:t>客户服务电话：95532</w:t>
      </w:r>
    </w:p>
    <w:p>
      <w:pPr>
        <w:pStyle w:val="BodyText"/>
        <w:spacing w:before="140"/>
      </w:pPr>
      <w:hyperlink r:id="rId173">
        <w:r>
          <w:rPr/>
          <w:t>网址：https://www.ciccwm.com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中金公司</w:t>
      </w:r>
    </w:p>
    <w:p>
      <w:pPr>
        <w:pStyle w:val="BodyText"/>
        <w:spacing w:line="364" w:lineRule="auto" w:before="139"/>
        <w:ind w:right="2801"/>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7421"/>
      </w:pPr>
      <w:r>
        <w:rPr/>
        <w:t>法定代表人：沈如军联系人：杨涵宇</w:t>
      </w:r>
    </w:p>
    <w:p>
      <w:pPr>
        <w:pStyle w:val="BodyText"/>
        <w:spacing w:line="268" w:lineRule="exact"/>
      </w:pPr>
      <w:r>
        <w:rPr/>
        <w:t>联系电话：010-65051166</w:t>
      </w:r>
    </w:p>
    <w:p>
      <w:pPr>
        <w:pStyle w:val="BodyText"/>
        <w:spacing w:line="364" w:lineRule="auto" w:before="139"/>
        <w:ind w:right="6791"/>
      </w:pPr>
      <w:r>
        <w:rPr>
          <w:spacing w:val="-1"/>
        </w:rPr>
        <w:t>客户服务电话</w:t>
      </w:r>
      <w:r>
        <w:rPr/>
        <w:t>：4009101166 </w:t>
      </w:r>
      <w:hyperlink r:id="rId174">
        <w:r>
          <w:rPr/>
          <w:t>网址：www.cicc.com.cn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中山证券</w:t>
      </w:r>
    </w:p>
    <w:p>
      <w:pPr>
        <w:pStyle w:val="BodyText"/>
        <w:spacing w:line="364" w:lineRule="auto" w:before="139"/>
        <w:ind w:right="1331"/>
      </w:pPr>
      <w:r>
        <w:rPr>
          <w:spacing w:val="-3"/>
        </w:rPr>
        <w:t>注册地址：深圳市南山区粤海街道蔚蓝海岸社区创业路 </w:t>
      </w:r>
      <w:r>
        <w:rPr/>
        <w:t>1777</w:t>
      </w:r>
      <w:r>
        <w:rPr>
          <w:spacing w:val="-13"/>
        </w:rPr>
        <w:t> 号海信南方大厦 </w:t>
      </w:r>
      <w:r>
        <w:rPr/>
        <w:t>21、22</w:t>
      </w:r>
      <w:r>
        <w:rPr>
          <w:spacing w:val="-35"/>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7421"/>
      </w:pPr>
      <w:r>
        <w:rPr/>
        <w:t>法定代表人：林炳城联系人：罗艺琳</w:t>
      </w:r>
    </w:p>
    <w:p>
      <w:pPr>
        <w:pStyle w:val="BodyText"/>
        <w:spacing w:line="364" w:lineRule="auto"/>
        <w:ind w:right="7316"/>
      </w:pPr>
      <w:r>
        <w:rPr>
          <w:spacing w:val="-1"/>
        </w:rPr>
        <w:t>电话</w:t>
      </w:r>
      <w:r>
        <w:rPr/>
        <w:t>：0755-82943755 </w:t>
      </w:r>
      <w:r>
        <w:rPr>
          <w:spacing w:val="-2"/>
        </w:rPr>
        <w:t>传真</w:t>
      </w:r>
      <w:r>
        <w:rPr>
          <w:spacing w:val="-1"/>
        </w:rPr>
        <w:t>：0755-82960582</w:t>
      </w:r>
    </w:p>
    <w:p>
      <w:pPr>
        <w:pStyle w:val="BodyText"/>
        <w:spacing w:line="364" w:lineRule="auto"/>
        <w:ind w:right="7316"/>
      </w:pPr>
      <w:r>
        <w:rPr/>
        <w:t>客户服务电话</w:t>
      </w:r>
      <w:r>
        <w:rPr>
          <w:spacing w:val="-3"/>
        </w:rPr>
        <w:t>：95329 </w:t>
      </w:r>
      <w:hyperlink r:id="rId175">
        <w:r>
          <w:rPr/>
          <w:t>网址：www.zszq.com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中泰证券</w:t>
      </w:r>
    </w:p>
    <w:p>
      <w:pPr>
        <w:pStyle w:val="BodyText"/>
        <w:spacing w:line="364" w:lineRule="auto" w:before="137"/>
        <w:ind w:right="5846"/>
      </w:pPr>
      <w:r>
        <w:rPr>
          <w:spacing w:val="-4"/>
        </w:rPr>
        <w:t>注册地址：济南市市中区经七路 </w:t>
      </w:r>
      <w:r>
        <w:rPr/>
        <w:t>86</w:t>
      </w:r>
      <w:r>
        <w:rPr>
          <w:spacing w:val="-35"/>
        </w:rPr>
        <w:t> 号</w:t>
      </w:r>
      <w:r>
        <w:rPr>
          <w:spacing w:val="-4"/>
        </w:rPr>
        <w:t>办公地址：山东省济南市经七路 </w:t>
      </w:r>
      <w:r>
        <w:rPr/>
        <w:t>86</w:t>
      </w:r>
      <w:r>
        <w:rPr>
          <w:spacing w:val="-35"/>
        </w:rPr>
        <w:t> 号</w:t>
      </w:r>
    </w:p>
    <w:p>
      <w:pPr>
        <w:spacing w:after="0" w:line="364" w:lineRule="auto"/>
        <w:sectPr>
          <w:pgSz w:w="11910" w:h="16840"/>
          <w:pgMar w:header="0" w:footer="1172" w:top="1580" w:bottom="1440" w:left="1520" w:right="360"/>
        </w:sectPr>
      </w:pPr>
    </w:p>
    <w:p>
      <w:pPr>
        <w:pStyle w:val="BodyText"/>
        <w:spacing w:line="364" w:lineRule="auto" w:before="106"/>
        <w:ind w:right="7631"/>
      </w:pPr>
      <w:r>
        <w:rPr/>
        <w:t>法定代表人：李玮联系人：许曼华</w:t>
      </w:r>
    </w:p>
    <w:p>
      <w:pPr>
        <w:pStyle w:val="BodyText"/>
        <w:spacing w:line="268" w:lineRule="exact"/>
      </w:pPr>
      <w:r>
        <w:rPr/>
        <w:t>联系电话：021-20315290</w:t>
      </w:r>
    </w:p>
    <w:p>
      <w:pPr>
        <w:pStyle w:val="BodyText"/>
        <w:spacing w:line="364" w:lineRule="auto" w:before="139"/>
        <w:ind w:right="7316"/>
      </w:pPr>
      <w:r>
        <w:rPr/>
        <w:t>客户服务电话：95538 传真：0531-68889095</w:t>
      </w:r>
    </w:p>
    <w:p>
      <w:pPr>
        <w:pStyle w:val="BodyText"/>
        <w:spacing w:line="268" w:lineRule="exact"/>
      </w:pPr>
      <w:hyperlink r:id="rId176">
        <w:r>
          <w:rPr/>
          <w:t>网址：www.zts.com.cn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中天证券</w:t>
      </w:r>
    </w:p>
    <w:p>
      <w:pPr>
        <w:pStyle w:val="BodyText"/>
        <w:spacing w:line="364" w:lineRule="auto" w:before="139"/>
        <w:ind w:right="5216"/>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6896"/>
      </w:pPr>
      <w:r>
        <w:rPr>
          <w:spacing w:val="-1"/>
        </w:rPr>
        <w:t>客户服务电话</w:t>
      </w:r>
      <w:r>
        <w:rPr/>
        <w:t>：024-95346 传真：024-23255606</w:t>
      </w:r>
    </w:p>
    <w:p>
      <w:pPr>
        <w:pStyle w:val="BodyText"/>
        <w:spacing w:line="268" w:lineRule="exact"/>
      </w:pPr>
      <w:hyperlink r:id="rId177">
        <w:r>
          <w:rPr/>
          <w:t>网址：www.iztzq.com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中信建投证券</w:t>
      </w:r>
    </w:p>
    <w:p>
      <w:pPr>
        <w:pStyle w:val="BodyText"/>
        <w:spacing w:line="364" w:lineRule="auto" w:before="139"/>
        <w:ind w:right="5216"/>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7421"/>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78">
        <w:r>
          <w:rPr/>
          <w:t>网址：http://www.csc108.com/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中信证券</w:t>
      </w:r>
    </w:p>
    <w:p>
      <w:pPr>
        <w:pStyle w:val="BodyText"/>
        <w:spacing w:line="364" w:lineRule="auto" w:before="140"/>
        <w:ind w:right="2591"/>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7421"/>
      </w:pPr>
      <w:r>
        <w:rPr/>
        <w:t>法定代表人：张佑君联系人：王一通</w:t>
      </w:r>
    </w:p>
    <w:p>
      <w:pPr>
        <w:pStyle w:val="BodyText"/>
        <w:spacing w:line="268" w:lineRule="exact"/>
      </w:pPr>
      <w:r>
        <w:rPr/>
        <w:t>联系电话：010-60838888</w:t>
      </w:r>
    </w:p>
    <w:p>
      <w:pPr>
        <w:pStyle w:val="BodyText"/>
        <w:spacing w:line="364" w:lineRule="auto" w:before="138"/>
        <w:ind w:right="7316"/>
      </w:pPr>
      <w:r>
        <w:rPr/>
        <w:t>客户服务电话：95548 传真：010-60836029</w:t>
      </w:r>
    </w:p>
    <w:p>
      <w:pPr>
        <w:pStyle w:val="BodyText"/>
        <w:spacing w:line="268" w:lineRule="exact"/>
      </w:pPr>
      <w:hyperlink r:id="rId179">
        <w:r>
          <w:rPr/>
          <w:t>网址：www.cs.ecitic.com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中信证券（华南）</w:t>
      </w:r>
    </w:p>
    <w:p>
      <w:pPr>
        <w:spacing w:after="0" w:line="240" w:lineRule="auto"/>
        <w:jc w:val="left"/>
        <w:rPr>
          <w:sz w:val="21"/>
        </w:rPr>
        <w:sectPr>
          <w:pgSz w:w="11910" w:h="16840"/>
          <w:pgMar w:header="0" w:footer="1172" w:top="1580" w:bottom="1440" w:left="1520" w:right="360"/>
        </w:sectPr>
      </w:pPr>
    </w:p>
    <w:p>
      <w:pPr>
        <w:pStyle w:val="BodyText"/>
        <w:spacing w:line="364" w:lineRule="auto" w:before="106"/>
        <w:ind w:right="2432"/>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7316"/>
      </w:pPr>
      <w:r>
        <w:rPr/>
        <w:t>客户服务电话：95396 传真：020-88836984</w:t>
      </w:r>
    </w:p>
    <w:p>
      <w:pPr>
        <w:pStyle w:val="BodyText"/>
        <w:spacing w:line="268" w:lineRule="exact"/>
      </w:pPr>
      <w:hyperlink r:id="rId180">
        <w:r>
          <w:rPr/>
          <w:t>网址：www.gzs.com.cn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3956"/>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7316"/>
      </w:pPr>
      <w:r>
        <w:rPr/>
        <w:t>客户服务电话：95548 传真：0532-85022605</w:t>
      </w:r>
    </w:p>
    <w:p>
      <w:pPr>
        <w:pStyle w:val="BodyText"/>
        <w:spacing w:line="268" w:lineRule="exact"/>
      </w:pPr>
      <w:hyperlink r:id="rId181">
        <w:r>
          <w:rPr/>
          <w:t>网址：http://sd.citics.com/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中银证券</w:t>
      </w:r>
    </w:p>
    <w:p>
      <w:pPr>
        <w:pStyle w:val="BodyText"/>
        <w:spacing w:before="140"/>
      </w:pPr>
      <w:r>
        <w:rPr/>
        <w:t>注册地址：上海市浦东新区银城中路 200 号中银大厦 39 层</w:t>
      </w:r>
    </w:p>
    <w:p>
      <w:pPr>
        <w:pStyle w:val="BodyText"/>
        <w:spacing w:line="364" w:lineRule="auto" w:before="139"/>
        <w:ind w:right="3641"/>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40"/>
        <w:ind w:right="6581"/>
      </w:pPr>
      <w:r>
        <w:rPr/>
        <w:t>客户服务电话：400-620-8888 传真：021-50372474</w:t>
      </w:r>
    </w:p>
    <w:p>
      <w:pPr>
        <w:pStyle w:val="BodyText"/>
        <w:spacing w:line="268" w:lineRule="exact"/>
      </w:pPr>
      <w:hyperlink r:id="rId182">
        <w:r>
          <w:rPr/>
          <w:t>网址：www.bocichina.com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中邮证券</w:t>
      </w:r>
    </w:p>
    <w:p>
      <w:pPr>
        <w:pStyle w:val="BodyText"/>
        <w:spacing w:line="364" w:lineRule="auto" w:before="140"/>
        <w:ind w:right="3116"/>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6"/>
        </w:rPr>
        <w:t>） </w:t>
      </w:r>
      <w:r>
        <w:rPr>
          <w:spacing w:val="-3"/>
        </w:rPr>
        <w:t>办公地址：北京市东城区珠市口东大街 </w:t>
      </w:r>
      <w:r>
        <w:rPr/>
        <w:t>17</w:t>
      </w:r>
      <w:r>
        <w:rPr>
          <w:spacing w:val="-27"/>
        </w:rPr>
        <w:t> 号</w:t>
      </w:r>
    </w:p>
    <w:p>
      <w:pPr>
        <w:pStyle w:val="BodyText"/>
        <w:spacing w:line="364" w:lineRule="auto"/>
        <w:ind w:right="7421"/>
      </w:pPr>
      <w:r>
        <w:rPr/>
        <w:t>法定代表人：丁奇文联系人：岳帅</w:t>
      </w:r>
    </w:p>
    <w:p>
      <w:pPr>
        <w:pStyle w:val="BodyText"/>
        <w:spacing w:line="268" w:lineRule="exact"/>
      </w:pPr>
      <w:r>
        <w:rPr/>
        <w:t>联系电话: 010-67017788-6068</w:t>
      </w:r>
    </w:p>
    <w:p>
      <w:pPr>
        <w:pStyle w:val="BodyText"/>
        <w:spacing w:line="364" w:lineRule="auto" w:before="138"/>
        <w:ind w:right="6581"/>
      </w:pPr>
      <w:r>
        <w:rPr/>
        <w:t>客户服务电话：4008-888-005 传真：010-67017788-9696</w:t>
      </w:r>
    </w:p>
    <w:p>
      <w:pPr>
        <w:spacing w:after="0" w:line="364" w:lineRule="auto"/>
        <w:sectPr>
          <w:pgSz w:w="11910" w:h="16840"/>
          <w:pgMar w:header="0" w:footer="1172" w:top="1580" w:bottom="1440" w:left="1520" w:right="360"/>
        </w:sectPr>
      </w:pPr>
    </w:p>
    <w:p>
      <w:pPr>
        <w:pStyle w:val="BodyText"/>
        <w:spacing w:before="106"/>
      </w:pPr>
      <w:hyperlink r:id="rId183">
        <w:r>
          <w:rPr/>
          <w:t>网址：www.cnpsec.com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中原证券</w:t>
      </w:r>
    </w:p>
    <w:p>
      <w:pPr>
        <w:pStyle w:val="BodyText"/>
        <w:spacing w:before="140"/>
      </w:pPr>
      <w:r>
        <w:rPr/>
        <w:t>注册地址：郑州市郑东新区商务外环路 10 号</w:t>
      </w:r>
    </w:p>
    <w:p>
      <w:pPr>
        <w:pStyle w:val="BodyText"/>
        <w:spacing w:line="364" w:lineRule="auto" w:before="139"/>
        <w:ind w:right="2381"/>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393" w:val="left" w:leader="none"/>
        </w:tabs>
        <w:spacing w:line="364" w:lineRule="auto"/>
        <w:ind w:right="6476"/>
      </w:pPr>
      <w:r>
        <w:rPr/>
        <w:t>联系人：程月艳</w:t>
        <w:tab/>
        <w:t>李盼盼 党</w:t>
      </w:r>
      <w:r>
        <w:rPr>
          <w:spacing w:val="-18"/>
        </w:rPr>
        <w:t>静</w:t>
      </w:r>
      <w:r>
        <w:rPr/>
        <w:t>联系电话：0371-69099882</w:t>
      </w:r>
    </w:p>
    <w:p>
      <w:pPr>
        <w:pStyle w:val="BodyText"/>
        <w:spacing w:line="364" w:lineRule="auto"/>
        <w:ind w:right="7316"/>
      </w:pPr>
      <w:r>
        <w:rPr/>
        <w:t>客户服务电话</w:t>
      </w:r>
      <w:r>
        <w:rPr>
          <w:spacing w:val="-3"/>
        </w:rPr>
        <w:t>：95377 </w:t>
      </w:r>
      <w:r>
        <w:rPr>
          <w:spacing w:val="-2"/>
        </w:rPr>
        <w:t>传真</w:t>
      </w:r>
      <w:r>
        <w:rPr>
          <w:spacing w:val="-1"/>
        </w:rPr>
        <w:t>：0371-65585899</w:t>
      </w:r>
    </w:p>
    <w:p>
      <w:pPr>
        <w:pStyle w:val="BodyText"/>
        <w:spacing w:line="268" w:lineRule="exact"/>
      </w:pPr>
      <w:hyperlink r:id="rId184">
        <w:r>
          <w:rPr/>
          <w:t>网址：www.ccnew.com</w:t>
        </w:r>
      </w:hyperlink>
    </w:p>
    <w:p>
      <w:pPr>
        <w:pStyle w:val="ListParagraph"/>
        <w:numPr>
          <w:ilvl w:val="0"/>
          <w:numId w:val="9"/>
        </w:numPr>
        <w:tabs>
          <w:tab w:pos="1239" w:val="left" w:leader="none"/>
        </w:tabs>
        <w:spacing w:line="240" w:lineRule="auto" w:before="138" w:after="0"/>
        <w:ind w:left="1239" w:right="0" w:hanging="526"/>
        <w:jc w:val="left"/>
        <w:rPr>
          <w:sz w:val="21"/>
        </w:rPr>
      </w:pPr>
      <w:r>
        <w:rPr>
          <w:sz w:val="21"/>
        </w:rPr>
        <w:t>百度百盈</w:t>
      </w:r>
    </w:p>
    <w:p>
      <w:pPr>
        <w:pStyle w:val="BodyText"/>
        <w:spacing w:line="364" w:lineRule="auto" w:before="139"/>
        <w:ind w:right="3116"/>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631"/>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85">
        <w:r>
          <w:rPr/>
          <w:t>网址：www.baiyingfund.com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2591"/>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39"/>
        <w:ind w:right="6581"/>
      </w:pPr>
      <w:r>
        <w:rPr/>
        <w:t>客户服务电话：400-820-2899 传真：021-20691861</w:t>
      </w:r>
    </w:p>
    <w:p>
      <w:pPr>
        <w:pStyle w:val="BodyText"/>
        <w:spacing w:line="268" w:lineRule="exact"/>
      </w:pPr>
      <w:hyperlink r:id="rId186">
        <w:r>
          <w:rPr/>
          <w:t>网址：www.erichfund.com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朝阳永续</w:t>
      </w:r>
    </w:p>
    <w:p>
      <w:pPr>
        <w:pStyle w:val="BodyText"/>
        <w:spacing w:line="364" w:lineRule="auto" w:before="139"/>
        <w:ind w:right="4481"/>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 </w:t>
      </w:r>
      <w:r>
        <w:rPr>
          <w:spacing w:val="-28"/>
        </w:rPr>
        <w:t>办公地址：上海市浦东新区碧波路 </w:t>
      </w:r>
      <w:r>
        <w:rPr/>
        <w:t>690</w:t>
      </w:r>
      <w:r>
        <w:rPr>
          <w:spacing w:val="-36"/>
        </w:rPr>
        <w:t> 号 </w:t>
      </w:r>
      <w:r>
        <w:rPr/>
        <w:t>4</w:t>
      </w:r>
      <w:r>
        <w:rPr>
          <w:spacing w:val="-27"/>
        </w:rPr>
        <w:t> 号楼 </w:t>
      </w:r>
      <w:r>
        <w:rPr/>
        <w:t>2</w:t>
      </w:r>
      <w:r>
        <w:rPr>
          <w:spacing w:val="-34"/>
        </w:rPr>
        <w:t> 楼</w:t>
      </w:r>
      <w:r>
        <w:rPr/>
        <w:t>法人代表：廖冰</w:t>
      </w:r>
    </w:p>
    <w:p>
      <w:pPr>
        <w:pStyle w:val="BodyText"/>
        <w:spacing w:line="268" w:lineRule="exact"/>
      </w:pPr>
      <w:r>
        <w:rPr/>
        <w:t>联系人：陆纪青</w:t>
      </w:r>
    </w:p>
    <w:p>
      <w:pPr>
        <w:pStyle w:val="BodyText"/>
        <w:spacing w:before="140"/>
      </w:pPr>
      <w:r>
        <w:rPr/>
        <w:t>联系电话：021-80234888-6813</w:t>
      </w:r>
    </w:p>
    <w:p>
      <w:pPr>
        <w:spacing w:after="0"/>
        <w:sectPr>
          <w:pgSz w:w="11910" w:h="16840"/>
          <w:pgMar w:header="0" w:footer="1172" w:top="1580" w:bottom="1440" w:left="1520" w:right="360"/>
        </w:sectPr>
      </w:pPr>
    </w:p>
    <w:p>
      <w:pPr>
        <w:pStyle w:val="BodyText"/>
        <w:spacing w:line="364" w:lineRule="auto" w:before="106"/>
        <w:ind w:right="6581"/>
      </w:pPr>
      <w:r>
        <w:rPr/>
        <w:t>客户服务电话：400-699-1888 </w:t>
      </w:r>
      <w:hyperlink r:id="rId187">
        <w:r>
          <w:rPr/>
          <w:t>网址：www.998fund.com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创金启富</w:t>
      </w:r>
    </w:p>
    <w:p>
      <w:pPr>
        <w:pStyle w:val="BodyText"/>
        <w:spacing w:line="364" w:lineRule="auto" w:before="139"/>
        <w:ind w:right="4061"/>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6581"/>
      </w:pPr>
      <w:r>
        <w:rPr/>
        <w:t>客户服务电话：400-6262-818 传真：010-63583991</w:t>
      </w:r>
    </w:p>
    <w:p>
      <w:pPr>
        <w:pStyle w:val="BodyText"/>
        <w:spacing w:line="268" w:lineRule="exact"/>
      </w:pPr>
      <w:hyperlink r:id="rId188">
        <w:r>
          <w:rPr/>
          <w:t>网址：www.5irich.com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3746"/>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39"/>
        <w:ind w:right="6581"/>
      </w:pPr>
      <w:r>
        <w:rPr/>
        <w:t>客户服务电话：400-995-9220 传真：021-20324199</w:t>
      </w:r>
    </w:p>
    <w:p>
      <w:pPr>
        <w:pStyle w:val="BodyText"/>
        <w:spacing w:line="268" w:lineRule="exact"/>
      </w:pPr>
      <w:hyperlink r:id="rId189">
        <w:r>
          <w:rPr/>
          <w:t>网址：www.dtfunds.com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大智慧基金</w:t>
      </w:r>
    </w:p>
    <w:p>
      <w:pPr>
        <w:pStyle w:val="BodyText"/>
        <w:spacing w:line="364" w:lineRule="auto" w:before="139"/>
        <w:ind w:right="2486"/>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581"/>
      </w:pPr>
      <w:r>
        <w:rPr/>
        <w:t>客户服务电话：021-20292031 传真：021-20219923</w:t>
      </w:r>
    </w:p>
    <w:p>
      <w:pPr>
        <w:pStyle w:val="BodyText"/>
        <w:spacing w:line="268" w:lineRule="exact"/>
      </w:pPr>
      <w:hyperlink r:id="rId190">
        <w:r>
          <w:rPr/>
          <w:t>网址：https://www.wg.com.cn/</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3116"/>
      </w:pPr>
      <w:r>
        <w:rPr/>
        <w:t>办公地址：北京市朝阳区创远路 34 号院融新科技中心 C 座 17 层法定代表人：钟斐斐</w:t>
      </w:r>
    </w:p>
    <w:p>
      <w:pPr>
        <w:spacing w:after="0" w:line="364" w:lineRule="auto"/>
        <w:sectPr>
          <w:pgSz w:w="11910" w:h="16840"/>
          <w:pgMar w:header="0" w:footer="1172" w:top="1580" w:bottom="1440" w:left="1520" w:right="360"/>
        </w:sectPr>
      </w:pPr>
    </w:p>
    <w:p>
      <w:pPr>
        <w:pStyle w:val="BodyText"/>
        <w:spacing w:before="106"/>
      </w:pPr>
      <w:r>
        <w:rPr/>
        <w:t>联系人：侯芳芳</w:t>
      </w:r>
    </w:p>
    <w:p>
      <w:pPr>
        <w:pStyle w:val="BodyText"/>
        <w:spacing w:before="139"/>
      </w:pPr>
      <w:r>
        <w:rPr/>
        <w:t>联系电话：010-61840688</w:t>
      </w:r>
    </w:p>
    <w:p>
      <w:pPr>
        <w:pStyle w:val="BodyText"/>
        <w:spacing w:before="140"/>
      </w:pPr>
      <w:r>
        <w:rPr/>
        <w:t>客户服务电话：4001599288</w:t>
      </w:r>
    </w:p>
    <w:p>
      <w:pPr>
        <w:pStyle w:val="BodyText"/>
        <w:spacing w:before="139"/>
      </w:pPr>
      <w:r>
        <w:rPr/>
        <w:t>网址：https://danjuanapp.com</w:t>
      </w:r>
    </w:p>
    <w:p>
      <w:pPr>
        <w:pStyle w:val="ListParagraph"/>
        <w:numPr>
          <w:ilvl w:val="0"/>
          <w:numId w:val="9"/>
        </w:numPr>
        <w:tabs>
          <w:tab w:pos="1239" w:val="left" w:leader="none"/>
        </w:tabs>
        <w:spacing w:line="240" w:lineRule="auto" w:before="140" w:after="0"/>
        <w:ind w:left="1239" w:right="0" w:hanging="526"/>
        <w:jc w:val="both"/>
        <w:rPr>
          <w:sz w:val="21"/>
        </w:rPr>
      </w:pPr>
      <w:r>
        <w:rPr>
          <w:sz w:val="21"/>
        </w:rPr>
        <w:t>鼎信汇金</w:t>
      </w:r>
    </w:p>
    <w:p>
      <w:pPr>
        <w:pStyle w:val="BodyText"/>
        <w:spacing w:line="364" w:lineRule="auto" w:before="139"/>
        <w:ind w:right="4691"/>
        <w:jc w:val="both"/>
      </w:pPr>
      <w:r>
        <w:rPr>
          <w:spacing w:val="-4"/>
        </w:rPr>
        <w:t>注册地址：北京市海淀区太月园 </w:t>
      </w:r>
      <w:r>
        <w:rPr/>
        <w:t>3</w:t>
      </w:r>
      <w:r>
        <w:rPr>
          <w:spacing w:val="-27"/>
        </w:rPr>
        <w:t> 号楼 </w:t>
      </w:r>
      <w:r>
        <w:rPr/>
        <w:t>5</w:t>
      </w:r>
      <w:r>
        <w:rPr>
          <w:spacing w:val="-36"/>
        </w:rPr>
        <w:t> 层 </w:t>
      </w:r>
      <w:r>
        <w:rPr/>
        <w:t>521</w:t>
      </w:r>
      <w:r>
        <w:rPr>
          <w:spacing w:val="-34"/>
        </w:rPr>
        <w:t> 室</w:t>
      </w:r>
      <w:r>
        <w:rPr>
          <w:spacing w:val="-4"/>
        </w:rPr>
        <w:t>办公地址：北京市海淀区太月园 </w:t>
      </w:r>
      <w:r>
        <w:rPr/>
        <w:t>3</w:t>
      </w:r>
      <w:r>
        <w:rPr>
          <w:spacing w:val="-27"/>
        </w:rPr>
        <w:t> 号楼 </w:t>
      </w:r>
      <w:r>
        <w:rPr/>
        <w:t>5</w:t>
      </w:r>
      <w:r>
        <w:rPr>
          <w:spacing w:val="-36"/>
        </w:rPr>
        <w:t> 层 </w:t>
      </w:r>
      <w:r>
        <w:rPr/>
        <w:t>521</w:t>
      </w:r>
      <w:r>
        <w:rPr>
          <w:spacing w:val="-34"/>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6581"/>
      </w:pPr>
      <w:r>
        <w:rPr/>
        <w:t>客户服务电话：400-886-3311 传真：010-82086110</w:t>
      </w:r>
    </w:p>
    <w:p>
      <w:pPr>
        <w:pStyle w:val="BodyText"/>
        <w:spacing w:line="268" w:lineRule="exact"/>
      </w:pPr>
      <w:hyperlink r:id="rId191">
        <w:r>
          <w:rPr/>
          <w:t>网址：www.9ifund.com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东证期货</w:t>
      </w:r>
    </w:p>
    <w:p>
      <w:pPr>
        <w:pStyle w:val="BodyText"/>
        <w:spacing w:line="364" w:lineRule="auto" w:before="140"/>
        <w:ind w:right="2486"/>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7421"/>
      </w:pPr>
      <w:r>
        <w:rPr/>
        <w:t>法定代表人：卢大印联系人：张敏圆</w:t>
      </w:r>
    </w:p>
    <w:p>
      <w:pPr>
        <w:pStyle w:val="BodyText"/>
        <w:spacing w:line="268" w:lineRule="exact"/>
      </w:pPr>
      <w:r>
        <w:rPr/>
        <w:t>联系电话：021-63325888-4259</w:t>
      </w:r>
    </w:p>
    <w:p>
      <w:pPr>
        <w:pStyle w:val="BodyText"/>
        <w:spacing w:line="364" w:lineRule="auto" w:before="138"/>
        <w:ind w:right="6791"/>
      </w:pPr>
      <w:r>
        <w:rPr/>
        <w:t>客户服务电话：4008859999 传真：021-63326752</w:t>
      </w:r>
    </w:p>
    <w:p>
      <w:pPr>
        <w:pStyle w:val="BodyText"/>
        <w:spacing w:line="268" w:lineRule="exact"/>
      </w:pPr>
      <w:hyperlink r:id="rId192">
        <w:r>
          <w:rPr/>
          <w:t>网址：www.dzqh.com.cn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646"/>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6581"/>
      </w:pPr>
      <w:r>
        <w:rPr/>
        <w:t>客户服务电话</w:t>
      </w:r>
      <w:r>
        <w:rPr>
          <w:spacing w:val="-2"/>
        </w:rPr>
        <w:t>：400-080-3388 </w:t>
      </w:r>
      <w:hyperlink r:id="rId193">
        <w:r>
          <w:rPr/>
          <w:t>网址：www.puyifund.com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富济基金</w:t>
      </w:r>
    </w:p>
    <w:p>
      <w:pPr>
        <w:pStyle w:val="BodyText"/>
        <w:spacing w:line="364" w:lineRule="auto" w:before="139"/>
        <w:ind w:right="2066"/>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p>
    <w:p>
      <w:pPr>
        <w:spacing w:after="0" w:line="364" w:lineRule="auto"/>
        <w:sectPr>
          <w:pgSz w:w="11910" w:h="16840"/>
          <w:pgMar w:header="0" w:footer="1172" w:top="1580" w:bottom="1440" w:left="1520" w:right="360"/>
        </w:sectPr>
      </w:pPr>
    </w:p>
    <w:p>
      <w:pPr>
        <w:pStyle w:val="BodyText"/>
        <w:spacing w:line="364" w:lineRule="auto" w:before="106"/>
        <w:ind w:right="7421"/>
      </w:pPr>
      <w:r>
        <w:rPr/>
        <w:t>法定代表人：祝中村联系人：曾瑶敏</w:t>
      </w:r>
    </w:p>
    <w:p>
      <w:pPr>
        <w:pStyle w:val="BodyText"/>
        <w:spacing w:line="268" w:lineRule="exact"/>
      </w:pPr>
      <w:r>
        <w:rPr/>
        <w:t>联系电话：0755-83999907</w:t>
      </w:r>
    </w:p>
    <w:p>
      <w:pPr>
        <w:pStyle w:val="BodyText"/>
        <w:spacing w:line="364" w:lineRule="auto" w:before="139"/>
        <w:ind w:right="6476"/>
      </w:pPr>
      <w:r>
        <w:rPr/>
        <w:t>客户服务电话：0755-83999907 传真：0755-83999926</w:t>
      </w:r>
    </w:p>
    <w:p>
      <w:pPr>
        <w:pStyle w:val="BodyText"/>
        <w:spacing w:line="268" w:lineRule="exact"/>
      </w:pPr>
      <w:hyperlink r:id="rId194">
        <w:r>
          <w:rPr/>
          <w:t>网址：www.fujifund.cn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海银基金</w:t>
      </w:r>
    </w:p>
    <w:p>
      <w:pPr>
        <w:pStyle w:val="BodyText"/>
        <w:spacing w:line="364" w:lineRule="auto" w:before="139"/>
        <w:ind w:right="3641"/>
      </w:pPr>
      <w:r>
        <w:rPr/>
        <w:t>注册地址：中国（上海）</w:t>
      </w:r>
      <w:r>
        <w:rPr>
          <w:spacing w:val="-5"/>
        </w:rPr>
        <w:t>自由贸易试验区银城中路 </w:t>
      </w:r>
      <w:r>
        <w:rPr/>
        <w:t>8</w:t>
      </w:r>
      <w:r>
        <w:rPr>
          <w:spacing w:val="-36"/>
        </w:rPr>
        <w:t> 号 </w:t>
      </w:r>
      <w:r>
        <w:rPr/>
        <w:t>402</w:t>
      </w:r>
      <w:r>
        <w:rPr>
          <w:spacing w:val="-35"/>
        </w:rPr>
        <w:t> 室</w:t>
      </w:r>
      <w:r>
        <w:rPr>
          <w:spacing w:val="-3"/>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6581"/>
      </w:pPr>
      <w:r>
        <w:rPr/>
        <w:t>客户服务电话：400-808-1016 传真：021-80133413</w:t>
      </w:r>
    </w:p>
    <w:p>
      <w:pPr>
        <w:pStyle w:val="BodyText"/>
        <w:spacing w:line="268" w:lineRule="exact"/>
      </w:pPr>
      <w:hyperlink r:id="rId195">
        <w:r>
          <w:rPr/>
          <w:t>网址：www.fundhaiyin.com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39"/>
        <w:ind w:right="3221"/>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6581"/>
      </w:pPr>
      <w:r>
        <w:rPr/>
        <w:t>客户服务电话：400-700-9665 传真：021-68596919</w:t>
      </w:r>
    </w:p>
    <w:p>
      <w:pPr>
        <w:pStyle w:val="BodyText"/>
        <w:spacing w:line="268" w:lineRule="exact"/>
      </w:pPr>
      <w:hyperlink r:id="rId196">
        <w:r>
          <w:rPr/>
          <w:t>网址：www.ehowbuy.com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40"/>
        <w:ind w:right="4271"/>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6581"/>
      </w:pPr>
      <w:r>
        <w:rPr/>
        <w:t>客户服务电话：400-920-0022 传真：010-65884788</w:t>
      </w:r>
    </w:p>
    <w:p>
      <w:pPr>
        <w:pStyle w:val="BodyText"/>
        <w:spacing w:line="268" w:lineRule="exact"/>
      </w:pPr>
      <w:hyperlink r:id="rId197">
        <w:r>
          <w:rPr/>
          <w:t>网址：http://licaike.hexun.com/</w:t>
        </w:r>
      </w:hyperlink>
    </w:p>
    <w:p>
      <w:pPr>
        <w:spacing w:after="0" w:line="268" w:lineRule="exact"/>
        <w:sectPr>
          <w:pgSz w:w="11910" w:h="16840"/>
          <w:pgMar w:header="0" w:footer="1172" w:top="1580" w:bottom="1440" w:left="1520" w:right="360"/>
        </w:sectPr>
      </w:pPr>
    </w:p>
    <w:p>
      <w:pPr>
        <w:pStyle w:val="ListParagraph"/>
        <w:numPr>
          <w:ilvl w:val="0"/>
          <w:numId w:val="9"/>
        </w:numPr>
        <w:tabs>
          <w:tab w:pos="1239" w:val="left" w:leader="none"/>
        </w:tabs>
        <w:spacing w:line="240" w:lineRule="auto" w:before="106" w:after="0"/>
        <w:ind w:left="1239" w:right="0" w:hanging="526"/>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40"/>
        <w:ind w:right="2591"/>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39"/>
      </w:pPr>
      <w:r>
        <w:rPr/>
        <w:t>联系电话：010-59313555</w:t>
      </w:r>
    </w:p>
    <w:p>
      <w:pPr>
        <w:pStyle w:val="BodyText"/>
        <w:spacing w:line="364" w:lineRule="auto" w:before="140"/>
        <w:ind w:right="6791"/>
      </w:pPr>
      <w:r>
        <w:rPr>
          <w:spacing w:val="-1"/>
        </w:rPr>
        <w:t>客户服务电话</w:t>
      </w:r>
      <w:r>
        <w:rPr/>
        <w:t>：4008980618 传真：010-59313586</w:t>
      </w:r>
    </w:p>
    <w:p>
      <w:pPr>
        <w:pStyle w:val="BodyText"/>
        <w:spacing w:line="268" w:lineRule="exact"/>
      </w:pPr>
      <w:hyperlink r:id="rId198">
        <w:r>
          <w:rPr/>
          <w:t>网址：www.chtwm.com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弘业期货</w:t>
      </w:r>
    </w:p>
    <w:p>
      <w:pPr>
        <w:pStyle w:val="BodyText"/>
        <w:spacing w:before="140"/>
      </w:pPr>
      <w:r>
        <w:rPr/>
        <w:t>注册地址：江苏省南京市秦淮区中华路 50 号</w:t>
      </w:r>
    </w:p>
    <w:p>
      <w:pPr>
        <w:pStyle w:val="BodyText"/>
        <w:spacing w:line="364" w:lineRule="auto" w:before="139"/>
        <w:ind w:right="3956"/>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6581"/>
      </w:pPr>
      <w:r>
        <w:rPr/>
        <w:t>客户服务电话</w:t>
      </w:r>
      <w:r>
        <w:rPr>
          <w:spacing w:val="-2"/>
        </w:rPr>
        <w:t>：400-828-1288 </w:t>
      </w:r>
      <w:hyperlink r:id="rId199">
        <w:r>
          <w:rPr/>
          <w:t>网址：www.ftol.com.cn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虹点基金</w:t>
      </w:r>
    </w:p>
    <w:p>
      <w:pPr>
        <w:pStyle w:val="BodyText"/>
        <w:spacing w:before="139"/>
      </w:pPr>
      <w:r>
        <w:rPr/>
        <w:t>注册地址：北京市朝阳区东三环北路 17 号 10 层 1015 室</w:t>
      </w:r>
    </w:p>
    <w:p>
      <w:pPr>
        <w:pStyle w:val="BodyText"/>
        <w:spacing w:before="140"/>
      </w:pPr>
      <w:r>
        <w:rPr/>
        <w:t>办公地址：北京市朝阳区工体北路甲 2 号盈科中心东门 2 层 216</w:t>
      </w:r>
    </w:p>
    <w:p>
      <w:pPr>
        <w:pStyle w:val="BodyText"/>
        <w:spacing w:line="364" w:lineRule="auto" w:before="139"/>
        <w:ind w:right="7631"/>
      </w:pPr>
      <w:r>
        <w:rPr/>
        <w:t>法定代表人：何静联系人：牛亚楠</w:t>
      </w:r>
    </w:p>
    <w:p>
      <w:pPr>
        <w:pStyle w:val="BodyText"/>
        <w:spacing w:line="268" w:lineRule="exact"/>
      </w:pPr>
      <w:r>
        <w:rPr/>
        <w:t>联系电话：010-65951887</w:t>
      </w:r>
    </w:p>
    <w:p>
      <w:pPr>
        <w:pStyle w:val="BodyText"/>
        <w:spacing w:line="364" w:lineRule="auto" w:before="140"/>
        <w:ind w:right="6581"/>
      </w:pPr>
      <w:r>
        <w:rPr/>
        <w:t>客户服务电话：400-618-0707 </w:t>
      </w:r>
      <w:hyperlink r:id="rId200">
        <w:r>
          <w:rPr/>
          <w:t>网址：www.hongdianfund.com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华瑞保险销售</w:t>
      </w:r>
    </w:p>
    <w:p>
      <w:pPr>
        <w:pStyle w:val="BodyText"/>
        <w:spacing w:line="364" w:lineRule="auto" w:before="139"/>
        <w:ind w:right="1646"/>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631"/>
      </w:pPr>
      <w:r>
        <w:rPr/>
        <w:t>法定代表人：路昊联系人：茆勇强</w:t>
      </w:r>
    </w:p>
    <w:p>
      <w:pPr>
        <w:pStyle w:val="BodyText"/>
        <w:spacing w:line="268" w:lineRule="exact"/>
      </w:pPr>
      <w:r>
        <w:rPr/>
        <w:t>联系电话：021-68595698</w:t>
      </w:r>
    </w:p>
    <w:p>
      <w:pPr>
        <w:pStyle w:val="BodyText"/>
        <w:spacing w:line="364" w:lineRule="auto" w:before="139"/>
        <w:ind w:right="7211"/>
      </w:pPr>
      <w:r>
        <w:rPr/>
        <w:t>客户服务电话：952303 传真：021-68595766</w:t>
      </w:r>
    </w:p>
    <w:p>
      <w:pPr>
        <w:spacing w:after="0" w:line="364" w:lineRule="auto"/>
        <w:sectPr>
          <w:pgSz w:w="11910" w:h="16840"/>
          <w:pgMar w:header="0" w:footer="1172" w:top="1580" w:bottom="1440" w:left="1520" w:right="360"/>
        </w:sectPr>
      </w:pPr>
    </w:p>
    <w:p>
      <w:pPr>
        <w:pStyle w:val="BodyText"/>
        <w:spacing w:before="106"/>
      </w:pPr>
      <w:hyperlink r:id="rId201">
        <w:r>
          <w:rPr/>
          <w:t>网址：www.huaruisales.com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华夏财富</w:t>
      </w:r>
    </w:p>
    <w:p>
      <w:pPr>
        <w:pStyle w:val="BodyText"/>
        <w:spacing w:line="364" w:lineRule="auto" w:before="140"/>
        <w:ind w:right="3956"/>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pStyle w:val="BodyText"/>
        <w:spacing w:line="268" w:lineRule="exact"/>
      </w:pPr>
      <w:r>
        <w:rPr/>
        <w:t>联系人：张静怡</w:t>
      </w:r>
    </w:p>
    <w:p>
      <w:pPr>
        <w:pStyle w:val="BodyText"/>
        <w:spacing w:before="139"/>
      </w:pPr>
      <w:r>
        <w:rPr/>
        <w:t>联系电话：010-88066632</w:t>
      </w:r>
    </w:p>
    <w:p>
      <w:pPr>
        <w:pStyle w:val="BodyText"/>
        <w:spacing w:line="364" w:lineRule="auto" w:before="140"/>
        <w:ind w:right="6581"/>
      </w:pPr>
      <w:r>
        <w:rPr/>
        <w:t>客户服务电话：400-817-5666 传真：010-63136184</w:t>
      </w:r>
    </w:p>
    <w:p>
      <w:pPr>
        <w:pStyle w:val="BodyText"/>
        <w:spacing w:line="268" w:lineRule="exact"/>
      </w:pPr>
      <w:hyperlink r:id="rId202">
        <w:r>
          <w:rPr/>
          <w:t>网址：www.amcfortune.com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徽商期货</w:t>
      </w:r>
    </w:p>
    <w:p>
      <w:pPr>
        <w:pStyle w:val="BodyText"/>
        <w:spacing w:line="364" w:lineRule="auto" w:before="140"/>
        <w:ind w:right="3062"/>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631"/>
      </w:pPr>
      <w:r>
        <w:rPr/>
        <w:t>法人代表：吴国华联系人：申倩倩</w:t>
      </w:r>
    </w:p>
    <w:p>
      <w:pPr>
        <w:pStyle w:val="BodyText"/>
        <w:spacing w:line="268" w:lineRule="exact"/>
      </w:pPr>
      <w:r>
        <w:rPr/>
        <w:t>联系电话：0551-62865215</w:t>
      </w:r>
    </w:p>
    <w:p>
      <w:pPr>
        <w:pStyle w:val="BodyText"/>
        <w:spacing w:line="364" w:lineRule="auto" w:before="138"/>
        <w:ind w:right="6581"/>
      </w:pPr>
      <w:r>
        <w:rPr/>
        <w:t>客户服务电话：400-887-8707 </w:t>
      </w:r>
      <w:hyperlink r:id="rId203">
        <w:r>
          <w:rPr/>
          <w:t>网址：www.hsqh.net</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39"/>
        <w:ind w:right="7421"/>
      </w:pPr>
      <w:r>
        <w:rPr/>
        <w:t>法定代表人：王伟刚联系人：王骁骁</w:t>
      </w:r>
    </w:p>
    <w:p>
      <w:pPr>
        <w:pStyle w:val="BodyText"/>
        <w:spacing w:line="268" w:lineRule="exact"/>
      </w:pPr>
      <w:r>
        <w:rPr/>
        <w:t>联系电话：010-56251471</w:t>
      </w:r>
    </w:p>
    <w:p>
      <w:pPr>
        <w:pStyle w:val="BodyText"/>
        <w:spacing w:line="364" w:lineRule="auto" w:before="140"/>
        <w:ind w:right="6581"/>
      </w:pPr>
      <w:r>
        <w:rPr/>
        <w:t>客户服务电话</w:t>
      </w:r>
      <w:r>
        <w:rPr>
          <w:spacing w:val="-2"/>
        </w:rPr>
        <w:t>：400-619-9059 </w:t>
      </w:r>
      <w:hyperlink r:id="rId204">
        <w:r>
          <w:rPr/>
          <w:t>网址：www.hcjijin.com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1541"/>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before="140"/>
      </w:pPr>
      <w:r>
        <w:rPr/>
        <w:t>客户服务电话：021-34013999</w:t>
      </w:r>
    </w:p>
    <w:p>
      <w:pPr>
        <w:spacing w:after="0"/>
        <w:sectPr>
          <w:pgSz w:w="11910" w:h="16840"/>
          <w:pgMar w:header="0" w:footer="1172" w:top="1580" w:bottom="1440" w:left="1520" w:right="360"/>
        </w:sectPr>
      </w:pPr>
    </w:p>
    <w:p>
      <w:pPr>
        <w:pStyle w:val="BodyText"/>
        <w:spacing w:before="106"/>
      </w:pPr>
      <w:r>
        <w:rPr/>
        <w:t>传真：021-33323837</w:t>
      </w:r>
    </w:p>
    <w:p>
      <w:pPr>
        <w:pStyle w:val="BodyText"/>
        <w:spacing w:before="139"/>
      </w:pPr>
      <w:hyperlink r:id="rId205">
        <w:r>
          <w:rPr/>
          <w:t>网址：www.hotjijin.com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40"/>
        <w:ind w:right="2486"/>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333" w:val="left" w:leader="none"/>
        </w:tabs>
        <w:spacing w:line="364" w:lineRule="auto" w:before="140"/>
        <w:ind w:right="2171"/>
      </w:pPr>
      <w:r>
        <w:rPr/>
        <w:t>客户服务电话：400-673-7010（济安财富官网）</w:t>
        <w:tab/>
        <w:t>400-071-6766（腾讯财经</w:t>
      </w:r>
      <w:r>
        <w:rPr>
          <w:spacing w:val="-18"/>
        </w:rPr>
        <w:t>） </w:t>
      </w:r>
      <w:r>
        <w:rPr/>
        <w:t>传真：010-65330699</w:t>
      </w:r>
    </w:p>
    <w:p>
      <w:pPr>
        <w:pStyle w:val="BodyText"/>
        <w:spacing w:line="268" w:lineRule="exact"/>
      </w:pPr>
      <w:hyperlink r:id="rId206">
        <w:r>
          <w:rPr/>
          <w:t>网址：www.jianfortune.com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加和基金</w:t>
      </w:r>
    </w:p>
    <w:p>
      <w:pPr>
        <w:pStyle w:val="BodyText"/>
        <w:spacing w:line="364" w:lineRule="auto" w:before="139"/>
        <w:ind w:right="3326"/>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6581"/>
      </w:pPr>
      <w:r>
        <w:rPr/>
        <w:t>客户服务电话：400-803-1188 传真：010-80456278</w:t>
      </w:r>
    </w:p>
    <w:p>
      <w:pPr>
        <w:pStyle w:val="BodyText"/>
        <w:spacing w:line="268" w:lineRule="exact"/>
      </w:pPr>
      <w:hyperlink r:id="rId207">
        <w:r>
          <w:rPr/>
          <w:t>网址：www.bzfunds.com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嘉实财富</w:t>
      </w:r>
    </w:p>
    <w:p>
      <w:pPr>
        <w:pStyle w:val="BodyText"/>
        <w:spacing w:line="364" w:lineRule="auto" w:before="139"/>
        <w:ind w:left="293" w:right="988" w:firstLine="420"/>
      </w:pPr>
      <w:r>
        <w:rPr/>
        <w:t>注册地址：中国（上海）自由贸易试验区世纪大道 8 号上海国金中心办公楼二期 53 层5312-15 单元</w:t>
      </w:r>
    </w:p>
    <w:p>
      <w:pPr>
        <w:pStyle w:val="BodyText"/>
        <w:spacing w:line="364" w:lineRule="auto"/>
        <w:ind w:right="4166"/>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6581"/>
      </w:pPr>
      <w:r>
        <w:rPr/>
        <w:t>客户服务电话：400-021-8850 传真：010-85712195</w:t>
      </w:r>
    </w:p>
    <w:p>
      <w:pPr>
        <w:pStyle w:val="BodyText"/>
        <w:spacing w:line="268" w:lineRule="exact"/>
      </w:pPr>
      <w:hyperlink r:id="rId208">
        <w:r>
          <w:rPr/>
          <w:t>网址：www.harvestwm.cn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金百临</w:t>
      </w:r>
    </w:p>
    <w:p>
      <w:pPr>
        <w:pStyle w:val="BodyText"/>
        <w:spacing w:before="139"/>
      </w:pPr>
      <w:r>
        <w:rPr/>
        <w:t>注册地址：无锡市滨湖区锦溪路 99 号</w:t>
      </w:r>
    </w:p>
    <w:p>
      <w:pPr>
        <w:pStyle w:val="BodyText"/>
        <w:spacing w:before="139"/>
      </w:pPr>
      <w:r>
        <w:rPr/>
        <w:t>办公地址：江苏省无锡市太湖新城锦溪道楝泽路 9 号楼</w:t>
      </w:r>
    </w:p>
    <w:p>
      <w:pPr>
        <w:spacing w:after="0"/>
        <w:sectPr>
          <w:pgSz w:w="11910" w:h="16840"/>
          <w:pgMar w:header="0" w:footer="1172" w:top="1580" w:bottom="1440" w:left="1520" w:right="360"/>
        </w:sectPr>
      </w:pPr>
    </w:p>
    <w:p>
      <w:pPr>
        <w:pStyle w:val="BodyText"/>
        <w:spacing w:line="364" w:lineRule="auto" w:before="106"/>
        <w:ind w:right="7631"/>
      </w:pPr>
      <w:r>
        <w:rPr/>
        <w:t>法人代表：费晓燕联系人：邹云</w:t>
      </w:r>
    </w:p>
    <w:p>
      <w:pPr>
        <w:pStyle w:val="BodyText"/>
        <w:spacing w:line="268" w:lineRule="exact"/>
      </w:pPr>
      <w:r>
        <w:rPr/>
        <w:t>联系电话：0510-81188088</w:t>
      </w:r>
    </w:p>
    <w:p>
      <w:pPr>
        <w:pStyle w:val="BodyText"/>
        <w:spacing w:line="364" w:lineRule="auto" w:before="139"/>
        <w:ind w:right="6581"/>
      </w:pPr>
      <w:r>
        <w:rPr/>
        <w:t>客户服务电话：0510-9688988 </w:t>
      </w:r>
      <w:hyperlink r:id="rId209">
        <w:r>
          <w:rPr/>
          <w:t>网址：www.jsjbl.com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金观诚</w:t>
      </w:r>
    </w:p>
    <w:p>
      <w:pPr>
        <w:pStyle w:val="BodyText"/>
        <w:spacing w:line="364" w:lineRule="auto" w:before="140"/>
        <w:ind w:right="2327"/>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3"/>
        </w:rPr>
        <w:t> 室</w:t>
      </w:r>
      <w:r>
        <w:rPr>
          <w:spacing w:val="-4"/>
        </w:rPr>
        <w:t>办公地址：杭州拱墅区登云路 </w:t>
      </w:r>
      <w:r>
        <w:rPr/>
        <w:t>55</w:t>
      </w:r>
      <w:r>
        <w:rPr>
          <w:spacing w:val="-10"/>
        </w:rPr>
        <w:t> 号金诚集团</w:t>
      </w:r>
      <w:r>
        <w:rPr/>
        <w:t>（锦昌大厦）</w:t>
      </w:r>
    </w:p>
    <w:p>
      <w:pPr>
        <w:pStyle w:val="BodyText"/>
        <w:spacing w:line="364" w:lineRule="auto"/>
        <w:ind w:right="7421"/>
      </w:pPr>
      <w:r>
        <w:rPr/>
        <w:t>法定代表人：蒋雪琦联系人：来舒岚</w:t>
      </w:r>
    </w:p>
    <w:p>
      <w:pPr>
        <w:pStyle w:val="BodyText"/>
        <w:spacing w:line="268" w:lineRule="exact"/>
      </w:pPr>
      <w:r>
        <w:rPr/>
        <w:t>联系电话：0571-88337888</w:t>
      </w:r>
    </w:p>
    <w:p>
      <w:pPr>
        <w:pStyle w:val="BodyText"/>
        <w:spacing w:line="364" w:lineRule="auto" w:before="138"/>
        <w:ind w:right="6791"/>
      </w:pPr>
      <w:r>
        <w:rPr/>
        <w:t>客户服务电话：4000680058 传真：0571-88337666</w:t>
      </w:r>
    </w:p>
    <w:p>
      <w:pPr>
        <w:pStyle w:val="BodyText"/>
        <w:spacing w:line="268" w:lineRule="exact"/>
      </w:pPr>
      <w:hyperlink r:id="rId210">
        <w:r>
          <w:rPr/>
          <w:t>网址：http://www.jincheng-fund.com/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40"/>
        <w:ind w:right="3431"/>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6581"/>
      </w:pPr>
      <w:r>
        <w:rPr/>
        <w:t>客户服务电话</w:t>
      </w:r>
      <w:r>
        <w:rPr>
          <w:spacing w:val="-2"/>
        </w:rPr>
        <w:t>：400-102-1813 </w:t>
      </w:r>
      <w:r>
        <w:rPr/>
        <w:t>传真：021-68682297</w:t>
      </w:r>
    </w:p>
    <w:p>
      <w:pPr>
        <w:pStyle w:val="BodyText"/>
        <w:spacing w:line="268" w:lineRule="exact"/>
      </w:pPr>
      <w:hyperlink r:id="rId211">
        <w:r>
          <w:rPr/>
          <w:t>网址：www.jfcta.com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凯石财富</w:t>
      </w:r>
    </w:p>
    <w:p>
      <w:pPr>
        <w:pStyle w:val="BodyText"/>
        <w:spacing w:line="364" w:lineRule="auto" w:before="139"/>
        <w:ind w:right="4481"/>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6581"/>
      </w:pPr>
      <w:r>
        <w:rPr/>
        <w:t>客户服务电话：4006-433-389 传真：021-63333390</w:t>
      </w:r>
    </w:p>
    <w:p>
      <w:pPr>
        <w:pStyle w:val="BodyText"/>
        <w:spacing w:line="268" w:lineRule="exact"/>
      </w:pPr>
      <w:hyperlink r:id="rId212">
        <w:r>
          <w:rPr/>
          <w:t>网址：www.vstonewealth.com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肯特瑞基金</w:t>
      </w:r>
    </w:p>
    <w:p>
      <w:pPr>
        <w:spacing w:after="0" w:line="240" w:lineRule="auto"/>
        <w:jc w:val="left"/>
        <w:rPr>
          <w:sz w:val="21"/>
        </w:rPr>
        <w:sectPr>
          <w:pgSz w:w="11910" w:h="16840"/>
          <w:pgMar w:header="0" w:footer="1172" w:top="1580" w:bottom="1440" w:left="1520" w:right="360"/>
        </w:sectPr>
      </w:pPr>
    </w:p>
    <w:p>
      <w:pPr>
        <w:pStyle w:val="BodyText"/>
        <w:spacing w:before="106"/>
      </w:pPr>
      <w:r>
        <w:rPr/>
        <w:t>注册地址：北京市海淀区西三旗建材城中路 12 号 17 号平房 157</w:t>
      </w:r>
    </w:p>
    <w:p>
      <w:pPr>
        <w:pStyle w:val="BodyText"/>
        <w:spacing w:line="364" w:lineRule="auto" w:before="139"/>
        <w:ind w:right="1961"/>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40"/>
      </w:pPr>
      <w:hyperlink r:id="rId213">
        <w:r>
          <w:rPr/>
          <w:t>网址：http://fund.jd.com/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利得基金</w:t>
      </w:r>
    </w:p>
    <w:p>
      <w:pPr>
        <w:pStyle w:val="BodyText"/>
        <w:spacing w:before="140"/>
      </w:pPr>
      <w:r>
        <w:rPr/>
        <w:t>注册地址：上海市宝山区蕴川路 5475 号 1033 室</w:t>
      </w:r>
    </w:p>
    <w:p>
      <w:pPr>
        <w:pStyle w:val="BodyText"/>
        <w:spacing w:line="364" w:lineRule="auto" w:before="139"/>
        <w:ind w:right="3221"/>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7211"/>
      </w:pPr>
      <w:r>
        <w:rPr/>
        <w:t>客户服务电话：95733 传真：86-21-61101630</w:t>
      </w:r>
    </w:p>
    <w:p>
      <w:pPr>
        <w:pStyle w:val="BodyText"/>
        <w:spacing w:line="268" w:lineRule="exact"/>
      </w:pPr>
      <w:hyperlink r:id="rId214">
        <w:r>
          <w:rPr/>
          <w:t>网址：www.leadfund.com.cn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联泰基金</w:t>
      </w:r>
    </w:p>
    <w:p>
      <w:pPr>
        <w:pStyle w:val="BodyText"/>
        <w:spacing w:line="364" w:lineRule="auto" w:before="140"/>
        <w:ind w:right="3011"/>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7421"/>
      </w:pPr>
      <w:r>
        <w:rPr/>
        <w:t>法定代表人：尹彬彬联系人：陈东</w:t>
      </w:r>
    </w:p>
    <w:p>
      <w:pPr>
        <w:pStyle w:val="BodyText"/>
        <w:spacing w:line="268" w:lineRule="exact"/>
      </w:pPr>
      <w:r>
        <w:rPr/>
        <w:t>联系电话：021-52822063</w:t>
      </w:r>
    </w:p>
    <w:p>
      <w:pPr>
        <w:pStyle w:val="BodyText"/>
        <w:spacing w:line="364" w:lineRule="auto" w:before="138"/>
        <w:ind w:right="6581"/>
      </w:pPr>
      <w:r>
        <w:rPr/>
        <w:t>客户服务电话：400-118-1188 传真：021-52975270</w:t>
      </w:r>
    </w:p>
    <w:p>
      <w:pPr>
        <w:pStyle w:val="BodyText"/>
        <w:spacing w:line="268" w:lineRule="exact"/>
      </w:pPr>
      <w:hyperlink r:id="rId215">
        <w:r>
          <w:rPr/>
          <w:t>网址：www.66zichan.com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陆基金</w:t>
      </w:r>
    </w:p>
    <w:p>
      <w:pPr>
        <w:pStyle w:val="BodyText"/>
        <w:spacing w:line="364" w:lineRule="auto" w:before="139"/>
        <w:ind w:right="2486"/>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791"/>
      </w:pPr>
      <w:r>
        <w:rPr/>
        <w:t>客户服务电话：4008219031 传真：021-22066653</w:t>
      </w:r>
    </w:p>
    <w:p>
      <w:pPr>
        <w:spacing w:after="0" w:line="364" w:lineRule="auto"/>
        <w:sectPr>
          <w:pgSz w:w="11910" w:h="16840"/>
          <w:pgMar w:header="0" w:footer="1172" w:top="1580" w:bottom="1440" w:left="1520" w:right="360"/>
        </w:sectPr>
      </w:pPr>
    </w:p>
    <w:p>
      <w:pPr>
        <w:pStyle w:val="BodyText"/>
        <w:spacing w:before="106"/>
      </w:pPr>
      <w:hyperlink r:id="rId216">
        <w:r>
          <w:rPr/>
          <w:t>网址：www.lufunds.com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蚂蚁基金</w:t>
      </w:r>
    </w:p>
    <w:p>
      <w:pPr>
        <w:pStyle w:val="BodyText"/>
        <w:spacing w:line="364" w:lineRule="auto" w:before="140"/>
        <w:ind w:right="2591"/>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7421"/>
      </w:pPr>
      <w:r>
        <w:rPr/>
        <w:t>法定代表人：祖国明联系人：韩爱彬</w:t>
      </w:r>
    </w:p>
    <w:p>
      <w:pPr>
        <w:pStyle w:val="BodyText"/>
        <w:spacing w:line="268" w:lineRule="exact"/>
      </w:pPr>
      <w:r>
        <w:rPr/>
        <w:t>联系电话：0571-26888888</w:t>
      </w:r>
    </w:p>
    <w:p>
      <w:pPr>
        <w:pStyle w:val="BodyText"/>
        <w:spacing w:line="364" w:lineRule="auto" w:before="138"/>
        <w:ind w:right="6371"/>
      </w:pPr>
      <w:r>
        <w:rPr/>
        <w:t>客户服务电话：4000-766-123 </w:t>
      </w:r>
      <w:hyperlink r:id="rId217">
        <w:r>
          <w:rPr>
            <w:spacing w:val="-1"/>
          </w:rPr>
          <w:t>网址</w:t>
        </w:r>
        <w:r>
          <w:rPr/>
          <w:t>：http://www.fund123.cn/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民商基金</w:t>
      </w:r>
    </w:p>
    <w:p>
      <w:pPr>
        <w:pStyle w:val="BodyText"/>
        <w:spacing w:line="364" w:lineRule="auto" w:before="140"/>
        <w:ind w:right="3482"/>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39"/>
      </w:pPr>
      <w:r>
        <w:rPr/>
        <w:t>联系电话：021-50206003</w:t>
      </w:r>
    </w:p>
    <w:p>
      <w:pPr>
        <w:pStyle w:val="BodyText"/>
        <w:spacing w:line="364" w:lineRule="auto" w:before="140"/>
        <w:ind w:right="6581"/>
      </w:pPr>
      <w:r>
        <w:rPr/>
        <w:t>客户服务电话：021-50206003 传真：021-50206001</w:t>
      </w:r>
    </w:p>
    <w:p>
      <w:pPr>
        <w:pStyle w:val="BodyText"/>
        <w:spacing w:line="268" w:lineRule="exact"/>
      </w:pPr>
      <w:hyperlink r:id="rId218">
        <w:r>
          <w:rPr/>
          <w:t>网址：http://www.msftec.com/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诺亚正行</w:t>
      </w:r>
    </w:p>
    <w:p>
      <w:pPr>
        <w:pStyle w:val="BodyText"/>
        <w:spacing w:line="364" w:lineRule="auto" w:before="140"/>
        <w:ind w:right="4376"/>
      </w:pPr>
      <w:r>
        <w:rPr>
          <w:spacing w:val="-4"/>
        </w:rPr>
        <w:t>注册地址：上海市虹口区飞虹路 </w:t>
      </w:r>
      <w:r>
        <w:rPr/>
        <w:t>360</w:t>
      </w:r>
      <w:r>
        <w:rPr>
          <w:spacing w:val="-35"/>
        </w:rPr>
        <w:t> 弄 </w:t>
      </w:r>
      <w:r>
        <w:rPr/>
        <w:t>9</w:t>
      </w:r>
      <w:r>
        <w:rPr>
          <w:spacing w:val="-35"/>
        </w:rPr>
        <w:t> 号 </w:t>
      </w:r>
      <w:r>
        <w:rPr/>
        <w:t>3724</w:t>
      </w:r>
      <w:r>
        <w:rPr>
          <w:spacing w:val="-18"/>
        </w:rPr>
        <w:t> 室办</w:t>
      </w:r>
      <w:r>
        <w:rPr>
          <w:spacing w:val="-21"/>
        </w:rPr>
        <w:t>公地址：上海市杨浦区长阳路 </w:t>
      </w:r>
      <w:r>
        <w:rPr/>
        <w:t>1687</w:t>
      </w:r>
      <w:r>
        <w:rPr>
          <w:spacing w:val="-19"/>
        </w:rPr>
        <w:t> 号长阳谷 </w:t>
      </w:r>
      <w:r>
        <w:rPr/>
        <w:t>2</w:t>
      </w:r>
      <w:r>
        <w:rPr>
          <w:spacing w:val="-18"/>
        </w:rPr>
        <w:t> 号楼法定代表人：汪静波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39"/>
        <w:ind w:right="6581"/>
      </w:pPr>
      <w:r>
        <w:rPr/>
        <w:t>客户服务电话：400-821-5399 传真：021-38509777</w:t>
      </w:r>
    </w:p>
    <w:p>
      <w:pPr>
        <w:pStyle w:val="BodyText"/>
        <w:spacing w:line="268" w:lineRule="exact"/>
      </w:pPr>
      <w:hyperlink r:id="rId219">
        <w:r>
          <w:rPr/>
          <w:t>网址：www.noah-fund.com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浦领基金</w:t>
      </w:r>
    </w:p>
    <w:p>
      <w:pPr>
        <w:pStyle w:val="BodyText"/>
        <w:spacing w:line="364" w:lineRule="auto" w:before="139"/>
        <w:ind w:right="3536"/>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7421"/>
      </w:pPr>
      <w:r>
        <w:rPr/>
        <w:t>法定代表人：聂婉君联系人：李艳</w:t>
      </w:r>
    </w:p>
    <w:p>
      <w:pPr>
        <w:pStyle w:val="BodyText"/>
        <w:spacing w:line="268" w:lineRule="exact"/>
      </w:pPr>
      <w:r>
        <w:rPr/>
        <w:t>联系电话：010-59497361</w:t>
      </w:r>
    </w:p>
    <w:p>
      <w:pPr>
        <w:spacing w:after="0" w:line="268" w:lineRule="exact"/>
        <w:sectPr>
          <w:pgSz w:w="11910" w:h="16840"/>
          <w:pgMar w:header="0" w:footer="1172" w:top="1580" w:bottom="1440" w:left="1520" w:right="360"/>
        </w:sectPr>
      </w:pPr>
    </w:p>
    <w:p>
      <w:pPr>
        <w:pStyle w:val="BodyText"/>
        <w:spacing w:line="364" w:lineRule="auto" w:before="106"/>
        <w:ind w:right="6581"/>
      </w:pPr>
      <w:r>
        <w:rPr/>
        <w:t>客户服务电话：400-012-5899 传真：010-64788016</w:t>
      </w:r>
    </w:p>
    <w:p>
      <w:pPr>
        <w:pStyle w:val="BodyText"/>
        <w:spacing w:line="268" w:lineRule="exact"/>
      </w:pPr>
      <w:hyperlink r:id="rId220">
        <w:r>
          <w:rPr/>
          <w:t>网址：www.zscffund.com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钱景基金</w:t>
      </w:r>
    </w:p>
    <w:p>
      <w:pPr>
        <w:pStyle w:val="BodyText"/>
        <w:spacing w:line="364" w:lineRule="auto" w:before="140"/>
        <w:ind w:right="3482"/>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39"/>
      </w:pPr>
      <w:r>
        <w:rPr/>
        <w:t>联系电话：010-62565181</w:t>
      </w:r>
    </w:p>
    <w:p>
      <w:pPr>
        <w:pStyle w:val="BodyText"/>
        <w:spacing w:line="364" w:lineRule="auto" w:before="140"/>
        <w:ind w:right="6581"/>
      </w:pPr>
      <w:r>
        <w:rPr/>
        <w:t>客户服务电话：400-893-6885 传真：010-57569671</w:t>
      </w:r>
    </w:p>
    <w:p>
      <w:pPr>
        <w:pStyle w:val="BodyText"/>
        <w:spacing w:line="268" w:lineRule="exact"/>
      </w:pPr>
      <w:hyperlink r:id="rId221">
        <w:r>
          <w:rPr/>
          <w:t>网址：www.qianjing.com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3536"/>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6581"/>
      </w:pPr>
      <w:r>
        <w:rPr/>
        <w:t>客户服务电话：400-166-1188 传真：010-83363010</w:t>
      </w:r>
    </w:p>
    <w:p>
      <w:pPr>
        <w:pStyle w:val="BodyText"/>
        <w:spacing w:line="268" w:lineRule="exact"/>
      </w:pPr>
      <w:hyperlink r:id="rId222">
        <w:r>
          <w:rPr/>
          <w:t>网址：http://8.jrj.com.cn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3746"/>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6581"/>
      </w:pPr>
      <w:r>
        <w:rPr/>
        <w:t>客户服务电话：010-58170761 传真：010-58170800</w:t>
      </w:r>
    </w:p>
    <w:p>
      <w:pPr>
        <w:pStyle w:val="BodyText"/>
        <w:spacing w:line="268" w:lineRule="exact"/>
      </w:pPr>
      <w:hyperlink r:id="rId223">
        <w:r>
          <w:rPr/>
          <w:t>网址：www.shengshiview.com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苏宁基金</w:t>
      </w:r>
    </w:p>
    <w:p>
      <w:pPr>
        <w:pStyle w:val="BodyText"/>
        <w:spacing w:line="364" w:lineRule="auto" w:before="139"/>
        <w:ind w:right="5531"/>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p>
    <w:p>
      <w:pPr>
        <w:spacing w:after="0" w:line="364" w:lineRule="auto"/>
        <w:sectPr>
          <w:pgSz w:w="11910" w:h="16840"/>
          <w:pgMar w:header="0" w:footer="1172" w:top="1580" w:bottom="1440" w:left="1520" w:right="360"/>
        </w:sectPr>
      </w:pPr>
    </w:p>
    <w:p>
      <w:pPr>
        <w:pStyle w:val="BodyText"/>
        <w:spacing w:line="364" w:lineRule="auto" w:before="106"/>
        <w:ind w:right="7631"/>
      </w:pPr>
      <w:r>
        <w:rPr/>
        <w:t>法定代表人：王锋联系人：张云飞</w:t>
      </w:r>
    </w:p>
    <w:p>
      <w:pPr>
        <w:pStyle w:val="BodyText"/>
        <w:spacing w:line="268" w:lineRule="exact"/>
      </w:pPr>
      <w:r>
        <w:rPr/>
        <w:t>联系电话：025-66996699-882796</w:t>
      </w:r>
    </w:p>
    <w:p>
      <w:pPr>
        <w:pStyle w:val="BodyText"/>
        <w:spacing w:line="364" w:lineRule="auto" w:before="139"/>
        <w:ind w:right="7106"/>
      </w:pPr>
      <w:r>
        <w:rPr/>
        <w:t>客户服务电话：95177 </w:t>
      </w:r>
      <w:hyperlink r:id="rId224">
        <w:r>
          <w:rPr>
            <w:spacing w:val="-1"/>
          </w:rPr>
          <w:t>网址</w:t>
        </w:r>
        <w:r>
          <w:rPr/>
          <w:t>：www.snjijin.com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腾安基金</w:t>
      </w:r>
    </w:p>
    <w:p>
      <w:pPr>
        <w:pStyle w:val="BodyText"/>
        <w:spacing w:line="364" w:lineRule="auto" w:before="140"/>
        <w:ind w:left="293" w:right="936" w:firstLine="420"/>
      </w:pPr>
      <w:r>
        <w:rPr>
          <w:spacing w:val="1"/>
        </w:rPr>
        <w:t>注册地址：深圳市前海深港合作区前湾一路 </w:t>
      </w:r>
      <w:r>
        <w:rPr/>
        <w:t>1</w:t>
      </w:r>
      <w:r>
        <w:rPr>
          <w:spacing w:val="-34"/>
        </w:rPr>
        <w:t> 号 </w:t>
      </w:r>
      <w:r>
        <w:rPr/>
        <w:t>A</w:t>
      </w:r>
      <w:r>
        <w:rPr>
          <w:spacing w:val="-34"/>
        </w:rPr>
        <w:t> 栋 </w:t>
      </w:r>
      <w:r>
        <w:rPr/>
        <w:t>201</w:t>
      </w:r>
      <w:r>
        <w:rPr>
          <w:spacing w:val="-24"/>
        </w:rPr>
        <w:t> 室</w:t>
      </w:r>
      <w:r>
        <w:rPr>
          <w:spacing w:val="5"/>
        </w:rPr>
        <w:t>（</w:t>
      </w:r>
      <w:r>
        <w:rPr>
          <w:spacing w:val="4"/>
        </w:rPr>
        <w:t>入驻深圳市前海商务秘书有限公司）</w:t>
      </w:r>
    </w:p>
    <w:p>
      <w:pPr>
        <w:pStyle w:val="BodyText"/>
        <w:spacing w:line="364" w:lineRule="auto"/>
        <w:ind w:right="3851"/>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8"/>
        <w:ind w:right="5477"/>
      </w:pPr>
      <w:r>
        <w:rPr/>
        <w:t>客户服务电话：95017（</w:t>
      </w:r>
      <w:r>
        <w:rPr>
          <w:spacing w:val="-11"/>
        </w:rPr>
        <w:t>拨通后转 </w:t>
      </w:r>
      <w:r>
        <w:rPr/>
        <w:t>1</w:t>
      </w:r>
      <w:r>
        <w:rPr>
          <w:spacing w:val="-36"/>
        </w:rPr>
        <w:t> 转 </w:t>
      </w:r>
      <w:r>
        <w:rPr>
          <w:spacing w:val="-8"/>
        </w:rPr>
        <w:t>8） </w:t>
      </w:r>
      <w:hyperlink r:id="rId225">
        <w:r>
          <w:rPr/>
          <w:t>公司网址：https://www.txfund.com/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天天基金</w:t>
      </w:r>
    </w:p>
    <w:p>
      <w:pPr>
        <w:pStyle w:val="BodyText"/>
        <w:spacing w:before="140"/>
      </w:pPr>
      <w:r>
        <w:rPr/>
        <w:t>注册地址：上海市徐汇区龙田路 190 号 2 号楼 2 层</w:t>
      </w:r>
    </w:p>
    <w:p>
      <w:pPr>
        <w:pStyle w:val="BodyText"/>
        <w:spacing w:line="364" w:lineRule="auto" w:before="139"/>
        <w:ind w:right="4376"/>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7316"/>
      </w:pPr>
      <w:r>
        <w:rPr/>
        <w:t>客户服务电话：95021 传真：021-64385308</w:t>
      </w:r>
    </w:p>
    <w:p>
      <w:pPr>
        <w:pStyle w:val="BodyText"/>
        <w:spacing w:line="268" w:lineRule="exact"/>
      </w:pPr>
      <w:hyperlink r:id="rId226">
        <w:r>
          <w:rPr/>
          <w:t>网址：www.1234567.com.cn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39"/>
        <w:ind w:right="3956"/>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7001"/>
      </w:pPr>
      <w:r>
        <w:rPr/>
        <w:t>联系人：杨涛、庄洁茹 联系电话</w:t>
      </w:r>
      <w:r>
        <w:rPr>
          <w:spacing w:val="-2"/>
        </w:rPr>
        <w:t>：021-60810586</w:t>
      </w:r>
    </w:p>
    <w:p>
      <w:pPr>
        <w:pStyle w:val="BodyText"/>
        <w:spacing w:line="364" w:lineRule="auto"/>
        <w:ind w:right="6581"/>
      </w:pPr>
      <w:r>
        <w:rPr/>
        <w:t>客户服务电话：400-101-9301 传真：021-60810695</w:t>
      </w:r>
    </w:p>
    <w:p>
      <w:pPr>
        <w:pStyle w:val="BodyText"/>
        <w:spacing w:line="268" w:lineRule="exact"/>
      </w:pPr>
      <w:hyperlink r:id="rId227">
        <w:r>
          <w:rPr/>
          <w:t>网址：www.tonghuafund.com</w:t>
        </w:r>
      </w:hyperlink>
    </w:p>
    <w:p>
      <w:pPr>
        <w:pStyle w:val="ListParagraph"/>
        <w:numPr>
          <w:ilvl w:val="0"/>
          <w:numId w:val="9"/>
        </w:numPr>
        <w:tabs>
          <w:tab w:pos="1239" w:val="left" w:leader="none"/>
        </w:tabs>
        <w:spacing w:line="240" w:lineRule="auto" w:before="138" w:after="0"/>
        <w:ind w:left="1239" w:right="0" w:hanging="526"/>
        <w:jc w:val="left"/>
        <w:rPr>
          <w:sz w:val="21"/>
        </w:rPr>
      </w:pPr>
      <w:r>
        <w:rPr>
          <w:sz w:val="21"/>
        </w:rPr>
        <w:t>同花顺</w:t>
      </w:r>
    </w:p>
    <w:p>
      <w:pPr>
        <w:pStyle w:val="BodyText"/>
        <w:spacing w:before="139"/>
      </w:pPr>
      <w:r>
        <w:rPr/>
        <w:t>注册地址：浙江省杭州市文二西路 1 号 903 室</w:t>
      </w:r>
    </w:p>
    <w:p>
      <w:pPr>
        <w:spacing w:after="0"/>
        <w:sectPr>
          <w:pgSz w:w="11910" w:h="16840"/>
          <w:pgMar w:header="0" w:footer="1172" w:top="1580" w:bottom="1440" w:left="1520" w:right="360"/>
        </w:sectPr>
      </w:pPr>
    </w:p>
    <w:p>
      <w:pPr>
        <w:pStyle w:val="BodyText"/>
        <w:spacing w:line="364" w:lineRule="auto" w:before="106"/>
        <w:ind w:right="3536"/>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7211"/>
      </w:pPr>
      <w:r>
        <w:rPr/>
        <w:t>客户服务电话</w:t>
      </w:r>
      <w:r>
        <w:rPr>
          <w:spacing w:val="-3"/>
        </w:rPr>
        <w:t>：952555 </w:t>
      </w:r>
      <w:r>
        <w:rPr/>
        <w:t>传真：0571-86800423</w:t>
      </w:r>
    </w:p>
    <w:p>
      <w:pPr>
        <w:pStyle w:val="BodyText"/>
        <w:spacing w:line="268" w:lineRule="exact"/>
      </w:pPr>
      <w:hyperlink r:id="rId228">
        <w:r>
          <w:rPr/>
          <w:t>网址：www.5ifund.com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途牛基金</w:t>
      </w:r>
    </w:p>
    <w:p>
      <w:pPr>
        <w:pStyle w:val="BodyText"/>
        <w:spacing w:line="364" w:lineRule="auto" w:before="140"/>
        <w:ind w:right="4586"/>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5"/>
        </w:rPr>
        <w:t> 号</w:t>
      </w:r>
      <w:r>
        <w:rPr/>
        <w:t>法人代表：宋时琳</w:t>
      </w:r>
    </w:p>
    <w:p>
      <w:pPr>
        <w:pStyle w:val="BodyText"/>
        <w:spacing w:line="268" w:lineRule="exact"/>
      </w:pPr>
      <w:r>
        <w:rPr/>
        <w:t>联系人：贺杰</w:t>
      </w:r>
    </w:p>
    <w:p>
      <w:pPr>
        <w:pStyle w:val="BodyText"/>
        <w:spacing w:before="139"/>
      </w:pPr>
      <w:r>
        <w:rPr/>
        <w:t>联系电话：025-86853960-66727</w:t>
      </w:r>
    </w:p>
    <w:p>
      <w:pPr>
        <w:pStyle w:val="BodyText"/>
        <w:spacing w:before="140"/>
      </w:pPr>
      <w:r>
        <w:rPr/>
        <w:t>客户服务电话：4007-999-999 转 3</w:t>
      </w:r>
    </w:p>
    <w:p>
      <w:pPr>
        <w:pStyle w:val="BodyText"/>
        <w:spacing w:before="139"/>
      </w:pPr>
      <w:hyperlink r:id="rId229">
        <w:r>
          <w:rPr/>
          <w:t>网址：http://jr.tuniu.com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挖财基金</w:t>
      </w:r>
    </w:p>
    <w:p>
      <w:pPr>
        <w:pStyle w:val="BodyText"/>
        <w:spacing w:before="140"/>
      </w:pPr>
      <w:r>
        <w:rPr/>
        <w:t>注册地址：中国（上海）自由贸易试验区杨高南路 799 号 5 楼 04 室</w:t>
      </w:r>
    </w:p>
    <w:p>
      <w:pPr>
        <w:pStyle w:val="BodyText"/>
        <w:spacing w:line="364" w:lineRule="auto" w:before="139"/>
        <w:ind w:right="1856"/>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6581"/>
      </w:pPr>
      <w:r>
        <w:rPr/>
        <w:t>客户服务电话</w:t>
      </w:r>
      <w:r>
        <w:rPr>
          <w:spacing w:val="-2"/>
        </w:rPr>
        <w:t>：021-50810673 </w:t>
      </w:r>
      <w:hyperlink r:id="rId230">
        <w:r>
          <w:rPr/>
          <w:t>网址：www.wacaijijin.com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万得基金</w:t>
      </w:r>
    </w:p>
    <w:p>
      <w:pPr>
        <w:pStyle w:val="BodyText"/>
        <w:spacing w:line="364" w:lineRule="auto" w:before="140"/>
        <w:ind w:right="3431"/>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631"/>
      </w:pPr>
      <w:r>
        <w:rPr/>
        <w:t>法定代表人：黄祎联系人：徐亚丹</w:t>
      </w:r>
    </w:p>
    <w:p>
      <w:pPr>
        <w:pStyle w:val="BodyText"/>
        <w:spacing w:line="268" w:lineRule="exact"/>
      </w:pPr>
      <w:r>
        <w:rPr/>
        <w:t>联系电话：021-50712782</w:t>
      </w:r>
    </w:p>
    <w:p>
      <w:pPr>
        <w:pStyle w:val="BodyText"/>
        <w:spacing w:line="364" w:lineRule="auto" w:before="138"/>
        <w:ind w:right="6581"/>
      </w:pPr>
      <w:r>
        <w:rPr/>
        <w:t>客户服务电话</w:t>
      </w:r>
      <w:r>
        <w:rPr>
          <w:spacing w:val="-2"/>
        </w:rPr>
        <w:t>：400-799-1888 </w:t>
      </w:r>
      <w:hyperlink r:id="rId231">
        <w:r>
          <w:rPr/>
          <w:t>网址：www.520fund.com.cn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万家财富</w:t>
      </w:r>
    </w:p>
    <w:p>
      <w:pPr>
        <w:pStyle w:val="BodyText"/>
        <w:spacing w:before="140"/>
      </w:pPr>
      <w:r>
        <w:rPr/>
        <w:t>注册地址：天津自贸区（中心商务区）迎宾大道 1988 号滨海浙商大厦公寓 2-2413 室</w:t>
      </w:r>
    </w:p>
    <w:p>
      <w:pPr>
        <w:spacing w:after="0"/>
        <w:sectPr>
          <w:pgSz w:w="11910" w:h="16840"/>
          <w:pgMar w:header="0" w:footer="1172" w:top="1580" w:bottom="1440" w:left="1520" w:right="360"/>
        </w:sectPr>
      </w:pPr>
    </w:p>
    <w:p>
      <w:pPr>
        <w:pStyle w:val="BodyText"/>
        <w:spacing w:line="364" w:lineRule="auto" w:before="106"/>
        <w:ind w:right="3326"/>
      </w:pPr>
      <w:r>
        <w:rPr>
          <w:spacing w:val="-4"/>
        </w:rPr>
        <w:t>办公地址：北京市西城区丰盛胡同 </w:t>
      </w:r>
      <w:r>
        <w:rPr/>
        <w:t>28</w:t>
      </w:r>
      <w:r>
        <w:rPr>
          <w:spacing w:val="-13"/>
        </w:rPr>
        <w:t> 号太平洋保险大厦 </w:t>
      </w:r>
      <w:r>
        <w:rPr/>
        <w:t>A</w:t>
      </w:r>
      <w:r>
        <w:rPr>
          <w:spacing w:val="-36"/>
        </w:rPr>
        <w:t> 座 </w:t>
      </w:r>
      <w:r>
        <w:rPr/>
        <w:t>5</w:t>
      </w:r>
      <w:r>
        <w:rPr>
          <w:spacing w:val="-34"/>
        </w:rPr>
        <w:t> 层</w:t>
      </w:r>
      <w:r>
        <w:rPr/>
        <w:t>法定代表人：张军</w:t>
      </w:r>
    </w:p>
    <w:p>
      <w:pPr>
        <w:pStyle w:val="BodyText"/>
        <w:spacing w:line="268" w:lineRule="exact"/>
      </w:pPr>
      <w:r>
        <w:rPr/>
        <w:t>联系人：王芳芳</w:t>
      </w:r>
    </w:p>
    <w:p>
      <w:pPr>
        <w:pStyle w:val="BodyText"/>
        <w:spacing w:before="139"/>
      </w:pPr>
      <w:r>
        <w:rPr/>
        <w:t>联系电话：010-59013828</w:t>
      </w:r>
    </w:p>
    <w:p>
      <w:pPr>
        <w:pStyle w:val="BodyText"/>
        <w:spacing w:before="140"/>
      </w:pPr>
      <w:r>
        <w:rPr/>
        <w:t>客户服务电话：010-59013895</w:t>
      </w:r>
    </w:p>
    <w:p>
      <w:pPr>
        <w:pStyle w:val="BodyText"/>
        <w:spacing w:before="139"/>
      </w:pPr>
      <w:hyperlink r:id="rId232">
        <w:r>
          <w:rPr/>
          <w:t>网址：http://www.wanjiawealth.com/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新浪仓石</w:t>
      </w:r>
    </w:p>
    <w:p>
      <w:pPr>
        <w:pStyle w:val="BodyText"/>
        <w:spacing w:line="364" w:lineRule="auto" w:before="139"/>
        <w:ind w:left="293" w:right="936" w:firstLine="420"/>
      </w:pPr>
      <w:r>
        <w:rPr/>
        <w:t>注册地址：北京市海淀区东北旺西路中关村软件园二期（西扩）N-1、N-2 地块新浪总部科研楼 5 层 518 室</w:t>
      </w:r>
    </w:p>
    <w:p>
      <w:pPr>
        <w:pStyle w:val="BodyText"/>
        <w:spacing w:line="364" w:lineRule="auto"/>
        <w:ind w:right="2906"/>
      </w:pPr>
      <w:r>
        <w:rPr>
          <w:spacing w:val="-4"/>
        </w:rPr>
        <w:t>办公地址：北京市海淀区西北旺东路 </w:t>
      </w:r>
      <w:r>
        <w:rPr/>
        <w:t>10</w:t>
      </w:r>
      <w:r>
        <w:rPr>
          <w:spacing w:val="-19"/>
        </w:rPr>
        <w:t> 号院东区 </w:t>
      </w:r>
      <w:r>
        <w:rPr/>
        <w:t>3</w:t>
      </w:r>
      <w:r>
        <w:rPr>
          <w:spacing w:val="-15"/>
        </w:rPr>
        <w:t> 号楼为明大厦 </w:t>
      </w:r>
      <w:r>
        <w:rPr/>
        <w:t>C</w:t>
      </w:r>
      <w:r>
        <w:rPr>
          <w:spacing w:val="-34"/>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6581"/>
      </w:pPr>
      <w:r>
        <w:rPr/>
        <w:t>客户服务电话：010-62675369 传真：010-62676582</w:t>
      </w:r>
    </w:p>
    <w:p>
      <w:pPr>
        <w:pStyle w:val="BodyText"/>
        <w:spacing w:line="268" w:lineRule="exact"/>
      </w:pPr>
      <w:hyperlink r:id="rId233">
        <w:r>
          <w:rPr/>
          <w:t>网址：www.xincai.com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鑫鼎盛</w:t>
      </w:r>
    </w:p>
    <w:p>
      <w:pPr>
        <w:pStyle w:val="BodyText"/>
        <w:spacing w:line="364" w:lineRule="auto" w:before="139"/>
        <w:ind w:right="3011"/>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6581"/>
      </w:pPr>
      <w:r>
        <w:rPr/>
        <w:t>客户服务电话：400-6533-789 </w:t>
      </w:r>
      <w:hyperlink r:id="rId234">
        <w:r>
          <w:rPr/>
          <w:t>网址：www.xds.com.cn</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阳光人寿保险</w:t>
      </w:r>
    </w:p>
    <w:p>
      <w:pPr>
        <w:pStyle w:val="BodyText"/>
        <w:spacing w:line="364" w:lineRule="auto" w:before="139"/>
        <w:ind w:right="3326"/>
      </w:pPr>
      <w:r>
        <w:rPr>
          <w:spacing w:val="-4"/>
        </w:rPr>
        <w:t>注册地址：海南省三亚市迎宾路 </w:t>
      </w:r>
      <w:r>
        <w:rPr/>
        <w:t>360-1</w:t>
      </w:r>
      <w:r>
        <w:rPr>
          <w:spacing w:val="-13"/>
        </w:rPr>
        <w:t> 号三亚阳光金融广场 </w:t>
      </w:r>
      <w:r>
        <w:rPr/>
        <w:t>16</w:t>
      </w:r>
      <w:r>
        <w:rPr>
          <w:spacing w:val="-35"/>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7631"/>
      </w:pPr>
      <w:r>
        <w:rPr/>
        <w:t>法定代表人：李科联系人：王磊</w:t>
      </w:r>
    </w:p>
    <w:p>
      <w:pPr>
        <w:pStyle w:val="BodyText"/>
        <w:spacing w:line="268" w:lineRule="exact"/>
      </w:pPr>
      <w:r>
        <w:rPr/>
        <w:t>联系电话：010-85632772</w:t>
      </w:r>
    </w:p>
    <w:p>
      <w:pPr>
        <w:pStyle w:val="BodyText"/>
        <w:spacing w:line="364" w:lineRule="auto" w:before="139"/>
        <w:ind w:right="7316"/>
      </w:pPr>
      <w:r>
        <w:rPr/>
        <w:t>客户服务电话：95510 传真：010-85632773</w:t>
      </w:r>
    </w:p>
    <w:p>
      <w:pPr>
        <w:pStyle w:val="BodyText"/>
        <w:spacing w:line="268" w:lineRule="exact"/>
      </w:pPr>
      <w:hyperlink r:id="rId235">
        <w:r>
          <w:rPr/>
          <w:t>网址：http://fund.sinosig.com</w:t>
        </w:r>
      </w:hyperlink>
    </w:p>
    <w:p>
      <w:pPr>
        <w:spacing w:after="0" w:line="268" w:lineRule="exact"/>
        <w:sectPr>
          <w:pgSz w:w="11910" w:h="16840"/>
          <w:pgMar w:header="0" w:footer="1172" w:top="1580" w:bottom="1440" w:left="1520" w:right="360"/>
        </w:sectPr>
      </w:pPr>
    </w:p>
    <w:p>
      <w:pPr>
        <w:pStyle w:val="ListParagraph"/>
        <w:numPr>
          <w:ilvl w:val="0"/>
          <w:numId w:val="9"/>
        </w:numPr>
        <w:tabs>
          <w:tab w:pos="1239" w:val="left" w:leader="none"/>
        </w:tabs>
        <w:spacing w:line="240" w:lineRule="auto" w:before="106" w:after="0"/>
        <w:ind w:left="1239" w:right="0" w:hanging="526"/>
        <w:jc w:val="left"/>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3116"/>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40"/>
        <w:ind w:right="6581"/>
      </w:pPr>
      <w:r>
        <w:rPr/>
        <w:t>客户服务电话：400-001-1566 传真：010-88312099</w:t>
      </w:r>
    </w:p>
    <w:p>
      <w:pPr>
        <w:pStyle w:val="BodyText"/>
        <w:spacing w:line="268" w:lineRule="exact"/>
      </w:pPr>
      <w:hyperlink r:id="rId236">
        <w:r>
          <w:rPr/>
          <w:t>网址：www.yilucaifu.com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宜投基金销售</w:t>
      </w:r>
    </w:p>
    <w:p>
      <w:pPr>
        <w:pStyle w:val="BodyText"/>
        <w:spacing w:line="364" w:lineRule="auto" w:before="140"/>
        <w:ind w:left="293" w:right="936" w:firstLine="420"/>
      </w:pPr>
      <w:r>
        <w:rPr>
          <w:spacing w:val="1"/>
        </w:rPr>
        <w:t>注册地址：深圳市前海深港合作区前湾一路 </w:t>
      </w:r>
      <w:r>
        <w:rPr/>
        <w:t>1</w:t>
      </w:r>
      <w:r>
        <w:rPr>
          <w:spacing w:val="-34"/>
        </w:rPr>
        <w:t> 号 </w:t>
      </w:r>
      <w:r>
        <w:rPr/>
        <w:t>A</w:t>
      </w:r>
      <w:r>
        <w:rPr>
          <w:spacing w:val="-34"/>
        </w:rPr>
        <w:t> 栋 </w:t>
      </w:r>
      <w:r>
        <w:rPr/>
        <w:t>201</w:t>
      </w:r>
      <w:r>
        <w:rPr>
          <w:spacing w:val="-24"/>
        </w:rPr>
        <w:t> 室</w:t>
      </w:r>
      <w:r>
        <w:rPr>
          <w:spacing w:val="5"/>
        </w:rPr>
        <w:t>（</w:t>
      </w:r>
      <w:r>
        <w:rPr>
          <w:spacing w:val="4"/>
        </w:rPr>
        <w:t>入驻深圳市前海商务秘书有限公司）</w:t>
      </w:r>
    </w:p>
    <w:p>
      <w:pPr>
        <w:pStyle w:val="BodyText"/>
        <w:spacing w:line="364" w:lineRule="auto"/>
        <w:ind w:right="4796"/>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6581"/>
      </w:pPr>
      <w:r>
        <w:rPr/>
        <w:t>客户服务电话：4008-955-811 </w:t>
      </w:r>
      <w:hyperlink r:id="rId237">
        <w:r>
          <w:rPr/>
          <w:t>网址：www.yitfund.com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宜信普泽</w:t>
      </w:r>
    </w:p>
    <w:p>
      <w:pPr>
        <w:pStyle w:val="BodyText"/>
        <w:spacing w:before="139"/>
      </w:pPr>
      <w:r>
        <w:rPr/>
        <w:t>注册地址：北京市朝阳区西大望路 1 号 9 层公寓 1008</w:t>
      </w:r>
    </w:p>
    <w:p>
      <w:pPr>
        <w:pStyle w:val="BodyText"/>
        <w:spacing w:before="139"/>
      </w:pPr>
      <w:r>
        <w:rPr/>
        <w:t>办公地址：北京市朝阳区建国路 88 号楼 SOHO 现代城 C 座 18 层 1809</w:t>
      </w:r>
    </w:p>
    <w:p>
      <w:pPr>
        <w:pStyle w:val="BodyText"/>
        <w:spacing w:line="364" w:lineRule="auto" w:before="140"/>
        <w:ind w:right="7631"/>
      </w:pPr>
      <w:r>
        <w:rPr/>
        <w:t>法定代表人：戎兵联系人：魏晨</w:t>
      </w:r>
    </w:p>
    <w:p>
      <w:pPr>
        <w:pStyle w:val="BodyText"/>
        <w:spacing w:line="268" w:lineRule="exact"/>
      </w:pPr>
      <w:r>
        <w:rPr/>
        <w:t>联系电话：010-52413385</w:t>
      </w:r>
    </w:p>
    <w:p>
      <w:pPr>
        <w:pStyle w:val="BodyText"/>
        <w:spacing w:line="364" w:lineRule="auto" w:before="139"/>
        <w:ind w:right="6581"/>
      </w:pPr>
      <w:r>
        <w:rPr/>
        <w:t>客户服务电话：400-6099-200 传真：010-85800047</w:t>
      </w:r>
    </w:p>
    <w:p>
      <w:pPr>
        <w:pStyle w:val="BodyText"/>
        <w:spacing w:line="268" w:lineRule="exact"/>
      </w:pPr>
      <w:hyperlink r:id="rId238">
        <w:r>
          <w:rPr/>
          <w:t>网址：www.yixinfund.com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奕丰金融</w:t>
      </w:r>
    </w:p>
    <w:p>
      <w:pPr>
        <w:pStyle w:val="BodyText"/>
        <w:spacing w:line="364" w:lineRule="auto" w:before="139"/>
        <w:ind w:left="293" w:right="936" w:firstLine="420"/>
      </w:pPr>
      <w:r>
        <w:rPr>
          <w:spacing w:val="1"/>
        </w:rPr>
        <w:t>注册地址：深圳市前海深港合作区前湾一路 </w:t>
      </w:r>
      <w:r>
        <w:rPr/>
        <w:t>1</w:t>
      </w:r>
      <w:r>
        <w:rPr>
          <w:spacing w:val="-34"/>
        </w:rPr>
        <w:t> 号 </w:t>
      </w:r>
      <w:r>
        <w:rPr/>
        <w:t>A</w:t>
      </w:r>
      <w:r>
        <w:rPr>
          <w:spacing w:val="-34"/>
        </w:rPr>
        <w:t> 栋 </w:t>
      </w:r>
      <w:r>
        <w:rPr/>
        <w:t>201</w:t>
      </w:r>
      <w:r>
        <w:rPr>
          <w:spacing w:val="-24"/>
        </w:rPr>
        <w:t> 室</w:t>
      </w:r>
      <w:r>
        <w:rPr>
          <w:spacing w:val="5"/>
        </w:rPr>
        <w:t>（</w:t>
      </w:r>
      <w:r>
        <w:rPr>
          <w:spacing w:val="4"/>
        </w:rPr>
        <w:t>入驻深圳市前海商务秘书有限公司）</w:t>
      </w:r>
    </w:p>
    <w:p>
      <w:pPr>
        <w:pStyle w:val="BodyText"/>
        <w:spacing w:line="364" w:lineRule="auto"/>
        <w:ind w:right="3221"/>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spacing w:after="0" w:line="268" w:lineRule="exact"/>
        <w:sectPr>
          <w:pgSz w:w="11910" w:h="16840"/>
          <w:pgMar w:header="0" w:footer="1172" w:top="1580" w:bottom="1440" w:left="1520" w:right="360"/>
        </w:sectPr>
      </w:pPr>
    </w:p>
    <w:p>
      <w:pPr>
        <w:pStyle w:val="BodyText"/>
        <w:spacing w:before="106"/>
      </w:pPr>
      <w:r>
        <w:rPr/>
        <w:t>联系电话：0755-89460507</w:t>
      </w:r>
    </w:p>
    <w:p>
      <w:pPr>
        <w:pStyle w:val="BodyText"/>
        <w:spacing w:line="364" w:lineRule="auto" w:before="139"/>
        <w:ind w:right="6581"/>
      </w:pPr>
      <w:r>
        <w:rPr/>
        <w:t>客户服务电话：400-684-0500 传真：0755-21674453</w:t>
      </w:r>
    </w:p>
    <w:p>
      <w:pPr>
        <w:pStyle w:val="BodyText"/>
        <w:spacing w:line="268" w:lineRule="exact"/>
      </w:pPr>
      <w:hyperlink r:id="rId239">
        <w:r>
          <w:rPr/>
          <w:t>网址：www.ifastps.com.cn</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2381"/>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6581"/>
      </w:pPr>
      <w:r>
        <w:rPr/>
        <w:t>客户服务电话</w:t>
      </w:r>
      <w:r>
        <w:rPr>
          <w:spacing w:val="-2"/>
        </w:rPr>
        <w:t>：020-89629066 </w:t>
      </w:r>
      <w:r>
        <w:rPr/>
        <w:t>传真：020-89629011</w:t>
      </w:r>
    </w:p>
    <w:p>
      <w:pPr>
        <w:pStyle w:val="BodyText"/>
        <w:spacing w:line="268" w:lineRule="exact"/>
      </w:pPr>
      <w:hyperlink r:id="rId240">
        <w:r>
          <w:rPr/>
          <w:t>网址：www.yingmi.cn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云湾基金</w:t>
      </w:r>
    </w:p>
    <w:p>
      <w:pPr>
        <w:pStyle w:val="BodyText"/>
        <w:spacing w:line="364" w:lineRule="auto" w:before="139"/>
        <w:ind w:left="293" w:right="936" w:firstLine="420"/>
      </w:pPr>
      <w:r>
        <w:rPr/>
        <w:t>注册地址：中国（上海）</w:t>
      </w:r>
      <w:r>
        <w:rPr>
          <w:spacing w:val="-5"/>
        </w:rPr>
        <w:t>自由贸易试验区新金桥路 </w:t>
      </w:r>
      <w:r>
        <w:rPr/>
        <w:t>27</w:t>
      </w:r>
      <w:r>
        <w:rPr>
          <w:spacing w:val="-16"/>
        </w:rPr>
        <w:t> 号、明月路 </w:t>
      </w:r>
      <w:r>
        <w:rPr/>
        <w:t>1257</w:t>
      </w:r>
      <w:r>
        <w:rPr>
          <w:spacing w:val="-35"/>
        </w:rPr>
        <w:t> 号 </w:t>
      </w:r>
      <w:r>
        <w:rPr/>
        <w:t>1</w:t>
      </w:r>
      <w:r>
        <w:rPr>
          <w:spacing w:val="-35"/>
        </w:rPr>
        <w:t> 幢 </w:t>
      </w:r>
      <w:r>
        <w:rPr/>
        <w:t>1</w:t>
      </w:r>
      <w:r>
        <w:rPr>
          <w:spacing w:val="-35"/>
        </w:rPr>
        <w:t> 层 </w:t>
      </w:r>
      <w:r>
        <w:rPr/>
        <w:t>103-1、103-2</w:t>
      </w:r>
      <w:r>
        <w:rPr>
          <w:spacing w:val="-14"/>
        </w:rPr>
        <w:t> 办公区</w:t>
      </w:r>
    </w:p>
    <w:p>
      <w:pPr>
        <w:pStyle w:val="BodyText"/>
        <w:spacing w:line="364" w:lineRule="auto"/>
        <w:ind w:right="4796"/>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39"/>
        <w:ind w:right="6581"/>
      </w:pPr>
      <w:r>
        <w:rPr/>
        <w:t>客户服务电话：400-820-1515 传真：021-20539999</w:t>
      </w:r>
    </w:p>
    <w:p>
      <w:pPr>
        <w:pStyle w:val="BodyText"/>
        <w:spacing w:line="268" w:lineRule="exact"/>
      </w:pPr>
      <w:hyperlink r:id="rId241">
        <w:r>
          <w:rPr/>
          <w:t>网址：http://www.zhengtongfunds.com/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40"/>
        <w:ind w:right="3536"/>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40"/>
        <w:ind w:right="6581"/>
      </w:pPr>
      <w:r>
        <w:rPr/>
        <w:t>客户服务电话</w:t>
      </w:r>
      <w:r>
        <w:rPr>
          <w:spacing w:val="-2"/>
        </w:rPr>
        <w:t>：400-001-8811 </w:t>
      </w:r>
      <w:r>
        <w:rPr/>
        <w:t>传真：010-67000988-6000</w:t>
      </w:r>
    </w:p>
    <w:p>
      <w:pPr>
        <w:pStyle w:val="BodyText"/>
        <w:spacing w:line="268" w:lineRule="exact"/>
      </w:pPr>
      <w:hyperlink r:id="rId242">
        <w:r>
          <w:rPr/>
          <w:t>网址：www.zcvc.com.cn</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展恒基金</w:t>
      </w:r>
    </w:p>
    <w:p>
      <w:pPr>
        <w:spacing w:after="0" w:line="240" w:lineRule="auto"/>
        <w:jc w:val="left"/>
        <w:rPr>
          <w:sz w:val="21"/>
        </w:rPr>
        <w:sectPr>
          <w:pgSz w:w="11910" w:h="16840"/>
          <w:pgMar w:header="0" w:footer="1172" w:top="1580" w:bottom="1440" w:left="1520" w:right="360"/>
        </w:sectPr>
      </w:pPr>
    </w:p>
    <w:p>
      <w:pPr>
        <w:pStyle w:val="BodyText"/>
        <w:spacing w:line="364" w:lineRule="auto" w:before="106"/>
        <w:ind w:right="4112"/>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联系人：李晓芳</w:t>
      </w:r>
    </w:p>
    <w:p>
      <w:pPr>
        <w:pStyle w:val="BodyText"/>
        <w:spacing w:before="139"/>
      </w:pPr>
      <w:r>
        <w:rPr/>
        <w:t>联系电话：010-59601366-7167</w:t>
      </w:r>
    </w:p>
    <w:p>
      <w:pPr>
        <w:pStyle w:val="BodyText"/>
        <w:spacing w:line="364" w:lineRule="auto" w:before="140"/>
        <w:ind w:right="6581"/>
      </w:pPr>
      <w:r>
        <w:rPr/>
        <w:t>客户服务电话：400-818-8000 传真：0351-4110714</w:t>
      </w:r>
    </w:p>
    <w:p>
      <w:pPr>
        <w:pStyle w:val="BodyText"/>
        <w:spacing w:line="268" w:lineRule="exact"/>
      </w:pPr>
      <w:hyperlink r:id="rId243">
        <w:r>
          <w:rPr/>
          <w:t>网址：www.myfund.com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1646"/>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3"/>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7316"/>
      </w:pPr>
      <w:r>
        <w:rPr/>
        <w:t>客户服务电话：95162 传真：010-59539806</w:t>
      </w:r>
    </w:p>
    <w:p>
      <w:pPr>
        <w:pStyle w:val="BodyText"/>
        <w:spacing w:line="268" w:lineRule="exact"/>
      </w:pPr>
      <w:hyperlink r:id="rId244">
        <w:r>
          <w:rPr/>
          <w:t>网址：http://www.cifco.net/</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中欧钱滚滚</w:t>
      </w:r>
    </w:p>
    <w:p>
      <w:pPr>
        <w:pStyle w:val="BodyText"/>
        <w:spacing w:line="364" w:lineRule="auto" w:before="140"/>
        <w:ind w:right="3221"/>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7631"/>
      </w:pPr>
      <w:r>
        <w:rPr/>
        <w:t>法定代表人：许欣联系人：黎静</w:t>
      </w:r>
    </w:p>
    <w:p>
      <w:pPr>
        <w:pStyle w:val="BodyText"/>
        <w:spacing w:line="268" w:lineRule="exact"/>
      </w:pPr>
      <w:r>
        <w:rPr/>
        <w:t>联系电话：021-68609600-5952</w:t>
      </w:r>
    </w:p>
    <w:p>
      <w:pPr>
        <w:pStyle w:val="BodyText"/>
        <w:spacing w:line="364" w:lineRule="auto" w:before="138"/>
        <w:ind w:right="4901"/>
      </w:pPr>
      <w:r>
        <w:rPr/>
        <w:t>客户服务电话：400-700-9700—中欧钱滚滚专线</w:t>
      </w:r>
      <w:hyperlink r:id="rId245">
        <w:r>
          <w:rPr/>
          <w:t>网址：www.qiangungun.com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中期时代基金</w:t>
      </w:r>
    </w:p>
    <w:p>
      <w:pPr>
        <w:pStyle w:val="BodyText"/>
        <w:spacing w:line="364" w:lineRule="auto" w:before="140"/>
        <w:ind w:right="3326"/>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7421"/>
      </w:pPr>
      <w:r>
        <w:rPr/>
        <w:t>法定代表人：田宏莉联系人：尹庆</w:t>
      </w:r>
    </w:p>
    <w:p>
      <w:pPr>
        <w:pStyle w:val="BodyText"/>
        <w:spacing w:line="268" w:lineRule="exact"/>
      </w:pPr>
      <w:r>
        <w:rPr/>
        <w:t>联系电话：010-65807865</w:t>
      </w:r>
    </w:p>
    <w:p>
      <w:pPr>
        <w:pStyle w:val="BodyText"/>
        <w:spacing w:line="364" w:lineRule="auto" w:before="138"/>
        <w:ind w:right="7316"/>
      </w:pPr>
      <w:r>
        <w:rPr/>
        <w:t>客户服务电话：95162 传真：010-65807864</w:t>
      </w:r>
    </w:p>
    <w:p>
      <w:pPr>
        <w:spacing w:after="0" w:line="364" w:lineRule="auto"/>
        <w:sectPr>
          <w:pgSz w:w="11910" w:h="16840"/>
          <w:pgMar w:header="0" w:footer="1172" w:top="1580" w:bottom="1440" w:left="1520" w:right="360"/>
        </w:sectPr>
      </w:pPr>
    </w:p>
    <w:p>
      <w:pPr>
        <w:pStyle w:val="BodyText"/>
        <w:spacing w:before="106"/>
      </w:pPr>
      <w:hyperlink r:id="rId246">
        <w:r>
          <w:rPr/>
          <w:t>网址：www.jrtoo.com</w:t>
        </w:r>
      </w:hyperlink>
    </w:p>
    <w:p>
      <w:pPr>
        <w:pStyle w:val="ListParagraph"/>
        <w:numPr>
          <w:ilvl w:val="0"/>
          <w:numId w:val="9"/>
        </w:numPr>
        <w:tabs>
          <w:tab w:pos="1239" w:val="left" w:leader="none"/>
        </w:tabs>
        <w:spacing w:line="240" w:lineRule="auto" w:before="139" w:after="0"/>
        <w:ind w:left="1239" w:right="0" w:hanging="526"/>
        <w:jc w:val="left"/>
        <w:rPr>
          <w:sz w:val="21"/>
        </w:rPr>
      </w:pPr>
      <w:r>
        <w:rPr>
          <w:sz w:val="21"/>
        </w:rPr>
        <w:t>中信建投期货</w:t>
      </w:r>
    </w:p>
    <w:p>
      <w:pPr>
        <w:pStyle w:val="BodyText"/>
        <w:spacing w:before="140"/>
      </w:pPr>
      <w:r>
        <w:rPr/>
        <w:t>注册地址：重庆市渝中区中山三路 107 号上站大楼平街 11-B，名义层 11-A，8-B4，9-B、C</w:t>
      </w:r>
    </w:p>
    <w:p>
      <w:pPr>
        <w:pStyle w:val="BodyText"/>
        <w:spacing w:line="364" w:lineRule="auto" w:before="139"/>
        <w:ind w:right="4166"/>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40"/>
      </w:pPr>
      <w:r>
        <w:rPr/>
        <w:t>联系电话：023-86769637</w:t>
      </w:r>
    </w:p>
    <w:p>
      <w:pPr>
        <w:pStyle w:val="BodyText"/>
        <w:spacing w:line="364" w:lineRule="auto" w:before="139"/>
        <w:ind w:right="6581"/>
      </w:pPr>
      <w:r>
        <w:rPr/>
        <w:t>客户服务电话：400-8877-780 传真：023-86769629</w:t>
      </w:r>
    </w:p>
    <w:p>
      <w:pPr>
        <w:pStyle w:val="BodyText"/>
        <w:spacing w:line="268" w:lineRule="exact"/>
      </w:pPr>
      <w:hyperlink r:id="rId247">
        <w:r>
          <w:rPr/>
          <w:t>网址：www.cfc108.com</w:t>
        </w:r>
      </w:hyperlink>
    </w:p>
    <w:p>
      <w:pPr>
        <w:pStyle w:val="ListParagraph"/>
        <w:numPr>
          <w:ilvl w:val="0"/>
          <w:numId w:val="9"/>
        </w:numPr>
        <w:tabs>
          <w:tab w:pos="1239" w:val="left" w:leader="none"/>
        </w:tabs>
        <w:spacing w:line="240" w:lineRule="auto" w:before="140" w:after="0"/>
        <w:ind w:left="1239" w:right="0" w:hanging="526"/>
        <w:jc w:val="left"/>
        <w:rPr>
          <w:sz w:val="21"/>
        </w:rPr>
      </w:pPr>
      <w:r>
        <w:rPr>
          <w:sz w:val="21"/>
        </w:rPr>
        <w:t>中信期货</w:t>
      </w:r>
    </w:p>
    <w:p>
      <w:pPr>
        <w:pStyle w:val="BodyText"/>
        <w:spacing w:before="139"/>
      </w:pPr>
      <w:r>
        <w:rPr/>
        <w:t>注册地址：广东省深圳市福田区中心三路 8 号卓越时代广场（二期）北座 13 层 1301-1305</w:t>
      </w:r>
    </w:p>
    <w:p>
      <w:pPr>
        <w:pStyle w:val="BodyText"/>
        <w:spacing w:before="139"/>
        <w:ind w:left="293"/>
      </w:pPr>
      <w:r>
        <w:rPr/>
        <w:t>室、14 层</w:t>
      </w:r>
    </w:p>
    <w:p>
      <w:pPr>
        <w:pStyle w:val="BodyText"/>
        <w:spacing w:before="140"/>
      </w:pPr>
      <w:r>
        <w:rPr/>
        <w:t>办公地址：深圳市福田区中心三路 8 号卓越时代广场（二期）北座 13 层 1301-1305 室、14</w:t>
      </w:r>
    </w:p>
    <w:p>
      <w:pPr>
        <w:pStyle w:val="BodyText"/>
        <w:spacing w:before="139"/>
        <w:ind w:left="293"/>
      </w:pPr>
      <w:r>
        <w:rPr/>
        <w:t>层</w:t>
      </w:r>
    </w:p>
    <w:p>
      <w:pPr>
        <w:pStyle w:val="BodyText"/>
        <w:spacing w:line="364" w:lineRule="auto" w:before="140"/>
        <w:ind w:right="7631"/>
      </w:pPr>
      <w:r>
        <w:rPr/>
        <w:t>法定代表人：张皓联系人：刘宏莹</w:t>
      </w:r>
    </w:p>
    <w:p>
      <w:pPr>
        <w:pStyle w:val="BodyText"/>
        <w:spacing w:line="268" w:lineRule="exact"/>
      </w:pPr>
      <w:r>
        <w:rPr/>
        <w:t>联系电话：010-6083 3754</w:t>
      </w:r>
    </w:p>
    <w:p>
      <w:pPr>
        <w:pStyle w:val="BodyText"/>
        <w:spacing w:line="364" w:lineRule="auto" w:before="139"/>
        <w:ind w:right="6581"/>
      </w:pPr>
      <w:r>
        <w:rPr/>
        <w:t>客户服务电话：400-990-8826 传真：021-60819988</w:t>
      </w:r>
    </w:p>
    <w:p>
      <w:pPr>
        <w:pStyle w:val="BodyText"/>
        <w:spacing w:line="268" w:lineRule="exact"/>
      </w:pPr>
      <w:hyperlink r:id="rId248">
        <w:r>
          <w:rPr/>
          <w:t>网址：www.citicsf.com</w:t>
        </w:r>
      </w:hyperlink>
    </w:p>
    <w:p>
      <w:pPr>
        <w:pStyle w:val="ListParagraph"/>
        <w:numPr>
          <w:ilvl w:val="0"/>
          <w:numId w:val="9"/>
        </w:numPr>
        <w:tabs>
          <w:tab w:pos="1239" w:val="left" w:leader="none"/>
        </w:tabs>
        <w:spacing w:line="240" w:lineRule="auto" w:before="140" w:after="0"/>
        <w:ind w:left="1239" w:right="0" w:hanging="526"/>
        <w:jc w:val="both"/>
        <w:rPr>
          <w:sz w:val="21"/>
        </w:rPr>
      </w:pPr>
      <w:r>
        <w:rPr>
          <w:sz w:val="21"/>
        </w:rPr>
        <w:t>中正达广</w:t>
      </w:r>
    </w:p>
    <w:p>
      <w:pPr>
        <w:pStyle w:val="BodyText"/>
        <w:spacing w:line="364" w:lineRule="auto" w:before="139"/>
        <w:ind w:right="4796"/>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6581"/>
      </w:pPr>
      <w:r>
        <w:rPr/>
        <w:t>客户服务电话</w:t>
      </w:r>
      <w:r>
        <w:rPr>
          <w:spacing w:val="-2"/>
        </w:rPr>
        <w:t>：400-6767-523 </w:t>
      </w:r>
      <w:r>
        <w:rPr/>
        <w:t>传真：021-33768132-802</w:t>
      </w:r>
    </w:p>
    <w:p>
      <w:pPr>
        <w:pStyle w:val="BodyText"/>
        <w:spacing w:line="268" w:lineRule="exact"/>
      </w:pPr>
      <w:hyperlink r:id="rId249">
        <w:r>
          <w:rPr/>
          <w:t>网址：www.zhongzhengfund.com</w:t>
        </w:r>
      </w:hyperlink>
    </w:p>
    <w:p>
      <w:pPr>
        <w:pStyle w:val="ListParagraph"/>
        <w:numPr>
          <w:ilvl w:val="0"/>
          <w:numId w:val="9"/>
        </w:numPr>
        <w:tabs>
          <w:tab w:pos="1239" w:val="left" w:leader="none"/>
        </w:tabs>
        <w:spacing w:line="240" w:lineRule="auto" w:before="139" w:after="0"/>
        <w:ind w:left="1239" w:right="0" w:hanging="526"/>
        <w:jc w:val="both"/>
        <w:rPr>
          <w:sz w:val="21"/>
        </w:rPr>
      </w:pPr>
      <w:r>
        <w:rPr>
          <w:sz w:val="21"/>
        </w:rPr>
        <w:t>中证金牛</w:t>
      </w:r>
    </w:p>
    <w:p>
      <w:pPr>
        <w:pStyle w:val="BodyText"/>
        <w:spacing w:before="140"/>
      </w:pPr>
      <w:r>
        <w:rPr/>
        <w:t>注册地址：北京市丰台区东管头 1 号 2 号楼 2-45 室</w:t>
      </w:r>
    </w:p>
    <w:p>
      <w:pPr>
        <w:pStyle w:val="BodyText"/>
        <w:spacing w:before="139"/>
      </w:pPr>
      <w:r>
        <w:rPr/>
        <w:t>办公地址：北京市西城区宣武门外大街甲 1 号环球财讯中心 A 座 5 层</w:t>
      </w:r>
    </w:p>
    <w:p>
      <w:pPr>
        <w:spacing w:after="0"/>
        <w:sectPr>
          <w:pgSz w:w="11910" w:h="16840"/>
          <w:pgMar w:header="0" w:footer="1172" w:top="1580" w:bottom="1440" w:left="1520" w:right="360"/>
        </w:sectPr>
      </w:pPr>
    </w:p>
    <w:p>
      <w:pPr>
        <w:pStyle w:val="BodyText"/>
        <w:spacing w:line="364" w:lineRule="auto" w:before="106"/>
        <w:ind w:right="7421"/>
      </w:pPr>
      <w:r>
        <w:rPr/>
        <w:t>法定代表人：钱昊旻联系人：沈晨</w:t>
      </w:r>
    </w:p>
    <w:p>
      <w:pPr>
        <w:pStyle w:val="BodyText"/>
        <w:spacing w:line="268" w:lineRule="exact"/>
      </w:pPr>
      <w:r>
        <w:rPr/>
        <w:t>联系电话：010-59336544</w:t>
      </w:r>
    </w:p>
    <w:p>
      <w:pPr>
        <w:pStyle w:val="BodyText"/>
        <w:spacing w:line="364" w:lineRule="auto" w:before="139"/>
        <w:ind w:right="6581"/>
      </w:pPr>
      <w:r>
        <w:rPr/>
        <w:t>客户服务电话：4008-909-998 </w:t>
      </w:r>
      <w:hyperlink r:id="rId250">
        <w:r>
          <w:rPr/>
          <w:t>网址：www.jnlc.com</w:t>
        </w:r>
      </w:hyperlink>
    </w:p>
    <w:p>
      <w:pPr>
        <w:pStyle w:val="ListParagraph"/>
        <w:numPr>
          <w:ilvl w:val="0"/>
          <w:numId w:val="9"/>
        </w:numPr>
        <w:tabs>
          <w:tab w:pos="1239" w:val="left" w:leader="none"/>
        </w:tabs>
        <w:spacing w:line="268" w:lineRule="exact" w:before="0" w:after="0"/>
        <w:ind w:left="1239" w:right="0" w:hanging="526"/>
        <w:jc w:val="left"/>
        <w:rPr>
          <w:sz w:val="21"/>
        </w:rPr>
      </w:pPr>
      <w:r>
        <w:rPr>
          <w:sz w:val="21"/>
        </w:rPr>
        <w:t>众禄基金</w:t>
      </w:r>
    </w:p>
    <w:p>
      <w:pPr>
        <w:pStyle w:val="BodyText"/>
        <w:spacing w:line="364" w:lineRule="auto" w:before="140"/>
        <w:ind w:right="1646"/>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631"/>
      </w:pPr>
      <w:r>
        <w:rPr/>
        <w:t>法定代表人：薛峰联系人：龚江江</w:t>
      </w:r>
    </w:p>
    <w:p>
      <w:pPr>
        <w:pStyle w:val="BodyText"/>
        <w:spacing w:line="268" w:lineRule="exact"/>
      </w:pPr>
      <w:r>
        <w:rPr/>
        <w:t>联系电话：0755-33227950</w:t>
      </w:r>
    </w:p>
    <w:p>
      <w:pPr>
        <w:pStyle w:val="BodyText"/>
        <w:spacing w:line="364" w:lineRule="auto" w:before="138"/>
        <w:ind w:right="6581"/>
      </w:pPr>
      <w:r>
        <w:rPr/>
        <w:t>客户服务电话：4006-788-887 传真：0755-33227951</w:t>
      </w:r>
    </w:p>
    <w:p>
      <w:pPr>
        <w:pStyle w:val="BodyText"/>
        <w:tabs>
          <w:tab w:pos="3128" w:val="left" w:leader="none"/>
        </w:tabs>
        <w:spacing w:line="268" w:lineRule="exact"/>
      </w:pPr>
      <w:hyperlink r:id="rId251">
        <w:r>
          <w:rPr/>
          <w:t>网址：www.zlfund.cn</w:t>
        </w:r>
      </w:hyperlink>
      <w:r>
        <w:rPr/>
        <w:tab/>
      </w:r>
      <w:hyperlink r:id="rId252">
        <w:r>
          <w:rPr/>
          <w:t>www.jjmmw.com</w:t>
        </w:r>
      </w:hyperlink>
    </w:p>
    <w:p>
      <w:pPr>
        <w:pStyle w:val="BodyText"/>
        <w:spacing w:before="140"/>
      </w:pPr>
      <w:r>
        <w:rPr/>
        <w:t>（2）C 类基金份额</w:t>
      </w:r>
    </w:p>
    <w:p>
      <w:pPr>
        <w:pStyle w:val="ListParagraph"/>
        <w:numPr>
          <w:ilvl w:val="0"/>
          <w:numId w:val="10"/>
        </w:numPr>
        <w:tabs>
          <w:tab w:pos="1029" w:val="left" w:leader="none"/>
        </w:tabs>
        <w:spacing w:line="240" w:lineRule="auto" w:before="139" w:after="0"/>
        <w:ind w:left="1029" w:right="0" w:hanging="316"/>
        <w:jc w:val="left"/>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40"/>
        <w:ind w:right="4691"/>
      </w:pPr>
      <w:r>
        <w:rPr/>
        <w:t>法定代表人：陶以平（代为履行法定代表人职权） 联系人：孙琪虹</w:t>
      </w:r>
    </w:p>
    <w:p>
      <w:pPr>
        <w:pStyle w:val="BodyText"/>
        <w:spacing w:line="364" w:lineRule="auto"/>
        <w:ind w:right="7211"/>
      </w:pPr>
      <w:r>
        <w:rPr/>
        <w:t>客户服务电话：95561 </w:t>
      </w:r>
      <w:hyperlink r:id="rId14">
        <w:r>
          <w:rPr/>
          <w:t>网址</w:t>
        </w:r>
        <w:r>
          <w:rPr>
            <w:spacing w:val="-2"/>
          </w:rPr>
          <w:t>：www.cib.com.cn</w:t>
        </w:r>
      </w:hyperlink>
    </w:p>
    <w:p>
      <w:pPr>
        <w:pStyle w:val="ListParagraph"/>
        <w:numPr>
          <w:ilvl w:val="0"/>
          <w:numId w:val="10"/>
        </w:numPr>
        <w:tabs>
          <w:tab w:pos="1029" w:val="left" w:leader="none"/>
        </w:tabs>
        <w:spacing w:line="268" w:lineRule="exact" w:before="0" w:after="0"/>
        <w:ind w:left="1029" w:right="0" w:hanging="316"/>
        <w:jc w:val="left"/>
        <w:rPr>
          <w:sz w:val="21"/>
        </w:rPr>
      </w:pPr>
      <w:r>
        <w:rPr>
          <w:sz w:val="21"/>
        </w:rPr>
        <w:t>杭州银行</w:t>
      </w:r>
    </w:p>
    <w:p>
      <w:pPr>
        <w:pStyle w:val="BodyText"/>
        <w:spacing w:before="138"/>
      </w:pPr>
      <w:r>
        <w:rPr/>
        <w:t>注册地址：浙江省杭州市下城区庆春路 46 号</w:t>
      </w:r>
    </w:p>
    <w:p>
      <w:pPr>
        <w:pStyle w:val="BodyText"/>
        <w:spacing w:line="364" w:lineRule="auto" w:before="139"/>
        <w:ind w:right="4586"/>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联系人：董猛</w:t>
      </w:r>
    </w:p>
    <w:p>
      <w:pPr>
        <w:pStyle w:val="BodyText"/>
        <w:spacing w:before="140"/>
      </w:pPr>
      <w:r>
        <w:rPr/>
        <w:t>联系电话：0571-85872972</w:t>
      </w:r>
    </w:p>
    <w:p>
      <w:pPr>
        <w:pStyle w:val="BodyText"/>
        <w:spacing w:line="364" w:lineRule="auto" w:before="139"/>
        <w:ind w:right="7316"/>
      </w:pPr>
      <w:r>
        <w:rPr/>
        <w:t>客户服务电话：95398 传真：0571-85106576</w:t>
      </w:r>
    </w:p>
    <w:p>
      <w:pPr>
        <w:pStyle w:val="BodyText"/>
        <w:spacing w:line="268" w:lineRule="exact"/>
      </w:pPr>
      <w:hyperlink r:id="rId45">
        <w:r>
          <w:rPr/>
          <w:t>网址：www.hzbank.com.cn</w:t>
        </w:r>
      </w:hyperlink>
    </w:p>
    <w:p>
      <w:pPr>
        <w:pStyle w:val="ListParagraph"/>
        <w:numPr>
          <w:ilvl w:val="0"/>
          <w:numId w:val="10"/>
        </w:numPr>
        <w:tabs>
          <w:tab w:pos="1029" w:val="left" w:leader="none"/>
        </w:tabs>
        <w:spacing w:line="240" w:lineRule="auto" w:before="140" w:after="0"/>
        <w:ind w:left="1029" w:right="0" w:hanging="316"/>
        <w:jc w:val="left"/>
        <w:rPr>
          <w:sz w:val="21"/>
        </w:rPr>
      </w:pPr>
      <w:r>
        <w:rPr>
          <w:sz w:val="21"/>
        </w:rPr>
        <w:t>四川天府银行</w:t>
      </w:r>
    </w:p>
    <w:p>
      <w:pPr>
        <w:pStyle w:val="BodyText"/>
        <w:spacing w:before="139"/>
      </w:pPr>
      <w:r>
        <w:rPr/>
        <w:t>注册地址：四川省南充市涪江路 1 号</w:t>
      </w:r>
    </w:p>
    <w:p>
      <w:pPr>
        <w:spacing w:after="0"/>
        <w:sectPr>
          <w:pgSz w:w="11910" w:h="16840"/>
          <w:pgMar w:header="0" w:footer="1172" w:top="1580" w:bottom="1440" w:left="1520" w:right="360"/>
        </w:sectPr>
      </w:pPr>
    </w:p>
    <w:p>
      <w:pPr>
        <w:pStyle w:val="BodyText"/>
        <w:spacing w:line="364" w:lineRule="auto" w:before="106"/>
        <w:ind w:right="4271"/>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6581"/>
      </w:pPr>
      <w:r>
        <w:rPr/>
        <w:t>客户服务电话：400-16-96869 </w:t>
      </w:r>
      <w:hyperlink r:id="rId77">
        <w:r>
          <w:rPr/>
          <w:t>网址：www.tf.cn</w:t>
        </w:r>
      </w:hyperlink>
    </w:p>
    <w:p>
      <w:pPr>
        <w:pStyle w:val="ListParagraph"/>
        <w:numPr>
          <w:ilvl w:val="0"/>
          <w:numId w:val="10"/>
        </w:numPr>
        <w:tabs>
          <w:tab w:pos="1029" w:val="left" w:leader="none"/>
        </w:tabs>
        <w:spacing w:line="268" w:lineRule="exact" w:before="0" w:after="0"/>
        <w:ind w:left="1029" w:right="0" w:hanging="316"/>
        <w:jc w:val="left"/>
        <w:rPr>
          <w:sz w:val="21"/>
        </w:rPr>
      </w:pPr>
      <w:r>
        <w:rPr>
          <w:sz w:val="21"/>
        </w:rPr>
        <w:t>厦门银行</w:t>
      </w:r>
    </w:p>
    <w:p>
      <w:pPr>
        <w:pStyle w:val="BodyText"/>
        <w:spacing w:line="364" w:lineRule="auto" w:before="139"/>
        <w:ind w:right="4271"/>
        <w:jc w:val="both"/>
      </w:pPr>
      <w:r>
        <w:rPr>
          <w:spacing w:val="-4"/>
        </w:rPr>
        <w:t>注册地址：厦门市思明区湖滨北路 </w:t>
      </w:r>
      <w:r>
        <w:rPr/>
        <w:t>101</w:t>
      </w:r>
      <w:r>
        <w:rPr>
          <w:spacing w:val="-10"/>
        </w:rPr>
        <w:t> 号商业银行大厦</w:t>
      </w:r>
      <w:r>
        <w:rPr>
          <w:spacing w:val="-4"/>
        </w:rPr>
        <w:t>办公地址：厦门市思明区湖滨北路 </w:t>
      </w:r>
      <w:r>
        <w:rPr/>
        <w:t>101</w:t>
      </w:r>
      <w:r>
        <w:rPr>
          <w:spacing w:val="-10"/>
        </w:rPr>
        <w:t> 号商业银行大厦</w:t>
      </w:r>
      <w:r>
        <w:rPr/>
        <w:t>法定代表人：吴世群</w:t>
      </w:r>
    </w:p>
    <w:p>
      <w:pPr>
        <w:pStyle w:val="BodyText"/>
        <w:spacing w:line="268" w:lineRule="exact"/>
      </w:pPr>
      <w:r>
        <w:rPr/>
        <w:t>联系人：孙瑜</w:t>
      </w:r>
    </w:p>
    <w:p>
      <w:pPr>
        <w:pStyle w:val="BodyText"/>
        <w:spacing w:before="140"/>
      </w:pPr>
      <w:r>
        <w:rPr/>
        <w:t>联系电话：0592-5310251</w:t>
      </w:r>
    </w:p>
    <w:p>
      <w:pPr>
        <w:pStyle w:val="BodyText"/>
        <w:spacing w:line="364" w:lineRule="auto" w:before="139"/>
        <w:ind w:right="6581"/>
      </w:pPr>
      <w:r>
        <w:rPr/>
        <w:t>客户服务电话：400-858-8888 传真：0592-5373973</w:t>
      </w:r>
    </w:p>
    <w:p>
      <w:pPr>
        <w:pStyle w:val="BodyText"/>
        <w:spacing w:line="268" w:lineRule="exact"/>
      </w:pPr>
      <w:hyperlink r:id="rId86">
        <w:r>
          <w:rPr/>
          <w:t>网址：www.xmbankonline.com</w:t>
        </w:r>
      </w:hyperlink>
    </w:p>
    <w:p>
      <w:pPr>
        <w:pStyle w:val="ListParagraph"/>
        <w:numPr>
          <w:ilvl w:val="0"/>
          <w:numId w:val="10"/>
        </w:numPr>
        <w:tabs>
          <w:tab w:pos="1029" w:val="left" w:leader="none"/>
        </w:tabs>
        <w:spacing w:line="240" w:lineRule="auto" w:before="140" w:after="0"/>
        <w:ind w:left="1029" w:right="0" w:hanging="316"/>
        <w:jc w:val="left"/>
        <w:rPr>
          <w:sz w:val="21"/>
        </w:rPr>
      </w:pPr>
      <w:r>
        <w:rPr>
          <w:sz w:val="21"/>
        </w:rPr>
        <w:t>安信证券</w:t>
      </w:r>
    </w:p>
    <w:p>
      <w:pPr>
        <w:pStyle w:val="BodyText"/>
        <w:spacing w:line="364" w:lineRule="auto" w:before="139"/>
        <w:ind w:right="2747"/>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3326"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7316"/>
      </w:pPr>
      <w:r>
        <w:rPr/>
        <w:t>客户服务电话：95517 传真：0755-82558355</w:t>
      </w:r>
    </w:p>
    <w:p>
      <w:pPr>
        <w:pStyle w:val="BodyText"/>
        <w:spacing w:line="268" w:lineRule="exact"/>
      </w:pPr>
      <w:hyperlink r:id="rId100">
        <w:r>
          <w:rPr/>
          <w:t>网址：www.essence.com.cn</w:t>
        </w:r>
      </w:hyperlink>
    </w:p>
    <w:p>
      <w:pPr>
        <w:pStyle w:val="ListParagraph"/>
        <w:numPr>
          <w:ilvl w:val="0"/>
          <w:numId w:val="10"/>
        </w:numPr>
        <w:tabs>
          <w:tab w:pos="1029" w:val="left" w:leader="none"/>
        </w:tabs>
        <w:spacing w:line="240" w:lineRule="auto" w:before="139" w:after="0"/>
        <w:ind w:left="1029" w:right="0" w:hanging="316"/>
        <w:jc w:val="left"/>
        <w:rPr>
          <w:sz w:val="21"/>
        </w:rPr>
      </w:pPr>
      <w:r>
        <w:rPr>
          <w:sz w:val="21"/>
        </w:rPr>
        <w:t>财通证券</w:t>
      </w:r>
    </w:p>
    <w:p>
      <w:pPr>
        <w:pStyle w:val="BodyText"/>
        <w:spacing w:line="364" w:lineRule="auto" w:before="140"/>
        <w:ind w:left="293" w:right="936" w:firstLine="420"/>
      </w:pPr>
      <w:r>
        <w:rPr/>
        <w:t>注册地址：浙江省杭州市杭大路 15 号嘉华国际商务中心 201，501，502，1103，1601- 1615，1701-1716 室</w:t>
      </w:r>
    </w:p>
    <w:p>
      <w:pPr>
        <w:pStyle w:val="BodyText"/>
        <w:spacing w:line="364" w:lineRule="auto"/>
        <w:ind w:right="4166"/>
      </w:pPr>
      <w:r>
        <w:rPr>
          <w:spacing w:val="-4"/>
        </w:rPr>
        <w:t>办公地址：浙江省杭州市杭大路 </w:t>
      </w:r>
      <w:r>
        <w:rPr/>
        <w:t>15</w:t>
      </w:r>
      <w:r>
        <w:rPr>
          <w:spacing w:val="-9"/>
        </w:rPr>
        <w:t> 号嘉华国际商务中心</w:t>
      </w:r>
      <w:r>
        <w:rPr/>
        <w:t>法定代表人：陆建强</w:t>
      </w:r>
    </w:p>
    <w:p>
      <w:pPr>
        <w:pStyle w:val="BodyText"/>
        <w:spacing w:line="268" w:lineRule="exact"/>
      </w:pPr>
      <w:r>
        <w:rPr/>
        <w:t>联系人：陶志华</w:t>
      </w:r>
    </w:p>
    <w:p>
      <w:pPr>
        <w:pStyle w:val="BodyText"/>
        <w:spacing w:line="364" w:lineRule="auto" w:before="138"/>
        <w:ind w:right="6791"/>
      </w:pPr>
      <w:r>
        <w:rPr/>
        <w:t>联系电话：0571－87789160 客户服务电话：95336</w:t>
      </w:r>
    </w:p>
    <w:p>
      <w:pPr>
        <w:spacing w:after="0" w:line="364" w:lineRule="auto"/>
        <w:sectPr>
          <w:pgSz w:w="11910" w:h="16840"/>
          <w:pgMar w:header="0" w:footer="1172" w:top="1580" w:bottom="1440" w:left="1520" w:right="360"/>
        </w:sectPr>
      </w:pPr>
    </w:p>
    <w:p>
      <w:pPr>
        <w:pStyle w:val="BodyText"/>
        <w:spacing w:before="106"/>
      </w:pPr>
      <w:hyperlink r:id="rId103">
        <w:r>
          <w:rPr/>
          <w:t>网址：www.ctsec.com</w:t>
        </w:r>
      </w:hyperlink>
    </w:p>
    <w:p>
      <w:pPr>
        <w:pStyle w:val="ListParagraph"/>
        <w:numPr>
          <w:ilvl w:val="0"/>
          <w:numId w:val="10"/>
        </w:numPr>
        <w:tabs>
          <w:tab w:pos="1029" w:val="left" w:leader="none"/>
        </w:tabs>
        <w:spacing w:line="240" w:lineRule="auto" w:before="139" w:after="0"/>
        <w:ind w:left="1029" w:right="0" w:hanging="316"/>
        <w:jc w:val="both"/>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631"/>
      </w:pPr>
      <w:r>
        <w:rPr/>
        <w:t>法定代表人：董祥联系人：薛津</w:t>
      </w:r>
    </w:p>
    <w:p>
      <w:pPr>
        <w:pStyle w:val="BodyText"/>
        <w:spacing w:line="268" w:lineRule="exact"/>
      </w:pPr>
      <w:r>
        <w:rPr/>
        <w:t>联系电话：0351-4130322</w:t>
      </w:r>
    </w:p>
    <w:p>
      <w:pPr>
        <w:pStyle w:val="BodyText"/>
        <w:spacing w:line="364" w:lineRule="auto" w:before="139"/>
        <w:ind w:right="6791"/>
      </w:pPr>
      <w:r>
        <w:rPr/>
        <w:t>客户服务电话：4007121212 传真：0351-7219891</w:t>
      </w:r>
    </w:p>
    <w:p>
      <w:pPr>
        <w:pStyle w:val="BodyText"/>
        <w:spacing w:line="268" w:lineRule="exact"/>
      </w:pPr>
      <w:hyperlink r:id="rId110">
        <w:r>
          <w:rPr/>
          <w:t>网址：www.dtsbc.com.cn</w:t>
        </w:r>
      </w:hyperlink>
    </w:p>
    <w:p>
      <w:pPr>
        <w:pStyle w:val="ListParagraph"/>
        <w:numPr>
          <w:ilvl w:val="0"/>
          <w:numId w:val="10"/>
        </w:numPr>
        <w:tabs>
          <w:tab w:pos="1029" w:val="left" w:leader="none"/>
        </w:tabs>
        <w:spacing w:line="240" w:lineRule="auto" w:before="140" w:after="0"/>
        <w:ind w:left="1029" w:right="0" w:hanging="316"/>
        <w:jc w:val="both"/>
        <w:rPr>
          <w:sz w:val="21"/>
        </w:rPr>
      </w:pPr>
      <w:r>
        <w:rPr>
          <w:sz w:val="21"/>
        </w:rPr>
        <w:t>东北证券</w:t>
      </w:r>
    </w:p>
    <w:p>
      <w:pPr>
        <w:pStyle w:val="BodyText"/>
        <w:spacing w:line="364" w:lineRule="auto" w:before="139"/>
        <w:ind w:right="6056"/>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7316"/>
      </w:pPr>
      <w:r>
        <w:rPr/>
        <w:t>客户服务电话：95360 传真：0431-85096795</w:t>
      </w:r>
    </w:p>
    <w:p>
      <w:pPr>
        <w:pStyle w:val="BodyText"/>
        <w:spacing w:line="268" w:lineRule="exact"/>
      </w:pPr>
      <w:hyperlink r:id="rId113">
        <w:r>
          <w:rPr/>
          <w:t>网址：www.nesc.cn</w:t>
        </w:r>
      </w:hyperlink>
    </w:p>
    <w:p>
      <w:pPr>
        <w:pStyle w:val="ListParagraph"/>
        <w:numPr>
          <w:ilvl w:val="0"/>
          <w:numId w:val="10"/>
        </w:numPr>
        <w:tabs>
          <w:tab w:pos="1029" w:val="left" w:leader="none"/>
        </w:tabs>
        <w:spacing w:line="240" w:lineRule="auto" w:before="139" w:after="0"/>
        <w:ind w:left="1029" w:right="0" w:hanging="316"/>
        <w:jc w:val="both"/>
        <w:rPr>
          <w:sz w:val="21"/>
        </w:rPr>
      </w:pPr>
      <w:r>
        <w:rPr>
          <w:sz w:val="21"/>
        </w:rPr>
        <w:t>国都证券</w:t>
      </w:r>
    </w:p>
    <w:p>
      <w:pPr>
        <w:pStyle w:val="BodyText"/>
        <w:spacing w:line="364" w:lineRule="auto" w:before="140"/>
        <w:ind w:right="3116"/>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法定代表人：王少华</w:t>
      </w:r>
    </w:p>
    <w:p>
      <w:pPr>
        <w:pStyle w:val="BodyText"/>
        <w:spacing w:line="268" w:lineRule="exact"/>
      </w:pPr>
      <w:r>
        <w:rPr/>
        <w:t>联系人：黄静</w:t>
      </w:r>
    </w:p>
    <w:p>
      <w:pPr>
        <w:pStyle w:val="BodyText"/>
        <w:spacing w:before="139"/>
      </w:pPr>
      <w:r>
        <w:rPr/>
        <w:t>联系电话：010-84183389</w:t>
      </w:r>
    </w:p>
    <w:p>
      <w:pPr>
        <w:pStyle w:val="BodyText"/>
        <w:spacing w:line="364" w:lineRule="auto" w:before="140"/>
        <w:ind w:right="6581"/>
      </w:pPr>
      <w:r>
        <w:rPr/>
        <w:t>客户服务电话</w:t>
      </w:r>
      <w:r>
        <w:rPr>
          <w:spacing w:val="-2"/>
        </w:rPr>
        <w:t>：400-818-8118 </w:t>
      </w:r>
      <w:r>
        <w:rPr/>
        <w:t>传真：010-84183311-3122</w:t>
      </w:r>
    </w:p>
    <w:p>
      <w:pPr>
        <w:pStyle w:val="BodyText"/>
        <w:spacing w:line="268" w:lineRule="exact"/>
      </w:pPr>
      <w:hyperlink r:id="rId122">
        <w:r>
          <w:rPr/>
          <w:t>网址：www.guodu.com</w:t>
        </w:r>
      </w:hyperlink>
    </w:p>
    <w:p>
      <w:pPr>
        <w:pStyle w:val="ListParagraph"/>
        <w:numPr>
          <w:ilvl w:val="0"/>
          <w:numId w:val="10"/>
        </w:numPr>
        <w:tabs>
          <w:tab w:pos="1134" w:val="left" w:leader="none"/>
        </w:tabs>
        <w:spacing w:line="240" w:lineRule="auto" w:before="139" w:after="0"/>
        <w:ind w:left="1134" w:right="0" w:hanging="421"/>
        <w:jc w:val="both"/>
        <w:rPr>
          <w:sz w:val="21"/>
        </w:rPr>
      </w:pPr>
      <w:r>
        <w:rPr>
          <w:sz w:val="21"/>
        </w:rPr>
        <w:t>国开证券</w:t>
      </w:r>
    </w:p>
    <w:p>
      <w:pPr>
        <w:pStyle w:val="BodyText"/>
        <w:spacing w:line="364" w:lineRule="auto" w:before="140"/>
        <w:ind w:right="4586"/>
        <w:jc w:val="both"/>
      </w:pPr>
      <w:r>
        <w:rPr>
          <w:spacing w:val="-3"/>
        </w:rPr>
        <w:t>注册地址：北京市西城区阜成门外大街 </w:t>
      </w:r>
      <w:r>
        <w:rPr/>
        <w:t>29</w:t>
      </w:r>
      <w:r>
        <w:rPr>
          <w:spacing w:val="-36"/>
        </w:rPr>
        <w:t> 号 </w:t>
      </w:r>
      <w:r>
        <w:rPr/>
        <w:t>1-9</w:t>
      </w:r>
      <w:r>
        <w:rPr>
          <w:spacing w:val="-35"/>
        </w:rPr>
        <w:t> 层</w:t>
      </w:r>
      <w:r>
        <w:rPr>
          <w:spacing w:val="-3"/>
        </w:rPr>
        <w:t>办公地址：北京市西城区阜成门外大街 </w:t>
      </w:r>
      <w:r>
        <w:rPr/>
        <w:t>29</w:t>
      </w:r>
      <w:r>
        <w:rPr>
          <w:spacing w:val="-36"/>
        </w:rPr>
        <w:t> 号 </w:t>
      </w:r>
      <w:r>
        <w:rPr/>
        <w:t>1-9</w:t>
      </w:r>
      <w:r>
        <w:rPr>
          <w:spacing w:val="-35"/>
        </w:rPr>
        <w:t> 层</w:t>
      </w:r>
      <w:r>
        <w:rPr/>
        <w:t>法定代表人：张宝荣</w:t>
      </w:r>
    </w:p>
    <w:p>
      <w:pPr>
        <w:pStyle w:val="BodyText"/>
        <w:spacing w:line="268" w:lineRule="exact"/>
      </w:pPr>
      <w:r>
        <w:rPr/>
        <w:t>联系人：刘欣灿</w:t>
      </w:r>
    </w:p>
    <w:p>
      <w:pPr>
        <w:spacing w:after="0" w:line="268" w:lineRule="exact"/>
        <w:sectPr>
          <w:pgSz w:w="11910" w:h="16840"/>
          <w:pgMar w:header="0" w:footer="1172" w:top="1580" w:bottom="1440" w:left="1520" w:right="360"/>
        </w:sectPr>
      </w:pPr>
    </w:p>
    <w:p>
      <w:pPr>
        <w:pStyle w:val="BodyText"/>
        <w:spacing w:before="106"/>
      </w:pPr>
      <w:r>
        <w:rPr/>
        <w:t>联系电话：010-88300715</w:t>
      </w:r>
    </w:p>
    <w:p>
      <w:pPr>
        <w:pStyle w:val="BodyText"/>
        <w:spacing w:line="364" w:lineRule="auto" w:before="139"/>
        <w:ind w:right="6581"/>
      </w:pPr>
      <w:r>
        <w:rPr/>
        <w:t>客户服务电话：400-88-95593 传真：010-88300694</w:t>
      </w:r>
    </w:p>
    <w:p>
      <w:pPr>
        <w:pStyle w:val="BodyText"/>
        <w:spacing w:line="268" w:lineRule="exact"/>
      </w:pPr>
      <w:hyperlink r:id="rId125">
        <w:r>
          <w:rPr/>
          <w:t>网址：www.gkzq.com.cn</w:t>
        </w:r>
      </w:hyperlink>
    </w:p>
    <w:p>
      <w:pPr>
        <w:pStyle w:val="ListParagraph"/>
        <w:numPr>
          <w:ilvl w:val="0"/>
          <w:numId w:val="10"/>
        </w:numPr>
        <w:tabs>
          <w:tab w:pos="1134" w:val="left" w:leader="none"/>
        </w:tabs>
        <w:spacing w:line="240" w:lineRule="auto" w:before="140" w:after="0"/>
        <w:ind w:left="1134" w:right="0" w:hanging="421"/>
        <w:jc w:val="both"/>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906"/>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7211"/>
      </w:pPr>
      <w:r>
        <w:rPr/>
        <w:t>客户服务电话</w:t>
      </w:r>
      <w:r>
        <w:rPr>
          <w:spacing w:val="-3"/>
        </w:rPr>
        <w:t>：956080 </w:t>
      </w:r>
      <w:r>
        <w:rPr/>
        <w:t>传真：0791-86281305</w:t>
      </w:r>
    </w:p>
    <w:p>
      <w:pPr>
        <w:pStyle w:val="BodyText"/>
        <w:spacing w:line="268" w:lineRule="exact"/>
      </w:pPr>
      <w:hyperlink r:id="rId128">
        <w:r>
          <w:rPr/>
          <w:t>网址：www.gszq.com</w:t>
        </w:r>
      </w:hyperlink>
    </w:p>
    <w:p>
      <w:pPr>
        <w:pStyle w:val="ListParagraph"/>
        <w:numPr>
          <w:ilvl w:val="0"/>
          <w:numId w:val="10"/>
        </w:numPr>
        <w:tabs>
          <w:tab w:pos="1134" w:val="left" w:leader="none"/>
        </w:tabs>
        <w:spacing w:line="240" w:lineRule="auto" w:before="139" w:after="0"/>
        <w:ind w:left="1134" w:right="0" w:hanging="421"/>
        <w:jc w:val="both"/>
        <w:rPr>
          <w:sz w:val="21"/>
        </w:rPr>
      </w:pPr>
      <w:r>
        <w:rPr>
          <w:sz w:val="21"/>
        </w:rPr>
        <w:t>海通证券</w:t>
      </w:r>
    </w:p>
    <w:p>
      <w:pPr>
        <w:pStyle w:val="BodyText"/>
        <w:spacing w:line="364" w:lineRule="auto" w:before="139"/>
        <w:ind w:right="6371"/>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7001"/>
      </w:pPr>
      <w:r>
        <w:rPr/>
        <w:t>联系人：金芸、李笑鸣 联系电话</w:t>
      </w:r>
      <w:r>
        <w:rPr>
          <w:spacing w:val="-2"/>
        </w:rPr>
        <w:t>：021-23219000</w:t>
      </w:r>
    </w:p>
    <w:p>
      <w:pPr>
        <w:pStyle w:val="BodyText"/>
        <w:spacing w:line="364" w:lineRule="auto"/>
        <w:ind w:right="7316"/>
      </w:pPr>
      <w:r>
        <w:rPr/>
        <w:t>客户服务电话</w:t>
      </w:r>
      <w:r>
        <w:rPr>
          <w:spacing w:val="-3"/>
        </w:rPr>
        <w:t>：95553 </w:t>
      </w:r>
      <w:r>
        <w:rPr/>
        <w:t>传真：021-23219100</w:t>
      </w:r>
    </w:p>
    <w:p>
      <w:pPr>
        <w:pStyle w:val="BodyText"/>
        <w:spacing w:line="268" w:lineRule="exact"/>
      </w:pPr>
      <w:hyperlink r:id="rId132">
        <w:r>
          <w:rPr/>
          <w:t>网址：www.htsec.com</w:t>
        </w:r>
      </w:hyperlink>
    </w:p>
    <w:p>
      <w:pPr>
        <w:pStyle w:val="ListParagraph"/>
        <w:numPr>
          <w:ilvl w:val="0"/>
          <w:numId w:val="10"/>
        </w:numPr>
        <w:tabs>
          <w:tab w:pos="1134" w:val="left" w:leader="none"/>
        </w:tabs>
        <w:spacing w:line="240" w:lineRule="auto" w:before="138" w:after="0"/>
        <w:ind w:left="1134" w:right="0" w:hanging="421"/>
        <w:jc w:val="left"/>
        <w:rPr>
          <w:sz w:val="21"/>
        </w:rPr>
      </w:pPr>
      <w:r>
        <w:rPr>
          <w:sz w:val="21"/>
        </w:rPr>
        <w:t>恒泰证券</w:t>
      </w:r>
    </w:p>
    <w:p>
      <w:pPr>
        <w:pStyle w:val="BodyText"/>
        <w:spacing w:line="364" w:lineRule="auto" w:before="139"/>
        <w:ind w:right="1961"/>
      </w:pPr>
      <w:r>
        <w:rPr/>
        <w:t>注册地址：内蒙古自治区呼和浩特市新城区海拉尔东街满世尚都办公商业综合楼办公地址：呼和浩特市新城区海拉尔东街满世书香苑办公楼 7 楼</w:t>
      </w:r>
    </w:p>
    <w:p>
      <w:pPr>
        <w:pStyle w:val="BodyText"/>
        <w:spacing w:line="364" w:lineRule="auto"/>
        <w:ind w:right="7421"/>
      </w:pPr>
      <w:r>
        <w:rPr/>
        <w:t>法定代表人：庞介民联系人：熊丽</w:t>
      </w:r>
    </w:p>
    <w:p>
      <w:pPr>
        <w:pStyle w:val="BodyText"/>
        <w:spacing w:line="268" w:lineRule="exact"/>
      </w:pPr>
      <w:r>
        <w:rPr/>
        <w:t>联系电话：0471-4972675</w:t>
      </w:r>
    </w:p>
    <w:p>
      <w:pPr>
        <w:pStyle w:val="BodyText"/>
        <w:spacing w:before="138"/>
      </w:pPr>
      <w:r>
        <w:rPr/>
        <w:t>客户服务电话：4001966188,956088</w:t>
      </w:r>
    </w:p>
    <w:p>
      <w:pPr>
        <w:pStyle w:val="BodyText"/>
        <w:spacing w:before="140"/>
      </w:pPr>
      <w:hyperlink r:id="rId133">
        <w:r>
          <w:rPr/>
          <w:t>网址：www.cnht.com.cn</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华泰证券</w:t>
      </w:r>
    </w:p>
    <w:p>
      <w:pPr>
        <w:pStyle w:val="BodyText"/>
        <w:spacing w:before="140"/>
      </w:pPr>
      <w:r>
        <w:rPr/>
        <w:t>注册地址：南京市江东中路 228 号</w:t>
      </w:r>
    </w:p>
    <w:p>
      <w:pPr>
        <w:pStyle w:val="BodyText"/>
        <w:spacing w:before="139"/>
      </w:pPr>
      <w:r>
        <w:rPr/>
        <w:t>办公地址：南京市建邺区江东中路 228 号华泰证券广场</w:t>
      </w:r>
    </w:p>
    <w:p>
      <w:pPr>
        <w:spacing w:after="0"/>
        <w:sectPr>
          <w:pgSz w:w="11910" w:h="16840"/>
          <w:pgMar w:header="0" w:footer="1172" w:top="1580" w:bottom="1440" w:left="1520" w:right="360"/>
        </w:sectPr>
      </w:pPr>
    </w:p>
    <w:p>
      <w:pPr>
        <w:pStyle w:val="BodyText"/>
        <w:spacing w:line="364" w:lineRule="auto" w:before="106"/>
        <w:ind w:right="7631"/>
      </w:pPr>
      <w:r>
        <w:rPr/>
        <w:t>法定代表人：张伟联系人：庞晓芸</w:t>
      </w:r>
    </w:p>
    <w:p>
      <w:pPr>
        <w:pStyle w:val="BodyText"/>
        <w:spacing w:line="268" w:lineRule="exact"/>
      </w:pPr>
      <w:r>
        <w:rPr/>
        <w:t>联系电话：0755-82492193</w:t>
      </w:r>
    </w:p>
    <w:p>
      <w:pPr>
        <w:pStyle w:val="BodyText"/>
        <w:spacing w:line="364" w:lineRule="auto" w:before="139"/>
        <w:ind w:right="7316"/>
      </w:pPr>
      <w:r>
        <w:rPr/>
        <w:t>客户服务电话：95597 传真：025-83387523</w:t>
      </w:r>
    </w:p>
    <w:p>
      <w:pPr>
        <w:pStyle w:val="BodyText"/>
        <w:spacing w:line="268" w:lineRule="exact"/>
      </w:pPr>
      <w:hyperlink r:id="rId142">
        <w:r>
          <w:rPr/>
          <w:t>网址：www.htsc.com.cn</w:t>
        </w:r>
      </w:hyperlink>
    </w:p>
    <w:p>
      <w:pPr>
        <w:pStyle w:val="ListParagraph"/>
        <w:numPr>
          <w:ilvl w:val="0"/>
          <w:numId w:val="10"/>
        </w:numPr>
        <w:tabs>
          <w:tab w:pos="1134" w:val="left" w:leader="none"/>
        </w:tabs>
        <w:spacing w:line="240" w:lineRule="auto" w:before="140" w:after="0"/>
        <w:ind w:left="1134" w:right="0" w:hanging="421"/>
        <w:jc w:val="left"/>
        <w:rPr>
          <w:sz w:val="21"/>
        </w:rPr>
      </w:pPr>
      <w:r>
        <w:rPr>
          <w:sz w:val="21"/>
        </w:rPr>
        <w:t>联储证券</w:t>
      </w:r>
    </w:p>
    <w:p>
      <w:pPr>
        <w:pStyle w:val="BodyText"/>
        <w:spacing w:line="364" w:lineRule="auto" w:before="139"/>
        <w:ind w:right="1751"/>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7421"/>
      </w:pPr>
      <w:r>
        <w:rPr/>
        <w:t>法定代表人：吕春卫联系人：张婉婷</w:t>
      </w:r>
    </w:p>
    <w:p>
      <w:pPr>
        <w:pStyle w:val="BodyText"/>
        <w:spacing w:line="268" w:lineRule="exact"/>
      </w:pPr>
      <w:r>
        <w:rPr/>
        <w:t>联系电话：010-86499765</w:t>
      </w:r>
    </w:p>
    <w:p>
      <w:pPr>
        <w:pStyle w:val="BodyText"/>
        <w:spacing w:line="364" w:lineRule="auto" w:before="139"/>
        <w:ind w:right="6581"/>
      </w:pPr>
      <w:r>
        <w:rPr/>
        <w:t>客户服务电话：400-620-6868 </w:t>
      </w:r>
      <w:hyperlink r:id="rId150">
        <w:r>
          <w:rPr/>
          <w:t>网址：www.lczq.com</w:t>
        </w:r>
      </w:hyperlink>
    </w:p>
    <w:p>
      <w:pPr>
        <w:pStyle w:val="ListParagraph"/>
        <w:numPr>
          <w:ilvl w:val="0"/>
          <w:numId w:val="10"/>
        </w:numPr>
        <w:tabs>
          <w:tab w:pos="1134" w:val="left" w:leader="none"/>
        </w:tabs>
        <w:spacing w:line="268" w:lineRule="exact" w:before="0" w:after="0"/>
        <w:ind w:left="1134" w:right="0" w:hanging="421"/>
        <w:jc w:val="left"/>
        <w:rPr>
          <w:sz w:val="21"/>
        </w:rPr>
      </w:pPr>
      <w:r>
        <w:rPr>
          <w:sz w:val="21"/>
        </w:rPr>
        <w:t>平安证券</w:t>
      </w:r>
    </w:p>
    <w:p>
      <w:pPr>
        <w:pStyle w:val="BodyText"/>
        <w:spacing w:line="364" w:lineRule="auto" w:before="139"/>
        <w:ind w:right="2066"/>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7421"/>
      </w:pPr>
      <w:r>
        <w:rPr/>
        <w:t>法定代表人：何之江联系人：周驰</w:t>
      </w:r>
    </w:p>
    <w:p>
      <w:pPr>
        <w:pStyle w:val="BodyText"/>
        <w:spacing w:line="268" w:lineRule="exact"/>
      </w:pPr>
      <w:r>
        <w:rPr/>
        <w:t>联系电话：021-38643230</w:t>
      </w:r>
    </w:p>
    <w:p>
      <w:pPr>
        <w:pStyle w:val="BodyText"/>
        <w:spacing w:line="364" w:lineRule="auto" w:before="139"/>
        <w:ind w:right="7106"/>
      </w:pPr>
      <w:r>
        <w:rPr/>
        <w:t>客户服务电话：95511-8 传真：021-58991896</w:t>
      </w:r>
    </w:p>
    <w:p>
      <w:pPr>
        <w:pStyle w:val="BodyText"/>
        <w:spacing w:line="268" w:lineRule="exact"/>
      </w:pPr>
      <w:r>
        <w:rPr/>
        <w:t>网址：stock.pingan.com</w:t>
      </w:r>
    </w:p>
    <w:p>
      <w:pPr>
        <w:pStyle w:val="ListParagraph"/>
        <w:numPr>
          <w:ilvl w:val="0"/>
          <w:numId w:val="10"/>
        </w:numPr>
        <w:tabs>
          <w:tab w:pos="1134" w:val="left" w:leader="none"/>
        </w:tabs>
        <w:spacing w:line="240" w:lineRule="auto" w:before="139" w:after="0"/>
        <w:ind w:left="1134" w:right="0" w:hanging="421"/>
        <w:jc w:val="left"/>
        <w:rPr>
          <w:sz w:val="21"/>
        </w:rPr>
      </w:pPr>
      <w:r>
        <w:rPr>
          <w:sz w:val="21"/>
        </w:rPr>
        <w:t>中信建投证券</w:t>
      </w:r>
    </w:p>
    <w:p>
      <w:pPr>
        <w:pStyle w:val="BodyText"/>
        <w:spacing w:line="364" w:lineRule="auto" w:before="140"/>
        <w:ind w:right="5216"/>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7421"/>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178">
        <w:r>
          <w:rPr/>
          <w:t>网址：http://www.csc108.com/</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中信证券</w:t>
      </w:r>
    </w:p>
    <w:p>
      <w:pPr>
        <w:pStyle w:val="BodyText"/>
        <w:spacing w:before="139"/>
      </w:pPr>
      <w:r>
        <w:rPr/>
        <w:t>注册地址：广东省深圳市福田区中心三路 8 号卓越时代广场（二期）北座</w:t>
      </w:r>
    </w:p>
    <w:p>
      <w:pPr>
        <w:spacing w:after="0"/>
        <w:sectPr>
          <w:pgSz w:w="11910" w:h="16840"/>
          <w:pgMar w:header="0" w:footer="1172" w:top="1580" w:bottom="1440" w:left="1520" w:right="360"/>
        </w:sectPr>
      </w:pPr>
    </w:p>
    <w:p>
      <w:pPr>
        <w:pStyle w:val="BodyText"/>
        <w:spacing w:line="364" w:lineRule="auto" w:before="106"/>
        <w:ind w:right="4376"/>
      </w:pPr>
      <w:r>
        <w:rPr>
          <w:spacing w:val="-4"/>
        </w:rPr>
        <w:t>办公地址：北京市朝阳区亮马桥路 </w:t>
      </w:r>
      <w:r>
        <w:rPr/>
        <w:t>48</w:t>
      </w:r>
      <w:r>
        <w:rPr>
          <w:spacing w:val="-10"/>
        </w:rPr>
        <w:t> 号中信证券大厦</w:t>
      </w:r>
      <w:r>
        <w:rPr/>
        <w:t>法定代表人：张佑君</w:t>
      </w:r>
    </w:p>
    <w:p>
      <w:pPr>
        <w:pStyle w:val="BodyText"/>
        <w:spacing w:line="268" w:lineRule="exact"/>
      </w:pPr>
      <w:r>
        <w:rPr/>
        <w:t>联系人：王一通</w:t>
      </w:r>
    </w:p>
    <w:p>
      <w:pPr>
        <w:pStyle w:val="BodyText"/>
        <w:spacing w:before="139"/>
      </w:pPr>
      <w:r>
        <w:rPr/>
        <w:t>联系电话：010-60838888</w:t>
      </w:r>
    </w:p>
    <w:p>
      <w:pPr>
        <w:pStyle w:val="BodyText"/>
        <w:spacing w:line="364" w:lineRule="auto" w:before="140"/>
        <w:ind w:right="7316"/>
      </w:pPr>
      <w:r>
        <w:rPr/>
        <w:t>客户服务电话：95548 传真：010-60836029</w:t>
      </w:r>
    </w:p>
    <w:p>
      <w:pPr>
        <w:pStyle w:val="BodyText"/>
        <w:spacing w:line="268" w:lineRule="exact"/>
      </w:pPr>
      <w:hyperlink r:id="rId179">
        <w:r>
          <w:rPr/>
          <w:t>网址：www.cs.ecitic.com</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3956"/>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7316"/>
      </w:pPr>
      <w:r>
        <w:rPr/>
        <w:t>客户服务电话：95548 传真：0532-85022605</w:t>
      </w:r>
    </w:p>
    <w:p>
      <w:pPr>
        <w:pStyle w:val="BodyText"/>
        <w:spacing w:line="268" w:lineRule="exact"/>
      </w:pPr>
      <w:hyperlink r:id="rId181">
        <w:r>
          <w:rPr/>
          <w:t>网址：http://sd.citics.com/</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百度百盈</w:t>
      </w:r>
    </w:p>
    <w:p>
      <w:pPr>
        <w:pStyle w:val="BodyText"/>
        <w:spacing w:line="364" w:lineRule="auto" w:before="140"/>
        <w:ind w:right="3116"/>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631"/>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85">
        <w:r>
          <w:rPr/>
          <w:t>网址：www.baiyingfund.com</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2591"/>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6581"/>
      </w:pPr>
      <w:r>
        <w:rPr/>
        <w:t>客户服务电话：400-820-2899 传真：021-20691861</w:t>
      </w:r>
    </w:p>
    <w:p>
      <w:pPr>
        <w:pStyle w:val="BodyText"/>
        <w:spacing w:line="268" w:lineRule="exact"/>
      </w:pPr>
      <w:hyperlink r:id="rId186">
        <w:r>
          <w:rPr/>
          <w:t>网址：www.erichfund.com</w:t>
        </w:r>
      </w:hyperlink>
    </w:p>
    <w:p>
      <w:pPr>
        <w:spacing w:after="0" w:line="268" w:lineRule="exact"/>
        <w:sectPr>
          <w:pgSz w:w="11910" w:h="16840"/>
          <w:pgMar w:header="0" w:footer="1172" w:top="1580" w:bottom="1440" w:left="1520" w:right="360"/>
        </w:sectPr>
      </w:pPr>
    </w:p>
    <w:p>
      <w:pPr>
        <w:pStyle w:val="ListParagraph"/>
        <w:numPr>
          <w:ilvl w:val="0"/>
          <w:numId w:val="10"/>
        </w:numPr>
        <w:tabs>
          <w:tab w:pos="1134" w:val="left" w:leader="none"/>
        </w:tabs>
        <w:spacing w:line="240" w:lineRule="auto" w:before="106" w:after="0"/>
        <w:ind w:left="1134" w:right="0" w:hanging="421"/>
        <w:jc w:val="both"/>
        <w:rPr>
          <w:sz w:val="21"/>
        </w:rPr>
      </w:pPr>
      <w:r>
        <w:rPr>
          <w:sz w:val="21"/>
        </w:rPr>
        <w:t>创金启富</w:t>
      </w:r>
    </w:p>
    <w:p>
      <w:pPr>
        <w:pStyle w:val="BodyText"/>
        <w:spacing w:line="364" w:lineRule="auto" w:before="139"/>
        <w:ind w:right="4061"/>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6581"/>
      </w:pPr>
      <w:r>
        <w:rPr/>
        <w:t>客户服务电话：400-6262-818 传真：010-63583991</w:t>
      </w:r>
    </w:p>
    <w:p>
      <w:pPr>
        <w:pStyle w:val="BodyText"/>
        <w:spacing w:line="268" w:lineRule="exact"/>
      </w:pPr>
      <w:hyperlink r:id="rId188">
        <w:r>
          <w:rPr/>
          <w:t>网址：www.5irich.com</w:t>
        </w:r>
      </w:hyperlink>
    </w:p>
    <w:p>
      <w:pPr>
        <w:pStyle w:val="ListParagraph"/>
        <w:numPr>
          <w:ilvl w:val="0"/>
          <w:numId w:val="10"/>
        </w:numPr>
        <w:tabs>
          <w:tab w:pos="1134" w:val="left" w:leader="none"/>
        </w:tabs>
        <w:spacing w:line="240" w:lineRule="auto" w:before="140" w:after="0"/>
        <w:ind w:left="1134" w:right="0" w:hanging="421"/>
        <w:jc w:val="both"/>
        <w:rPr>
          <w:sz w:val="21"/>
        </w:rPr>
      </w:pPr>
      <w:r>
        <w:rPr>
          <w:sz w:val="21"/>
        </w:rPr>
        <w:t>大智慧基金</w:t>
      </w:r>
    </w:p>
    <w:p>
      <w:pPr>
        <w:pStyle w:val="BodyText"/>
        <w:spacing w:line="364" w:lineRule="auto" w:before="139"/>
        <w:ind w:right="2486"/>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581"/>
      </w:pPr>
      <w:r>
        <w:rPr/>
        <w:t>客户服务电话：021-20292031 传真：021-20219923</w:t>
      </w:r>
    </w:p>
    <w:p>
      <w:pPr>
        <w:pStyle w:val="BodyText"/>
        <w:spacing w:line="268" w:lineRule="exact"/>
      </w:pPr>
      <w:hyperlink r:id="rId190">
        <w:r>
          <w:rPr/>
          <w:t>网址：https://www.wg.com.cn/</w:t>
        </w:r>
      </w:hyperlink>
    </w:p>
    <w:p>
      <w:pPr>
        <w:pStyle w:val="ListParagraph"/>
        <w:numPr>
          <w:ilvl w:val="0"/>
          <w:numId w:val="10"/>
        </w:numPr>
        <w:tabs>
          <w:tab w:pos="1134" w:val="left" w:leader="none"/>
        </w:tabs>
        <w:spacing w:line="240" w:lineRule="auto" w:before="139" w:after="0"/>
        <w:ind w:left="1134" w:right="0" w:hanging="421"/>
        <w:jc w:val="both"/>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3116"/>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before="139"/>
      </w:pPr>
      <w:r>
        <w:rPr/>
        <w:t>客户服务电话：4001599288</w:t>
      </w:r>
    </w:p>
    <w:p>
      <w:pPr>
        <w:pStyle w:val="BodyText"/>
        <w:spacing w:before="140"/>
      </w:pPr>
      <w:r>
        <w:rPr/>
        <w:t>网址：https://danjuanapp.com</w:t>
      </w:r>
    </w:p>
    <w:p>
      <w:pPr>
        <w:pStyle w:val="ListParagraph"/>
        <w:numPr>
          <w:ilvl w:val="0"/>
          <w:numId w:val="10"/>
        </w:numPr>
        <w:tabs>
          <w:tab w:pos="1134" w:val="left" w:leader="none"/>
        </w:tabs>
        <w:spacing w:line="240" w:lineRule="auto" w:before="139" w:after="0"/>
        <w:ind w:left="1134" w:right="0" w:hanging="421"/>
        <w:jc w:val="both"/>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3221"/>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before="140"/>
      </w:pPr>
      <w:r>
        <w:rPr/>
        <w:t>客户服务电话：400-700-9665</w:t>
      </w:r>
    </w:p>
    <w:p>
      <w:pPr>
        <w:spacing w:after="0"/>
        <w:sectPr>
          <w:pgSz w:w="11910" w:h="16840"/>
          <w:pgMar w:header="0" w:footer="1172" w:top="1580" w:bottom="1440" w:left="1520" w:right="360"/>
        </w:sectPr>
      </w:pPr>
    </w:p>
    <w:p>
      <w:pPr>
        <w:pStyle w:val="BodyText"/>
        <w:spacing w:before="106"/>
      </w:pPr>
      <w:r>
        <w:rPr/>
        <w:t>传真：021-68596919</w:t>
      </w:r>
    </w:p>
    <w:p>
      <w:pPr>
        <w:pStyle w:val="BodyText"/>
        <w:spacing w:before="139"/>
      </w:pPr>
      <w:hyperlink r:id="rId196">
        <w:r>
          <w:rPr/>
          <w:t>网址：www.ehowbuy.com</w:t>
        </w:r>
      </w:hyperlink>
    </w:p>
    <w:p>
      <w:pPr>
        <w:pStyle w:val="ListParagraph"/>
        <w:numPr>
          <w:ilvl w:val="0"/>
          <w:numId w:val="10"/>
        </w:numPr>
        <w:tabs>
          <w:tab w:pos="1134" w:val="left" w:leader="none"/>
        </w:tabs>
        <w:spacing w:line="240" w:lineRule="auto" w:before="140" w:after="0"/>
        <w:ind w:left="1134" w:right="0" w:hanging="421"/>
        <w:jc w:val="left"/>
        <w:rPr>
          <w:sz w:val="21"/>
        </w:rPr>
      </w:pPr>
      <w:r>
        <w:rPr>
          <w:sz w:val="21"/>
        </w:rPr>
        <w:t>虹点基金</w:t>
      </w:r>
    </w:p>
    <w:p>
      <w:pPr>
        <w:pStyle w:val="BodyText"/>
        <w:spacing w:before="139"/>
      </w:pPr>
      <w:r>
        <w:rPr/>
        <w:t>注册地址：北京市朝阳区东三环北路 17 号 10 层 1015 室</w:t>
      </w:r>
    </w:p>
    <w:p>
      <w:pPr>
        <w:pStyle w:val="BodyText"/>
        <w:spacing w:before="140"/>
      </w:pPr>
      <w:r>
        <w:rPr/>
        <w:t>办公地址：北京市朝阳区工体北路甲 2 号盈科中心东门 2 层 216</w:t>
      </w:r>
    </w:p>
    <w:p>
      <w:pPr>
        <w:pStyle w:val="BodyText"/>
        <w:spacing w:line="364" w:lineRule="auto" w:before="139"/>
        <w:ind w:right="7631"/>
      </w:pPr>
      <w:r>
        <w:rPr/>
        <w:t>法定代表人：何静联系人：牛亚楠</w:t>
      </w:r>
    </w:p>
    <w:p>
      <w:pPr>
        <w:pStyle w:val="BodyText"/>
        <w:spacing w:line="268" w:lineRule="exact"/>
      </w:pPr>
      <w:r>
        <w:rPr/>
        <w:t>联系电话：010-65951887</w:t>
      </w:r>
    </w:p>
    <w:p>
      <w:pPr>
        <w:pStyle w:val="BodyText"/>
        <w:spacing w:line="364" w:lineRule="auto" w:before="140"/>
        <w:ind w:right="6581"/>
      </w:pPr>
      <w:r>
        <w:rPr/>
        <w:t>客户服务电话</w:t>
      </w:r>
      <w:r>
        <w:rPr>
          <w:spacing w:val="-2"/>
        </w:rPr>
        <w:t>：400-618-0707 </w:t>
      </w:r>
      <w:hyperlink r:id="rId200">
        <w:r>
          <w:rPr>
            <w:spacing w:val="-1"/>
          </w:rPr>
          <w:t>网址：www.hongdianfund.com</w:t>
        </w:r>
      </w:hyperlink>
    </w:p>
    <w:p>
      <w:pPr>
        <w:pStyle w:val="ListParagraph"/>
        <w:numPr>
          <w:ilvl w:val="0"/>
          <w:numId w:val="10"/>
        </w:numPr>
        <w:tabs>
          <w:tab w:pos="1134" w:val="left" w:leader="none"/>
        </w:tabs>
        <w:spacing w:line="268" w:lineRule="exact" w:before="0" w:after="0"/>
        <w:ind w:left="1134" w:right="0" w:hanging="421"/>
        <w:jc w:val="left"/>
        <w:rPr>
          <w:sz w:val="21"/>
        </w:rPr>
      </w:pPr>
      <w:r>
        <w:rPr>
          <w:sz w:val="21"/>
        </w:rPr>
        <w:t>华瑞保险销售</w:t>
      </w:r>
    </w:p>
    <w:p>
      <w:pPr>
        <w:pStyle w:val="BodyText"/>
        <w:spacing w:line="364" w:lineRule="auto" w:before="139"/>
        <w:ind w:right="1646"/>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631"/>
      </w:pPr>
      <w:r>
        <w:rPr/>
        <w:t>法定代表人：路昊联系人：茆勇强</w:t>
      </w:r>
    </w:p>
    <w:p>
      <w:pPr>
        <w:pStyle w:val="BodyText"/>
        <w:spacing w:line="268" w:lineRule="exact"/>
      </w:pPr>
      <w:r>
        <w:rPr/>
        <w:t>联系电话：021-68595698</w:t>
      </w:r>
    </w:p>
    <w:p>
      <w:pPr>
        <w:pStyle w:val="BodyText"/>
        <w:spacing w:line="364" w:lineRule="auto" w:before="139"/>
        <w:ind w:right="7211"/>
      </w:pPr>
      <w:r>
        <w:rPr/>
        <w:t>客户服务电话：952303 传真：021-68595766</w:t>
      </w:r>
    </w:p>
    <w:p>
      <w:pPr>
        <w:pStyle w:val="BodyText"/>
        <w:spacing w:line="268" w:lineRule="exact"/>
      </w:pPr>
      <w:hyperlink r:id="rId201">
        <w:r>
          <w:rPr/>
          <w:t>网址：www.huaruisales.com</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pStyle w:val="BodyText"/>
        <w:spacing w:line="364" w:lineRule="auto" w:before="139"/>
        <w:ind w:right="7421"/>
      </w:pPr>
      <w:r>
        <w:rPr/>
        <w:t>法定代表人：王伟刚联系人：王骁骁</w:t>
      </w:r>
    </w:p>
    <w:p>
      <w:pPr>
        <w:pStyle w:val="BodyText"/>
        <w:spacing w:line="268" w:lineRule="exact"/>
      </w:pPr>
      <w:r>
        <w:rPr/>
        <w:t>联系电话：010-56251471</w:t>
      </w:r>
    </w:p>
    <w:p>
      <w:pPr>
        <w:pStyle w:val="BodyText"/>
        <w:spacing w:line="364" w:lineRule="auto" w:before="140"/>
        <w:ind w:right="6581"/>
      </w:pPr>
      <w:r>
        <w:rPr/>
        <w:t>客户服务电话</w:t>
      </w:r>
      <w:r>
        <w:rPr>
          <w:spacing w:val="-2"/>
        </w:rPr>
        <w:t>：400-619-9059 </w:t>
      </w:r>
      <w:hyperlink r:id="rId204">
        <w:r>
          <w:rPr/>
          <w:t>网址：www.hcjijin.com</w:t>
        </w:r>
      </w:hyperlink>
    </w:p>
    <w:p>
      <w:pPr>
        <w:pStyle w:val="ListParagraph"/>
        <w:numPr>
          <w:ilvl w:val="0"/>
          <w:numId w:val="10"/>
        </w:numPr>
        <w:tabs>
          <w:tab w:pos="1134" w:val="left" w:leader="none"/>
        </w:tabs>
        <w:spacing w:line="268" w:lineRule="exact" w:before="0" w:after="0"/>
        <w:ind w:left="1134" w:right="0" w:hanging="421"/>
        <w:jc w:val="left"/>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1961"/>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39"/>
      </w:pPr>
      <w:r>
        <w:rPr/>
        <w:t>联系电话：010-89189291</w:t>
      </w:r>
    </w:p>
    <w:p>
      <w:pPr>
        <w:spacing w:after="0"/>
        <w:sectPr>
          <w:pgSz w:w="11910" w:h="16840"/>
          <w:pgMar w:header="0" w:footer="1172" w:top="1580" w:bottom="1440" w:left="1520" w:right="360"/>
        </w:sectPr>
      </w:pPr>
    </w:p>
    <w:p>
      <w:pPr>
        <w:pStyle w:val="BodyText"/>
        <w:spacing w:before="106"/>
      </w:pPr>
      <w:r>
        <w:rPr/>
        <w:t>客户服务电话：95118</w:t>
      </w:r>
    </w:p>
    <w:p>
      <w:pPr>
        <w:pStyle w:val="BodyText"/>
        <w:spacing w:before="139"/>
      </w:pPr>
      <w:hyperlink r:id="rId213">
        <w:r>
          <w:rPr/>
          <w:t>网址：http://fund.jd.com/</w:t>
        </w:r>
      </w:hyperlink>
    </w:p>
    <w:p>
      <w:pPr>
        <w:pStyle w:val="ListParagraph"/>
        <w:numPr>
          <w:ilvl w:val="0"/>
          <w:numId w:val="10"/>
        </w:numPr>
        <w:tabs>
          <w:tab w:pos="1134" w:val="left" w:leader="none"/>
        </w:tabs>
        <w:spacing w:line="240" w:lineRule="auto" w:before="140" w:after="0"/>
        <w:ind w:left="1134" w:right="0" w:hanging="421"/>
        <w:jc w:val="both"/>
        <w:rPr>
          <w:sz w:val="21"/>
        </w:rPr>
      </w:pPr>
      <w:r>
        <w:rPr>
          <w:sz w:val="21"/>
        </w:rPr>
        <w:t>陆基金</w:t>
      </w:r>
    </w:p>
    <w:p>
      <w:pPr>
        <w:pStyle w:val="BodyText"/>
        <w:spacing w:line="364" w:lineRule="auto" w:before="139"/>
        <w:ind w:right="2486"/>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791"/>
      </w:pPr>
      <w:r>
        <w:rPr/>
        <w:t>客户服务电话：4008219031 传真：021-22066653</w:t>
      </w:r>
    </w:p>
    <w:p>
      <w:pPr>
        <w:pStyle w:val="BodyText"/>
        <w:spacing w:line="268" w:lineRule="exact"/>
      </w:pPr>
      <w:hyperlink r:id="rId216">
        <w:r>
          <w:rPr/>
          <w:t>网址：www.lufunds.com</w:t>
        </w:r>
      </w:hyperlink>
    </w:p>
    <w:p>
      <w:pPr>
        <w:pStyle w:val="ListParagraph"/>
        <w:numPr>
          <w:ilvl w:val="0"/>
          <w:numId w:val="10"/>
        </w:numPr>
        <w:tabs>
          <w:tab w:pos="1134" w:val="left" w:leader="none"/>
        </w:tabs>
        <w:spacing w:line="240" w:lineRule="auto" w:before="140" w:after="0"/>
        <w:ind w:left="1134" w:right="0" w:hanging="421"/>
        <w:jc w:val="left"/>
        <w:rPr>
          <w:sz w:val="21"/>
        </w:rPr>
      </w:pPr>
      <w:r>
        <w:rPr>
          <w:sz w:val="21"/>
        </w:rPr>
        <w:t>蚂蚁基金</w:t>
      </w:r>
    </w:p>
    <w:p>
      <w:pPr>
        <w:pStyle w:val="BodyText"/>
        <w:spacing w:line="364" w:lineRule="auto" w:before="139"/>
        <w:ind w:right="2591"/>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7421"/>
      </w:pPr>
      <w:r>
        <w:rPr/>
        <w:t>法定代表人：祖国明联系人：韩爱彬</w:t>
      </w:r>
    </w:p>
    <w:p>
      <w:pPr>
        <w:pStyle w:val="BodyText"/>
        <w:spacing w:line="268" w:lineRule="exact"/>
      </w:pPr>
      <w:r>
        <w:rPr/>
        <w:t>联系电话：0571-26888888</w:t>
      </w:r>
    </w:p>
    <w:p>
      <w:pPr>
        <w:pStyle w:val="BodyText"/>
        <w:spacing w:line="364" w:lineRule="auto" w:before="139"/>
        <w:ind w:right="6371"/>
      </w:pPr>
      <w:r>
        <w:rPr/>
        <w:t>客户服务电话：4000-766-123 </w:t>
      </w:r>
      <w:hyperlink r:id="rId217">
        <w:r>
          <w:rPr>
            <w:spacing w:val="-1"/>
          </w:rPr>
          <w:t>网址</w:t>
        </w:r>
        <w:r>
          <w:rPr/>
          <w:t>：http://www.fund123.cn/</w:t>
        </w:r>
      </w:hyperlink>
    </w:p>
    <w:p>
      <w:pPr>
        <w:pStyle w:val="ListParagraph"/>
        <w:numPr>
          <w:ilvl w:val="0"/>
          <w:numId w:val="10"/>
        </w:numPr>
        <w:tabs>
          <w:tab w:pos="1134" w:val="left" w:leader="none"/>
        </w:tabs>
        <w:spacing w:line="268" w:lineRule="exact" w:before="0" w:after="0"/>
        <w:ind w:left="1134" w:right="0" w:hanging="421"/>
        <w:jc w:val="left"/>
        <w:rPr>
          <w:sz w:val="21"/>
        </w:rPr>
      </w:pPr>
      <w:r>
        <w:rPr>
          <w:sz w:val="21"/>
        </w:rPr>
        <w:t>苏宁基金</w:t>
      </w:r>
    </w:p>
    <w:p>
      <w:pPr>
        <w:pStyle w:val="BodyText"/>
        <w:spacing w:line="364" w:lineRule="auto" w:before="139"/>
        <w:ind w:right="5531"/>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pStyle w:val="BodyText"/>
        <w:spacing w:line="268" w:lineRule="exact"/>
      </w:pPr>
      <w:r>
        <w:rPr/>
        <w:t>联系人：张云飞</w:t>
      </w:r>
    </w:p>
    <w:p>
      <w:pPr>
        <w:pStyle w:val="BodyText"/>
        <w:spacing w:before="139"/>
      </w:pPr>
      <w:r>
        <w:rPr/>
        <w:t>联系电话：025-66996699-882796</w:t>
      </w:r>
    </w:p>
    <w:p>
      <w:pPr>
        <w:pStyle w:val="BodyText"/>
        <w:spacing w:line="364" w:lineRule="auto" w:before="140"/>
        <w:ind w:right="7106"/>
      </w:pPr>
      <w:r>
        <w:rPr/>
        <w:t>客户服务电话：95177 </w:t>
      </w:r>
      <w:hyperlink r:id="rId224">
        <w:r>
          <w:rPr>
            <w:spacing w:val="-1"/>
          </w:rPr>
          <w:t>网址</w:t>
        </w:r>
        <w:r>
          <w:rPr/>
          <w:t>：www.snjijin.com</w:t>
        </w:r>
      </w:hyperlink>
    </w:p>
    <w:p>
      <w:pPr>
        <w:pStyle w:val="ListParagraph"/>
        <w:numPr>
          <w:ilvl w:val="0"/>
          <w:numId w:val="10"/>
        </w:numPr>
        <w:tabs>
          <w:tab w:pos="1134" w:val="left" w:leader="none"/>
        </w:tabs>
        <w:spacing w:line="268" w:lineRule="exact" w:before="0" w:after="0"/>
        <w:ind w:left="1134" w:right="0" w:hanging="421"/>
        <w:jc w:val="left"/>
        <w:rPr>
          <w:sz w:val="21"/>
        </w:rPr>
      </w:pPr>
      <w:r>
        <w:rPr>
          <w:sz w:val="21"/>
        </w:rPr>
        <w:t>腾安基金</w:t>
      </w:r>
    </w:p>
    <w:p>
      <w:pPr>
        <w:pStyle w:val="BodyText"/>
        <w:spacing w:line="364" w:lineRule="auto" w:before="139"/>
        <w:ind w:left="293" w:right="936" w:firstLine="420"/>
      </w:pPr>
      <w:r>
        <w:rPr>
          <w:spacing w:val="1"/>
        </w:rPr>
        <w:t>注册地址：深圳市前海深港合作区前湾一路 </w:t>
      </w:r>
      <w:r>
        <w:rPr/>
        <w:t>1</w:t>
      </w:r>
      <w:r>
        <w:rPr>
          <w:spacing w:val="-34"/>
        </w:rPr>
        <w:t> 号 </w:t>
      </w:r>
      <w:r>
        <w:rPr/>
        <w:t>A</w:t>
      </w:r>
      <w:r>
        <w:rPr>
          <w:spacing w:val="-34"/>
        </w:rPr>
        <w:t> 栋 </w:t>
      </w:r>
      <w:r>
        <w:rPr/>
        <w:t>201</w:t>
      </w:r>
      <w:r>
        <w:rPr>
          <w:spacing w:val="-24"/>
        </w:rPr>
        <w:t> 室</w:t>
      </w:r>
      <w:r>
        <w:rPr>
          <w:spacing w:val="5"/>
        </w:rPr>
        <w:t>（</w:t>
      </w:r>
      <w:r>
        <w:rPr>
          <w:spacing w:val="4"/>
        </w:rPr>
        <w:t>入驻深圳市前海商务秘书有限公司）</w:t>
      </w:r>
    </w:p>
    <w:p>
      <w:pPr>
        <w:pStyle w:val="BodyText"/>
        <w:spacing w:line="364" w:lineRule="auto"/>
        <w:ind w:right="3851"/>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spacing w:after="0" w:line="268" w:lineRule="exact"/>
        <w:sectPr>
          <w:pgSz w:w="11910" w:h="16840"/>
          <w:pgMar w:header="0" w:footer="1172" w:top="1580" w:bottom="1440" w:left="1520" w:right="360"/>
        </w:sectPr>
      </w:pPr>
    </w:p>
    <w:p>
      <w:pPr>
        <w:pStyle w:val="BodyText"/>
        <w:spacing w:line="364" w:lineRule="auto" w:before="106"/>
        <w:ind w:right="5477"/>
      </w:pPr>
      <w:r>
        <w:rPr/>
        <w:t>客户服务电话：95017（</w:t>
      </w:r>
      <w:r>
        <w:rPr>
          <w:spacing w:val="-11"/>
        </w:rPr>
        <w:t>拨通后转 </w:t>
      </w:r>
      <w:r>
        <w:rPr/>
        <w:t>1</w:t>
      </w:r>
      <w:r>
        <w:rPr>
          <w:spacing w:val="-36"/>
        </w:rPr>
        <w:t> 转 </w:t>
      </w:r>
      <w:r>
        <w:rPr>
          <w:spacing w:val="-8"/>
        </w:rPr>
        <w:t>8） </w:t>
      </w:r>
      <w:hyperlink r:id="rId225">
        <w:r>
          <w:rPr/>
          <w:t>公司网址：https://www.txfund.com/</w:t>
        </w:r>
      </w:hyperlink>
    </w:p>
    <w:p>
      <w:pPr>
        <w:pStyle w:val="ListParagraph"/>
        <w:numPr>
          <w:ilvl w:val="0"/>
          <w:numId w:val="10"/>
        </w:numPr>
        <w:tabs>
          <w:tab w:pos="1134" w:val="left" w:leader="none"/>
        </w:tabs>
        <w:spacing w:line="268" w:lineRule="exact" w:before="0" w:after="0"/>
        <w:ind w:left="1134" w:right="0" w:hanging="421"/>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4376"/>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7316"/>
      </w:pPr>
      <w:r>
        <w:rPr/>
        <w:t>客户服务电话：95021 传真：021-64385308</w:t>
      </w:r>
    </w:p>
    <w:p>
      <w:pPr>
        <w:pStyle w:val="BodyText"/>
        <w:spacing w:line="268" w:lineRule="exact"/>
      </w:pPr>
      <w:hyperlink r:id="rId226">
        <w:r>
          <w:rPr/>
          <w:t>网址：www.1234567.com.cn</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同花顺</w:t>
      </w:r>
    </w:p>
    <w:p>
      <w:pPr>
        <w:pStyle w:val="BodyText"/>
        <w:spacing w:before="140"/>
      </w:pPr>
      <w:r>
        <w:rPr/>
        <w:t>注册地址：浙江省杭州市文二西路 1 号 903 室</w:t>
      </w:r>
    </w:p>
    <w:p>
      <w:pPr>
        <w:pStyle w:val="BodyText"/>
        <w:spacing w:line="364" w:lineRule="auto" w:before="139"/>
        <w:ind w:right="3536"/>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7211"/>
      </w:pPr>
      <w:r>
        <w:rPr/>
        <w:t>客户服务电话</w:t>
      </w:r>
      <w:r>
        <w:rPr>
          <w:spacing w:val="-3"/>
        </w:rPr>
        <w:t>：952555 </w:t>
      </w:r>
      <w:r>
        <w:rPr/>
        <w:t>传真：0571-86800423</w:t>
      </w:r>
    </w:p>
    <w:p>
      <w:pPr>
        <w:pStyle w:val="BodyText"/>
        <w:spacing w:line="268" w:lineRule="exact"/>
      </w:pPr>
      <w:hyperlink r:id="rId228">
        <w:r>
          <w:rPr/>
          <w:t>网址：www.5ifund.com</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万得基金</w:t>
      </w:r>
    </w:p>
    <w:p>
      <w:pPr>
        <w:pStyle w:val="BodyText"/>
        <w:spacing w:line="364" w:lineRule="auto" w:before="140"/>
        <w:ind w:right="3431"/>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631"/>
      </w:pPr>
      <w:r>
        <w:rPr/>
        <w:t>法定代表人：黄祎联系人：徐亚丹</w:t>
      </w:r>
    </w:p>
    <w:p>
      <w:pPr>
        <w:pStyle w:val="BodyText"/>
        <w:spacing w:line="268" w:lineRule="exact"/>
      </w:pPr>
      <w:r>
        <w:rPr/>
        <w:t>联系电话：021-50712782</w:t>
      </w:r>
    </w:p>
    <w:p>
      <w:pPr>
        <w:pStyle w:val="BodyText"/>
        <w:spacing w:line="364" w:lineRule="auto" w:before="138"/>
        <w:ind w:right="6581"/>
      </w:pPr>
      <w:r>
        <w:rPr/>
        <w:t>客户服务电话：400-799-1888 </w:t>
      </w:r>
      <w:hyperlink r:id="rId231">
        <w:r>
          <w:rPr/>
          <w:t>网址：www.520fund.com.cn</w:t>
        </w:r>
      </w:hyperlink>
    </w:p>
    <w:p>
      <w:pPr>
        <w:pStyle w:val="ListParagraph"/>
        <w:numPr>
          <w:ilvl w:val="0"/>
          <w:numId w:val="10"/>
        </w:numPr>
        <w:tabs>
          <w:tab w:pos="1134" w:val="left" w:leader="none"/>
        </w:tabs>
        <w:spacing w:line="268" w:lineRule="exact" w:before="0" w:after="0"/>
        <w:ind w:left="1134" w:right="0" w:hanging="421"/>
        <w:jc w:val="left"/>
        <w:rPr>
          <w:sz w:val="21"/>
        </w:rPr>
      </w:pPr>
      <w:r>
        <w:rPr>
          <w:sz w:val="21"/>
        </w:rPr>
        <w:t>宜信普泽</w:t>
      </w:r>
    </w:p>
    <w:p>
      <w:pPr>
        <w:pStyle w:val="BodyText"/>
        <w:spacing w:before="140"/>
      </w:pPr>
      <w:r>
        <w:rPr/>
        <w:t>注册地址：北京市朝阳区西大望路 1 号 9 层公寓 1008</w:t>
      </w:r>
    </w:p>
    <w:p>
      <w:pPr>
        <w:pStyle w:val="BodyText"/>
        <w:spacing w:before="139"/>
      </w:pPr>
      <w:r>
        <w:rPr/>
        <w:t>办公地址：北京市朝阳区建国路 88 号楼 SOHO 现代城 C 座 18 层 1809</w:t>
      </w:r>
    </w:p>
    <w:p>
      <w:pPr>
        <w:pStyle w:val="BodyText"/>
        <w:spacing w:line="364" w:lineRule="auto" w:before="140"/>
        <w:ind w:right="7631"/>
      </w:pPr>
      <w:r>
        <w:rPr/>
        <w:t>法定代表人：戎兵联系人：魏晨</w:t>
      </w:r>
    </w:p>
    <w:p>
      <w:pPr>
        <w:spacing w:after="0" w:line="364" w:lineRule="auto"/>
        <w:sectPr>
          <w:pgSz w:w="11910" w:h="16840"/>
          <w:pgMar w:header="0" w:footer="1172" w:top="1580" w:bottom="1440" w:left="1520" w:right="360"/>
        </w:sectPr>
      </w:pPr>
    </w:p>
    <w:p>
      <w:pPr>
        <w:pStyle w:val="BodyText"/>
        <w:spacing w:before="106"/>
      </w:pPr>
      <w:r>
        <w:rPr/>
        <w:t>联系电话：010-52413385</w:t>
      </w:r>
    </w:p>
    <w:p>
      <w:pPr>
        <w:pStyle w:val="BodyText"/>
        <w:spacing w:line="364" w:lineRule="auto" w:before="139"/>
        <w:ind w:right="6581"/>
      </w:pPr>
      <w:r>
        <w:rPr/>
        <w:t>客户服务电话：400-6099-200 传真：010-85800047</w:t>
      </w:r>
    </w:p>
    <w:p>
      <w:pPr>
        <w:pStyle w:val="BodyText"/>
        <w:spacing w:line="268" w:lineRule="exact"/>
      </w:pPr>
      <w:hyperlink r:id="rId238">
        <w:r>
          <w:rPr/>
          <w:t>网址：www.yixinfund.com</w:t>
        </w:r>
      </w:hyperlink>
    </w:p>
    <w:p>
      <w:pPr>
        <w:pStyle w:val="ListParagraph"/>
        <w:numPr>
          <w:ilvl w:val="0"/>
          <w:numId w:val="10"/>
        </w:numPr>
        <w:tabs>
          <w:tab w:pos="1134" w:val="left" w:leader="none"/>
        </w:tabs>
        <w:spacing w:line="240" w:lineRule="auto" w:before="140" w:after="0"/>
        <w:ind w:left="1134" w:right="0" w:hanging="421"/>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2381"/>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6581"/>
      </w:pPr>
      <w:r>
        <w:rPr/>
        <w:t>客户服务电话</w:t>
      </w:r>
      <w:r>
        <w:rPr>
          <w:spacing w:val="-2"/>
        </w:rPr>
        <w:t>：020-89629066 </w:t>
      </w:r>
      <w:r>
        <w:rPr/>
        <w:t>传真：020-89629011</w:t>
      </w:r>
    </w:p>
    <w:p>
      <w:pPr>
        <w:pStyle w:val="BodyText"/>
        <w:spacing w:line="268" w:lineRule="exact"/>
      </w:pPr>
      <w:hyperlink r:id="rId240">
        <w:r>
          <w:rPr/>
          <w:t>网址：www.yingmi.cn</w:t>
        </w:r>
      </w:hyperlink>
    </w:p>
    <w:p>
      <w:pPr>
        <w:pStyle w:val="ListParagraph"/>
        <w:numPr>
          <w:ilvl w:val="0"/>
          <w:numId w:val="10"/>
        </w:numPr>
        <w:tabs>
          <w:tab w:pos="1134" w:val="left" w:leader="none"/>
        </w:tabs>
        <w:spacing w:line="240" w:lineRule="auto" w:before="139" w:after="0"/>
        <w:ind w:left="1134" w:right="0" w:hanging="421"/>
        <w:jc w:val="left"/>
        <w:rPr>
          <w:sz w:val="21"/>
        </w:rPr>
      </w:pPr>
      <w:r>
        <w:rPr>
          <w:sz w:val="21"/>
        </w:rPr>
        <w:t>中信期货</w:t>
      </w:r>
    </w:p>
    <w:p>
      <w:pPr>
        <w:pStyle w:val="BodyText"/>
        <w:spacing w:before="139"/>
      </w:pPr>
      <w:r>
        <w:rPr/>
        <w:t>注册地址：广东省深圳市福田区中心三路 8 号卓越时代广场（二期）北座 13 层 1301-1305</w:t>
      </w:r>
    </w:p>
    <w:p>
      <w:pPr>
        <w:pStyle w:val="BodyText"/>
        <w:spacing w:before="140"/>
        <w:ind w:left="293"/>
      </w:pPr>
      <w:r>
        <w:rPr/>
        <w:t>室、14 层</w:t>
      </w:r>
    </w:p>
    <w:p>
      <w:pPr>
        <w:pStyle w:val="BodyText"/>
        <w:spacing w:before="139"/>
      </w:pPr>
      <w:r>
        <w:rPr/>
        <w:t>办公地址：深圳市福田区中心三路 8 号卓越时代广场（二期）北座 13 层 1301-1305 室、14</w:t>
      </w:r>
    </w:p>
    <w:p>
      <w:pPr>
        <w:pStyle w:val="BodyText"/>
        <w:spacing w:before="140"/>
        <w:ind w:left="293"/>
      </w:pPr>
      <w:r>
        <w:rPr/>
        <w:t>层</w:t>
      </w:r>
    </w:p>
    <w:p>
      <w:pPr>
        <w:pStyle w:val="BodyText"/>
        <w:spacing w:line="364" w:lineRule="auto" w:before="139"/>
        <w:ind w:right="7631"/>
      </w:pPr>
      <w:r>
        <w:rPr/>
        <w:t>法定代表人：张皓联系人：刘宏莹</w:t>
      </w:r>
    </w:p>
    <w:p>
      <w:pPr>
        <w:pStyle w:val="BodyText"/>
        <w:spacing w:line="268" w:lineRule="exact"/>
      </w:pPr>
      <w:r>
        <w:rPr/>
        <w:t>联系电话：010-6083 3754</w:t>
      </w:r>
    </w:p>
    <w:p>
      <w:pPr>
        <w:pStyle w:val="BodyText"/>
        <w:spacing w:line="364" w:lineRule="auto" w:before="140"/>
        <w:ind w:right="6581"/>
      </w:pPr>
      <w:r>
        <w:rPr/>
        <w:t>客户服务电话：400-990-8826 传真：021-60819988</w:t>
      </w:r>
    </w:p>
    <w:p>
      <w:pPr>
        <w:pStyle w:val="BodyText"/>
        <w:spacing w:line="268" w:lineRule="exact"/>
      </w:pPr>
      <w:hyperlink r:id="rId248">
        <w:r>
          <w:rPr/>
          <w:t>网址：www.citicsf.com</w:t>
        </w:r>
      </w:hyperlink>
    </w:p>
    <w:p>
      <w:pPr>
        <w:pStyle w:val="Heading2"/>
        <w:spacing w:before="140"/>
      </w:pPr>
      <w:bookmarkStart w:name="_bookmark11" w:id="12"/>
      <w:bookmarkEnd w:id="12"/>
      <w:r>
        <w:rPr/>
      </w:r>
      <w:r>
        <w:rPr/>
        <w:t>（二）注册登记机构</w:t>
      </w:r>
    </w:p>
    <w:p>
      <w:pPr>
        <w:pStyle w:val="BodyText"/>
        <w:spacing w:before="185"/>
      </w:pPr>
      <w:r>
        <w:rPr/>
        <w:t>易方达基金管理有限公司</w:t>
      </w:r>
    </w:p>
    <w:p>
      <w:pPr>
        <w:pStyle w:val="BodyText"/>
        <w:spacing w:line="364" w:lineRule="auto" w:before="139"/>
        <w:ind w:right="2381"/>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421"/>
      </w:pPr>
      <w:r>
        <w:rPr/>
        <w:t>法定代表人：刘晓艳电 话 ：4008818088 传真：020-38799249</w:t>
      </w:r>
    </w:p>
    <w:p>
      <w:pPr>
        <w:pStyle w:val="BodyText"/>
        <w:spacing w:line="268" w:lineRule="exact"/>
      </w:pPr>
      <w:r>
        <w:rPr/>
        <w:t>联系人：余贤高</w:t>
      </w:r>
    </w:p>
    <w:p>
      <w:pPr>
        <w:spacing w:after="0" w:line="268" w:lineRule="exact"/>
        <w:sectPr>
          <w:pgSz w:w="11910" w:h="16840"/>
          <w:pgMar w:header="0" w:footer="1172" w:top="1580" w:bottom="1440" w:left="1520" w:right="360"/>
        </w:sectPr>
      </w:pPr>
    </w:p>
    <w:p>
      <w:pPr>
        <w:pStyle w:val="Heading2"/>
        <w:spacing w:before="107"/>
      </w:pPr>
      <w:bookmarkStart w:name="_bookmark12" w:id="13"/>
      <w:bookmarkEnd w:id="13"/>
      <w:r>
        <w:rPr/>
      </w:r>
      <w:r>
        <w:rPr/>
        <w:t>（三）律师事务所和经办律师</w:t>
      </w:r>
    </w:p>
    <w:p>
      <w:pPr>
        <w:pStyle w:val="BodyText"/>
        <w:spacing w:before="185"/>
      </w:pPr>
      <w:r>
        <w:rPr/>
        <w:t>律师事务所：北京市天元律师事务所</w:t>
      </w:r>
    </w:p>
    <w:p>
      <w:pPr>
        <w:pStyle w:val="BodyText"/>
        <w:spacing w:line="364" w:lineRule="auto" w:before="139"/>
        <w:ind w:right="4061"/>
      </w:pPr>
      <w:r>
        <w:rPr>
          <w:spacing w:val="-4"/>
        </w:rPr>
        <w:t>地址：北京市西城区丰盛胡同 </w:t>
      </w:r>
      <w:r>
        <w:rPr/>
        <w:t>28</w:t>
      </w:r>
      <w:r>
        <w:rPr>
          <w:spacing w:val="-13"/>
        </w:rPr>
        <w:t> 号太平洋保险大厦 </w:t>
      </w:r>
      <w:r>
        <w:rPr/>
        <w:t>10</w:t>
      </w:r>
      <w:r>
        <w:rPr>
          <w:spacing w:val="-35"/>
        </w:rPr>
        <w:t> 层</w:t>
      </w:r>
      <w:r>
        <w:rPr/>
        <w:t>负责人：王立华</w:t>
      </w:r>
    </w:p>
    <w:p>
      <w:pPr>
        <w:pStyle w:val="BodyText"/>
        <w:spacing w:line="364" w:lineRule="auto"/>
        <w:ind w:right="7421"/>
      </w:pPr>
      <w:r>
        <w:rPr/>
        <w:t>电话：010-88092188 传真：010-88092150</w:t>
      </w:r>
    </w:p>
    <w:p>
      <w:pPr>
        <w:pStyle w:val="BodyText"/>
        <w:spacing w:line="364" w:lineRule="auto"/>
        <w:ind w:right="6791"/>
      </w:pPr>
      <w:r>
        <w:rPr/>
        <w:t>经办律师：王振强、高爱国联系人：王立华</w:t>
      </w:r>
    </w:p>
    <w:p>
      <w:pPr>
        <w:pStyle w:val="Heading2"/>
      </w:pPr>
      <w:bookmarkStart w:name="_bookmark13" w:id="14"/>
      <w:bookmarkEnd w:id="14"/>
      <w:r>
        <w:rPr/>
      </w:r>
      <w:r>
        <w:rPr/>
        <w:t>（四）会计师事务所和经办注册会计师</w:t>
      </w:r>
    </w:p>
    <w:p>
      <w:pPr>
        <w:pStyle w:val="BodyText"/>
        <w:spacing w:before="183"/>
      </w:pPr>
      <w:r>
        <w:rPr/>
        <w:t>会计师事务所：安永华明会计师事务所（特殊普通合伙）</w:t>
      </w:r>
    </w:p>
    <w:p>
      <w:pPr>
        <w:pStyle w:val="BodyText"/>
        <w:spacing w:line="364" w:lineRule="auto" w:before="140"/>
        <w:ind w:right="2276"/>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执行事务合伙人：TonyMao</w:t>
      </w:r>
      <w:r>
        <w:rPr>
          <w:spacing w:val="-14"/>
        </w:rPr>
        <w:t> 毛鞍宁</w:t>
      </w:r>
    </w:p>
    <w:p>
      <w:pPr>
        <w:pStyle w:val="BodyText"/>
        <w:spacing w:line="364" w:lineRule="auto"/>
        <w:ind w:right="7421"/>
      </w:pPr>
      <w:r>
        <w:rPr/>
        <w:t>电话：010-58153000 传真：010-85188298</w:t>
      </w:r>
    </w:p>
    <w:p>
      <w:pPr>
        <w:pStyle w:val="BodyText"/>
        <w:spacing w:line="364" w:lineRule="auto"/>
        <w:ind w:right="6581"/>
      </w:pPr>
      <w:r>
        <w:rPr/>
        <w:t>经办注册会计师：赵雅、马婧联系人：赵雅</w:t>
      </w:r>
    </w:p>
    <w:p>
      <w:pPr>
        <w:spacing w:after="0" w:line="364" w:lineRule="auto"/>
        <w:sectPr>
          <w:pgSz w:w="11910" w:h="16840"/>
          <w:pgMar w:header="0" w:footer="1172" w:top="1580" w:bottom="1440" w:left="1520" w:right="360"/>
        </w:sectPr>
      </w:pPr>
    </w:p>
    <w:p>
      <w:pPr>
        <w:pStyle w:val="Heading1"/>
        <w:ind w:left="2582"/>
      </w:pPr>
      <w:bookmarkStart w:name="_bookmark14" w:id="15"/>
      <w:bookmarkEnd w:id="15"/>
      <w:r>
        <w:rPr>
          <w:b w:val="0"/>
        </w:rPr>
      </w:r>
      <w:r>
        <w:rPr/>
        <w:t>六、基金份额的申购、赎回和转换</w:t>
      </w:r>
    </w:p>
    <w:p>
      <w:pPr>
        <w:pStyle w:val="BodyText"/>
        <w:spacing w:line="364" w:lineRule="auto" w:before="117"/>
        <w:ind w:left="293" w:right="936" w:firstLine="420"/>
        <w:jc w:val="both"/>
      </w:pPr>
      <w:r>
        <w:rPr>
          <w:spacing w:val="3"/>
        </w:rPr>
        <w:t>本基金根据所收取费用的差异，将基金份额分为不同的类别。在投资人申购基金时收取申</w:t>
      </w:r>
      <w:r>
        <w:rPr>
          <w:spacing w:val="1"/>
        </w:rPr>
        <w:t>购费用，并不再从本类别基金资产中计提销售服务费的基金份额，称为 </w:t>
      </w:r>
      <w:r>
        <w:rPr/>
        <w:t>A</w:t>
      </w:r>
      <w:r>
        <w:rPr>
          <w:spacing w:val="-4"/>
        </w:rPr>
        <w:t> 类基金份额；从本类</w:t>
      </w:r>
      <w:r>
        <w:rPr>
          <w:spacing w:val="1"/>
        </w:rPr>
        <w:t>基金资产中计提销售服务费，并不收取申购费用的基金份额，称为 </w:t>
      </w:r>
      <w:r>
        <w:rPr/>
        <w:t>C</w:t>
      </w:r>
      <w:r>
        <w:rPr>
          <w:spacing w:val="-4"/>
        </w:rPr>
        <w:t> 类基金份额。本基金两类基金份额分别设置代码，分别公布基金份额净值和基金份额累计净值。</w:t>
      </w:r>
    </w:p>
    <w:p>
      <w:pPr>
        <w:pStyle w:val="BodyText"/>
        <w:spacing w:line="364" w:lineRule="auto"/>
        <w:ind w:left="293" w:right="936" w:firstLine="420"/>
      </w:pPr>
      <w:r>
        <w:rPr/>
        <w:t>投资人在申购基金份额时可自行选择基金份额类别。本基金不同基金份额类别之间不得互相转换。</w:t>
      </w:r>
    </w:p>
    <w:p>
      <w:pPr>
        <w:pStyle w:val="Heading2"/>
      </w:pPr>
      <w:bookmarkStart w:name="_bookmark15" w:id="16"/>
      <w:bookmarkEnd w:id="16"/>
      <w:r>
        <w:rPr/>
      </w:r>
      <w:r>
        <w:rPr/>
        <w:t>（一）投资者范围</w:t>
      </w:r>
    </w:p>
    <w:p>
      <w:pPr>
        <w:pStyle w:val="BodyText"/>
        <w:spacing w:line="364" w:lineRule="auto" w:before="183"/>
        <w:ind w:left="293" w:right="936" w:firstLine="420"/>
      </w:pPr>
      <w:r>
        <w:rPr/>
        <w:t>依据中华人民共和国有关法律法规及其他有关规定可以投资于证券投资基金的个人投资者和机构投资者。</w:t>
      </w:r>
    </w:p>
    <w:p>
      <w:pPr>
        <w:pStyle w:val="Heading2"/>
      </w:pPr>
      <w:bookmarkStart w:name="_bookmark16" w:id="17"/>
      <w:bookmarkEnd w:id="17"/>
      <w:r>
        <w:rPr/>
      </w:r>
      <w:r>
        <w:rPr/>
        <w:t>（二）申购、赎回和转换场所</w:t>
      </w:r>
    </w:p>
    <w:p>
      <w:pPr>
        <w:pStyle w:val="BodyText"/>
        <w:spacing w:before="185"/>
      </w:pPr>
      <w:r>
        <w:rPr/>
        <w:t>1、基金管理人的直销中心、网上交易系统(www.efunds.com.cn)；</w:t>
      </w:r>
    </w:p>
    <w:p>
      <w:pPr>
        <w:pStyle w:val="BodyText"/>
        <w:spacing w:line="364" w:lineRule="auto" w:before="139"/>
        <w:ind w:right="2276"/>
      </w:pPr>
      <w:r>
        <w:rPr/>
        <w:t>2、受本公司委托、具有销售本基金资格的销售机构的非直销销售机构网点； 基金管理人可根据情况变更基金销售机构，并在基金管理人网站公示。</w:t>
      </w:r>
    </w:p>
    <w:p>
      <w:pPr>
        <w:pStyle w:val="BodyText"/>
        <w:spacing w:line="364" w:lineRule="auto"/>
        <w:ind w:left="293" w:right="936" w:firstLine="420"/>
      </w:pPr>
      <w:r>
        <w:rPr/>
        <w:t>投资者还可通过基金管理人或者指定的基金销售机构以电话或互联网或其他电子交易方式进行申购、赎回和转换，具体以各销售机构的规定为准。</w:t>
      </w:r>
    </w:p>
    <w:p>
      <w:pPr>
        <w:pStyle w:val="Heading2"/>
      </w:pPr>
      <w:bookmarkStart w:name="_bookmark17" w:id="18"/>
      <w:bookmarkEnd w:id="18"/>
      <w:r>
        <w:rPr/>
      </w:r>
      <w:r>
        <w:rPr/>
        <w:t>（三）申购、赎回和转换的开放日期及办理时间</w:t>
      </w:r>
    </w:p>
    <w:p>
      <w:pPr>
        <w:pStyle w:val="BodyText"/>
        <w:spacing w:line="364" w:lineRule="auto" w:before="184"/>
        <w:ind w:left="293" w:right="936" w:firstLine="420"/>
        <w:jc w:val="both"/>
      </w:pPr>
      <w:r>
        <w:rPr>
          <w:spacing w:val="-10"/>
        </w:rPr>
        <w:t>本基金 </w:t>
      </w:r>
      <w:r>
        <w:rPr/>
        <w:t>A</w:t>
      </w:r>
      <w:r>
        <w:rPr>
          <w:spacing w:val="-8"/>
        </w:rPr>
        <w:t> 类基金份额已于 </w:t>
      </w:r>
      <w:r>
        <w:rPr/>
        <w:t>2004</w:t>
      </w:r>
      <w:r>
        <w:rPr>
          <w:spacing w:val="-34"/>
        </w:rPr>
        <w:t> 年 </w:t>
      </w:r>
      <w:r>
        <w:rPr/>
        <w:t>5</w:t>
      </w:r>
      <w:r>
        <w:rPr>
          <w:spacing w:val="-34"/>
        </w:rPr>
        <w:t> 月 </w:t>
      </w:r>
      <w:r>
        <w:rPr/>
        <w:t>10</w:t>
      </w:r>
      <w:r>
        <w:rPr>
          <w:spacing w:val="-5"/>
        </w:rPr>
        <w:t> 日开始办理日常申购业务，于 </w:t>
      </w:r>
      <w:r>
        <w:rPr/>
        <w:t>2004</w:t>
      </w:r>
      <w:r>
        <w:rPr>
          <w:spacing w:val="-34"/>
        </w:rPr>
        <w:t> 年 </w:t>
      </w:r>
      <w:r>
        <w:rPr/>
        <w:t>5</w:t>
      </w:r>
      <w:r>
        <w:rPr>
          <w:spacing w:val="-34"/>
        </w:rPr>
        <w:t> 月 </w:t>
      </w:r>
      <w:r>
        <w:rPr/>
        <w:t>21</w:t>
      </w:r>
      <w:r>
        <w:rPr>
          <w:spacing w:val="-27"/>
        </w:rPr>
        <w:t> 日</w:t>
      </w:r>
      <w:r>
        <w:rPr>
          <w:spacing w:val="-29"/>
        </w:rPr>
        <w:t>开始办理赎回业务，并于 </w:t>
      </w:r>
      <w:r>
        <w:rPr/>
        <w:t>2004</w:t>
      </w:r>
      <w:r>
        <w:rPr>
          <w:spacing w:val="-31"/>
        </w:rPr>
        <w:t> 年 </w:t>
      </w:r>
      <w:r>
        <w:rPr/>
        <w:t>5</w:t>
      </w:r>
      <w:r>
        <w:rPr>
          <w:spacing w:val="-32"/>
        </w:rPr>
        <w:t> 月 </w:t>
      </w:r>
      <w:r>
        <w:rPr/>
        <w:t>24</w:t>
      </w:r>
      <w:r>
        <w:rPr>
          <w:spacing w:val="-10"/>
        </w:rPr>
        <w:t> 日开始办理转换业务。本基金 </w:t>
      </w:r>
      <w:r>
        <w:rPr/>
        <w:t>C</w:t>
      </w:r>
      <w:r>
        <w:rPr>
          <w:spacing w:val="-12"/>
        </w:rPr>
        <w:t> 类基金份额已于 </w:t>
      </w:r>
      <w:r>
        <w:rPr/>
        <w:t>2017 </w:t>
      </w:r>
      <w:r>
        <w:rPr>
          <w:spacing w:val="-27"/>
        </w:rPr>
        <w:t>年 </w:t>
      </w:r>
      <w:r>
        <w:rPr/>
        <w:t>6</w:t>
      </w:r>
      <w:r>
        <w:rPr>
          <w:spacing w:val="-36"/>
        </w:rPr>
        <w:t> 月 </w:t>
      </w:r>
      <w:r>
        <w:rPr/>
        <w:t>6</w:t>
      </w:r>
      <w:r>
        <w:rPr>
          <w:spacing w:val="-8"/>
        </w:rPr>
        <w:t> 日开放日常申购、赎回和转换业务。</w:t>
      </w:r>
    </w:p>
    <w:p>
      <w:pPr>
        <w:pStyle w:val="BodyText"/>
        <w:spacing w:line="364" w:lineRule="auto"/>
        <w:ind w:left="293" w:right="936" w:firstLine="420"/>
        <w:jc w:val="both"/>
      </w:pPr>
      <w:r>
        <w:rPr/>
        <w:t>申购、赎回和转换的开放日为上海证券交易所、深圳证券交易所的交易日。具体业务办理时间为上海证券交易所、深圳证券交易所的交易时间。若出现新的证券交易市场或交易所交易时间更改或其它原因，基金管理人将视情况进行相应的调整并公告。</w:t>
      </w:r>
    </w:p>
    <w:p>
      <w:pPr>
        <w:pStyle w:val="BodyText"/>
        <w:spacing w:line="364" w:lineRule="auto"/>
        <w:ind w:left="293" w:right="936" w:firstLine="420"/>
      </w:pPr>
      <w:r>
        <w:rPr/>
        <w:t>投资人在基金合同约定之外的日期和时间提出申购、赎回或者转换申请的，其基金份额申购、赎回价格为下次办理基金份额申购、赎回时间所在开放日的价格。</w:t>
      </w:r>
    </w:p>
    <w:p>
      <w:pPr>
        <w:pStyle w:val="Heading2"/>
      </w:pPr>
      <w:bookmarkStart w:name="_bookmark18" w:id="19"/>
      <w:bookmarkEnd w:id="19"/>
      <w:r>
        <w:rPr/>
      </w:r>
      <w:r>
        <w:rPr/>
        <w:t>（四）申购、赎回和转换的原则</w:t>
      </w:r>
    </w:p>
    <w:p>
      <w:pPr>
        <w:pStyle w:val="BodyText"/>
        <w:spacing w:line="364" w:lineRule="auto" w:before="182"/>
        <w:ind w:left="293" w:right="936" w:firstLine="420"/>
        <w:jc w:val="both"/>
      </w:pPr>
      <w:r>
        <w:rPr/>
        <w:t>1、未知价原则，即本基金的申购与赎回价格以受理申请当日收市后计算的各类基金份额净值为基准进行计算，其中：C</w:t>
      </w:r>
      <w:r>
        <w:rPr>
          <w:spacing w:val="-11"/>
        </w:rPr>
        <w:t> 类基金份额首笔申购当日的申购价格为当日 </w:t>
      </w:r>
      <w:r>
        <w:rPr/>
        <w:t>A</w:t>
      </w:r>
      <w:r>
        <w:rPr>
          <w:spacing w:val="-8"/>
        </w:rPr>
        <w:t> 类基金份额的基金份额净值；转换价格以转换申请提出当日有关转出、转入基金的基金份额净值为基准进行计算；</w:t>
      </w:r>
    </w:p>
    <w:p>
      <w:pPr>
        <w:pStyle w:val="BodyText"/>
        <w:spacing w:line="364" w:lineRule="auto"/>
        <w:ind w:left="293" w:right="936" w:firstLine="420"/>
      </w:pPr>
      <w:r>
        <w:rPr/>
        <w:t>2、本基金采用金额申购、份额赎回、份额转换原则，即申购以金额申请，赎回和转换以份额申请；</w:t>
      </w:r>
    </w:p>
    <w:p>
      <w:pPr>
        <w:spacing w:after="0" w:line="364" w:lineRule="auto"/>
        <w:sectPr>
          <w:pgSz w:w="11910" w:h="16840"/>
          <w:pgMar w:header="0" w:footer="1172" w:top="1580" w:bottom="1440" w:left="1520" w:right="360"/>
        </w:sectPr>
      </w:pPr>
    </w:p>
    <w:p>
      <w:pPr>
        <w:pStyle w:val="BodyText"/>
        <w:spacing w:line="364" w:lineRule="auto" w:before="106"/>
        <w:ind w:left="293" w:right="936" w:firstLine="420"/>
        <w:jc w:val="both"/>
      </w:pPr>
      <w:r>
        <w:rPr/>
        <w:t>3</w:t>
      </w:r>
      <w:r>
        <w:rPr>
          <w:spacing w:val="4"/>
        </w:rPr>
        <w:t>、基金份额持有人赎回或转换时，基金管理人按先进先出的原则（除指定赎回外</w:t>
      </w:r>
      <w:r>
        <w:rPr>
          <w:spacing w:val="-101"/>
        </w:rPr>
        <w:t>）</w:t>
      </w:r>
      <w:r>
        <w:rPr>
          <w:spacing w:val="2"/>
        </w:rPr>
        <w:t>，对该</w:t>
      </w:r>
      <w:r>
        <w:rPr>
          <w:spacing w:val="9"/>
        </w:rPr>
        <w:t>持有人账户在该销售机构托管的基金份额进行处理，即注册日期在先的基金份额先赎回或转</w:t>
      </w:r>
      <w:r>
        <w:rPr>
          <w:spacing w:val="3"/>
        </w:rPr>
        <w:t>出，注册日期在后的基金份额后赎回或转出；如果转换申请当日，同时有赎回和转换申请的情况下，则遵循先赎回后转换的处理原则；</w:t>
      </w:r>
    </w:p>
    <w:p>
      <w:pPr>
        <w:pStyle w:val="BodyText"/>
        <w:spacing w:line="364" w:lineRule="auto"/>
        <w:ind w:left="293" w:right="936" w:firstLine="420"/>
      </w:pPr>
      <w:r>
        <w:rPr/>
        <w:t>4、投资者办理基金转换业务时，转出方的基金必须处于可赎回状态，转入方的基金必须处于可申购状态；</w:t>
      </w:r>
    </w:p>
    <w:p>
      <w:pPr>
        <w:pStyle w:val="BodyText"/>
        <w:spacing w:line="364" w:lineRule="auto"/>
        <w:ind w:left="293" w:right="936" w:firstLine="420"/>
      </w:pPr>
      <w:r>
        <w:rPr/>
        <w:t>5、基金转换后，转入的基金份额的持有期将自转入的基金份额被确认之日起重新开始计算；</w:t>
      </w:r>
    </w:p>
    <w:p>
      <w:pPr>
        <w:pStyle w:val="BodyText"/>
        <w:spacing w:line="364" w:lineRule="auto"/>
        <w:ind w:left="293" w:right="936" w:firstLine="420"/>
      </w:pPr>
      <w:r>
        <w:rPr/>
        <w:t>6、当日的申购、赎回和转换申请可以在当日交易结束时间前撤销，在当日的交易时间结束后不得撤销；</w:t>
      </w:r>
    </w:p>
    <w:p>
      <w:pPr>
        <w:pStyle w:val="BodyText"/>
        <w:spacing w:line="364" w:lineRule="auto"/>
        <w:ind w:left="293" w:right="936" w:firstLine="420"/>
      </w:pPr>
      <w:r>
        <w:rPr/>
        <w:t>7、基金管理人在不损害基金份额持有人权益的情况下可更改上述原则，但应最迟在新的原则实施前三个工作日予以公告。</w:t>
      </w:r>
    </w:p>
    <w:p>
      <w:pPr>
        <w:pStyle w:val="Heading2"/>
      </w:pPr>
      <w:bookmarkStart w:name="_bookmark19" w:id="20"/>
      <w:bookmarkEnd w:id="20"/>
      <w:r>
        <w:rPr/>
      </w:r>
      <w:r>
        <w:rPr/>
        <w:t>（五）申购、赎回和转换的程序</w:t>
      </w:r>
    </w:p>
    <w:p>
      <w:pPr>
        <w:pStyle w:val="BodyText"/>
        <w:spacing w:before="180"/>
      </w:pPr>
      <w:r>
        <w:rPr/>
        <w:t>1、申购、赎回和转换的申请方式</w:t>
      </w:r>
    </w:p>
    <w:p>
      <w:pPr>
        <w:pStyle w:val="BodyText"/>
        <w:spacing w:line="364" w:lineRule="auto" w:before="140"/>
        <w:ind w:left="293" w:right="936" w:firstLine="420"/>
      </w:pPr>
      <w:r>
        <w:rPr/>
        <w:t>基金投资者必须根据基金管理人和基金销售机构规定的手续，在开放日的业务办理时间内提出申购、赎回和转换的申请。</w:t>
      </w:r>
    </w:p>
    <w:p>
      <w:pPr>
        <w:pStyle w:val="BodyText"/>
        <w:spacing w:line="364" w:lineRule="auto"/>
        <w:ind w:left="293" w:right="936" w:firstLine="420"/>
      </w:pPr>
      <w:r>
        <w:rPr/>
        <w:t>投资者在提交申购申请时，须按销售机构规定的方式备足申购资金；提交赎回和转换申请时,账户中必须有足够的基金份额余额。</w:t>
      </w:r>
    </w:p>
    <w:p>
      <w:pPr>
        <w:pStyle w:val="BodyText"/>
        <w:spacing w:line="268" w:lineRule="exact"/>
      </w:pPr>
      <w:r>
        <w:rPr/>
        <w:t>2、申购、赎回和转换申请的确认与通知</w:t>
      </w:r>
    </w:p>
    <w:p>
      <w:pPr>
        <w:pStyle w:val="BodyText"/>
        <w:spacing w:line="364" w:lineRule="auto" w:before="138"/>
        <w:ind w:left="293" w:right="936" w:firstLine="420"/>
        <w:jc w:val="both"/>
      </w:pPr>
      <w:r>
        <w:rPr/>
        <w:t>基金管理人应当于受理基金投资人申购、赎回申请之日起三个工作日内,对申请的有效性进行确认。正常情况下，投资者可在T+2工作日及之后到其提出申请的网点或按销售机构规定的其他方式进行成交查询。</w:t>
      </w:r>
    </w:p>
    <w:p>
      <w:pPr>
        <w:pStyle w:val="BodyText"/>
        <w:spacing w:line="268" w:lineRule="exact"/>
      </w:pPr>
      <w:r>
        <w:rPr/>
        <w:t>3、申购、赎回款项和转换份额的支付方式与时间</w:t>
      </w:r>
    </w:p>
    <w:p>
      <w:pPr>
        <w:pStyle w:val="BodyText"/>
        <w:spacing w:line="364" w:lineRule="auto" w:before="140"/>
        <w:ind w:left="293" w:right="936" w:firstLine="420"/>
      </w:pPr>
      <w:r>
        <w:rPr/>
        <w:t>申购采用全额缴款方式,若资金在规定时间内未全额到账则申购不成功。若申购不成功或无效，投资者已缴付的申购款项本金将退还给投资者。</w:t>
      </w:r>
    </w:p>
    <w:p>
      <w:pPr>
        <w:pStyle w:val="BodyText"/>
        <w:spacing w:line="364" w:lineRule="auto"/>
        <w:ind w:left="293" w:right="936" w:firstLine="420"/>
        <w:jc w:val="both"/>
      </w:pPr>
      <w:r>
        <w:rPr>
          <w:spacing w:val="2"/>
        </w:rPr>
        <w:t>投资者赎回申请成功后，赎回金额将由基金管理人通常在 </w:t>
      </w:r>
      <w:r>
        <w:rPr/>
        <w:t>T＋3</w:t>
      </w:r>
      <w:r>
        <w:rPr>
          <w:spacing w:val="-8"/>
        </w:rPr>
        <w:t> 个工作日但不超过 </w:t>
      </w:r>
      <w:r>
        <w:rPr/>
        <w:t>T＋7</w:t>
      </w:r>
      <w:r>
        <w:rPr>
          <w:spacing w:val="-26"/>
        </w:rPr>
        <w:t> 个工作日之内从基金托管人划出。正常情况下，转换申请注册登记机构于 </w:t>
      </w:r>
      <w:r>
        <w:rPr/>
        <w:t>T＋1</w:t>
      </w:r>
      <w:r>
        <w:rPr>
          <w:spacing w:val="-6"/>
        </w:rPr>
        <w:t> 工作日确认，转入</w:t>
      </w:r>
      <w:r>
        <w:rPr>
          <w:spacing w:val="-11"/>
        </w:rPr>
        <w:t>份额于 </w:t>
      </w:r>
      <w:r>
        <w:rPr/>
        <w:t>T＋2</w:t>
      </w:r>
      <w:r>
        <w:rPr>
          <w:spacing w:val="-6"/>
        </w:rPr>
        <w:t> 工作日可进行赎回。在发生巨额赎回并延期支付时，款项和份额的支付办法参照有关巨额赎回的条款处理。</w:t>
      </w:r>
    </w:p>
    <w:p>
      <w:pPr>
        <w:pStyle w:val="Heading2"/>
        <w:spacing w:line="358" w:lineRule="exact"/>
      </w:pPr>
      <w:bookmarkStart w:name="_bookmark20" w:id="21"/>
      <w:bookmarkEnd w:id="21"/>
      <w:r>
        <w:rPr/>
      </w:r>
      <w:r>
        <w:rPr/>
        <w:t>（六）申购、赎回和转换的数额限制</w:t>
      </w:r>
    </w:p>
    <w:p>
      <w:pPr>
        <w:pStyle w:val="BodyText"/>
        <w:spacing w:before="183"/>
      </w:pPr>
      <w:r>
        <w:rPr/>
        <w:t>1、申请申购基金的金额限制</w:t>
      </w:r>
    </w:p>
    <w:p>
      <w:pPr>
        <w:pStyle w:val="BodyText"/>
        <w:spacing w:before="140"/>
      </w:pPr>
      <w:r>
        <w:rPr/>
        <w:t>投资者通过直销中心首次申购的单笔最低金额为50000元人民币，追加申购单笔最低金额为</w:t>
      </w:r>
    </w:p>
    <w:p>
      <w:pPr>
        <w:spacing w:after="0"/>
        <w:sectPr>
          <w:pgSz w:w="11910" w:h="16840"/>
          <w:pgMar w:header="0" w:footer="1172" w:top="1580" w:bottom="1440" w:left="1520" w:right="360"/>
        </w:sectPr>
      </w:pPr>
    </w:p>
    <w:p>
      <w:pPr>
        <w:pStyle w:val="BodyText"/>
        <w:spacing w:line="364" w:lineRule="auto" w:before="106"/>
        <w:ind w:left="293" w:right="936"/>
        <w:jc w:val="both"/>
      </w:pPr>
      <w:r>
        <w:rPr/>
        <w:t>1000元人民币；通过非直销销售机构或本公司网上交易系统首次申购的单笔最低金额为1元人民币，追加申购单笔最低金额为1元人民币。在符合法律法规规定的前提下，各销售机构对最低申购限额及交易级差有其他规定的,需同时遵循该销售机构的相关规定。（以上金额均含申购费）</w:t>
      </w:r>
    </w:p>
    <w:p>
      <w:pPr>
        <w:pStyle w:val="BodyText"/>
        <w:spacing w:line="364" w:lineRule="auto"/>
        <w:ind w:left="293" w:right="936" w:firstLine="420"/>
      </w:pPr>
      <w:r>
        <w:rPr/>
        <w:t>已在直销中心有认购本基金记录的投资者不受首次申购最低金额的限制，但受追加申购最低金额的限制。</w:t>
      </w:r>
    </w:p>
    <w:p>
      <w:pPr>
        <w:pStyle w:val="BodyText"/>
        <w:spacing w:line="364" w:lineRule="auto"/>
        <w:ind w:left="293" w:right="936" w:firstLine="420"/>
      </w:pPr>
      <w:r>
        <w:rPr/>
        <w:t>投资者将当期分配的基金收益转购基金份额或采用定期定额投资计划时，不受最低申购金额的限制。</w:t>
      </w:r>
    </w:p>
    <w:p>
      <w:pPr>
        <w:pStyle w:val="BodyText"/>
        <w:spacing w:line="364" w:lineRule="auto"/>
        <w:ind w:left="293" w:right="936" w:firstLine="420"/>
        <w:jc w:val="both"/>
      </w:pPr>
      <w:r>
        <w:rPr/>
        <w:t>投资者可多次申购，对单个投资者累计持有份额不设上限限制。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国证监会另有规定的除外。</w:t>
      </w:r>
    </w:p>
    <w:p>
      <w:pPr>
        <w:pStyle w:val="BodyText"/>
        <w:spacing w:line="266" w:lineRule="exact"/>
      </w:pPr>
      <w:r>
        <w:rPr/>
        <w:t>2、申请赎回、转换基金的份额限制</w:t>
      </w:r>
    </w:p>
    <w:p>
      <w:pPr>
        <w:pStyle w:val="BodyText"/>
        <w:spacing w:line="364" w:lineRule="auto" w:before="136"/>
        <w:ind w:left="293" w:right="936" w:firstLine="420"/>
        <w:jc w:val="both"/>
      </w:pPr>
      <w:r>
        <w:rPr/>
        <w:t>投资者可将其全部或部分基金份额赎回或转换。每类基金份额单笔赎回或转换不得少于1 份,在符合法律法规规定的前提下，各销售机构对赎回、转换份额限制有其他规定的,需同时遵循该销售机构的相关规定；若某笔赎回或转换将导致投资者在销售机构托管的该类基金份额余额不足1份时，基金管理人有权将投资者在该销售机构托管的该类基金份额剩余份额一次性全部赎回。在符合法律法规规定的前提下，各销售机构对赎回份额限制有其他规定的，需同时遵循该销售机构的相关规定。</w:t>
      </w:r>
    </w:p>
    <w:p>
      <w:pPr>
        <w:pStyle w:val="BodyText"/>
        <w:spacing w:line="364" w:lineRule="auto"/>
        <w:ind w:left="293" w:right="936" w:firstLine="420"/>
      </w:pPr>
      <w:r>
        <w:rPr/>
        <w:t>基金管理人可根据市场情况制定或调整上述申购、赎回和转换的程序及有关限制,或者新增基金规模控制措施，但应最迟在调整生效前三个工作日在中国证监会指定的媒介公告。</w:t>
      </w:r>
    </w:p>
    <w:p>
      <w:pPr>
        <w:pStyle w:val="Heading2"/>
      </w:pPr>
      <w:bookmarkStart w:name="_bookmark21" w:id="22"/>
      <w:bookmarkEnd w:id="22"/>
      <w:r>
        <w:rPr/>
      </w:r>
      <w:r>
        <w:rPr/>
        <w:t>（七）申购份额、赎回金额和转换份额的计算方式</w:t>
      </w:r>
    </w:p>
    <w:p>
      <w:pPr>
        <w:pStyle w:val="BodyText"/>
        <w:spacing w:before="182"/>
      </w:pPr>
      <w:r>
        <w:rPr/>
        <w:t>1、申购份额的计算</w:t>
      </w:r>
    </w:p>
    <w:p>
      <w:pPr>
        <w:pStyle w:val="BodyText"/>
        <w:spacing w:before="140"/>
      </w:pPr>
      <w:r>
        <w:rPr/>
        <w:t>（1）A</w:t>
      </w:r>
      <w:r>
        <w:rPr>
          <w:spacing w:val="-10"/>
        </w:rPr>
        <w:t> 类基金份额</w:t>
      </w:r>
    </w:p>
    <w:p>
      <w:pPr>
        <w:pStyle w:val="BodyText"/>
        <w:spacing w:line="364" w:lineRule="auto" w:before="139"/>
        <w:ind w:right="3692"/>
      </w:pPr>
      <w:r>
        <w:rPr/>
        <w:t>A</w:t>
      </w:r>
      <w:r>
        <w:rPr>
          <w:spacing w:val="-9"/>
        </w:rPr>
        <w:t> 类基金份额的申购金额包括申购费用和净申购金额，其中： </w:t>
      </w:r>
      <w:r>
        <w:rPr/>
        <w:t>申购费用=申购金额/（1＋申购费率）×申购费率</w:t>
      </w:r>
    </w:p>
    <w:p>
      <w:pPr>
        <w:pStyle w:val="BodyText"/>
        <w:spacing w:line="268" w:lineRule="exact"/>
      </w:pPr>
      <w:r>
        <w:rPr/>
        <w:t>净申购金额=申购金额-申购费用</w:t>
      </w:r>
    </w:p>
    <w:p>
      <w:pPr>
        <w:pStyle w:val="BodyText"/>
        <w:spacing w:line="364" w:lineRule="auto" w:before="140"/>
        <w:ind w:right="4364"/>
      </w:pPr>
      <w:r>
        <w:rPr/>
        <w:t>申购份数=净申购金额÷T 日该类份额的基金份额净值举例说明：</w:t>
      </w:r>
    </w:p>
    <w:p>
      <w:pPr>
        <w:pStyle w:val="BodyText"/>
        <w:spacing w:line="268" w:lineRule="exact"/>
      </w:pPr>
      <w:r>
        <w:rPr/>
        <w:t>通过基金管理人的直销中心申购本基金 A 类基金份额的特定投资群体：</w:t>
      </w:r>
    </w:p>
    <w:p>
      <w:pPr>
        <w:pStyle w:val="BodyText"/>
        <w:spacing w:before="10"/>
        <w:ind w:left="0"/>
        <w:rPr>
          <w:sz w:val="11"/>
        </w:rPr>
      </w:pPr>
    </w:p>
    <w:tbl>
      <w:tblPr>
        <w:tblW w:w="0" w:type="auto"/>
        <w:jc w:val="left"/>
        <w:tblInd w:w="153"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423"/>
        <w:gridCol w:w="1260"/>
        <w:gridCol w:w="1602"/>
        <w:gridCol w:w="1811"/>
        <w:gridCol w:w="1548"/>
        <w:gridCol w:w="1785"/>
      </w:tblGrid>
      <w:tr>
        <w:trPr>
          <w:trHeight w:val="423" w:hRule="atLeast"/>
        </w:trPr>
        <w:tc>
          <w:tcPr>
            <w:tcW w:w="1423" w:type="dxa"/>
            <w:tcBorders>
              <w:bottom w:val="thinThickMediumGap" w:sz="6" w:space="0" w:color="808080"/>
              <w:right w:val="thinThickMediumGap" w:sz="6" w:space="0" w:color="808080"/>
            </w:tcBorders>
          </w:tcPr>
          <w:p>
            <w:pPr>
              <w:pStyle w:val="TableParagraph"/>
              <w:spacing w:before="10"/>
              <w:ind w:left="284"/>
              <w:rPr>
                <w:sz w:val="21"/>
              </w:rPr>
            </w:pPr>
            <w:r>
              <w:rPr>
                <w:sz w:val="21"/>
              </w:rPr>
              <w:t>申购金额</w:t>
            </w:r>
          </w:p>
        </w:tc>
        <w:tc>
          <w:tcPr>
            <w:tcW w:w="1260" w:type="dxa"/>
            <w:tcBorders>
              <w:bottom w:val="thinThickMediumGap" w:sz="6" w:space="0" w:color="808080"/>
              <w:right w:val="thinThickMediumGap" w:sz="6" w:space="0" w:color="808080"/>
            </w:tcBorders>
          </w:tcPr>
          <w:p>
            <w:pPr>
              <w:pStyle w:val="TableParagraph"/>
              <w:spacing w:before="10"/>
              <w:ind w:left="202"/>
              <w:rPr>
                <w:sz w:val="21"/>
              </w:rPr>
            </w:pPr>
            <w:r>
              <w:rPr>
                <w:sz w:val="21"/>
              </w:rPr>
              <w:t>申购费率</w:t>
            </w:r>
          </w:p>
        </w:tc>
        <w:tc>
          <w:tcPr>
            <w:tcW w:w="1602" w:type="dxa"/>
            <w:tcBorders>
              <w:bottom w:val="thinThickMediumGap" w:sz="6" w:space="0" w:color="808080"/>
              <w:right w:val="thinThickMediumGap" w:sz="6" w:space="0" w:color="808080"/>
            </w:tcBorders>
          </w:tcPr>
          <w:p>
            <w:pPr>
              <w:pStyle w:val="TableParagraph"/>
              <w:spacing w:before="10"/>
              <w:ind w:left="478"/>
              <w:rPr>
                <w:sz w:val="21"/>
              </w:rPr>
            </w:pPr>
            <w:r>
              <w:rPr>
                <w:sz w:val="21"/>
              </w:rPr>
              <w:t>申购费</w:t>
            </w:r>
          </w:p>
        </w:tc>
        <w:tc>
          <w:tcPr>
            <w:tcW w:w="1811" w:type="dxa"/>
            <w:tcBorders>
              <w:bottom w:val="thinThickMediumGap" w:sz="6" w:space="0" w:color="808080"/>
              <w:right w:val="thinThickMediumGap" w:sz="6" w:space="0" w:color="808080"/>
            </w:tcBorders>
          </w:tcPr>
          <w:p>
            <w:pPr>
              <w:pStyle w:val="TableParagraph"/>
              <w:spacing w:before="10"/>
              <w:ind w:left="373"/>
              <w:rPr>
                <w:sz w:val="21"/>
              </w:rPr>
            </w:pPr>
            <w:r>
              <w:rPr>
                <w:sz w:val="21"/>
              </w:rPr>
              <w:t>净申购金额</w:t>
            </w:r>
          </w:p>
        </w:tc>
        <w:tc>
          <w:tcPr>
            <w:tcW w:w="1548" w:type="dxa"/>
            <w:tcBorders>
              <w:bottom w:val="thinThickMediumGap" w:sz="6" w:space="0" w:color="808080"/>
              <w:right w:val="thinThickMediumGap" w:sz="6" w:space="0" w:color="808080"/>
            </w:tcBorders>
          </w:tcPr>
          <w:p>
            <w:pPr>
              <w:pStyle w:val="TableParagraph"/>
              <w:spacing w:before="10"/>
              <w:ind w:left="136"/>
              <w:rPr>
                <w:sz w:val="21"/>
              </w:rPr>
            </w:pPr>
            <w:r>
              <w:rPr>
                <w:sz w:val="21"/>
              </w:rPr>
              <w:t>基金份额净值</w:t>
            </w:r>
          </w:p>
        </w:tc>
        <w:tc>
          <w:tcPr>
            <w:tcW w:w="1785" w:type="dxa"/>
            <w:tcBorders>
              <w:bottom w:val="thinThickMediumGap" w:sz="6" w:space="0" w:color="808080"/>
              <w:right w:val="thinThickMediumGap" w:sz="6" w:space="0" w:color="808080"/>
            </w:tcBorders>
          </w:tcPr>
          <w:p>
            <w:pPr>
              <w:pStyle w:val="TableParagraph"/>
              <w:spacing w:before="10"/>
              <w:ind w:left="465"/>
              <w:rPr>
                <w:sz w:val="21"/>
              </w:rPr>
            </w:pPr>
            <w:r>
              <w:rPr>
                <w:sz w:val="21"/>
              </w:rPr>
              <w:t>申购份数</w:t>
            </w:r>
          </w:p>
        </w:tc>
      </w:tr>
    </w:tbl>
    <w:p>
      <w:pPr>
        <w:spacing w:after="0"/>
        <w:rPr>
          <w:sz w:val="21"/>
        </w:rPr>
        <w:sectPr>
          <w:pgSz w:w="11910" w:h="16840"/>
          <w:pgMar w:header="0" w:footer="1172" w:top="1580" w:bottom="1440" w:left="1520" w:right="360"/>
        </w:sectPr>
      </w:pPr>
    </w:p>
    <w:p>
      <w:pPr>
        <w:pStyle w:val="BodyText"/>
        <w:spacing w:before="2"/>
        <w:ind w:left="0"/>
        <w:rPr>
          <w:sz w:val="9"/>
        </w:rPr>
      </w:pPr>
    </w:p>
    <w:tbl>
      <w:tblPr>
        <w:tblW w:w="0" w:type="auto"/>
        <w:jc w:val="left"/>
        <w:tblInd w:w="153"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423"/>
        <w:gridCol w:w="1260"/>
        <w:gridCol w:w="1602"/>
        <w:gridCol w:w="1811"/>
        <w:gridCol w:w="1548"/>
        <w:gridCol w:w="1785"/>
      </w:tblGrid>
      <w:tr>
        <w:trPr>
          <w:trHeight w:val="423" w:hRule="atLeast"/>
        </w:trPr>
        <w:tc>
          <w:tcPr>
            <w:tcW w:w="1423"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50,000 元</w:t>
            </w:r>
          </w:p>
        </w:tc>
        <w:tc>
          <w:tcPr>
            <w:tcW w:w="1260" w:type="dxa"/>
            <w:tcBorders>
              <w:bottom w:val="thinThickMediumGap" w:sz="6" w:space="0" w:color="808080"/>
              <w:right w:val="thinThickMediumGap" w:sz="6" w:space="0" w:color="808080"/>
            </w:tcBorders>
          </w:tcPr>
          <w:p>
            <w:pPr>
              <w:pStyle w:val="TableParagraph"/>
              <w:spacing w:before="10"/>
              <w:ind w:right="119"/>
              <w:jc w:val="right"/>
              <w:rPr>
                <w:sz w:val="21"/>
              </w:rPr>
            </w:pPr>
            <w:r>
              <w:rPr>
                <w:sz w:val="21"/>
              </w:rPr>
              <w:t>0.15%</w:t>
            </w:r>
          </w:p>
        </w:tc>
        <w:tc>
          <w:tcPr>
            <w:tcW w:w="1602" w:type="dxa"/>
            <w:tcBorders>
              <w:bottom w:val="thinThickMediumGap" w:sz="6" w:space="0" w:color="808080"/>
              <w:right w:val="thinThickMediumGap" w:sz="6" w:space="0" w:color="808080"/>
            </w:tcBorders>
          </w:tcPr>
          <w:p>
            <w:pPr>
              <w:pStyle w:val="TableParagraph"/>
              <w:spacing w:before="10"/>
              <w:ind w:left="499"/>
              <w:rPr>
                <w:sz w:val="21"/>
              </w:rPr>
            </w:pPr>
            <w:r>
              <w:rPr>
                <w:sz w:val="21"/>
              </w:rPr>
              <w:t>74.89 元</w:t>
            </w:r>
          </w:p>
        </w:tc>
        <w:tc>
          <w:tcPr>
            <w:tcW w:w="1811" w:type="dxa"/>
            <w:tcBorders>
              <w:bottom w:val="thinThickMediumGap" w:sz="6" w:space="0" w:color="808080"/>
              <w:right w:val="thinThickMediumGap" w:sz="6" w:space="0" w:color="808080"/>
            </w:tcBorders>
          </w:tcPr>
          <w:p>
            <w:pPr>
              <w:pStyle w:val="TableParagraph"/>
              <w:spacing w:before="10"/>
              <w:ind w:left="90" w:right="61"/>
              <w:jc w:val="center"/>
              <w:rPr>
                <w:sz w:val="21"/>
              </w:rPr>
            </w:pPr>
            <w:r>
              <w:rPr>
                <w:sz w:val="21"/>
              </w:rPr>
              <w:t>49,925.11 元</w:t>
            </w:r>
          </w:p>
        </w:tc>
        <w:tc>
          <w:tcPr>
            <w:tcW w:w="1548" w:type="dxa"/>
            <w:tcBorders>
              <w:bottom w:val="thinThickMediumGap" w:sz="6" w:space="0" w:color="808080"/>
              <w:right w:val="thinThickMediumGap" w:sz="6" w:space="0" w:color="808080"/>
            </w:tcBorders>
          </w:tcPr>
          <w:p>
            <w:pPr>
              <w:pStyle w:val="TableParagraph"/>
              <w:spacing w:before="10"/>
              <w:ind w:right="78"/>
              <w:jc w:val="right"/>
              <w:rPr>
                <w:sz w:val="21"/>
              </w:rPr>
            </w:pPr>
            <w:r>
              <w:rPr>
                <w:sz w:val="21"/>
              </w:rPr>
              <w:t>1.0000 元</w:t>
            </w:r>
          </w:p>
        </w:tc>
        <w:tc>
          <w:tcPr>
            <w:tcW w:w="1785"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49,925.11 份</w:t>
            </w:r>
          </w:p>
        </w:tc>
      </w:tr>
      <w:tr>
        <w:trPr>
          <w:trHeight w:val="831" w:hRule="atLeast"/>
        </w:trPr>
        <w:tc>
          <w:tcPr>
            <w:tcW w:w="1423" w:type="dxa"/>
            <w:tcBorders>
              <w:bottom w:val="thinThickMediumGap" w:sz="6" w:space="0" w:color="808080"/>
              <w:right w:val="thinThickMediumGap" w:sz="6" w:space="0" w:color="808080"/>
            </w:tcBorders>
          </w:tcPr>
          <w:p>
            <w:pPr>
              <w:pStyle w:val="TableParagraph"/>
              <w:spacing w:before="10"/>
              <w:ind w:left="77" w:right="97"/>
              <w:jc w:val="center"/>
              <w:rPr>
                <w:sz w:val="21"/>
              </w:rPr>
            </w:pPr>
            <w:r>
              <w:rPr>
                <w:sz w:val="21"/>
              </w:rPr>
              <w:t>8,000,000</w:t>
            </w:r>
          </w:p>
          <w:p>
            <w:pPr>
              <w:pStyle w:val="TableParagraph"/>
              <w:spacing w:before="140"/>
              <w:ind w:left="29"/>
              <w:jc w:val="center"/>
              <w:rPr>
                <w:sz w:val="21"/>
              </w:rPr>
            </w:pPr>
            <w:r>
              <w:rPr>
                <w:sz w:val="21"/>
              </w:rPr>
              <w:t>元</w:t>
            </w:r>
          </w:p>
        </w:tc>
        <w:tc>
          <w:tcPr>
            <w:tcW w:w="1260" w:type="dxa"/>
            <w:tcBorders>
              <w:bottom w:val="thinThickMediumGap" w:sz="6" w:space="0" w:color="808080"/>
              <w:right w:val="thinThickMediumGap" w:sz="6" w:space="0" w:color="808080"/>
            </w:tcBorders>
          </w:tcPr>
          <w:p>
            <w:pPr>
              <w:pStyle w:val="TableParagraph"/>
              <w:spacing w:before="10"/>
              <w:ind w:right="119"/>
              <w:jc w:val="right"/>
              <w:rPr>
                <w:sz w:val="21"/>
              </w:rPr>
            </w:pPr>
            <w:r>
              <w:rPr>
                <w:sz w:val="21"/>
              </w:rPr>
              <w:t>0.03%</w:t>
            </w:r>
          </w:p>
        </w:tc>
        <w:tc>
          <w:tcPr>
            <w:tcW w:w="1602" w:type="dxa"/>
            <w:tcBorders>
              <w:bottom w:val="thinThickMediumGap" w:sz="6" w:space="0" w:color="808080"/>
              <w:right w:val="thinThickMediumGap" w:sz="6" w:space="0" w:color="808080"/>
            </w:tcBorders>
          </w:tcPr>
          <w:p>
            <w:pPr>
              <w:pStyle w:val="TableParagraph"/>
              <w:spacing w:before="10"/>
              <w:ind w:left="241"/>
              <w:rPr>
                <w:sz w:val="21"/>
              </w:rPr>
            </w:pPr>
            <w:r>
              <w:rPr>
                <w:sz w:val="21"/>
              </w:rPr>
              <w:t>2,399.28 元</w:t>
            </w:r>
          </w:p>
        </w:tc>
        <w:tc>
          <w:tcPr>
            <w:tcW w:w="1811" w:type="dxa"/>
            <w:tcBorders>
              <w:bottom w:val="thinThickMediumGap" w:sz="6" w:space="0" w:color="808080"/>
              <w:right w:val="thinThickMediumGap" w:sz="6" w:space="0" w:color="808080"/>
            </w:tcBorders>
          </w:tcPr>
          <w:p>
            <w:pPr>
              <w:pStyle w:val="TableParagraph"/>
              <w:spacing w:before="10"/>
              <w:ind w:left="90" w:right="61"/>
              <w:jc w:val="center"/>
              <w:rPr>
                <w:sz w:val="21"/>
              </w:rPr>
            </w:pPr>
            <w:r>
              <w:rPr>
                <w:sz w:val="21"/>
              </w:rPr>
              <w:t>7,997,600.72 元</w:t>
            </w:r>
          </w:p>
        </w:tc>
        <w:tc>
          <w:tcPr>
            <w:tcW w:w="1548" w:type="dxa"/>
            <w:tcBorders>
              <w:bottom w:val="thinThickMediumGap" w:sz="6" w:space="0" w:color="808080"/>
              <w:right w:val="thinThickMediumGap" w:sz="6" w:space="0" w:color="808080"/>
            </w:tcBorders>
          </w:tcPr>
          <w:p>
            <w:pPr>
              <w:pStyle w:val="TableParagraph"/>
              <w:spacing w:before="10"/>
              <w:ind w:right="78"/>
              <w:jc w:val="right"/>
              <w:rPr>
                <w:sz w:val="21"/>
              </w:rPr>
            </w:pPr>
            <w:r>
              <w:rPr>
                <w:sz w:val="21"/>
              </w:rPr>
              <w:t>1.0000 元</w:t>
            </w:r>
          </w:p>
        </w:tc>
        <w:tc>
          <w:tcPr>
            <w:tcW w:w="1785"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7,997,600.72 份</w:t>
            </w:r>
          </w:p>
        </w:tc>
      </w:tr>
      <w:tr>
        <w:trPr>
          <w:trHeight w:val="831" w:hRule="atLeast"/>
        </w:trPr>
        <w:tc>
          <w:tcPr>
            <w:tcW w:w="1423" w:type="dxa"/>
            <w:tcBorders>
              <w:bottom w:val="thinThickMediumGap" w:sz="6" w:space="0" w:color="808080"/>
              <w:right w:val="thinThickMediumGap" w:sz="6" w:space="0" w:color="808080"/>
            </w:tcBorders>
          </w:tcPr>
          <w:p>
            <w:pPr>
              <w:pStyle w:val="TableParagraph"/>
              <w:spacing w:before="10"/>
              <w:ind w:left="77" w:right="-15"/>
              <w:jc w:val="center"/>
              <w:rPr>
                <w:sz w:val="21"/>
              </w:rPr>
            </w:pPr>
            <w:r>
              <w:rPr>
                <w:sz w:val="21"/>
              </w:rPr>
              <w:t>10,000,000</w:t>
            </w:r>
            <w:r>
              <w:rPr>
                <w:spacing w:val="-35"/>
                <w:sz w:val="21"/>
              </w:rPr>
              <w:t> 元</w:t>
            </w:r>
          </w:p>
        </w:tc>
        <w:tc>
          <w:tcPr>
            <w:tcW w:w="1260" w:type="dxa"/>
            <w:tcBorders>
              <w:bottom w:val="thinThickMediumGap" w:sz="6" w:space="0" w:color="808080"/>
              <w:right w:val="thinThickMediumGap" w:sz="6" w:space="0" w:color="808080"/>
            </w:tcBorders>
          </w:tcPr>
          <w:p>
            <w:pPr>
              <w:pStyle w:val="TableParagraph"/>
              <w:tabs>
                <w:tab w:pos="577" w:val="left" w:leader="none"/>
              </w:tabs>
              <w:spacing w:before="10"/>
              <w:ind w:right="120"/>
              <w:jc w:val="right"/>
              <w:rPr>
                <w:sz w:val="21"/>
              </w:rPr>
            </w:pPr>
            <w:r>
              <w:rPr>
                <w:sz w:val="21"/>
              </w:rPr>
              <w:t>固</w:t>
              <w:tab/>
              <w:t>定</w:t>
            </w:r>
          </w:p>
          <w:p>
            <w:pPr>
              <w:pStyle w:val="TableParagraph"/>
              <w:spacing w:before="140"/>
              <w:ind w:right="118"/>
              <w:jc w:val="right"/>
              <w:rPr>
                <w:sz w:val="21"/>
              </w:rPr>
            </w:pPr>
            <w:r>
              <w:rPr>
                <w:sz w:val="21"/>
              </w:rPr>
              <w:t>1000</w:t>
            </w:r>
            <w:r>
              <w:rPr>
                <w:spacing w:val="-27"/>
                <w:sz w:val="21"/>
              </w:rPr>
              <w:t> 元</w:t>
            </w:r>
            <w:r>
              <w:rPr>
                <w:sz w:val="21"/>
              </w:rPr>
              <w:t>/笔</w:t>
            </w:r>
          </w:p>
        </w:tc>
        <w:tc>
          <w:tcPr>
            <w:tcW w:w="1602" w:type="dxa"/>
            <w:tcBorders>
              <w:bottom w:val="thinThickMediumGap" w:sz="6" w:space="0" w:color="808080"/>
              <w:right w:val="thinThickMediumGap" w:sz="6" w:space="0" w:color="808080"/>
            </w:tcBorders>
          </w:tcPr>
          <w:p>
            <w:pPr>
              <w:pStyle w:val="TableParagraph"/>
              <w:spacing w:before="10"/>
              <w:ind w:left="452"/>
              <w:rPr>
                <w:sz w:val="21"/>
              </w:rPr>
            </w:pPr>
            <w:r>
              <w:rPr>
                <w:sz w:val="21"/>
              </w:rPr>
              <w:t>1000 元</w:t>
            </w:r>
          </w:p>
        </w:tc>
        <w:tc>
          <w:tcPr>
            <w:tcW w:w="1811" w:type="dxa"/>
            <w:tcBorders>
              <w:bottom w:val="thinThickMediumGap" w:sz="6" w:space="0" w:color="808080"/>
              <w:right w:val="thinThickMediumGap" w:sz="6" w:space="0" w:color="808080"/>
            </w:tcBorders>
          </w:tcPr>
          <w:p>
            <w:pPr>
              <w:pStyle w:val="TableParagraph"/>
              <w:spacing w:before="10"/>
              <w:ind w:left="90" w:right="61"/>
              <w:jc w:val="center"/>
              <w:rPr>
                <w:sz w:val="21"/>
              </w:rPr>
            </w:pPr>
            <w:r>
              <w:rPr>
                <w:sz w:val="21"/>
              </w:rPr>
              <w:t>9,999,000 元</w:t>
            </w:r>
          </w:p>
        </w:tc>
        <w:tc>
          <w:tcPr>
            <w:tcW w:w="1548" w:type="dxa"/>
            <w:tcBorders>
              <w:bottom w:val="thinThickMediumGap" w:sz="6" w:space="0" w:color="808080"/>
              <w:right w:val="thinThickMediumGap" w:sz="6" w:space="0" w:color="808080"/>
            </w:tcBorders>
          </w:tcPr>
          <w:p>
            <w:pPr>
              <w:pStyle w:val="TableParagraph"/>
              <w:spacing w:before="10"/>
              <w:ind w:right="78"/>
              <w:jc w:val="right"/>
              <w:rPr>
                <w:sz w:val="21"/>
              </w:rPr>
            </w:pPr>
            <w:r>
              <w:rPr>
                <w:sz w:val="21"/>
              </w:rPr>
              <w:t>1.0000 元</w:t>
            </w:r>
          </w:p>
        </w:tc>
        <w:tc>
          <w:tcPr>
            <w:tcW w:w="1785"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9,999,000 份</w:t>
            </w:r>
          </w:p>
        </w:tc>
      </w:tr>
    </w:tbl>
    <w:p>
      <w:pPr>
        <w:pStyle w:val="BodyText"/>
        <w:spacing w:before="18"/>
      </w:pPr>
      <w:r>
        <w:rPr/>
        <w:t>其他投资者申购本基金 A 类基金份额：</w:t>
      </w:r>
    </w:p>
    <w:p>
      <w:pPr>
        <w:pStyle w:val="BodyText"/>
        <w:spacing w:before="10"/>
        <w:ind w:left="0"/>
        <w:rPr>
          <w:sz w:val="11"/>
        </w:rPr>
      </w:pPr>
    </w:p>
    <w:tbl>
      <w:tblPr>
        <w:tblW w:w="0" w:type="auto"/>
        <w:jc w:val="left"/>
        <w:tblInd w:w="153"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423"/>
        <w:gridCol w:w="1260"/>
        <w:gridCol w:w="1602"/>
        <w:gridCol w:w="1811"/>
        <w:gridCol w:w="1548"/>
        <w:gridCol w:w="1785"/>
      </w:tblGrid>
      <w:tr>
        <w:trPr>
          <w:trHeight w:val="423" w:hRule="atLeast"/>
        </w:trPr>
        <w:tc>
          <w:tcPr>
            <w:tcW w:w="1423" w:type="dxa"/>
            <w:tcBorders>
              <w:bottom w:val="thinThickMediumGap" w:sz="6" w:space="0" w:color="808080"/>
              <w:right w:val="thinThickMediumGap" w:sz="6" w:space="0" w:color="808080"/>
            </w:tcBorders>
          </w:tcPr>
          <w:p>
            <w:pPr>
              <w:pStyle w:val="TableParagraph"/>
              <w:spacing w:before="10"/>
              <w:ind w:left="77" w:right="47"/>
              <w:jc w:val="center"/>
              <w:rPr>
                <w:sz w:val="21"/>
              </w:rPr>
            </w:pPr>
            <w:r>
              <w:rPr>
                <w:sz w:val="21"/>
              </w:rPr>
              <w:t>申购金额</w:t>
            </w:r>
          </w:p>
        </w:tc>
        <w:tc>
          <w:tcPr>
            <w:tcW w:w="1260" w:type="dxa"/>
            <w:tcBorders>
              <w:bottom w:val="thinThickMediumGap" w:sz="6" w:space="0" w:color="808080"/>
              <w:right w:val="thinThickMediumGap" w:sz="6" w:space="0" w:color="808080"/>
            </w:tcBorders>
          </w:tcPr>
          <w:p>
            <w:pPr>
              <w:pStyle w:val="TableParagraph"/>
              <w:spacing w:before="10"/>
              <w:ind w:right="170"/>
              <w:jc w:val="right"/>
              <w:rPr>
                <w:sz w:val="21"/>
              </w:rPr>
            </w:pPr>
            <w:r>
              <w:rPr>
                <w:sz w:val="21"/>
              </w:rPr>
              <w:t>申购费率</w:t>
            </w:r>
          </w:p>
        </w:tc>
        <w:tc>
          <w:tcPr>
            <w:tcW w:w="1602" w:type="dxa"/>
            <w:tcBorders>
              <w:bottom w:val="thinThickMediumGap" w:sz="6" w:space="0" w:color="808080"/>
              <w:right w:val="thinThickMediumGap" w:sz="6" w:space="0" w:color="808080"/>
            </w:tcBorders>
          </w:tcPr>
          <w:p>
            <w:pPr>
              <w:pStyle w:val="TableParagraph"/>
              <w:spacing w:before="10"/>
              <w:ind w:left="478"/>
              <w:rPr>
                <w:sz w:val="21"/>
              </w:rPr>
            </w:pPr>
            <w:r>
              <w:rPr>
                <w:sz w:val="21"/>
              </w:rPr>
              <w:t>申购费</w:t>
            </w:r>
          </w:p>
        </w:tc>
        <w:tc>
          <w:tcPr>
            <w:tcW w:w="1811" w:type="dxa"/>
            <w:tcBorders>
              <w:bottom w:val="thinThickMediumGap" w:sz="6" w:space="0" w:color="808080"/>
              <w:right w:val="thinThickMediumGap" w:sz="6" w:space="0" w:color="808080"/>
            </w:tcBorders>
          </w:tcPr>
          <w:p>
            <w:pPr>
              <w:pStyle w:val="TableParagraph"/>
              <w:spacing w:before="10"/>
              <w:ind w:left="90" w:right="60"/>
              <w:jc w:val="center"/>
              <w:rPr>
                <w:sz w:val="21"/>
              </w:rPr>
            </w:pPr>
            <w:r>
              <w:rPr>
                <w:sz w:val="21"/>
              </w:rPr>
              <w:t>净申购金额</w:t>
            </w:r>
          </w:p>
        </w:tc>
        <w:tc>
          <w:tcPr>
            <w:tcW w:w="1548" w:type="dxa"/>
            <w:tcBorders>
              <w:bottom w:val="thinThickMediumGap" w:sz="6" w:space="0" w:color="808080"/>
              <w:right w:val="thinThickMediumGap" w:sz="6" w:space="0" w:color="808080"/>
            </w:tcBorders>
          </w:tcPr>
          <w:p>
            <w:pPr>
              <w:pStyle w:val="TableParagraph"/>
              <w:spacing w:before="10"/>
              <w:ind w:right="104"/>
              <w:jc w:val="right"/>
              <w:rPr>
                <w:sz w:val="21"/>
              </w:rPr>
            </w:pPr>
            <w:r>
              <w:rPr>
                <w:sz w:val="21"/>
              </w:rPr>
              <w:t>基金份额净值</w:t>
            </w:r>
          </w:p>
        </w:tc>
        <w:tc>
          <w:tcPr>
            <w:tcW w:w="1785" w:type="dxa"/>
            <w:tcBorders>
              <w:bottom w:val="thinThickMediumGap" w:sz="6" w:space="0" w:color="808080"/>
              <w:right w:val="thinThickMediumGap" w:sz="6" w:space="0" w:color="808080"/>
            </w:tcBorders>
          </w:tcPr>
          <w:p>
            <w:pPr>
              <w:pStyle w:val="TableParagraph"/>
              <w:spacing w:before="10"/>
              <w:ind w:left="77" w:right="47"/>
              <w:jc w:val="center"/>
              <w:rPr>
                <w:sz w:val="21"/>
              </w:rPr>
            </w:pPr>
            <w:r>
              <w:rPr>
                <w:sz w:val="21"/>
              </w:rPr>
              <w:t>申购份数</w:t>
            </w:r>
          </w:p>
        </w:tc>
      </w:tr>
      <w:tr>
        <w:trPr>
          <w:trHeight w:val="423" w:hRule="atLeast"/>
        </w:trPr>
        <w:tc>
          <w:tcPr>
            <w:tcW w:w="1423"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10,000 元</w:t>
            </w:r>
          </w:p>
        </w:tc>
        <w:tc>
          <w:tcPr>
            <w:tcW w:w="1260" w:type="dxa"/>
            <w:tcBorders>
              <w:bottom w:val="thinThickMediumGap" w:sz="6" w:space="0" w:color="808080"/>
              <w:right w:val="thinThickMediumGap" w:sz="6" w:space="0" w:color="808080"/>
            </w:tcBorders>
          </w:tcPr>
          <w:p>
            <w:pPr>
              <w:pStyle w:val="TableParagraph"/>
              <w:spacing w:before="10"/>
              <w:ind w:right="170"/>
              <w:jc w:val="right"/>
              <w:rPr>
                <w:sz w:val="21"/>
              </w:rPr>
            </w:pPr>
            <w:r>
              <w:rPr>
                <w:sz w:val="21"/>
              </w:rPr>
              <w:t>1.5%</w:t>
            </w:r>
          </w:p>
        </w:tc>
        <w:tc>
          <w:tcPr>
            <w:tcW w:w="1602" w:type="dxa"/>
            <w:tcBorders>
              <w:bottom w:val="thinThickMediumGap" w:sz="6" w:space="0" w:color="808080"/>
              <w:right w:val="thinThickMediumGap" w:sz="6" w:space="0" w:color="808080"/>
            </w:tcBorders>
          </w:tcPr>
          <w:p>
            <w:pPr>
              <w:pStyle w:val="TableParagraph"/>
              <w:spacing w:before="10"/>
              <w:ind w:right="215"/>
              <w:jc w:val="right"/>
              <w:rPr>
                <w:sz w:val="21"/>
              </w:rPr>
            </w:pPr>
            <w:r>
              <w:rPr>
                <w:sz w:val="21"/>
              </w:rPr>
              <w:t>147.78 元</w:t>
            </w:r>
          </w:p>
        </w:tc>
        <w:tc>
          <w:tcPr>
            <w:tcW w:w="1811" w:type="dxa"/>
            <w:tcBorders>
              <w:bottom w:val="thinThickMediumGap" w:sz="6" w:space="0" w:color="808080"/>
              <w:right w:val="thinThickMediumGap" w:sz="6" w:space="0" w:color="808080"/>
            </w:tcBorders>
          </w:tcPr>
          <w:p>
            <w:pPr>
              <w:pStyle w:val="TableParagraph"/>
              <w:spacing w:before="10"/>
              <w:ind w:left="90" w:right="61"/>
              <w:jc w:val="center"/>
              <w:rPr>
                <w:sz w:val="21"/>
              </w:rPr>
            </w:pPr>
            <w:r>
              <w:rPr>
                <w:sz w:val="21"/>
              </w:rPr>
              <w:t>9,852.22 元</w:t>
            </w:r>
          </w:p>
        </w:tc>
        <w:tc>
          <w:tcPr>
            <w:tcW w:w="1548" w:type="dxa"/>
            <w:tcBorders>
              <w:bottom w:val="thinThickMediumGap" w:sz="6" w:space="0" w:color="808080"/>
              <w:right w:val="thinThickMediumGap" w:sz="6" w:space="0" w:color="808080"/>
            </w:tcBorders>
          </w:tcPr>
          <w:p>
            <w:pPr>
              <w:pStyle w:val="TableParagraph"/>
              <w:spacing w:before="10"/>
              <w:ind w:right="78"/>
              <w:jc w:val="right"/>
              <w:rPr>
                <w:sz w:val="21"/>
              </w:rPr>
            </w:pPr>
            <w:r>
              <w:rPr>
                <w:sz w:val="21"/>
              </w:rPr>
              <w:t>1.0000 元</w:t>
            </w:r>
          </w:p>
        </w:tc>
        <w:tc>
          <w:tcPr>
            <w:tcW w:w="1785"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9,852.22 份</w:t>
            </w:r>
          </w:p>
        </w:tc>
      </w:tr>
      <w:tr>
        <w:trPr>
          <w:trHeight w:val="831" w:hRule="atLeast"/>
        </w:trPr>
        <w:tc>
          <w:tcPr>
            <w:tcW w:w="1423" w:type="dxa"/>
            <w:tcBorders>
              <w:bottom w:val="thinThickMediumGap" w:sz="6" w:space="0" w:color="808080"/>
              <w:right w:val="thinThickMediumGap" w:sz="6" w:space="0" w:color="808080"/>
            </w:tcBorders>
          </w:tcPr>
          <w:p>
            <w:pPr>
              <w:pStyle w:val="TableParagraph"/>
              <w:spacing w:before="10"/>
              <w:ind w:left="77" w:right="97"/>
              <w:jc w:val="center"/>
              <w:rPr>
                <w:sz w:val="21"/>
              </w:rPr>
            </w:pPr>
            <w:r>
              <w:rPr>
                <w:sz w:val="21"/>
              </w:rPr>
              <w:t>8,000,000</w:t>
            </w:r>
          </w:p>
          <w:p>
            <w:pPr>
              <w:pStyle w:val="TableParagraph"/>
              <w:spacing w:before="140"/>
              <w:ind w:left="29"/>
              <w:jc w:val="center"/>
              <w:rPr>
                <w:sz w:val="21"/>
              </w:rPr>
            </w:pPr>
            <w:r>
              <w:rPr>
                <w:sz w:val="21"/>
              </w:rPr>
              <w:t>元</w:t>
            </w:r>
          </w:p>
        </w:tc>
        <w:tc>
          <w:tcPr>
            <w:tcW w:w="1260" w:type="dxa"/>
            <w:tcBorders>
              <w:bottom w:val="thinThickMediumGap" w:sz="6" w:space="0" w:color="808080"/>
              <w:right w:val="thinThickMediumGap" w:sz="6" w:space="0" w:color="808080"/>
            </w:tcBorders>
          </w:tcPr>
          <w:p>
            <w:pPr>
              <w:pStyle w:val="TableParagraph"/>
              <w:spacing w:before="10"/>
              <w:ind w:right="170"/>
              <w:jc w:val="right"/>
              <w:rPr>
                <w:sz w:val="21"/>
              </w:rPr>
            </w:pPr>
            <w:r>
              <w:rPr>
                <w:sz w:val="21"/>
              </w:rPr>
              <w:t>0.3%</w:t>
            </w:r>
          </w:p>
        </w:tc>
        <w:tc>
          <w:tcPr>
            <w:tcW w:w="1602" w:type="dxa"/>
            <w:tcBorders>
              <w:bottom w:val="thinThickMediumGap" w:sz="6" w:space="0" w:color="808080"/>
              <w:right w:val="thinThickMediumGap" w:sz="6" w:space="0" w:color="808080"/>
            </w:tcBorders>
          </w:tcPr>
          <w:p>
            <w:pPr>
              <w:pStyle w:val="TableParagraph"/>
              <w:spacing w:before="10"/>
              <w:ind w:right="158"/>
              <w:jc w:val="right"/>
              <w:rPr>
                <w:sz w:val="21"/>
              </w:rPr>
            </w:pPr>
            <w:r>
              <w:rPr>
                <w:sz w:val="21"/>
              </w:rPr>
              <w:t>23,928.22 元</w:t>
            </w:r>
          </w:p>
        </w:tc>
        <w:tc>
          <w:tcPr>
            <w:tcW w:w="1811" w:type="dxa"/>
            <w:tcBorders>
              <w:bottom w:val="thinThickMediumGap" w:sz="6" w:space="0" w:color="808080"/>
              <w:right w:val="thinThickMediumGap" w:sz="6" w:space="0" w:color="808080"/>
            </w:tcBorders>
          </w:tcPr>
          <w:p>
            <w:pPr>
              <w:pStyle w:val="TableParagraph"/>
              <w:spacing w:before="10"/>
              <w:ind w:left="90" w:right="61"/>
              <w:jc w:val="center"/>
              <w:rPr>
                <w:sz w:val="21"/>
              </w:rPr>
            </w:pPr>
            <w:r>
              <w:rPr>
                <w:sz w:val="21"/>
              </w:rPr>
              <w:t>7,976,071.78 元</w:t>
            </w:r>
          </w:p>
        </w:tc>
        <w:tc>
          <w:tcPr>
            <w:tcW w:w="1548" w:type="dxa"/>
            <w:tcBorders>
              <w:bottom w:val="thinThickMediumGap" w:sz="6" w:space="0" w:color="808080"/>
              <w:right w:val="thinThickMediumGap" w:sz="6" w:space="0" w:color="808080"/>
            </w:tcBorders>
          </w:tcPr>
          <w:p>
            <w:pPr>
              <w:pStyle w:val="TableParagraph"/>
              <w:spacing w:before="10"/>
              <w:ind w:right="78"/>
              <w:jc w:val="right"/>
              <w:rPr>
                <w:sz w:val="21"/>
              </w:rPr>
            </w:pPr>
            <w:r>
              <w:rPr>
                <w:sz w:val="21"/>
              </w:rPr>
              <w:t>1.0000 元</w:t>
            </w:r>
          </w:p>
        </w:tc>
        <w:tc>
          <w:tcPr>
            <w:tcW w:w="1785"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7,976,071.78 份</w:t>
            </w:r>
          </w:p>
        </w:tc>
      </w:tr>
      <w:tr>
        <w:trPr>
          <w:trHeight w:val="831" w:hRule="atLeast"/>
        </w:trPr>
        <w:tc>
          <w:tcPr>
            <w:tcW w:w="1423" w:type="dxa"/>
            <w:tcBorders>
              <w:bottom w:val="thinThickMediumGap" w:sz="6" w:space="0" w:color="808080"/>
              <w:right w:val="thinThickMediumGap" w:sz="6" w:space="0" w:color="808080"/>
            </w:tcBorders>
          </w:tcPr>
          <w:p>
            <w:pPr>
              <w:pStyle w:val="TableParagraph"/>
              <w:spacing w:before="10"/>
              <w:ind w:left="77" w:right="-15"/>
              <w:jc w:val="center"/>
              <w:rPr>
                <w:sz w:val="21"/>
              </w:rPr>
            </w:pPr>
            <w:r>
              <w:rPr>
                <w:sz w:val="21"/>
              </w:rPr>
              <w:t>10,000,000</w:t>
            </w:r>
            <w:r>
              <w:rPr>
                <w:spacing w:val="-35"/>
                <w:sz w:val="21"/>
              </w:rPr>
              <w:t> 元</w:t>
            </w:r>
          </w:p>
        </w:tc>
        <w:tc>
          <w:tcPr>
            <w:tcW w:w="1260" w:type="dxa"/>
            <w:tcBorders>
              <w:bottom w:val="thinThickMediumGap" w:sz="6" w:space="0" w:color="808080"/>
              <w:right w:val="thinThickMediumGap" w:sz="6" w:space="0" w:color="808080"/>
            </w:tcBorders>
          </w:tcPr>
          <w:p>
            <w:pPr>
              <w:pStyle w:val="TableParagraph"/>
              <w:tabs>
                <w:tab w:pos="577" w:val="left" w:leader="none"/>
              </w:tabs>
              <w:spacing w:before="10"/>
              <w:ind w:right="120"/>
              <w:jc w:val="right"/>
              <w:rPr>
                <w:sz w:val="21"/>
              </w:rPr>
            </w:pPr>
            <w:r>
              <w:rPr>
                <w:sz w:val="21"/>
              </w:rPr>
              <w:t>固</w:t>
              <w:tab/>
              <w:t>定</w:t>
            </w:r>
          </w:p>
          <w:p>
            <w:pPr>
              <w:pStyle w:val="TableParagraph"/>
              <w:spacing w:before="140"/>
              <w:ind w:right="118"/>
              <w:jc w:val="right"/>
              <w:rPr>
                <w:sz w:val="21"/>
              </w:rPr>
            </w:pPr>
            <w:r>
              <w:rPr>
                <w:sz w:val="21"/>
              </w:rPr>
              <w:t>1000</w:t>
            </w:r>
            <w:r>
              <w:rPr>
                <w:spacing w:val="-27"/>
                <w:sz w:val="21"/>
              </w:rPr>
              <w:t> 元</w:t>
            </w:r>
            <w:r>
              <w:rPr>
                <w:sz w:val="21"/>
              </w:rPr>
              <w:t>/笔</w:t>
            </w:r>
          </w:p>
        </w:tc>
        <w:tc>
          <w:tcPr>
            <w:tcW w:w="1602" w:type="dxa"/>
            <w:tcBorders>
              <w:bottom w:val="thinThickMediumGap" w:sz="6" w:space="0" w:color="808080"/>
              <w:right w:val="thinThickMediumGap" w:sz="6" w:space="0" w:color="808080"/>
            </w:tcBorders>
          </w:tcPr>
          <w:p>
            <w:pPr>
              <w:pStyle w:val="TableParagraph"/>
              <w:spacing w:before="10"/>
              <w:ind w:left="452"/>
              <w:rPr>
                <w:sz w:val="21"/>
              </w:rPr>
            </w:pPr>
            <w:r>
              <w:rPr>
                <w:sz w:val="21"/>
              </w:rPr>
              <w:t>1000 元</w:t>
            </w:r>
          </w:p>
        </w:tc>
        <w:tc>
          <w:tcPr>
            <w:tcW w:w="1811" w:type="dxa"/>
            <w:tcBorders>
              <w:bottom w:val="thinThickMediumGap" w:sz="6" w:space="0" w:color="808080"/>
              <w:right w:val="thinThickMediumGap" w:sz="6" w:space="0" w:color="808080"/>
            </w:tcBorders>
          </w:tcPr>
          <w:p>
            <w:pPr>
              <w:pStyle w:val="TableParagraph"/>
              <w:spacing w:before="10"/>
              <w:ind w:left="90" w:right="61"/>
              <w:jc w:val="center"/>
              <w:rPr>
                <w:sz w:val="21"/>
              </w:rPr>
            </w:pPr>
            <w:r>
              <w:rPr>
                <w:sz w:val="21"/>
              </w:rPr>
              <w:t>9,999,000 元</w:t>
            </w:r>
          </w:p>
        </w:tc>
        <w:tc>
          <w:tcPr>
            <w:tcW w:w="1548" w:type="dxa"/>
            <w:tcBorders>
              <w:bottom w:val="thinThickMediumGap" w:sz="6" w:space="0" w:color="808080"/>
              <w:right w:val="thinThickMediumGap" w:sz="6" w:space="0" w:color="808080"/>
            </w:tcBorders>
          </w:tcPr>
          <w:p>
            <w:pPr>
              <w:pStyle w:val="TableParagraph"/>
              <w:spacing w:before="10"/>
              <w:ind w:right="78"/>
              <w:jc w:val="right"/>
              <w:rPr>
                <w:sz w:val="21"/>
              </w:rPr>
            </w:pPr>
            <w:r>
              <w:rPr>
                <w:sz w:val="21"/>
              </w:rPr>
              <w:t>1.0000 元</w:t>
            </w:r>
          </w:p>
        </w:tc>
        <w:tc>
          <w:tcPr>
            <w:tcW w:w="1785" w:type="dxa"/>
            <w:tcBorders>
              <w:bottom w:val="thinThickMediumGap" w:sz="6" w:space="0" w:color="808080"/>
              <w:right w:val="thinThickMediumGap" w:sz="6" w:space="0" w:color="808080"/>
            </w:tcBorders>
          </w:tcPr>
          <w:p>
            <w:pPr>
              <w:pStyle w:val="TableParagraph"/>
              <w:spacing w:before="10"/>
              <w:ind w:left="77" w:right="48"/>
              <w:jc w:val="center"/>
              <w:rPr>
                <w:sz w:val="21"/>
              </w:rPr>
            </w:pPr>
            <w:r>
              <w:rPr>
                <w:sz w:val="21"/>
              </w:rPr>
              <w:t>9,999,000 份</w:t>
            </w:r>
          </w:p>
        </w:tc>
      </w:tr>
    </w:tbl>
    <w:p>
      <w:pPr>
        <w:pStyle w:val="BodyText"/>
        <w:spacing w:before="18"/>
      </w:pPr>
      <w:r>
        <w:rPr/>
        <w:t>（2）C 类基金份额</w:t>
      </w:r>
    </w:p>
    <w:p>
      <w:pPr>
        <w:pStyle w:val="BodyText"/>
        <w:spacing w:before="139"/>
      </w:pPr>
      <w:r>
        <w:rPr/>
        <w:t>申购份额=申购金额/T 日该类份额的基金份额净值</w:t>
      </w:r>
    </w:p>
    <w:p>
      <w:pPr>
        <w:pStyle w:val="BodyText"/>
        <w:spacing w:line="364" w:lineRule="auto" w:before="140"/>
        <w:ind w:left="293" w:right="936" w:firstLine="420"/>
      </w:pPr>
      <w:r>
        <w:rPr>
          <w:spacing w:val="-2"/>
        </w:rPr>
        <w:t>例三：某投资人投资 </w:t>
      </w:r>
      <w:r>
        <w:rPr/>
        <w:t>100,000</w:t>
      </w:r>
      <w:r>
        <w:rPr>
          <w:spacing w:val="-11"/>
        </w:rPr>
        <w:t> 元申购本基金 </w:t>
      </w:r>
      <w:r>
        <w:rPr/>
        <w:t>C</w:t>
      </w:r>
      <w:r>
        <w:rPr>
          <w:spacing w:val="-7"/>
        </w:rPr>
        <w:t> 类基金份额，假设申购当日 </w:t>
      </w:r>
      <w:r>
        <w:rPr/>
        <w:t>C</w:t>
      </w:r>
      <w:r>
        <w:rPr>
          <w:spacing w:val="-5"/>
        </w:rPr>
        <w:t> 类基金份额的</w:t>
      </w:r>
      <w:r>
        <w:rPr>
          <w:spacing w:val="-11"/>
        </w:rPr>
        <w:t>基金份额净值为 </w:t>
      </w:r>
      <w:r>
        <w:rPr/>
        <w:t>1.040</w:t>
      </w:r>
      <w:r>
        <w:rPr>
          <w:spacing w:val="-8"/>
        </w:rPr>
        <w:t> 元，则其可得到的申购份额为：</w:t>
      </w:r>
    </w:p>
    <w:p>
      <w:pPr>
        <w:pStyle w:val="BodyText"/>
        <w:spacing w:line="268" w:lineRule="exact"/>
      </w:pPr>
      <w:r>
        <w:rPr/>
        <w:t>申购份额=100,000/1.040=96,153.85 份</w:t>
      </w:r>
    </w:p>
    <w:p>
      <w:pPr>
        <w:pStyle w:val="BodyText"/>
        <w:spacing w:line="364" w:lineRule="auto" w:before="139"/>
        <w:ind w:left="293" w:right="936" w:firstLine="420"/>
      </w:pPr>
      <w:r>
        <w:rPr/>
        <w:t>申购费用以人民币元为单位，四舍五入，保留至小数点后二位；申购份数保留至小数点后两位，小数点后两位以下舍去，舍去部分所代表的资产归基金财产所有。</w:t>
      </w:r>
    </w:p>
    <w:p>
      <w:pPr>
        <w:pStyle w:val="BodyText"/>
        <w:spacing w:line="268" w:lineRule="exact"/>
      </w:pPr>
      <w:r>
        <w:rPr/>
        <w:t>2、赎回金额的计算</w:t>
      </w:r>
    </w:p>
    <w:p>
      <w:pPr>
        <w:pStyle w:val="BodyText"/>
        <w:spacing w:line="362" w:lineRule="auto" w:before="140"/>
        <w:ind w:right="4481"/>
      </w:pPr>
      <w:r>
        <w:rPr>
          <w:spacing w:val="-1"/>
        </w:rPr>
        <w:t>本基金的赎回金额为赎回总额扣减赎回费用，其中： </w:t>
      </w:r>
      <w:r>
        <w:rPr/>
        <w:t>赎回总额=赎回数量</w:t>
      </w:r>
      <w:r>
        <w:rPr>
          <w:rFonts w:ascii="Symbol" w:hAnsi="Symbol" w:eastAsia="Symbol"/>
        </w:rPr>
        <w:t></w:t>
      </w:r>
      <w:r>
        <w:rPr/>
        <w:t>T</w:t>
      </w:r>
      <w:r>
        <w:rPr>
          <w:spacing w:val="-2"/>
        </w:rPr>
        <w:t> 日该类份额的基金份额净值赎回费用=赎回总额</w:t>
      </w:r>
      <w:r>
        <w:rPr>
          <w:rFonts w:ascii="Symbol" w:hAnsi="Symbol" w:eastAsia="Symbol"/>
          <w:spacing w:val="-2"/>
        </w:rPr>
        <w:t></w:t>
      </w:r>
      <w:r>
        <w:rPr>
          <w:spacing w:val="-2"/>
        </w:rPr>
        <w:t>赎回费率</w:t>
      </w:r>
    </w:p>
    <w:p>
      <w:pPr>
        <w:pStyle w:val="BodyText"/>
        <w:spacing w:before="3"/>
      </w:pPr>
      <w:r>
        <w:rPr/>
        <w:t>赎回金额=赎回总额</w:t>
      </w:r>
      <w:r>
        <w:rPr>
          <w:rFonts w:ascii="Symbol" w:hAnsi="Symbol" w:eastAsia="Symbol"/>
        </w:rPr>
        <w:t></w:t>
      </w:r>
      <w:r>
        <w:rPr/>
        <w:t>赎回费用</w:t>
      </w:r>
    </w:p>
    <w:p>
      <w:pPr>
        <w:pStyle w:val="BodyText"/>
        <w:spacing w:before="139"/>
      </w:pPr>
      <w:r>
        <w:rPr/>
        <w:t>举例说明（以 A 类基金份额为例）：</w:t>
      </w:r>
    </w:p>
    <w:p>
      <w:pPr>
        <w:pStyle w:val="BodyText"/>
        <w:spacing w:before="10" w:after="1"/>
        <w:ind w:left="0"/>
        <w:rPr>
          <w:sz w:val="11"/>
        </w:rPr>
      </w:pPr>
    </w:p>
    <w:tbl>
      <w:tblPr>
        <w:tblW w:w="0" w:type="auto"/>
        <w:jc w:val="left"/>
        <w:tblInd w:w="153"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赎回份额</w:t>
            </w:r>
          </w:p>
        </w:tc>
        <w:tc>
          <w:tcPr>
            <w:tcW w:w="1650" w:type="dxa"/>
            <w:tcBorders>
              <w:bottom w:val="thinThickMediumGap" w:sz="6" w:space="0" w:color="808080"/>
              <w:right w:val="thinThickMediumGap" w:sz="6" w:space="0" w:color="808080"/>
            </w:tcBorders>
          </w:tcPr>
          <w:p>
            <w:pPr>
              <w:pStyle w:val="TableParagraph"/>
              <w:spacing w:before="10"/>
              <w:ind w:right="155"/>
              <w:jc w:val="right"/>
              <w:rPr>
                <w:sz w:val="21"/>
              </w:rPr>
            </w:pPr>
            <w:r>
              <w:rPr>
                <w:sz w:val="21"/>
              </w:rPr>
              <w:t>基金份额净值</w:t>
            </w:r>
          </w:p>
        </w:tc>
        <w:tc>
          <w:tcPr>
            <w:tcW w:w="1436" w:type="dxa"/>
            <w:tcBorders>
              <w:bottom w:val="thinThickMediumGap" w:sz="6" w:space="0" w:color="808080"/>
              <w:right w:val="thinThickMediumGap" w:sz="6" w:space="0" w:color="808080"/>
            </w:tcBorders>
          </w:tcPr>
          <w:p>
            <w:pPr>
              <w:pStyle w:val="TableParagraph"/>
              <w:spacing w:before="10"/>
              <w:ind w:left="290"/>
              <w:rPr>
                <w:sz w:val="21"/>
              </w:rPr>
            </w:pPr>
            <w:r>
              <w:rPr>
                <w:sz w:val="21"/>
              </w:rPr>
              <w:t>持有时间</w:t>
            </w:r>
          </w:p>
        </w:tc>
        <w:tc>
          <w:tcPr>
            <w:tcW w:w="1437" w:type="dxa"/>
            <w:tcBorders>
              <w:bottom w:val="thinThickMediumGap" w:sz="6" w:space="0" w:color="808080"/>
              <w:right w:val="thinThickMediumGap" w:sz="6" w:space="0" w:color="808080"/>
            </w:tcBorders>
          </w:tcPr>
          <w:p>
            <w:pPr>
              <w:pStyle w:val="TableParagraph"/>
              <w:spacing w:before="10"/>
              <w:ind w:left="290"/>
              <w:rPr>
                <w:sz w:val="21"/>
              </w:rPr>
            </w:pPr>
            <w:r>
              <w:rPr>
                <w:sz w:val="21"/>
              </w:rPr>
              <w:t>赎回费率</w:t>
            </w:r>
          </w:p>
        </w:tc>
        <w:tc>
          <w:tcPr>
            <w:tcW w:w="1409" w:type="dxa"/>
            <w:tcBorders>
              <w:bottom w:val="thinThickMediumGap" w:sz="6" w:space="0" w:color="808080"/>
              <w:right w:val="thinThickMediumGap" w:sz="6" w:space="0" w:color="808080"/>
            </w:tcBorders>
          </w:tcPr>
          <w:p>
            <w:pPr>
              <w:pStyle w:val="TableParagraph"/>
              <w:spacing w:before="10"/>
              <w:ind w:left="481"/>
              <w:rPr>
                <w:sz w:val="21"/>
              </w:rPr>
            </w:pPr>
            <w:r>
              <w:rPr>
                <w:sz w:val="21"/>
              </w:rPr>
              <w:t>赎回费</w:t>
            </w:r>
          </w:p>
        </w:tc>
        <w:tc>
          <w:tcPr>
            <w:tcW w:w="1457" w:type="dxa"/>
            <w:tcBorders>
              <w:bottom w:val="thinThickMediumGap" w:sz="6" w:space="0" w:color="808080"/>
              <w:right w:val="thinThickMediumGap" w:sz="6" w:space="0" w:color="808080"/>
            </w:tcBorders>
          </w:tcPr>
          <w:p>
            <w:pPr>
              <w:pStyle w:val="TableParagraph"/>
              <w:spacing w:before="10"/>
              <w:ind w:right="270"/>
              <w:jc w:val="right"/>
              <w:rPr>
                <w:sz w:val="21"/>
              </w:rPr>
            </w:pPr>
            <w:r>
              <w:rPr>
                <w:sz w:val="21"/>
              </w:rPr>
              <w:t>赎回金额</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29"/>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100 天</w:t>
            </w:r>
          </w:p>
        </w:tc>
        <w:tc>
          <w:tcPr>
            <w:tcW w:w="1437" w:type="dxa"/>
            <w:tcBorders>
              <w:bottom w:val="thinThickMediumGap" w:sz="6" w:space="0" w:color="808080"/>
              <w:right w:val="thinThickMediumGap" w:sz="6" w:space="0" w:color="808080"/>
            </w:tcBorders>
          </w:tcPr>
          <w:p>
            <w:pPr>
              <w:pStyle w:val="TableParagraph"/>
              <w:spacing w:before="10"/>
              <w:ind w:right="259"/>
              <w:jc w:val="right"/>
              <w:rPr>
                <w:sz w:val="21"/>
              </w:rPr>
            </w:pPr>
            <w:r>
              <w:rPr>
                <w:sz w:val="21"/>
              </w:rPr>
              <w:t>0.5%</w:t>
            </w:r>
          </w:p>
        </w:tc>
        <w:tc>
          <w:tcPr>
            <w:tcW w:w="1409" w:type="dxa"/>
            <w:tcBorders>
              <w:bottom w:val="thinThickMediumGap" w:sz="6" w:space="0" w:color="808080"/>
              <w:right w:val="thinThickMediumGap" w:sz="6" w:space="0" w:color="808080"/>
            </w:tcBorders>
          </w:tcPr>
          <w:p>
            <w:pPr>
              <w:pStyle w:val="TableParagraph"/>
              <w:spacing w:before="10"/>
              <w:ind w:left="560"/>
              <w:rPr>
                <w:sz w:val="21"/>
              </w:rPr>
            </w:pPr>
            <w:r>
              <w:rPr>
                <w:sz w:val="21"/>
              </w:rPr>
              <w:t>50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9,950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29"/>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500 天</w:t>
            </w:r>
          </w:p>
        </w:tc>
        <w:tc>
          <w:tcPr>
            <w:tcW w:w="1437" w:type="dxa"/>
            <w:tcBorders>
              <w:bottom w:val="thinThickMediumGap" w:sz="6" w:space="0" w:color="808080"/>
              <w:right w:val="thinThickMediumGap" w:sz="6" w:space="0" w:color="808080"/>
            </w:tcBorders>
          </w:tcPr>
          <w:p>
            <w:pPr>
              <w:pStyle w:val="TableParagraph"/>
              <w:spacing w:before="10"/>
              <w:ind w:right="206"/>
              <w:jc w:val="right"/>
              <w:rPr>
                <w:sz w:val="21"/>
              </w:rPr>
            </w:pPr>
            <w:r>
              <w:rPr>
                <w:sz w:val="21"/>
              </w:rPr>
              <w:t>0.25%</w:t>
            </w:r>
          </w:p>
        </w:tc>
        <w:tc>
          <w:tcPr>
            <w:tcW w:w="1409" w:type="dxa"/>
            <w:tcBorders>
              <w:bottom w:val="thinThickMediumGap" w:sz="6" w:space="0" w:color="808080"/>
              <w:right w:val="thinThickMediumGap" w:sz="6" w:space="0" w:color="808080"/>
            </w:tcBorders>
          </w:tcPr>
          <w:p>
            <w:pPr>
              <w:pStyle w:val="TableParagraph"/>
              <w:spacing w:before="10"/>
              <w:ind w:left="560"/>
              <w:rPr>
                <w:sz w:val="21"/>
              </w:rPr>
            </w:pPr>
            <w:r>
              <w:rPr>
                <w:sz w:val="21"/>
              </w:rPr>
              <w:t>25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9,975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29"/>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800 天</w:t>
            </w:r>
          </w:p>
        </w:tc>
        <w:tc>
          <w:tcPr>
            <w:tcW w:w="1437" w:type="dxa"/>
            <w:tcBorders>
              <w:bottom w:val="thinThickMediumGap" w:sz="6" w:space="0" w:color="808080"/>
              <w:right w:val="thinThickMediumGap" w:sz="6" w:space="0" w:color="808080"/>
            </w:tcBorders>
          </w:tcPr>
          <w:p>
            <w:pPr>
              <w:pStyle w:val="TableParagraph"/>
              <w:spacing w:before="10"/>
              <w:ind w:left="815"/>
              <w:rPr>
                <w:sz w:val="21"/>
              </w:rPr>
            </w:pPr>
            <w:r>
              <w:rPr>
                <w:sz w:val="21"/>
              </w:rPr>
              <w:t>0%</w:t>
            </w:r>
          </w:p>
        </w:tc>
        <w:tc>
          <w:tcPr>
            <w:tcW w:w="1409" w:type="dxa"/>
            <w:tcBorders>
              <w:bottom w:val="thinThickMediumGap" w:sz="6" w:space="0" w:color="808080"/>
              <w:right w:val="thinThickMediumGap" w:sz="6" w:space="0" w:color="808080"/>
            </w:tcBorders>
          </w:tcPr>
          <w:p>
            <w:pPr>
              <w:pStyle w:val="TableParagraph"/>
              <w:spacing w:before="10"/>
              <w:ind w:left="854"/>
              <w:rPr>
                <w:sz w:val="21"/>
              </w:rPr>
            </w:pPr>
            <w:r>
              <w:rPr>
                <w:sz w:val="21"/>
              </w:rPr>
              <w:t>0</w:t>
            </w:r>
          </w:p>
        </w:tc>
        <w:tc>
          <w:tcPr>
            <w:tcW w:w="1457" w:type="dxa"/>
            <w:tcBorders>
              <w:bottom w:val="thinThickMediumGap" w:sz="6" w:space="0" w:color="808080"/>
              <w:right w:val="thinThickMediumGap" w:sz="6" w:space="0" w:color="808080"/>
            </w:tcBorders>
          </w:tcPr>
          <w:p>
            <w:pPr>
              <w:pStyle w:val="TableParagraph"/>
              <w:spacing w:before="10"/>
              <w:ind w:right="242"/>
              <w:jc w:val="right"/>
              <w:rPr>
                <w:sz w:val="21"/>
              </w:rPr>
            </w:pPr>
            <w:r>
              <w:rPr>
                <w:sz w:val="21"/>
              </w:rPr>
              <w:t>10,000 元</w:t>
            </w:r>
          </w:p>
        </w:tc>
      </w:tr>
    </w:tbl>
    <w:p>
      <w:pPr>
        <w:pStyle w:val="BodyText"/>
        <w:spacing w:before="18"/>
      </w:pPr>
      <w:r>
        <w:rPr/>
        <w:t>赎回总额、赎回费用以人民币元为单位，四舍五入，保留小数点后两位。</w:t>
      </w:r>
    </w:p>
    <w:p>
      <w:pPr>
        <w:pStyle w:val="BodyText"/>
        <w:spacing w:before="139"/>
      </w:pPr>
      <w:r>
        <w:rPr/>
        <w:t>3、转换份额的计算</w:t>
      </w:r>
    </w:p>
    <w:p>
      <w:pPr>
        <w:spacing w:after="0"/>
        <w:sectPr>
          <w:pgSz w:w="11910" w:h="16840"/>
          <w:pgMar w:header="0" w:footer="1172" w:top="1580" w:bottom="1440" w:left="1520" w:right="360"/>
        </w:sectPr>
      </w:pPr>
    </w:p>
    <w:p>
      <w:pPr>
        <w:pStyle w:val="BodyText"/>
        <w:spacing w:before="106"/>
      </w:pPr>
      <w:r>
        <w:rPr/>
        <w:t>计算公式：</w:t>
      </w:r>
    </w:p>
    <w:p>
      <w:pPr>
        <w:pStyle w:val="BodyText"/>
        <w:spacing w:line="364" w:lineRule="auto" w:before="139"/>
        <w:ind w:right="6147"/>
      </w:pPr>
      <w:r>
        <w:rPr/>
        <w:t>A＝［B×C×(1-D)/（1+G）+F］/E H＝B×C×D</w:t>
      </w:r>
    </w:p>
    <w:p>
      <w:pPr>
        <w:pStyle w:val="BodyText"/>
        <w:spacing w:line="268" w:lineRule="exact"/>
      </w:pPr>
      <w:r>
        <w:rPr/>
        <w:t>J＝[B×C×(1-D)/(1+G)]×G</w:t>
      </w:r>
    </w:p>
    <w:p>
      <w:pPr>
        <w:pStyle w:val="BodyText"/>
        <w:spacing w:line="364" w:lineRule="auto" w:before="140"/>
        <w:ind w:left="293" w:right="936" w:firstLine="420"/>
        <w:jc w:val="both"/>
      </w:pPr>
      <w:r>
        <w:rPr>
          <w:spacing w:val="1"/>
        </w:rPr>
        <w:t>其中，</w:t>
      </w:r>
      <w:r>
        <w:rPr/>
        <w:t>A</w:t>
      </w:r>
      <w:r>
        <w:rPr>
          <w:spacing w:val="-5"/>
        </w:rPr>
        <w:t> 为转入的基金份额；</w:t>
      </w:r>
      <w:r>
        <w:rPr/>
        <w:t>B</w:t>
      </w:r>
      <w:r>
        <w:rPr>
          <w:spacing w:val="-5"/>
        </w:rPr>
        <w:t> 为转出的基金份额；</w:t>
      </w:r>
      <w:r>
        <w:rPr/>
        <w:t>C</w:t>
      </w:r>
      <w:r>
        <w:rPr>
          <w:spacing w:val="-5"/>
        </w:rPr>
        <w:t> 为转换申请当日转出基金的基金份额</w:t>
      </w:r>
      <w:r>
        <w:rPr>
          <w:spacing w:val="1"/>
        </w:rPr>
        <w:t>净值；</w:t>
      </w:r>
      <w:r>
        <w:rPr/>
        <w:t>D</w:t>
      </w:r>
      <w:r>
        <w:rPr>
          <w:spacing w:val="-5"/>
        </w:rPr>
        <w:t> 为转出基金的对应赎回费率，</w:t>
      </w:r>
      <w:r>
        <w:rPr/>
        <w:t>G</w:t>
      </w:r>
      <w:r>
        <w:rPr>
          <w:spacing w:val="-5"/>
        </w:rPr>
        <w:t> 为对应的申购补差费率；</w:t>
      </w:r>
      <w:r>
        <w:rPr/>
        <w:t>E</w:t>
      </w:r>
      <w:r>
        <w:rPr>
          <w:spacing w:val="-5"/>
        </w:rPr>
        <w:t> 为转换申请当日转入基金的基金份额净值；F</w:t>
      </w:r>
      <w:r>
        <w:rPr>
          <w:spacing w:val="-8"/>
        </w:rPr>
        <w:t> 为货币市场基金全部转出时注册登记机构已支付的未付收益</w:t>
      </w:r>
      <w:r>
        <w:rPr/>
        <w:t>（仅限转出基金为</w:t>
      </w:r>
      <w:r>
        <w:rPr>
          <w:spacing w:val="3"/>
        </w:rPr>
        <w:t>易方达货币市场基金、易方达天天理财货币市场基金、易方达财富快线货币市场基金、易方达天天增利货币市场基金、易方达龙宝货币市场基金、易方达增金宝货币市场基金、易方达现金</w:t>
      </w:r>
      <w:r>
        <w:rPr>
          <w:spacing w:val="4"/>
        </w:rPr>
        <w:t>增利货币市场基金、易方达易理财货币市场基金和易方达天天发货币市场基金）</w:t>
      </w:r>
      <w:r>
        <w:rPr>
          <w:spacing w:val="3"/>
        </w:rPr>
        <w:t>或者短期理财</w:t>
      </w:r>
      <w:r>
        <w:rPr>
          <w:spacing w:val="4"/>
        </w:rPr>
        <w:t>基金转出时对应的累计未付收益（</w:t>
      </w:r>
      <w:r>
        <w:rPr>
          <w:spacing w:val="3"/>
        </w:rPr>
        <w:t>转出基金为易方达月月利理财债券型证券投资基金和易方达掌柜季季盈理财债券型证券投资基金</w:t>
      </w:r>
      <w:r>
        <w:rPr>
          <w:spacing w:val="-105"/>
        </w:rPr>
        <w:t>）</w:t>
      </w:r>
      <w:r>
        <w:rPr/>
        <w:t>；H</w:t>
      </w:r>
      <w:r>
        <w:rPr>
          <w:spacing w:val="-8"/>
        </w:rPr>
        <w:t> 为转出基金赎回费</w:t>
      </w:r>
      <w:r>
        <w:rPr/>
        <w:t>；J</w:t>
      </w:r>
      <w:r>
        <w:rPr>
          <w:spacing w:val="-8"/>
        </w:rPr>
        <w:t> 为申购补差费。</w:t>
      </w:r>
    </w:p>
    <w:p>
      <w:pPr>
        <w:pStyle w:val="BodyText"/>
        <w:spacing w:line="364" w:lineRule="auto"/>
        <w:ind w:left="293" w:right="936" w:firstLine="420"/>
        <w:jc w:val="both"/>
      </w:pPr>
      <w:r>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pPr>
        <w:pStyle w:val="BodyText"/>
        <w:spacing w:line="267" w:lineRule="exact"/>
      </w:pPr>
      <w:r>
        <w:rPr/>
        <w:t>说明：</w:t>
      </w:r>
    </w:p>
    <w:p>
      <w:pPr>
        <w:pStyle w:val="ListParagraph"/>
        <w:numPr>
          <w:ilvl w:val="0"/>
          <w:numId w:val="11"/>
        </w:numPr>
        <w:tabs>
          <w:tab w:pos="1240" w:val="left" w:leader="none"/>
        </w:tabs>
        <w:spacing w:line="240" w:lineRule="auto" w:before="135" w:after="0"/>
        <w:ind w:left="1240" w:right="0" w:hanging="527"/>
        <w:jc w:val="left"/>
        <w:rPr>
          <w:sz w:val="21"/>
        </w:rPr>
      </w:pPr>
      <w:r>
        <w:rPr>
          <w:sz w:val="21"/>
        </w:rPr>
        <w:t>基金转换费用由转出基金赎回费用及基金申购补差费用构成。</w:t>
      </w:r>
    </w:p>
    <w:p>
      <w:pPr>
        <w:pStyle w:val="ListParagraph"/>
        <w:numPr>
          <w:ilvl w:val="0"/>
          <w:numId w:val="11"/>
        </w:numPr>
        <w:tabs>
          <w:tab w:pos="1244" w:val="left" w:leader="none"/>
        </w:tabs>
        <w:spacing w:line="364" w:lineRule="auto" w:before="140" w:after="0"/>
        <w:ind w:left="293" w:right="936" w:firstLine="420"/>
        <w:jc w:val="both"/>
        <w:rPr>
          <w:sz w:val="21"/>
        </w:rPr>
      </w:pPr>
      <w:r>
        <w:rPr>
          <w:sz w:val="21"/>
        </w:rPr>
        <w:t>转入基金时，从申购费用低的基金向申购费用高的基金转换时，每次收取申购补差费</w:t>
      </w:r>
      <w:r>
        <w:rPr>
          <w:spacing w:val="4"/>
          <w:sz w:val="21"/>
        </w:rPr>
        <w:t>用；从申购费用高的基金向申购费用低的基金转换时，不收取申购补差费用（</w:t>
      </w:r>
      <w:r>
        <w:rPr>
          <w:spacing w:val="3"/>
          <w:sz w:val="21"/>
        </w:rPr>
        <w:t>注：对通过直销中心申购实施差别申购费率的特定投资群体基金份额的申购费，以除通过直销中心申购的特定投资群体之外的其他投资者申购费为比较标准</w:t>
      </w:r>
      <w:r>
        <w:rPr>
          <w:spacing w:val="-104"/>
          <w:sz w:val="21"/>
        </w:rPr>
        <w:t>）</w:t>
      </w:r>
      <w:r>
        <w:rPr>
          <w:sz w:val="21"/>
        </w:rPr>
        <w:t>。申购补差费用按照转换金额对应的转出基金与</w:t>
      </w:r>
      <w:r>
        <w:rPr>
          <w:spacing w:val="3"/>
          <w:sz w:val="21"/>
        </w:rPr>
        <w:t>转入基金的申购费率差额进行补差，具体收取情况视每次转换时两只基金的申购费率的差异情况而定并见相关公告。</w:t>
      </w:r>
    </w:p>
    <w:p>
      <w:pPr>
        <w:pStyle w:val="ListParagraph"/>
        <w:numPr>
          <w:ilvl w:val="0"/>
          <w:numId w:val="11"/>
        </w:numPr>
        <w:tabs>
          <w:tab w:pos="1244" w:val="left" w:leader="none"/>
        </w:tabs>
        <w:spacing w:line="364" w:lineRule="auto" w:before="0" w:after="0"/>
        <w:ind w:left="293" w:right="936" w:firstLine="420"/>
        <w:jc w:val="both"/>
        <w:rPr>
          <w:sz w:val="21"/>
        </w:rPr>
      </w:pPr>
      <w:r>
        <w:rPr>
          <w:sz w:val="21"/>
        </w:rPr>
        <w:t>转出基金时，如涉及的转出基金有赎回费用，收取该基金的赎回费用。收取的赎回费</w:t>
      </w:r>
      <w:r>
        <w:rPr>
          <w:spacing w:val="3"/>
          <w:sz w:val="21"/>
        </w:rPr>
        <w:t>按照各基金的基金合同、更新的招募说明书及最新的相关公告约定的比例归入基金财产，其余部分用于支付注册登记费等相关手续费。</w:t>
      </w:r>
    </w:p>
    <w:p>
      <w:pPr>
        <w:pStyle w:val="ListParagraph"/>
        <w:numPr>
          <w:ilvl w:val="0"/>
          <w:numId w:val="11"/>
        </w:numPr>
        <w:tabs>
          <w:tab w:pos="1244" w:val="left" w:leader="none"/>
        </w:tabs>
        <w:spacing w:line="364" w:lineRule="auto" w:before="0" w:after="0"/>
        <w:ind w:left="293" w:right="936"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293" w:right="936" w:firstLine="420"/>
        <w:jc w:val="both"/>
      </w:pPr>
      <w:r>
        <w:rPr>
          <w:spacing w:val="5"/>
        </w:rPr>
        <w:t>举例说明：假定某投资者（非特定投资群体）</w:t>
      </w:r>
      <w:r>
        <w:rPr>
          <w:spacing w:val="-24"/>
        </w:rPr>
        <w:t>在 </w:t>
      </w:r>
      <w:r>
        <w:rPr/>
        <w:t>T</w:t>
      </w:r>
      <w:r>
        <w:rPr>
          <w:spacing w:val="-19"/>
        </w:rPr>
        <w:t> 日转出 </w:t>
      </w:r>
      <w:r>
        <w:rPr/>
        <w:t>10,000</w:t>
      </w:r>
      <w:r>
        <w:rPr>
          <w:spacing w:val="-15"/>
        </w:rPr>
        <w:t> 份易方达 </w:t>
      </w:r>
      <w:r>
        <w:rPr/>
        <w:t>50</w:t>
      </w:r>
      <w:r>
        <w:rPr>
          <w:spacing w:val="-15"/>
        </w:rPr>
        <w:t> 指数基金 </w:t>
      </w:r>
      <w:r>
        <w:rPr/>
        <w:t>A </w:t>
      </w:r>
      <w:r>
        <w:rPr>
          <w:spacing w:val="4"/>
        </w:rPr>
        <w:t>类基金份额至易方达策略成长二号混合型基金份额，转出基金 </w:t>
      </w:r>
      <w:r>
        <w:rPr/>
        <w:t>T</w:t>
      </w:r>
      <w:r>
        <w:rPr>
          <w:spacing w:val="-5"/>
        </w:rPr>
        <w:t> 日的基金份额净值为 </w:t>
      </w:r>
      <w:r>
        <w:rPr/>
        <w:t>1.1000 </w:t>
      </w:r>
      <w:r>
        <w:rPr>
          <w:spacing w:val="1"/>
        </w:rPr>
        <w:t>元，转入易方达策略成长二号混合型基金 </w:t>
      </w:r>
      <w:r>
        <w:rPr/>
        <w:t>T</w:t>
      </w:r>
      <w:r>
        <w:rPr>
          <w:spacing w:val="-8"/>
        </w:rPr>
        <w:t> 日的基金份额净值为 </w:t>
      </w:r>
      <w:r>
        <w:rPr/>
        <w:t>1.020</w:t>
      </w:r>
      <w:r>
        <w:rPr>
          <w:spacing w:val="-4"/>
        </w:rPr>
        <w:t> 元，假设该转出基金的赎回费率为 </w:t>
      </w:r>
      <w:r>
        <w:rPr/>
        <w:t>0.5%</w:t>
      </w:r>
      <w:r>
        <w:rPr>
          <w:spacing w:val="-3"/>
        </w:rPr>
        <w:t>，申购补差费率为 </w:t>
      </w:r>
      <w:r>
        <w:rPr/>
        <w:t>0.5%，则可获得转入基金的易方达策略成长二号混合型基金</w:t>
      </w:r>
    </w:p>
    <w:p>
      <w:pPr>
        <w:spacing w:after="0" w:line="364" w:lineRule="auto"/>
        <w:jc w:val="both"/>
        <w:sectPr>
          <w:pgSz w:w="11910" w:h="16840"/>
          <w:pgMar w:header="0" w:footer="1172" w:top="1580" w:bottom="1440" w:left="1520" w:right="360"/>
        </w:sectPr>
      </w:pPr>
    </w:p>
    <w:p>
      <w:pPr>
        <w:pStyle w:val="BodyText"/>
        <w:spacing w:before="106"/>
        <w:ind w:left="293"/>
      </w:pPr>
      <w:r>
        <w:rPr/>
        <w:t>基金份额计算如下：</w:t>
      </w:r>
    </w:p>
    <w:p>
      <w:pPr>
        <w:pStyle w:val="BodyText"/>
        <w:spacing w:line="364" w:lineRule="auto" w:before="139"/>
        <w:ind w:right="1529"/>
      </w:pPr>
      <w:r>
        <w:rPr/>
        <w:t>转换金额＝转出基金申请份额×转出基金份额净值=10,000×1.1000＝11，000.00 元转出基金赎回费＝转换金额×转出基金赎回费率=11,000.00×0.5%=55.00 元</w:t>
      </w:r>
    </w:p>
    <w:p>
      <w:pPr>
        <w:pStyle w:val="BodyText"/>
        <w:spacing w:line="268" w:lineRule="exact"/>
      </w:pPr>
      <w:r>
        <w:rPr/>
        <w:t>申购补差费=（转换金额-转出基金赎回费）×申购补差费率÷（１＋申购补差费率）=</w:t>
      </w:r>
    </w:p>
    <w:p>
      <w:pPr>
        <w:pStyle w:val="BodyText"/>
        <w:spacing w:before="140"/>
        <w:ind w:left="293"/>
      </w:pPr>
      <w:r>
        <w:rPr/>
        <w:t>（11，000.00-55.00）×0.5%÷(1+0.5%)=54.45 元</w:t>
      </w:r>
    </w:p>
    <w:p>
      <w:pPr>
        <w:pStyle w:val="BodyText"/>
        <w:spacing w:line="364" w:lineRule="auto" w:before="139"/>
        <w:ind w:right="3419"/>
      </w:pPr>
      <w:r>
        <w:rPr/>
        <w:t>转换费＝转出基金赎回费+申购补差费=55.00+54.45＝109.45 元转入金额=转换金额—转换费=11,000.00-109.45=10,890.55 元</w:t>
      </w:r>
    </w:p>
    <w:p>
      <w:pPr>
        <w:pStyle w:val="BodyText"/>
        <w:spacing w:line="268" w:lineRule="exact"/>
      </w:pPr>
      <w:r>
        <w:rPr/>
        <w:t>转入份额=转入金额÷转入基金份额净值=10,890.55÷1.020=10,677.01 份</w:t>
      </w:r>
    </w:p>
    <w:p>
      <w:pPr>
        <w:pStyle w:val="BodyText"/>
        <w:spacing w:before="8"/>
        <w:ind w:left="0"/>
        <w:rPr>
          <w:sz w:val="10"/>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20"/>
              <w:rPr>
                <w:sz w:val="21"/>
              </w:rPr>
            </w:pPr>
            <w:r>
              <w:rPr>
                <w:sz w:val="21"/>
              </w:rPr>
              <w:t>转出份额</w:t>
            </w:r>
          </w:p>
        </w:tc>
        <w:tc>
          <w:tcPr>
            <w:tcW w:w="900" w:type="dxa"/>
            <w:vMerge w:val="restart"/>
          </w:tcPr>
          <w:p>
            <w:pPr>
              <w:pStyle w:val="TableParagraph"/>
              <w:spacing w:line="364" w:lineRule="auto" w:before="3"/>
              <w:ind w:left="135" w:right="124"/>
              <w:rPr>
                <w:sz w:val="21"/>
              </w:rPr>
            </w:pPr>
            <w:r>
              <w:rPr>
                <w:spacing w:val="-7"/>
                <w:sz w:val="21"/>
              </w:rPr>
              <w:t>转出基金份额</w:t>
            </w:r>
          </w:p>
          <w:p>
            <w:pPr>
              <w:pStyle w:val="TableParagraph"/>
              <w:spacing w:line="268" w:lineRule="exact"/>
              <w:ind w:left="240"/>
              <w:rPr>
                <w:sz w:val="21"/>
              </w:rPr>
            </w:pPr>
            <w:r>
              <w:rPr>
                <w:sz w:val="21"/>
              </w:rPr>
              <w:t>净值</w:t>
            </w:r>
          </w:p>
        </w:tc>
        <w:tc>
          <w:tcPr>
            <w:tcW w:w="1440" w:type="dxa"/>
            <w:vMerge w:val="restart"/>
          </w:tcPr>
          <w:p>
            <w:pPr>
              <w:pStyle w:val="TableParagraph"/>
              <w:spacing w:before="3"/>
              <w:ind w:left="300"/>
              <w:rPr>
                <w:sz w:val="21"/>
              </w:rPr>
            </w:pPr>
            <w:r>
              <w:rPr>
                <w:sz w:val="21"/>
              </w:rPr>
              <w:t>转换金额</w:t>
            </w:r>
          </w:p>
        </w:tc>
        <w:tc>
          <w:tcPr>
            <w:tcW w:w="2340" w:type="dxa"/>
            <w:gridSpan w:val="2"/>
          </w:tcPr>
          <w:p>
            <w:pPr>
              <w:pStyle w:val="TableParagraph"/>
              <w:spacing w:before="3"/>
              <w:ind w:left="834" w:right="825"/>
              <w:jc w:val="center"/>
              <w:rPr>
                <w:sz w:val="21"/>
              </w:rPr>
            </w:pPr>
            <w:r>
              <w:rPr>
                <w:sz w:val="21"/>
              </w:rPr>
              <w:t>转换费</w:t>
            </w:r>
          </w:p>
        </w:tc>
        <w:tc>
          <w:tcPr>
            <w:tcW w:w="1440" w:type="dxa"/>
            <w:vMerge w:val="restart"/>
          </w:tcPr>
          <w:p>
            <w:pPr>
              <w:pStyle w:val="TableParagraph"/>
              <w:spacing w:before="3"/>
              <w:ind w:left="300"/>
              <w:rPr>
                <w:sz w:val="21"/>
              </w:rPr>
            </w:pPr>
            <w:r>
              <w:rPr>
                <w:sz w:val="21"/>
              </w:rPr>
              <w:t>转入金额</w:t>
            </w:r>
          </w:p>
        </w:tc>
        <w:tc>
          <w:tcPr>
            <w:tcW w:w="1185" w:type="dxa"/>
            <w:vMerge w:val="restart"/>
          </w:tcPr>
          <w:p>
            <w:pPr>
              <w:pStyle w:val="TableParagraph"/>
              <w:spacing w:line="364" w:lineRule="auto" w:before="3"/>
              <w:ind w:left="172" w:right="160"/>
              <w:rPr>
                <w:sz w:val="21"/>
              </w:rPr>
            </w:pPr>
            <w:r>
              <w:rPr>
                <w:sz w:val="21"/>
              </w:rPr>
              <w:t>转入基金份额净值</w:t>
            </w:r>
          </w:p>
        </w:tc>
        <w:tc>
          <w:tcPr>
            <w:tcW w:w="1335" w:type="dxa"/>
            <w:vMerge w:val="restart"/>
          </w:tcPr>
          <w:p>
            <w:pPr>
              <w:pStyle w:val="TableParagraph"/>
              <w:spacing w:before="3"/>
              <w:ind w:left="247"/>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190" w:right="180"/>
              <w:jc w:val="center"/>
              <w:rPr>
                <w:sz w:val="21"/>
              </w:rPr>
            </w:pPr>
            <w:r>
              <w:rPr>
                <w:sz w:val="21"/>
              </w:rPr>
              <w:t>转出基金</w:t>
            </w:r>
          </w:p>
          <w:p>
            <w:pPr>
              <w:pStyle w:val="TableParagraph"/>
              <w:spacing w:before="139"/>
              <w:ind w:left="190" w:right="180"/>
              <w:jc w:val="center"/>
              <w:rPr>
                <w:sz w:val="21"/>
              </w:rPr>
            </w:pPr>
            <w:r>
              <w:rPr>
                <w:sz w:val="21"/>
              </w:rPr>
              <w:t>赎回费</w:t>
            </w:r>
          </w:p>
        </w:tc>
        <w:tc>
          <w:tcPr>
            <w:tcW w:w="1080" w:type="dxa"/>
          </w:tcPr>
          <w:p>
            <w:pPr>
              <w:pStyle w:val="TableParagraph"/>
              <w:spacing w:before="3"/>
              <w:ind w:left="100" w:right="90"/>
              <w:jc w:val="center"/>
              <w:rPr>
                <w:sz w:val="21"/>
              </w:rPr>
            </w:pPr>
            <w:r>
              <w:rPr>
                <w:sz w:val="21"/>
              </w:rPr>
              <w:t>申购补差</w:t>
            </w:r>
          </w:p>
          <w:p>
            <w:pPr>
              <w:pStyle w:val="TableParagraph"/>
              <w:spacing w:before="139"/>
              <w:ind w:left="10"/>
              <w:jc w:val="center"/>
              <w:rPr>
                <w:sz w:val="21"/>
              </w:rPr>
            </w:pPr>
            <w:r>
              <w:rPr>
                <w:sz w:val="21"/>
              </w:rPr>
              <w:t>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816" w:hRule="atLeast"/>
        </w:trPr>
        <w:tc>
          <w:tcPr>
            <w:tcW w:w="1080" w:type="dxa"/>
          </w:tcPr>
          <w:p>
            <w:pPr>
              <w:pStyle w:val="TableParagraph"/>
              <w:spacing w:before="3"/>
              <w:ind w:left="50" w:right="90"/>
              <w:jc w:val="center"/>
              <w:rPr>
                <w:sz w:val="21"/>
              </w:rPr>
            </w:pPr>
            <w:r>
              <w:rPr>
                <w:sz w:val="21"/>
              </w:rPr>
              <w:t>10,000</w:t>
            </w:r>
          </w:p>
          <w:p>
            <w:pPr>
              <w:pStyle w:val="TableParagraph"/>
              <w:spacing w:before="139"/>
              <w:ind w:left="10"/>
              <w:jc w:val="center"/>
              <w:rPr>
                <w:sz w:val="21"/>
              </w:rPr>
            </w:pPr>
            <w:r>
              <w:rPr>
                <w:sz w:val="21"/>
              </w:rPr>
              <w:t>份</w:t>
            </w:r>
          </w:p>
        </w:tc>
        <w:tc>
          <w:tcPr>
            <w:tcW w:w="900" w:type="dxa"/>
          </w:tcPr>
          <w:p>
            <w:pPr>
              <w:pStyle w:val="TableParagraph"/>
              <w:spacing w:before="3"/>
              <w:ind w:left="90" w:right="130"/>
              <w:jc w:val="center"/>
              <w:rPr>
                <w:sz w:val="21"/>
              </w:rPr>
            </w:pPr>
            <w:r>
              <w:rPr>
                <w:sz w:val="21"/>
              </w:rPr>
              <w:t>1.1000</w:t>
            </w:r>
          </w:p>
          <w:p>
            <w:pPr>
              <w:pStyle w:val="TableParagraph"/>
              <w:spacing w:before="139"/>
              <w:ind w:left="10"/>
              <w:jc w:val="center"/>
              <w:rPr>
                <w:sz w:val="21"/>
              </w:rPr>
            </w:pPr>
            <w:r>
              <w:rPr>
                <w:sz w:val="21"/>
              </w:rPr>
              <w:t>元</w:t>
            </w:r>
          </w:p>
        </w:tc>
        <w:tc>
          <w:tcPr>
            <w:tcW w:w="1440" w:type="dxa"/>
          </w:tcPr>
          <w:p>
            <w:pPr>
              <w:pStyle w:val="TableParagraph"/>
              <w:spacing w:before="3"/>
              <w:ind w:left="114"/>
              <w:rPr>
                <w:sz w:val="21"/>
              </w:rPr>
            </w:pPr>
            <w:r>
              <w:rPr>
                <w:sz w:val="21"/>
              </w:rPr>
              <w:t>11,000.00 元</w:t>
            </w:r>
          </w:p>
        </w:tc>
        <w:tc>
          <w:tcPr>
            <w:tcW w:w="1260" w:type="dxa"/>
          </w:tcPr>
          <w:p>
            <w:pPr>
              <w:pStyle w:val="TableParagraph"/>
              <w:spacing w:before="3"/>
              <w:ind w:left="236"/>
              <w:rPr>
                <w:sz w:val="21"/>
              </w:rPr>
            </w:pPr>
            <w:r>
              <w:rPr>
                <w:sz w:val="21"/>
              </w:rPr>
              <w:t>55.00 元</w:t>
            </w:r>
          </w:p>
        </w:tc>
        <w:tc>
          <w:tcPr>
            <w:tcW w:w="1080" w:type="dxa"/>
          </w:tcPr>
          <w:p>
            <w:pPr>
              <w:pStyle w:val="TableParagraph"/>
              <w:spacing w:before="3"/>
              <w:ind w:left="146"/>
              <w:rPr>
                <w:sz w:val="21"/>
              </w:rPr>
            </w:pPr>
            <w:r>
              <w:rPr>
                <w:sz w:val="21"/>
              </w:rPr>
              <w:t>54.45 元</w:t>
            </w:r>
          </w:p>
        </w:tc>
        <w:tc>
          <w:tcPr>
            <w:tcW w:w="1440" w:type="dxa"/>
          </w:tcPr>
          <w:p>
            <w:pPr>
              <w:pStyle w:val="TableParagraph"/>
              <w:spacing w:before="3"/>
              <w:ind w:left="114"/>
              <w:rPr>
                <w:sz w:val="21"/>
              </w:rPr>
            </w:pPr>
            <w:r>
              <w:rPr>
                <w:sz w:val="21"/>
              </w:rPr>
              <w:t>10,890.55 元</w:t>
            </w:r>
          </w:p>
        </w:tc>
        <w:tc>
          <w:tcPr>
            <w:tcW w:w="1185" w:type="dxa"/>
          </w:tcPr>
          <w:p>
            <w:pPr>
              <w:pStyle w:val="TableParagraph"/>
              <w:spacing w:before="3"/>
              <w:ind w:left="198"/>
              <w:rPr>
                <w:sz w:val="21"/>
              </w:rPr>
            </w:pPr>
            <w:r>
              <w:rPr>
                <w:sz w:val="21"/>
              </w:rPr>
              <w:t>1.020 元</w:t>
            </w:r>
          </w:p>
        </w:tc>
        <w:tc>
          <w:tcPr>
            <w:tcW w:w="1335" w:type="dxa"/>
          </w:tcPr>
          <w:p>
            <w:pPr>
              <w:pStyle w:val="TableParagraph"/>
              <w:spacing w:before="3"/>
              <w:ind w:left="148" w:right="191"/>
              <w:jc w:val="center"/>
              <w:rPr>
                <w:sz w:val="21"/>
              </w:rPr>
            </w:pPr>
            <w:r>
              <w:rPr>
                <w:sz w:val="21"/>
              </w:rPr>
              <w:t>10,677.01</w:t>
            </w:r>
          </w:p>
          <w:p>
            <w:pPr>
              <w:pStyle w:val="TableParagraph"/>
              <w:spacing w:before="139"/>
              <w:ind w:left="10"/>
              <w:jc w:val="center"/>
              <w:rPr>
                <w:sz w:val="21"/>
              </w:rPr>
            </w:pPr>
            <w:r>
              <w:rPr>
                <w:sz w:val="21"/>
              </w:rPr>
              <w:t>份</w:t>
            </w:r>
          </w:p>
        </w:tc>
      </w:tr>
    </w:tbl>
    <w:p>
      <w:pPr>
        <w:pStyle w:val="Heading4"/>
        <w:spacing w:line="364" w:lineRule="auto" w:before="3"/>
      </w:pPr>
      <w:r>
        <w:rPr>
          <w:spacing w:val="3"/>
        </w:rPr>
        <w:t>注：本基金转出至易方达平稳增长混合、易方达策略成长混合、易方达积极成长混合、易方达货币、易方达稳健收益债券时，转入份额的计算结果保留到小数点后两位，小数点两位以后舍去，舍去部分所代表的资产归基金财产所有；本基金转</w:t>
      </w:r>
      <w:r>
        <w:rPr/>
        <w:t>出至易方达天天理财货币、易方达信用债债券、易方达纯债 1</w:t>
      </w:r>
      <w:r>
        <w:rPr>
          <w:spacing w:val="-5"/>
        </w:rPr>
        <w:t> 年定期开放债券、易</w:t>
      </w:r>
      <w:r>
        <w:rPr>
          <w:spacing w:val="3"/>
        </w:rPr>
        <w:t>方达高等级信用债债券、易方达裕丰回报债券、易方达丰华债券、易方达投资级信</w:t>
      </w:r>
      <w:r>
        <w:rPr>
          <w:spacing w:val="4"/>
        </w:rPr>
        <w:t>用债债券、易方达恒久 </w:t>
      </w:r>
      <w:r>
        <w:rPr/>
        <w:t>1</w:t>
      </w:r>
      <w:r>
        <w:rPr>
          <w:spacing w:val="-2"/>
        </w:rPr>
        <w:t> 年定期债券、易方达黄金 </w:t>
      </w:r>
      <w:r>
        <w:rPr/>
        <w:t>ETF</w:t>
      </w:r>
      <w:r>
        <w:rPr>
          <w:spacing w:val="2"/>
        </w:rPr>
        <w:t> 联接、易方达新兴成长混</w:t>
      </w:r>
      <w:r>
        <w:rPr>
          <w:spacing w:val="3"/>
        </w:rPr>
        <w:t>合、易方达裕惠定开混合发起式、易方达创新驱动混合、易方达现金增利货币、易方达财富快线货币、易方达天天增利货币、易方达龙宝货币、易方达天天发货币、</w:t>
      </w:r>
      <w:r>
        <w:rPr>
          <w:spacing w:val="-1"/>
        </w:rPr>
        <w:t>易方达掌柜季季盈理财债券、易方达沪深 </w:t>
      </w:r>
      <w:r>
        <w:rPr/>
        <w:t>300</w:t>
      </w:r>
      <w:r>
        <w:rPr>
          <w:spacing w:val="-5"/>
        </w:rPr>
        <w:t> 非银联接、易方达增金宝货币、易方</w:t>
      </w:r>
      <w:r>
        <w:rPr>
          <w:spacing w:val="3"/>
        </w:rPr>
        <w:t>达新经济混合、易方达改革红利混合、易方达裕如混合、易方达安心回馈混合、易方达新常态混合、易方达新收益混合、易方达新利混合、易方达新鑫混合、易方达</w:t>
      </w:r>
      <w:r>
        <w:rPr>
          <w:spacing w:val="-1"/>
        </w:rPr>
        <w:t>新益混合、易方达新享混合、易方达沪深 </w:t>
      </w:r>
      <w:r>
        <w:rPr/>
        <w:t>300</w:t>
      </w:r>
      <w:r>
        <w:rPr>
          <w:spacing w:val="-29"/>
        </w:rPr>
        <w:t> 医药 </w:t>
      </w:r>
      <w:r>
        <w:rPr/>
        <w:t>ETF</w:t>
      </w:r>
      <w:r>
        <w:rPr>
          <w:spacing w:val="-4"/>
        </w:rPr>
        <w:t> 联接、易方达新丝路混合、</w:t>
      </w:r>
      <w:r>
        <w:rPr>
          <w:spacing w:val="3"/>
        </w:rPr>
        <w:t>易方达国企改革混合、易方达瑞景混合、易方达瑞享混合、易方达瑞信混合、易方</w:t>
      </w:r>
      <w:r>
        <w:rPr/>
        <w:t>达瑞选混合、易方达国防军工混合、易方达中债 3-5</w:t>
      </w:r>
      <w:r>
        <w:rPr>
          <w:spacing w:val="-5"/>
        </w:rPr>
        <w:t> 年期国债指数、易方达信息产</w:t>
      </w:r>
      <w:r>
        <w:rPr>
          <w:spacing w:val="3"/>
        </w:rPr>
        <w:t>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w:t>
      </w:r>
    </w:p>
    <w:p>
      <w:pPr>
        <w:spacing w:after="0" w:line="364" w:lineRule="auto"/>
        <w:sectPr>
          <w:pgSz w:w="11910" w:h="16840"/>
          <w:pgMar w:header="0" w:footer="1172" w:top="1580" w:bottom="1440" w:left="1520" w:right="360"/>
        </w:sectPr>
      </w:pPr>
    </w:p>
    <w:p>
      <w:pPr>
        <w:spacing w:line="364" w:lineRule="auto" w:before="106"/>
        <w:ind w:left="293" w:right="935" w:firstLine="0"/>
        <w:jc w:val="both"/>
        <w:rPr>
          <w:sz w:val="24"/>
        </w:rPr>
      </w:pPr>
      <w:r>
        <w:rPr>
          <w:spacing w:val="-1"/>
          <w:sz w:val="24"/>
        </w:rPr>
        <w:t>达裕祥回报债券、易方达裕景添利 </w:t>
      </w:r>
      <w:r>
        <w:rPr>
          <w:sz w:val="24"/>
        </w:rPr>
        <w:t>6</w:t>
      </w:r>
      <w:r>
        <w:rPr>
          <w:spacing w:val="-5"/>
          <w:sz w:val="24"/>
        </w:rPr>
        <w:t> 个月定期开放债券、易方达丰惠混合、易方达</w:t>
      </w:r>
      <w:r>
        <w:rPr>
          <w:spacing w:val="3"/>
          <w:sz w:val="24"/>
        </w:rPr>
        <w:t>供给改革混合、易方达丰和债券、易方达裕鑫债券、易方达富惠纯债债券、易方达</w:t>
      </w:r>
      <w:r>
        <w:rPr>
          <w:spacing w:val="-3"/>
          <w:sz w:val="24"/>
        </w:rPr>
        <w:t>科瑞混合、易方达中债 </w:t>
      </w:r>
      <w:r>
        <w:rPr>
          <w:sz w:val="24"/>
        </w:rPr>
        <w:t>7-10</w:t>
      </w:r>
      <w:r>
        <w:rPr>
          <w:spacing w:val="-8"/>
          <w:sz w:val="24"/>
        </w:rPr>
        <w:t> 年期国开行债券指数、易方达瑞通混合、易方达瑞弘混</w:t>
      </w:r>
      <w:r>
        <w:rPr>
          <w:spacing w:val="10"/>
          <w:sz w:val="24"/>
        </w:rPr>
        <w:t>合、易方达瑞程混合、易方达恒益定开债券发起式、易方达易百智能量化策略混</w:t>
      </w:r>
      <w:r>
        <w:rPr>
          <w:spacing w:val="3"/>
          <w:sz w:val="24"/>
        </w:rPr>
        <w:t>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MSCI</w:t>
      </w:r>
      <w:r>
        <w:rPr>
          <w:spacing w:val="-27"/>
          <w:sz w:val="24"/>
        </w:rPr>
        <w:t> 中国 </w:t>
      </w:r>
      <w:r>
        <w:rPr>
          <w:sz w:val="24"/>
        </w:rPr>
        <w:t>A</w:t>
      </w:r>
      <w:r>
        <w:rPr>
          <w:spacing w:val="-16"/>
          <w:sz w:val="24"/>
        </w:rPr>
        <w:t> 股国际通 </w:t>
      </w:r>
      <w:r>
        <w:rPr>
          <w:sz w:val="24"/>
        </w:rPr>
        <w:t>ETF</w:t>
      </w:r>
      <w:r>
        <w:rPr>
          <w:spacing w:val="-5"/>
          <w:sz w:val="24"/>
        </w:rPr>
        <w:t> 联接发起式、易方达中证 </w:t>
      </w:r>
      <w:r>
        <w:rPr>
          <w:sz w:val="24"/>
        </w:rPr>
        <w:t>500ETF</w:t>
      </w:r>
      <w:r>
        <w:rPr>
          <w:spacing w:val="-2"/>
          <w:sz w:val="24"/>
        </w:rPr>
        <w:t> 联接发起式、易方达恒</w:t>
      </w:r>
      <w:r>
        <w:rPr>
          <w:spacing w:val="-28"/>
          <w:sz w:val="24"/>
        </w:rPr>
        <w:t>利 </w:t>
      </w:r>
      <w:r>
        <w:rPr>
          <w:sz w:val="24"/>
        </w:rPr>
        <w:t>3</w:t>
      </w:r>
      <w:r>
        <w:rPr>
          <w:spacing w:val="-7"/>
          <w:sz w:val="24"/>
        </w:rPr>
        <w:t> 个月定开债券发起式、易方达中债 </w:t>
      </w:r>
      <w:r>
        <w:rPr>
          <w:sz w:val="24"/>
        </w:rPr>
        <w:t>1-3</w:t>
      </w:r>
      <w:r>
        <w:rPr>
          <w:spacing w:val="-8"/>
          <w:sz w:val="24"/>
        </w:rPr>
        <w:t> 年国开行债券指数、易方达中债 </w:t>
      </w:r>
      <w:r>
        <w:rPr>
          <w:sz w:val="24"/>
        </w:rPr>
        <w:t>3-5</w:t>
      </w:r>
      <w:r>
        <w:rPr>
          <w:spacing w:val="-36"/>
          <w:sz w:val="24"/>
        </w:rPr>
        <w:t> 年</w:t>
      </w:r>
      <w:r>
        <w:rPr>
          <w:spacing w:val="-2"/>
          <w:sz w:val="24"/>
        </w:rPr>
        <w:t>国开行债券指数、易方达中债 </w:t>
      </w:r>
      <w:r>
        <w:rPr>
          <w:sz w:val="24"/>
        </w:rPr>
        <w:t>1-3</w:t>
      </w:r>
      <w:r>
        <w:rPr>
          <w:spacing w:val="-8"/>
          <w:sz w:val="24"/>
        </w:rPr>
        <w:t> 年政金债指数、易方达中债 </w:t>
      </w:r>
      <w:r>
        <w:rPr>
          <w:sz w:val="24"/>
        </w:rPr>
        <w:t>3-5</w:t>
      </w:r>
      <w:r>
        <w:rPr>
          <w:spacing w:val="-7"/>
          <w:sz w:val="24"/>
        </w:rPr>
        <w:t> 年政金债指数、</w:t>
      </w:r>
      <w:r>
        <w:rPr>
          <w:spacing w:val="-6"/>
          <w:sz w:val="24"/>
        </w:rPr>
        <w:t>易方达上证 </w:t>
      </w:r>
      <w:r>
        <w:rPr>
          <w:sz w:val="24"/>
        </w:rPr>
        <w:t>50ETF</w:t>
      </w:r>
      <w:r>
        <w:rPr>
          <w:spacing w:val="-8"/>
          <w:sz w:val="24"/>
        </w:rPr>
        <w:t> 联接发起式、易方达恒兴 </w:t>
      </w:r>
      <w:r>
        <w:rPr>
          <w:sz w:val="24"/>
        </w:rPr>
        <w:t>3</w:t>
      </w:r>
      <w:r>
        <w:rPr>
          <w:spacing w:val="-8"/>
          <w:sz w:val="24"/>
        </w:rPr>
        <w:t> 个月定开债券发起式、易方达 </w:t>
      </w:r>
      <w:r>
        <w:rPr>
          <w:sz w:val="24"/>
        </w:rPr>
        <w:t>ESG</w:t>
      </w:r>
      <w:r>
        <w:rPr>
          <w:spacing w:val="-30"/>
          <w:sz w:val="24"/>
        </w:rPr>
        <w:t> 责</w:t>
      </w:r>
      <w:r>
        <w:rPr>
          <w:spacing w:val="-32"/>
          <w:sz w:val="24"/>
        </w:rPr>
        <w:t>任投资股票发起式、易方达中证 </w:t>
      </w:r>
      <w:r>
        <w:rPr>
          <w:sz w:val="24"/>
        </w:rPr>
        <w:t>800ETF</w:t>
      </w:r>
      <w:r>
        <w:rPr>
          <w:spacing w:val="-12"/>
          <w:sz w:val="24"/>
        </w:rPr>
        <w:t> 联接发起式、易方达恒盛 </w:t>
      </w:r>
      <w:r>
        <w:rPr>
          <w:sz w:val="24"/>
        </w:rPr>
        <w:t>3</w:t>
      </w:r>
      <w:r>
        <w:rPr>
          <w:spacing w:val="-8"/>
          <w:sz w:val="24"/>
        </w:rPr>
        <w:t> 个月定开混合发</w:t>
      </w:r>
      <w:r>
        <w:rPr>
          <w:spacing w:val="3"/>
          <w:sz w:val="24"/>
        </w:rPr>
        <w:t>起式、易方达价值精选混合、易方达价值成长混合、易方达中小盘混合、易方达科汇灵活配置混合、易方达科翔混合、易方达行业领先混合、易方达增强回报债券、</w:t>
      </w:r>
      <w:r>
        <w:rPr>
          <w:spacing w:val="-6"/>
          <w:sz w:val="24"/>
        </w:rPr>
        <w:t>易方达深证 </w:t>
      </w:r>
      <w:r>
        <w:rPr>
          <w:sz w:val="24"/>
        </w:rPr>
        <w:t>100ETF</w:t>
      </w:r>
      <w:r>
        <w:rPr>
          <w:spacing w:val="-10"/>
          <w:sz w:val="24"/>
        </w:rPr>
        <w:t> 联接、易方达沪深 </w:t>
      </w:r>
      <w:r>
        <w:rPr>
          <w:sz w:val="24"/>
        </w:rPr>
        <w:t>300ETF</w:t>
      </w:r>
      <w:r>
        <w:rPr>
          <w:spacing w:val="-7"/>
          <w:sz w:val="24"/>
        </w:rPr>
        <w:t> 发起式联接、易方达上证中盘 </w:t>
      </w:r>
      <w:r>
        <w:rPr>
          <w:sz w:val="24"/>
        </w:rPr>
        <w:t>ETF</w:t>
      </w:r>
      <w:r>
        <w:rPr>
          <w:spacing w:val="-30"/>
          <w:sz w:val="24"/>
        </w:rPr>
        <w:t> 联</w:t>
      </w:r>
      <w:r>
        <w:rPr>
          <w:spacing w:val="3"/>
          <w:sz w:val="24"/>
        </w:rPr>
        <w:t>接、易方达消费行业股票、易方达医疗保健行业混合、易方达资源行业混合、易方</w:t>
      </w:r>
      <w:r>
        <w:rPr>
          <w:spacing w:val="-9"/>
          <w:sz w:val="24"/>
        </w:rPr>
        <w:t>达创业板 </w:t>
      </w:r>
      <w:r>
        <w:rPr>
          <w:sz w:val="24"/>
        </w:rPr>
        <w:t>ETF</w:t>
      </w:r>
      <w:r>
        <w:rPr>
          <w:spacing w:val="-6"/>
          <w:sz w:val="24"/>
        </w:rPr>
        <w:t> 联接、易方达安心回报债券、易方达科讯混合、易方达沪深 </w:t>
      </w:r>
      <w:r>
        <w:rPr>
          <w:sz w:val="24"/>
        </w:rPr>
        <w:t>300</w:t>
      </w:r>
      <w:r>
        <w:rPr>
          <w:spacing w:val="-19"/>
          <w:sz w:val="24"/>
        </w:rPr>
        <w:t> 量化</w:t>
      </w:r>
      <w:r>
        <w:rPr>
          <w:spacing w:val="3"/>
          <w:sz w:val="24"/>
        </w:rPr>
        <w:t>增强、易方达双债增强债券、易方达纯债债券、易方达月月利理财债券、易方达安源中短债债券、易方达策略成长二号混合、易方达易理财货币市场基金、易方达中</w:t>
      </w:r>
      <w:r>
        <w:rPr>
          <w:spacing w:val="-5"/>
          <w:sz w:val="24"/>
        </w:rPr>
        <w:t>证国企一带一路 </w:t>
      </w:r>
      <w:r>
        <w:rPr>
          <w:sz w:val="24"/>
        </w:rPr>
        <w:t>ETF</w:t>
      </w:r>
      <w:r>
        <w:rPr>
          <w:spacing w:val="-5"/>
          <w:sz w:val="24"/>
        </w:rPr>
        <w:t> 联接、易方达研究精选股票、易方达高端制造混合发起式、易</w:t>
      </w:r>
      <w:r>
        <w:rPr>
          <w:spacing w:val="3"/>
          <w:sz w:val="24"/>
        </w:rPr>
        <w:t>方达裕富债券时，转入份额的计算结果保留到小数点后两位，小数点后两位以后的</w:t>
      </w:r>
      <w:r>
        <w:rPr>
          <w:spacing w:val="10"/>
          <w:sz w:val="24"/>
        </w:rPr>
        <w:t>部分四舍五入，由此误差产生的损失由基金财产承担，产生的收益归基金财产所有。</w:t>
      </w:r>
    </w:p>
    <w:p>
      <w:pPr>
        <w:pStyle w:val="BodyText"/>
        <w:spacing w:line="256" w:lineRule="exact"/>
        <w:jc w:val="both"/>
      </w:pPr>
      <w:r>
        <w:rPr/>
        <w:t>4、T 日的基金份额净值在当天收市后计算，并在 T+1 日内公告。遇特殊情况，可以适当延</w:t>
      </w:r>
    </w:p>
    <w:p>
      <w:pPr>
        <w:pStyle w:val="BodyText"/>
        <w:spacing w:before="140"/>
        <w:ind w:left="293"/>
      </w:pPr>
      <w:r>
        <w:rPr/>
        <w:t>迟计算或公告。其计算公式为：</w:t>
      </w:r>
    </w:p>
    <w:p>
      <w:pPr>
        <w:pStyle w:val="BodyText"/>
        <w:spacing w:before="139"/>
      </w:pPr>
      <w:r>
        <w:rPr/>
        <w:t>基金份额净值=计算日基金资产净值÷计算日基金总份额</w:t>
      </w:r>
    </w:p>
    <w:p>
      <w:pPr>
        <w:pStyle w:val="BodyText"/>
        <w:spacing w:line="364" w:lineRule="auto" w:before="140"/>
        <w:ind w:left="293" w:right="936" w:firstLine="420"/>
      </w:pPr>
      <w:r>
        <w:rPr/>
        <w:t>5</w:t>
      </w:r>
      <w:r>
        <w:rPr>
          <w:spacing w:val="-9"/>
        </w:rPr>
        <w:t>、本基金 </w:t>
      </w:r>
      <w:r>
        <w:rPr/>
        <w:t>A</w:t>
      </w:r>
      <w:r>
        <w:rPr>
          <w:spacing w:val="-5"/>
        </w:rPr>
        <w:t> 类基金份额的申购费由申购人承担，不计入基金财产，</w:t>
      </w:r>
      <w:r>
        <w:rPr/>
        <w:t>C</w:t>
      </w:r>
      <w:r>
        <w:rPr>
          <w:spacing w:val="-5"/>
        </w:rPr>
        <w:t> 类基金份额不收取申</w:t>
      </w:r>
      <w:r>
        <w:rPr>
          <w:spacing w:val="1"/>
        </w:rPr>
        <w:t>购费；本基金的赎回费由赎回人承担，其中对持续持有期大于 </w:t>
      </w:r>
      <w:r>
        <w:rPr/>
        <w:t>7</w:t>
      </w:r>
      <w:r>
        <w:rPr>
          <w:spacing w:val="-25"/>
        </w:rPr>
        <w:t> 天</w:t>
      </w:r>
      <w:r>
        <w:rPr>
          <w:spacing w:val="4"/>
        </w:rPr>
        <w:t>（含）</w:t>
      </w:r>
      <w:r>
        <w:rPr>
          <w:spacing w:val="-24"/>
        </w:rPr>
        <w:t>的 </w:t>
      </w:r>
      <w:r>
        <w:rPr/>
        <w:t>A</w:t>
      </w:r>
      <w:r>
        <w:rPr>
          <w:spacing w:val="-5"/>
        </w:rPr>
        <w:t> 类基金份额的投</w:t>
      </w:r>
    </w:p>
    <w:p>
      <w:pPr>
        <w:spacing w:after="0" w:line="364" w:lineRule="auto"/>
        <w:sectPr>
          <w:pgSz w:w="11910" w:h="16840"/>
          <w:pgMar w:header="0" w:footer="1172" w:top="1580" w:bottom="1440" w:left="1520" w:right="360"/>
        </w:sectPr>
      </w:pPr>
    </w:p>
    <w:p>
      <w:pPr>
        <w:pStyle w:val="BodyText"/>
        <w:spacing w:line="364" w:lineRule="auto" w:before="106"/>
        <w:ind w:left="293" w:right="936"/>
        <w:jc w:val="both"/>
      </w:pPr>
      <w:r>
        <w:rPr>
          <w:spacing w:val="-6"/>
        </w:rPr>
        <w:t>资者收取的赎回费的 </w:t>
      </w:r>
      <w:r>
        <w:rPr/>
        <w:t>25%</w:t>
      </w:r>
      <w:r>
        <w:rPr>
          <w:spacing w:val="-2"/>
        </w:rPr>
        <w:t>归入基金财产，其余用于支付注册登记费和其他必要的手续费，对 </w:t>
      </w:r>
      <w:r>
        <w:rPr/>
        <w:t>C</w:t>
      </w:r>
      <w:r>
        <w:rPr>
          <w:spacing w:val="-27"/>
        </w:rPr>
        <w:t> 类</w:t>
      </w:r>
      <w:r>
        <w:rPr>
          <w:spacing w:val="1"/>
        </w:rPr>
        <w:t>基金份额的投资者收取的赎回费全额计入基金财产。对持续持有期少于 </w:t>
      </w:r>
      <w:r>
        <w:rPr/>
        <w:t>7</w:t>
      </w:r>
      <w:r>
        <w:rPr>
          <w:spacing w:val="-25"/>
        </w:rPr>
        <w:t> 天</w:t>
      </w:r>
      <w:r>
        <w:rPr>
          <w:spacing w:val="4"/>
        </w:rPr>
        <w:t>（不含）</w:t>
      </w:r>
      <w:r>
        <w:rPr>
          <w:spacing w:val="-24"/>
        </w:rPr>
        <w:t>的 </w:t>
      </w:r>
      <w:r>
        <w:rPr/>
        <w:t>A</w:t>
      </w:r>
      <w:r>
        <w:rPr>
          <w:spacing w:val="-17"/>
        </w:rPr>
        <w:t> 类基</w:t>
      </w:r>
      <w:r>
        <w:rPr>
          <w:spacing w:val="11"/>
        </w:rPr>
        <w:t>金份额、</w:t>
      </w:r>
      <w:r>
        <w:rPr/>
        <w:t>C</w:t>
      </w:r>
      <w:r>
        <w:rPr>
          <w:spacing w:val="-2"/>
        </w:rPr>
        <w:t> 类基金份额的投资者收取的赎回费调整为 </w:t>
      </w:r>
      <w:r>
        <w:rPr>
          <w:spacing w:val="2"/>
        </w:rPr>
        <w:t>1.5%</w:t>
      </w:r>
      <w:r>
        <w:rPr>
          <w:spacing w:val="3"/>
        </w:rPr>
        <w:t>，并将上述对持续持有期少于 </w:t>
      </w:r>
      <w:r>
        <w:rPr/>
        <w:t>7</w:t>
      </w:r>
      <w:r>
        <w:rPr>
          <w:spacing w:val="-27"/>
        </w:rPr>
        <w:t> 天</w:t>
      </w:r>
    </w:p>
    <w:p>
      <w:pPr>
        <w:pStyle w:val="BodyText"/>
        <w:spacing w:line="364" w:lineRule="auto"/>
        <w:ind w:left="293" w:right="936"/>
        <w:jc w:val="both"/>
      </w:pPr>
      <w:r>
        <w:rPr/>
        <w:t>（不含）的投资者收取的赎回费全额计入基金财产。本基金的转换费用由投资者承担，基金转换费用由转出基金赎回费用和基金申购补差费用构成，其中转出基金赎回费按照各基金的基金合同、更新的招募说明书及最新的相关公告约定的比例归入基金财产，其余部分用于支付注册登记费等相关手续费。</w:t>
      </w:r>
    </w:p>
    <w:p>
      <w:pPr>
        <w:pStyle w:val="Heading2"/>
        <w:spacing w:line="358" w:lineRule="exact"/>
      </w:pPr>
      <w:bookmarkStart w:name="_bookmark22" w:id="23"/>
      <w:bookmarkEnd w:id="23"/>
      <w:r>
        <w:rPr/>
      </w:r>
      <w:r>
        <w:rPr/>
        <w:t>（八）申购、赎回和转换的注册登记</w:t>
      </w:r>
    </w:p>
    <w:p>
      <w:pPr>
        <w:pStyle w:val="BodyText"/>
        <w:spacing w:line="364" w:lineRule="auto" w:before="183"/>
        <w:ind w:left="293" w:right="936" w:firstLine="420"/>
        <w:jc w:val="both"/>
      </w:pPr>
      <w:r>
        <w:rPr/>
        <w:t>1</w:t>
      </w:r>
      <w:r>
        <w:rPr>
          <w:spacing w:val="-1"/>
        </w:rPr>
        <w:t>、正常情况下，投资者申购基金份额成功后，基金注册登记机构在 </w:t>
      </w:r>
      <w:r>
        <w:rPr/>
        <w:t>T+1</w:t>
      </w:r>
      <w:r>
        <w:rPr>
          <w:spacing w:val="-5"/>
        </w:rPr>
        <w:t> 工作日为投资者增</w:t>
      </w:r>
      <w:r>
        <w:rPr>
          <w:spacing w:val="-8"/>
        </w:rPr>
        <w:t>加权益并办理注册登记手续，投资者自 </w:t>
      </w:r>
      <w:r>
        <w:rPr/>
        <w:t>T+2</w:t>
      </w:r>
      <w:r>
        <w:rPr>
          <w:spacing w:val="-8"/>
        </w:rPr>
        <w:t> 工作日起有权赎回该部分基金份额。</w:t>
      </w:r>
    </w:p>
    <w:p>
      <w:pPr>
        <w:pStyle w:val="BodyText"/>
        <w:spacing w:line="364" w:lineRule="auto"/>
        <w:ind w:left="293" w:right="936" w:firstLine="420"/>
        <w:jc w:val="both"/>
      </w:pPr>
      <w:r>
        <w:rPr/>
        <w:t>2</w:t>
      </w:r>
      <w:r>
        <w:rPr>
          <w:spacing w:val="-1"/>
        </w:rPr>
        <w:t>、投资者赎回基金份额成功后，基金注册登记机构在 </w:t>
      </w:r>
      <w:r>
        <w:rPr/>
        <w:t>T+1</w:t>
      </w:r>
      <w:r>
        <w:rPr>
          <w:spacing w:val="-5"/>
        </w:rPr>
        <w:t> 工作日为投资者扣除权益并办理相应的注册登记手续。</w:t>
      </w:r>
    </w:p>
    <w:p>
      <w:pPr>
        <w:pStyle w:val="BodyText"/>
        <w:spacing w:line="364" w:lineRule="auto"/>
        <w:ind w:left="293" w:right="936" w:firstLine="420"/>
        <w:jc w:val="both"/>
      </w:pPr>
      <w:r>
        <w:rPr/>
        <w:t>3</w:t>
      </w:r>
      <w:r>
        <w:rPr>
          <w:spacing w:val="1"/>
        </w:rPr>
        <w:t>、投资者申请基金转换成功后，基金注册登记机构在 </w:t>
      </w:r>
      <w:r>
        <w:rPr/>
        <w:t>T＋1</w:t>
      </w:r>
      <w:r>
        <w:rPr>
          <w:spacing w:val="-4"/>
        </w:rPr>
        <w:t> 工作日为投资者办理减少转出</w:t>
      </w:r>
      <w:r>
        <w:rPr>
          <w:spacing w:val="-1"/>
        </w:rPr>
        <w:t>基金份额、增加转入基金份额的权益登记手续，一般情况下，投资者自 </w:t>
      </w:r>
      <w:r>
        <w:rPr/>
        <w:t>T＋2</w:t>
      </w:r>
      <w:r>
        <w:rPr>
          <w:spacing w:val="-6"/>
        </w:rPr>
        <w:t> 工作日起有权赎回转入部分的基金份额。</w:t>
      </w:r>
    </w:p>
    <w:p>
      <w:pPr>
        <w:pStyle w:val="BodyText"/>
        <w:spacing w:line="364" w:lineRule="auto"/>
        <w:ind w:left="293" w:right="936" w:firstLine="420"/>
      </w:pPr>
      <w:r>
        <w:rPr/>
        <w:t>4、基金管理人可在法律法规允许的范围内，对上述注册登记办理时间进行调整，并最迟于开始实施前三个工作日予以公告。</w:t>
      </w:r>
    </w:p>
    <w:p>
      <w:pPr>
        <w:pStyle w:val="Heading2"/>
      </w:pPr>
      <w:bookmarkStart w:name="_bookmark23" w:id="24"/>
      <w:bookmarkEnd w:id="24"/>
      <w:r>
        <w:rPr/>
      </w:r>
      <w:r>
        <w:rPr/>
        <w:t>（九）巨额赎回的认定及处理方式</w:t>
      </w:r>
    </w:p>
    <w:p>
      <w:pPr>
        <w:pStyle w:val="BodyText"/>
        <w:spacing w:before="182"/>
      </w:pPr>
      <w:r>
        <w:rPr/>
        <w:t>1、巨额赎回的认定</w:t>
      </w:r>
    </w:p>
    <w:p>
      <w:pPr>
        <w:pStyle w:val="BodyText"/>
        <w:spacing w:line="364" w:lineRule="auto" w:before="139"/>
        <w:ind w:left="293" w:right="936" w:firstLine="420"/>
        <w:jc w:val="both"/>
      </w:pPr>
      <w:r>
        <w:rPr/>
        <w:t>单个开放日中，本基金的基金份额净赎回申请(赎回申请总数扣除申购申请总数的余额)与净转出申请(基金转换出申请总数扣除转换入申请总数后的余额)之和超过前一日基金总份额数的 10%，即认为发生了巨额赎回。</w:t>
      </w:r>
    </w:p>
    <w:p>
      <w:pPr>
        <w:pStyle w:val="BodyText"/>
        <w:spacing w:line="268" w:lineRule="exact"/>
      </w:pPr>
      <w:r>
        <w:rPr/>
        <w:t>2、巨额赎回的处理方式</w:t>
      </w:r>
    </w:p>
    <w:p>
      <w:pPr>
        <w:pStyle w:val="BodyText"/>
        <w:spacing w:line="364" w:lineRule="auto" w:before="140"/>
        <w:ind w:left="293" w:right="936" w:firstLine="420"/>
      </w:pPr>
      <w:r>
        <w:rPr/>
        <w:t>当出现巨额赎回时，基金管理人可以根据本基金当时的资产组合状况决定相应的处理方式：</w:t>
      </w:r>
    </w:p>
    <w:p>
      <w:pPr>
        <w:pStyle w:val="ListParagraph"/>
        <w:numPr>
          <w:ilvl w:val="0"/>
          <w:numId w:val="12"/>
        </w:numPr>
        <w:tabs>
          <w:tab w:pos="1029" w:val="left" w:leader="none"/>
        </w:tabs>
        <w:spacing w:line="268" w:lineRule="exact" w:before="0" w:after="0"/>
        <w:ind w:left="1029" w:right="0" w:hanging="536"/>
        <w:jc w:val="left"/>
        <w:rPr>
          <w:sz w:val="21"/>
        </w:rPr>
      </w:pPr>
      <w:r>
        <w:rPr>
          <w:sz w:val="21"/>
        </w:rPr>
        <w:t>全额赎回：当基金管理人认为有能力支付投资者的赎回申请时，按正常赎回程序执行。</w:t>
      </w:r>
    </w:p>
    <w:p>
      <w:pPr>
        <w:pStyle w:val="ListParagraph"/>
        <w:numPr>
          <w:ilvl w:val="0"/>
          <w:numId w:val="12"/>
        </w:numPr>
        <w:tabs>
          <w:tab w:pos="1034" w:val="left" w:leader="none"/>
        </w:tabs>
        <w:spacing w:line="364" w:lineRule="auto" w:before="139" w:after="0"/>
        <w:ind w:left="293" w:right="936" w:firstLine="200"/>
        <w:jc w:val="both"/>
        <w:rPr>
          <w:sz w:val="21"/>
        </w:rPr>
      </w:pPr>
      <w:r>
        <w:rPr>
          <w:sz w:val="21"/>
        </w:rPr>
        <w:t>部分顺延赎回：当基金管理人认为支付投资者的赎回申请有困难或认为支付投资者的赎</w:t>
      </w:r>
      <w:r>
        <w:rPr>
          <w:spacing w:val="3"/>
          <w:sz w:val="21"/>
        </w:rPr>
        <w:t>回申请可能会对该基金的资产净值造成较大波动时，基金管理人可在当日接受赎回比例不低于</w:t>
      </w:r>
      <w:r>
        <w:rPr>
          <w:spacing w:val="-4"/>
          <w:sz w:val="21"/>
        </w:rPr>
        <w:t>该基金总份额的 </w:t>
      </w:r>
      <w:r>
        <w:rPr>
          <w:sz w:val="21"/>
        </w:rPr>
        <w:t>10%的前提下，对其余赎回申请延期办理。对于当日的赎回申请，应当按单个帐</w:t>
      </w:r>
      <w:r>
        <w:rPr>
          <w:spacing w:val="3"/>
          <w:sz w:val="21"/>
        </w:rPr>
        <w:t>户赎回申请量占赎回申请总量的比例，确定其当日受理的赎回份额；投资者的赎回申请未能受理部分，除投资者在提交赎回申请时明确作出不参加顺延下一个开放日赎回的表示外，将自动顺延至下一个开放日赎回处理。转入下一个开放日的赎回不享有赎回优先权并将以下一个开放</w:t>
      </w:r>
    </w:p>
    <w:p>
      <w:pPr>
        <w:spacing w:after="0" w:line="364" w:lineRule="auto"/>
        <w:jc w:val="both"/>
        <w:rPr>
          <w:sz w:val="21"/>
        </w:rPr>
        <w:sectPr>
          <w:pgSz w:w="11910" w:h="16840"/>
          <w:pgMar w:header="0" w:footer="1172" w:top="1580" w:bottom="1440" w:left="1520" w:right="360"/>
        </w:sectPr>
      </w:pPr>
    </w:p>
    <w:p>
      <w:pPr>
        <w:pStyle w:val="BodyText"/>
        <w:spacing w:line="364" w:lineRule="auto" w:before="106"/>
        <w:ind w:left="293" w:right="936"/>
      </w:pPr>
      <w:r>
        <w:rPr/>
        <w:t>日该类基金份额的基金份额净值为准进行计算，以此类推，直到其赎回申请全部得到满足为止。投资者在提出赎回申请时也可选择将当日未获受理部分予以撤销。</w:t>
      </w:r>
    </w:p>
    <w:p>
      <w:pPr>
        <w:pStyle w:val="BodyText"/>
        <w:spacing w:line="364" w:lineRule="auto"/>
        <w:ind w:left="293" w:right="936" w:firstLine="420"/>
        <w:jc w:val="both"/>
      </w:pPr>
      <w:r>
        <w:rPr/>
        <w:t>若本基金发生巨额赎回且单个基金份额持有人的赎回申请超过上一开放日基金总份额 10% 的，基金管理人有权对该单个基金份额持有人超出该比例的赎回申请实施延期办理，对该单个基金份额持有人剩余赎回申请与其他账户赎回申请按前述条款处理。</w:t>
      </w:r>
    </w:p>
    <w:p>
      <w:pPr>
        <w:pStyle w:val="ListParagraph"/>
        <w:numPr>
          <w:ilvl w:val="0"/>
          <w:numId w:val="12"/>
        </w:numPr>
        <w:tabs>
          <w:tab w:pos="1034" w:val="left" w:leader="none"/>
        </w:tabs>
        <w:spacing w:line="364" w:lineRule="auto" w:before="0" w:after="0"/>
        <w:ind w:left="293" w:right="936" w:firstLine="200"/>
        <w:jc w:val="both"/>
        <w:rPr>
          <w:sz w:val="21"/>
        </w:rPr>
      </w:pPr>
      <w:r>
        <w:rPr>
          <w:sz w:val="21"/>
        </w:rPr>
        <w:t>当发生巨额赎回时，基金转出与基金赎回具有相同的优先级，基金管理人可根据基金资</w:t>
      </w:r>
      <w:r>
        <w:rPr>
          <w:spacing w:val="3"/>
          <w:sz w:val="21"/>
        </w:rPr>
        <w:t>产组合情况，决定全额转出或部分转出，并且对于基金转出和基金赎回，将采取相同的比例确</w:t>
      </w:r>
      <w:r>
        <w:rPr>
          <w:spacing w:val="1"/>
          <w:sz w:val="21"/>
        </w:rPr>
        <w:t>认（另有公告的除外</w:t>
      </w:r>
      <w:r>
        <w:rPr>
          <w:spacing w:val="-104"/>
          <w:sz w:val="21"/>
        </w:rPr>
        <w:t>）</w:t>
      </w:r>
      <w:r>
        <w:rPr>
          <w:sz w:val="21"/>
        </w:rPr>
        <w:t>；但基金管理人在当日接受部分转出申请的情况下，对未确认的转换申请将不予顺延。</w:t>
      </w:r>
    </w:p>
    <w:p>
      <w:pPr>
        <w:pStyle w:val="ListParagraph"/>
        <w:numPr>
          <w:ilvl w:val="0"/>
          <w:numId w:val="12"/>
        </w:numPr>
        <w:tabs>
          <w:tab w:pos="1034" w:val="left" w:leader="none"/>
        </w:tabs>
        <w:spacing w:line="364" w:lineRule="auto" w:before="0" w:after="0"/>
        <w:ind w:left="293" w:right="936" w:firstLine="200"/>
        <w:jc w:val="both"/>
        <w:rPr>
          <w:sz w:val="21"/>
        </w:rPr>
      </w:pPr>
      <w:r>
        <w:rPr>
          <w:sz w:val="21"/>
        </w:rPr>
        <w:t>当发生巨额赎回并部分顺延赎回或接受部分转换时，基金管理人应立即向中国证监会备</w:t>
      </w:r>
      <w:r>
        <w:rPr>
          <w:spacing w:val="-14"/>
          <w:sz w:val="21"/>
        </w:rPr>
        <w:t>案并在 </w:t>
      </w:r>
      <w:r>
        <w:rPr>
          <w:sz w:val="21"/>
        </w:rPr>
        <w:t>3</w:t>
      </w:r>
      <w:r>
        <w:rPr>
          <w:spacing w:val="-8"/>
          <w:sz w:val="21"/>
        </w:rPr>
        <w:t> 个工作日内通过指定媒介刊登公告，并说明有关处理方法。</w:t>
      </w:r>
    </w:p>
    <w:p>
      <w:pPr>
        <w:pStyle w:val="ListParagraph"/>
        <w:numPr>
          <w:ilvl w:val="0"/>
          <w:numId w:val="12"/>
        </w:numPr>
        <w:tabs>
          <w:tab w:pos="1034" w:val="left" w:leader="none"/>
        </w:tabs>
        <w:spacing w:line="364" w:lineRule="auto" w:before="0" w:after="0"/>
        <w:ind w:left="293" w:right="936" w:firstLine="200"/>
        <w:jc w:val="both"/>
        <w:rPr>
          <w:sz w:val="21"/>
        </w:rPr>
      </w:pPr>
      <w:r>
        <w:rPr>
          <w:sz w:val="21"/>
        </w:rPr>
        <w:t>本基金连续两日以上(含本数)发生巨额赎回时，如基金管理人认为有必要，可暂停接受</w:t>
      </w:r>
      <w:r>
        <w:rPr>
          <w:spacing w:val="-1"/>
          <w:sz w:val="21"/>
        </w:rPr>
        <w:t>赎回和转出申请；已经接受的赎回申请可以延缓支付赎回款项，但不得超过正常支付时间 </w:t>
      </w:r>
      <w:r>
        <w:rPr>
          <w:sz w:val="21"/>
        </w:rPr>
        <w:t>20</w:t>
      </w:r>
      <w:r>
        <w:rPr>
          <w:spacing w:val="-14"/>
          <w:sz w:val="21"/>
        </w:rPr>
        <w:t> 个工作日，并应当在指定媒介上进行公告。</w:t>
      </w:r>
    </w:p>
    <w:p>
      <w:pPr>
        <w:pStyle w:val="Heading2"/>
        <w:spacing w:line="358" w:lineRule="exact"/>
      </w:pPr>
      <w:bookmarkStart w:name="_bookmark24" w:id="25"/>
      <w:bookmarkEnd w:id="25"/>
      <w:r>
        <w:rPr/>
      </w:r>
      <w:r>
        <w:rPr/>
        <w:t>（十）拒绝或暂停申购、赎回和转换的情形及处理方式</w:t>
      </w:r>
    </w:p>
    <w:p>
      <w:pPr>
        <w:pStyle w:val="BodyText"/>
        <w:spacing w:before="180"/>
      </w:pPr>
      <w:r>
        <w:rPr/>
        <w:t>1、除出现如下情形，基金管理人不得拒绝或暂停接受基金投资者的申购申请：</w:t>
      </w:r>
    </w:p>
    <w:p>
      <w:pPr>
        <w:pStyle w:val="ListParagraph"/>
        <w:numPr>
          <w:ilvl w:val="1"/>
          <w:numId w:val="12"/>
        </w:numPr>
        <w:tabs>
          <w:tab w:pos="1281" w:val="left" w:leader="none"/>
        </w:tabs>
        <w:spacing w:line="240" w:lineRule="auto" w:before="139" w:after="0"/>
        <w:ind w:left="1281" w:right="0" w:hanging="568"/>
        <w:jc w:val="left"/>
        <w:rPr>
          <w:sz w:val="21"/>
        </w:rPr>
      </w:pPr>
      <w:r>
        <w:rPr>
          <w:sz w:val="21"/>
        </w:rPr>
        <w:t>不可抗力的原因导致基金无法正常运作；</w:t>
      </w:r>
    </w:p>
    <w:p>
      <w:pPr>
        <w:pStyle w:val="ListParagraph"/>
        <w:numPr>
          <w:ilvl w:val="1"/>
          <w:numId w:val="12"/>
        </w:numPr>
        <w:tabs>
          <w:tab w:pos="1281" w:val="left" w:leader="none"/>
        </w:tabs>
        <w:spacing w:line="240" w:lineRule="auto" w:before="139" w:after="0"/>
        <w:ind w:left="1281" w:right="0" w:hanging="568"/>
        <w:jc w:val="left"/>
        <w:rPr>
          <w:sz w:val="21"/>
        </w:rPr>
      </w:pPr>
      <w:r>
        <w:rPr>
          <w:sz w:val="21"/>
        </w:rPr>
        <w:t>证券交易场所在交易时间非正常停市；</w:t>
      </w:r>
    </w:p>
    <w:p>
      <w:pPr>
        <w:pStyle w:val="ListParagraph"/>
        <w:numPr>
          <w:ilvl w:val="1"/>
          <w:numId w:val="12"/>
        </w:numPr>
        <w:tabs>
          <w:tab w:pos="1283" w:val="left" w:leader="none"/>
        </w:tabs>
        <w:spacing w:line="364" w:lineRule="auto" w:before="140" w:after="0"/>
        <w:ind w:left="1280" w:right="936" w:hanging="567"/>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1"/>
          <w:numId w:val="12"/>
        </w:numPr>
        <w:tabs>
          <w:tab w:pos="1281" w:val="left" w:leader="none"/>
        </w:tabs>
        <w:spacing w:line="268" w:lineRule="exact" w:before="0" w:after="0"/>
        <w:ind w:left="1281" w:right="0" w:hanging="568"/>
        <w:jc w:val="left"/>
        <w:rPr>
          <w:sz w:val="21"/>
        </w:rPr>
      </w:pPr>
      <w:r>
        <w:rPr>
          <w:sz w:val="21"/>
        </w:rPr>
        <w:t>当基金管理人认为会有损于现有基金份额持有人利益的某笔申购；</w:t>
      </w:r>
    </w:p>
    <w:p>
      <w:pPr>
        <w:pStyle w:val="ListParagraph"/>
        <w:numPr>
          <w:ilvl w:val="1"/>
          <w:numId w:val="12"/>
        </w:numPr>
        <w:tabs>
          <w:tab w:pos="1283" w:val="left" w:leader="none"/>
        </w:tabs>
        <w:spacing w:line="364" w:lineRule="auto" w:before="139" w:after="0"/>
        <w:ind w:left="1280" w:right="936" w:hanging="567"/>
        <w:jc w:val="both"/>
        <w:rPr>
          <w:sz w:val="21"/>
        </w:rPr>
      </w:pPr>
      <w:r>
        <w:rPr>
          <w:sz w:val="21"/>
        </w:rPr>
        <w:t>基金管理人接受某笔或者某些申购申请有可能导致单一投资者持有基金份额的比例达</w:t>
      </w:r>
      <w:r>
        <w:rPr>
          <w:spacing w:val="-9"/>
          <w:sz w:val="21"/>
        </w:rPr>
        <w:t>到或者超过 </w:t>
      </w:r>
      <w:r>
        <w:rPr>
          <w:sz w:val="21"/>
        </w:rPr>
        <w:t>50%，</w:t>
      </w:r>
      <w:r>
        <w:rPr>
          <w:spacing w:val="-8"/>
          <w:sz w:val="21"/>
        </w:rPr>
        <w:t>或者变相规避 </w:t>
      </w:r>
      <w:r>
        <w:rPr>
          <w:sz w:val="21"/>
        </w:rPr>
        <w:t>50%集中度的情形时；</w:t>
      </w:r>
    </w:p>
    <w:p>
      <w:pPr>
        <w:pStyle w:val="ListParagraph"/>
        <w:numPr>
          <w:ilvl w:val="1"/>
          <w:numId w:val="12"/>
        </w:numPr>
        <w:tabs>
          <w:tab w:pos="1283" w:val="left" w:leader="none"/>
        </w:tabs>
        <w:spacing w:line="364" w:lineRule="auto" w:before="0" w:after="0"/>
        <w:ind w:left="1280" w:right="936" w:hanging="567"/>
        <w:jc w:val="both"/>
        <w:rPr>
          <w:sz w:val="21"/>
        </w:rPr>
      </w:pPr>
      <w:r>
        <w:rPr>
          <w:sz w:val="21"/>
        </w:rPr>
        <w:t>当一笔新的申购申请被确认成功，使本基金总规模超过基金管理人规定的本基金总规</w:t>
      </w:r>
      <w:r>
        <w:rPr>
          <w:spacing w:val="-1"/>
          <w:sz w:val="21"/>
        </w:rPr>
        <w:t>模上限时；或使本基金单日申购金额或净申购比例超过基金管理人规定的当日申购金额或净申购比例上限时；或该投资人累计持有的份额超过单个投资人累计持有的份额</w:t>
      </w:r>
      <w:r>
        <w:rPr>
          <w:sz w:val="21"/>
        </w:rPr>
        <w:t>上限时；或该投资人当日申购金额超过单个投资人单日或单笔申购金额上限时；</w:t>
      </w:r>
    </w:p>
    <w:p>
      <w:pPr>
        <w:pStyle w:val="ListParagraph"/>
        <w:numPr>
          <w:ilvl w:val="1"/>
          <w:numId w:val="12"/>
        </w:numPr>
        <w:tabs>
          <w:tab w:pos="1286" w:val="left" w:leader="none"/>
        </w:tabs>
        <w:spacing w:line="364" w:lineRule="auto" w:before="0" w:after="0"/>
        <w:ind w:left="1280" w:right="936" w:hanging="567"/>
        <w:jc w:val="both"/>
        <w:rPr>
          <w:sz w:val="21"/>
        </w:rPr>
      </w:pPr>
      <w:r>
        <w:rPr>
          <w:spacing w:val="-1"/>
          <w:sz w:val="21"/>
        </w:rPr>
        <w:t>当前一估值日基金资产净值 </w:t>
      </w:r>
      <w:r>
        <w:rPr>
          <w:sz w:val="21"/>
        </w:rPr>
        <w:t>50%以上的资产出现无可参考的活跃市场价格且采用估值</w:t>
      </w:r>
      <w:r>
        <w:rPr>
          <w:spacing w:val="-1"/>
          <w:sz w:val="21"/>
        </w:rPr>
        <w:t>技术仍导致公允价值存在重大不确定性时，经与基金托管人协商确认后，基金管理人</w:t>
      </w:r>
      <w:r>
        <w:rPr>
          <w:sz w:val="21"/>
        </w:rPr>
        <w:t>应当采取暂停接受基金申购申请的措施；</w:t>
      </w:r>
    </w:p>
    <w:p>
      <w:pPr>
        <w:pStyle w:val="ListParagraph"/>
        <w:numPr>
          <w:ilvl w:val="1"/>
          <w:numId w:val="12"/>
        </w:numPr>
        <w:tabs>
          <w:tab w:pos="1281" w:val="left" w:leader="none"/>
        </w:tabs>
        <w:spacing w:line="268" w:lineRule="exact" w:before="0" w:after="0"/>
        <w:ind w:left="1281" w:right="0" w:hanging="568"/>
        <w:jc w:val="left"/>
        <w:rPr>
          <w:sz w:val="21"/>
        </w:rPr>
      </w:pPr>
      <w:r>
        <w:rPr>
          <w:sz w:val="21"/>
        </w:rPr>
        <w:t>法律、法规规定或中国证监会认定的其他情形。</w:t>
      </w:r>
    </w:p>
    <w:p>
      <w:pPr>
        <w:pStyle w:val="BodyText"/>
        <w:spacing w:before="137"/>
        <w:ind w:left="1280"/>
      </w:pPr>
      <w:r>
        <w:rPr/>
        <w:t>如发生上述拒绝申购的情形，被拒绝的申购款项应全额退还投资者。</w:t>
      </w:r>
    </w:p>
    <w:p>
      <w:pPr>
        <w:spacing w:after="0"/>
        <w:sectPr>
          <w:pgSz w:w="11910" w:h="16840"/>
          <w:pgMar w:header="0" w:footer="1172" w:top="1580" w:bottom="1440" w:left="1520" w:right="360"/>
        </w:sectPr>
      </w:pPr>
    </w:p>
    <w:p>
      <w:pPr>
        <w:pStyle w:val="BodyText"/>
        <w:spacing w:before="106"/>
      </w:pPr>
      <w:r>
        <w:rPr/>
        <w:t>基金管理人拒绝或暂停接受申购的方式包括：</w:t>
      </w:r>
    </w:p>
    <w:p>
      <w:pPr>
        <w:pStyle w:val="ListParagraph"/>
        <w:numPr>
          <w:ilvl w:val="0"/>
          <w:numId w:val="13"/>
        </w:numPr>
        <w:tabs>
          <w:tab w:pos="1281" w:val="left" w:leader="none"/>
        </w:tabs>
        <w:spacing w:line="240" w:lineRule="auto" w:before="139" w:after="0"/>
        <w:ind w:left="1281" w:right="0" w:hanging="568"/>
        <w:jc w:val="left"/>
        <w:rPr>
          <w:sz w:val="21"/>
        </w:rPr>
      </w:pPr>
      <w:r>
        <w:rPr>
          <w:sz w:val="21"/>
        </w:rPr>
        <w:t>拒绝接受、暂停接受某笔或某数笔申购申请；</w:t>
      </w:r>
    </w:p>
    <w:p>
      <w:pPr>
        <w:pStyle w:val="ListParagraph"/>
        <w:numPr>
          <w:ilvl w:val="0"/>
          <w:numId w:val="13"/>
        </w:numPr>
        <w:tabs>
          <w:tab w:pos="1281" w:val="left" w:leader="none"/>
        </w:tabs>
        <w:spacing w:line="240" w:lineRule="auto" w:before="140" w:after="0"/>
        <w:ind w:left="1281" w:right="0" w:hanging="568"/>
        <w:jc w:val="left"/>
        <w:rPr>
          <w:sz w:val="21"/>
        </w:rPr>
      </w:pPr>
      <w:r>
        <w:rPr>
          <w:sz w:val="21"/>
        </w:rPr>
        <w:t>拒绝接受、暂停接受某个或某数个工作日的全部申购申请；</w:t>
      </w:r>
    </w:p>
    <w:p>
      <w:pPr>
        <w:pStyle w:val="ListParagraph"/>
        <w:numPr>
          <w:ilvl w:val="0"/>
          <w:numId w:val="13"/>
        </w:numPr>
        <w:tabs>
          <w:tab w:pos="1281" w:val="left" w:leader="none"/>
        </w:tabs>
        <w:spacing w:line="240" w:lineRule="auto" w:before="139" w:after="0"/>
        <w:ind w:left="1281" w:right="0" w:hanging="568"/>
        <w:jc w:val="left"/>
        <w:rPr>
          <w:sz w:val="21"/>
        </w:rPr>
      </w:pPr>
      <w:r>
        <w:rPr>
          <w:sz w:val="21"/>
        </w:rPr>
        <w:t>按比例拒绝接受、暂停接受某个或某数个工作日的申购申请。</w:t>
      </w:r>
    </w:p>
    <w:p>
      <w:pPr>
        <w:pStyle w:val="BodyText"/>
        <w:spacing w:before="140"/>
      </w:pPr>
      <w:r>
        <w:rPr/>
        <w:t>2、除下列情形外，基金管理人不得拒绝接受或暂停接受投资者的赎回申请：</w:t>
      </w:r>
    </w:p>
    <w:p>
      <w:pPr>
        <w:pStyle w:val="ListParagraph"/>
        <w:numPr>
          <w:ilvl w:val="0"/>
          <w:numId w:val="14"/>
        </w:numPr>
        <w:tabs>
          <w:tab w:pos="1281" w:val="left" w:leader="none"/>
        </w:tabs>
        <w:spacing w:line="240" w:lineRule="auto" w:before="139" w:after="0"/>
        <w:ind w:left="1281" w:right="0" w:hanging="568"/>
        <w:jc w:val="left"/>
        <w:rPr>
          <w:sz w:val="21"/>
        </w:rPr>
      </w:pPr>
      <w:r>
        <w:rPr>
          <w:sz w:val="21"/>
        </w:rPr>
        <w:t>不可抗力的原因导致基金无法正常运作；</w:t>
      </w:r>
    </w:p>
    <w:p>
      <w:pPr>
        <w:pStyle w:val="ListParagraph"/>
        <w:numPr>
          <w:ilvl w:val="0"/>
          <w:numId w:val="14"/>
        </w:numPr>
        <w:tabs>
          <w:tab w:pos="1281" w:val="left" w:leader="none"/>
        </w:tabs>
        <w:spacing w:line="240" w:lineRule="auto" w:before="140" w:after="0"/>
        <w:ind w:left="1281" w:right="0" w:hanging="568"/>
        <w:jc w:val="left"/>
        <w:rPr>
          <w:sz w:val="21"/>
        </w:rPr>
      </w:pPr>
      <w:r>
        <w:rPr>
          <w:sz w:val="21"/>
        </w:rPr>
        <w:t>证券交易场所交易时间非正常停市；</w:t>
      </w:r>
    </w:p>
    <w:p>
      <w:pPr>
        <w:pStyle w:val="ListParagraph"/>
        <w:numPr>
          <w:ilvl w:val="0"/>
          <w:numId w:val="14"/>
        </w:numPr>
        <w:tabs>
          <w:tab w:pos="1281" w:val="left" w:leader="none"/>
        </w:tabs>
        <w:spacing w:line="240" w:lineRule="auto" w:before="139" w:after="0"/>
        <w:ind w:left="1281" w:right="0" w:hanging="568"/>
        <w:jc w:val="left"/>
        <w:rPr>
          <w:sz w:val="21"/>
        </w:rPr>
      </w:pPr>
      <w:r>
        <w:rPr>
          <w:sz w:val="21"/>
        </w:rPr>
        <w:t>因市场剧烈波动或其它原因而出现连续巨额赎回，导致本基金的现金支付出现困难；</w:t>
      </w:r>
    </w:p>
    <w:p>
      <w:pPr>
        <w:pStyle w:val="ListParagraph"/>
        <w:numPr>
          <w:ilvl w:val="0"/>
          <w:numId w:val="14"/>
        </w:numPr>
        <w:tabs>
          <w:tab w:pos="1286" w:val="left" w:leader="none"/>
        </w:tabs>
        <w:spacing w:line="364" w:lineRule="auto" w:before="139" w:after="0"/>
        <w:ind w:left="1280" w:right="936" w:hanging="567"/>
        <w:jc w:val="both"/>
        <w:rPr>
          <w:sz w:val="21"/>
        </w:rPr>
      </w:pPr>
      <w:r>
        <w:rPr>
          <w:spacing w:val="-1"/>
          <w:sz w:val="21"/>
        </w:rPr>
        <w:t>当前一估值日基金资产净值 </w:t>
      </w:r>
      <w:r>
        <w:rPr>
          <w:sz w:val="21"/>
        </w:rPr>
        <w:t>50%以上的资产出现无可参考的活跃市场价格且采用估值</w:t>
      </w:r>
      <w:r>
        <w:rPr>
          <w:spacing w:val="-1"/>
          <w:sz w:val="21"/>
        </w:rPr>
        <w:t>技术仍导致公允价值存在重大不确定性时，经与基金托管人协商确认后，基金管理人</w:t>
      </w:r>
      <w:r>
        <w:rPr>
          <w:sz w:val="21"/>
        </w:rPr>
        <w:t>应当采取延缓支付赎回款项或暂停接受基金赎回申请的措施；</w:t>
      </w:r>
    </w:p>
    <w:p>
      <w:pPr>
        <w:pStyle w:val="ListParagraph"/>
        <w:numPr>
          <w:ilvl w:val="0"/>
          <w:numId w:val="14"/>
        </w:numPr>
        <w:tabs>
          <w:tab w:pos="1281" w:val="left" w:leader="none"/>
        </w:tabs>
        <w:spacing w:line="268" w:lineRule="exact" w:before="0" w:after="0"/>
        <w:ind w:left="1281" w:right="0" w:hanging="568"/>
        <w:jc w:val="left"/>
        <w:rPr>
          <w:sz w:val="21"/>
        </w:rPr>
      </w:pPr>
      <w:r>
        <w:rPr>
          <w:sz w:val="21"/>
        </w:rPr>
        <w:t>法律、法规规定或中国证监会认定的其它情形。</w:t>
      </w:r>
    </w:p>
    <w:p>
      <w:pPr>
        <w:pStyle w:val="BodyText"/>
        <w:spacing w:line="364" w:lineRule="auto" w:before="140"/>
        <w:ind w:left="293" w:right="936" w:firstLine="420"/>
        <w:jc w:val="both"/>
      </w:pPr>
      <w:r>
        <w:rPr/>
        <w:t>发生上述情形之一的，基金管理人应在当日立即向中国证监会备案。已接受的赎回申请， 基金管理人将足额支付；如暂时不能支付时，将按每个赎回申请人已被接受的赎回申请量占已接受赎回申请总量的比例分配给赎回申请人，其余部分由基金管理人按照相应的处理办法在后续开放日予以兑付。</w:t>
      </w:r>
    </w:p>
    <w:p>
      <w:pPr>
        <w:pStyle w:val="BodyText"/>
        <w:spacing w:line="267" w:lineRule="exact"/>
      </w:pPr>
      <w:r>
        <w:rPr/>
        <w:t>3、除下列情形外，基金管理人不得拒绝接受或暂停接受投资者的转换申请：</w:t>
      </w:r>
    </w:p>
    <w:p>
      <w:pPr>
        <w:pStyle w:val="ListParagraph"/>
        <w:numPr>
          <w:ilvl w:val="0"/>
          <w:numId w:val="15"/>
        </w:numPr>
        <w:tabs>
          <w:tab w:pos="1281" w:val="left" w:leader="none"/>
        </w:tabs>
        <w:spacing w:line="240" w:lineRule="auto" w:before="139" w:after="0"/>
        <w:ind w:left="1281" w:right="0" w:hanging="568"/>
        <w:jc w:val="left"/>
        <w:rPr>
          <w:sz w:val="21"/>
        </w:rPr>
      </w:pPr>
      <w:r>
        <w:rPr>
          <w:sz w:val="21"/>
        </w:rPr>
        <w:t>不可抗力的原因导致基金无法正常运作；</w:t>
      </w:r>
    </w:p>
    <w:p>
      <w:pPr>
        <w:pStyle w:val="ListParagraph"/>
        <w:numPr>
          <w:ilvl w:val="0"/>
          <w:numId w:val="15"/>
        </w:numPr>
        <w:tabs>
          <w:tab w:pos="1281" w:val="left" w:leader="none"/>
        </w:tabs>
        <w:spacing w:line="240" w:lineRule="auto" w:before="140" w:after="0"/>
        <w:ind w:left="1281" w:right="0" w:hanging="568"/>
        <w:jc w:val="left"/>
        <w:rPr>
          <w:sz w:val="21"/>
        </w:rPr>
      </w:pPr>
      <w:r>
        <w:rPr>
          <w:sz w:val="21"/>
        </w:rPr>
        <w:t>证券交易场所交易时间非正常停市；</w:t>
      </w:r>
    </w:p>
    <w:p>
      <w:pPr>
        <w:pStyle w:val="ListParagraph"/>
        <w:numPr>
          <w:ilvl w:val="0"/>
          <w:numId w:val="15"/>
        </w:numPr>
        <w:tabs>
          <w:tab w:pos="1281" w:val="left" w:leader="none"/>
        </w:tabs>
        <w:spacing w:line="240" w:lineRule="auto" w:before="139" w:after="0"/>
        <w:ind w:left="1281" w:right="0" w:hanging="568"/>
        <w:jc w:val="left"/>
        <w:rPr>
          <w:sz w:val="21"/>
        </w:rPr>
      </w:pPr>
      <w:r>
        <w:rPr>
          <w:sz w:val="21"/>
        </w:rPr>
        <w:t>当基金管理人认为某笔转换会有损于现有基金份额持有人利益；</w:t>
      </w:r>
    </w:p>
    <w:p>
      <w:pPr>
        <w:pStyle w:val="ListParagraph"/>
        <w:numPr>
          <w:ilvl w:val="0"/>
          <w:numId w:val="15"/>
        </w:numPr>
        <w:tabs>
          <w:tab w:pos="1281" w:val="left" w:leader="none"/>
        </w:tabs>
        <w:spacing w:line="240" w:lineRule="auto" w:before="140" w:after="0"/>
        <w:ind w:left="1281" w:right="0" w:hanging="568"/>
        <w:jc w:val="left"/>
        <w:rPr>
          <w:sz w:val="21"/>
        </w:rPr>
      </w:pPr>
      <w:r>
        <w:rPr>
          <w:sz w:val="21"/>
        </w:rPr>
        <w:t>因市场剧烈波动或其它原因而出现连续巨额赎回，导致本基金的现金支付出现困难；</w:t>
      </w:r>
    </w:p>
    <w:p>
      <w:pPr>
        <w:pStyle w:val="ListParagraph"/>
        <w:numPr>
          <w:ilvl w:val="0"/>
          <w:numId w:val="15"/>
        </w:numPr>
        <w:tabs>
          <w:tab w:pos="1281" w:val="left" w:leader="none"/>
        </w:tabs>
        <w:spacing w:line="240" w:lineRule="auto" w:before="139" w:after="0"/>
        <w:ind w:left="1281" w:right="0" w:hanging="568"/>
        <w:jc w:val="left"/>
        <w:rPr>
          <w:sz w:val="21"/>
        </w:rPr>
      </w:pPr>
      <w:r>
        <w:rPr>
          <w:sz w:val="21"/>
        </w:rPr>
        <w:t>法律、法规规定或中国证监会认定的其它情形。</w:t>
      </w:r>
    </w:p>
    <w:p>
      <w:pPr>
        <w:pStyle w:val="BodyText"/>
        <w:spacing w:before="140"/>
      </w:pPr>
      <w:r>
        <w:rPr/>
        <w:t>发生上述情形之一的，基金管理人应在当日立即向中国证监会备案。</w:t>
      </w:r>
    </w:p>
    <w:p>
      <w:pPr>
        <w:pStyle w:val="BodyText"/>
        <w:spacing w:line="364" w:lineRule="auto" w:before="139"/>
        <w:ind w:left="293" w:right="936" w:firstLine="420"/>
      </w:pPr>
      <w:r>
        <w:rPr/>
        <w:t>4、发生《基金合同》或《招募说明书》中未予载明的事项，但基金管理人有正当理由认为需要暂停接受基金申购、赎回、转换申请的，应当报经中国证监会批准。</w:t>
      </w:r>
    </w:p>
    <w:p>
      <w:pPr>
        <w:pStyle w:val="BodyText"/>
        <w:spacing w:line="364" w:lineRule="auto"/>
        <w:ind w:left="293" w:right="936" w:firstLine="420"/>
      </w:pPr>
      <w:r>
        <w:rPr/>
        <w:t>5、基金暂停申购、赎回和转换，基金管理人应立即在指定媒介公告。暂停期间结束基金重新开放时，基金管理人应当公告最新的基金份额净值。</w:t>
      </w:r>
    </w:p>
    <w:p>
      <w:pPr>
        <w:pStyle w:val="BodyText"/>
        <w:spacing w:line="364" w:lineRule="auto"/>
        <w:ind w:left="293" w:right="936" w:firstLine="420"/>
      </w:pPr>
      <w:r>
        <w:rPr/>
        <w:t>如果发生暂停的时间为1天，基金管理人应于重新开放日在指定媒介刊登基金重新开放申购或赎回的公告并公告最新的基金份额净值。</w:t>
      </w:r>
    </w:p>
    <w:p>
      <w:pPr>
        <w:pStyle w:val="BodyText"/>
        <w:spacing w:line="364" w:lineRule="auto"/>
        <w:ind w:left="293" w:right="936" w:firstLine="420"/>
        <w:jc w:val="both"/>
      </w:pPr>
      <w:r>
        <w:rPr/>
        <w:t>如果发生暂停的时间超过1天但少于两周，暂停结束基金重新开放申购或赎回时，基金管理人应提前1个工作日在指定媒介刊登基金重新开放申购或赎回的公告，并在重新开放申购或赎回日公告最新的基金份额净值。</w:t>
      </w:r>
    </w:p>
    <w:p>
      <w:pPr>
        <w:pStyle w:val="BodyText"/>
        <w:spacing w:line="268" w:lineRule="exact"/>
      </w:pPr>
      <w:r>
        <w:rPr/>
        <w:t>如果发生暂停的时间超过两周，暂停期间，基金管理人应每两周至少重复刊登暂停公告一</w:t>
      </w:r>
    </w:p>
    <w:p>
      <w:pPr>
        <w:spacing w:after="0" w:line="268" w:lineRule="exact"/>
        <w:sectPr>
          <w:pgSz w:w="11910" w:h="16840"/>
          <w:pgMar w:header="0" w:footer="1172" w:top="1580" w:bottom="1440" w:left="1520" w:right="360"/>
        </w:sectPr>
      </w:pPr>
    </w:p>
    <w:p>
      <w:pPr>
        <w:pStyle w:val="BodyText"/>
        <w:spacing w:line="364" w:lineRule="auto" w:before="106"/>
        <w:ind w:left="293" w:right="936"/>
        <w:jc w:val="both"/>
      </w:pPr>
      <w:r>
        <w:rPr/>
        <w:t>次；当连续暂停时间超过两个月时，可对重复刊登暂停公告的频率进行调整。暂停结束基金重新开放申购或赎回时，基金管理人应提前 3 个工作日在指定媒介连续刊登基金重新开放申购或赎回的公告，并在重新开放申购或赎回日公告最新的基金份额净值。</w:t>
      </w:r>
    </w:p>
    <w:p>
      <w:pPr>
        <w:spacing w:after="0" w:line="364" w:lineRule="auto"/>
        <w:jc w:val="both"/>
        <w:sectPr>
          <w:pgSz w:w="11910" w:h="16840"/>
          <w:pgMar w:header="0" w:footer="1172" w:top="1580" w:bottom="1440" w:left="1520" w:right="360"/>
        </w:sectPr>
      </w:pPr>
    </w:p>
    <w:p>
      <w:pPr>
        <w:pStyle w:val="Heading1"/>
        <w:ind w:left="1879"/>
      </w:pPr>
      <w:bookmarkStart w:name="_bookmark25" w:id="26"/>
      <w:bookmarkEnd w:id="26"/>
      <w:r>
        <w:rPr>
          <w:b w:val="0"/>
        </w:rPr>
      </w:r>
      <w:r>
        <w:rPr/>
        <w:t>七、基金的非交易过户、转托管、冻结与质押</w:t>
      </w:r>
    </w:p>
    <w:p>
      <w:pPr>
        <w:pStyle w:val="BodyText"/>
        <w:spacing w:line="364" w:lineRule="auto" w:before="117"/>
        <w:ind w:left="293" w:right="936" w:firstLine="420"/>
        <w:jc w:val="both"/>
      </w:pPr>
      <w:r>
        <w:rPr/>
        <w:t>（一） 非交易过户是指不采用申购、赎回等基金交易方式，将一定数量的基金份额按照一定规则从某一投资者基金账户转移到另一投资者基金账户的行为，包括继承、捐赠、遗赠、自愿离婚、分家析产、国有资产无偿划转、机构合并或分立、资产售卖、机构清算、企业破产清算、强制执行，及基金注册登记机构认可的其它行为。无论在上述何种情况下，接受划转的主体必须是适格的个人投资者或机构投资者。其中：</w:t>
      </w:r>
    </w:p>
    <w:p>
      <w:pPr>
        <w:pStyle w:val="BodyText"/>
        <w:spacing w:line="267" w:lineRule="exact"/>
      </w:pPr>
      <w:r>
        <w:rPr/>
        <w:t>1、“继承”是指基金持有人死亡，其持有的基金份额由其合法的继承人或受遗赠人继承。</w:t>
      </w:r>
    </w:p>
    <w:p>
      <w:pPr>
        <w:pStyle w:val="BodyText"/>
        <w:spacing w:line="364" w:lineRule="auto" w:before="139"/>
        <w:ind w:left="293" w:right="936" w:firstLine="420"/>
      </w:pPr>
      <w:r>
        <w:rPr/>
        <w:t>2</w:t>
      </w:r>
      <w:r>
        <w:rPr>
          <w:spacing w:val="-7"/>
        </w:rPr>
        <w:t>、“捐赠”仅指基金持有人将其合法持有的基金份额捐赠给福利性质的基金会或其他具有社会公益性质的社会团体。</w:t>
      </w:r>
    </w:p>
    <w:p>
      <w:pPr>
        <w:pStyle w:val="BodyText"/>
        <w:spacing w:line="268" w:lineRule="exact"/>
      </w:pPr>
      <w:r>
        <w:rPr/>
        <w:t>3、“遗赠”指基金持有人立遗嘱将其持有的基金份额赠给法定继承人以外的其他人；</w:t>
      </w:r>
    </w:p>
    <w:p>
      <w:pPr>
        <w:pStyle w:val="BodyText"/>
        <w:spacing w:line="364" w:lineRule="auto" w:before="139"/>
        <w:ind w:left="293" w:right="936" w:firstLine="420"/>
      </w:pPr>
      <w:r>
        <w:rPr/>
        <w:t>4、“自愿离婚”指原属夫妻共同财产的基金份额因基金持有人自愿离婚而使原在某一方名下的部分或全部基金份额划转至另一方名下；</w:t>
      </w:r>
    </w:p>
    <w:p>
      <w:pPr>
        <w:pStyle w:val="BodyText"/>
        <w:spacing w:line="364" w:lineRule="auto"/>
        <w:ind w:left="293" w:right="936" w:firstLine="420"/>
      </w:pPr>
      <w:r>
        <w:rPr/>
        <w:t>5、“分家析产”指原属家庭共有（如父子共有、兄弟共有等）的基金份额从某一家庭成员名下划转至其他家庭成员名下的行为；</w:t>
      </w:r>
    </w:p>
    <w:p>
      <w:pPr>
        <w:pStyle w:val="BodyText"/>
        <w:spacing w:line="364" w:lineRule="auto"/>
        <w:ind w:left="293" w:right="936" w:firstLine="420"/>
      </w:pPr>
      <w:r>
        <w:rPr/>
        <w:t>6、“国有资产无偿划转”指因管理体制改革、组织形式调整或资产重组等原因引起的作为国有资产的基金份额在不同国有产权主体之间的无偿转移；</w:t>
      </w:r>
    </w:p>
    <w:p>
      <w:pPr>
        <w:pStyle w:val="BodyText"/>
        <w:spacing w:line="268" w:lineRule="exact"/>
      </w:pPr>
      <w:r>
        <w:rPr/>
        <w:t>7、“机构合并或分立”指因机构的合并或分立而导致的基金份额的划转；</w:t>
      </w:r>
    </w:p>
    <w:p>
      <w:pPr>
        <w:pStyle w:val="BodyText"/>
        <w:spacing w:line="364" w:lineRule="auto" w:before="138"/>
        <w:ind w:left="293" w:right="936" w:firstLine="420"/>
        <w:jc w:val="both"/>
      </w:pPr>
      <w:r>
        <w:rPr/>
        <w:t>8、“资产售卖”指一企业出售它的下属部门（独立部门、分支机构或生产线）的整体资产给另一企业的交易，在这种交易中，前者持有的基金份额随其他经营性资产一同转让给后者， 由后者一并支付对价；</w:t>
      </w:r>
    </w:p>
    <w:p>
      <w:pPr>
        <w:pStyle w:val="BodyText"/>
        <w:spacing w:line="364" w:lineRule="auto"/>
        <w:ind w:left="293" w:right="936" w:firstLine="420"/>
        <w:jc w:val="both"/>
      </w:pPr>
      <w:r>
        <w:rPr/>
        <w:t>9</w:t>
      </w:r>
      <w:r>
        <w:rPr>
          <w:spacing w:val="-1"/>
        </w:rPr>
        <w:t>、“机构清算”是指机构因组织文件规定的期限届满或出现其他解散事由，或因其权力机</w:t>
      </w:r>
      <w:r>
        <w:rPr>
          <w:spacing w:val="3"/>
        </w:rPr>
        <w:t>关作出解散决议，或依法被责令关闭或撤销而导致解散，或因其他原因解散，从而进入清算程</w:t>
      </w:r>
      <w:r>
        <w:rPr>
          <w:spacing w:val="1"/>
        </w:rPr>
        <w:t>序（破产清算程序除外</w:t>
      </w:r>
      <w:r>
        <w:rPr>
          <w:spacing w:val="-103"/>
        </w:rPr>
        <w:t>）</w:t>
      </w:r>
      <w:r>
        <w:rPr>
          <w:spacing w:val="1"/>
        </w:rPr>
        <w:t>，清算组（或类似组织，下同）</w:t>
      </w:r>
      <w:r>
        <w:rPr/>
        <w:t>将该机构持有的基金份额分配给该机构</w:t>
      </w:r>
      <w:r>
        <w:rPr>
          <w:spacing w:val="3"/>
        </w:rPr>
        <w:t>的债权人以清偿债务，或将清偿债务后的剩余财产中的基金份额分配给机构的股东、成员、出资者或开办人；</w:t>
      </w:r>
    </w:p>
    <w:p>
      <w:pPr>
        <w:pStyle w:val="BodyText"/>
        <w:spacing w:line="364" w:lineRule="auto"/>
        <w:ind w:left="293" w:right="936" w:firstLine="420"/>
        <w:jc w:val="both"/>
      </w:pPr>
      <w:r>
        <w:rPr/>
        <w:t>10、“企业破产清算”是指一企业法人根据《中华人民共和国企业破产法（试行</w:t>
      </w:r>
      <w:r>
        <w:rPr>
          <w:spacing w:val="-103"/>
        </w:rPr>
        <w:t>）</w:t>
      </w:r>
      <w:r>
        <w:rPr>
          <w:spacing w:val="-3"/>
        </w:rPr>
        <w:t>》或《中</w:t>
      </w:r>
      <w:r>
        <w:rPr>
          <w:spacing w:val="3"/>
        </w:rPr>
        <w:t>华人民共和国民事诉讼法》第十九章的有关规定被宣告破产，清算组依法将破产企业持有的基金份额直接分配给该破产企业的债权人所导致的基金份额的划转；</w:t>
      </w:r>
    </w:p>
    <w:p>
      <w:pPr>
        <w:pStyle w:val="BodyText"/>
        <w:spacing w:line="364" w:lineRule="auto"/>
        <w:ind w:left="293" w:right="936" w:firstLine="420"/>
      </w:pPr>
      <w:r>
        <w:rPr/>
        <w:t>11</w:t>
      </w:r>
      <w:r>
        <w:rPr>
          <w:spacing w:val="-11"/>
        </w:rPr>
        <w:t>、“强制执行”是指国家有权机关依据生效的法律文书将基金持有人持有的基金份额强制执行划转给其他自然人、法人、社会团体或其他组织。</w:t>
      </w:r>
    </w:p>
    <w:p>
      <w:pPr>
        <w:pStyle w:val="BodyText"/>
        <w:tabs>
          <w:tab w:pos="1568" w:val="left" w:leader="none"/>
        </w:tabs>
        <w:spacing w:line="364" w:lineRule="auto"/>
        <w:ind w:left="293" w:right="936" w:firstLine="420"/>
      </w:pPr>
      <w:r>
        <w:rPr>
          <w:spacing w:val="5"/>
        </w:rPr>
        <w:t>（</w:t>
      </w:r>
      <w:r>
        <w:rPr>
          <w:spacing w:val="4"/>
        </w:rPr>
        <w:t>二</w:t>
      </w:r>
      <w:r>
        <w:rPr/>
        <w:t>）</w:t>
        <w:tab/>
      </w:r>
      <w:r>
        <w:rPr>
          <w:spacing w:val="5"/>
        </w:rPr>
        <w:t>办</w:t>
      </w:r>
      <w:r>
        <w:rPr>
          <w:spacing w:val="4"/>
        </w:rPr>
        <w:t>理</w:t>
      </w:r>
      <w:r>
        <w:rPr>
          <w:spacing w:val="5"/>
        </w:rPr>
        <w:t>非</w:t>
      </w:r>
      <w:r>
        <w:rPr>
          <w:spacing w:val="4"/>
        </w:rPr>
        <w:t>交</w:t>
      </w:r>
      <w:r>
        <w:rPr>
          <w:spacing w:val="5"/>
        </w:rPr>
        <w:t>易过</w:t>
      </w:r>
      <w:r>
        <w:rPr>
          <w:spacing w:val="4"/>
        </w:rPr>
        <w:t>户</w:t>
      </w:r>
      <w:r>
        <w:rPr>
          <w:spacing w:val="5"/>
        </w:rPr>
        <w:t>业务</w:t>
      </w:r>
      <w:r>
        <w:rPr>
          <w:spacing w:val="4"/>
        </w:rPr>
        <w:t>必</w:t>
      </w:r>
      <w:r>
        <w:rPr>
          <w:spacing w:val="5"/>
        </w:rPr>
        <w:t>须</w:t>
      </w:r>
      <w:r>
        <w:rPr>
          <w:spacing w:val="4"/>
        </w:rPr>
        <w:t>提</w:t>
      </w:r>
      <w:r>
        <w:rPr>
          <w:spacing w:val="5"/>
        </w:rPr>
        <w:t>供基</w:t>
      </w:r>
      <w:r>
        <w:rPr>
          <w:spacing w:val="4"/>
        </w:rPr>
        <w:t>金</w:t>
      </w:r>
      <w:r>
        <w:rPr>
          <w:spacing w:val="5"/>
        </w:rPr>
        <w:t>注册</w:t>
      </w:r>
      <w:r>
        <w:rPr>
          <w:spacing w:val="4"/>
        </w:rPr>
        <w:t>登</w:t>
      </w:r>
      <w:r>
        <w:rPr>
          <w:spacing w:val="5"/>
        </w:rPr>
        <w:t>记</w:t>
      </w:r>
      <w:r>
        <w:rPr>
          <w:spacing w:val="4"/>
        </w:rPr>
        <w:t>机</w:t>
      </w:r>
      <w:r>
        <w:rPr>
          <w:spacing w:val="5"/>
        </w:rPr>
        <w:t>构要</w:t>
      </w:r>
      <w:r>
        <w:rPr>
          <w:spacing w:val="4"/>
        </w:rPr>
        <w:t>求</w:t>
      </w:r>
      <w:r>
        <w:rPr>
          <w:spacing w:val="5"/>
        </w:rPr>
        <w:t>提</w:t>
      </w:r>
      <w:r>
        <w:rPr>
          <w:spacing w:val="4"/>
        </w:rPr>
        <w:t>供</w:t>
      </w:r>
      <w:r>
        <w:rPr>
          <w:spacing w:val="5"/>
        </w:rPr>
        <w:t>的相</w:t>
      </w:r>
      <w:r>
        <w:rPr>
          <w:spacing w:val="4"/>
        </w:rPr>
        <w:t>关</w:t>
      </w:r>
      <w:r>
        <w:rPr>
          <w:spacing w:val="5"/>
        </w:rPr>
        <w:t>资料</w:t>
      </w:r>
      <w:r>
        <w:rPr>
          <w:spacing w:val="4"/>
        </w:rPr>
        <w:t>，</w:t>
      </w:r>
      <w:r>
        <w:rPr>
          <w:spacing w:val="5"/>
        </w:rPr>
        <w:t>其</w:t>
      </w:r>
      <w:r>
        <w:rPr>
          <w:spacing w:val="4"/>
        </w:rPr>
        <w:t>中</w:t>
      </w:r>
      <w:r>
        <w:rPr>
          <w:spacing w:val="5"/>
        </w:rPr>
        <w:t>，</w:t>
      </w:r>
      <w:r>
        <w:rPr/>
        <w:t>因</w:t>
      </w:r>
      <w:r>
        <w:rPr>
          <w:spacing w:val="4"/>
        </w:rPr>
        <w:t>继承、捐赠、遗赠、自愿离婚、分家析产原因导致的非交易过户向基金销售网点申请办理，</w:t>
      </w:r>
      <w:r>
        <w:rPr/>
        <w:t>因</w:t>
      </w:r>
    </w:p>
    <w:p>
      <w:pPr>
        <w:spacing w:after="0" w:line="364" w:lineRule="auto"/>
        <w:sectPr>
          <w:pgSz w:w="11910" w:h="16840"/>
          <w:pgMar w:header="0" w:footer="1172" w:top="1580" w:bottom="1440" w:left="1520" w:right="360"/>
        </w:sectPr>
      </w:pPr>
    </w:p>
    <w:p>
      <w:pPr>
        <w:pStyle w:val="BodyText"/>
        <w:spacing w:line="364" w:lineRule="auto" w:before="106"/>
        <w:ind w:left="293" w:right="936"/>
      </w:pPr>
      <w:r>
        <w:rPr/>
        <w:t>国有资产无偿划转、机构合并或分立、资产售卖、机构清算、企业破产清算、强制执行原因导致的非交易过户直接向基金注册登记机构统一申请办理。</w:t>
      </w:r>
    </w:p>
    <w:p>
      <w:pPr>
        <w:pStyle w:val="BodyText"/>
        <w:spacing w:line="364" w:lineRule="auto"/>
        <w:ind w:left="293" w:right="936" w:firstLine="420"/>
        <w:jc w:val="both"/>
      </w:pPr>
      <w:r>
        <w:rPr/>
        <w:t>（三） 符合条件的非交易过户申请自申请受理日起，二个月内办理；申请人按基金注册登记机构规定的标准缴纳过户费用。</w:t>
      </w:r>
    </w:p>
    <w:p>
      <w:pPr>
        <w:pStyle w:val="BodyText"/>
        <w:spacing w:line="364" w:lineRule="auto"/>
        <w:ind w:left="293" w:right="936" w:firstLine="420"/>
        <w:jc w:val="both"/>
      </w:pPr>
      <w:r>
        <w:rPr/>
        <w:t>（四） 基金份额持有人可以办理其基金份额在不同销售机构的转托管手续，转托管业务由各销售机构负责受理。</w:t>
      </w:r>
    </w:p>
    <w:p>
      <w:pPr>
        <w:pStyle w:val="BodyText"/>
        <w:spacing w:line="364" w:lineRule="auto"/>
        <w:ind w:left="293" w:right="936" w:firstLine="420"/>
        <w:jc w:val="both"/>
      </w:pPr>
      <w:r>
        <w:rPr/>
        <w:t>（五） 基金注册登记机构只受理国家有权机关依法要求的基金账户或基金份额的冻结与解冻。基金帐户或基金份额被冻结的，被冻结部分产生的权益（包括现金分红和红利再投资） 一并冻结。</w:t>
      </w:r>
    </w:p>
    <w:p>
      <w:pPr>
        <w:spacing w:after="0" w:line="364" w:lineRule="auto"/>
        <w:jc w:val="both"/>
        <w:sectPr>
          <w:pgSz w:w="11910" w:h="16840"/>
          <w:pgMar w:header="0" w:footer="1172" w:top="1580" w:bottom="1440" w:left="1520" w:right="360"/>
        </w:sectPr>
      </w:pPr>
    </w:p>
    <w:p>
      <w:pPr>
        <w:pStyle w:val="Heading1"/>
        <w:ind w:right="920"/>
        <w:jc w:val="center"/>
      </w:pPr>
      <w:bookmarkStart w:name="_bookmark26" w:id="27"/>
      <w:bookmarkEnd w:id="27"/>
      <w:r>
        <w:rPr>
          <w:b w:val="0"/>
        </w:rPr>
      </w:r>
      <w:r>
        <w:rPr/>
        <w:t>八、基金的投资</w:t>
      </w:r>
    </w:p>
    <w:p>
      <w:pPr>
        <w:pStyle w:val="Heading2"/>
        <w:spacing w:before="118"/>
      </w:pPr>
      <w:bookmarkStart w:name="_bookmark27" w:id="28"/>
      <w:bookmarkEnd w:id="28"/>
      <w:r>
        <w:rPr/>
      </w:r>
      <w:r>
        <w:rPr/>
        <w:t>（一）投资目标</w:t>
      </w:r>
    </w:p>
    <w:p>
      <w:pPr>
        <w:pStyle w:val="BodyText"/>
        <w:spacing w:before="11"/>
        <w:ind w:left="0"/>
        <w:rPr>
          <w:sz w:val="8"/>
        </w:rPr>
      </w:pPr>
    </w:p>
    <w:p>
      <w:pPr>
        <w:pStyle w:val="BodyText"/>
        <w:spacing w:line="364" w:lineRule="auto" w:before="71"/>
        <w:ind w:left="293" w:right="936" w:firstLine="420"/>
      </w:pPr>
      <w:r>
        <w:rPr/>
        <w:t>在严格控制与目标指数偏离风险的前提下，力争获得超越指数的投资收益，追求长期资本增值。</w:t>
      </w:r>
    </w:p>
    <w:p>
      <w:pPr>
        <w:pStyle w:val="Heading2"/>
      </w:pPr>
      <w:bookmarkStart w:name="_bookmark28" w:id="29"/>
      <w:bookmarkEnd w:id="29"/>
      <w:r>
        <w:rPr/>
      </w:r>
      <w:r>
        <w:rPr/>
        <w:t>（二）目标指数</w:t>
      </w:r>
    </w:p>
    <w:p>
      <w:pPr>
        <w:pStyle w:val="BodyText"/>
        <w:spacing w:before="185"/>
        <w:jc w:val="both"/>
      </w:pPr>
      <w:r>
        <w:rPr/>
        <w:t>本基金为以上证 50 指数为目标指数的纯股票指数增强型基金。</w:t>
      </w:r>
    </w:p>
    <w:p>
      <w:pPr>
        <w:pStyle w:val="BodyText"/>
        <w:spacing w:line="364" w:lineRule="auto" w:before="139"/>
        <w:ind w:left="293" w:right="936" w:firstLine="420"/>
        <w:jc w:val="both"/>
      </w:pPr>
      <w:r>
        <w:rPr/>
        <w:t>如果基金所跟踪的目标指数被相关的交易所停止发布、或由其他指数替代、或由于指数编制方法等重大变更导致该指数不宜继续作为目标指数，或者证券市场有其他代表性更强、更适合投资的指数推出，本基金管理人可以依据维护投资者的合法权益的原则，变更基金的跟踪目标和投资对象。</w:t>
      </w:r>
    </w:p>
    <w:p>
      <w:pPr>
        <w:pStyle w:val="BodyText"/>
        <w:spacing w:line="364" w:lineRule="auto"/>
        <w:ind w:left="293" w:right="936" w:firstLine="420"/>
      </w:pPr>
      <w:r>
        <w:rPr/>
        <w:t>本基金由于上述原因变更跟踪目标和投资对象，不需召开基金份额持有人大会通过，但应报中国证监会，并在中国证监会指定的媒介上公告。</w:t>
      </w:r>
    </w:p>
    <w:p>
      <w:pPr>
        <w:pStyle w:val="Heading2"/>
      </w:pPr>
      <w:bookmarkStart w:name="_bookmark29" w:id="30"/>
      <w:bookmarkEnd w:id="30"/>
      <w:r>
        <w:rPr/>
      </w:r>
      <w:r>
        <w:rPr/>
        <w:t>（三）投资方向和投资对象</w:t>
      </w:r>
    </w:p>
    <w:p>
      <w:pPr>
        <w:pStyle w:val="BodyText"/>
        <w:spacing w:line="364" w:lineRule="auto" w:before="183"/>
        <w:ind w:left="293" w:right="936" w:firstLine="420"/>
      </w:pPr>
      <w:r>
        <w:rPr/>
        <w:t>本基金的投资方向为具有良好流动性的金融工具，包括投资于国内依法公开发行、上市的股票和债券以及中国证监会允许基金投资的其它金融工具。</w:t>
      </w:r>
    </w:p>
    <w:p>
      <w:pPr>
        <w:pStyle w:val="BodyText"/>
        <w:spacing w:line="364" w:lineRule="auto"/>
        <w:ind w:left="293" w:right="936" w:firstLine="420"/>
        <w:jc w:val="both"/>
      </w:pPr>
      <w:r>
        <w:rPr>
          <w:spacing w:val="-3"/>
        </w:rPr>
        <w:t>本基金主要投资于目标指数的成分股票，包括上证 </w:t>
      </w:r>
      <w:r>
        <w:rPr/>
        <w:t>50</w:t>
      </w:r>
      <w:r>
        <w:rPr>
          <w:spacing w:val="-8"/>
        </w:rPr>
        <w:t> 指数的成分股和预期将要被选入上证50 指数的股票，还可适当投资一级市场申购的股票</w:t>
      </w:r>
      <w:r>
        <w:rPr/>
        <w:t>（包括新股与增发</w:t>
      </w:r>
      <w:r>
        <w:rPr>
          <w:spacing w:val="-105"/>
        </w:rPr>
        <w:t>）</w:t>
      </w:r>
      <w:r>
        <w:rPr/>
        <w:t>，以在不增加额外风险的前提下提高收益水平。</w:t>
      </w:r>
    </w:p>
    <w:p>
      <w:pPr>
        <w:pStyle w:val="Heading2"/>
        <w:spacing w:line="358" w:lineRule="exact"/>
      </w:pPr>
      <w:bookmarkStart w:name="_bookmark30" w:id="31"/>
      <w:bookmarkEnd w:id="31"/>
      <w:r>
        <w:rPr/>
      </w:r>
      <w:r>
        <w:rPr/>
        <w:t>（四）投资理念</w:t>
      </w:r>
    </w:p>
    <w:p>
      <w:pPr>
        <w:pStyle w:val="BodyText"/>
        <w:spacing w:line="364" w:lineRule="auto" w:before="184"/>
        <w:ind w:left="293" w:right="936" w:firstLine="420"/>
        <w:jc w:val="both"/>
      </w:pPr>
      <w:r>
        <w:rPr>
          <w:spacing w:val="3"/>
        </w:rPr>
        <w:t>指数增强型投资是追求投资风险、收益和成本最佳匹配的有效途径。将深入的基本面研究与数量化投资技术相结合可以弥补纯指数化投资的缺陷，在控制与目标指数偏离风险的前提下实现超越指数的收益。</w:t>
      </w:r>
    </w:p>
    <w:p>
      <w:pPr>
        <w:pStyle w:val="Heading2"/>
        <w:spacing w:line="358" w:lineRule="exact"/>
      </w:pPr>
      <w:bookmarkStart w:name="_bookmark31" w:id="32"/>
      <w:bookmarkEnd w:id="32"/>
      <w:r>
        <w:rPr/>
      </w:r>
      <w:r>
        <w:rPr/>
        <w:t>（五）业绩比较基准</w:t>
      </w:r>
    </w:p>
    <w:p>
      <w:pPr>
        <w:pStyle w:val="BodyText"/>
        <w:spacing w:before="185"/>
        <w:jc w:val="both"/>
      </w:pPr>
      <w:r>
        <w:rPr/>
        <w:t>本基金的业绩比较基准为：上证 50 指数。</w:t>
      </w:r>
    </w:p>
    <w:p>
      <w:pPr>
        <w:pStyle w:val="BodyText"/>
        <w:spacing w:line="364" w:lineRule="auto" w:before="140"/>
        <w:ind w:left="293" w:right="989" w:firstLine="420"/>
        <w:jc w:val="both"/>
      </w:pPr>
      <w:r>
        <w:rPr>
          <w:spacing w:val="-3"/>
        </w:rPr>
        <w:t>本基金主要投资于目标指数的成分股票，包括上证 </w:t>
      </w:r>
      <w:r>
        <w:rPr/>
        <w:t>50</w:t>
      </w:r>
      <w:r>
        <w:rPr>
          <w:spacing w:val="-8"/>
        </w:rPr>
        <w:t> 指数的成分股和预期将要被选入上证50</w:t>
      </w:r>
      <w:r>
        <w:rPr>
          <w:spacing w:val="-11"/>
        </w:rPr>
        <w:t> 指数的股票，所以本基金选择上证 </w:t>
      </w:r>
      <w:r>
        <w:rPr/>
        <w:t>50</w:t>
      </w:r>
      <w:r>
        <w:rPr>
          <w:spacing w:val="-8"/>
        </w:rPr>
        <w:t> 指数作为业绩比较基准。</w:t>
      </w:r>
    </w:p>
    <w:p>
      <w:pPr>
        <w:pStyle w:val="Heading2"/>
      </w:pPr>
      <w:bookmarkStart w:name="_bookmark32" w:id="33"/>
      <w:bookmarkEnd w:id="33"/>
      <w:r>
        <w:rPr/>
      </w:r>
      <w:r>
        <w:rPr/>
        <w:t>（六）基金的风险收益特征</w:t>
      </w:r>
    </w:p>
    <w:p>
      <w:pPr>
        <w:pStyle w:val="BodyText"/>
        <w:spacing w:line="364" w:lineRule="auto" w:before="185"/>
        <w:ind w:left="293" w:right="936" w:firstLine="420"/>
        <w:jc w:val="both"/>
      </w:pPr>
      <w:r>
        <w:rPr/>
        <w:t>本基金为股票基金，其预期风险、收益水平高于混合基金、债券基金及货币市场基金。本基金在控制与目标指数偏离风险的同时，力争获得超越基准的收益。长期来看，本基金具有与目标指数相近的风险水平。</w:t>
      </w:r>
    </w:p>
    <w:p>
      <w:pPr>
        <w:spacing w:after="0" w:line="364" w:lineRule="auto"/>
        <w:jc w:val="both"/>
        <w:sectPr>
          <w:pgSz w:w="11910" w:h="16840"/>
          <w:pgMar w:header="0" w:footer="1172" w:top="1580" w:bottom="1440" w:left="1520" w:right="360"/>
        </w:sectPr>
      </w:pPr>
    </w:p>
    <w:p>
      <w:pPr>
        <w:pStyle w:val="Heading2"/>
        <w:spacing w:before="107"/>
      </w:pPr>
      <w:bookmarkStart w:name="_bookmark33" w:id="34"/>
      <w:bookmarkEnd w:id="34"/>
      <w:r>
        <w:rPr/>
      </w:r>
      <w:r>
        <w:rPr/>
        <w:t>（七）投资策略</w:t>
      </w:r>
    </w:p>
    <w:p>
      <w:pPr>
        <w:pStyle w:val="BodyText"/>
        <w:spacing w:line="364" w:lineRule="auto" w:before="185"/>
        <w:ind w:left="293" w:right="936" w:firstLine="420"/>
        <w:jc w:val="both"/>
      </w:pPr>
      <w:r>
        <w:rPr>
          <w:spacing w:val="-2"/>
        </w:rPr>
        <w:t>本基金为增强型指数基金，以上证 </w:t>
      </w:r>
      <w:r>
        <w:rPr/>
        <w:t>50</w:t>
      </w:r>
      <w:r>
        <w:rPr>
          <w:spacing w:val="-6"/>
        </w:rPr>
        <w:t> 指数作为目标指数。资产配置上追求充分投资，不根</w:t>
      </w:r>
      <w:r>
        <w:rPr>
          <w:spacing w:val="9"/>
        </w:rPr>
        <w:t>据对市场时机的判断主动调整股票仓位，通过运用深入的基本面研究及先进的数量化投资技</w:t>
      </w:r>
      <w:r>
        <w:rPr/>
        <w:t>术，控制与目标指数的偏离风险，追求超越业绩比较基准的收益水平。</w:t>
      </w:r>
    </w:p>
    <w:p>
      <w:pPr>
        <w:pStyle w:val="BodyText"/>
        <w:spacing w:line="268" w:lineRule="exact"/>
      </w:pPr>
      <w:r>
        <w:rPr/>
        <w:t>1、资产配置策略</w:t>
      </w:r>
    </w:p>
    <w:p>
      <w:pPr>
        <w:pStyle w:val="BodyText"/>
        <w:spacing w:line="364" w:lineRule="auto" w:before="139"/>
        <w:ind w:left="243" w:right="936" w:firstLine="420"/>
        <w:jc w:val="right"/>
      </w:pPr>
      <w:r>
        <w:rPr/>
        <w:t>本基金追求基金资产在股票市场上的充分投资，基金管理人不在国债、股票、现金等各类资产之间进行主动配置。在目前的法律法规限制下，本基金应当保持不低于基金资产净值 5%的现金或者到期日在一年以内的政府债券，正常情况下股票投资占基金净资产的比例不低于 90%。在实际运作过程中，由于受市场价格波动、股票交易的零股限制、基金申购赎回情况等因</w:t>
      </w:r>
    </w:p>
    <w:p>
      <w:pPr>
        <w:pStyle w:val="BodyText"/>
        <w:spacing w:line="267" w:lineRule="exact"/>
        <w:ind w:left="293"/>
      </w:pPr>
      <w:r>
        <w:rPr/>
        <w:t>素的影响，基金的资产配置比例可能会在规定比例上下小幅波动，基金经理将及时进行调整。</w:t>
      </w:r>
    </w:p>
    <w:p>
      <w:pPr>
        <w:pStyle w:val="BodyText"/>
        <w:spacing w:before="140"/>
      </w:pPr>
      <w:r>
        <w:rPr/>
        <w:t>2、股票投资策略</w:t>
      </w:r>
    </w:p>
    <w:p>
      <w:pPr>
        <w:pStyle w:val="BodyText"/>
        <w:spacing w:line="364" w:lineRule="auto" w:before="139"/>
        <w:ind w:left="293" w:right="936" w:firstLine="420"/>
        <w:jc w:val="both"/>
      </w:pPr>
      <w:r>
        <w:rPr>
          <w:spacing w:val="3"/>
        </w:rPr>
        <w:t>本基金以指数化投资为主，辅以有限度的增强操作及一级市场股票投资。本基金所跟踪的</w:t>
      </w:r>
      <w:r>
        <w:rPr>
          <w:spacing w:val="-1"/>
        </w:rPr>
        <w:t>目标指数为上证 </w:t>
      </w:r>
      <w:r>
        <w:rPr/>
        <w:t>50</w:t>
      </w:r>
      <w:r>
        <w:rPr>
          <w:spacing w:val="-6"/>
        </w:rPr>
        <w:t> 指数。基金将基本依据目标指数的成分股构成权重，基于基本面研究进行有</w:t>
      </w:r>
      <w:r>
        <w:rPr>
          <w:spacing w:val="9"/>
        </w:rPr>
        <w:t>限度的优化调整，并借助数量化投资分析技术构造和调整指数化投资组合。在投资组合建立</w:t>
      </w:r>
      <w:r>
        <w:rPr>
          <w:spacing w:val="3"/>
        </w:rPr>
        <w:t>后，基金定期对比检验组合与比较基准的偏离程度，适时对投资组合进行调整，使指数优化组合与目标指数的跟踪误差控制在限定的范围内。此外，本基金将利用所持有股票市值参与一级市场股票投资，以在不增加额外风险的前提下提高收益水平。</w:t>
      </w:r>
    </w:p>
    <w:p>
      <w:pPr>
        <w:pStyle w:val="ListParagraph"/>
        <w:numPr>
          <w:ilvl w:val="0"/>
          <w:numId w:val="16"/>
        </w:numPr>
        <w:tabs>
          <w:tab w:pos="1240" w:val="left" w:leader="none"/>
        </w:tabs>
        <w:spacing w:line="266" w:lineRule="exact" w:before="0" w:after="0"/>
        <w:ind w:left="1240" w:right="0" w:hanging="527"/>
        <w:jc w:val="left"/>
        <w:rPr>
          <w:sz w:val="21"/>
        </w:rPr>
      </w:pPr>
      <w:r>
        <w:rPr>
          <w:sz w:val="21"/>
        </w:rPr>
        <w:t>优化的依据</w:t>
      </w:r>
    </w:p>
    <w:p>
      <w:pPr>
        <w:pStyle w:val="BodyText"/>
        <w:spacing w:line="364" w:lineRule="auto" w:before="140"/>
        <w:ind w:left="293" w:right="936" w:firstLine="420"/>
        <w:jc w:val="both"/>
      </w:pPr>
      <w:r>
        <w:rPr/>
        <w:t>本基金进行优化的根本依据是国内股票市场的非完全有效性和指数编制本身的局限性及时效性，本基金主要基于对上市公司及行业的基本面分析对指数化投资组合进行优化，主要考虑以下因素：</w:t>
      </w:r>
    </w:p>
    <w:p>
      <w:pPr>
        <w:pStyle w:val="ListParagraph"/>
        <w:numPr>
          <w:ilvl w:val="0"/>
          <w:numId w:val="17"/>
        </w:numPr>
        <w:tabs>
          <w:tab w:pos="1032" w:val="left" w:leader="none"/>
        </w:tabs>
        <w:spacing w:line="364" w:lineRule="auto" w:before="0" w:after="0"/>
        <w:ind w:left="293" w:right="936" w:firstLine="420"/>
        <w:jc w:val="left"/>
        <w:rPr>
          <w:sz w:val="21"/>
        </w:rPr>
      </w:pPr>
      <w:r>
        <w:rPr>
          <w:sz w:val="21"/>
        </w:rPr>
        <w:t>公司基本面及竞争优势。本基金主要根据研究员的深度调研，分析上市公司的基本面状况和竞争优势，对每只股票的盈利增长能力和盈利的可持续性进行分析判断和预测。</w:t>
      </w:r>
    </w:p>
    <w:p>
      <w:pPr>
        <w:pStyle w:val="ListParagraph"/>
        <w:numPr>
          <w:ilvl w:val="0"/>
          <w:numId w:val="17"/>
        </w:numPr>
        <w:tabs>
          <w:tab w:pos="1032" w:val="left" w:leader="none"/>
        </w:tabs>
        <w:spacing w:line="364" w:lineRule="auto" w:before="0" w:after="0"/>
        <w:ind w:left="293" w:right="936" w:firstLine="420"/>
        <w:jc w:val="both"/>
        <w:rPr>
          <w:sz w:val="21"/>
        </w:rPr>
      </w:pPr>
      <w:r>
        <w:rPr>
          <w:sz w:val="21"/>
        </w:rPr>
        <w:t>股票相对价值。本基金主要基于不同行业的特点，并通过同行业比较、历史比较和成长</w:t>
      </w:r>
      <w:r>
        <w:rPr>
          <w:spacing w:val="3"/>
          <w:sz w:val="21"/>
        </w:rPr>
        <w:t>性分析，努力发现那些与其同类个股或其本身所具有的盈利预期相比价格被相对低估的上市公司。</w:t>
      </w:r>
    </w:p>
    <w:p>
      <w:pPr>
        <w:pStyle w:val="ListParagraph"/>
        <w:numPr>
          <w:ilvl w:val="0"/>
          <w:numId w:val="17"/>
        </w:numPr>
        <w:tabs>
          <w:tab w:pos="1032" w:val="left" w:leader="none"/>
        </w:tabs>
        <w:spacing w:line="364" w:lineRule="auto" w:before="0" w:after="0"/>
        <w:ind w:left="293" w:right="936" w:firstLine="420"/>
        <w:jc w:val="left"/>
        <w:rPr>
          <w:sz w:val="21"/>
        </w:rPr>
      </w:pPr>
      <w:r>
        <w:rPr>
          <w:sz w:val="21"/>
        </w:rPr>
        <w:t>个股的市场机会和趋势。本基金还将基于对上市公司的深度调研和对股价可能产生显著影响的市场信息的充分挖掘，分析个股的短期投资机会。</w:t>
      </w:r>
    </w:p>
    <w:p>
      <w:pPr>
        <w:pStyle w:val="ListParagraph"/>
        <w:numPr>
          <w:ilvl w:val="0"/>
          <w:numId w:val="17"/>
        </w:numPr>
        <w:tabs>
          <w:tab w:pos="1032" w:val="left" w:leader="none"/>
        </w:tabs>
        <w:spacing w:line="364" w:lineRule="auto" w:before="0" w:after="0"/>
        <w:ind w:left="293" w:right="936" w:firstLine="420"/>
        <w:jc w:val="left"/>
        <w:rPr>
          <w:sz w:val="21"/>
        </w:rPr>
      </w:pPr>
      <w:r>
        <w:rPr>
          <w:sz w:val="21"/>
        </w:rPr>
        <w:t>股票的流动性。本基金主要根据对当时市场成交活跃程度及股票过往的平均换手率、交易量等因素的分析，对个股的流动性进行分析预测。</w:t>
      </w:r>
    </w:p>
    <w:p>
      <w:pPr>
        <w:pStyle w:val="ListParagraph"/>
        <w:numPr>
          <w:ilvl w:val="0"/>
          <w:numId w:val="17"/>
        </w:numPr>
        <w:tabs>
          <w:tab w:pos="1032" w:val="left" w:leader="none"/>
        </w:tabs>
        <w:spacing w:line="364" w:lineRule="auto" w:before="0" w:after="0"/>
        <w:ind w:left="293" w:right="936" w:firstLine="420"/>
        <w:jc w:val="left"/>
        <w:rPr>
          <w:sz w:val="21"/>
        </w:rPr>
      </w:pPr>
      <w:r>
        <w:rPr>
          <w:sz w:val="21"/>
        </w:rPr>
        <w:t>提前或延后指数成分股的变更。本基金将根据指数编制人制定的指数编制规则，预测指数成分股可能发生的变动以及对股价的影响，提前或延后调整成分股。</w:t>
      </w:r>
    </w:p>
    <w:p>
      <w:pPr>
        <w:spacing w:after="0" w:line="364" w:lineRule="auto"/>
        <w:jc w:val="left"/>
        <w:rPr>
          <w:sz w:val="21"/>
        </w:rPr>
        <w:sectPr>
          <w:pgSz w:w="11910" w:h="16840"/>
          <w:pgMar w:header="0" w:footer="1172" w:top="1580" w:bottom="1440" w:left="1520" w:right="360"/>
        </w:sectPr>
      </w:pPr>
    </w:p>
    <w:p>
      <w:pPr>
        <w:pStyle w:val="ListParagraph"/>
        <w:numPr>
          <w:ilvl w:val="0"/>
          <w:numId w:val="17"/>
        </w:numPr>
        <w:tabs>
          <w:tab w:pos="1032" w:val="left" w:leader="none"/>
        </w:tabs>
        <w:spacing w:line="364" w:lineRule="auto" w:before="106" w:after="0"/>
        <w:ind w:left="293" w:right="936" w:firstLine="420"/>
        <w:jc w:val="both"/>
        <w:rPr>
          <w:sz w:val="21"/>
        </w:rPr>
      </w:pPr>
      <w:r>
        <w:rPr>
          <w:sz w:val="21"/>
        </w:rPr>
        <w:t>非成分股的投资。本基金将及时把握市场上比较明确的一级市场盈利机会，在不增加额</w:t>
      </w:r>
      <w:r>
        <w:rPr>
          <w:spacing w:val="3"/>
          <w:sz w:val="21"/>
        </w:rPr>
        <w:t>外风险的前提下提高收益水平。经研究，个别基本面较好、股价远远被低估，本基金也将适度参与这些非成分股的二级市场投资机会。</w:t>
      </w:r>
    </w:p>
    <w:p>
      <w:pPr>
        <w:pStyle w:val="ListParagraph"/>
        <w:numPr>
          <w:ilvl w:val="0"/>
          <w:numId w:val="16"/>
        </w:numPr>
        <w:tabs>
          <w:tab w:pos="1240" w:val="left" w:leader="none"/>
        </w:tabs>
        <w:spacing w:line="268" w:lineRule="exact" w:before="0" w:after="0"/>
        <w:ind w:left="1240" w:right="0" w:hanging="527"/>
        <w:jc w:val="left"/>
        <w:rPr>
          <w:sz w:val="21"/>
        </w:rPr>
      </w:pPr>
      <w:r>
        <w:rPr>
          <w:sz w:val="21"/>
        </w:rPr>
        <w:t>构造指数优化组合的主要步骤</w:t>
      </w:r>
    </w:p>
    <w:p>
      <w:pPr>
        <w:pStyle w:val="ListParagraph"/>
        <w:numPr>
          <w:ilvl w:val="0"/>
          <w:numId w:val="18"/>
        </w:numPr>
        <w:tabs>
          <w:tab w:pos="1035" w:val="left" w:leader="none"/>
        </w:tabs>
        <w:spacing w:line="364" w:lineRule="auto" w:before="139" w:after="0"/>
        <w:ind w:left="293" w:right="936" w:firstLine="420"/>
        <w:jc w:val="left"/>
        <w:rPr>
          <w:sz w:val="21"/>
        </w:rPr>
      </w:pPr>
      <w:r>
        <w:rPr>
          <w:spacing w:val="-8"/>
          <w:sz w:val="21"/>
        </w:rPr>
        <w:t>根据上证 </w:t>
      </w:r>
      <w:r>
        <w:rPr>
          <w:sz w:val="21"/>
        </w:rPr>
        <w:t>50</w:t>
      </w:r>
      <w:r>
        <w:rPr>
          <w:spacing w:val="-4"/>
          <w:sz w:val="21"/>
        </w:rPr>
        <w:t> 指数成分股名单及权重，考虑本基金资产规模及需保留现金比例等因素， </w:t>
      </w:r>
      <w:r>
        <w:rPr>
          <w:sz w:val="21"/>
        </w:rPr>
        <w:t>拟定本基金指数化投资的初始方案；</w:t>
      </w:r>
    </w:p>
    <w:p>
      <w:pPr>
        <w:pStyle w:val="ListParagraph"/>
        <w:numPr>
          <w:ilvl w:val="0"/>
          <w:numId w:val="18"/>
        </w:numPr>
        <w:tabs>
          <w:tab w:pos="1032" w:val="left" w:leader="none"/>
        </w:tabs>
        <w:spacing w:line="364" w:lineRule="auto" w:before="0" w:after="0"/>
        <w:ind w:left="293" w:right="936" w:firstLine="420"/>
        <w:jc w:val="left"/>
        <w:rPr>
          <w:sz w:val="21"/>
        </w:rPr>
      </w:pPr>
      <w:r>
        <w:rPr>
          <w:sz w:val="21"/>
        </w:rPr>
        <w:t>在指数化投资初始方案基础上，根据上述优化操作的依据调整部分成分股的投资权重， 形成指数优化组合初始方案；</w:t>
      </w:r>
    </w:p>
    <w:p>
      <w:pPr>
        <w:pStyle w:val="ListParagraph"/>
        <w:numPr>
          <w:ilvl w:val="0"/>
          <w:numId w:val="18"/>
        </w:numPr>
        <w:tabs>
          <w:tab w:pos="1037" w:val="left" w:leader="none"/>
        </w:tabs>
        <w:spacing w:line="364" w:lineRule="auto" w:before="0" w:after="0"/>
        <w:ind w:left="293" w:right="936" w:firstLine="420"/>
        <w:jc w:val="left"/>
        <w:rPr>
          <w:sz w:val="21"/>
        </w:rPr>
      </w:pPr>
      <w:r>
        <w:rPr>
          <w:spacing w:val="6"/>
          <w:sz w:val="21"/>
        </w:rPr>
        <w:t>借助相关数量化分析工具，根据组合的风险暴露结构及对跟踪误差的影响进行调整优化，最终确定指数优化组合构建方案；</w:t>
      </w:r>
    </w:p>
    <w:p>
      <w:pPr>
        <w:pStyle w:val="ListParagraph"/>
        <w:numPr>
          <w:ilvl w:val="0"/>
          <w:numId w:val="18"/>
        </w:numPr>
        <w:tabs>
          <w:tab w:pos="1032" w:val="left" w:leader="none"/>
        </w:tabs>
        <w:spacing w:line="364" w:lineRule="auto" w:before="0" w:after="0"/>
        <w:ind w:left="293" w:right="936" w:firstLine="420"/>
        <w:jc w:val="left"/>
        <w:rPr>
          <w:sz w:val="21"/>
        </w:rPr>
      </w:pPr>
      <w:r>
        <w:rPr>
          <w:sz w:val="21"/>
        </w:rPr>
        <w:t>在组合构建的过程中，基金经理还将根据实际交易情况、申购赎回情况、以及对跟踪误差的监控结果等，对投资组合进行动态调整。</w:t>
      </w:r>
    </w:p>
    <w:p>
      <w:pPr>
        <w:pStyle w:val="ListParagraph"/>
        <w:numPr>
          <w:ilvl w:val="0"/>
          <w:numId w:val="18"/>
        </w:numPr>
        <w:tabs>
          <w:tab w:pos="1032" w:val="left" w:leader="none"/>
        </w:tabs>
        <w:spacing w:line="364" w:lineRule="auto" w:before="0" w:after="0"/>
        <w:ind w:left="293" w:right="936" w:firstLine="420"/>
        <w:jc w:val="both"/>
        <w:rPr>
          <w:sz w:val="21"/>
        </w:rPr>
      </w:pPr>
      <w:r>
        <w:rPr>
          <w:sz w:val="21"/>
        </w:rPr>
        <w:t>本基金在目标指数成分股定期调整信息公布前一个月内，根据对调整方案的分析预测以</w:t>
      </w:r>
      <w:r>
        <w:rPr>
          <w:spacing w:val="3"/>
          <w:sz w:val="21"/>
        </w:rPr>
        <w:t>及成分股调整对股价影响的分析，决定采取提前调整还是事后调整的策略，增持可能进入目标指数的股票，剔除可能被调整出目标指数的股票。并在目标指数成分股定期调整信息公布后一个月内按照调整后的指数成分股及权重构建投资组合。</w:t>
      </w:r>
    </w:p>
    <w:p>
      <w:pPr>
        <w:pStyle w:val="ListParagraph"/>
        <w:numPr>
          <w:ilvl w:val="0"/>
          <w:numId w:val="18"/>
        </w:numPr>
        <w:tabs>
          <w:tab w:pos="1032" w:val="left" w:leader="none"/>
        </w:tabs>
        <w:spacing w:line="364" w:lineRule="auto" w:before="0" w:after="0"/>
        <w:ind w:left="293" w:right="936" w:firstLine="420"/>
        <w:jc w:val="left"/>
        <w:rPr>
          <w:sz w:val="21"/>
        </w:rPr>
      </w:pPr>
      <w:r>
        <w:rPr>
          <w:sz w:val="21"/>
        </w:rPr>
        <w:t>当发生新股申购时，研究部提供拟发行新股企业的研究报告，基金管理人根据研究报告和市场判断决定是否参与新股配售申购。配售获得的新股将根据市场状况在短时间内出售。</w:t>
      </w:r>
    </w:p>
    <w:p>
      <w:pPr>
        <w:pStyle w:val="ListParagraph"/>
        <w:numPr>
          <w:ilvl w:val="0"/>
          <w:numId w:val="18"/>
        </w:numPr>
        <w:tabs>
          <w:tab w:pos="1032" w:val="left" w:leader="none"/>
        </w:tabs>
        <w:spacing w:line="364" w:lineRule="auto" w:before="0" w:after="0"/>
        <w:ind w:left="293" w:right="936" w:firstLine="420"/>
        <w:jc w:val="left"/>
        <w:rPr>
          <w:sz w:val="21"/>
        </w:rPr>
      </w:pPr>
      <w:r>
        <w:rPr>
          <w:spacing w:val="-2"/>
          <w:sz w:val="21"/>
        </w:rPr>
        <w:t>本基金力求将指数化投资组合的日跟踪误差控制在 </w:t>
      </w:r>
      <w:r>
        <w:rPr>
          <w:sz w:val="21"/>
        </w:rPr>
        <w:t>0.25%</w:t>
      </w:r>
      <w:r>
        <w:rPr>
          <w:spacing w:val="-2"/>
          <w:sz w:val="21"/>
        </w:rPr>
        <w:t>以内，年跟踪误差控制在 </w:t>
      </w:r>
      <w:r>
        <w:rPr>
          <w:sz w:val="21"/>
        </w:rPr>
        <w:t>4%以内，同时争取获得超过指数的回报。</w:t>
      </w:r>
    </w:p>
    <w:p>
      <w:pPr>
        <w:pStyle w:val="BodyText"/>
        <w:spacing w:line="268" w:lineRule="exact"/>
      </w:pPr>
      <w:r>
        <w:rPr/>
        <w:t>3、融资及转融通证券出借</w:t>
      </w:r>
    </w:p>
    <w:p>
      <w:pPr>
        <w:pStyle w:val="BodyText"/>
        <w:spacing w:line="364" w:lineRule="auto" w:before="133"/>
        <w:ind w:left="293" w:right="936" w:firstLine="420"/>
        <w:jc w:val="both"/>
      </w:pPr>
      <w:r>
        <w:rPr/>
        <w:t>在条件许可的情况下，基金管理人可在不改变本基金既有投资目标、策略和风险收益特征并在控制风险的前提下，根据相关法律法规，参与融资及转融通证券出借业务，以提高投资效率及进行风险管理。届时基金参与融资及转融通证券出借业务的风险控制原则、具体参与比例限制、费用收支、信息披露、估值方法及其他相关事项按照中国证监会的规定及其他相关法律法规的要求执行，无需召开基金份额持有人大会审议。</w:t>
      </w:r>
    </w:p>
    <w:p>
      <w:pPr>
        <w:pStyle w:val="ListParagraph"/>
        <w:numPr>
          <w:ilvl w:val="0"/>
          <w:numId w:val="19"/>
        </w:numPr>
        <w:tabs>
          <w:tab w:pos="1240" w:val="left" w:leader="none"/>
        </w:tabs>
        <w:spacing w:line="267" w:lineRule="exact" w:before="0" w:after="0"/>
        <w:ind w:left="1240" w:right="0" w:hanging="527"/>
        <w:jc w:val="left"/>
        <w:rPr>
          <w:sz w:val="21"/>
        </w:rPr>
      </w:pPr>
      <w:r>
        <w:rPr>
          <w:sz w:val="21"/>
        </w:rPr>
        <w:t>融资策略</w:t>
      </w:r>
    </w:p>
    <w:p>
      <w:pPr>
        <w:pStyle w:val="BodyText"/>
        <w:spacing w:line="364" w:lineRule="auto" w:before="140"/>
        <w:ind w:left="293" w:right="936" w:firstLine="420"/>
        <w:jc w:val="both"/>
      </w:pPr>
      <w:r>
        <w:rPr/>
        <w:t>本基金可在综合考虑预期收益、风险、流动性等因素的基础上，参与融资业务。基金参与融资业务后，在任何交易日日终，持有的融资买入股票与其他有价证券市值之和，不得超过基金资产净值的 95%。</w:t>
      </w:r>
    </w:p>
    <w:p>
      <w:pPr>
        <w:pStyle w:val="ListParagraph"/>
        <w:numPr>
          <w:ilvl w:val="0"/>
          <w:numId w:val="19"/>
        </w:numPr>
        <w:tabs>
          <w:tab w:pos="1240" w:val="left" w:leader="none"/>
        </w:tabs>
        <w:spacing w:line="268" w:lineRule="exact" w:before="0" w:after="0"/>
        <w:ind w:left="1240" w:right="0" w:hanging="527"/>
        <w:jc w:val="left"/>
        <w:rPr>
          <w:sz w:val="21"/>
        </w:rPr>
      </w:pPr>
      <w:r>
        <w:rPr>
          <w:sz w:val="21"/>
        </w:rPr>
        <w:t>转融通证券出借策略</w:t>
      </w:r>
    </w:p>
    <w:p>
      <w:pPr>
        <w:pStyle w:val="BodyText"/>
        <w:spacing w:line="364" w:lineRule="auto" w:before="139"/>
        <w:ind w:left="293" w:right="936" w:firstLine="420"/>
      </w:pPr>
      <w:r>
        <w:rPr/>
        <w:t>本基金可根据风险管理的原则，参与转融通证券出借交易。转融通证券出借策略按照分散化投资原则，分批、分期进行转融通证券出借交易，以分散风险。本基金在任何交易日日终，</w:t>
      </w:r>
    </w:p>
    <w:p>
      <w:pPr>
        <w:spacing w:after="0" w:line="364" w:lineRule="auto"/>
        <w:sectPr>
          <w:pgSz w:w="11910" w:h="16840"/>
          <w:pgMar w:header="0" w:footer="1172" w:top="1580" w:bottom="1440" w:left="1520" w:right="360"/>
        </w:sectPr>
      </w:pPr>
    </w:p>
    <w:p>
      <w:pPr>
        <w:pStyle w:val="BodyText"/>
        <w:spacing w:line="364" w:lineRule="auto" w:before="106"/>
        <w:ind w:left="293" w:right="936"/>
        <w:jc w:val="both"/>
      </w:pPr>
      <w:r>
        <w:rPr>
          <w:spacing w:val="-2"/>
        </w:rPr>
        <w:t>参与转融通证券出借交易的资产不得超过基金资产净值的 </w:t>
      </w:r>
      <w:r>
        <w:rPr/>
        <w:t>50%，证券出借的平均剩余期限不得超</w:t>
      </w:r>
      <w:r>
        <w:rPr>
          <w:spacing w:val="-27"/>
        </w:rPr>
        <w:t>过 </w:t>
      </w:r>
      <w:r>
        <w:rPr/>
        <w:t>30</w:t>
      </w:r>
      <w:r>
        <w:rPr>
          <w:spacing w:val="-8"/>
        </w:rPr>
        <w:t> 天，平均剩余期限按照市值加权平均计算。</w:t>
      </w:r>
    </w:p>
    <w:p>
      <w:pPr>
        <w:pStyle w:val="ListParagraph"/>
        <w:numPr>
          <w:ilvl w:val="0"/>
          <w:numId w:val="19"/>
        </w:numPr>
        <w:tabs>
          <w:tab w:pos="1244" w:val="left" w:leader="none"/>
        </w:tabs>
        <w:spacing w:line="364" w:lineRule="auto" w:before="0" w:after="0"/>
        <w:ind w:left="293" w:right="936" w:firstLine="420"/>
        <w:jc w:val="both"/>
        <w:rPr>
          <w:sz w:val="21"/>
        </w:rPr>
      </w:pPr>
      <w:r>
        <w:rPr>
          <w:sz w:val="21"/>
        </w:rPr>
        <w:t>法律法规或监管部门取消上述组合限制，本基金可不受相关限制。法律法规或监管部</w:t>
      </w:r>
      <w:r>
        <w:rPr>
          <w:spacing w:val="3"/>
          <w:sz w:val="21"/>
        </w:rPr>
        <w:t>门对上述组合限制进行变更的，本基金可以变更后的规定为准。经与基金托管人协商一致，基金管理人可依据法律法规或监管部门规定直接对基金合同进行变更，该变更无须召开基金份额持有人大会审议。</w:t>
      </w:r>
    </w:p>
    <w:p>
      <w:pPr>
        <w:pStyle w:val="BodyText"/>
        <w:spacing w:line="267" w:lineRule="exact"/>
      </w:pPr>
      <w:r>
        <w:rPr/>
        <w:t>4、其它投资策略</w:t>
      </w:r>
    </w:p>
    <w:p>
      <w:pPr>
        <w:pStyle w:val="BodyText"/>
        <w:spacing w:line="364" w:lineRule="auto" w:before="138"/>
        <w:ind w:left="293" w:right="936" w:firstLine="420"/>
      </w:pPr>
      <w:r>
        <w:rPr/>
        <w:t>本基金将审慎投资于中国证监会批准的其它金融工具，以减少基金资产的风险并提高基金的收益。</w:t>
      </w:r>
    </w:p>
    <w:p>
      <w:pPr>
        <w:pStyle w:val="Heading2"/>
        <w:spacing w:before="1"/>
      </w:pPr>
      <w:bookmarkStart w:name="_bookmark34" w:id="35"/>
      <w:bookmarkEnd w:id="35"/>
      <w:r>
        <w:rPr/>
      </w:r>
      <w:r>
        <w:rPr/>
        <w:t>（八）投资程序</w:t>
      </w:r>
    </w:p>
    <w:p>
      <w:pPr>
        <w:pStyle w:val="BodyText"/>
        <w:spacing w:before="184"/>
        <w:ind w:left="773"/>
      </w:pPr>
      <w:r>
        <w:rPr/>
        <w:t>1、投资决策程序</w:t>
      </w:r>
    </w:p>
    <w:p>
      <w:pPr>
        <w:pStyle w:val="ListParagraph"/>
        <w:numPr>
          <w:ilvl w:val="0"/>
          <w:numId w:val="20"/>
        </w:numPr>
        <w:tabs>
          <w:tab w:pos="1240" w:val="left" w:leader="none"/>
        </w:tabs>
        <w:spacing w:line="240" w:lineRule="auto" w:before="140" w:after="0"/>
        <w:ind w:left="1240" w:right="0" w:hanging="527"/>
        <w:jc w:val="left"/>
        <w:rPr>
          <w:sz w:val="21"/>
        </w:rPr>
      </w:pPr>
      <w:r>
        <w:rPr>
          <w:sz w:val="21"/>
        </w:rPr>
        <w:t>投资决策依据</w:t>
      </w:r>
    </w:p>
    <w:p>
      <w:pPr>
        <w:pStyle w:val="ListParagraph"/>
        <w:numPr>
          <w:ilvl w:val="0"/>
          <w:numId w:val="21"/>
        </w:numPr>
        <w:tabs>
          <w:tab w:pos="1090" w:val="left" w:leader="none"/>
        </w:tabs>
        <w:spacing w:line="240" w:lineRule="auto" w:before="139" w:after="0"/>
        <w:ind w:left="1090" w:right="0" w:hanging="317"/>
        <w:jc w:val="left"/>
        <w:rPr>
          <w:sz w:val="21"/>
        </w:rPr>
      </w:pPr>
      <w:r>
        <w:rPr>
          <w:sz w:val="21"/>
        </w:rPr>
        <w:t>国家有关法律、法规和《基金合同》的规定。</w:t>
      </w:r>
    </w:p>
    <w:p>
      <w:pPr>
        <w:pStyle w:val="ListParagraph"/>
        <w:numPr>
          <w:ilvl w:val="0"/>
          <w:numId w:val="21"/>
        </w:numPr>
        <w:tabs>
          <w:tab w:pos="1090" w:val="left" w:leader="none"/>
        </w:tabs>
        <w:spacing w:line="240" w:lineRule="auto" w:before="140" w:after="0"/>
        <w:ind w:left="1090" w:right="0" w:hanging="317"/>
        <w:jc w:val="left"/>
        <w:rPr>
          <w:sz w:val="21"/>
        </w:rPr>
      </w:pPr>
      <w:r>
        <w:rPr>
          <w:sz w:val="21"/>
        </w:rPr>
        <w:t>政治形势、政策趋势和宏观经济形势。</w:t>
      </w:r>
    </w:p>
    <w:p>
      <w:pPr>
        <w:pStyle w:val="ListParagraph"/>
        <w:numPr>
          <w:ilvl w:val="0"/>
          <w:numId w:val="21"/>
        </w:numPr>
        <w:tabs>
          <w:tab w:pos="1090" w:val="left" w:leader="none"/>
        </w:tabs>
        <w:spacing w:line="240" w:lineRule="auto" w:before="139" w:after="0"/>
        <w:ind w:left="1090" w:right="0" w:hanging="317"/>
        <w:jc w:val="left"/>
        <w:rPr>
          <w:sz w:val="21"/>
        </w:rPr>
      </w:pPr>
      <w:r>
        <w:rPr>
          <w:sz w:val="21"/>
        </w:rPr>
        <w:t>行业和上市公司基本面。</w:t>
      </w:r>
    </w:p>
    <w:p>
      <w:pPr>
        <w:pStyle w:val="ListParagraph"/>
        <w:numPr>
          <w:ilvl w:val="0"/>
          <w:numId w:val="21"/>
        </w:numPr>
        <w:tabs>
          <w:tab w:pos="1090" w:val="left" w:leader="none"/>
        </w:tabs>
        <w:spacing w:line="240" w:lineRule="auto" w:before="140" w:after="0"/>
        <w:ind w:left="1090" w:right="0" w:hanging="317"/>
        <w:jc w:val="left"/>
        <w:rPr>
          <w:sz w:val="21"/>
        </w:rPr>
      </w:pPr>
      <w:r>
        <w:rPr>
          <w:sz w:val="21"/>
        </w:rPr>
        <w:t>证券市场发展趋势。</w:t>
      </w:r>
    </w:p>
    <w:p>
      <w:pPr>
        <w:pStyle w:val="ListParagraph"/>
        <w:numPr>
          <w:ilvl w:val="0"/>
          <w:numId w:val="21"/>
        </w:numPr>
        <w:tabs>
          <w:tab w:pos="1090" w:val="left" w:leader="none"/>
        </w:tabs>
        <w:spacing w:line="240" w:lineRule="auto" w:before="139" w:after="0"/>
        <w:ind w:left="1090" w:right="0" w:hanging="317"/>
        <w:jc w:val="left"/>
        <w:rPr>
          <w:sz w:val="21"/>
        </w:rPr>
      </w:pPr>
      <w:r>
        <w:rPr>
          <w:sz w:val="21"/>
        </w:rPr>
        <w:t>目标指数的编制方法。</w:t>
      </w:r>
    </w:p>
    <w:p>
      <w:pPr>
        <w:pStyle w:val="ListParagraph"/>
        <w:numPr>
          <w:ilvl w:val="0"/>
          <w:numId w:val="20"/>
        </w:numPr>
        <w:tabs>
          <w:tab w:pos="1240" w:val="left" w:leader="none"/>
        </w:tabs>
        <w:spacing w:line="240" w:lineRule="auto" w:before="140" w:after="0"/>
        <w:ind w:left="1240" w:right="0" w:hanging="527"/>
        <w:jc w:val="left"/>
        <w:rPr>
          <w:sz w:val="21"/>
        </w:rPr>
      </w:pPr>
      <w:r>
        <w:rPr>
          <w:sz w:val="21"/>
        </w:rPr>
        <w:t>投资决策流程</w:t>
      </w:r>
    </w:p>
    <w:p>
      <w:pPr>
        <w:pStyle w:val="ListParagraph"/>
        <w:numPr>
          <w:ilvl w:val="0"/>
          <w:numId w:val="22"/>
        </w:numPr>
        <w:tabs>
          <w:tab w:pos="1090" w:val="left" w:leader="none"/>
        </w:tabs>
        <w:spacing w:line="240" w:lineRule="auto" w:before="139" w:after="0"/>
        <w:ind w:left="1090" w:right="0" w:hanging="317"/>
        <w:jc w:val="left"/>
        <w:rPr>
          <w:sz w:val="21"/>
        </w:rPr>
      </w:pPr>
      <w:r>
        <w:rPr>
          <w:sz w:val="21"/>
        </w:rPr>
        <w:t>基金经理拟定资产配置计划，按照公司制度提交审议并实施；</w:t>
      </w:r>
    </w:p>
    <w:p>
      <w:pPr>
        <w:pStyle w:val="ListParagraph"/>
        <w:numPr>
          <w:ilvl w:val="0"/>
          <w:numId w:val="22"/>
        </w:numPr>
        <w:tabs>
          <w:tab w:pos="1090" w:val="left" w:leader="none"/>
        </w:tabs>
        <w:spacing w:line="240" w:lineRule="auto" w:before="139" w:after="0"/>
        <w:ind w:left="1090" w:right="0" w:hanging="317"/>
        <w:jc w:val="left"/>
        <w:rPr>
          <w:sz w:val="21"/>
        </w:rPr>
      </w:pPr>
      <w:r>
        <w:rPr>
          <w:sz w:val="21"/>
        </w:rPr>
        <w:t>基金经理根据指数成份股名单及权重，参考有关研究报告，进行投资组合构建；</w:t>
      </w:r>
    </w:p>
    <w:p>
      <w:pPr>
        <w:pStyle w:val="ListParagraph"/>
        <w:numPr>
          <w:ilvl w:val="0"/>
          <w:numId w:val="22"/>
        </w:numPr>
        <w:tabs>
          <w:tab w:pos="1140" w:val="left" w:leader="none"/>
        </w:tabs>
        <w:spacing w:line="364" w:lineRule="auto" w:before="140" w:after="0"/>
        <w:ind w:left="293" w:right="936" w:firstLine="525"/>
        <w:jc w:val="left"/>
        <w:rPr>
          <w:sz w:val="21"/>
        </w:rPr>
      </w:pPr>
      <w:r>
        <w:rPr>
          <w:spacing w:val="3"/>
          <w:sz w:val="21"/>
        </w:rPr>
        <w:t>基金经理根据指数成份股或权重变化情况、基金申购赎回情况、指数成份股派息情况等，参考有关研究报告及投资风险管理部的报告，适时进行投资组合调整。</w:t>
      </w:r>
    </w:p>
    <w:p>
      <w:pPr>
        <w:pStyle w:val="BodyText"/>
        <w:spacing w:line="268" w:lineRule="exact"/>
        <w:ind w:left="773"/>
      </w:pPr>
      <w:r>
        <w:rPr/>
        <w:t>2、投资交易程序</w:t>
      </w:r>
    </w:p>
    <w:p>
      <w:pPr>
        <w:pStyle w:val="BodyText"/>
        <w:spacing w:line="364" w:lineRule="auto" w:before="139"/>
        <w:ind w:left="293" w:right="936" w:firstLine="420"/>
        <w:jc w:val="both"/>
      </w:pPr>
      <w:r>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pPr>
        <w:pStyle w:val="BodyText"/>
        <w:spacing w:line="268" w:lineRule="exact"/>
        <w:ind w:left="773"/>
      </w:pPr>
      <w:r>
        <w:rPr/>
        <w:t>3、投资风险的监控和管理</w:t>
      </w:r>
    </w:p>
    <w:p>
      <w:pPr>
        <w:pStyle w:val="ListParagraph"/>
        <w:numPr>
          <w:ilvl w:val="0"/>
          <w:numId w:val="23"/>
        </w:numPr>
        <w:tabs>
          <w:tab w:pos="1244" w:val="left" w:leader="none"/>
        </w:tabs>
        <w:spacing w:line="364" w:lineRule="auto" w:before="140" w:after="0"/>
        <w:ind w:left="293" w:right="936" w:firstLine="420"/>
        <w:jc w:val="left"/>
        <w:rPr>
          <w:sz w:val="21"/>
        </w:rPr>
      </w:pPr>
      <w:r>
        <w:rPr>
          <w:sz w:val="21"/>
        </w:rPr>
        <w:t>监察与合规管理总部对基金的日常投资和交易是否遵守法律法规、基金合同进行独立监督检查。</w:t>
      </w:r>
    </w:p>
    <w:p>
      <w:pPr>
        <w:pStyle w:val="ListParagraph"/>
        <w:numPr>
          <w:ilvl w:val="0"/>
          <w:numId w:val="23"/>
        </w:numPr>
        <w:tabs>
          <w:tab w:pos="1244" w:val="left" w:leader="none"/>
        </w:tabs>
        <w:spacing w:line="364" w:lineRule="auto" w:before="0" w:after="0"/>
        <w:ind w:left="293" w:right="936" w:firstLine="420"/>
        <w:jc w:val="left"/>
        <w:rPr>
          <w:sz w:val="21"/>
        </w:rPr>
      </w:pPr>
      <w:r>
        <w:rPr>
          <w:sz w:val="21"/>
        </w:rPr>
        <w:t>投资风险管理部定期出具基金绩效评估和风险管理报告，供基金经理调整投资组合时参考。</w:t>
      </w:r>
    </w:p>
    <w:p>
      <w:pPr>
        <w:spacing w:after="0" w:line="364" w:lineRule="auto"/>
        <w:jc w:val="left"/>
        <w:rPr>
          <w:sz w:val="21"/>
        </w:rPr>
        <w:sectPr>
          <w:pgSz w:w="11910" w:h="16840"/>
          <w:pgMar w:header="0" w:footer="1172" w:top="1580" w:bottom="1440" w:left="1520" w:right="360"/>
        </w:sectPr>
      </w:pPr>
    </w:p>
    <w:p>
      <w:pPr>
        <w:pStyle w:val="Heading2"/>
        <w:spacing w:before="107"/>
      </w:pPr>
      <w:bookmarkStart w:name="_bookmark35" w:id="36"/>
      <w:bookmarkEnd w:id="36"/>
      <w:r>
        <w:rPr/>
      </w:r>
      <w:r>
        <w:rPr/>
        <w:t>（九）基金投资限制</w:t>
      </w:r>
    </w:p>
    <w:p>
      <w:pPr>
        <w:pStyle w:val="BodyText"/>
        <w:spacing w:line="364" w:lineRule="auto" w:before="185"/>
        <w:ind w:left="293" w:right="936" w:firstLine="420"/>
      </w:pPr>
      <w:r>
        <w:rPr/>
        <w:t>除法律法规和本《基金合同》规定的关于基金投资的限制外，本基金对投资运作不设另外的限制。</w:t>
      </w:r>
    </w:p>
    <w:p>
      <w:pPr>
        <w:pStyle w:val="Heading2"/>
      </w:pPr>
      <w:bookmarkStart w:name="_bookmark36" w:id="37"/>
      <w:bookmarkEnd w:id="37"/>
      <w:r>
        <w:rPr/>
      </w:r>
      <w:r>
        <w:rPr/>
        <w:t>（十）禁止行为</w:t>
      </w:r>
    </w:p>
    <w:p>
      <w:pPr>
        <w:pStyle w:val="BodyText"/>
        <w:spacing w:before="185"/>
      </w:pPr>
      <w:r>
        <w:rPr/>
        <w:t>基金资产不得用于下列投资或者活动：</w:t>
      </w:r>
    </w:p>
    <w:p>
      <w:pPr>
        <w:pStyle w:val="BodyText"/>
        <w:spacing w:before="139"/>
      </w:pPr>
      <w:r>
        <w:rPr/>
        <w:t>1、买卖其他证券投资基金份额，但法律法规另有规定的除外；</w:t>
      </w:r>
    </w:p>
    <w:p>
      <w:pPr>
        <w:pStyle w:val="BodyText"/>
        <w:spacing w:before="140"/>
      </w:pPr>
      <w:r>
        <w:rPr/>
        <w:t>2、将基金资产用于向他人贷款或提供担保；</w:t>
      </w:r>
    </w:p>
    <w:p>
      <w:pPr>
        <w:pStyle w:val="BodyText"/>
        <w:spacing w:before="139"/>
      </w:pPr>
      <w:r>
        <w:rPr/>
        <w:t>3、承销证券；</w:t>
      </w:r>
    </w:p>
    <w:p>
      <w:pPr>
        <w:pStyle w:val="BodyText"/>
        <w:spacing w:before="140"/>
      </w:pPr>
      <w:r>
        <w:rPr/>
        <w:t>4、从事可能使基金资产承担无限责任的投资；</w:t>
      </w:r>
    </w:p>
    <w:p>
      <w:pPr>
        <w:pStyle w:val="BodyText"/>
        <w:spacing w:before="139"/>
      </w:pPr>
      <w:r>
        <w:rPr/>
        <w:t>5、向基金管理人、基金托管人出资或者买卖基金托管人、基金管理人发行的股票或债券；</w:t>
      </w:r>
    </w:p>
    <w:p>
      <w:pPr>
        <w:pStyle w:val="BodyText"/>
        <w:spacing w:line="364" w:lineRule="auto" w:before="140"/>
        <w:ind w:left="293" w:right="936" w:firstLine="420"/>
      </w:pPr>
      <w:r>
        <w:rPr/>
        <w:t>6、买卖与基金管理人、基金托管人有控股关系的股东或者与基金管理人、基金托管人有其他重大利害关系的公司发行的证券或承销期内承销的证券；</w:t>
      </w:r>
    </w:p>
    <w:p>
      <w:pPr>
        <w:pStyle w:val="BodyText"/>
        <w:spacing w:line="268" w:lineRule="exact"/>
      </w:pPr>
      <w:r>
        <w:rPr/>
        <w:t>7、从事内幕交易、操纵证券交易价格及其他不正当的证券交易活动；</w:t>
      </w:r>
    </w:p>
    <w:p>
      <w:pPr>
        <w:pStyle w:val="BodyText"/>
        <w:spacing w:line="364" w:lineRule="auto" w:before="139"/>
        <w:ind w:right="1016"/>
      </w:pPr>
      <w:r>
        <w:rPr/>
        <w:t>8、当时有效的法律、法规、规章、中国证监会及《基金合同》规定禁止从事的其他行为。对上述事项，法律法规另有规定时从其规定。</w:t>
      </w:r>
    </w:p>
    <w:p>
      <w:pPr>
        <w:pStyle w:val="Heading2"/>
        <w:spacing w:line="364" w:lineRule="auto"/>
        <w:ind w:right="936"/>
      </w:pPr>
      <w:bookmarkStart w:name="_bookmark37" w:id="38"/>
      <w:bookmarkEnd w:id="38"/>
      <w:r>
        <w:rPr/>
      </w:r>
      <w:r>
        <w:rPr/>
        <w:t>（十一）基金管理人代表基金行使所投资证券产生权利的处理原则及方法</w:t>
      </w:r>
    </w:p>
    <w:p>
      <w:pPr>
        <w:pStyle w:val="BodyText"/>
        <w:spacing w:line="267" w:lineRule="exact"/>
      </w:pPr>
      <w:r>
        <w:rPr/>
        <w:t>1、不谋求对上市公司的控股，不参与所投资上市公司的经营管理；</w:t>
      </w:r>
    </w:p>
    <w:p>
      <w:pPr>
        <w:pStyle w:val="BodyText"/>
        <w:spacing w:before="140"/>
      </w:pPr>
      <w:r>
        <w:rPr/>
        <w:t>2、有利于基金资产的安全与增值；</w:t>
      </w:r>
    </w:p>
    <w:p>
      <w:pPr>
        <w:pStyle w:val="BodyText"/>
        <w:spacing w:before="139"/>
      </w:pPr>
      <w:r>
        <w:rPr/>
        <w:t>3、基金管理人按照国家有关规定代表基金独立行使股东权利，保护基金投资者的利益。</w:t>
      </w:r>
    </w:p>
    <w:p>
      <w:pPr>
        <w:pStyle w:val="BodyText"/>
        <w:spacing w:before="139"/>
      </w:pPr>
      <w:r>
        <w:rPr/>
        <w:t>4、基金管理人按照国家有关规定代表基金独立行使债权人权利，保护基金投资者的利益。</w:t>
      </w:r>
    </w:p>
    <w:p>
      <w:pPr>
        <w:pStyle w:val="Heading2"/>
        <w:spacing w:before="141"/>
      </w:pPr>
      <w:bookmarkStart w:name="_bookmark38" w:id="39"/>
      <w:bookmarkEnd w:id="39"/>
      <w:r>
        <w:rPr/>
      </w:r>
      <w:r>
        <w:rPr/>
        <w:t>（十二）基金投资组合报告(未经审计)</w:t>
      </w:r>
    </w:p>
    <w:p>
      <w:pPr>
        <w:pStyle w:val="BodyText"/>
        <w:spacing w:line="364" w:lineRule="auto" w:before="185"/>
        <w:ind w:left="293" w:right="936" w:firstLine="42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293" w:right="936" w:firstLine="420"/>
      </w:pPr>
      <w:r>
        <w:rPr/>
        <w:t>本基金的托管人交通银行根据本基金合同的规定，复核了本报告的内容，保证复核内容不存在虚假记载、误导性陈述或者重大遗漏。</w:t>
      </w:r>
    </w:p>
    <w:p>
      <w:pPr>
        <w:pStyle w:val="BodyText"/>
        <w:spacing w:line="364" w:lineRule="auto"/>
        <w:ind w:right="2276"/>
      </w:pPr>
      <w:r>
        <w:rPr>
          <w:spacing w:val="-4"/>
        </w:rPr>
        <w:t>本投资组合报告有关数据的期间为 </w:t>
      </w:r>
      <w:r>
        <w:rPr/>
        <w:t>2019</w:t>
      </w:r>
      <w:r>
        <w:rPr>
          <w:spacing w:val="-36"/>
        </w:rPr>
        <w:t> 年 </w:t>
      </w:r>
      <w:r>
        <w:rPr/>
        <w:t>10</w:t>
      </w:r>
      <w:r>
        <w:rPr>
          <w:spacing w:val="-36"/>
        </w:rPr>
        <w:t> 月 </w:t>
      </w:r>
      <w:r>
        <w:rPr/>
        <w:t>1</w:t>
      </w:r>
      <w:r>
        <w:rPr>
          <w:spacing w:val="-27"/>
        </w:rPr>
        <w:t> 日至 </w:t>
      </w:r>
      <w:r>
        <w:rPr/>
        <w:t>2019</w:t>
      </w:r>
      <w:r>
        <w:rPr>
          <w:spacing w:val="-36"/>
        </w:rPr>
        <w:t> 年 </w:t>
      </w:r>
      <w:r>
        <w:rPr/>
        <w:t>12</w:t>
      </w:r>
      <w:r>
        <w:rPr>
          <w:spacing w:val="-36"/>
        </w:rPr>
        <w:t> 月 </w:t>
      </w:r>
      <w:r>
        <w:rPr/>
        <w:t>31</w:t>
      </w:r>
      <w:r>
        <w:rPr>
          <w:spacing w:val="-22"/>
        </w:rPr>
        <w:t> 日。</w:t>
      </w:r>
      <w:r>
        <w:rPr/>
        <w:t>1、报告期末基金资产组合情况</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301"/>
        <w:gridCol w:w="3223"/>
        <w:gridCol w:w="1716"/>
      </w:tblGrid>
      <w:tr>
        <w:trPr>
          <w:trHeight w:val="1146" w:hRule="atLeast"/>
        </w:trPr>
        <w:tc>
          <w:tcPr>
            <w:tcW w:w="760" w:type="dxa"/>
          </w:tcPr>
          <w:p>
            <w:pPr>
              <w:pStyle w:val="TableParagraph"/>
              <w:rPr>
                <w:sz w:val="20"/>
              </w:rPr>
            </w:pPr>
          </w:p>
          <w:p>
            <w:pPr>
              <w:pStyle w:val="TableParagraph"/>
              <w:rPr>
                <w:sz w:val="15"/>
              </w:rPr>
            </w:pPr>
          </w:p>
          <w:p>
            <w:pPr>
              <w:pStyle w:val="TableParagraph"/>
              <w:ind w:left="178"/>
              <w:rPr>
                <w:sz w:val="21"/>
              </w:rPr>
            </w:pPr>
            <w:r>
              <w:rPr>
                <w:sz w:val="21"/>
              </w:rPr>
              <w:t>序号</w:t>
            </w:r>
          </w:p>
        </w:tc>
        <w:tc>
          <w:tcPr>
            <w:tcW w:w="2301" w:type="dxa"/>
          </w:tcPr>
          <w:p>
            <w:pPr>
              <w:pStyle w:val="TableParagraph"/>
              <w:rPr>
                <w:sz w:val="20"/>
              </w:rPr>
            </w:pPr>
          </w:p>
          <w:p>
            <w:pPr>
              <w:pStyle w:val="TableParagraph"/>
              <w:rPr>
                <w:sz w:val="15"/>
              </w:rPr>
            </w:pPr>
          </w:p>
          <w:p>
            <w:pPr>
              <w:pStyle w:val="TableParagraph"/>
              <w:ind w:left="929" w:right="902"/>
              <w:jc w:val="center"/>
              <w:rPr>
                <w:sz w:val="21"/>
              </w:rPr>
            </w:pPr>
            <w:r>
              <w:rPr>
                <w:sz w:val="21"/>
              </w:rPr>
              <w:t>项目</w:t>
            </w:r>
          </w:p>
        </w:tc>
        <w:tc>
          <w:tcPr>
            <w:tcW w:w="3223" w:type="dxa"/>
          </w:tcPr>
          <w:p>
            <w:pPr>
              <w:pStyle w:val="TableParagraph"/>
              <w:rPr>
                <w:sz w:val="20"/>
              </w:rPr>
            </w:pPr>
          </w:p>
          <w:p>
            <w:pPr>
              <w:pStyle w:val="TableParagraph"/>
              <w:rPr>
                <w:sz w:val="15"/>
              </w:rPr>
            </w:pPr>
          </w:p>
          <w:p>
            <w:pPr>
              <w:pStyle w:val="TableParagraph"/>
              <w:ind w:left="1095"/>
              <w:rPr>
                <w:sz w:val="21"/>
              </w:rPr>
            </w:pPr>
            <w:r>
              <w:rPr>
                <w:sz w:val="21"/>
              </w:rPr>
              <w:t>金额（元）</w:t>
            </w:r>
          </w:p>
        </w:tc>
        <w:tc>
          <w:tcPr>
            <w:tcW w:w="1716" w:type="dxa"/>
          </w:tcPr>
          <w:p>
            <w:pPr>
              <w:pStyle w:val="TableParagraph"/>
              <w:spacing w:before="169"/>
              <w:ind w:left="111" w:right="84"/>
              <w:jc w:val="center"/>
              <w:rPr>
                <w:sz w:val="21"/>
              </w:rPr>
            </w:pPr>
            <w:r>
              <w:rPr>
                <w:sz w:val="21"/>
              </w:rPr>
              <w:t>占基金总资产的</w:t>
            </w:r>
          </w:p>
          <w:p>
            <w:pPr>
              <w:pStyle w:val="TableParagraph"/>
              <w:spacing w:before="8"/>
              <w:rPr>
                <w:sz w:val="22"/>
              </w:rPr>
            </w:pPr>
          </w:p>
          <w:p>
            <w:pPr>
              <w:pStyle w:val="TableParagraph"/>
              <w:ind w:left="111" w:right="84"/>
              <w:jc w:val="center"/>
              <w:rPr>
                <w:sz w:val="21"/>
              </w:rPr>
            </w:pPr>
            <w:r>
              <w:rPr>
                <w:sz w:val="21"/>
              </w:rPr>
              <w:t>比例（%）</w:t>
            </w:r>
          </w:p>
        </w:tc>
      </w:tr>
    </w:tbl>
    <w:p>
      <w:pPr>
        <w:spacing w:after="0"/>
        <w:jc w:val="center"/>
        <w:rPr>
          <w:sz w:val="21"/>
        </w:rPr>
        <w:sectPr>
          <w:pgSz w:w="11910" w:h="16840"/>
          <w:pgMar w:header="0" w:footer="1172" w:top="1580" w:bottom="1440" w:left="1520" w:right="360"/>
        </w:sectPr>
      </w:pPr>
    </w:p>
    <w:p>
      <w:pPr>
        <w:pStyle w:val="BodyText"/>
        <w:ind w:left="0"/>
        <w:rPr>
          <w:sz w:val="8"/>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301"/>
        <w:gridCol w:w="3223"/>
        <w:gridCol w:w="1716"/>
      </w:tblGrid>
      <w:tr>
        <w:trPr>
          <w:trHeight w:val="587" w:hRule="atLeast"/>
        </w:trPr>
        <w:tc>
          <w:tcPr>
            <w:tcW w:w="760" w:type="dxa"/>
          </w:tcPr>
          <w:p>
            <w:pPr>
              <w:pStyle w:val="TableParagraph"/>
              <w:spacing w:before="175"/>
              <w:ind w:right="308"/>
              <w:jc w:val="right"/>
              <w:rPr>
                <w:sz w:val="21"/>
              </w:rPr>
            </w:pPr>
            <w:r>
              <w:rPr>
                <w:sz w:val="21"/>
              </w:rPr>
              <w:t>1</w:t>
            </w:r>
          </w:p>
        </w:tc>
        <w:tc>
          <w:tcPr>
            <w:tcW w:w="2301" w:type="dxa"/>
          </w:tcPr>
          <w:p>
            <w:pPr>
              <w:pStyle w:val="TableParagraph"/>
              <w:spacing w:before="175"/>
              <w:ind w:left="125"/>
              <w:rPr>
                <w:sz w:val="21"/>
              </w:rPr>
            </w:pPr>
            <w:r>
              <w:rPr>
                <w:sz w:val="21"/>
              </w:rPr>
              <w:t>权益投资</w:t>
            </w:r>
          </w:p>
        </w:tc>
        <w:tc>
          <w:tcPr>
            <w:tcW w:w="3223" w:type="dxa"/>
          </w:tcPr>
          <w:p>
            <w:pPr>
              <w:pStyle w:val="TableParagraph"/>
              <w:spacing w:before="175"/>
              <w:ind w:right="97"/>
              <w:jc w:val="right"/>
              <w:rPr>
                <w:sz w:val="21"/>
              </w:rPr>
            </w:pPr>
            <w:r>
              <w:rPr>
                <w:sz w:val="21"/>
              </w:rPr>
              <w:t>18,621,492,300.80</w:t>
            </w:r>
          </w:p>
        </w:tc>
        <w:tc>
          <w:tcPr>
            <w:tcW w:w="1716" w:type="dxa"/>
          </w:tcPr>
          <w:p>
            <w:pPr>
              <w:pStyle w:val="TableParagraph"/>
              <w:spacing w:before="175"/>
              <w:ind w:right="97"/>
              <w:jc w:val="right"/>
              <w:rPr>
                <w:sz w:val="21"/>
              </w:rPr>
            </w:pPr>
            <w:r>
              <w:rPr>
                <w:sz w:val="21"/>
              </w:rPr>
              <w:t>93.28</w:t>
            </w:r>
          </w:p>
        </w:tc>
      </w:tr>
      <w:tr>
        <w:trPr>
          <w:trHeight w:val="587" w:hRule="atLeast"/>
        </w:trPr>
        <w:tc>
          <w:tcPr>
            <w:tcW w:w="760" w:type="dxa"/>
          </w:tcPr>
          <w:p>
            <w:pPr>
              <w:pStyle w:val="TableParagraph"/>
              <w:rPr>
                <w:rFonts w:ascii="Times New Roman"/>
                <w:sz w:val="20"/>
              </w:rPr>
            </w:pPr>
          </w:p>
        </w:tc>
        <w:tc>
          <w:tcPr>
            <w:tcW w:w="2301" w:type="dxa"/>
          </w:tcPr>
          <w:p>
            <w:pPr>
              <w:pStyle w:val="TableParagraph"/>
              <w:spacing w:before="175"/>
              <w:ind w:left="125"/>
              <w:rPr>
                <w:sz w:val="21"/>
              </w:rPr>
            </w:pPr>
            <w:r>
              <w:rPr>
                <w:sz w:val="21"/>
              </w:rPr>
              <w:t>其中：股票</w:t>
            </w:r>
          </w:p>
        </w:tc>
        <w:tc>
          <w:tcPr>
            <w:tcW w:w="3223" w:type="dxa"/>
          </w:tcPr>
          <w:p>
            <w:pPr>
              <w:pStyle w:val="TableParagraph"/>
              <w:spacing w:before="175"/>
              <w:ind w:right="97"/>
              <w:jc w:val="right"/>
              <w:rPr>
                <w:sz w:val="21"/>
              </w:rPr>
            </w:pPr>
            <w:r>
              <w:rPr>
                <w:sz w:val="21"/>
              </w:rPr>
              <w:t>18,621,492,300.80</w:t>
            </w:r>
          </w:p>
        </w:tc>
        <w:tc>
          <w:tcPr>
            <w:tcW w:w="1716" w:type="dxa"/>
          </w:tcPr>
          <w:p>
            <w:pPr>
              <w:pStyle w:val="TableParagraph"/>
              <w:spacing w:before="175"/>
              <w:ind w:right="97"/>
              <w:jc w:val="right"/>
              <w:rPr>
                <w:sz w:val="21"/>
              </w:rPr>
            </w:pPr>
            <w:r>
              <w:rPr>
                <w:sz w:val="21"/>
              </w:rPr>
              <w:t>93.28</w:t>
            </w:r>
          </w:p>
        </w:tc>
      </w:tr>
      <w:tr>
        <w:trPr>
          <w:trHeight w:val="587" w:hRule="atLeast"/>
        </w:trPr>
        <w:tc>
          <w:tcPr>
            <w:tcW w:w="760" w:type="dxa"/>
          </w:tcPr>
          <w:p>
            <w:pPr>
              <w:pStyle w:val="TableParagraph"/>
              <w:spacing w:before="175"/>
              <w:ind w:right="308"/>
              <w:jc w:val="right"/>
              <w:rPr>
                <w:sz w:val="21"/>
              </w:rPr>
            </w:pPr>
            <w:r>
              <w:rPr>
                <w:sz w:val="21"/>
              </w:rPr>
              <w:t>2</w:t>
            </w:r>
          </w:p>
        </w:tc>
        <w:tc>
          <w:tcPr>
            <w:tcW w:w="2301" w:type="dxa"/>
          </w:tcPr>
          <w:p>
            <w:pPr>
              <w:pStyle w:val="TableParagraph"/>
              <w:spacing w:before="175"/>
              <w:ind w:left="125"/>
              <w:rPr>
                <w:sz w:val="21"/>
              </w:rPr>
            </w:pPr>
            <w:r>
              <w:rPr>
                <w:sz w:val="21"/>
              </w:rPr>
              <w:t>固定收益投资</w:t>
            </w:r>
          </w:p>
        </w:tc>
        <w:tc>
          <w:tcPr>
            <w:tcW w:w="3223" w:type="dxa"/>
          </w:tcPr>
          <w:p>
            <w:pPr>
              <w:pStyle w:val="TableParagraph"/>
              <w:spacing w:before="175"/>
              <w:ind w:right="97"/>
              <w:jc w:val="right"/>
              <w:rPr>
                <w:sz w:val="21"/>
              </w:rPr>
            </w:pPr>
            <w:r>
              <w:rPr>
                <w:sz w:val="21"/>
              </w:rPr>
              <w:t>704,931,000.00</w:t>
            </w:r>
          </w:p>
        </w:tc>
        <w:tc>
          <w:tcPr>
            <w:tcW w:w="1716" w:type="dxa"/>
          </w:tcPr>
          <w:p>
            <w:pPr>
              <w:pStyle w:val="TableParagraph"/>
              <w:spacing w:before="175"/>
              <w:ind w:right="97"/>
              <w:jc w:val="right"/>
              <w:rPr>
                <w:sz w:val="21"/>
              </w:rPr>
            </w:pPr>
            <w:r>
              <w:rPr>
                <w:sz w:val="21"/>
              </w:rPr>
              <w:t>3.53</w:t>
            </w:r>
          </w:p>
        </w:tc>
      </w:tr>
      <w:tr>
        <w:trPr>
          <w:trHeight w:val="587" w:hRule="atLeast"/>
        </w:trPr>
        <w:tc>
          <w:tcPr>
            <w:tcW w:w="760" w:type="dxa"/>
          </w:tcPr>
          <w:p>
            <w:pPr>
              <w:pStyle w:val="TableParagraph"/>
              <w:rPr>
                <w:rFonts w:ascii="Times New Roman"/>
                <w:sz w:val="20"/>
              </w:rPr>
            </w:pPr>
          </w:p>
        </w:tc>
        <w:tc>
          <w:tcPr>
            <w:tcW w:w="2301" w:type="dxa"/>
          </w:tcPr>
          <w:p>
            <w:pPr>
              <w:pStyle w:val="TableParagraph"/>
              <w:spacing w:before="175"/>
              <w:ind w:left="125"/>
              <w:rPr>
                <w:sz w:val="21"/>
              </w:rPr>
            </w:pPr>
            <w:r>
              <w:rPr>
                <w:sz w:val="21"/>
              </w:rPr>
              <w:t>其中：债券</w:t>
            </w:r>
          </w:p>
        </w:tc>
        <w:tc>
          <w:tcPr>
            <w:tcW w:w="3223" w:type="dxa"/>
          </w:tcPr>
          <w:p>
            <w:pPr>
              <w:pStyle w:val="TableParagraph"/>
              <w:spacing w:before="175"/>
              <w:ind w:right="97"/>
              <w:jc w:val="right"/>
              <w:rPr>
                <w:sz w:val="21"/>
              </w:rPr>
            </w:pPr>
            <w:r>
              <w:rPr>
                <w:sz w:val="21"/>
              </w:rPr>
              <w:t>704,931,000.00</w:t>
            </w:r>
          </w:p>
        </w:tc>
        <w:tc>
          <w:tcPr>
            <w:tcW w:w="1716" w:type="dxa"/>
          </w:tcPr>
          <w:p>
            <w:pPr>
              <w:pStyle w:val="TableParagraph"/>
              <w:spacing w:before="175"/>
              <w:ind w:right="97"/>
              <w:jc w:val="right"/>
              <w:rPr>
                <w:sz w:val="21"/>
              </w:rPr>
            </w:pPr>
            <w:r>
              <w:rPr>
                <w:sz w:val="21"/>
              </w:rPr>
              <w:t>3.53</w:t>
            </w:r>
          </w:p>
        </w:tc>
      </w:tr>
      <w:tr>
        <w:trPr>
          <w:trHeight w:val="587" w:hRule="atLeast"/>
        </w:trPr>
        <w:tc>
          <w:tcPr>
            <w:tcW w:w="760" w:type="dxa"/>
          </w:tcPr>
          <w:p>
            <w:pPr>
              <w:pStyle w:val="TableParagraph"/>
              <w:rPr>
                <w:rFonts w:ascii="Times New Roman"/>
                <w:sz w:val="20"/>
              </w:rPr>
            </w:pPr>
          </w:p>
        </w:tc>
        <w:tc>
          <w:tcPr>
            <w:tcW w:w="2301" w:type="dxa"/>
          </w:tcPr>
          <w:p>
            <w:pPr>
              <w:pStyle w:val="TableParagraph"/>
              <w:spacing w:before="175"/>
              <w:ind w:left="125"/>
              <w:rPr>
                <w:sz w:val="21"/>
              </w:rPr>
            </w:pPr>
            <w:r>
              <w:rPr>
                <w:sz w:val="21"/>
              </w:rPr>
              <w:t>资产支持证券</w:t>
            </w:r>
          </w:p>
        </w:tc>
        <w:tc>
          <w:tcPr>
            <w:tcW w:w="3223" w:type="dxa"/>
          </w:tcPr>
          <w:p>
            <w:pPr>
              <w:pStyle w:val="TableParagraph"/>
              <w:spacing w:before="175"/>
              <w:ind w:right="97"/>
              <w:jc w:val="right"/>
              <w:rPr>
                <w:sz w:val="21"/>
              </w:rPr>
            </w:pPr>
            <w:r>
              <w:rPr>
                <w:sz w:val="21"/>
              </w:rPr>
              <w:t>-</w:t>
            </w:r>
          </w:p>
        </w:tc>
        <w:tc>
          <w:tcPr>
            <w:tcW w:w="1716" w:type="dxa"/>
          </w:tcPr>
          <w:p>
            <w:pPr>
              <w:pStyle w:val="TableParagraph"/>
              <w:spacing w:before="175"/>
              <w:ind w:right="97"/>
              <w:jc w:val="right"/>
              <w:rPr>
                <w:sz w:val="21"/>
              </w:rPr>
            </w:pPr>
            <w:r>
              <w:rPr>
                <w:sz w:val="21"/>
              </w:rPr>
              <w:t>-</w:t>
            </w:r>
          </w:p>
        </w:tc>
      </w:tr>
      <w:tr>
        <w:trPr>
          <w:trHeight w:val="587" w:hRule="atLeast"/>
        </w:trPr>
        <w:tc>
          <w:tcPr>
            <w:tcW w:w="760" w:type="dxa"/>
          </w:tcPr>
          <w:p>
            <w:pPr>
              <w:pStyle w:val="TableParagraph"/>
              <w:spacing w:before="175"/>
              <w:ind w:right="308"/>
              <w:jc w:val="right"/>
              <w:rPr>
                <w:sz w:val="21"/>
              </w:rPr>
            </w:pPr>
            <w:r>
              <w:rPr>
                <w:sz w:val="21"/>
              </w:rPr>
              <w:t>3</w:t>
            </w:r>
          </w:p>
        </w:tc>
        <w:tc>
          <w:tcPr>
            <w:tcW w:w="2301" w:type="dxa"/>
          </w:tcPr>
          <w:p>
            <w:pPr>
              <w:pStyle w:val="TableParagraph"/>
              <w:spacing w:before="175"/>
              <w:ind w:left="125"/>
              <w:rPr>
                <w:sz w:val="21"/>
              </w:rPr>
            </w:pPr>
            <w:r>
              <w:rPr>
                <w:sz w:val="21"/>
              </w:rPr>
              <w:t>贵金属投资</w:t>
            </w:r>
          </w:p>
        </w:tc>
        <w:tc>
          <w:tcPr>
            <w:tcW w:w="3223" w:type="dxa"/>
          </w:tcPr>
          <w:p>
            <w:pPr>
              <w:pStyle w:val="TableParagraph"/>
              <w:spacing w:before="175"/>
              <w:ind w:right="97"/>
              <w:jc w:val="right"/>
              <w:rPr>
                <w:sz w:val="21"/>
              </w:rPr>
            </w:pPr>
            <w:r>
              <w:rPr>
                <w:sz w:val="21"/>
              </w:rPr>
              <w:t>-</w:t>
            </w:r>
          </w:p>
        </w:tc>
        <w:tc>
          <w:tcPr>
            <w:tcW w:w="1716" w:type="dxa"/>
          </w:tcPr>
          <w:p>
            <w:pPr>
              <w:pStyle w:val="TableParagraph"/>
              <w:spacing w:before="175"/>
              <w:ind w:right="97"/>
              <w:jc w:val="right"/>
              <w:rPr>
                <w:sz w:val="21"/>
              </w:rPr>
            </w:pPr>
            <w:r>
              <w:rPr>
                <w:sz w:val="21"/>
              </w:rPr>
              <w:t>-</w:t>
            </w:r>
          </w:p>
        </w:tc>
      </w:tr>
      <w:tr>
        <w:trPr>
          <w:trHeight w:val="587" w:hRule="atLeast"/>
        </w:trPr>
        <w:tc>
          <w:tcPr>
            <w:tcW w:w="760" w:type="dxa"/>
          </w:tcPr>
          <w:p>
            <w:pPr>
              <w:pStyle w:val="TableParagraph"/>
              <w:spacing w:before="175"/>
              <w:ind w:right="308"/>
              <w:jc w:val="right"/>
              <w:rPr>
                <w:sz w:val="21"/>
              </w:rPr>
            </w:pPr>
            <w:r>
              <w:rPr>
                <w:sz w:val="21"/>
              </w:rPr>
              <w:t>4</w:t>
            </w:r>
          </w:p>
        </w:tc>
        <w:tc>
          <w:tcPr>
            <w:tcW w:w="2301" w:type="dxa"/>
          </w:tcPr>
          <w:p>
            <w:pPr>
              <w:pStyle w:val="TableParagraph"/>
              <w:spacing w:before="175"/>
              <w:ind w:left="125"/>
              <w:rPr>
                <w:sz w:val="21"/>
              </w:rPr>
            </w:pPr>
            <w:r>
              <w:rPr>
                <w:sz w:val="21"/>
              </w:rPr>
              <w:t>金融衍生品投资</w:t>
            </w:r>
          </w:p>
        </w:tc>
        <w:tc>
          <w:tcPr>
            <w:tcW w:w="3223" w:type="dxa"/>
          </w:tcPr>
          <w:p>
            <w:pPr>
              <w:pStyle w:val="TableParagraph"/>
              <w:spacing w:before="175"/>
              <w:ind w:right="97"/>
              <w:jc w:val="right"/>
              <w:rPr>
                <w:sz w:val="21"/>
              </w:rPr>
            </w:pPr>
            <w:r>
              <w:rPr>
                <w:sz w:val="21"/>
              </w:rPr>
              <w:t>-</w:t>
            </w:r>
          </w:p>
        </w:tc>
        <w:tc>
          <w:tcPr>
            <w:tcW w:w="1716" w:type="dxa"/>
          </w:tcPr>
          <w:p>
            <w:pPr>
              <w:pStyle w:val="TableParagraph"/>
              <w:spacing w:before="175"/>
              <w:ind w:right="97"/>
              <w:jc w:val="right"/>
              <w:rPr>
                <w:sz w:val="21"/>
              </w:rPr>
            </w:pPr>
            <w:r>
              <w:rPr>
                <w:sz w:val="21"/>
              </w:rPr>
              <w:t>-</w:t>
            </w:r>
          </w:p>
        </w:tc>
      </w:tr>
      <w:tr>
        <w:trPr>
          <w:trHeight w:val="587" w:hRule="atLeast"/>
        </w:trPr>
        <w:tc>
          <w:tcPr>
            <w:tcW w:w="760" w:type="dxa"/>
          </w:tcPr>
          <w:p>
            <w:pPr>
              <w:pStyle w:val="TableParagraph"/>
              <w:spacing w:before="175"/>
              <w:ind w:right="308"/>
              <w:jc w:val="right"/>
              <w:rPr>
                <w:sz w:val="21"/>
              </w:rPr>
            </w:pPr>
            <w:r>
              <w:rPr>
                <w:sz w:val="21"/>
              </w:rPr>
              <w:t>5</w:t>
            </w:r>
          </w:p>
        </w:tc>
        <w:tc>
          <w:tcPr>
            <w:tcW w:w="2301" w:type="dxa"/>
          </w:tcPr>
          <w:p>
            <w:pPr>
              <w:pStyle w:val="TableParagraph"/>
              <w:spacing w:before="175"/>
              <w:ind w:left="125"/>
              <w:rPr>
                <w:sz w:val="21"/>
              </w:rPr>
            </w:pPr>
            <w:r>
              <w:rPr>
                <w:sz w:val="21"/>
              </w:rPr>
              <w:t>买入返售金融资产</w:t>
            </w:r>
          </w:p>
        </w:tc>
        <w:tc>
          <w:tcPr>
            <w:tcW w:w="3223" w:type="dxa"/>
          </w:tcPr>
          <w:p>
            <w:pPr>
              <w:pStyle w:val="TableParagraph"/>
              <w:spacing w:before="175"/>
              <w:ind w:right="97"/>
              <w:jc w:val="right"/>
              <w:rPr>
                <w:sz w:val="21"/>
              </w:rPr>
            </w:pPr>
            <w:r>
              <w:rPr>
                <w:sz w:val="21"/>
              </w:rPr>
              <w:t>-</w:t>
            </w:r>
          </w:p>
        </w:tc>
        <w:tc>
          <w:tcPr>
            <w:tcW w:w="1716" w:type="dxa"/>
          </w:tcPr>
          <w:p>
            <w:pPr>
              <w:pStyle w:val="TableParagraph"/>
              <w:spacing w:before="175"/>
              <w:ind w:right="97"/>
              <w:jc w:val="right"/>
              <w:rPr>
                <w:sz w:val="21"/>
              </w:rPr>
            </w:pPr>
            <w:r>
              <w:rPr>
                <w:sz w:val="21"/>
              </w:rPr>
              <w:t>-</w:t>
            </w:r>
          </w:p>
        </w:tc>
      </w:tr>
      <w:tr>
        <w:trPr>
          <w:trHeight w:val="1146" w:hRule="atLeast"/>
        </w:trPr>
        <w:tc>
          <w:tcPr>
            <w:tcW w:w="760" w:type="dxa"/>
          </w:tcPr>
          <w:p>
            <w:pPr>
              <w:pStyle w:val="TableParagraph"/>
              <w:rPr>
                <w:rFonts w:ascii="Times New Roman"/>
                <w:sz w:val="20"/>
              </w:rPr>
            </w:pPr>
          </w:p>
        </w:tc>
        <w:tc>
          <w:tcPr>
            <w:tcW w:w="2301" w:type="dxa"/>
          </w:tcPr>
          <w:p>
            <w:pPr>
              <w:pStyle w:val="TableParagraph"/>
              <w:spacing w:before="175"/>
              <w:ind w:left="125"/>
              <w:rPr>
                <w:sz w:val="21"/>
              </w:rPr>
            </w:pPr>
            <w:r>
              <w:rPr>
                <w:sz w:val="21"/>
              </w:rPr>
              <w:t>其中：买断式回购的</w:t>
            </w:r>
          </w:p>
          <w:p>
            <w:pPr>
              <w:pStyle w:val="TableParagraph"/>
              <w:spacing w:before="8"/>
              <w:rPr>
                <w:sz w:val="22"/>
              </w:rPr>
            </w:pPr>
          </w:p>
          <w:p>
            <w:pPr>
              <w:pStyle w:val="TableParagraph"/>
              <w:ind w:left="125"/>
              <w:rPr>
                <w:sz w:val="21"/>
              </w:rPr>
            </w:pPr>
            <w:r>
              <w:rPr>
                <w:sz w:val="21"/>
              </w:rPr>
              <w:t>买入返售金融资产</w:t>
            </w:r>
          </w:p>
        </w:tc>
        <w:tc>
          <w:tcPr>
            <w:tcW w:w="3223" w:type="dxa"/>
          </w:tcPr>
          <w:p>
            <w:pPr>
              <w:pStyle w:val="TableParagraph"/>
              <w:rPr>
                <w:sz w:val="20"/>
              </w:rPr>
            </w:pPr>
          </w:p>
          <w:p>
            <w:pPr>
              <w:pStyle w:val="TableParagraph"/>
              <w:spacing w:before="6"/>
              <w:rPr>
                <w:sz w:val="15"/>
              </w:rPr>
            </w:pPr>
          </w:p>
          <w:p>
            <w:pPr>
              <w:pStyle w:val="TableParagraph"/>
              <w:ind w:right="97"/>
              <w:jc w:val="right"/>
              <w:rPr>
                <w:sz w:val="21"/>
              </w:rPr>
            </w:pPr>
            <w:r>
              <w:rPr>
                <w:sz w:val="21"/>
              </w:rPr>
              <w:t>-</w:t>
            </w:r>
          </w:p>
        </w:tc>
        <w:tc>
          <w:tcPr>
            <w:tcW w:w="1716" w:type="dxa"/>
          </w:tcPr>
          <w:p>
            <w:pPr>
              <w:pStyle w:val="TableParagraph"/>
              <w:rPr>
                <w:sz w:val="20"/>
              </w:rPr>
            </w:pPr>
          </w:p>
          <w:p>
            <w:pPr>
              <w:pStyle w:val="TableParagraph"/>
              <w:spacing w:before="6"/>
              <w:rPr>
                <w:sz w:val="15"/>
              </w:rPr>
            </w:pPr>
          </w:p>
          <w:p>
            <w:pPr>
              <w:pStyle w:val="TableParagraph"/>
              <w:ind w:right="97"/>
              <w:jc w:val="right"/>
              <w:rPr>
                <w:sz w:val="21"/>
              </w:rPr>
            </w:pPr>
            <w:r>
              <w:rPr>
                <w:sz w:val="21"/>
              </w:rPr>
              <w:t>-</w:t>
            </w:r>
          </w:p>
        </w:tc>
      </w:tr>
      <w:tr>
        <w:trPr>
          <w:trHeight w:val="1146" w:hRule="atLeast"/>
        </w:trPr>
        <w:tc>
          <w:tcPr>
            <w:tcW w:w="760" w:type="dxa"/>
          </w:tcPr>
          <w:p>
            <w:pPr>
              <w:pStyle w:val="TableParagraph"/>
              <w:rPr>
                <w:sz w:val="20"/>
              </w:rPr>
            </w:pPr>
          </w:p>
          <w:p>
            <w:pPr>
              <w:pStyle w:val="TableParagraph"/>
              <w:spacing w:before="6"/>
              <w:rPr>
                <w:sz w:val="15"/>
              </w:rPr>
            </w:pPr>
          </w:p>
          <w:p>
            <w:pPr>
              <w:pStyle w:val="TableParagraph"/>
              <w:ind w:right="308"/>
              <w:jc w:val="right"/>
              <w:rPr>
                <w:sz w:val="21"/>
              </w:rPr>
            </w:pPr>
            <w:r>
              <w:rPr>
                <w:sz w:val="21"/>
              </w:rPr>
              <w:t>6</w:t>
            </w:r>
          </w:p>
        </w:tc>
        <w:tc>
          <w:tcPr>
            <w:tcW w:w="2301" w:type="dxa"/>
          </w:tcPr>
          <w:p>
            <w:pPr>
              <w:pStyle w:val="TableParagraph"/>
              <w:spacing w:before="175"/>
              <w:ind w:left="125"/>
              <w:rPr>
                <w:sz w:val="21"/>
              </w:rPr>
            </w:pPr>
            <w:r>
              <w:rPr>
                <w:sz w:val="21"/>
              </w:rPr>
              <w:t>银行存款和结算备付</w:t>
            </w:r>
          </w:p>
          <w:p>
            <w:pPr>
              <w:pStyle w:val="TableParagraph"/>
              <w:spacing w:before="8"/>
              <w:rPr>
                <w:sz w:val="22"/>
              </w:rPr>
            </w:pPr>
          </w:p>
          <w:p>
            <w:pPr>
              <w:pStyle w:val="TableParagraph"/>
              <w:ind w:left="125"/>
              <w:rPr>
                <w:sz w:val="21"/>
              </w:rPr>
            </w:pPr>
            <w:r>
              <w:rPr>
                <w:sz w:val="21"/>
              </w:rPr>
              <w:t>金合计</w:t>
            </w:r>
          </w:p>
        </w:tc>
        <w:tc>
          <w:tcPr>
            <w:tcW w:w="3223" w:type="dxa"/>
          </w:tcPr>
          <w:p>
            <w:pPr>
              <w:pStyle w:val="TableParagraph"/>
              <w:rPr>
                <w:sz w:val="20"/>
              </w:rPr>
            </w:pPr>
          </w:p>
          <w:p>
            <w:pPr>
              <w:pStyle w:val="TableParagraph"/>
              <w:spacing w:before="6"/>
              <w:rPr>
                <w:sz w:val="15"/>
              </w:rPr>
            </w:pPr>
          </w:p>
          <w:p>
            <w:pPr>
              <w:pStyle w:val="TableParagraph"/>
              <w:ind w:right="97"/>
              <w:jc w:val="right"/>
              <w:rPr>
                <w:sz w:val="21"/>
              </w:rPr>
            </w:pPr>
            <w:r>
              <w:rPr>
                <w:sz w:val="21"/>
              </w:rPr>
              <w:t>558,852,259.41</w:t>
            </w:r>
          </w:p>
        </w:tc>
        <w:tc>
          <w:tcPr>
            <w:tcW w:w="1716" w:type="dxa"/>
          </w:tcPr>
          <w:p>
            <w:pPr>
              <w:pStyle w:val="TableParagraph"/>
              <w:rPr>
                <w:sz w:val="20"/>
              </w:rPr>
            </w:pPr>
          </w:p>
          <w:p>
            <w:pPr>
              <w:pStyle w:val="TableParagraph"/>
              <w:spacing w:before="6"/>
              <w:rPr>
                <w:sz w:val="15"/>
              </w:rPr>
            </w:pPr>
          </w:p>
          <w:p>
            <w:pPr>
              <w:pStyle w:val="TableParagraph"/>
              <w:ind w:right="97"/>
              <w:jc w:val="right"/>
              <w:rPr>
                <w:sz w:val="21"/>
              </w:rPr>
            </w:pPr>
            <w:r>
              <w:rPr>
                <w:sz w:val="21"/>
              </w:rPr>
              <w:t>2.80</w:t>
            </w:r>
          </w:p>
        </w:tc>
      </w:tr>
      <w:tr>
        <w:trPr>
          <w:trHeight w:val="587" w:hRule="atLeast"/>
        </w:trPr>
        <w:tc>
          <w:tcPr>
            <w:tcW w:w="760" w:type="dxa"/>
          </w:tcPr>
          <w:p>
            <w:pPr>
              <w:pStyle w:val="TableParagraph"/>
              <w:spacing w:before="175"/>
              <w:ind w:right="308"/>
              <w:jc w:val="right"/>
              <w:rPr>
                <w:sz w:val="21"/>
              </w:rPr>
            </w:pPr>
            <w:r>
              <w:rPr>
                <w:sz w:val="21"/>
              </w:rPr>
              <w:t>7</w:t>
            </w:r>
          </w:p>
        </w:tc>
        <w:tc>
          <w:tcPr>
            <w:tcW w:w="2301" w:type="dxa"/>
          </w:tcPr>
          <w:p>
            <w:pPr>
              <w:pStyle w:val="TableParagraph"/>
              <w:spacing w:before="175"/>
              <w:ind w:left="125"/>
              <w:rPr>
                <w:sz w:val="21"/>
              </w:rPr>
            </w:pPr>
            <w:r>
              <w:rPr>
                <w:sz w:val="21"/>
              </w:rPr>
              <w:t>其他资产</w:t>
            </w:r>
          </w:p>
        </w:tc>
        <w:tc>
          <w:tcPr>
            <w:tcW w:w="3223" w:type="dxa"/>
          </w:tcPr>
          <w:p>
            <w:pPr>
              <w:pStyle w:val="TableParagraph"/>
              <w:spacing w:before="175"/>
              <w:ind w:right="97"/>
              <w:jc w:val="right"/>
              <w:rPr>
                <w:sz w:val="21"/>
              </w:rPr>
            </w:pPr>
            <w:r>
              <w:rPr>
                <w:sz w:val="21"/>
              </w:rPr>
              <w:t>76,955,872.38</w:t>
            </w:r>
          </w:p>
        </w:tc>
        <w:tc>
          <w:tcPr>
            <w:tcW w:w="1716" w:type="dxa"/>
          </w:tcPr>
          <w:p>
            <w:pPr>
              <w:pStyle w:val="TableParagraph"/>
              <w:spacing w:before="175"/>
              <w:ind w:right="97"/>
              <w:jc w:val="right"/>
              <w:rPr>
                <w:sz w:val="21"/>
              </w:rPr>
            </w:pPr>
            <w:r>
              <w:rPr>
                <w:sz w:val="21"/>
              </w:rPr>
              <w:t>0.39</w:t>
            </w:r>
          </w:p>
        </w:tc>
      </w:tr>
      <w:tr>
        <w:trPr>
          <w:trHeight w:val="587" w:hRule="atLeast"/>
        </w:trPr>
        <w:tc>
          <w:tcPr>
            <w:tcW w:w="760" w:type="dxa"/>
          </w:tcPr>
          <w:p>
            <w:pPr>
              <w:pStyle w:val="TableParagraph"/>
              <w:spacing w:before="175"/>
              <w:ind w:right="308"/>
              <w:jc w:val="right"/>
              <w:rPr>
                <w:sz w:val="21"/>
              </w:rPr>
            </w:pPr>
            <w:r>
              <w:rPr>
                <w:sz w:val="21"/>
              </w:rPr>
              <w:t>8</w:t>
            </w:r>
          </w:p>
        </w:tc>
        <w:tc>
          <w:tcPr>
            <w:tcW w:w="2301" w:type="dxa"/>
          </w:tcPr>
          <w:p>
            <w:pPr>
              <w:pStyle w:val="TableParagraph"/>
              <w:spacing w:before="175"/>
              <w:ind w:left="125"/>
              <w:rPr>
                <w:sz w:val="21"/>
              </w:rPr>
            </w:pPr>
            <w:r>
              <w:rPr>
                <w:sz w:val="21"/>
              </w:rPr>
              <w:t>合计</w:t>
            </w:r>
          </w:p>
        </w:tc>
        <w:tc>
          <w:tcPr>
            <w:tcW w:w="3223" w:type="dxa"/>
          </w:tcPr>
          <w:p>
            <w:pPr>
              <w:pStyle w:val="TableParagraph"/>
              <w:spacing w:before="175"/>
              <w:ind w:right="97"/>
              <w:jc w:val="right"/>
              <w:rPr>
                <w:sz w:val="21"/>
              </w:rPr>
            </w:pPr>
            <w:r>
              <w:rPr>
                <w:sz w:val="21"/>
              </w:rPr>
              <w:t>19,962,231,432.59</w:t>
            </w:r>
          </w:p>
        </w:tc>
        <w:tc>
          <w:tcPr>
            <w:tcW w:w="1716" w:type="dxa"/>
          </w:tcPr>
          <w:p>
            <w:pPr>
              <w:pStyle w:val="TableParagraph"/>
              <w:spacing w:before="175"/>
              <w:ind w:right="97"/>
              <w:jc w:val="right"/>
              <w:rPr>
                <w:sz w:val="21"/>
              </w:rPr>
            </w:pPr>
            <w:r>
              <w:rPr>
                <w:sz w:val="21"/>
              </w:rPr>
              <w:t>100.00</w:t>
            </w:r>
          </w:p>
        </w:tc>
      </w:tr>
    </w:tbl>
    <w:p>
      <w:pPr>
        <w:pStyle w:val="BodyText"/>
        <w:spacing w:before="3"/>
      </w:pPr>
      <w:r>
        <w:rPr/>
        <w:t>2、报告期末按行业分类的股票投资组合</w:t>
      </w:r>
    </w:p>
    <w:p>
      <w:pPr>
        <w:pStyle w:val="BodyText"/>
        <w:spacing w:before="139"/>
      </w:pPr>
      <w:r>
        <w:rPr/>
        <w:t>（1）报告期末按行业分类的境内股票投资组合</w:t>
      </w:r>
    </w:p>
    <w:p>
      <w:pPr>
        <w:pStyle w:val="ListParagraph"/>
        <w:numPr>
          <w:ilvl w:val="0"/>
          <w:numId w:val="24"/>
        </w:numPr>
        <w:tabs>
          <w:tab w:pos="1030" w:val="left" w:leader="none"/>
        </w:tabs>
        <w:spacing w:line="240" w:lineRule="auto" w:before="140" w:after="0"/>
        <w:ind w:left="1030" w:right="0" w:hanging="317"/>
        <w:jc w:val="left"/>
        <w:rPr>
          <w:sz w:val="21"/>
        </w:rPr>
      </w:pPr>
      <w:r>
        <w:rPr>
          <w:sz w:val="21"/>
        </w:rPr>
        <w:t>积极投资按行业分类的股票投资组合</w:t>
      </w:r>
    </w:p>
    <w:p>
      <w:pPr>
        <w:pStyle w:val="BodyText"/>
        <w:spacing w:before="8"/>
        <w:ind w:left="0"/>
        <w:rPr>
          <w:sz w:val="10"/>
        </w:rPr>
      </w:pPr>
    </w:p>
    <w:tbl>
      <w:tblPr>
        <w:tblW w:w="0" w:type="auto"/>
        <w:jc w:val="lef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
        <w:gridCol w:w="3380"/>
        <w:gridCol w:w="2611"/>
        <w:gridCol w:w="1511"/>
      </w:tblGrid>
      <w:tr>
        <w:trPr>
          <w:trHeight w:val="1161" w:hRule="atLeast"/>
        </w:trPr>
        <w:tc>
          <w:tcPr>
            <w:tcW w:w="498" w:type="dxa"/>
          </w:tcPr>
          <w:p>
            <w:pPr>
              <w:pStyle w:val="TableParagraph"/>
              <w:rPr>
                <w:sz w:val="20"/>
              </w:rPr>
            </w:pPr>
          </w:p>
          <w:p>
            <w:pPr>
              <w:pStyle w:val="TableParagraph"/>
              <w:spacing w:before="8"/>
              <w:rPr>
                <w:sz w:val="16"/>
              </w:rPr>
            </w:pPr>
          </w:p>
          <w:p>
            <w:pPr>
              <w:pStyle w:val="TableParagraph"/>
              <w:ind w:left="22"/>
              <w:rPr>
                <w:sz w:val="21"/>
              </w:rPr>
            </w:pPr>
            <w:r>
              <w:rPr>
                <w:sz w:val="21"/>
              </w:rPr>
              <w:t>代码</w:t>
            </w:r>
          </w:p>
        </w:tc>
        <w:tc>
          <w:tcPr>
            <w:tcW w:w="3380" w:type="dxa"/>
          </w:tcPr>
          <w:p>
            <w:pPr>
              <w:pStyle w:val="TableParagraph"/>
              <w:rPr>
                <w:sz w:val="20"/>
              </w:rPr>
            </w:pPr>
          </w:p>
          <w:p>
            <w:pPr>
              <w:pStyle w:val="TableParagraph"/>
              <w:spacing w:before="8"/>
              <w:rPr>
                <w:sz w:val="16"/>
              </w:rPr>
            </w:pPr>
          </w:p>
          <w:p>
            <w:pPr>
              <w:pStyle w:val="TableParagraph"/>
              <w:ind w:left="31"/>
              <w:rPr>
                <w:sz w:val="21"/>
              </w:rPr>
            </w:pPr>
            <w:r>
              <w:rPr>
                <w:sz w:val="21"/>
              </w:rPr>
              <w:t>行业类别</w:t>
            </w:r>
          </w:p>
        </w:tc>
        <w:tc>
          <w:tcPr>
            <w:tcW w:w="2611" w:type="dxa"/>
          </w:tcPr>
          <w:p>
            <w:pPr>
              <w:pStyle w:val="TableParagraph"/>
              <w:rPr>
                <w:sz w:val="20"/>
              </w:rPr>
            </w:pPr>
          </w:p>
          <w:p>
            <w:pPr>
              <w:pStyle w:val="TableParagraph"/>
              <w:spacing w:before="8"/>
              <w:rPr>
                <w:sz w:val="16"/>
              </w:rPr>
            </w:pPr>
          </w:p>
          <w:p>
            <w:pPr>
              <w:pStyle w:val="TableParagraph"/>
              <w:ind w:left="21"/>
              <w:rPr>
                <w:sz w:val="21"/>
              </w:rPr>
            </w:pPr>
            <w:r>
              <w:rPr>
                <w:sz w:val="21"/>
              </w:rPr>
              <w:t>公允价值（元）</w:t>
            </w:r>
          </w:p>
        </w:tc>
        <w:tc>
          <w:tcPr>
            <w:tcW w:w="1511" w:type="dxa"/>
          </w:tcPr>
          <w:p>
            <w:pPr>
              <w:pStyle w:val="TableParagraph"/>
              <w:spacing w:before="11"/>
              <w:rPr>
                <w:sz w:val="14"/>
              </w:rPr>
            </w:pPr>
          </w:p>
          <w:p>
            <w:pPr>
              <w:pStyle w:val="TableParagraph"/>
              <w:ind w:left="32"/>
              <w:rPr>
                <w:sz w:val="21"/>
              </w:rPr>
            </w:pPr>
            <w:r>
              <w:rPr>
                <w:sz w:val="21"/>
              </w:rPr>
              <w:t>占基金资产净</w:t>
            </w:r>
          </w:p>
          <w:p>
            <w:pPr>
              <w:pStyle w:val="TableParagraph"/>
              <w:spacing w:before="7"/>
              <w:rPr>
                <w:sz w:val="22"/>
              </w:rPr>
            </w:pPr>
          </w:p>
          <w:p>
            <w:pPr>
              <w:pStyle w:val="TableParagraph"/>
              <w:spacing w:before="1"/>
              <w:ind w:left="32"/>
              <w:rPr>
                <w:sz w:val="21"/>
              </w:rPr>
            </w:pPr>
            <w:r>
              <w:rPr>
                <w:sz w:val="21"/>
              </w:rPr>
              <w:t>值比例（％）</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A</w:t>
            </w:r>
          </w:p>
        </w:tc>
        <w:tc>
          <w:tcPr>
            <w:tcW w:w="3380" w:type="dxa"/>
          </w:tcPr>
          <w:p>
            <w:pPr>
              <w:pStyle w:val="TableParagraph"/>
              <w:spacing w:before="11"/>
              <w:rPr>
                <w:sz w:val="14"/>
              </w:rPr>
            </w:pPr>
          </w:p>
          <w:p>
            <w:pPr>
              <w:pStyle w:val="TableParagraph"/>
              <w:ind w:left="31"/>
              <w:rPr>
                <w:sz w:val="21"/>
              </w:rPr>
            </w:pPr>
            <w:r>
              <w:rPr>
                <w:sz w:val="21"/>
              </w:rPr>
              <w:t>农、林、牧、渔业</w:t>
            </w:r>
          </w:p>
        </w:tc>
        <w:tc>
          <w:tcPr>
            <w:tcW w:w="2611" w:type="dxa"/>
          </w:tcPr>
          <w:p>
            <w:pPr>
              <w:pStyle w:val="TableParagraph"/>
              <w:spacing w:before="11"/>
              <w:rPr>
                <w:sz w:val="14"/>
              </w:rPr>
            </w:pPr>
          </w:p>
          <w:p>
            <w:pPr>
              <w:pStyle w:val="TableParagraph"/>
              <w:ind w:right="-15"/>
              <w:jc w:val="right"/>
              <w:rPr>
                <w:sz w:val="21"/>
              </w:rPr>
            </w:pPr>
            <w:r>
              <w:rPr>
                <w:sz w:val="21"/>
              </w:rPr>
              <w:t>2,663,700.00</w:t>
            </w:r>
          </w:p>
        </w:tc>
        <w:tc>
          <w:tcPr>
            <w:tcW w:w="1511" w:type="dxa"/>
          </w:tcPr>
          <w:p>
            <w:pPr>
              <w:pStyle w:val="TableParagraph"/>
              <w:spacing w:before="11"/>
              <w:rPr>
                <w:sz w:val="14"/>
              </w:rPr>
            </w:pPr>
          </w:p>
          <w:p>
            <w:pPr>
              <w:pStyle w:val="TableParagraph"/>
              <w:ind w:right="4"/>
              <w:jc w:val="right"/>
              <w:rPr>
                <w:sz w:val="21"/>
              </w:rPr>
            </w:pPr>
            <w:r>
              <w:rPr>
                <w:sz w:val="21"/>
              </w:rPr>
              <w:t>0.01</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B</w:t>
            </w:r>
          </w:p>
        </w:tc>
        <w:tc>
          <w:tcPr>
            <w:tcW w:w="3380" w:type="dxa"/>
          </w:tcPr>
          <w:p>
            <w:pPr>
              <w:pStyle w:val="TableParagraph"/>
              <w:spacing w:before="11"/>
              <w:rPr>
                <w:sz w:val="14"/>
              </w:rPr>
            </w:pPr>
          </w:p>
          <w:p>
            <w:pPr>
              <w:pStyle w:val="TableParagraph"/>
              <w:ind w:left="31"/>
              <w:rPr>
                <w:sz w:val="21"/>
              </w:rPr>
            </w:pPr>
            <w:r>
              <w:rPr>
                <w:sz w:val="21"/>
              </w:rPr>
              <w:t>采矿业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C</w:t>
            </w:r>
          </w:p>
        </w:tc>
        <w:tc>
          <w:tcPr>
            <w:tcW w:w="3380" w:type="dxa"/>
          </w:tcPr>
          <w:p>
            <w:pPr>
              <w:pStyle w:val="TableParagraph"/>
              <w:spacing w:before="11"/>
              <w:rPr>
                <w:sz w:val="14"/>
              </w:rPr>
            </w:pPr>
          </w:p>
          <w:p>
            <w:pPr>
              <w:pStyle w:val="TableParagraph"/>
              <w:ind w:left="31"/>
              <w:rPr>
                <w:sz w:val="21"/>
              </w:rPr>
            </w:pPr>
            <w:r>
              <w:rPr>
                <w:sz w:val="21"/>
              </w:rPr>
              <w:t>制造业</w:t>
            </w:r>
          </w:p>
        </w:tc>
        <w:tc>
          <w:tcPr>
            <w:tcW w:w="2611" w:type="dxa"/>
          </w:tcPr>
          <w:p>
            <w:pPr>
              <w:pStyle w:val="TableParagraph"/>
              <w:spacing w:before="11"/>
              <w:rPr>
                <w:sz w:val="14"/>
              </w:rPr>
            </w:pPr>
          </w:p>
          <w:p>
            <w:pPr>
              <w:pStyle w:val="TableParagraph"/>
              <w:ind w:right="-15"/>
              <w:jc w:val="right"/>
              <w:rPr>
                <w:sz w:val="21"/>
              </w:rPr>
            </w:pPr>
            <w:r>
              <w:rPr>
                <w:sz w:val="21"/>
              </w:rPr>
              <w:t>2,303,535,428.87</w:t>
            </w:r>
          </w:p>
        </w:tc>
        <w:tc>
          <w:tcPr>
            <w:tcW w:w="1511" w:type="dxa"/>
          </w:tcPr>
          <w:p>
            <w:pPr>
              <w:pStyle w:val="TableParagraph"/>
              <w:spacing w:before="11"/>
              <w:rPr>
                <w:sz w:val="14"/>
              </w:rPr>
            </w:pPr>
          </w:p>
          <w:p>
            <w:pPr>
              <w:pStyle w:val="TableParagraph"/>
              <w:ind w:right="4"/>
              <w:jc w:val="right"/>
              <w:rPr>
                <w:sz w:val="21"/>
              </w:rPr>
            </w:pPr>
            <w:r>
              <w:rPr>
                <w:sz w:val="21"/>
              </w:rPr>
              <w:t>11.67</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D</w:t>
            </w:r>
          </w:p>
        </w:tc>
        <w:tc>
          <w:tcPr>
            <w:tcW w:w="3380" w:type="dxa"/>
          </w:tcPr>
          <w:p>
            <w:pPr>
              <w:pStyle w:val="TableParagraph"/>
              <w:spacing w:before="11"/>
              <w:rPr>
                <w:sz w:val="14"/>
              </w:rPr>
            </w:pPr>
          </w:p>
          <w:p>
            <w:pPr>
              <w:pStyle w:val="TableParagraph"/>
              <w:ind w:left="31"/>
              <w:rPr>
                <w:sz w:val="21"/>
              </w:rPr>
            </w:pPr>
            <w:r>
              <w:rPr>
                <w:sz w:val="21"/>
              </w:rPr>
              <w:t>电力、热力、燃气及水生产和供应</w:t>
            </w:r>
          </w:p>
        </w:tc>
        <w:tc>
          <w:tcPr>
            <w:tcW w:w="2611" w:type="dxa"/>
          </w:tcPr>
          <w:p>
            <w:pPr>
              <w:pStyle w:val="TableParagraph"/>
              <w:spacing w:before="11"/>
              <w:rPr>
                <w:sz w:val="14"/>
              </w:rPr>
            </w:pPr>
          </w:p>
          <w:p>
            <w:pPr>
              <w:pStyle w:val="TableParagraph"/>
              <w:ind w:right="-15"/>
              <w:jc w:val="right"/>
              <w:rPr>
                <w:sz w:val="21"/>
              </w:rPr>
            </w:pPr>
            <w:r>
              <w:rPr>
                <w:sz w:val="21"/>
              </w:rPr>
              <w:t>1,987,241.74</w:t>
            </w:r>
          </w:p>
        </w:tc>
        <w:tc>
          <w:tcPr>
            <w:tcW w:w="1511" w:type="dxa"/>
          </w:tcPr>
          <w:p>
            <w:pPr>
              <w:pStyle w:val="TableParagraph"/>
              <w:spacing w:before="11"/>
              <w:rPr>
                <w:sz w:val="14"/>
              </w:rPr>
            </w:pPr>
          </w:p>
          <w:p>
            <w:pPr>
              <w:pStyle w:val="TableParagraph"/>
              <w:ind w:right="4"/>
              <w:jc w:val="right"/>
              <w:rPr>
                <w:sz w:val="21"/>
              </w:rPr>
            </w:pPr>
            <w:r>
              <w:rPr>
                <w:sz w:val="21"/>
              </w:rPr>
              <w:t>0.01</w:t>
            </w:r>
          </w:p>
        </w:tc>
      </w:tr>
    </w:tbl>
    <w:p>
      <w:pPr>
        <w:spacing w:after="0"/>
        <w:jc w:val="right"/>
        <w:rPr>
          <w:sz w:val="21"/>
        </w:rPr>
        <w:sectPr>
          <w:pgSz w:w="11910" w:h="16840"/>
          <w:pgMar w:header="0" w:footer="1172" w:top="1580" w:bottom="1440" w:left="1520" w:right="360"/>
        </w:sectPr>
      </w:pPr>
    </w:p>
    <w:p>
      <w:pPr>
        <w:pStyle w:val="BodyText"/>
        <w:ind w:left="0"/>
        <w:rPr>
          <w:sz w:val="8"/>
        </w:rPr>
      </w:pPr>
    </w:p>
    <w:tbl>
      <w:tblPr>
        <w:tblW w:w="0" w:type="auto"/>
        <w:jc w:val="lef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
        <w:gridCol w:w="3380"/>
        <w:gridCol w:w="2611"/>
        <w:gridCol w:w="1511"/>
      </w:tblGrid>
      <w:tr>
        <w:trPr>
          <w:trHeight w:val="573" w:hRule="atLeast"/>
        </w:trPr>
        <w:tc>
          <w:tcPr>
            <w:tcW w:w="498" w:type="dxa"/>
          </w:tcPr>
          <w:p>
            <w:pPr>
              <w:pStyle w:val="TableParagraph"/>
              <w:rPr>
                <w:rFonts w:ascii="Times New Roman"/>
                <w:sz w:val="20"/>
              </w:rPr>
            </w:pPr>
          </w:p>
        </w:tc>
        <w:tc>
          <w:tcPr>
            <w:tcW w:w="3380" w:type="dxa"/>
          </w:tcPr>
          <w:p>
            <w:pPr>
              <w:pStyle w:val="TableParagraph"/>
              <w:spacing w:before="161"/>
              <w:ind w:left="31"/>
              <w:rPr>
                <w:sz w:val="21"/>
              </w:rPr>
            </w:pPr>
            <w:r>
              <w:rPr>
                <w:sz w:val="21"/>
              </w:rPr>
              <w:t>业</w:t>
            </w:r>
          </w:p>
        </w:tc>
        <w:tc>
          <w:tcPr>
            <w:tcW w:w="2611" w:type="dxa"/>
          </w:tcPr>
          <w:p>
            <w:pPr>
              <w:pStyle w:val="TableParagraph"/>
              <w:rPr>
                <w:rFonts w:ascii="Times New Roman"/>
                <w:sz w:val="20"/>
              </w:rPr>
            </w:pPr>
          </w:p>
        </w:tc>
        <w:tc>
          <w:tcPr>
            <w:tcW w:w="1511" w:type="dxa"/>
          </w:tcPr>
          <w:p>
            <w:pPr>
              <w:pStyle w:val="TableParagraph"/>
              <w:rPr>
                <w:rFonts w:ascii="Times New Roman"/>
                <w:sz w:val="20"/>
              </w:rPr>
            </w:pP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E</w:t>
            </w:r>
          </w:p>
        </w:tc>
        <w:tc>
          <w:tcPr>
            <w:tcW w:w="3380" w:type="dxa"/>
          </w:tcPr>
          <w:p>
            <w:pPr>
              <w:pStyle w:val="TableParagraph"/>
              <w:spacing w:before="11"/>
              <w:rPr>
                <w:sz w:val="14"/>
              </w:rPr>
            </w:pPr>
          </w:p>
          <w:p>
            <w:pPr>
              <w:pStyle w:val="TableParagraph"/>
              <w:ind w:left="31"/>
              <w:rPr>
                <w:sz w:val="21"/>
              </w:rPr>
            </w:pPr>
            <w:r>
              <w:rPr>
                <w:sz w:val="21"/>
              </w:rPr>
              <w:t>建筑业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F</w:t>
            </w:r>
          </w:p>
        </w:tc>
        <w:tc>
          <w:tcPr>
            <w:tcW w:w="3380" w:type="dxa"/>
          </w:tcPr>
          <w:p>
            <w:pPr>
              <w:pStyle w:val="TableParagraph"/>
              <w:spacing w:before="11"/>
              <w:rPr>
                <w:sz w:val="14"/>
              </w:rPr>
            </w:pPr>
          </w:p>
          <w:p>
            <w:pPr>
              <w:pStyle w:val="TableParagraph"/>
              <w:ind w:left="31"/>
              <w:rPr>
                <w:sz w:val="21"/>
              </w:rPr>
            </w:pPr>
            <w:r>
              <w:rPr>
                <w:sz w:val="21"/>
              </w:rPr>
              <w:t>批发和零售业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G</w:t>
            </w:r>
          </w:p>
        </w:tc>
        <w:tc>
          <w:tcPr>
            <w:tcW w:w="3380" w:type="dxa"/>
          </w:tcPr>
          <w:p>
            <w:pPr>
              <w:pStyle w:val="TableParagraph"/>
              <w:spacing w:before="11"/>
              <w:rPr>
                <w:sz w:val="14"/>
              </w:rPr>
            </w:pPr>
          </w:p>
          <w:p>
            <w:pPr>
              <w:pStyle w:val="TableParagraph"/>
              <w:ind w:left="31"/>
              <w:rPr>
                <w:sz w:val="21"/>
              </w:rPr>
            </w:pPr>
            <w:r>
              <w:rPr>
                <w:sz w:val="21"/>
              </w:rPr>
              <w:t>交通运输、仓储和邮政业</w:t>
            </w:r>
          </w:p>
        </w:tc>
        <w:tc>
          <w:tcPr>
            <w:tcW w:w="2611" w:type="dxa"/>
          </w:tcPr>
          <w:p>
            <w:pPr>
              <w:pStyle w:val="TableParagraph"/>
              <w:spacing w:before="11"/>
              <w:rPr>
                <w:sz w:val="14"/>
              </w:rPr>
            </w:pPr>
          </w:p>
          <w:p>
            <w:pPr>
              <w:pStyle w:val="TableParagraph"/>
              <w:ind w:right="-15"/>
              <w:jc w:val="right"/>
              <w:rPr>
                <w:sz w:val="21"/>
              </w:rPr>
            </w:pPr>
            <w:r>
              <w:rPr>
                <w:sz w:val="21"/>
              </w:rPr>
              <w:t>130,165,334.71</w:t>
            </w:r>
          </w:p>
        </w:tc>
        <w:tc>
          <w:tcPr>
            <w:tcW w:w="1511" w:type="dxa"/>
          </w:tcPr>
          <w:p>
            <w:pPr>
              <w:pStyle w:val="TableParagraph"/>
              <w:spacing w:before="11"/>
              <w:rPr>
                <w:sz w:val="14"/>
              </w:rPr>
            </w:pPr>
          </w:p>
          <w:p>
            <w:pPr>
              <w:pStyle w:val="TableParagraph"/>
              <w:ind w:right="4"/>
              <w:jc w:val="right"/>
              <w:rPr>
                <w:sz w:val="21"/>
              </w:rPr>
            </w:pPr>
            <w:r>
              <w:rPr>
                <w:sz w:val="21"/>
              </w:rPr>
              <w:t>0.66</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H</w:t>
            </w:r>
          </w:p>
        </w:tc>
        <w:tc>
          <w:tcPr>
            <w:tcW w:w="3380" w:type="dxa"/>
          </w:tcPr>
          <w:p>
            <w:pPr>
              <w:pStyle w:val="TableParagraph"/>
              <w:spacing w:before="11"/>
              <w:rPr>
                <w:sz w:val="14"/>
              </w:rPr>
            </w:pPr>
          </w:p>
          <w:p>
            <w:pPr>
              <w:pStyle w:val="TableParagraph"/>
              <w:ind w:left="31"/>
              <w:rPr>
                <w:sz w:val="21"/>
              </w:rPr>
            </w:pPr>
            <w:r>
              <w:rPr>
                <w:sz w:val="21"/>
              </w:rPr>
              <w:t>住宿和餐饮业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I</w:t>
            </w:r>
          </w:p>
        </w:tc>
        <w:tc>
          <w:tcPr>
            <w:tcW w:w="3380" w:type="dxa"/>
          </w:tcPr>
          <w:p>
            <w:pPr>
              <w:pStyle w:val="TableParagraph"/>
              <w:spacing w:before="11"/>
              <w:rPr>
                <w:sz w:val="14"/>
              </w:rPr>
            </w:pPr>
          </w:p>
          <w:p>
            <w:pPr>
              <w:pStyle w:val="TableParagraph"/>
              <w:ind w:left="31"/>
              <w:rPr>
                <w:sz w:val="21"/>
              </w:rPr>
            </w:pPr>
            <w:r>
              <w:rPr>
                <w:sz w:val="21"/>
              </w:rPr>
              <w:t>信息传输、软件和信息技术服务业</w:t>
            </w:r>
          </w:p>
        </w:tc>
        <w:tc>
          <w:tcPr>
            <w:tcW w:w="2611" w:type="dxa"/>
          </w:tcPr>
          <w:p>
            <w:pPr>
              <w:pStyle w:val="TableParagraph"/>
              <w:spacing w:before="11"/>
              <w:rPr>
                <w:sz w:val="14"/>
              </w:rPr>
            </w:pPr>
          </w:p>
          <w:p>
            <w:pPr>
              <w:pStyle w:val="TableParagraph"/>
              <w:ind w:right="-15"/>
              <w:jc w:val="right"/>
              <w:rPr>
                <w:sz w:val="21"/>
              </w:rPr>
            </w:pPr>
            <w:r>
              <w:rPr>
                <w:sz w:val="21"/>
              </w:rPr>
              <w:t>2,219,849.01</w:t>
            </w:r>
          </w:p>
        </w:tc>
        <w:tc>
          <w:tcPr>
            <w:tcW w:w="1511" w:type="dxa"/>
          </w:tcPr>
          <w:p>
            <w:pPr>
              <w:pStyle w:val="TableParagraph"/>
              <w:spacing w:before="11"/>
              <w:rPr>
                <w:sz w:val="14"/>
              </w:rPr>
            </w:pPr>
          </w:p>
          <w:p>
            <w:pPr>
              <w:pStyle w:val="TableParagraph"/>
              <w:ind w:right="4"/>
              <w:jc w:val="right"/>
              <w:rPr>
                <w:sz w:val="21"/>
              </w:rPr>
            </w:pPr>
            <w:r>
              <w:rPr>
                <w:sz w:val="21"/>
              </w:rPr>
              <w:t>0.01</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J</w:t>
            </w:r>
          </w:p>
        </w:tc>
        <w:tc>
          <w:tcPr>
            <w:tcW w:w="3380" w:type="dxa"/>
          </w:tcPr>
          <w:p>
            <w:pPr>
              <w:pStyle w:val="TableParagraph"/>
              <w:spacing w:before="11"/>
              <w:rPr>
                <w:sz w:val="14"/>
              </w:rPr>
            </w:pPr>
          </w:p>
          <w:p>
            <w:pPr>
              <w:pStyle w:val="TableParagraph"/>
              <w:ind w:left="31"/>
              <w:rPr>
                <w:sz w:val="21"/>
              </w:rPr>
            </w:pPr>
            <w:r>
              <w:rPr>
                <w:sz w:val="21"/>
              </w:rPr>
              <w:t>金融业</w:t>
            </w:r>
          </w:p>
        </w:tc>
        <w:tc>
          <w:tcPr>
            <w:tcW w:w="2611" w:type="dxa"/>
          </w:tcPr>
          <w:p>
            <w:pPr>
              <w:pStyle w:val="TableParagraph"/>
              <w:spacing w:before="11"/>
              <w:rPr>
                <w:sz w:val="14"/>
              </w:rPr>
            </w:pPr>
          </w:p>
          <w:p>
            <w:pPr>
              <w:pStyle w:val="TableParagraph"/>
              <w:ind w:right="-15"/>
              <w:jc w:val="right"/>
              <w:rPr>
                <w:sz w:val="21"/>
              </w:rPr>
            </w:pPr>
            <w:r>
              <w:rPr>
                <w:sz w:val="21"/>
              </w:rPr>
              <w:t>1,016,199,704.93</w:t>
            </w:r>
          </w:p>
        </w:tc>
        <w:tc>
          <w:tcPr>
            <w:tcW w:w="1511" w:type="dxa"/>
          </w:tcPr>
          <w:p>
            <w:pPr>
              <w:pStyle w:val="TableParagraph"/>
              <w:spacing w:before="11"/>
              <w:rPr>
                <w:sz w:val="14"/>
              </w:rPr>
            </w:pPr>
          </w:p>
          <w:p>
            <w:pPr>
              <w:pStyle w:val="TableParagraph"/>
              <w:ind w:right="4"/>
              <w:jc w:val="right"/>
              <w:rPr>
                <w:sz w:val="21"/>
              </w:rPr>
            </w:pPr>
            <w:r>
              <w:rPr>
                <w:sz w:val="21"/>
              </w:rPr>
              <w:t>5.15</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K</w:t>
            </w:r>
          </w:p>
        </w:tc>
        <w:tc>
          <w:tcPr>
            <w:tcW w:w="3380" w:type="dxa"/>
          </w:tcPr>
          <w:p>
            <w:pPr>
              <w:pStyle w:val="TableParagraph"/>
              <w:spacing w:before="11"/>
              <w:rPr>
                <w:sz w:val="14"/>
              </w:rPr>
            </w:pPr>
          </w:p>
          <w:p>
            <w:pPr>
              <w:pStyle w:val="TableParagraph"/>
              <w:ind w:left="31"/>
              <w:rPr>
                <w:sz w:val="21"/>
              </w:rPr>
            </w:pPr>
            <w:r>
              <w:rPr>
                <w:sz w:val="21"/>
              </w:rPr>
              <w:t>房地产业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L</w:t>
            </w:r>
          </w:p>
        </w:tc>
        <w:tc>
          <w:tcPr>
            <w:tcW w:w="3380" w:type="dxa"/>
          </w:tcPr>
          <w:p>
            <w:pPr>
              <w:pStyle w:val="TableParagraph"/>
              <w:spacing w:before="11"/>
              <w:rPr>
                <w:sz w:val="14"/>
              </w:rPr>
            </w:pPr>
          </w:p>
          <w:p>
            <w:pPr>
              <w:pStyle w:val="TableParagraph"/>
              <w:ind w:left="31"/>
              <w:rPr>
                <w:sz w:val="21"/>
              </w:rPr>
            </w:pPr>
            <w:r>
              <w:rPr>
                <w:sz w:val="21"/>
              </w:rPr>
              <w:t>租赁和商务服务业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M</w:t>
            </w:r>
          </w:p>
        </w:tc>
        <w:tc>
          <w:tcPr>
            <w:tcW w:w="3380" w:type="dxa"/>
          </w:tcPr>
          <w:p>
            <w:pPr>
              <w:pStyle w:val="TableParagraph"/>
              <w:spacing w:before="11"/>
              <w:rPr>
                <w:sz w:val="14"/>
              </w:rPr>
            </w:pPr>
          </w:p>
          <w:p>
            <w:pPr>
              <w:pStyle w:val="TableParagraph"/>
              <w:ind w:left="31"/>
              <w:rPr>
                <w:sz w:val="21"/>
              </w:rPr>
            </w:pPr>
            <w:r>
              <w:rPr>
                <w:sz w:val="21"/>
              </w:rPr>
              <w:t>科学研究和技术服务业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N</w:t>
            </w:r>
          </w:p>
        </w:tc>
        <w:tc>
          <w:tcPr>
            <w:tcW w:w="3380" w:type="dxa"/>
          </w:tcPr>
          <w:p>
            <w:pPr>
              <w:pStyle w:val="TableParagraph"/>
              <w:spacing w:before="11"/>
              <w:rPr>
                <w:sz w:val="14"/>
              </w:rPr>
            </w:pPr>
          </w:p>
          <w:p>
            <w:pPr>
              <w:pStyle w:val="TableParagraph"/>
              <w:ind w:left="31"/>
              <w:rPr>
                <w:sz w:val="21"/>
              </w:rPr>
            </w:pPr>
            <w:r>
              <w:rPr>
                <w:sz w:val="21"/>
              </w:rPr>
              <w:t>水利、环境和公共设施管理业</w:t>
            </w:r>
          </w:p>
        </w:tc>
        <w:tc>
          <w:tcPr>
            <w:tcW w:w="2611" w:type="dxa"/>
          </w:tcPr>
          <w:p>
            <w:pPr>
              <w:pStyle w:val="TableParagraph"/>
              <w:spacing w:before="11"/>
              <w:rPr>
                <w:sz w:val="14"/>
              </w:rPr>
            </w:pPr>
          </w:p>
          <w:p>
            <w:pPr>
              <w:pStyle w:val="TableParagraph"/>
              <w:ind w:right="-15"/>
              <w:jc w:val="right"/>
              <w:rPr>
                <w:sz w:val="21"/>
              </w:rPr>
            </w:pPr>
            <w:r>
              <w:rPr>
                <w:sz w:val="21"/>
              </w:rPr>
              <w:t>6,578.04</w:t>
            </w:r>
          </w:p>
        </w:tc>
        <w:tc>
          <w:tcPr>
            <w:tcW w:w="1511" w:type="dxa"/>
          </w:tcPr>
          <w:p>
            <w:pPr>
              <w:pStyle w:val="TableParagraph"/>
              <w:spacing w:before="11"/>
              <w:rPr>
                <w:sz w:val="14"/>
              </w:rPr>
            </w:pPr>
          </w:p>
          <w:p>
            <w:pPr>
              <w:pStyle w:val="TableParagraph"/>
              <w:ind w:right="4"/>
              <w:jc w:val="right"/>
              <w:rPr>
                <w:sz w:val="21"/>
              </w:rPr>
            </w:pPr>
            <w:r>
              <w:rPr>
                <w:sz w:val="21"/>
              </w:rPr>
              <w:t>0.00</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O</w:t>
            </w:r>
          </w:p>
        </w:tc>
        <w:tc>
          <w:tcPr>
            <w:tcW w:w="3380" w:type="dxa"/>
          </w:tcPr>
          <w:p>
            <w:pPr>
              <w:pStyle w:val="TableParagraph"/>
              <w:spacing w:before="11"/>
              <w:rPr>
                <w:sz w:val="14"/>
              </w:rPr>
            </w:pPr>
          </w:p>
          <w:p>
            <w:pPr>
              <w:pStyle w:val="TableParagraph"/>
              <w:ind w:left="31"/>
              <w:rPr>
                <w:sz w:val="21"/>
              </w:rPr>
            </w:pPr>
            <w:r>
              <w:rPr>
                <w:sz w:val="21"/>
              </w:rPr>
              <w:t>居民服务、修理和其他服务业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P</w:t>
            </w:r>
          </w:p>
        </w:tc>
        <w:tc>
          <w:tcPr>
            <w:tcW w:w="3380" w:type="dxa"/>
          </w:tcPr>
          <w:p>
            <w:pPr>
              <w:pStyle w:val="TableParagraph"/>
              <w:spacing w:before="11"/>
              <w:rPr>
                <w:sz w:val="14"/>
              </w:rPr>
            </w:pPr>
          </w:p>
          <w:p>
            <w:pPr>
              <w:pStyle w:val="TableParagraph"/>
              <w:ind w:left="31"/>
              <w:rPr>
                <w:sz w:val="21"/>
              </w:rPr>
            </w:pPr>
            <w:r>
              <w:rPr>
                <w:sz w:val="21"/>
              </w:rPr>
              <w:t>教育</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Q</w:t>
            </w:r>
          </w:p>
        </w:tc>
        <w:tc>
          <w:tcPr>
            <w:tcW w:w="3380" w:type="dxa"/>
          </w:tcPr>
          <w:p>
            <w:pPr>
              <w:pStyle w:val="TableParagraph"/>
              <w:spacing w:before="11"/>
              <w:rPr>
                <w:sz w:val="14"/>
              </w:rPr>
            </w:pPr>
          </w:p>
          <w:p>
            <w:pPr>
              <w:pStyle w:val="TableParagraph"/>
              <w:ind w:left="31"/>
              <w:rPr>
                <w:sz w:val="21"/>
              </w:rPr>
            </w:pPr>
            <w:r>
              <w:rPr>
                <w:sz w:val="21"/>
              </w:rPr>
              <w:t>卫生和社会工作</w:t>
            </w:r>
          </w:p>
        </w:tc>
        <w:tc>
          <w:tcPr>
            <w:tcW w:w="2611" w:type="dxa"/>
          </w:tcPr>
          <w:p>
            <w:pPr>
              <w:pStyle w:val="TableParagraph"/>
              <w:spacing w:before="11"/>
              <w:rPr>
                <w:sz w:val="14"/>
              </w:rPr>
            </w:pPr>
          </w:p>
          <w:p>
            <w:pPr>
              <w:pStyle w:val="TableParagraph"/>
              <w:ind w:right="-15"/>
              <w:jc w:val="right"/>
              <w:rPr>
                <w:sz w:val="21"/>
              </w:rPr>
            </w:pPr>
            <w:r>
              <w:rPr>
                <w:sz w:val="21"/>
              </w:rPr>
              <w:t>6,210,920.00</w:t>
            </w:r>
          </w:p>
        </w:tc>
        <w:tc>
          <w:tcPr>
            <w:tcW w:w="1511" w:type="dxa"/>
          </w:tcPr>
          <w:p>
            <w:pPr>
              <w:pStyle w:val="TableParagraph"/>
              <w:spacing w:before="11"/>
              <w:rPr>
                <w:sz w:val="14"/>
              </w:rPr>
            </w:pPr>
          </w:p>
          <w:p>
            <w:pPr>
              <w:pStyle w:val="TableParagraph"/>
              <w:ind w:right="4"/>
              <w:jc w:val="right"/>
              <w:rPr>
                <w:sz w:val="21"/>
              </w:rPr>
            </w:pPr>
            <w:r>
              <w:rPr>
                <w:sz w:val="21"/>
              </w:rPr>
              <w:t>0.03</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R</w:t>
            </w:r>
          </w:p>
        </w:tc>
        <w:tc>
          <w:tcPr>
            <w:tcW w:w="3380" w:type="dxa"/>
          </w:tcPr>
          <w:p>
            <w:pPr>
              <w:pStyle w:val="TableParagraph"/>
              <w:spacing w:before="11"/>
              <w:rPr>
                <w:sz w:val="14"/>
              </w:rPr>
            </w:pPr>
          </w:p>
          <w:p>
            <w:pPr>
              <w:pStyle w:val="TableParagraph"/>
              <w:ind w:left="31"/>
              <w:rPr>
                <w:sz w:val="21"/>
              </w:rPr>
            </w:pPr>
            <w:r>
              <w:rPr>
                <w:sz w:val="21"/>
              </w:rPr>
              <w:t>文化、体育和娱乐业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spacing w:before="11"/>
              <w:rPr>
                <w:sz w:val="14"/>
              </w:rPr>
            </w:pPr>
          </w:p>
          <w:p>
            <w:pPr>
              <w:pStyle w:val="TableParagraph"/>
              <w:ind w:left="32"/>
              <w:rPr>
                <w:sz w:val="21"/>
              </w:rPr>
            </w:pPr>
            <w:r>
              <w:rPr>
                <w:sz w:val="21"/>
              </w:rPr>
              <w:t>S</w:t>
            </w:r>
          </w:p>
        </w:tc>
        <w:tc>
          <w:tcPr>
            <w:tcW w:w="3380" w:type="dxa"/>
          </w:tcPr>
          <w:p>
            <w:pPr>
              <w:pStyle w:val="TableParagraph"/>
              <w:spacing w:before="11"/>
              <w:rPr>
                <w:sz w:val="14"/>
              </w:rPr>
            </w:pPr>
          </w:p>
          <w:p>
            <w:pPr>
              <w:pStyle w:val="TableParagraph"/>
              <w:ind w:left="31"/>
              <w:rPr>
                <w:sz w:val="21"/>
              </w:rPr>
            </w:pPr>
            <w:r>
              <w:rPr>
                <w:sz w:val="21"/>
              </w:rPr>
              <w:t>综合</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1" w:type="dxa"/>
          </w:tcPr>
          <w:p>
            <w:pPr>
              <w:pStyle w:val="TableParagraph"/>
              <w:spacing w:before="11"/>
              <w:rPr>
                <w:sz w:val="14"/>
              </w:rPr>
            </w:pPr>
          </w:p>
          <w:p>
            <w:pPr>
              <w:pStyle w:val="TableParagraph"/>
              <w:ind w:right="4"/>
              <w:jc w:val="right"/>
              <w:rPr>
                <w:sz w:val="21"/>
              </w:rPr>
            </w:pPr>
            <w:r>
              <w:rPr>
                <w:sz w:val="21"/>
              </w:rPr>
              <w:t>-</w:t>
            </w:r>
          </w:p>
        </w:tc>
      </w:tr>
      <w:tr>
        <w:trPr>
          <w:trHeight w:val="602" w:hRule="atLeast"/>
        </w:trPr>
        <w:tc>
          <w:tcPr>
            <w:tcW w:w="498" w:type="dxa"/>
          </w:tcPr>
          <w:p>
            <w:pPr>
              <w:pStyle w:val="TableParagraph"/>
              <w:rPr>
                <w:rFonts w:ascii="Times New Roman"/>
                <w:sz w:val="20"/>
              </w:rPr>
            </w:pPr>
          </w:p>
        </w:tc>
        <w:tc>
          <w:tcPr>
            <w:tcW w:w="3380" w:type="dxa"/>
          </w:tcPr>
          <w:p>
            <w:pPr>
              <w:pStyle w:val="TableParagraph"/>
              <w:spacing w:before="11"/>
              <w:rPr>
                <w:sz w:val="14"/>
              </w:rPr>
            </w:pPr>
          </w:p>
          <w:p>
            <w:pPr>
              <w:pStyle w:val="TableParagraph"/>
              <w:ind w:left="31"/>
              <w:rPr>
                <w:sz w:val="21"/>
              </w:rPr>
            </w:pPr>
            <w:r>
              <w:rPr>
                <w:sz w:val="21"/>
              </w:rPr>
              <w:t>合计</w:t>
            </w:r>
          </w:p>
        </w:tc>
        <w:tc>
          <w:tcPr>
            <w:tcW w:w="2611" w:type="dxa"/>
          </w:tcPr>
          <w:p>
            <w:pPr>
              <w:pStyle w:val="TableParagraph"/>
              <w:spacing w:before="11"/>
              <w:rPr>
                <w:sz w:val="14"/>
              </w:rPr>
            </w:pPr>
          </w:p>
          <w:p>
            <w:pPr>
              <w:pStyle w:val="TableParagraph"/>
              <w:ind w:right="-15"/>
              <w:jc w:val="right"/>
              <w:rPr>
                <w:sz w:val="21"/>
              </w:rPr>
            </w:pPr>
            <w:r>
              <w:rPr>
                <w:sz w:val="21"/>
              </w:rPr>
              <w:t>3,462,988,757.30</w:t>
            </w:r>
          </w:p>
        </w:tc>
        <w:tc>
          <w:tcPr>
            <w:tcW w:w="1511" w:type="dxa"/>
          </w:tcPr>
          <w:p>
            <w:pPr>
              <w:pStyle w:val="TableParagraph"/>
              <w:spacing w:before="11"/>
              <w:rPr>
                <w:sz w:val="14"/>
              </w:rPr>
            </w:pPr>
          </w:p>
          <w:p>
            <w:pPr>
              <w:pStyle w:val="TableParagraph"/>
              <w:ind w:right="4"/>
              <w:jc w:val="right"/>
              <w:rPr>
                <w:sz w:val="21"/>
              </w:rPr>
            </w:pPr>
            <w:r>
              <w:rPr>
                <w:sz w:val="21"/>
              </w:rPr>
              <w:t>17.54</w:t>
            </w:r>
          </w:p>
        </w:tc>
      </w:tr>
    </w:tbl>
    <w:p>
      <w:pPr>
        <w:pStyle w:val="ListParagraph"/>
        <w:numPr>
          <w:ilvl w:val="0"/>
          <w:numId w:val="24"/>
        </w:numPr>
        <w:tabs>
          <w:tab w:pos="1030" w:val="left" w:leader="none"/>
        </w:tabs>
        <w:spacing w:line="240" w:lineRule="auto" w:before="3" w:after="0"/>
        <w:ind w:left="1030" w:right="0" w:hanging="317"/>
        <w:jc w:val="left"/>
        <w:rPr>
          <w:sz w:val="21"/>
        </w:rPr>
      </w:pPr>
      <w:r>
        <w:rPr>
          <w:sz w:val="21"/>
        </w:rPr>
        <w:t>指数投资按行业分类的股票投资组合</w:t>
      </w:r>
    </w:p>
    <w:p>
      <w:pPr>
        <w:pStyle w:val="BodyText"/>
        <w:spacing w:before="8"/>
        <w:ind w:left="0"/>
        <w:rPr>
          <w:sz w:val="1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
        <w:gridCol w:w="3380"/>
        <w:gridCol w:w="2611"/>
        <w:gridCol w:w="1512"/>
      </w:tblGrid>
      <w:tr>
        <w:trPr>
          <w:trHeight w:val="1161" w:hRule="atLeast"/>
        </w:trPr>
        <w:tc>
          <w:tcPr>
            <w:tcW w:w="497" w:type="dxa"/>
          </w:tcPr>
          <w:p>
            <w:pPr>
              <w:pStyle w:val="TableParagraph"/>
              <w:rPr>
                <w:sz w:val="20"/>
              </w:rPr>
            </w:pPr>
          </w:p>
          <w:p>
            <w:pPr>
              <w:pStyle w:val="TableParagraph"/>
              <w:spacing w:before="8"/>
              <w:rPr>
                <w:sz w:val="16"/>
              </w:rPr>
            </w:pPr>
          </w:p>
          <w:p>
            <w:pPr>
              <w:pStyle w:val="TableParagraph"/>
              <w:ind w:left="22"/>
              <w:rPr>
                <w:sz w:val="21"/>
              </w:rPr>
            </w:pPr>
            <w:r>
              <w:rPr>
                <w:sz w:val="21"/>
              </w:rPr>
              <w:t>代码</w:t>
            </w:r>
          </w:p>
        </w:tc>
        <w:tc>
          <w:tcPr>
            <w:tcW w:w="3380" w:type="dxa"/>
          </w:tcPr>
          <w:p>
            <w:pPr>
              <w:pStyle w:val="TableParagraph"/>
              <w:rPr>
                <w:sz w:val="20"/>
              </w:rPr>
            </w:pPr>
          </w:p>
          <w:p>
            <w:pPr>
              <w:pStyle w:val="TableParagraph"/>
              <w:spacing w:before="8"/>
              <w:rPr>
                <w:sz w:val="16"/>
              </w:rPr>
            </w:pPr>
          </w:p>
          <w:p>
            <w:pPr>
              <w:pStyle w:val="TableParagraph"/>
              <w:ind w:left="32"/>
              <w:rPr>
                <w:sz w:val="21"/>
              </w:rPr>
            </w:pPr>
            <w:r>
              <w:rPr>
                <w:sz w:val="21"/>
              </w:rPr>
              <w:t>行业类别</w:t>
            </w:r>
          </w:p>
        </w:tc>
        <w:tc>
          <w:tcPr>
            <w:tcW w:w="2611" w:type="dxa"/>
          </w:tcPr>
          <w:p>
            <w:pPr>
              <w:pStyle w:val="TableParagraph"/>
              <w:rPr>
                <w:sz w:val="20"/>
              </w:rPr>
            </w:pPr>
          </w:p>
          <w:p>
            <w:pPr>
              <w:pStyle w:val="TableParagraph"/>
              <w:spacing w:before="8"/>
              <w:rPr>
                <w:sz w:val="16"/>
              </w:rPr>
            </w:pPr>
          </w:p>
          <w:p>
            <w:pPr>
              <w:pStyle w:val="TableParagraph"/>
              <w:ind w:left="22"/>
              <w:rPr>
                <w:sz w:val="21"/>
              </w:rPr>
            </w:pPr>
            <w:r>
              <w:rPr>
                <w:sz w:val="21"/>
              </w:rPr>
              <w:t>公允价值（元）</w:t>
            </w:r>
          </w:p>
        </w:tc>
        <w:tc>
          <w:tcPr>
            <w:tcW w:w="1512" w:type="dxa"/>
          </w:tcPr>
          <w:p>
            <w:pPr>
              <w:pStyle w:val="TableParagraph"/>
              <w:spacing w:before="11"/>
              <w:rPr>
                <w:sz w:val="14"/>
              </w:rPr>
            </w:pPr>
          </w:p>
          <w:p>
            <w:pPr>
              <w:pStyle w:val="TableParagraph"/>
              <w:ind w:left="31"/>
              <w:rPr>
                <w:sz w:val="21"/>
              </w:rPr>
            </w:pPr>
            <w:r>
              <w:rPr>
                <w:sz w:val="21"/>
              </w:rPr>
              <w:t>占基金资产净</w:t>
            </w:r>
          </w:p>
          <w:p>
            <w:pPr>
              <w:pStyle w:val="TableParagraph"/>
              <w:spacing w:before="7"/>
              <w:rPr>
                <w:sz w:val="22"/>
              </w:rPr>
            </w:pPr>
          </w:p>
          <w:p>
            <w:pPr>
              <w:pStyle w:val="TableParagraph"/>
              <w:spacing w:before="1"/>
              <w:ind w:left="31"/>
              <w:rPr>
                <w:sz w:val="21"/>
              </w:rPr>
            </w:pPr>
            <w:r>
              <w:rPr>
                <w:sz w:val="21"/>
              </w:rPr>
              <w:t>值比例（％）</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A</w:t>
            </w:r>
          </w:p>
        </w:tc>
        <w:tc>
          <w:tcPr>
            <w:tcW w:w="3380" w:type="dxa"/>
          </w:tcPr>
          <w:p>
            <w:pPr>
              <w:pStyle w:val="TableParagraph"/>
              <w:spacing w:before="11"/>
              <w:rPr>
                <w:sz w:val="14"/>
              </w:rPr>
            </w:pPr>
          </w:p>
          <w:p>
            <w:pPr>
              <w:pStyle w:val="TableParagraph"/>
              <w:ind w:left="32"/>
              <w:rPr>
                <w:sz w:val="21"/>
              </w:rPr>
            </w:pPr>
            <w:r>
              <w:rPr>
                <w:sz w:val="21"/>
              </w:rPr>
              <w:t>农、林、牧、渔业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B</w:t>
            </w:r>
          </w:p>
        </w:tc>
        <w:tc>
          <w:tcPr>
            <w:tcW w:w="3380" w:type="dxa"/>
          </w:tcPr>
          <w:p>
            <w:pPr>
              <w:pStyle w:val="TableParagraph"/>
              <w:spacing w:before="11"/>
              <w:rPr>
                <w:sz w:val="14"/>
              </w:rPr>
            </w:pPr>
          </w:p>
          <w:p>
            <w:pPr>
              <w:pStyle w:val="TableParagraph"/>
              <w:ind w:left="32"/>
              <w:rPr>
                <w:sz w:val="21"/>
              </w:rPr>
            </w:pPr>
            <w:r>
              <w:rPr>
                <w:sz w:val="21"/>
              </w:rPr>
              <w:t>采矿业</w:t>
            </w:r>
          </w:p>
        </w:tc>
        <w:tc>
          <w:tcPr>
            <w:tcW w:w="2611" w:type="dxa"/>
          </w:tcPr>
          <w:p>
            <w:pPr>
              <w:pStyle w:val="TableParagraph"/>
              <w:spacing w:before="11"/>
              <w:rPr>
                <w:sz w:val="14"/>
              </w:rPr>
            </w:pPr>
          </w:p>
          <w:p>
            <w:pPr>
              <w:pStyle w:val="TableParagraph"/>
              <w:ind w:right="-15"/>
              <w:jc w:val="right"/>
              <w:rPr>
                <w:sz w:val="21"/>
              </w:rPr>
            </w:pPr>
            <w:r>
              <w:rPr>
                <w:sz w:val="21"/>
              </w:rPr>
              <w:t>334,499,098.39</w:t>
            </w:r>
          </w:p>
        </w:tc>
        <w:tc>
          <w:tcPr>
            <w:tcW w:w="1512" w:type="dxa"/>
          </w:tcPr>
          <w:p>
            <w:pPr>
              <w:pStyle w:val="TableParagraph"/>
              <w:spacing w:before="11"/>
              <w:rPr>
                <w:sz w:val="14"/>
              </w:rPr>
            </w:pPr>
          </w:p>
          <w:p>
            <w:pPr>
              <w:pStyle w:val="TableParagraph"/>
              <w:ind w:right="3"/>
              <w:jc w:val="right"/>
              <w:rPr>
                <w:sz w:val="21"/>
              </w:rPr>
            </w:pPr>
            <w:r>
              <w:rPr>
                <w:sz w:val="21"/>
              </w:rPr>
              <w:t>1.69</w:t>
            </w:r>
          </w:p>
        </w:tc>
      </w:tr>
    </w:tbl>
    <w:p>
      <w:pPr>
        <w:spacing w:after="0"/>
        <w:jc w:val="right"/>
        <w:rPr>
          <w:sz w:val="21"/>
        </w:rPr>
        <w:sectPr>
          <w:pgSz w:w="11910" w:h="16840"/>
          <w:pgMar w:header="0" w:footer="1172" w:top="1580" w:bottom="1440" w:left="1520" w:right="360"/>
        </w:sectPr>
      </w:pPr>
    </w:p>
    <w:p>
      <w:pPr>
        <w:pStyle w:val="BodyText"/>
        <w:ind w:left="0"/>
        <w:rPr>
          <w:sz w:val="8"/>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
        <w:gridCol w:w="3380"/>
        <w:gridCol w:w="2611"/>
        <w:gridCol w:w="1512"/>
      </w:tblGrid>
      <w:tr>
        <w:trPr>
          <w:trHeight w:val="602" w:hRule="atLeast"/>
        </w:trPr>
        <w:tc>
          <w:tcPr>
            <w:tcW w:w="497" w:type="dxa"/>
          </w:tcPr>
          <w:p>
            <w:pPr>
              <w:pStyle w:val="TableParagraph"/>
              <w:spacing w:before="11"/>
              <w:rPr>
                <w:sz w:val="14"/>
              </w:rPr>
            </w:pPr>
          </w:p>
          <w:p>
            <w:pPr>
              <w:pStyle w:val="TableParagraph"/>
              <w:ind w:left="32"/>
              <w:rPr>
                <w:sz w:val="21"/>
              </w:rPr>
            </w:pPr>
            <w:r>
              <w:rPr>
                <w:sz w:val="21"/>
              </w:rPr>
              <w:t>C</w:t>
            </w:r>
          </w:p>
        </w:tc>
        <w:tc>
          <w:tcPr>
            <w:tcW w:w="3380" w:type="dxa"/>
          </w:tcPr>
          <w:p>
            <w:pPr>
              <w:pStyle w:val="TableParagraph"/>
              <w:spacing w:before="11"/>
              <w:rPr>
                <w:sz w:val="14"/>
              </w:rPr>
            </w:pPr>
          </w:p>
          <w:p>
            <w:pPr>
              <w:pStyle w:val="TableParagraph"/>
              <w:ind w:left="32"/>
              <w:rPr>
                <w:sz w:val="21"/>
              </w:rPr>
            </w:pPr>
            <w:r>
              <w:rPr>
                <w:sz w:val="21"/>
              </w:rPr>
              <w:t>制造业</w:t>
            </w:r>
          </w:p>
        </w:tc>
        <w:tc>
          <w:tcPr>
            <w:tcW w:w="2611" w:type="dxa"/>
          </w:tcPr>
          <w:p>
            <w:pPr>
              <w:pStyle w:val="TableParagraph"/>
              <w:spacing w:before="11"/>
              <w:rPr>
                <w:sz w:val="14"/>
              </w:rPr>
            </w:pPr>
          </w:p>
          <w:p>
            <w:pPr>
              <w:pStyle w:val="TableParagraph"/>
              <w:ind w:right="-15"/>
              <w:jc w:val="right"/>
              <w:rPr>
                <w:sz w:val="21"/>
              </w:rPr>
            </w:pPr>
            <w:r>
              <w:rPr>
                <w:sz w:val="21"/>
              </w:rPr>
              <w:t>6,630,405,380.08</w:t>
            </w:r>
          </w:p>
        </w:tc>
        <w:tc>
          <w:tcPr>
            <w:tcW w:w="1512" w:type="dxa"/>
          </w:tcPr>
          <w:p>
            <w:pPr>
              <w:pStyle w:val="TableParagraph"/>
              <w:spacing w:before="11"/>
              <w:rPr>
                <w:sz w:val="14"/>
              </w:rPr>
            </w:pPr>
          </w:p>
          <w:p>
            <w:pPr>
              <w:pStyle w:val="TableParagraph"/>
              <w:ind w:right="3"/>
              <w:jc w:val="right"/>
              <w:rPr>
                <w:sz w:val="21"/>
              </w:rPr>
            </w:pPr>
            <w:r>
              <w:rPr>
                <w:sz w:val="21"/>
              </w:rPr>
              <w:t>33.59</w:t>
            </w:r>
          </w:p>
        </w:tc>
      </w:tr>
      <w:tr>
        <w:trPr>
          <w:trHeight w:val="1161" w:hRule="atLeast"/>
        </w:trPr>
        <w:tc>
          <w:tcPr>
            <w:tcW w:w="497" w:type="dxa"/>
          </w:tcPr>
          <w:p>
            <w:pPr>
              <w:pStyle w:val="TableParagraph"/>
              <w:rPr>
                <w:sz w:val="20"/>
              </w:rPr>
            </w:pPr>
          </w:p>
          <w:p>
            <w:pPr>
              <w:pStyle w:val="TableParagraph"/>
              <w:spacing w:before="8"/>
              <w:rPr>
                <w:sz w:val="16"/>
              </w:rPr>
            </w:pPr>
          </w:p>
          <w:p>
            <w:pPr>
              <w:pStyle w:val="TableParagraph"/>
              <w:ind w:left="32"/>
              <w:rPr>
                <w:sz w:val="21"/>
              </w:rPr>
            </w:pPr>
            <w:r>
              <w:rPr>
                <w:sz w:val="21"/>
              </w:rPr>
              <w:t>D</w:t>
            </w:r>
          </w:p>
        </w:tc>
        <w:tc>
          <w:tcPr>
            <w:tcW w:w="3380" w:type="dxa"/>
          </w:tcPr>
          <w:p>
            <w:pPr>
              <w:pStyle w:val="TableParagraph"/>
              <w:spacing w:before="11"/>
              <w:rPr>
                <w:sz w:val="14"/>
              </w:rPr>
            </w:pPr>
          </w:p>
          <w:p>
            <w:pPr>
              <w:pStyle w:val="TableParagraph"/>
              <w:ind w:left="32"/>
              <w:rPr>
                <w:sz w:val="21"/>
              </w:rPr>
            </w:pPr>
            <w:r>
              <w:rPr>
                <w:sz w:val="21"/>
              </w:rPr>
              <w:t>电力、热力、燃气及水生产和供应</w:t>
            </w:r>
          </w:p>
          <w:p>
            <w:pPr>
              <w:pStyle w:val="TableParagraph"/>
              <w:spacing w:before="7"/>
              <w:rPr>
                <w:sz w:val="22"/>
              </w:rPr>
            </w:pPr>
          </w:p>
          <w:p>
            <w:pPr>
              <w:pStyle w:val="TableParagraph"/>
              <w:spacing w:before="1"/>
              <w:ind w:left="32"/>
              <w:rPr>
                <w:sz w:val="21"/>
              </w:rPr>
            </w:pPr>
            <w:r>
              <w:rPr>
                <w:sz w:val="21"/>
              </w:rPr>
              <w:t>业</w:t>
            </w:r>
          </w:p>
        </w:tc>
        <w:tc>
          <w:tcPr>
            <w:tcW w:w="2611" w:type="dxa"/>
          </w:tcPr>
          <w:p>
            <w:pPr>
              <w:pStyle w:val="TableParagraph"/>
              <w:rPr>
                <w:sz w:val="20"/>
              </w:rPr>
            </w:pPr>
          </w:p>
          <w:p>
            <w:pPr>
              <w:pStyle w:val="TableParagraph"/>
              <w:spacing w:before="8"/>
              <w:rPr>
                <w:sz w:val="16"/>
              </w:rPr>
            </w:pPr>
          </w:p>
          <w:p>
            <w:pPr>
              <w:pStyle w:val="TableParagraph"/>
              <w:ind w:right="-15"/>
              <w:jc w:val="right"/>
              <w:rPr>
                <w:sz w:val="21"/>
              </w:rPr>
            </w:pPr>
            <w:r>
              <w:rPr>
                <w:sz w:val="21"/>
              </w:rPr>
              <w:t>-</w:t>
            </w:r>
          </w:p>
        </w:tc>
        <w:tc>
          <w:tcPr>
            <w:tcW w:w="1512" w:type="dxa"/>
          </w:tcPr>
          <w:p>
            <w:pPr>
              <w:pStyle w:val="TableParagraph"/>
              <w:rPr>
                <w:sz w:val="20"/>
              </w:rPr>
            </w:pPr>
          </w:p>
          <w:p>
            <w:pPr>
              <w:pStyle w:val="TableParagraph"/>
              <w:spacing w:before="8"/>
              <w:rPr>
                <w:sz w:val="16"/>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E</w:t>
            </w:r>
          </w:p>
        </w:tc>
        <w:tc>
          <w:tcPr>
            <w:tcW w:w="3380" w:type="dxa"/>
          </w:tcPr>
          <w:p>
            <w:pPr>
              <w:pStyle w:val="TableParagraph"/>
              <w:spacing w:before="11"/>
              <w:rPr>
                <w:sz w:val="14"/>
              </w:rPr>
            </w:pPr>
          </w:p>
          <w:p>
            <w:pPr>
              <w:pStyle w:val="TableParagraph"/>
              <w:ind w:left="32"/>
              <w:rPr>
                <w:sz w:val="21"/>
              </w:rPr>
            </w:pPr>
            <w:r>
              <w:rPr>
                <w:sz w:val="21"/>
              </w:rPr>
              <w:t>建筑业</w:t>
            </w:r>
          </w:p>
        </w:tc>
        <w:tc>
          <w:tcPr>
            <w:tcW w:w="2611" w:type="dxa"/>
          </w:tcPr>
          <w:p>
            <w:pPr>
              <w:pStyle w:val="TableParagraph"/>
              <w:spacing w:before="11"/>
              <w:rPr>
                <w:sz w:val="14"/>
              </w:rPr>
            </w:pPr>
          </w:p>
          <w:p>
            <w:pPr>
              <w:pStyle w:val="TableParagraph"/>
              <w:ind w:right="-15"/>
              <w:jc w:val="right"/>
              <w:rPr>
                <w:sz w:val="21"/>
              </w:rPr>
            </w:pPr>
            <w:r>
              <w:rPr>
                <w:sz w:val="21"/>
              </w:rPr>
              <w:t>953,388,748.12</w:t>
            </w:r>
          </w:p>
        </w:tc>
        <w:tc>
          <w:tcPr>
            <w:tcW w:w="1512" w:type="dxa"/>
          </w:tcPr>
          <w:p>
            <w:pPr>
              <w:pStyle w:val="TableParagraph"/>
              <w:spacing w:before="11"/>
              <w:rPr>
                <w:sz w:val="14"/>
              </w:rPr>
            </w:pPr>
          </w:p>
          <w:p>
            <w:pPr>
              <w:pStyle w:val="TableParagraph"/>
              <w:ind w:right="3"/>
              <w:jc w:val="right"/>
              <w:rPr>
                <w:sz w:val="21"/>
              </w:rPr>
            </w:pPr>
            <w:r>
              <w:rPr>
                <w:sz w:val="21"/>
              </w:rPr>
              <w:t>4.83</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F</w:t>
            </w:r>
          </w:p>
        </w:tc>
        <w:tc>
          <w:tcPr>
            <w:tcW w:w="3380" w:type="dxa"/>
          </w:tcPr>
          <w:p>
            <w:pPr>
              <w:pStyle w:val="TableParagraph"/>
              <w:spacing w:before="11"/>
              <w:rPr>
                <w:sz w:val="14"/>
              </w:rPr>
            </w:pPr>
          </w:p>
          <w:p>
            <w:pPr>
              <w:pStyle w:val="TableParagraph"/>
              <w:ind w:left="32"/>
              <w:rPr>
                <w:sz w:val="21"/>
              </w:rPr>
            </w:pPr>
            <w:r>
              <w:rPr>
                <w:sz w:val="21"/>
              </w:rPr>
              <w:t>批发和零售业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G</w:t>
            </w:r>
          </w:p>
        </w:tc>
        <w:tc>
          <w:tcPr>
            <w:tcW w:w="3380" w:type="dxa"/>
          </w:tcPr>
          <w:p>
            <w:pPr>
              <w:pStyle w:val="TableParagraph"/>
              <w:spacing w:before="11"/>
              <w:rPr>
                <w:sz w:val="14"/>
              </w:rPr>
            </w:pPr>
          </w:p>
          <w:p>
            <w:pPr>
              <w:pStyle w:val="TableParagraph"/>
              <w:ind w:left="32"/>
              <w:rPr>
                <w:sz w:val="21"/>
              </w:rPr>
            </w:pPr>
            <w:r>
              <w:rPr>
                <w:sz w:val="21"/>
              </w:rPr>
              <w:t>交通运输、仓储和邮政业</w:t>
            </w:r>
          </w:p>
        </w:tc>
        <w:tc>
          <w:tcPr>
            <w:tcW w:w="2611" w:type="dxa"/>
          </w:tcPr>
          <w:p>
            <w:pPr>
              <w:pStyle w:val="TableParagraph"/>
              <w:spacing w:before="11"/>
              <w:rPr>
                <w:sz w:val="14"/>
              </w:rPr>
            </w:pPr>
          </w:p>
          <w:p>
            <w:pPr>
              <w:pStyle w:val="TableParagraph"/>
              <w:ind w:right="-15"/>
              <w:jc w:val="right"/>
              <w:rPr>
                <w:sz w:val="21"/>
              </w:rPr>
            </w:pPr>
            <w:r>
              <w:rPr>
                <w:sz w:val="21"/>
              </w:rPr>
              <w:t>284,499,999.21</w:t>
            </w:r>
          </w:p>
        </w:tc>
        <w:tc>
          <w:tcPr>
            <w:tcW w:w="1512" w:type="dxa"/>
          </w:tcPr>
          <w:p>
            <w:pPr>
              <w:pStyle w:val="TableParagraph"/>
              <w:spacing w:before="11"/>
              <w:rPr>
                <w:sz w:val="14"/>
              </w:rPr>
            </w:pPr>
          </w:p>
          <w:p>
            <w:pPr>
              <w:pStyle w:val="TableParagraph"/>
              <w:ind w:right="3"/>
              <w:jc w:val="right"/>
              <w:rPr>
                <w:sz w:val="21"/>
              </w:rPr>
            </w:pPr>
            <w:r>
              <w:rPr>
                <w:sz w:val="21"/>
              </w:rPr>
              <w:t>1.44</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H</w:t>
            </w:r>
          </w:p>
        </w:tc>
        <w:tc>
          <w:tcPr>
            <w:tcW w:w="3380" w:type="dxa"/>
          </w:tcPr>
          <w:p>
            <w:pPr>
              <w:pStyle w:val="TableParagraph"/>
              <w:spacing w:before="11"/>
              <w:rPr>
                <w:sz w:val="14"/>
              </w:rPr>
            </w:pPr>
          </w:p>
          <w:p>
            <w:pPr>
              <w:pStyle w:val="TableParagraph"/>
              <w:ind w:left="32"/>
              <w:rPr>
                <w:sz w:val="21"/>
              </w:rPr>
            </w:pPr>
            <w:r>
              <w:rPr>
                <w:sz w:val="21"/>
              </w:rPr>
              <w:t>住宿和餐饮业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I</w:t>
            </w:r>
          </w:p>
        </w:tc>
        <w:tc>
          <w:tcPr>
            <w:tcW w:w="3380" w:type="dxa"/>
          </w:tcPr>
          <w:p>
            <w:pPr>
              <w:pStyle w:val="TableParagraph"/>
              <w:spacing w:before="11"/>
              <w:rPr>
                <w:sz w:val="14"/>
              </w:rPr>
            </w:pPr>
          </w:p>
          <w:p>
            <w:pPr>
              <w:pStyle w:val="TableParagraph"/>
              <w:ind w:left="32"/>
              <w:rPr>
                <w:sz w:val="21"/>
              </w:rPr>
            </w:pPr>
            <w:r>
              <w:rPr>
                <w:sz w:val="21"/>
              </w:rPr>
              <w:t>信息传输、软件和信息技术服务业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J</w:t>
            </w:r>
          </w:p>
        </w:tc>
        <w:tc>
          <w:tcPr>
            <w:tcW w:w="3380" w:type="dxa"/>
          </w:tcPr>
          <w:p>
            <w:pPr>
              <w:pStyle w:val="TableParagraph"/>
              <w:spacing w:before="11"/>
              <w:rPr>
                <w:sz w:val="14"/>
              </w:rPr>
            </w:pPr>
          </w:p>
          <w:p>
            <w:pPr>
              <w:pStyle w:val="TableParagraph"/>
              <w:ind w:left="32"/>
              <w:rPr>
                <w:sz w:val="21"/>
              </w:rPr>
            </w:pPr>
            <w:r>
              <w:rPr>
                <w:sz w:val="21"/>
              </w:rPr>
              <w:t>金融业</w:t>
            </w:r>
          </w:p>
        </w:tc>
        <w:tc>
          <w:tcPr>
            <w:tcW w:w="2611" w:type="dxa"/>
          </w:tcPr>
          <w:p>
            <w:pPr>
              <w:pStyle w:val="TableParagraph"/>
              <w:spacing w:before="11"/>
              <w:rPr>
                <w:sz w:val="14"/>
              </w:rPr>
            </w:pPr>
          </w:p>
          <w:p>
            <w:pPr>
              <w:pStyle w:val="TableParagraph"/>
              <w:ind w:right="-15"/>
              <w:jc w:val="right"/>
              <w:rPr>
                <w:sz w:val="21"/>
              </w:rPr>
            </w:pPr>
            <w:r>
              <w:rPr>
                <w:sz w:val="21"/>
              </w:rPr>
              <w:t>6,277,434,500.20</w:t>
            </w:r>
          </w:p>
        </w:tc>
        <w:tc>
          <w:tcPr>
            <w:tcW w:w="1512" w:type="dxa"/>
          </w:tcPr>
          <w:p>
            <w:pPr>
              <w:pStyle w:val="TableParagraph"/>
              <w:spacing w:before="11"/>
              <w:rPr>
                <w:sz w:val="14"/>
              </w:rPr>
            </w:pPr>
          </w:p>
          <w:p>
            <w:pPr>
              <w:pStyle w:val="TableParagraph"/>
              <w:ind w:right="3"/>
              <w:jc w:val="right"/>
              <w:rPr>
                <w:sz w:val="21"/>
              </w:rPr>
            </w:pPr>
            <w:r>
              <w:rPr>
                <w:sz w:val="21"/>
              </w:rPr>
              <w:t>31.80</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K</w:t>
            </w:r>
          </w:p>
        </w:tc>
        <w:tc>
          <w:tcPr>
            <w:tcW w:w="3380" w:type="dxa"/>
          </w:tcPr>
          <w:p>
            <w:pPr>
              <w:pStyle w:val="TableParagraph"/>
              <w:spacing w:before="11"/>
              <w:rPr>
                <w:sz w:val="14"/>
              </w:rPr>
            </w:pPr>
          </w:p>
          <w:p>
            <w:pPr>
              <w:pStyle w:val="TableParagraph"/>
              <w:ind w:left="32"/>
              <w:rPr>
                <w:sz w:val="21"/>
              </w:rPr>
            </w:pPr>
            <w:r>
              <w:rPr>
                <w:sz w:val="21"/>
              </w:rPr>
              <w:t>房地产业</w:t>
            </w:r>
          </w:p>
        </w:tc>
        <w:tc>
          <w:tcPr>
            <w:tcW w:w="2611" w:type="dxa"/>
          </w:tcPr>
          <w:p>
            <w:pPr>
              <w:pStyle w:val="TableParagraph"/>
              <w:spacing w:before="11"/>
              <w:rPr>
                <w:sz w:val="14"/>
              </w:rPr>
            </w:pPr>
          </w:p>
          <w:p>
            <w:pPr>
              <w:pStyle w:val="TableParagraph"/>
              <w:ind w:right="-15"/>
              <w:jc w:val="right"/>
              <w:rPr>
                <w:sz w:val="21"/>
              </w:rPr>
            </w:pPr>
            <w:r>
              <w:rPr>
                <w:sz w:val="21"/>
              </w:rPr>
              <w:t>348,578,198.60</w:t>
            </w:r>
          </w:p>
        </w:tc>
        <w:tc>
          <w:tcPr>
            <w:tcW w:w="1512" w:type="dxa"/>
          </w:tcPr>
          <w:p>
            <w:pPr>
              <w:pStyle w:val="TableParagraph"/>
              <w:spacing w:before="11"/>
              <w:rPr>
                <w:sz w:val="14"/>
              </w:rPr>
            </w:pPr>
          </w:p>
          <w:p>
            <w:pPr>
              <w:pStyle w:val="TableParagraph"/>
              <w:ind w:right="3"/>
              <w:jc w:val="right"/>
              <w:rPr>
                <w:sz w:val="21"/>
              </w:rPr>
            </w:pPr>
            <w:r>
              <w:rPr>
                <w:sz w:val="21"/>
              </w:rPr>
              <w:t>1.77</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L</w:t>
            </w:r>
          </w:p>
        </w:tc>
        <w:tc>
          <w:tcPr>
            <w:tcW w:w="3380" w:type="dxa"/>
          </w:tcPr>
          <w:p>
            <w:pPr>
              <w:pStyle w:val="TableParagraph"/>
              <w:spacing w:before="11"/>
              <w:rPr>
                <w:sz w:val="14"/>
              </w:rPr>
            </w:pPr>
          </w:p>
          <w:p>
            <w:pPr>
              <w:pStyle w:val="TableParagraph"/>
              <w:ind w:left="32"/>
              <w:rPr>
                <w:sz w:val="21"/>
              </w:rPr>
            </w:pPr>
            <w:r>
              <w:rPr>
                <w:sz w:val="21"/>
              </w:rPr>
              <w:t>租赁和商务服务业</w:t>
            </w:r>
          </w:p>
        </w:tc>
        <w:tc>
          <w:tcPr>
            <w:tcW w:w="2611" w:type="dxa"/>
          </w:tcPr>
          <w:p>
            <w:pPr>
              <w:pStyle w:val="TableParagraph"/>
              <w:spacing w:before="11"/>
              <w:rPr>
                <w:sz w:val="14"/>
              </w:rPr>
            </w:pPr>
          </w:p>
          <w:p>
            <w:pPr>
              <w:pStyle w:val="TableParagraph"/>
              <w:ind w:right="-15"/>
              <w:jc w:val="right"/>
              <w:rPr>
                <w:sz w:val="21"/>
              </w:rPr>
            </w:pPr>
            <w:r>
              <w:rPr>
                <w:sz w:val="21"/>
              </w:rPr>
              <w:t>291,007,218.90</w:t>
            </w:r>
          </w:p>
        </w:tc>
        <w:tc>
          <w:tcPr>
            <w:tcW w:w="1512" w:type="dxa"/>
          </w:tcPr>
          <w:p>
            <w:pPr>
              <w:pStyle w:val="TableParagraph"/>
              <w:spacing w:before="11"/>
              <w:rPr>
                <w:sz w:val="14"/>
              </w:rPr>
            </w:pPr>
          </w:p>
          <w:p>
            <w:pPr>
              <w:pStyle w:val="TableParagraph"/>
              <w:ind w:right="3"/>
              <w:jc w:val="right"/>
              <w:rPr>
                <w:sz w:val="21"/>
              </w:rPr>
            </w:pPr>
            <w:r>
              <w:rPr>
                <w:sz w:val="21"/>
              </w:rPr>
              <w:t>1.47</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M</w:t>
            </w:r>
          </w:p>
        </w:tc>
        <w:tc>
          <w:tcPr>
            <w:tcW w:w="3380" w:type="dxa"/>
          </w:tcPr>
          <w:p>
            <w:pPr>
              <w:pStyle w:val="TableParagraph"/>
              <w:spacing w:before="11"/>
              <w:rPr>
                <w:sz w:val="14"/>
              </w:rPr>
            </w:pPr>
          </w:p>
          <w:p>
            <w:pPr>
              <w:pStyle w:val="TableParagraph"/>
              <w:ind w:left="32"/>
              <w:rPr>
                <w:sz w:val="21"/>
              </w:rPr>
            </w:pPr>
            <w:r>
              <w:rPr>
                <w:sz w:val="21"/>
              </w:rPr>
              <w:t>科学研究和技术服务业</w:t>
            </w:r>
          </w:p>
        </w:tc>
        <w:tc>
          <w:tcPr>
            <w:tcW w:w="2611" w:type="dxa"/>
          </w:tcPr>
          <w:p>
            <w:pPr>
              <w:pStyle w:val="TableParagraph"/>
              <w:spacing w:before="11"/>
              <w:rPr>
                <w:sz w:val="14"/>
              </w:rPr>
            </w:pPr>
          </w:p>
          <w:p>
            <w:pPr>
              <w:pStyle w:val="TableParagraph"/>
              <w:ind w:right="-15"/>
              <w:jc w:val="right"/>
              <w:rPr>
                <w:sz w:val="21"/>
              </w:rPr>
            </w:pPr>
            <w:r>
              <w:rPr>
                <w:sz w:val="21"/>
              </w:rPr>
              <w:t>38,690,400.00</w:t>
            </w:r>
          </w:p>
        </w:tc>
        <w:tc>
          <w:tcPr>
            <w:tcW w:w="1512" w:type="dxa"/>
          </w:tcPr>
          <w:p>
            <w:pPr>
              <w:pStyle w:val="TableParagraph"/>
              <w:spacing w:before="11"/>
              <w:rPr>
                <w:sz w:val="14"/>
              </w:rPr>
            </w:pPr>
          </w:p>
          <w:p>
            <w:pPr>
              <w:pStyle w:val="TableParagraph"/>
              <w:ind w:right="3"/>
              <w:jc w:val="right"/>
              <w:rPr>
                <w:sz w:val="21"/>
              </w:rPr>
            </w:pPr>
            <w:r>
              <w:rPr>
                <w:sz w:val="21"/>
              </w:rPr>
              <w:t>0.20</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N</w:t>
            </w:r>
          </w:p>
        </w:tc>
        <w:tc>
          <w:tcPr>
            <w:tcW w:w="3380" w:type="dxa"/>
          </w:tcPr>
          <w:p>
            <w:pPr>
              <w:pStyle w:val="TableParagraph"/>
              <w:spacing w:before="11"/>
              <w:rPr>
                <w:sz w:val="14"/>
              </w:rPr>
            </w:pPr>
          </w:p>
          <w:p>
            <w:pPr>
              <w:pStyle w:val="TableParagraph"/>
              <w:ind w:left="32"/>
              <w:rPr>
                <w:sz w:val="21"/>
              </w:rPr>
            </w:pPr>
            <w:r>
              <w:rPr>
                <w:sz w:val="21"/>
              </w:rPr>
              <w:t>水利、环境和公共设施管理业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O</w:t>
            </w:r>
          </w:p>
        </w:tc>
        <w:tc>
          <w:tcPr>
            <w:tcW w:w="3380" w:type="dxa"/>
          </w:tcPr>
          <w:p>
            <w:pPr>
              <w:pStyle w:val="TableParagraph"/>
              <w:spacing w:before="11"/>
              <w:rPr>
                <w:sz w:val="14"/>
              </w:rPr>
            </w:pPr>
          </w:p>
          <w:p>
            <w:pPr>
              <w:pStyle w:val="TableParagraph"/>
              <w:ind w:left="32"/>
              <w:rPr>
                <w:sz w:val="21"/>
              </w:rPr>
            </w:pPr>
            <w:r>
              <w:rPr>
                <w:sz w:val="21"/>
              </w:rPr>
              <w:t>居民服务、修理和其他服务业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P</w:t>
            </w:r>
          </w:p>
        </w:tc>
        <w:tc>
          <w:tcPr>
            <w:tcW w:w="3380" w:type="dxa"/>
          </w:tcPr>
          <w:p>
            <w:pPr>
              <w:pStyle w:val="TableParagraph"/>
              <w:spacing w:before="11"/>
              <w:rPr>
                <w:sz w:val="14"/>
              </w:rPr>
            </w:pPr>
          </w:p>
          <w:p>
            <w:pPr>
              <w:pStyle w:val="TableParagraph"/>
              <w:ind w:left="32"/>
              <w:rPr>
                <w:sz w:val="21"/>
              </w:rPr>
            </w:pPr>
            <w:r>
              <w:rPr>
                <w:sz w:val="21"/>
              </w:rPr>
              <w:t>教育</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Q</w:t>
            </w:r>
          </w:p>
        </w:tc>
        <w:tc>
          <w:tcPr>
            <w:tcW w:w="3380" w:type="dxa"/>
          </w:tcPr>
          <w:p>
            <w:pPr>
              <w:pStyle w:val="TableParagraph"/>
              <w:spacing w:before="11"/>
              <w:rPr>
                <w:sz w:val="14"/>
              </w:rPr>
            </w:pPr>
          </w:p>
          <w:p>
            <w:pPr>
              <w:pStyle w:val="TableParagraph"/>
              <w:ind w:left="32"/>
              <w:rPr>
                <w:sz w:val="21"/>
              </w:rPr>
            </w:pPr>
            <w:r>
              <w:rPr>
                <w:sz w:val="21"/>
              </w:rPr>
              <w:t>卫生和社会工作</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R</w:t>
            </w:r>
          </w:p>
        </w:tc>
        <w:tc>
          <w:tcPr>
            <w:tcW w:w="3380" w:type="dxa"/>
          </w:tcPr>
          <w:p>
            <w:pPr>
              <w:pStyle w:val="TableParagraph"/>
              <w:spacing w:before="11"/>
              <w:rPr>
                <w:sz w:val="14"/>
              </w:rPr>
            </w:pPr>
          </w:p>
          <w:p>
            <w:pPr>
              <w:pStyle w:val="TableParagraph"/>
              <w:ind w:left="32"/>
              <w:rPr>
                <w:sz w:val="21"/>
              </w:rPr>
            </w:pPr>
            <w:r>
              <w:rPr>
                <w:sz w:val="21"/>
              </w:rPr>
              <w:t>文化、体育和娱乐业</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spacing w:before="11"/>
              <w:rPr>
                <w:sz w:val="14"/>
              </w:rPr>
            </w:pPr>
          </w:p>
          <w:p>
            <w:pPr>
              <w:pStyle w:val="TableParagraph"/>
              <w:ind w:left="32"/>
              <w:rPr>
                <w:sz w:val="21"/>
              </w:rPr>
            </w:pPr>
            <w:r>
              <w:rPr>
                <w:sz w:val="21"/>
              </w:rPr>
              <w:t>S</w:t>
            </w:r>
          </w:p>
        </w:tc>
        <w:tc>
          <w:tcPr>
            <w:tcW w:w="3380" w:type="dxa"/>
          </w:tcPr>
          <w:p>
            <w:pPr>
              <w:pStyle w:val="TableParagraph"/>
              <w:spacing w:before="11"/>
              <w:rPr>
                <w:sz w:val="14"/>
              </w:rPr>
            </w:pPr>
          </w:p>
          <w:p>
            <w:pPr>
              <w:pStyle w:val="TableParagraph"/>
              <w:ind w:left="32"/>
              <w:rPr>
                <w:sz w:val="21"/>
              </w:rPr>
            </w:pPr>
            <w:r>
              <w:rPr>
                <w:sz w:val="21"/>
              </w:rPr>
              <w:t>综合</w:t>
            </w:r>
          </w:p>
        </w:tc>
        <w:tc>
          <w:tcPr>
            <w:tcW w:w="2611" w:type="dxa"/>
          </w:tcPr>
          <w:p>
            <w:pPr>
              <w:pStyle w:val="TableParagraph"/>
              <w:spacing w:before="11"/>
              <w:rPr>
                <w:sz w:val="14"/>
              </w:rPr>
            </w:pPr>
          </w:p>
          <w:p>
            <w:pPr>
              <w:pStyle w:val="TableParagraph"/>
              <w:ind w:right="-15"/>
              <w:jc w:val="right"/>
              <w:rPr>
                <w:sz w:val="21"/>
              </w:rPr>
            </w:pPr>
            <w:r>
              <w:rPr>
                <w:sz w:val="21"/>
              </w:rPr>
              <w:t>-</w:t>
            </w:r>
          </w:p>
        </w:tc>
        <w:tc>
          <w:tcPr>
            <w:tcW w:w="1512" w:type="dxa"/>
          </w:tcPr>
          <w:p>
            <w:pPr>
              <w:pStyle w:val="TableParagraph"/>
              <w:spacing w:before="11"/>
              <w:rPr>
                <w:sz w:val="14"/>
              </w:rPr>
            </w:pPr>
          </w:p>
          <w:p>
            <w:pPr>
              <w:pStyle w:val="TableParagraph"/>
              <w:ind w:right="3"/>
              <w:jc w:val="right"/>
              <w:rPr>
                <w:sz w:val="21"/>
              </w:rPr>
            </w:pPr>
            <w:r>
              <w:rPr>
                <w:sz w:val="21"/>
              </w:rPr>
              <w:t>-</w:t>
            </w:r>
          </w:p>
        </w:tc>
      </w:tr>
      <w:tr>
        <w:trPr>
          <w:trHeight w:val="602" w:hRule="atLeast"/>
        </w:trPr>
        <w:tc>
          <w:tcPr>
            <w:tcW w:w="497" w:type="dxa"/>
          </w:tcPr>
          <w:p>
            <w:pPr>
              <w:pStyle w:val="TableParagraph"/>
              <w:rPr>
                <w:rFonts w:ascii="Times New Roman"/>
                <w:sz w:val="20"/>
              </w:rPr>
            </w:pPr>
          </w:p>
        </w:tc>
        <w:tc>
          <w:tcPr>
            <w:tcW w:w="3380" w:type="dxa"/>
          </w:tcPr>
          <w:p>
            <w:pPr>
              <w:pStyle w:val="TableParagraph"/>
              <w:spacing w:before="11"/>
              <w:rPr>
                <w:sz w:val="14"/>
              </w:rPr>
            </w:pPr>
          </w:p>
          <w:p>
            <w:pPr>
              <w:pStyle w:val="TableParagraph"/>
              <w:ind w:left="32"/>
              <w:rPr>
                <w:sz w:val="21"/>
              </w:rPr>
            </w:pPr>
            <w:r>
              <w:rPr>
                <w:sz w:val="21"/>
              </w:rPr>
              <w:t>合计</w:t>
            </w:r>
          </w:p>
        </w:tc>
        <w:tc>
          <w:tcPr>
            <w:tcW w:w="2611" w:type="dxa"/>
          </w:tcPr>
          <w:p>
            <w:pPr>
              <w:pStyle w:val="TableParagraph"/>
              <w:spacing w:before="11"/>
              <w:rPr>
                <w:sz w:val="14"/>
              </w:rPr>
            </w:pPr>
          </w:p>
          <w:p>
            <w:pPr>
              <w:pStyle w:val="TableParagraph"/>
              <w:ind w:right="-15"/>
              <w:jc w:val="right"/>
              <w:rPr>
                <w:sz w:val="21"/>
              </w:rPr>
            </w:pPr>
            <w:r>
              <w:rPr>
                <w:sz w:val="21"/>
              </w:rPr>
              <w:t>15,158,503,543.50</w:t>
            </w:r>
          </w:p>
        </w:tc>
        <w:tc>
          <w:tcPr>
            <w:tcW w:w="1512" w:type="dxa"/>
          </w:tcPr>
          <w:p>
            <w:pPr>
              <w:pStyle w:val="TableParagraph"/>
              <w:spacing w:before="11"/>
              <w:rPr>
                <w:sz w:val="14"/>
              </w:rPr>
            </w:pPr>
          </w:p>
          <w:p>
            <w:pPr>
              <w:pStyle w:val="TableParagraph"/>
              <w:ind w:right="3"/>
              <w:jc w:val="right"/>
              <w:rPr>
                <w:sz w:val="21"/>
              </w:rPr>
            </w:pPr>
            <w:r>
              <w:rPr>
                <w:sz w:val="21"/>
              </w:rPr>
              <w:t>76.79</w:t>
            </w:r>
          </w:p>
        </w:tc>
      </w:tr>
    </w:tbl>
    <w:p>
      <w:pPr>
        <w:pStyle w:val="BodyText"/>
        <w:spacing w:before="3"/>
      </w:pPr>
      <w:r>
        <w:rPr/>
        <w:t>3、报告期末按公允价值占基金资产净值比例大小排序的股票投资明细</w:t>
      </w:r>
    </w:p>
    <w:p>
      <w:pPr>
        <w:pStyle w:val="ListParagraph"/>
        <w:numPr>
          <w:ilvl w:val="0"/>
          <w:numId w:val="25"/>
        </w:numPr>
        <w:tabs>
          <w:tab w:pos="1240" w:val="left" w:leader="none"/>
        </w:tabs>
        <w:spacing w:line="240" w:lineRule="auto" w:before="139" w:after="0"/>
        <w:ind w:left="1240" w:right="0" w:hanging="527"/>
        <w:jc w:val="left"/>
        <w:rPr>
          <w:sz w:val="21"/>
        </w:rPr>
      </w:pPr>
      <w:r>
        <w:rPr>
          <w:sz w:val="21"/>
        </w:rPr>
        <w:t>期末指数投资按公允价值占基金资产净值比例大小排序的前十名股票投资明细</w:t>
      </w:r>
    </w:p>
    <w:p>
      <w:pPr>
        <w:pStyle w:val="BodyText"/>
        <w:spacing w:before="8"/>
        <w:ind w:left="0"/>
        <w:rPr>
          <w:sz w:val="1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1151"/>
        <w:gridCol w:w="1401"/>
        <w:gridCol w:w="1651"/>
        <w:gridCol w:w="2024"/>
        <w:gridCol w:w="1027"/>
      </w:tblGrid>
      <w:tr>
        <w:trPr>
          <w:trHeight w:val="587" w:hRule="atLeast"/>
        </w:trPr>
        <w:tc>
          <w:tcPr>
            <w:tcW w:w="746" w:type="dxa"/>
          </w:tcPr>
          <w:p>
            <w:pPr>
              <w:pStyle w:val="TableParagraph"/>
              <w:spacing w:before="175"/>
              <w:ind w:left="125"/>
              <w:rPr>
                <w:sz w:val="21"/>
              </w:rPr>
            </w:pPr>
            <w:r>
              <w:rPr>
                <w:sz w:val="21"/>
              </w:rPr>
              <w:t>序号</w:t>
            </w:r>
          </w:p>
        </w:tc>
        <w:tc>
          <w:tcPr>
            <w:tcW w:w="1151" w:type="dxa"/>
          </w:tcPr>
          <w:p>
            <w:pPr>
              <w:pStyle w:val="TableParagraph"/>
              <w:spacing w:before="175"/>
              <w:ind w:left="124"/>
              <w:rPr>
                <w:sz w:val="21"/>
              </w:rPr>
            </w:pPr>
            <w:r>
              <w:rPr>
                <w:sz w:val="21"/>
              </w:rPr>
              <w:t>股票代码</w:t>
            </w:r>
          </w:p>
        </w:tc>
        <w:tc>
          <w:tcPr>
            <w:tcW w:w="1401" w:type="dxa"/>
          </w:tcPr>
          <w:p>
            <w:pPr>
              <w:pStyle w:val="TableParagraph"/>
              <w:spacing w:before="175"/>
              <w:ind w:left="124"/>
              <w:rPr>
                <w:sz w:val="21"/>
              </w:rPr>
            </w:pPr>
            <w:r>
              <w:rPr>
                <w:sz w:val="21"/>
              </w:rPr>
              <w:t>股票名称</w:t>
            </w:r>
          </w:p>
        </w:tc>
        <w:tc>
          <w:tcPr>
            <w:tcW w:w="1651" w:type="dxa"/>
          </w:tcPr>
          <w:p>
            <w:pPr>
              <w:pStyle w:val="TableParagraph"/>
              <w:spacing w:before="175"/>
              <w:ind w:left="124"/>
              <w:rPr>
                <w:sz w:val="21"/>
              </w:rPr>
            </w:pPr>
            <w:r>
              <w:rPr>
                <w:sz w:val="21"/>
              </w:rPr>
              <w:t>数量（股）</w:t>
            </w:r>
          </w:p>
        </w:tc>
        <w:tc>
          <w:tcPr>
            <w:tcW w:w="2024" w:type="dxa"/>
          </w:tcPr>
          <w:p>
            <w:pPr>
              <w:pStyle w:val="TableParagraph"/>
              <w:spacing w:before="175"/>
              <w:ind w:left="124"/>
              <w:rPr>
                <w:sz w:val="21"/>
              </w:rPr>
            </w:pPr>
            <w:r>
              <w:rPr>
                <w:sz w:val="21"/>
              </w:rPr>
              <w:t>公允价值（元）</w:t>
            </w:r>
          </w:p>
        </w:tc>
        <w:tc>
          <w:tcPr>
            <w:tcW w:w="1027" w:type="dxa"/>
          </w:tcPr>
          <w:p>
            <w:pPr>
              <w:pStyle w:val="TableParagraph"/>
              <w:spacing w:before="175"/>
              <w:ind w:left="124"/>
              <w:rPr>
                <w:sz w:val="21"/>
              </w:rPr>
            </w:pPr>
            <w:r>
              <w:rPr>
                <w:sz w:val="21"/>
              </w:rPr>
              <w:t>占 基 金</w:t>
            </w:r>
          </w:p>
        </w:tc>
      </w:tr>
    </w:tbl>
    <w:p>
      <w:pPr>
        <w:spacing w:after="0"/>
        <w:rPr>
          <w:sz w:val="21"/>
        </w:rPr>
        <w:sectPr>
          <w:pgSz w:w="11910" w:h="16840"/>
          <w:pgMar w:header="0" w:footer="1172" w:top="1580" w:bottom="1440" w:left="1520" w:right="360"/>
        </w:sectPr>
      </w:pPr>
    </w:p>
    <w:p>
      <w:pPr>
        <w:pStyle w:val="BodyText"/>
        <w:ind w:left="0"/>
        <w:rPr>
          <w:sz w:val="8"/>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1151"/>
        <w:gridCol w:w="1401"/>
        <w:gridCol w:w="1651"/>
        <w:gridCol w:w="2024"/>
        <w:gridCol w:w="1027"/>
      </w:tblGrid>
      <w:tr>
        <w:trPr>
          <w:trHeight w:val="1676" w:hRule="atLeast"/>
        </w:trPr>
        <w:tc>
          <w:tcPr>
            <w:tcW w:w="746" w:type="dxa"/>
          </w:tcPr>
          <w:p>
            <w:pPr>
              <w:pStyle w:val="TableParagraph"/>
              <w:rPr>
                <w:rFonts w:ascii="Times New Roman"/>
                <w:sz w:val="20"/>
              </w:rPr>
            </w:pPr>
          </w:p>
        </w:tc>
        <w:tc>
          <w:tcPr>
            <w:tcW w:w="1151" w:type="dxa"/>
          </w:tcPr>
          <w:p>
            <w:pPr>
              <w:pStyle w:val="TableParagraph"/>
              <w:rPr>
                <w:rFonts w:ascii="Times New Roman"/>
                <w:sz w:val="20"/>
              </w:rPr>
            </w:pPr>
          </w:p>
        </w:tc>
        <w:tc>
          <w:tcPr>
            <w:tcW w:w="1401" w:type="dxa"/>
          </w:tcPr>
          <w:p>
            <w:pPr>
              <w:pStyle w:val="TableParagraph"/>
              <w:rPr>
                <w:rFonts w:ascii="Times New Roman"/>
                <w:sz w:val="20"/>
              </w:rPr>
            </w:pPr>
          </w:p>
        </w:tc>
        <w:tc>
          <w:tcPr>
            <w:tcW w:w="1651" w:type="dxa"/>
          </w:tcPr>
          <w:p>
            <w:pPr>
              <w:pStyle w:val="TableParagraph"/>
              <w:rPr>
                <w:rFonts w:ascii="Times New Roman"/>
                <w:sz w:val="20"/>
              </w:rPr>
            </w:pPr>
          </w:p>
        </w:tc>
        <w:tc>
          <w:tcPr>
            <w:tcW w:w="2024" w:type="dxa"/>
          </w:tcPr>
          <w:p>
            <w:pPr>
              <w:pStyle w:val="TableParagraph"/>
              <w:rPr>
                <w:rFonts w:ascii="Times New Roman"/>
                <w:sz w:val="20"/>
              </w:rPr>
            </w:pPr>
          </w:p>
        </w:tc>
        <w:tc>
          <w:tcPr>
            <w:tcW w:w="1027" w:type="dxa"/>
          </w:tcPr>
          <w:p>
            <w:pPr>
              <w:pStyle w:val="TableParagraph"/>
              <w:spacing w:line="499" w:lineRule="auto" w:before="146"/>
              <w:ind w:left="124" w:right="35"/>
              <w:rPr>
                <w:sz w:val="21"/>
              </w:rPr>
            </w:pPr>
            <w:r>
              <w:rPr>
                <w:sz w:val="21"/>
              </w:rPr>
              <w:t>资 产 净值 比 例</w:t>
            </w:r>
          </w:p>
          <w:p>
            <w:pPr>
              <w:pStyle w:val="TableParagraph"/>
              <w:spacing w:line="267" w:lineRule="exact"/>
              <w:ind w:left="124"/>
              <w:rPr>
                <w:sz w:val="21"/>
              </w:rPr>
            </w:pPr>
            <w:r>
              <w:rPr>
                <w:sz w:val="21"/>
              </w:rPr>
              <w:t>(％)</w:t>
            </w:r>
          </w:p>
        </w:tc>
      </w:tr>
      <w:tr>
        <w:trPr>
          <w:trHeight w:val="587" w:hRule="atLeast"/>
        </w:trPr>
        <w:tc>
          <w:tcPr>
            <w:tcW w:w="746" w:type="dxa"/>
          </w:tcPr>
          <w:p>
            <w:pPr>
              <w:pStyle w:val="TableParagraph"/>
              <w:spacing w:before="175"/>
              <w:ind w:left="125"/>
              <w:rPr>
                <w:sz w:val="21"/>
              </w:rPr>
            </w:pPr>
            <w:r>
              <w:rPr>
                <w:sz w:val="21"/>
              </w:rPr>
              <w:t>1</w:t>
            </w:r>
          </w:p>
        </w:tc>
        <w:tc>
          <w:tcPr>
            <w:tcW w:w="1151" w:type="dxa"/>
          </w:tcPr>
          <w:p>
            <w:pPr>
              <w:pStyle w:val="TableParagraph"/>
              <w:spacing w:before="175"/>
              <w:ind w:left="124"/>
              <w:rPr>
                <w:sz w:val="21"/>
              </w:rPr>
            </w:pPr>
            <w:r>
              <w:rPr>
                <w:sz w:val="21"/>
              </w:rPr>
              <w:t>601318</w:t>
            </w:r>
          </w:p>
        </w:tc>
        <w:tc>
          <w:tcPr>
            <w:tcW w:w="1401" w:type="dxa"/>
          </w:tcPr>
          <w:p>
            <w:pPr>
              <w:pStyle w:val="TableParagraph"/>
              <w:spacing w:before="175"/>
              <w:ind w:left="124"/>
              <w:rPr>
                <w:sz w:val="21"/>
              </w:rPr>
            </w:pPr>
            <w:r>
              <w:rPr>
                <w:sz w:val="21"/>
              </w:rPr>
              <w:t>中国平安</w:t>
            </w:r>
          </w:p>
        </w:tc>
        <w:tc>
          <w:tcPr>
            <w:tcW w:w="1651" w:type="dxa"/>
          </w:tcPr>
          <w:p>
            <w:pPr>
              <w:pStyle w:val="TableParagraph"/>
              <w:spacing w:before="175"/>
              <w:ind w:right="96"/>
              <w:jc w:val="right"/>
              <w:rPr>
                <w:sz w:val="21"/>
              </w:rPr>
            </w:pPr>
            <w:r>
              <w:rPr>
                <w:sz w:val="21"/>
              </w:rPr>
              <w:t>34,378,656</w:t>
            </w:r>
          </w:p>
        </w:tc>
        <w:tc>
          <w:tcPr>
            <w:tcW w:w="2024" w:type="dxa"/>
          </w:tcPr>
          <w:p>
            <w:pPr>
              <w:pStyle w:val="TableParagraph"/>
              <w:spacing w:before="175"/>
              <w:ind w:right="97"/>
              <w:jc w:val="right"/>
              <w:rPr>
                <w:sz w:val="21"/>
              </w:rPr>
            </w:pPr>
            <w:r>
              <w:rPr>
                <w:sz w:val="21"/>
              </w:rPr>
              <w:t>2,937,999,941.76</w:t>
            </w:r>
          </w:p>
        </w:tc>
        <w:tc>
          <w:tcPr>
            <w:tcW w:w="1027" w:type="dxa"/>
          </w:tcPr>
          <w:p>
            <w:pPr>
              <w:pStyle w:val="TableParagraph"/>
              <w:spacing w:before="175"/>
              <w:ind w:right="96"/>
              <w:jc w:val="right"/>
              <w:rPr>
                <w:sz w:val="21"/>
              </w:rPr>
            </w:pPr>
            <w:r>
              <w:rPr>
                <w:sz w:val="21"/>
              </w:rPr>
              <w:t>14.88</w:t>
            </w:r>
          </w:p>
        </w:tc>
      </w:tr>
      <w:tr>
        <w:trPr>
          <w:trHeight w:val="587" w:hRule="atLeast"/>
        </w:trPr>
        <w:tc>
          <w:tcPr>
            <w:tcW w:w="746" w:type="dxa"/>
          </w:tcPr>
          <w:p>
            <w:pPr>
              <w:pStyle w:val="TableParagraph"/>
              <w:spacing w:before="175"/>
              <w:ind w:left="125"/>
              <w:rPr>
                <w:sz w:val="21"/>
              </w:rPr>
            </w:pPr>
            <w:r>
              <w:rPr>
                <w:sz w:val="21"/>
              </w:rPr>
              <w:t>2</w:t>
            </w:r>
          </w:p>
        </w:tc>
        <w:tc>
          <w:tcPr>
            <w:tcW w:w="1151" w:type="dxa"/>
          </w:tcPr>
          <w:p>
            <w:pPr>
              <w:pStyle w:val="TableParagraph"/>
              <w:spacing w:before="175"/>
              <w:ind w:left="124"/>
              <w:rPr>
                <w:sz w:val="21"/>
              </w:rPr>
            </w:pPr>
            <w:r>
              <w:rPr>
                <w:sz w:val="21"/>
              </w:rPr>
              <w:t>600519</w:t>
            </w:r>
          </w:p>
        </w:tc>
        <w:tc>
          <w:tcPr>
            <w:tcW w:w="1401" w:type="dxa"/>
          </w:tcPr>
          <w:p>
            <w:pPr>
              <w:pStyle w:val="TableParagraph"/>
              <w:spacing w:before="175"/>
              <w:ind w:left="124"/>
              <w:rPr>
                <w:sz w:val="21"/>
              </w:rPr>
            </w:pPr>
            <w:r>
              <w:rPr>
                <w:sz w:val="21"/>
              </w:rPr>
              <w:t>贵州茅台</w:t>
            </w:r>
          </w:p>
        </w:tc>
        <w:tc>
          <w:tcPr>
            <w:tcW w:w="1651" w:type="dxa"/>
          </w:tcPr>
          <w:p>
            <w:pPr>
              <w:pStyle w:val="TableParagraph"/>
              <w:spacing w:before="175"/>
              <w:ind w:right="96"/>
              <w:jc w:val="right"/>
              <w:rPr>
                <w:sz w:val="21"/>
              </w:rPr>
            </w:pPr>
            <w:r>
              <w:rPr>
                <w:sz w:val="21"/>
              </w:rPr>
              <w:t>1,607,461</w:t>
            </w:r>
          </w:p>
        </w:tc>
        <w:tc>
          <w:tcPr>
            <w:tcW w:w="2024" w:type="dxa"/>
          </w:tcPr>
          <w:p>
            <w:pPr>
              <w:pStyle w:val="TableParagraph"/>
              <w:spacing w:before="175"/>
              <w:ind w:right="97"/>
              <w:jc w:val="right"/>
              <w:rPr>
                <w:sz w:val="21"/>
              </w:rPr>
            </w:pPr>
            <w:r>
              <w:rPr>
                <w:sz w:val="21"/>
              </w:rPr>
              <w:t>1,901,626,363.00</w:t>
            </w:r>
          </w:p>
        </w:tc>
        <w:tc>
          <w:tcPr>
            <w:tcW w:w="1027" w:type="dxa"/>
          </w:tcPr>
          <w:p>
            <w:pPr>
              <w:pStyle w:val="TableParagraph"/>
              <w:spacing w:before="175"/>
              <w:ind w:right="96"/>
              <w:jc w:val="right"/>
              <w:rPr>
                <w:sz w:val="21"/>
              </w:rPr>
            </w:pPr>
            <w:r>
              <w:rPr>
                <w:sz w:val="21"/>
              </w:rPr>
              <w:t>9.63</w:t>
            </w:r>
          </w:p>
        </w:tc>
      </w:tr>
      <w:tr>
        <w:trPr>
          <w:trHeight w:val="587" w:hRule="atLeast"/>
        </w:trPr>
        <w:tc>
          <w:tcPr>
            <w:tcW w:w="746" w:type="dxa"/>
          </w:tcPr>
          <w:p>
            <w:pPr>
              <w:pStyle w:val="TableParagraph"/>
              <w:spacing w:before="175"/>
              <w:ind w:left="125"/>
              <w:rPr>
                <w:sz w:val="21"/>
              </w:rPr>
            </w:pPr>
            <w:r>
              <w:rPr>
                <w:sz w:val="21"/>
              </w:rPr>
              <w:t>3</w:t>
            </w:r>
          </w:p>
        </w:tc>
        <w:tc>
          <w:tcPr>
            <w:tcW w:w="1151" w:type="dxa"/>
          </w:tcPr>
          <w:p>
            <w:pPr>
              <w:pStyle w:val="TableParagraph"/>
              <w:spacing w:before="175"/>
              <w:ind w:left="124"/>
              <w:rPr>
                <w:sz w:val="21"/>
              </w:rPr>
            </w:pPr>
            <w:r>
              <w:rPr>
                <w:sz w:val="21"/>
              </w:rPr>
              <w:t>600887</w:t>
            </w:r>
          </w:p>
        </w:tc>
        <w:tc>
          <w:tcPr>
            <w:tcW w:w="1401" w:type="dxa"/>
          </w:tcPr>
          <w:p>
            <w:pPr>
              <w:pStyle w:val="TableParagraph"/>
              <w:spacing w:before="175"/>
              <w:ind w:left="124"/>
              <w:rPr>
                <w:sz w:val="21"/>
              </w:rPr>
            </w:pPr>
            <w:r>
              <w:rPr>
                <w:sz w:val="21"/>
              </w:rPr>
              <w:t>伊利股份</w:t>
            </w:r>
          </w:p>
        </w:tc>
        <w:tc>
          <w:tcPr>
            <w:tcW w:w="1651" w:type="dxa"/>
          </w:tcPr>
          <w:p>
            <w:pPr>
              <w:pStyle w:val="TableParagraph"/>
              <w:spacing w:before="175"/>
              <w:ind w:right="96"/>
              <w:jc w:val="right"/>
              <w:rPr>
                <w:sz w:val="21"/>
              </w:rPr>
            </w:pPr>
            <w:r>
              <w:rPr>
                <w:sz w:val="21"/>
              </w:rPr>
              <w:t>60,609,462</w:t>
            </w:r>
          </w:p>
        </w:tc>
        <w:tc>
          <w:tcPr>
            <w:tcW w:w="2024" w:type="dxa"/>
          </w:tcPr>
          <w:p>
            <w:pPr>
              <w:pStyle w:val="TableParagraph"/>
              <w:spacing w:before="175"/>
              <w:ind w:right="97"/>
              <w:jc w:val="right"/>
              <w:rPr>
                <w:sz w:val="21"/>
              </w:rPr>
            </w:pPr>
            <w:r>
              <w:rPr>
                <w:sz w:val="21"/>
              </w:rPr>
              <w:t>1,875,256,754.28</w:t>
            </w:r>
          </w:p>
        </w:tc>
        <w:tc>
          <w:tcPr>
            <w:tcW w:w="1027" w:type="dxa"/>
          </w:tcPr>
          <w:p>
            <w:pPr>
              <w:pStyle w:val="TableParagraph"/>
              <w:spacing w:before="175"/>
              <w:ind w:right="96"/>
              <w:jc w:val="right"/>
              <w:rPr>
                <w:sz w:val="21"/>
              </w:rPr>
            </w:pPr>
            <w:r>
              <w:rPr>
                <w:sz w:val="21"/>
              </w:rPr>
              <w:t>9.50</w:t>
            </w:r>
          </w:p>
        </w:tc>
      </w:tr>
      <w:tr>
        <w:trPr>
          <w:trHeight w:val="587" w:hRule="atLeast"/>
        </w:trPr>
        <w:tc>
          <w:tcPr>
            <w:tcW w:w="746" w:type="dxa"/>
          </w:tcPr>
          <w:p>
            <w:pPr>
              <w:pStyle w:val="TableParagraph"/>
              <w:spacing w:before="175"/>
              <w:ind w:left="125"/>
              <w:rPr>
                <w:sz w:val="21"/>
              </w:rPr>
            </w:pPr>
            <w:r>
              <w:rPr>
                <w:sz w:val="21"/>
              </w:rPr>
              <w:t>4</w:t>
            </w:r>
          </w:p>
        </w:tc>
        <w:tc>
          <w:tcPr>
            <w:tcW w:w="1151" w:type="dxa"/>
          </w:tcPr>
          <w:p>
            <w:pPr>
              <w:pStyle w:val="TableParagraph"/>
              <w:spacing w:before="175"/>
              <w:ind w:left="124"/>
              <w:rPr>
                <w:sz w:val="21"/>
              </w:rPr>
            </w:pPr>
            <w:r>
              <w:rPr>
                <w:sz w:val="21"/>
              </w:rPr>
              <w:t>600036</w:t>
            </w:r>
          </w:p>
        </w:tc>
        <w:tc>
          <w:tcPr>
            <w:tcW w:w="1401" w:type="dxa"/>
          </w:tcPr>
          <w:p>
            <w:pPr>
              <w:pStyle w:val="TableParagraph"/>
              <w:spacing w:before="175"/>
              <w:ind w:left="124"/>
              <w:rPr>
                <w:sz w:val="21"/>
              </w:rPr>
            </w:pPr>
            <w:r>
              <w:rPr>
                <w:sz w:val="21"/>
              </w:rPr>
              <w:t>招商银行</w:t>
            </w:r>
          </w:p>
        </w:tc>
        <w:tc>
          <w:tcPr>
            <w:tcW w:w="1651" w:type="dxa"/>
          </w:tcPr>
          <w:p>
            <w:pPr>
              <w:pStyle w:val="TableParagraph"/>
              <w:spacing w:before="175"/>
              <w:ind w:right="96"/>
              <w:jc w:val="right"/>
              <w:rPr>
                <w:sz w:val="21"/>
              </w:rPr>
            </w:pPr>
            <w:r>
              <w:rPr>
                <w:sz w:val="21"/>
              </w:rPr>
              <w:t>44,102,306</w:t>
            </w:r>
          </w:p>
        </w:tc>
        <w:tc>
          <w:tcPr>
            <w:tcW w:w="2024" w:type="dxa"/>
          </w:tcPr>
          <w:p>
            <w:pPr>
              <w:pStyle w:val="TableParagraph"/>
              <w:spacing w:before="175"/>
              <w:ind w:right="97"/>
              <w:jc w:val="right"/>
              <w:rPr>
                <w:sz w:val="21"/>
              </w:rPr>
            </w:pPr>
            <w:r>
              <w:rPr>
                <w:sz w:val="21"/>
              </w:rPr>
              <w:t>1,657,364,659.48</w:t>
            </w:r>
          </w:p>
        </w:tc>
        <w:tc>
          <w:tcPr>
            <w:tcW w:w="1027" w:type="dxa"/>
          </w:tcPr>
          <w:p>
            <w:pPr>
              <w:pStyle w:val="TableParagraph"/>
              <w:spacing w:before="175"/>
              <w:ind w:right="96"/>
              <w:jc w:val="right"/>
              <w:rPr>
                <w:sz w:val="21"/>
              </w:rPr>
            </w:pPr>
            <w:r>
              <w:rPr>
                <w:sz w:val="21"/>
              </w:rPr>
              <w:t>8.40</w:t>
            </w:r>
          </w:p>
        </w:tc>
      </w:tr>
      <w:tr>
        <w:trPr>
          <w:trHeight w:val="587" w:hRule="atLeast"/>
        </w:trPr>
        <w:tc>
          <w:tcPr>
            <w:tcW w:w="746" w:type="dxa"/>
          </w:tcPr>
          <w:p>
            <w:pPr>
              <w:pStyle w:val="TableParagraph"/>
              <w:spacing w:before="175"/>
              <w:ind w:left="125"/>
              <w:rPr>
                <w:sz w:val="21"/>
              </w:rPr>
            </w:pPr>
            <w:r>
              <w:rPr>
                <w:sz w:val="21"/>
              </w:rPr>
              <w:t>5</w:t>
            </w:r>
          </w:p>
        </w:tc>
        <w:tc>
          <w:tcPr>
            <w:tcW w:w="1151" w:type="dxa"/>
          </w:tcPr>
          <w:p>
            <w:pPr>
              <w:pStyle w:val="TableParagraph"/>
              <w:spacing w:before="175"/>
              <w:ind w:left="124"/>
              <w:rPr>
                <w:sz w:val="21"/>
              </w:rPr>
            </w:pPr>
            <w:r>
              <w:rPr>
                <w:sz w:val="21"/>
              </w:rPr>
              <w:t>600276</w:t>
            </w:r>
          </w:p>
        </w:tc>
        <w:tc>
          <w:tcPr>
            <w:tcW w:w="1401" w:type="dxa"/>
          </w:tcPr>
          <w:p>
            <w:pPr>
              <w:pStyle w:val="TableParagraph"/>
              <w:spacing w:before="175"/>
              <w:ind w:left="124"/>
              <w:rPr>
                <w:sz w:val="21"/>
              </w:rPr>
            </w:pPr>
            <w:r>
              <w:rPr>
                <w:sz w:val="21"/>
              </w:rPr>
              <w:t>恒瑞医药</w:t>
            </w:r>
          </w:p>
        </w:tc>
        <w:tc>
          <w:tcPr>
            <w:tcW w:w="1651" w:type="dxa"/>
          </w:tcPr>
          <w:p>
            <w:pPr>
              <w:pStyle w:val="TableParagraph"/>
              <w:spacing w:before="175"/>
              <w:ind w:right="96"/>
              <w:jc w:val="right"/>
              <w:rPr>
                <w:sz w:val="21"/>
              </w:rPr>
            </w:pPr>
            <w:r>
              <w:rPr>
                <w:sz w:val="21"/>
              </w:rPr>
              <w:t>15,275,896</w:t>
            </w:r>
          </w:p>
        </w:tc>
        <w:tc>
          <w:tcPr>
            <w:tcW w:w="2024" w:type="dxa"/>
          </w:tcPr>
          <w:p>
            <w:pPr>
              <w:pStyle w:val="TableParagraph"/>
              <w:spacing w:before="175"/>
              <w:ind w:right="97"/>
              <w:jc w:val="right"/>
              <w:rPr>
                <w:sz w:val="21"/>
              </w:rPr>
            </w:pPr>
            <w:r>
              <w:rPr>
                <w:sz w:val="21"/>
              </w:rPr>
              <w:t>1,336,946,417.92</w:t>
            </w:r>
          </w:p>
        </w:tc>
        <w:tc>
          <w:tcPr>
            <w:tcW w:w="1027" w:type="dxa"/>
          </w:tcPr>
          <w:p>
            <w:pPr>
              <w:pStyle w:val="TableParagraph"/>
              <w:spacing w:before="175"/>
              <w:ind w:right="96"/>
              <w:jc w:val="right"/>
              <w:rPr>
                <w:sz w:val="21"/>
              </w:rPr>
            </w:pPr>
            <w:r>
              <w:rPr>
                <w:sz w:val="21"/>
              </w:rPr>
              <w:t>6.77</w:t>
            </w:r>
          </w:p>
        </w:tc>
      </w:tr>
      <w:tr>
        <w:trPr>
          <w:trHeight w:val="587" w:hRule="atLeast"/>
        </w:trPr>
        <w:tc>
          <w:tcPr>
            <w:tcW w:w="746" w:type="dxa"/>
          </w:tcPr>
          <w:p>
            <w:pPr>
              <w:pStyle w:val="TableParagraph"/>
              <w:spacing w:before="175"/>
              <w:ind w:left="125"/>
              <w:rPr>
                <w:sz w:val="21"/>
              </w:rPr>
            </w:pPr>
            <w:r>
              <w:rPr>
                <w:sz w:val="21"/>
              </w:rPr>
              <w:t>6</w:t>
            </w:r>
          </w:p>
        </w:tc>
        <w:tc>
          <w:tcPr>
            <w:tcW w:w="1151" w:type="dxa"/>
          </w:tcPr>
          <w:p>
            <w:pPr>
              <w:pStyle w:val="TableParagraph"/>
              <w:spacing w:before="175"/>
              <w:ind w:left="124"/>
              <w:rPr>
                <w:sz w:val="21"/>
              </w:rPr>
            </w:pPr>
            <w:r>
              <w:rPr>
                <w:sz w:val="21"/>
              </w:rPr>
              <w:t>601668</w:t>
            </w:r>
          </w:p>
        </w:tc>
        <w:tc>
          <w:tcPr>
            <w:tcW w:w="1401" w:type="dxa"/>
          </w:tcPr>
          <w:p>
            <w:pPr>
              <w:pStyle w:val="TableParagraph"/>
              <w:spacing w:before="175"/>
              <w:ind w:left="124"/>
              <w:rPr>
                <w:sz w:val="21"/>
              </w:rPr>
            </w:pPr>
            <w:r>
              <w:rPr>
                <w:sz w:val="21"/>
              </w:rPr>
              <w:t>中国建筑</w:t>
            </w:r>
          </w:p>
        </w:tc>
        <w:tc>
          <w:tcPr>
            <w:tcW w:w="1651" w:type="dxa"/>
          </w:tcPr>
          <w:p>
            <w:pPr>
              <w:pStyle w:val="TableParagraph"/>
              <w:spacing w:before="175"/>
              <w:ind w:right="96"/>
              <w:jc w:val="right"/>
              <w:rPr>
                <w:sz w:val="21"/>
              </w:rPr>
            </w:pPr>
            <w:r>
              <w:rPr>
                <w:sz w:val="21"/>
              </w:rPr>
              <w:t>169,642,126</w:t>
            </w:r>
          </w:p>
        </w:tc>
        <w:tc>
          <w:tcPr>
            <w:tcW w:w="2024" w:type="dxa"/>
          </w:tcPr>
          <w:p>
            <w:pPr>
              <w:pStyle w:val="TableParagraph"/>
              <w:spacing w:before="175"/>
              <w:ind w:right="96"/>
              <w:jc w:val="right"/>
              <w:rPr>
                <w:sz w:val="21"/>
              </w:rPr>
            </w:pPr>
            <w:r>
              <w:rPr>
                <w:sz w:val="21"/>
              </w:rPr>
              <w:t>953,388,748.12</w:t>
            </w:r>
          </w:p>
        </w:tc>
        <w:tc>
          <w:tcPr>
            <w:tcW w:w="1027" w:type="dxa"/>
          </w:tcPr>
          <w:p>
            <w:pPr>
              <w:pStyle w:val="TableParagraph"/>
              <w:spacing w:before="175"/>
              <w:ind w:right="96"/>
              <w:jc w:val="right"/>
              <w:rPr>
                <w:sz w:val="21"/>
              </w:rPr>
            </w:pPr>
            <w:r>
              <w:rPr>
                <w:sz w:val="21"/>
              </w:rPr>
              <w:t>4.83</w:t>
            </w:r>
          </w:p>
        </w:tc>
      </w:tr>
      <w:tr>
        <w:trPr>
          <w:trHeight w:val="587" w:hRule="atLeast"/>
        </w:trPr>
        <w:tc>
          <w:tcPr>
            <w:tcW w:w="746" w:type="dxa"/>
          </w:tcPr>
          <w:p>
            <w:pPr>
              <w:pStyle w:val="TableParagraph"/>
              <w:spacing w:before="175"/>
              <w:ind w:left="125"/>
              <w:rPr>
                <w:sz w:val="21"/>
              </w:rPr>
            </w:pPr>
            <w:r>
              <w:rPr>
                <w:sz w:val="21"/>
              </w:rPr>
              <w:t>7</w:t>
            </w:r>
          </w:p>
        </w:tc>
        <w:tc>
          <w:tcPr>
            <w:tcW w:w="1151" w:type="dxa"/>
          </w:tcPr>
          <w:p>
            <w:pPr>
              <w:pStyle w:val="TableParagraph"/>
              <w:spacing w:before="175"/>
              <w:ind w:left="124"/>
              <w:rPr>
                <w:sz w:val="21"/>
              </w:rPr>
            </w:pPr>
            <w:r>
              <w:rPr>
                <w:sz w:val="21"/>
              </w:rPr>
              <w:t>601166</w:t>
            </w:r>
          </w:p>
        </w:tc>
        <w:tc>
          <w:tcPr>
            <w:tcW w:w="1401" w:type="dxa"/>
          </w:tcPr>
          <w:p>
            <w:pPr>
              <w:pStyle w:val="TableParagraph"/>
              <w:spacing w:before="175"/>
              <w:ind w:left="124"/>
              <w:rPr>
                <w:sz w:val="21"/>
              </w:rPr>
            </w:pPr>
            <w:r>
              <w:rPr>
                <w:sz w:val="21"/>
              </w:rPr>
              <w:t>兴业银行</w:t>
            </w:r>
          </w:p>
        </w:tc>
        <w:tc>
          <w:tcPr>
            <w:tcW w:w="1651" w:type="dxa"/>
          </w:tcPr>
          <w:p>
            <w:pPr>
              <w:pStyle w:val="TableParagraph"/>
              <w:spacing w:before="175"/>
              <w:ind w:right="96"/>
              <w:jc w:val="right"/>
              <w:rPr>
                <w:sz w:val="21"/>
              </w:rPr>
            </w:pPr>
            <w:r>
              <w:rPr>
                <w:sz w:val="21"/>
              </w:rPr>
              <w:t>37,855,834</w:t>
            </w:r>
          </w:p>
        </w:tc>
        <w:tc>
          <w:tcPr>
            <w:tcW w:w="2024" w:type="dxa"/>
          </w:tcPr>
          <w:p>
            <w:pPr>
              <w:pStyle w:val="TableParagraph"/>
              <w:spacing w:before="175"/>
              <w:ind w:right="96"/>
              <w:jc w:val="right"/>
              <w:rPr>
                <w:sz w:val="21"/>
              </w:rPr>
            </w:pPr>
            <w:r>
              <w:rPr>
                <w:sz w:val="21"/>
              </w:rPr>
              <w:t>749,545,513.20</w:t>
            </w:r>
          </w:p>
        </w:tc>
        <w:tc>
          <w:tcPr>
            <w:tcW w:w="1027" w:type="dxa"/>
          </w:tcPr>
          <w:p>
            <w:pPr>
              <w:pStyle w:val="TableParagraph"/>
              <w:spacing w:before="175"/>
              <w:ind w:right="96"/>
              <w:jc w:val="right"/>
              <w:rPr>
                <w:sz w:val="21"/>
              </w:rPr>
            </w:pPr>
            <w:r>
              <w:rPr>
                <w:sz w:val="21"/>
              </w:rPr>
              <w:t>3.80</w:t>
            </w:r>
          </w:p>
        </w:tc>
      </w:tr>
      <w:tr>
        <w:trPr>
          <w:trHeight w:val="587" w:hRule="atLeast"/>
        </w:trPr>
        <w:tc>
          <w:tcPr>
            <w:tcW w:w="746" w:type="dxa"/>
          </w:tcPr>
          <w:p>
            <w:pPr>
              <w:pStyle w:val="TableParagraph"/>
              <w:spacing w:before="175"/>
              <w:ind w:left="125"/>
              <w:rPr>
                <w:sz w:val="21"/>
              </w:rPr>
            </w:pPr>
            <w:r>
              <w:rPr>
                <w:sz w:val="21"/>
              </w:rPr>
              <w:t>8</w:t>
            </w:r>
          </w:p>
        </w:tc>
        <w:tc>
          <w:tcPr>
            <w:tcW w:w="1151" w:type="dxa"/>
          </w:tcPr>
          <w:p>
            <w:pPr>
              <w:pStyle w:val="TableParagraph"/>
              <w:spacing w:before="175"/>
              <w:ind w:left="124"/>
              <w:rPr>
                <w:sz w:val="21"/>
              </w:rPr>
            </w:pPr>
            <w:r>
              <w:rPr>
                <w:sz w:val="21"/>
              </w:rPr>
              <w:t>601398</w:t>
            </w:r>
          </w:p>
        </w:tc>
        <w:tc>
          <w:tcPr>
            <w:tcW w:w="1401" w:type="dxa"/>
          </w:tcPr>
          <w:p>
            <w:pPr>
              <w:pStyle w:val="TableParagraph"/>
              <w:spacing w:before="175"/>
              <w:ind w:left="124"/>
              <w:rPr>
                <w:sz w:val="21"/>
              </w:rPr>
            </w:pPr>
            <w:r>
              <w:rPr>
                <w:sz w:val="21"/>
              </w:rPr>
              <w:t>工商银行</w:t>
            </w:r>
          </w:p>
        </w:tc>
        <w:tc>
          <w:tcPr>
            <w:tcW w:w="1651" w:type="dxa"/>
          </w:tcPr>
          <w:p>
            <w:pPr>
              <w:pStyle w:val="TableParagraph"/>
              <w:spacing w:before="175"/>
              <w:ind w:right="96"/>
              <w:jc w:val="right"/>
              <w:rPr>
                <w:sz w:val="21"/>
              </w:rPr>
            </w:pPr>
            <w:r>
              <w:rPr>
                <w:sz w:val="21"/>
              </w:rPr>
              <w:t>83,913,781</w:t>
            </w:r>
          </w:p>
        </w:tc>
        <w:tc>
          <w:tcPr>
            <w:tcW w:w="2024" w:type="dxa"/>
          </w:tcPr>
          <w:p>
            <w:pPr>
              <w:pStyle w:val="TableParagraph"/>
              <w:spacing w:before="175"/>
              <w:ind w:right="96"/>
              <w:jc w:val="right"/>
              <w:rPr>
                <w:sz w:val="21"/>
              </w:rPr>
            </w:pPr>
            <w:r>
              <w:rPr>
                <w:sz w:val="21"/>
              </w:rPr>
              <w:t>493,413,032.28</w:t>
            </w:r>
          </w:p>
        </w:tc>
        <w:tc>
          <w:tcPr>
            <w:tcW w:w="1027" w:type="dxa"/>
          </w:tcPr>
          <w:p>
            <w:pPr>
              <w:pStyle w:val="TableParagraph"/>
              <w:spacing w:before="175"/>
              <w:ind w:right="96"/>
              <w:jc w:val="right"/>
              <w:rPr>
                <w:sz w:val="21"/>
              </w:rPr>
            </w:pPr>
            <w:r>
              <w:rPr>
                <w:sz w:val="21"/>
              </w:rPr>
              <w:t>2.50</w:t>
            </w:r>
          </w:p>
        </w:tc>
      </w:tr>
      <w:tr>
        <w:trPr>
          <w:trHeight w:val="587" w:hRule="atLeast"/>
        </w:trPr>
        <w:tc>
          <w:tcPr>
            <w:tcW w:w="746" w:type="dxa"/>
          </w:tcPr>
          <w:p>
            <w:pPr>
              <w:pStyle w:val="TableParagraph"/>
              <w:spacing w:before="175"/>
              <w:ind w:left="125"/>
              <w:rPr>
                <w:sz w:val="21"/>
              </w:rPr>
            </w:pPr>
            <w:r>
              <w:rPr>
                <w:sz w:val="21"/>
              </w:rPr>
              <w:t>9</w:t>
            </w:r>
          </w:p>
        </w:tc>
        <w:tc>
          <w:tcPr>
            <w:tcW w:w="1151" w:type="dxa"/>
          </w:tcPr>
          <w:p>
            <w:pPr>
              <w:pStyle w:val="TableParagraph"/>
              <w:spacing w:before="175"/>
              <w:ind w:left="124"/>
              <w:rPr>
                <w:sz w:val="21"/>
              </w:rPr>
            </w:pPr>
            <w:r>
              <w:rPr>
                <w:sz w:val="21"/>
              </w:rPr>
              <w:t>601601</w:t>
            </w:r>
          </w:p>
        </w:tc>
        <w:tc>
          <w:tcPr>
            <w:tcW w:w="1401" w:type="dxa"/>
          </w:tcPr>
          <w:p>
            <w:pPr>
              <w:pStyle w:val="TableParagraph"/>
              <w:spacing w:before="175"/>
              <w:ind w:left="124"/>
              <w:rPr>
                <w:sz w:val="21"/>
              </w:rPr>
            </w:pPr>
            <w:r>
              <w:rPr>
                <w:sz w:val="21"/>
              </w:rPr>
              <w:t>中国太保</w:t>
            </w:r>
          </w:p>
        </w:tc>
        <w:tc>
          <w:tcPr>
            <w:tcW w:w="1651" w:type="dxa"/>
          </w:tcPr>
          <w:p>
            <w:pPr>
              <w:pStyle w:val="TableParagraph"/>
              <w:spacing w:before="175"/>
              <w:ind w:right="96"/>
              <w:jc w:val="right"/>
              <w:rPr>
                <w:sz w:val="21"/>
              </w:rPr>
            </w:pPr>
            <w:r>
              <w:rPr>
                <w:sz w:val="21"/>
              </w:rPr>
              <w:t>10,096,722</w:t>
            </w:r>
          </w:p>
        </w:tc>
        <w:tc>
          <w:tcPr>
            <w:tcW w:w="2024" w:type="dxa"/>
          </w:tcPr>
          <w:p>
            <w:pPr>
              <w:pStyle w:val="TableParagraph"/>
              <w:spacing w:before="175"/>
              <w:ind w:right="96"/>
              <w:jc w:val="right"/>
              <w:rPr>
                <w:sz w:val="21"/>
              </w:rPr>
            </w:pPr>
            <w:r>
              <w:rPr>
                <w:sz w:val="21"/>
              </w:rPr>
              <w:t>382,059,960.48</w:t>
            </w:r>
          </w:p>
        </w:tc>
        <w:tc>
          <w:tcPr>
            <w:tcW w:w="1027" w:type="dxa"/>
          </w:tcPr>
          <w:p>
            <w:pPr>
              <w:pStyle w:val="TableParagraph"/>
              <w:spacing w:before="175"/>
              <w:ind w:right="96"/>
              <w:jc w:val="right"/>
              <w:rPr>
                <w:sz w:val="21"/>
              </w:rPr>
            </w:pPr>
            <w:r>
              <w:rPr>
                <w:sz w:val="21"/>
              </w:rPr>
              <w:t>1.94</w:t>
            </w:r>
          </w:p>
        </w:tc>
      </w:tr>
      <w:tr>
        <w:trPr>
          <w:trHeight w:val="587" w:hRule="atLeast"/>
        </w:trPr>
        <w:tc>
          <w:tcPr>
            <w:tcW w:w="746" w:type="dxa"/>
          </w:tcPr>
          <w:p>
            <w:pPr>
              <w:pStyle w:val="TableParagraph"/>
              <w:spacing w:before="175"/>
              <w:ind w:left="125"/>
              <w:rPr>
                <w:sz w:val="21"/>
              </w:rPr>
            </w:pPr>
            <w:r>
              <w:rPr>
                <w:sz w:val="21"/>
              </w:rPr>
              <w:t>10</w:t>
            </w:r>
          </w:p>
        </w:tc>
        <w:tc>
          <w:tcPr>
            <w:tcW w:w="1151" w:type="dxa"/>
          </w:tcPr>
          <w:p>
            <w:pPr>
              <w:pStyle w:val="TableParagraph"/>
              <w:spacing w:before="175"/>
              <w:ind w:left="124"/>
              <w:rPr>
                <w:sz w:val="21"/>
              </w:rPr>
            </w:pPr>
            <w:r>
              <w:rPr>
                <w:sz w:val="21"/>
              </w:rPr>
              <w:t>600048</w:t>
            </w:r>
          </w:p>
        </w:tc>
        <w:tc>
          <w:tcPr>
            <w:tcW w:w="1401" w:type="dxa"/>
          </w:tcPr>
          <w:p>
            <w:pPr>
              <w:pStyle w:val="TableParagraph"/>
              <w:spacing w:before="175"/>
              <w:ind w:left="124"/>
              <w:rPr>
                <w:sz w:val="21"/>
              </w:rPr>
            </w:pPr>
            <w:r>
              <w:rPr>
                <w:sz w:val="21"/>
              </w:rPr>
              <w:t>保利地产</w:t>
            </w:r>
          </w:p>
        </w:tc>
        <w:tc>
          <w:tcPr>
            <w:tcW w:w="1651" w:type="dxa"/>
          </w:tcPr>
          <w:p>
            <w:pPr>
              <w:pStyle w:val="TableParagraph"/>
              <w:spacing w:before="175"/>
              <w:ind w:right="96"/>
              <w:jc w:val="right"/>
              <w:rPr>
                <w:sz w:val="21"/>
              </w:rPr>
            </w:pPr>
            <w:r>
              <w:rPr>
                <w:sz w:val="21"/>
              </w:rPr>
              <w:t>21,543,770</w:t>
            </w:r>
          </w:p>
        </w:tc>
        <w:tc>
          <w:tcPr>
            <w:tcW w:w="2024" w:type="dxa"/>
          </w:tcPr>
          <w:p>
            <w:pPr>
              <w:pStyle w:val="TableParagraph"/>
              <w:spacing w:before="175"/>
              <w:ind w:right="96"/>
              <w:jc w:val="right"/>
              <w:rPr>
                <w:sz w:val="21"/>
              </w:rPr>
            </w:pPr>
            <w:r>
              <w:rPr>
                <w:sz w:val="21"/>
              </w:rPr>
              <w:t>348,578,198.60</w:t>
            </w:r>
          </w:p>
        </w:tc>
        <w:tc>
          <w:tcPr>
            <w:tcW w:w="1027" w:type="dxa"/>
          </w:tcPr>
          <w:p>
            <w:pPr>
              <w:pStyle w:val="TableParagraph"/>
              <w:spacing w:before="175"/>
              <w:ind w:right="96"/>
              <w:jc w:val="right"/>
              <w:rPr>
                <w:sz w:val="21"/>
              </w:rPr>
            </w:pPr>
            <w:r>
              <w:rPr>
                <w:sz w:val="21"/>
              </w:rPr>
              <w:t>1.77</w:t>
            </w:r>
          </w:p>
        </w:tc>
      </w:tr>
    </w:tbl>
    <w:p>
      <w:pPr>
        <w:pStyle w:val="ListParagraph"/>
        <w:numPr>
          <w:ilvl w:val="0"/>
          <w:numId w:val="25"/>
        </w:numPr>
        <w:tabs>
          <w:tab w:pos="1240" w:val="left" w:leader="none"/>
        </w:tabs>
        <w:spacing w:line="240" w:lineRule="auto" w:before="3" w:after="0"/>
        <w:ind w:left="1240" w:right="0" w:hanging="527"/>
        <w:jc w:val="left"/>
        <w:rPr>
          <w:sz w:val="21"/>
        </w:rPr>
      </w:pPr>
      <w:r>
        <w:rPr>
          <w:sz w:val="21"/>
        </w:rPr>
        <w:t>期末积极投资按公允价值占基金资产净值比例大小排序的前五名股票投资明细</w:t>
      </w:r>
    </w:p>
    <w:p>
      <w:pPr>
        <w:pStyle w:val="BodyText"/>
        <w:spacing w:before="8"/>
        <w:ind w:left="0"/>
        <w:rPr>
          <w:sz w:val="1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1151"/>
        <w:gridCol w:w="1335"/>
        <w:gridCol w:w="1559"/>
        <w:gridCol w:w="1843"/>
        <w:gridCol w:w="1366"/>
      </w:tblGrid>
      <w:tr>
        <w:trPr>
          <w:trHeight w:val="1705" w:hRule="atLeast"/>
        </w:trPr>
        <w:tc>
          <w:tcPr>
            <w:tcW w:w="746"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151" w:right="124"/>
              <w:jc w:val="center"/>
              <w:rPr>
                <w:sz w:val="21"/>
              </w:rPr>
            </w:pPr>
            <w:r>
              <w:rPr>
                <w:sz w:val="21"/>
              </w:rPr>
              <w:t>序号</w:t>
            </w:r>
          </w:p>
        </w:tc>
        <w:tc>
          <w:tcPr>
            <w:tcW w:w="1151"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144" w:right="117"/>
              <w:jc w:val="center"/>
              <w:rPr>
                <w:sz w:val="21"/>
              </w:rPr>
            </w:pPr>
            <w:r>
              <w:rPr>
                <w:sz w:val="21"/>
              </w:rPr>
              <w:t>股票代码</w:t>
            </w:r>
          </w:p>
        </w:tc>
        <w:tc>
          <w:tcPr>
            <w:tcW w:w="1335"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255"/>
              <w:rPr>
                <w:sz w:val="21"/>
              </w:rPr>
            </w:pPr>
            <w:r>
              <w:rPr>
                <w:sz w:val="21"/>
              </w:rPr>
              <w:t>股票名称</w:t>
            </w:r>
          </w:p>
        </w:tc>
        <w:tc>
          <w:tcPr>
            <w:tcW w:w="1559"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263"/>
              <w:rPr>
                <w:sz w:val="21"/>
              </w:rPr>
            </w:pPr>
            <w:r>
              <w:rPr>
                <w:sz w:val="21"/>
              </w:rPr>
              <w:t>数量（股）</w:t>
            </w:r>
          </w:p>
        </w:tc>
        <w:tc>
          <w:tcPr>
            <w:tcW w:w="1843"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195"/>
              <w:rPr>
                <w:sz w:val="21"/>
              </w:rPr>
            </w:pPr>
            <w:r>
              <w:rPr>
                <w:sz w:val="21"/>
              </w:rPr>
              <w:t>公允价值（元）</w:t>
            </w:r>
          </w:p>
        </w:tc>
        <w:tc>
          <w:tcPr>
            <w:tcW w:w="1366" w:type="dxa"/>
          </w:tcPr>
          <w:p>
            <w:pPr>
              <w:pStyle w:val="TableParagraph"/>
              <w:spacing w:line="499" w:lineRule="auto" w:before="175"/>
              <w:ind w:left="166" w:right="137"/>
              <w:jc w:val="center"/>
              <w:rPr>
                <w:sz w:val="21"/>
              </w:rPr>
            </w:pPr>
            <w:r>
              <w:rPr>
                <w:sz w:val="21"/>
              </w:rPr>
              <w:t>占基金资产净值比例</w:t>
            </w:r>
          </w:p>
          <w:p>
            <w:pPr>
              <w:pStyle w:val="TableParagraph"/>
              <w:spacing w:line="267" w:lineRule="exact"/>
              <w:ind w:left="164" w:right="137"/>
              <w:jc w:val="center"/>
              <w:rPr>
                <w:sz w:val="21"/>
              </w:rPr>
            </w:pPr>
            <w:r>
              <w:rPr>
                <w:sz w:val="21"/>
              </w:rPr>
              <w:t>(％)</w:t>
            </w:r>
          </w:p>
        </w:tc>
      </w:tr>
      <w:tr>
        <w:trPr>
          <w:trHeight w:val="587" w:hRule="atLeast"/>
        </w:trPr>
        <w:tc>
          <w:tcPr>
            <w:tcW w:w="746" w:type="dxa"/>
          </w:tcPr>
          <w:p>
            <w:pPr>
              <w:pStyle w:val="TableParagraph"/>
              <w:spacing w:before="175"/>
              <w:ind w:left="27"/>
              <w:jc w:val="center"/>
              <w:rPr>
                <w:sz w:val="21"/>
              </w:rPr>
            </w:pPr>
            <w:r>
              <w:rPr>
                <w:sz w:val="21"/>
              </w:rPr>
              <w:t>1</w:t>
            </w:r>
          </w:p>
        </w:tc>
        <w:tc>
          <w:tcPr>
            <w:tcW w:w="1151" w:type="dxa"/>
          </w:tcPr>
          <w:p>
            <w:pPr>
              <w:pStyle w:val="TableParagraph"/>
              <w:spacing w:before="175"/>
              <w:ind w:left="143" w:right="117"/>
              <w:jc w:val="center"/>
              <w:rPr>
                <w:sz w:val="21"/>
              </w:rPr>
            </w:pPr>
            <w:r>
              <w:rPr>
                <w:sz w:val="21"/>
              </w:rPr>
              <w:t>000001</w:t>
            </w:r>
          </w:p>
        </w:tc>
        <w:tc>
          <w:tcPr>
            <w:tcW w:w="1335" w:type="dxa"/>
          </w:tcPr>
          <w:p>
            <w:pPr>
              <w:pStyle w:val="TableParagraph"/>
              <w:spacing w:before="175"/>
              <w:ind w:left="124"/>
              <w:rPr>
                <w:sz w:val="21"/>
              </w:rPr>
            </w:pPr>
            <w:r>
              <w:rPr>
                <w:sz w:val="21"/>
              </w:rPr>
              <w:t>平安银行</w:t>
            </w:r>
          </w:p>
        </w:tc>
        <w:tc>
          <w:tcPr>
            <w:tcW w:w="1559" w:type="dxa"/>
          </w:tcPr>
          <w:p>
            <w:pPr>
              <w:pStyle w:val="TableParagraph"/>
              <w:spacing w:before="175"/>
              <w:ind w:right="97"/>
              <w:jc w:val="right"/>
              <w:rPr>
                <w:sz w:val="21"/>
              </w:rPr>
            </w:pPr>
            <w:r>
              <w:rPr>
                <w:sz w:val="21"/>
              </w:rPr>
              <w:t>60,643,555</w:t>
            </w:r>
          </w:p>
        </w:tc>
        <w:tc>
          <w:tcPr>
            <w:tcW w:w="1843" w:type="dxa"/>
          </w:tcPr>
          <w:p>
            <w:pPr>
              <w:pStyle w:val="TableParagraph"/>
              <w:spacing w:before="175"/>
              <w:ind w:left="265"/>
              <w:rPr>
                <w:sz w:val="21"/>
              </w:rPr>
            </w:pPr>
            <w:r>
              <w:rPr>
                <w:sz w:val="21"/>
              </w:rPr>
              <w:t>997,586,479.75</w:t>
            </w:r>
          </w:p>
        </w:tc>
        <w:tc>
          <w:tcPr>
            <w:tcW w:w="1366" w:type="dxa"/>
          </w:tcPr>
          <w:p>
            <w:pPr>
              <w:pStyle w:val="TableParagraph"/>
              <w:spacing w:before="175"/>
              <w:ind w:right="97"/>
              <w:jc w:val="right"/>
              <w:rPr>
                <w:sz w:val="21"/>
              </w:rPr>
            </w:pPr>
            <w:r>
              <w:rPr>
                <w:sz w:val="21"/>
              </w:rPr>
              <w:t>5.05</w:t>
            </w:r>
          </w:p>
        </w:tc>
      </w:tr>
      <w:tr>
        <w:trPr>
          <w:trHeight w:val="587" w:hRule="atLeast"/>
        </w:trPr>
        <w:tc>
          <w:tcPr>
            <w:tcW w:w="746" w:type="dxa"/>
          </w:tcPr>
          <w:p>
            <w:pPr>
              <w:pStyle w:val="TableParagraph"/>
              <w:spacing w:before="175"/>
              <w:ind w:left="27"/>
              <w:jc w:val="center"/>
              <w:rPr>
                <w:sz w:val="21"/>
              </w:rPr>
            </w:pPr>
            <w:r>
              <w:rPr>
                <w:sz w:val="21"/>
              </w:rPr>
              <w:t>2</w:t>
            </w:r>
          </w:p>
        </w:tc>
        <w:tc>
          <w:tcPr>
            <w:tcW w:w="1151" w:type="dxa"/>
          </w:tcPr>
          <w:p>
            <w:pPr>
              <w:pStyle w:val="TableParagraph"/>
              <w:spacing w:before="175"/>
              <w:ind w:left="143" w:right="117"/>
              <w:jc w:val="center"/>
              <w:rPr>
                <w:sz w:val="21"/>
              </w:rPr>
            </w:pPr>
            <w:r>
              <w:rPr>
                <w:sz w:val="21"/>
              </w:rPr>
              <w:t>000858</w:t>
            </w:r>
          </w:p>
        </w:tc>
        <w:tc>
          <w:tcPr>
            <w:tcW w:w="1335" w:type="dxa"/>
          </w:tcPr>
          <w:p>
            <w:pPr>
              <w:pStyle w:val="TableParagraph"/>
              <w:spacing w:before="175"/>
              <w:ind w:left="124"/>
              <w:rPr>
                <w:sz w:val="21"/>
              </w:rPr>
            </w:pPr>
            <w:r>
              <w:rPr>
                <w:sz w:val="21"/>
              </w:rPr>
              <w:t>五粮液</w:t>
            </w:r>
          </w:p>
        </w:tc>
        <w:tc>
          <w:tcPr>
            <w:tcW w:w="1559" w:type="dxa"/>
          </w:tcPr>
          <w:p>
            <w:pPr>
              <w:pStyle w:val="TableParagraph"/>
              <w:spacing w:before="175"/>
              <w:ind w:right="97"/>
              <w:jc w:val="right"/>
              <w:rPr>
                <w:sz w:val="21"/>
              </w:rPr>
            </w:pPr>
            <w:r>
              <w:rPr>
                <w:sz w:val="21"/>
              </w:rPr>
              <w:t>6,421,600</w:t>
            </w:r>
          </w:p>
        </w:tc>
        <w:tc>
          <w:tcPr>
            <w:tcW w:w="1843" w:type="dxa"/>
          </w:tcPr>
          <w:p>
            <w:pPr>
              <w:pStyle w:val="TableParagraph"/>
              <w:spacing w:before="175"/>
              <w:ind w:left="265"/>
              <w:rPr>
                <w:sz w:val="21"/>
              </w:rPr>
            </w:pPr>
            <w:r>
              <w:rPr>
                <w:sz w:val="21"/>
              </w:rPr>
              <w:t>854,137,016.00</w:t>
            </w:r>
          </w:p>
        </w:tc>
        <w:tc>
          <w:tcPr>
            <w:tcW w:w="1366" w:type="dxa"/>
          </w:tcPr>
          <w:p>
            <w:pPr>
              <w:pStyle w:val="TableParagraph"/>
              <w:spacing w:before="175"/>
              <w:ind w:right="97"/>
              <w:jc w:val="right"/>
              <w:rPr>
                <w:sz w:val="21"/>
              </w:rPr>
            </w:pPr>
            <w:r>
              <w:rPr>
                <w:sz w:val="21"/>
              </w:rPr>
              <w:t>4.33</w:t>
            </w:r>
          </w:p>
        </w:tc>
      </w:tr>
      <w:tr>
        <w:trPr>
          <w:trHeight w:val="587" w:hRule="atLeast"/>
        </w:trPr>
        <w:tc>
          <w:tcPr>
            <w:tcW w:w="746" w:type="dxa"/>
          </w:tcPr>
          <w:p>
            <w:pPr>
              <w:pStyle w:val="TableParagraph"/>
              <w:spacing w:before="175"/>
              <w:ind w:left="27"/>
              <w:jc w:val="center"/>
              <w:rPr>
                <w:sz w:val="21"/>
              </w:rPr>
            </w:pPr>
            <w:r>
              <w:rPr>
                <w:sz w:val="21"/>
              </w:rPr>
              <w:t>3</w:t>
            </w:r>
          </w:p>
        </w:tc>
        <w:tc>
          <w:tcPr>
            <w:tcW w:w="1151" w:type="dxa"/>
          </w:tcPr>
          <w:p>
            <w:pPr>
              <w:pStyle w:val="TableParagraph"/>
              <w:spacing w:before="175"/>
              <w:ind w:left="143" w:right="117"/>
              <w:jc w:val="center"/>
              <w:rPr>
                <w:sz w:val="21"/>
              </w:rPr>
            </w:pPr>
            <w:r>
              <w:rPr>
                <w:sz w:val="21"/>
              </w:rPr>
              <w:t>000661</w:t>
            </w:r>
          </w:p>
        </w:tc>
        <w:tc>
          <w:tcPr>
            <w:tcW w:w="1335" w:type="dxa"/>
          </w:tcPr>
          <w:p>
            <w:pPr>
              <w:pStyle w:val="TableParagraph"/>
              <w:spacing w:before="175"/>
              <w:ind w:left="124"/>
              <w:rPr>
                <w:sz w:val="21"/>
              </w:rPr>
            </w:pPr>
            <w:r>
              <w:rPr>
                <w:sz w:val="21"/>
              </w:rPr>
              <w:t>长春高新</w:t>
            </w:r>
          </w:p>
        </w:tc>
        <w:tc>
          <w:tcPr>
            <w:tcW w:w="1559" w:type="dxa"/>
          </w:tcPr>
          <w:p>
            <w:pPr>
              <w:pStyle w:val="TableParagraph"/>
              <w:spacing w:before="175"/>
              <w:ind w:right="97"/>
              <w:jc w:val="right"/>
              <w:rPr>
                <w:sz w:val="21"/>
              </w:rPr>
            </w:pPr>
            <w:r>
              <w:rPr>
                <w:sz w:val="21"/>
              </w:rPr>
              <w:t>1,316,986</w:t>
            </w:r>
          </w:p>
        </w:tc>
        <w:tc>
          <w:tcPr>
            <w:tcW w:w="1843" w:type="dxa"/>
          </w:tcPr>
          <w:p>
            <w:pPr>
              <w:pStyle w:val="TableParagraph"/>
              <w:spacing w:before="175"/>
              <w:ind w:left="265"/>
              <w:rPr>
                <w:sz w:val="21"/>
              </w:rPr>
            </w:pPr>
            <w:r>
              <w:rPr>
                <w:sz w:val="21"/>
              </w:rPr>
              <w:t>588,692,742.00</w:t>
            </w:r>
          </w:p>
        </w:tc>
        <w:tc>
          <w:tcPr>
            <w:tcW w:w="1366" w:type="dxa"/>
          </w:tcPr>
          <w:p>
            <w:pPr>
              <w:pStyle w:val="TableParagraph"/>
              <w:spacing w:before="175"/>
              <w:ind w:right="97"/>
              <w:jc w:val="right"/>
              <w:rPr>
                <w:sz w:val="21"/>
              </w:rPr>
            </w:pPr>
            <w:r>
              <w:rPr>
                <w:sz w:val="21"/>
              </w:rPr>
              <w:t>2.98</w:t>
            </w:r>
          </w:p>
        </w:tc>
      </w:tr>
      <w:tr>
        <w:trPr>
          <w:trHeight w:val="587" w:hRule="atLeast"/>
        </w:trPr>
        <w:tc>
          <w:tcPr>
            <w:tcW w:w="746" w:type="dxa"/>
          </w:tcPr>
          <w:p>
            <w:pPr>
              <w:pStyle w:val="TableParagraph"/>
              <w:spacing w:before="175"/>
              <w:ind w:left="27"/>
              <w:jc w:val="center"/>
              <w:rPr>
                <w:sz w:val="21"/>
              </w:rPr>
            </w:pPr>
            <w:r>
              <w:rPr>
                <w:sz w:val="21"/>
              </w:rPr>
              <w:t>4</w:t>
            </w:r>
          </w:p>
        </w:tc>
        <w:tc>
          <w:tcPr>
            <w:tcW w:w="1151" w:type="dxa"/>
          </w:tcPr>
          <w:p>
            <w:pPr>
              <w:pStyle w:val="TableParagraph"/>
              <w:spacing w:before="175"/>
              <w:ind w:left="143" w:right="117"/>
              <w:jc w:val="center"/>
              <w:rPr>
                <w:sz w:val="21"/>
              </w:rPr>
            </w:pPr>
            <w:r>
              <w:rPr>
                <w:sz w:val="21"/>
              </w:rPr>
              <w:t>002007</w:t>
            </w:r>
          </w:p>
        </w:tc>
        <w:tc>
          <w:tcPr>
            <w:tcW w:w="1335" w:type="dxa"/>
          </w:tcPr>
          <w:p>
            <w:pPr>
              <w:pStyle w:val="TableParagraph"/>
              <w:spacing w:before="175"/>
              <w:ind w:left="124"/>
              <w:rPr>
                <w:sz w:val="21"/>
              </w:rPr>
            </w:pPr>
            <w:r>
              <w:rPr>
                <w:sz w:val="21"/>
              </w:rPr>
              <w:t>华兰生物</w:t>
            </w:r>
          </w:p>
        </w:tc>
        <w:tc>
          <w:tcPr>
            <w:tcW w:w="1559" w:type="dxa"/>
          </w:tcPr>
          <w:p>
            <w:pPr>
              <w:pStyle w:val="TableParagraph"/>
              <w:spacing w:before="175"/>
              <w:ind w:right="97"/>
              <w:jc w:val="right"/>
              <w:rPr>
                <w:sz w:val="21"/>
              </w:rPr>
            </w:pPr>
            <w:r>
              <w:rPr>
                <w:sz w:val="21"/>
              </w:rPr>
              <w:t>15,562,956</w:t>
            </w:r>
          </w:p>
        </w:tc>
        <w:tc>
          <w:tcPr>
            <w:tcW w:w="1843" w:type="dxa"/>
          </w:tcPr>
          <w:p>
            <w:pPr>
              <w:pStyle w:val="TableParagraph"/>
              <w:spacing w:before="175"/>
              <w:ind w:left="265"/>
              <w:rPr>
                <w:sz w:val="21"/>
              </w:rPr>
            </w:pPr>
            <w:r>
              <w:rPr>
                <w:sz w:val="21"/>
              </w:rPr>
              <w:t>547,037,903.40</w:t>
            </w:r>
          </w:p>
        </w:tc>
        <w:tc>
          <w:tcPr>
            <w:tcW w:w="1366" w:type="dxa"/>
          </w:tcPr>
          <w:p>
            <w:pPr>
              <w:pStyle w:val="TableParagraph"/>
              <w:spacing w:before="175"/>
              <w:ind w:right="97"/>
              <w:jc w:val="right"/>
              <w:rPr>
                <w:sz w:val="21"/>
              </w:rPr>
            </w:pPr>
            <w:r>
              <w:rPr>
                <w:sz w:val="21"/>
              </w:rPr>
              <w:t>2.77</w:t>
            </w:r>
          </w:p>
        </w:tc>
      </w:tr>
      <w:tr>
        <w:trPr>
          <w:trHeight w:val="587" w:hRule="atLeast"/>
        </w:trPr>
        <w:tc>
          <w:tcPr>
            <w:tcW w:w="746" w:type="dxa"/>
          </w:tcPr>
          <w:p>
            <w:pPr>
              <w:pStyle w:val="TableParagraph"/>
              <w:spacing w:before="175"/>
              <w:ind w:left="27"/>
              <w:jc w:val="center"/>
              <w:rPr>
                <w:sz w:val="21"/>
              </w:rPr>
            </w:pPr>
            <w:r>
              <w:rPr>
                <w:sz w:val="21"/>
              </w:rPr>
              <w:t>5</w:t>
            </w:r>
          </w:p>
        </w:tc>
        <w:tc>
          <w:tcPr>
            <w:tcW w:w="1151" w:type="dxa"/>
          </w:tcPr>
          <w:p>
            <w:pPr>
              <w:pStyle w:val="TableParagraph"/>
              <w:spacing w:before="175"/>
              <w:ind w:left="143" w:right="117"/>
              <w:jc w:val="center"/>
              <w:rPr>
                <w:sz w:val="21"/>
              </w:rPr>
            </w:pPr>
            <w:r>
              <w:rPr>
                <w:sz w:val="21"/>
              </w:rPr>
              <w:t>000333</w:t>
            </w:r>
          </w:p>
        </w:tc>
        <w:tc>
          <w:tcPr>
            <w:tcW w:w="1335" w:type="dxa"/>
          </w:tcPr>
          <w:p>
            <w:pPr>
              <w:pStyle w:val="TableParagraph"/>
              <w:spacing w:before="175"/>
              <w:ind w:left="124"/>
              <w:rPr>
                <w:sz w:val="21"/>
              </w:rPr>
            </w:pPr>
            <w:r>
              <w:rPr>
                <w:sz w:val="21"/>
              </w:rPr>
              <w:t>美的集团</w:t>
            </w:r>
          </w:p>
        </w:tc>
        <w:tc>
          <w:tcPr>
            <w:tcW w:w="1559" w:type="dxa"/>
          </w:tcPr>
          <w:p>
            <w:pPr>
              <w:pStyle w:val="TableParagraph"/>
              <w:spacing w:before="175"/>
              <w:ind w:right="97"/>
              <w:jc w:val="right"/>
              <w:rPr>
                <w:sz w:val="21"/>
              </w:rPr>
            </w:pPr>
            <w:r>
              <w:rPr>
                <w:sz w:val="21"/>
              </w:rPr>
              <w:t>4,599,640</w:t>
            </w:r>
          </w:p>
        </w:tc>
        <w:tc>
          <w:tcPr>
            <w:tcW w:w="1843" w:type="dxa"/>
          </w:tcPr>
          <w:p>
            <w:pPr>
              <w:pStyle w:val="TableParagraph"/>
              <w:spacing w:before="175"/>
              <w:ind w:left="265"/>
              <w:rPr>
                <w:sz w:val="21"/>
              </w:rPr>
            </w:pPr>
            <w:r>
              <w:rPr>
                <w:sz w:val="21"/>
              </w:rPr>
              <w:t>267,929,030.00</w:t>
            </w:r>
          </w:p>
        </w:tc>
        <w:tc>
          <w:tcPr>
            <w:tcW w:w="1366" w:type="dxa"/>
          </w:tcPr>
          <w:p>
            <w:pPr>
              <w:pStyle w:val="TableParagraph"/>
              <w:spacing w:before="175"/>
              <w:ind w:right="97"/>
              <w:jc w:val="right"/>
              <w:rPr>
                <w:sz w:val="21"/>
              </w:rPr>
            </w:pPr>
            <w:r>
              <w:rPr>
                <w:sz w:val="21"/>
              </w:rPr>
              <w:t>1.36</w:t>
            </w:r>
          </w:p>
        </w:tc>
      </w:tr>
    </w:tbl>
    <w:p>
      <w:pPr>
        <w:pStyle w:val="BodyText"/>
        <w:spacing w:before="3"/>
      </w:pPr>
      <w:r>
        <w:rPr/>
        <w:t>4、报告期末按债券品种分类的债券投资组合</w:t>
      </w:r>
    </w:p>
    <w:p>
      <w:pPr>
        <w:spacing w:after="0"/>
        <w:sectPr>
          <w:pgSz w:w="11910" w:h="16840"/>
          <w:pgMar w:header="0" w:footer="1172" w:top="1580" w:bottom="1440" w:left="1520" w:right="360"/>
        </w:sectPr>
      </w:pPr>
    </w:p>
    <w:p>
      <w:pPr>
        <w:pStyle w:val="BodyText"/>
        <w:ind w:left="0"/>
        <w:rPr>
          <w:sz w:val="8"/>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2654"/>
        <w:gridCol w:w="2523"/>
        <w:gridCol w:w="1651"/>
      </w:tblGrid>
      <w:tr>
        <w:trPr>
          <w:trHeight w:val="1146" w:hRule="atLeast"/>
        </w:trPr>
        <w:tc>
          <w:tcPr>
            <w:tcW w:w="1172" w:type="dxa"/>
          </w:tcPr>
          <w:p>
            <w:pPr>
              <w:pStyle w:val="TableParagraph"/>
              <w:rPr>
                <w:sz w:val="20"/>
              </w:rPr>
            </w:pPr>
          </w:p>
          <w:p>
            <w:pPr>
              <w:pStyle w:val="TableParagraph"/>
              <w:spacing w:before="6"/>
              <w:rPr>
                <w:sz w:val="15"/>
              </w:rPr>
            </w:pPr>
          </w:p>
          <w:p>
            <w:pPr>
              <w:pStyle w:val="TableParagraph"/>
              <w:ind w:left="364" w:right="337"/>
              <w:jc w:val="center"/>
              <w:rPr>
                <w:sz w:val="21"/>
              </w:rPr>
            </w:pPr>
            <w:r>
              <w:rPr>
                <w:sz w:val="21"/>
              </w:rPr>
              <w:t>序号</w:t>
            </w:r>
          </w:p>
        </w:tc>
        <w:tc>
          <w:tcPr>
            <w:tcW w:w="2654" w:type="dxa"/>
          </w:tcPr>
          <w:p>
            <w:pPr>
              <w:pStyle w:val="TableParagraph"/>
              <w:rPr>
                <w:sz w:val="20"/>
              </w:rPr>
            </w:pPr>
          </w:p>
          <w:p>
            <w:pPr>
              <w:pStyle w:val="TableParagraph"/>
              <w:spacing w:before="6"/>
              <w:rPr>
                <w:sz w:val="15"/>
              </w:rPr>
            </w:pPr>
          </w:p>
          <w:p>
            <w:pPr>
              <w:pStyle w:val="TableParagraph"/>
              <w:ind w:left="895" w:right="868"/>
              <w:jc w:val="center"/>
              <w:rPr>
                <w:sz w:val="21"/>
              </w:rPr>
            </w:pPr>
            <w:r>
              <w:rPr>
                <w:sz w:val="21"/>
              </w:rPr>
              <w:t>债券品种</w:t>
            </w:r>
          </w:p>
        </w:tc>
        <w:tc>
          <w:tcPr>
            <w:tcW w:w="2523" w:type="dxa"/>
          </w:tcPr>
          <w:p>
            <w:pPr>
              <w:pStyle w:val="TableParagraph"/>
              <w:rPr>
                <w:sz w:val="20"/>
              </w:rPr>
            </w:pPr>
          </w:p>
          <w:p>
            <w:pPr>
              <w:pStyle w:val="TableParagraph"/>
              <w:spacing w:before="6"/>
              <w:rPr>
                <w:sz w:val="15"/>
              </w:rPr>
            </w:pPr>
          </w:p>
          <w:p>
            <w:pPr>
              <w:pStyle w:val="TableParagraph"/>
              <w:ind w:left="640"/>
              <w:rPr>
                <w:sz w:val="21"/>
              </w:rPr>
            </w:pPr>
            <w:r>
              <w:rPr>
                <w:sz w:val="21"/>
              </w:rPr>
              <w:t>公允价值(元)</w:t>
            </w:r>
          </w:p>
        </w:tc>
        <w:tc>
          <w:tcPr>
            <w:tcW w:w="1651" w:type="dxa"/>
          </w:tcPr>
          <w:p>
            <w:pPr>
              <w:pStyle w:val="TableParagraph"/>
              <w:spacing w:before="175"/>
              <w:ind w:left="204"/>
              <w:rPr>
                <w:sz w:val="21"/>
              </w:rPr>
            </w:pPr>
            <w:r>
              <w:rPr>
                <w:sz w:val="21"/>
              </w:rPr>
              <w:t>占基金资产净</w:t>
            </w:r>
          </w:p>
          <w:p>
            <w:pPr>
              <w:pStyle w:val="TableParagraph"/>
              <w:spacing w:before="8"/>
              <w:rPr>
                <w:sz w:val="22"/>
              </w:rPr>
            </w:pPr>
          </w:p>
          <w:p>
            <w:pPr>
              <w:pStyle w:val="TableParagraph"/>
              <w:ind w:left="309"/>
              <w:rPr>
                <w:sz w:val="21"/>
              </w:rPr>
            </w:pPr>
            <w:r>
              <w:rPr>
                <w:sz w:val="21"/>
              </w:rPr>
              <w:t>值比例(％)</w:t>
            </w:r>
          </w:p>
        </w:tc>
      </w:tr>
      <w:tr>
        <w:trPr>
          <w:trHeight w:val="587" w:hRule="atLeast"/>
        </w:trPr>
        <w:tc>
          <w:tcPr>
            <w:tcW w:w="1172" w:type="dxa"/>
          </w:tcPr>
          <w:p>
            <w:pPr>
              <w:pStyle w:val="TableParagraph"/>
              <w:spacing w:before="175"/>
              <w:ind w:left="27"/>
              <w:jc w:val="center"/>
              <w:rPr>
                <w:sz w:val="21"/>
              </w:rPr>
            </w:pPr>
            <w:r>
              <w:rPr>
                <w:sz w:val="21"/>
              </w:rPr>
              <w:t>1</w:t>
            </w:r>
          </w:p>
        </w:tc>
        <w:tc>
          <w:tcPr>
            <w:tcW w:w="2654" w:type="dxa"/>
          </w:tcPr>
          <w:p>
            <w:pPr>
              <w:pStyle w:val="TableParagraph"/>
              <w:spacing w:before="175"/>
              <w:ind w:left="124"/>
              <w:rPr>
                <w:sz w:val="21"/>
              </w:rPr>
            </w:pPr>
            <w:r>
              <w:rPr>
                <w:sz w:val="21"/>
              </w:rPr>
              <w:t>国家债券</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27"/>
              <w:jc w:val="center"/>
              <w:rPr>
                <w:sz w:val="21"/>
              </w:rPr>
            </w:pPr>
            <w:r>
              <w:rPr>
                <w:sz w:val="21"/>
              </w:rPr>
              <w:t>2</w:t>
            </w:r>
          </w:p>
        </w:tc>
        <w:tc>
          <w:tcPr>
            <w:tcW w:w="2654" w:type="dxa"/>
          </w:tcPr>
          <w:p>
            <w:pPr>
              <w:pStyle w:val="TableParagraph"/>
              <w:spacing w:before="175"/>
              <w:ind w:left="124"/>
              <w:rPr>
                <w:sz w:val="21"/>
              </w:rPr>
            </w:pPr>
            <w:r>
              <w:rPr>
                <w:sz w:val="21"/>
              </w:rPr>
              <w:t>央行票据</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27"/>
              <w:jc w:val="center"/>
              <w:rPr>
                <w:sz w:val="21"/>
              </w:rPr>
            </w:pPr>
            <w:r>
              <w:rPr>
                <w:sz w:val="21"/>
              </w:rPr>
              <w:t>3</w:t>
            </w:r>
          </w:p>
        </w:tc>
        <w:tc>
          <w:tcPr>
            <w:tcW w:w="2654" w:type="dxa"/>
          </w:tcPr>
          <w:p>
            <w:pPr>
              <w:pStyle w:val="TableParagraph"/>
              <w:spacing w:before="175"/>
              <w:ind w:left="124"/>
              <w:rPr>
                <w:sz w:val="21"/>
              </w:rPr>
            </w:pPr>
            <w:r>
              <w:rPr>
                <w:sz w:val="21"/>
              </w:rPr>
              <w:t>金融债券</w:t>
            </w:r>
          </w:p>
        </w:tc>
        <w:tc>
          <w:tcPr>
            <w:tcW w:w="2523" w:type="dxa"/>
          </w:tcPr>
          <w:p>
            <w:pPr>
              <w:pStyle w:val="TableParagraph"/>
              <w:spacing w:before="175"/>
              <w:ind w:right="97"/>
              <w:jc w:val="right"/>
              <w:rPr>
                <w:sz w:val="21"/>
              </w:rPr>
            </w:pPr>
            <w:r>
              <w:rPr>
                <w:sz w:val="21"/>
              </w:rPr>
              <w:t>704,931,000.00</w:t>
            </w:r>
          </w:p>
        </w:tc>
        <w:tc>
          <w:tcPr>
            <w:tcW w:w="1651" w:type="dxa"/>
          </w:tcPr>
          <w:p>
            <w:pPr>
              <w:pStyle w:val="TableParagraph"/>
              <w:spacing w:before="175"/>
              <w:ind w:right="97"/>
              <w:jc w:val="right"/>
              <w:rPr>
                <w:sz w:val="21"/>
              </w:rPr>
            </w:pPr>
            <w:r>
              <w:rPr>
                <w:sz w:val="21"/>
              </w:rPr>
              <w:t>3.57</w:t>
            </w:r>
          </w:p>
        </w:tc>
      </w:tr>
      <w:tr>
        <w:trPr>
          <w:trHeight w:val="587" w:hRule="atLeast"/>
        </w:trPr>
        <w:tc>
          <w:tcPr>
            <w:tcW w:w="1172" w:type="dxa"/>
          </w:tcPr>
          <w:p>
            <w:pPr>
              <w:pStyle w:val="TableParagraph"/>
              <w:rPr>
                <w:rFonts w:ascii="Times New Roman"/>
                <w:sz w:val="20"/>
              </w:rPr>
            </w:pPr>
          </w:p>
        </w:tc>
        <w:tc>
          <w:tcPr>
            <w:tcW w:w="2654" w:type="dxa"/>
          </w:tcPr>
          <w:p>
            <w:pPr>
              <w:pStyle w:val="TableParagraph"/>
              <w:spacing w:before="175"/>
              <w:ind w:left="124"/>
              <w:rPr>
                <w:sz w:val="21"/>
              </w:rPr>
            </w:pPr>
            <w:r>
              <w:rPr>
                <w:sz w:val="21"/>
              </w:rPr>
              <w:t>其中：政策性金融债</w:t>
            </w:r>
          </w:p>
        </w:tc>
        <w:tc>
          <w:tcPr>
            <w:tcW w:w="2523" w:type="dxa"/>
          </w:tcPr>
          <w:p>
            <w:pPr>
              <w:pStyle w:val="TableParagraph"/>
              <w:spacing w:before="175"/>
              <w:ind w:right="97"/>
              <w:jc w:val="right"/>
              <w:rPr>
                <w:sz w:val="21"/>
              </w:rPr>
            </w:pPr>
            <w:r>
              <w:rPr>
                <w:sz w:val="21"/>
              </w:rPr>
              <w:t>704,931,000.00</w:t>
            </w:r>
          </w:p>
        </w:tc>
        <w:tc>
          <w:tcPr>
            <w:tcW w:w="1651" w:type="dxa"/>
          </w:tcPr>
          <w:p>
            <w:pPr>
              <w:pStyle w:val="TableParagraph"/>
              <w:spacing w:before="175"/>
              <w:ind w:right="97"/>
              <w:jc w:val="right"/>
              <w:rPr>
                <w:sz w:val="21"/>
              </w:rPr>
            </w:pPr>
            <w:r>
              <w:rPr>
                <w:sz w:val="21"/>
              </w:rPr>
              <w:t>3.57</w:t>
            </w:r>
          </w:p>
        </w:tc>
      </w:tr>
      <w:tr>
        <w:trPr>
          <w:trHeight w:val="587" w:hRule="atLeast"/>
        </w:trPr>
        <w:tc>
          <w:tcPr>
            <w:tcW w:w="1172" w:type="dxa"/>
          </w:tcPr>
          <w:p>
            <w:pPr>
              <w:pStyle w:val="TableParagraph"/>
              <w:spacing w:before="175"/>
              <w:ind w:left="27"/>
              <w:jc w:val="center"/>
              <w:rPr>
                <w:sz w:val="21"/>
              </w:rPr>
            </w:pPr>
            <w:r>
              <w:rPr>
                <w:sz w:val="21"/>
              </w:rPr>
              <w:t>4</w:t>
            </w:r>
          </w:p>
        </w:tc>
        <w:tc>
          <w:tcPr>
            <w:tcW w:w="2654" w:type="dxa"/>
          </w:tcPr>
          <w:p>
            <w:pPr>
              <w:pStyle w:val="TableParagraph"/>
              <w:spacing w:before="175"/>
              <w:ind w:left="124"/>
              <w:rPr>
                <w:sz w:val="21"/>
              </w:rPr>
            </w:pPr>
            <w:r>
              <w:rPr>
                <w:sz w:val="21"/>
              </w:rPr>
              <w:t>企业债券</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27"/>
              <w:jc w:val="center"/>
              <w:rPr>
                <w:sz w:val="21"/>
              </w:rPr>
            </w:pPr>
            <w:r>
              <w:rPr>
                <w:sz w:val="21"/>
              </w:rPr>
              <w:t>5</w:t>
            </w:r>
          </w:p>
        </w:tc>
        <w:tc>
          <w:tcPr>
            <w:tcW w:w="2654" w:type="dxa"/>
          </w:tcPr>
          <w:p>
            <w:pPr>
              <w:pStyle w:val="TableParagraph"/>
              <w:spacing w:before="175"/>
              <w:ind w:left="124"/>
              <w:rPr>
                <w:sz w:val="21"/>
              </w:rPr>
            </w:pPr>
            <w:r>
              <w:rPr>
                <w:sz w:val="21"/>
              </w:rPr>
              <w:t>企业短期融资券</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27"/>
              <w:jc w:val="center"/>
              <w:rPr>
                <w:sz w:val="21"/>
              </w:rPr>
            </w:pPr>
            <w:r>
              <w:rPr>
                <w:sz w:val="21"/>
              </w:rPr>
              <w:t>6</w:t>
            </w:r>
          </w:p>
        </w:tc>
        <w:tc>
          <w:tcPr>
            <w:tcW w:w="2654" w:type="dxa"/>
          </w:tcPr>
          <w:p>
            <w:pPr>
              <w:pStyle w:val="TableParagraph"/>
              <w:spacing w:before="175"/>
              <w:ind w:left="124"/>
              <w:rPr>
                <w:sz w:val="21"/>
              </w:rPr>
            </w:pPr>
            <w:r>
              <w:rPr>
                <w:sz w:val="21"/>
              </w:rPr>
              <w:t>中期票据</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27"/>
              <w:jc w:val="center"/>
              <w:rPr>
                <w:sz w:val="21"/>
              </w:rPr>
            </w:pPr>
            <w:r>
              <w:rPr>
                <w:sz w:val="21"/>
              </w:rPr>
              <w:t>7</w:t>
            </w:r>
          </w:p>
        </w:tc>
        <w:tc>
          <w:tcPr>
            <w:tcW w:w="2654" w:type="dxa"/>
          </w:tcPr>
          <w:p>
            <w:pPr>
              <w:pStyle w:val="TableParagraph"/>
              <w:spacing w:before="175"/>
              <w:ind w:left="124"/>
              <w:rPr>
                <w:sz w:val="21"/>
              </w:rPr>
            </w:pPr>
            <w:r>
              <w:rPr>
                <w:sz w:val="21"/>
              </w:rPr>
              <w:t>可转债（可交换债）</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27"/>
              <w:jc w:val="center"/>
              <w:rPr>
                <w:sz w:val="21"/>
              </w:rPr>
            </w:pPr>
            <w:r>
              <w:rPr>
                <w:sz w:val="21"/>
              </w:rPr>
              <w:t>8</w:t>
            </w:r>
          </w:p>
        </w:tc>
        <w:tc>
          <w:tcPr>
            <w:tcW w:w="2654" w:type="dxa"/>
          </w:tcPr>
          <w:p>
            <w:pPr>
              <w:pStyle w:val="TableParagraph"/>
              <w:spacing w:before="175"/>
              <w:ind w:left="124"/>
              <w:rPr>
                <w:sz w:val="21"/>
              </w:rPr>
            </w:pPr>
            <w:r>
              <w:rPr>
                <w:sz w:val="21"/>
              </w:rPr>
              <w:t>同业存单</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27"/>
              <w:jc w:val="center"/>
              <w:rPr>
                <w:sz w:val="21"/>
              </w:rPr>
            </w:pPr>
            <w:r>
              <w:rPr>
                <w:sz w:val="21"/>
              </w:rPr>
              <w:t>9</w:t>
            </w:r>
          </w:p>
        </w:tc>
        <w:tc>
          <w:tcPr>
            <w:tcW w:w="2654" w:type="dxa"/>
          </w:tcPr>
          <w:p>
            <w:pPr>
              <w:pStyle w:val="TableParagraph"/>
              <w:spacing w:before="175"/>
              <w:ind w:left="124"/>
              <w:rPr>
                <w:sz w:val="21"/>
              </w:rPr>
            </w:pPr>
            <w:r>
              <w:rPr>
                <w:sz w:val="21"/>
              </w:rPr>
              <w:t>其他</w:t>
            </w:r>
          </w:p>
        </w:tc>
        <w:tc>
          <w:tcPr>
            <w:tcW w:w="2523" w:type="dxa"/>
          </w:tcPr>
          <w:p>
            <w:pPr>
              <w:pStyle w:val="TableParagraph"/>
              <w:spacing w:before="175"/>
              <w:ind w:right="97"/>
              <w:jc w:val="right"/>
              <w:rPr>
                <w:sz w:val="21"/>
              </w:rPr>
            </w:pPr>
            <w:r>
              <w:rPr>
                <w:sz w:val="21"/>
              </w:rPr>
              <w:t>-</w:t>
            </w:r>
          </w:p>
        </w:tc>
        <w:tc>
          <w:tcPr>
            <w:tcW w:w="1651" w:type="dxa"/>
          </w:tcPr>
          <w:p>
            <w:pPr>
              <w:pStyle w:val="TableParagraph"/>
              <w:spacing w:before="175"/>
              <w:ind w:right="97"/>
              <w:jc w:val="right"/>
              <w:rPr>
                <w:sz w:val="21"/>
              </w:rPr>
            </w:pPr>
            <w:r>
              <w:rPr>
                <w:sz w:val="21"/>
              </w:rPr>
              <w:t>-</w:t>
            </w:r>
          </w:p>
        </w:tc>
      </w:tr>
      <w:tr>
        <w:trPr>
          <w:trHeight w:val="587" w:hRule="atLeast"/>
        </w:trPr>
        <w:tc>
          <w:tcPr>
            <w:tcW w:w="1172" w:type="dxa"/>
          </w:tcPr>
          <w:p>
            <w:pPr>
              <w:pStyle w:val="TableParagraph"/>
              <w:spacing w:before="175"/>
              <w:ind w:left="364" w:right="337"/>
              <w:jc w:val="center"/>
              <w:rPr>
                <w:sz w:val="21"/>
              </w:rPr>
            </w:pPr>
            <w:r>
              <w:rPr>
                <w:sz w:val="21"/>
              </w:rPr>
              <w:t>10</w:t>
            </w:r>
          </w:p>
        </w:tc>
        <w:tc>
          <w:tcPr>
            <w:tcW w:w="2654" w:type="dxa"/>
          </w:tcPr>
          <w:p>
            <w:pPr>
              <w:pStyle w:val="TableParagraph"/>
              <w:spacing w:before="175"/>
              <w:ind w:left="124"/>
              <w:rPr>
                <w:sz w:val="21"/>
              </w:rPr>
            </w:pPr>
            <w:r>
              <w:rPr>
                <w:sz w:val="21"/>
              </w:rPr>
              <w:t>合计</w:t>
            </w:r>
          </w:p>
        </w:tc>
        <w:tc>
          <w:tcPr>
            <w:tcW w:w="2523" w:type="dxa"/>
          </w:tcPr>
          <w:p>
            <w:pPr>
              <w:pStyle w:val="TableParagraph"/>
              <w:spacing w:before="175"/>
              <w:ind w:right="97"/>
              <w:jc w:val="right"/>
              <w:rPr>
                <w:sz w:val="21"/>
              </w:rPr>
            </w:pPr>
            <w:r>
              <w:rPr>
                <w:sz w:val="21"/>
              </w:rPr>
              <w:t>704,931,000.00</w:t>
            </w:r>
          </w:p>
        </w:tc>
        <w:tc>
          <w:tcPr>
            <w:tcW w:w="1651" w:type="dxa"/>
          </w:tcPr>
          <w:p>
            <w:pPr>
              <w:pStyle w:val="TableParagraph"/>
              <w:spacing w:before="175"/>
              <w:ind w:right="97"/>
              <w:jc w:val="right"/>
              <w:rPr>
                <w:sz w:val="21"/>
              </w:rPr>
            </w:pPr>
            <w:r>
              <w:rPr>
                <w:sz w:val="21"/>
              </w:rPr>
              <w:t>3.57</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1461"/>
        <w:gridCol w:w="1377"/>
        <w:gridCol w:w="1546"/>
        <w:gridCol w:w="1724"/>
        <w:gridCol w:w="1119"/>
      </w:tblGrid>
      <w:tr>
        <w:trPr>
          <w:trHeight w:val="1705" w:hRule="atLeast"/>
        </w:trPr>
        <w:tc>
          <w:tcPr>
            <w:tcW w:w="773"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165" w:right="138"/>
              <w:jc w:val="center"/>
              <w:rPr>
                <w:sz w:val="21"/>
              </w:rPr>
            </w:pPr>
            <w:r>
              <w:rPr>
                <w:sz w:val="21"/>
              </w:rPr>
              <w:t>序号</w:t>
            </w:r>
          </w:p>
        </w:tc>
        <w:tc>
          <w:tcPr>
            <w:tcW w:w="1461"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299" w:right="272"/>
              <w:jc w:val="center"/>
              <w:rPr>
                <w:sz w:val="21"/>
              </w:rPr>
            </w:pPr>
            <w:r>
              <w:rPr>
                <w:sz w:val="21"/>
              </w:rPr>
              <w:t>债券代码</w:t>
            </w:r>
          </w:p>
        </w:tc>
        <w:tc>
          <w:tcPr>
            <w:tcW w:w="1377"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right="248"/>
              <w:jc w:val="right"/>
              <w:rPr>
                <w:sz w:val="21"/>
              </w:rPr>
            </w:pPr>
            <w:r>
              <w:rPr>
                <w:sz w:val="21"/>
              </w:rPr>
              <w:t>债券名称</w:t>
            </w:r>
          </w:p>
        </w:tc>
        <w:tc>
          <w:tcPr>
            <w:tcW w:w="1546"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256"/>
              <w:rPr>
                <w:sz w:val="21"/>
              </w:rPr>
            </w:pPr>
            <w:r>
              <w:rPr>
                <w:sz w:val="21"/>
              </w:rPr>
              <w:t>数量（张）</w:t>
            </w:r>
          </w:p>
        </w:tc>
        <w:tc>
          <w:tcPr>
            <w:tcW w:w="1724" w:type="dxa"/>
          </w:tcPr>
          <w:p>
            <w:pPr>
              <w:pStyle w:val="TableParagraph"/>
              <w:rPr>
                <w:sz w:val="20"/>
              </w:rPr>
            </w:pPr>
          </w:p>
          <w:p>
            <w:pPr>
              <w:pStyle w:val="TableParagraph"/>
              <w:rPr>
                <w:sz w:val="20"/>
              </w:rPr>
            </w:pPr>
          </w:p>
          <w:p>
            <w:pPr>
              <w:pStyle w:val="TableParagraph"/>
              <w:spacing w:before="3"/>
              <w:rPr>
                <w:sz w:val="17"/>
              </w:rPr>
            </w:pPr>
          </w:p>
          <w:p>
            <w:pPr>
              <w:pStyle w:val="TableParagraph"/>
              <w:spacing w:before="1"/>
              <w:ind w:left="105" w:right="78"/>
              <w:jc w:val="center"/>
              <w:rPr>
                <w:sz w:val="21"/>
              </w:rPr>
            </w:pPr>
            <w:r>
              <w:rPr>
                <w:sz w:val="21"/>
              </w:rPr>
              <w:t>公允价值（元）</w:t>
            </w:r>
          </w:p>
        </w:tc>
        <w:tc>
          <w:tcPr>
            <w:tcW w:w="1119" w:type="dxa"/>
          </w:tcPr>
          <w:p>
            <w:pPr>
              <w:pStyle w:val="TableParagraph"/>
              <w:spacing w:before="175"/>
              <w:ind w:left="127" w:right="101"/>
              <w:jc w:val="center"/>
              <w:rPr>
                <w:sz w:val="21"/>
              </w:rPr>
            </w:pPr>
            <w:r>
              <w:rPr>
                <w:sz w:val="21"/>
              </w:rPr>
              <w:t>占基金资</w:t>
            </w:r>
          </w:p>
          <w:p>
            <w:pPr>
              <w:pStyle w:val="TableParagraph"/>
              <w:spacing w:line="560" w:lineRule="atLeast"/>
              <w:ind w:left="147" w:right="119"/>
              <w:jc w:val="center"/>
              <w:rPr>
                <w:sz w:val="21"/>
              </w:rPr>
            </w:pPr>
            <w:r>
              <w:rPr>
                <w:spacing w:val="-5"/>
                <w:sz w:val="21"/>
              </w:rPr>
              <w:t>产净值比</w:t>
            </w:r>
            <w:r>
              <w:rPr>
                <w:sz w:val="21"/>
              </w:rPr>
              <w:t>例(％)</w:t>
            </w:r>
          </w:p>
        </w:tc>
      </w:tr>
      <w:tr>
        <w:trPr>
          <w:trHeight w:val="587" w:hRule="atLeast"/>
        </w:trPr>
        <w:tc>
          <w:tcPr>
            <w:tcW w:w="773" w:type="dxa"/>
          </w:tcPr>
          <w:p>
            <w:pPr>
              <w:pStyle w:val="TableParagraph"/>
              <w:spacing w:before="175"/>
              <w:ind w:left="27"/>
              <w:jc w:val="center"/>
              <w:rPr>
                <w:sz w:val="21"/>
              </w:rPr>
            </w:pPr>
            <w:r>
              <w:rPr>
                <w:sz w:val="21"/>
              </w:rPr>
              <w:t>1</w:t>
            </w:r>
          </w:p>
        </w:tc>
        <w:tc>
          <w:tcPr>
            <w:tcW w:w="1461" w:type="dxa"/>
          </w:tcPr>
          <w:p>
            <w:pPr>
              <w:pStyle w:val="TableParagraph"/>
              <w:spacing w:before="175"/>
              <w:ind w:left="299" w:right="272"/>
              <w:jc w:val="center"/>
              <w:rPr>
                <w:sz w:val="21"/>
              </w:rPr>
            </w:pPr>
            <w:r>
              <w:rPr>
                <w:sz w:val="21"/>
              </w:rPr>
              <w:t>170209</w:t>
            </w:r>
          </w:p>
        </w:tc>
        <w:tc>
          <w:tcPr>
            <w:tcW w:w="1377" w:type="dxa"/>
          </w:tcPr>
          <w:p>
            <w:pPr>
              <w:pStyle w:val="TableParagraph"/>
              <w:spacing w:before="175"/>
              <w:ind w:right="248"/>
              <w:jc w:val="right"/>
              <w:rPr>
                <w:sz w:val="21"/>
              </w:rPr>
            </w:pPr>
            <w:r>
              <w:rPr>
                <w:sz w:val="21"/>
              </w:rPr>
              <w:t>17国开09</w:t>
            </w:r>
          </w:p>
        </w:tc>
        <w:tc>
          <w:tcPr>
            <w:tcW w:w="1546" w:type="dxa"/>
          </w:tcPr>
          <w:p>
            <w:pPr>
              <w:pStyle w:val="TableParagraph"/>
              <w:spacing w:before="175"/>
              <w:ind w:right="97"/>
              <w:jc w:val="right"/>
              <w:rPr>
                <w:sz w:val="21"/>
              </w:rPr>
            </w:pPr>
            <w:r>
              <w:rPr>
                <w:sz w:val="21"/>
              </w:rPr>
              <w:t>3,700,000</w:t>
            </w:r>
          </w:p>
        </w:tc>
        <w:tc>
          <w:tcPr>
            <w:tcW w:w="1724" w:type="dxa"/>
          </w:tcPr>
          <w:p>
            <w:pPr>
              <w:pStyle w:val="TableParagraph"/>
              <w:spacing w:before="175"/>
              <w:ind w:left="115" w:right="67"/>
              <w:jc w:val="center"/>
              <w:rPr>
                <w:sz w:val="21"/>
              </w:rPr>
            </w:pPr>
            <w:r>
              <w:rPr>
                <w:sz w:val="21"/>
              </w:rPr>
              <w:t>374,403,000.00</w:t>
            </w:r>
          </w:p>
        </w:tc>
        <w:tc>
          <w:tcPr>
            <w:tcW w:w="1119" w:type="dxa"/>
          </w:tcPr>
          <w:p>
            <w:pPr>
              <w:pStyle w:val="TableParagraph"/>
              <w:spacing w:before="175"/>
              <w:ind w:right="96"/>
              <w:jc w:val="right"/>
              <w:rPr>
                <w:sz w:val="21"/>
              </w:rPr>
            </w:pPr>
            <w:r>
              <w:rPr>
                <w:sz w:val="21"/>
              </w:rPr>
              <w:t>1.90</w:t>
            </w:r>
          </w:p>
        </w:tc>
      </w:tr>
      <w:tr>
        <w:trPr>
          <w:trHeight w:val="587" w:hRule="atLeast"/>
        </w:trPr>
        <w:tc>
          <w:tcPr>
            <w:tcW w:w="773" w:type="dxa"/>
          </w:tcPr>
          <w:p>
            <w:pPr>
              <w:pStyle w:val="TableParagraph"/>
              <w:spacing w:before="175"/>
              <w:ind w:left="27"/>
              <w:jc w:val="center"/>
              <w:rPr>
                <w:sz w:val="21"/>
              </w:rPr>
            </w:pPr>
            <w:r>
              <w:rPr>
                <w:sz w:val="21"/>
              </w:rPr>
              <w:t>2</w:t>
            </w:r>
          </w:p>
        </w:tc>
        <w:tc>
          <w:tcPr>
            <w:tcW w:w="1461" w:type="dxa"/>
          </w:tcPr>
          <w:p>
            <w:pPr>
              <w:pStyle w:val="TableParagraph"/>
              <w:spacing w:before="175"/>
              <w:ind w:left="299" w:right="272"/>
              <w:jc w:val="center"/>
              <w:rPr>
                <w:sz w:val="21"/>
              </w:rPr>
            </w:pPr>
            <w:r>
              <w:rPr>
                <w:sz w:val="21"/>
              </w:rPr>
              <w:t>190206</w:t>
            </w:r>
          </w:p>
        </w:tc>
        <w:tc>
          <w:tcPr>
            <w:tcW w:w="1377" w:type="dxa"/>
          </w:tcPr>
          <w:p>
            <w:pPr>
              <w:pStyle w:val="TableParagraph"/>
              <w:spacing w:before="175"/>
              <w:ind w:right="248"/>
              <w:jc w:val="right"/>
              <w:rPr>
                <w:sz w:val="21"/>
              </w:rPr>
            </w:pPr>
            <w:r>
              <w:rPr>
                <w:sz w:val="21"/>
              </w:rPr>
              <w:t>19国开06</w:t>
            </w:r>
          </w:p>
        </w:tc>
        <w:tc>
          <w:tcPr>
            <w:tcW w:w="1546" w:type="dxa"/>
          </w:tcPr>
          <w:p>
            <w:pPr>
              <w:pStyle w:val="TableParagraph"/>
              <w:spacing w:before="175"/>
              <w:ind w:right="97"/>
              <w:jc w:val="right"/>
              <w:rPr>
                <w:sz w:val="21"/>
              </w:rPr>
            </w:pPr>
            <w:r>
              <w:rPr>
                <w:sz w:val="21"/>
              </w:rPr>
              <w:t>3,300,000</w:t>
            </w:r>
          </w:p>
        </w:tc>
        <w:tc>
          <w:tcPr>
            <w:tcW w:w="1724" w:type="dxa"/>
          </w:tcPr>
          <w:p>
            <w:pPr>
              <w:pStyle w:val="TableParagraph"/>
              <w:spacing w:before="175"/>
              <w:ind w:left="115" w:right="67"/>
              <w:jc w:val="center"/>
              <w:rPr>
                <w:sz w:val="21"/>
              </w:rPr>
            </w:pPr>
            <w:r>
              <w:rPr>
                <w:sz w:val="21"/>
              </w:rPr>
              <w:t>330,528,000.00</w:t>
            </w:r>
          </w:p>
        </w:tc>
        <w:tc>
          <w:tcPr>
            <w:tcW w:w="1119" w:type="dxa"/>
          </w:tcPr>
          <w:p>
            <w:pPr>
              <w:pStyle w:val="TableParagraph"/>
              <w:spacing w:before="175"/>
              <w:ind w:right="96"/>
              <w:jc w:val="right"/>
              <w:rPr>
                <w:sz w:val="21"/>
              </w:rPr>
            </w:pPr>
            <w:r>
              <w:rPr>
                <w:sz w:val="21"/>
              </w:rPr>
              <w:t>1.67</w:t>
            </w:r>
          </w:p>
        </w:tc>
      </w:tr>
    </w:tbl>
    <w:p>
      <w:pPr>
        <w:pStyle w:val="BodyText"/>
        <w:spacing w:line="364" w:lineRule="auto" w:before="3"/>
        <w:ind w:right="1436"/>
      </w:pPr>
      <w:r>
        <w:rPr/>
        <w:t>6、报告期末按公允价值占基金资产净值比例大小排序的前十名资产支持证券投资明细本基金本报告期末未持有资产支持证券。</w:t>
      </w:r>
    </w:p>
    <w:p>
      <w:pPr>
        <w:pStyle w:val="BodyText"/>
        <w:spacing w:line="364" w:lineRule="auto"/>
        <w:ind w:right="2066"/>
      </w:pPr>
      <w:r>
        <w:rPr/>
        <w:t>7、报告期末按公允价值占基金资产净值比例大小排序的前五名贵金属投资明细本基金本报告期末未持有贵金属。</w:t>
      </w:r>
    </w:p>
    <w:p>
      <w:pPr>
        <w:pStyle w:val="BodyText"/>
        <w:spacing w:line="364" w:lineRule="auto"/>
        <w:ind w:right="2276"/>
      </w:pPr>
      <w:r>
        <w:rPr/>
        <w:t>8、报告期末按公允价值占基金资产净值比例大小排序的前五名权证投资明细本基金本报告期末未持有权证。</w:t>
      </w:r>
    </w:p>
    <w:p>
      <w:pPr>
        <w:spacing w:after="0" w:line="364" w:lineRule="auto"/>
        <w:sectPr>
          <w:pgSz w:w="11910" w:h="16840"/>
          <w:pgMar w:header="0" w:footer="1172" w:top="1580" w:bottom="1440" w:left="1520" w:right="360"/>
        </w:sectPr>
      </w:pPr>
    </w:p>
    <w:p>
      <w:pPr>
        <w:pStyle w:val="BodyText"/>
        <w:spacing w:line="364" w:lineRule="auto" w:before="106"/>
        <w:ind w:right="4796"/>
      </w:pPr>
      <w:r>
        <w:rPr/>
        <w:t>9</w:t>
      </w:r>
      <w:r>
        <w:rPr>
          <w:spacing w:val="-1"/>
        </w:rPr>
        <w:t>、报告期末本基金投资的股指期货交易情况说明</w:t>
      </w:r>
      <w:r>
        <w:rPr/>
        <w:t>本基金本报告期末未投资股指期货。</w:t>
      </w:r>
    </w:p>
    <w:p>
      <w:pPr>
        <w:pStyle w:val="BodyText"/>
        <w:spacing w:line="364" w:lineRule="auto"/>
        <w:ind w:right="4691"/>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BodyText"/>
        <w:spacing w:line="364" w:lineRule="auto" w:before="138"/>
        <w:ind w:left="293" w:right="936" w:firstLine="420"/>
        <w:jc w:val="both"/>
      </w:pPr>
      <w:r>
        <w:rPr/>
        <w:t>（1）2019</w:t>
      </w:r>
      <w:r>
        <w:rPr>
          <w:spacing w:val="-36"/>
        </w:rPr>
        <w:t> 年 </w:t>
      </w:r>
      <w:r>
        <w:rPr/>
        <w:t>7</w:t>
      </w:r>
      <w:r>
        <w:rPr>
          <w:spacing w:val="-36"/>
        </w:rPr>
        <w:t> 月 </w:t>
      </w:r>
      <w:r>
        <w:rPr/>
        <w:t>8</w:t>
      </w:r>
      <w:r>
        <w:rPr>
          <w:spacing w:val="-8"/>
        </w:rPr>
        <w:t> 日，中国银行保险监督管理委员会上海监管局对招商银行股份有限公司</w:t>
      </w:r>
      <w:r>
        <w:rPr>
          <w:spacing w:val="-5"/>
        </w:rPr>
        <w:t>信用卡中心 </w:t>
      </w:r>
      <w:r>
        <w:rPr/>
        <w:t>2016</w:t>
      </w:r>
      <w:r>
        <w:rPr>
          <w:spacing w:val="-34"/>
        </w:rPr>
        <w:t> 年 </w:t>
      </w:r>
      <w:r>
        <w:rPr/>
        <w:t>9</w:t>
      </w:r>
      <w:r>
        <w:rPr>
          <w:spacing w:val="-24"/>
        </w:rPr>
        <w:t> 月至 </w:t>
      </w:r>
      <w:r>
        <w:rPr/>
        <w:t>2018</w:t>
      </w:r>
      <w:r>
        <w:rPr>
          <w:spacing w:val="-34"/>
        </w:rPr>
        <w:t> 年 </w:t>
      </w:r>
      <w:r>
        <w:rPr/>
        <w:t>6</w:t>
      </w:r>
      <w:r>
        <w:rPr>
          <w:spacing w:val="-3"/>
        </w:rPr>
        <w:t> 月在为部分客户办理信用卡业务时，未遵守总授信额度管</w:t>
      </w:r>
      <w:r>
        <w:rPr>
          <w:spacing w:val="-6"/>
        </w:rPr>
        <w:t>理制度的违法违规事实，责令改正，并处罚款 </w:t>
      </w:r>
      <w:r>
        <w:rPr/>
        <w:t>20</w:t>
      </w:r>
      <w:r>
        <w:rPr>
          <w:spacing w:val="-14"/>
        </w:rPr>
        <w:t> 万元。</w:t>
      </w:r>
    </w:p>
    <w:p>
      <w:pPr>
        <w:pStyle w:val="BodyText"/>
        <w:spacing w:line="364" w:lineRule="auto"/>
        <w:ind w:left="293" w:right="936" w:firstLine="420"/>
        <w:jc w:val="both"/>
      </w:pPr>
      <w:r>
        <w:rPr/>
        <w:t>2019</w:t>
      </w:r>
      <w:r>
        <w:rPr>
          <w:spacing w:val="-35"/>
        </w:rPr>
        <w:t> 年 </w:t>
      </w:r>
      <w:r>
        <w:rPr/>
        <w:t>7</w:t>
      </w:r>
      <w:r>
        <w:rPr>
          <w:spacing w:val="-35"/>
        </w:rPr>
        <w:t> 月 </w:t>
      </w:r>
      <w:r>
        <w:rPr/>
        <w:t>8</w:t>
      </w:r>
      <w:r>
        <w:rPr>
          <w:spacing w:val="-5"/>
        </w:rPr>
        <w:t> 日，中国银行保险监督管理委员会上海监管局针对兴业银行股份有限公司信</w:t>
      </w:r>
      <w:r>
        <w:rPr>
          <w:spacing w:val="-13"/>
        </w:rPr>
        <w:t>用卡中心 </w:t>
      </w:r>
      <w:r>
        <w:rPr/>
        <w:t>1、2016</w:t>
      </w:r>
      <w:r>
        <w:rPr>
          <w:spacing w:val="-31"/>
        </w:rPr>
        <w:t> 年 </w:t>
      </w:r>
      <w:r>
        <w:rPr/>
        <w:t>1</w:t>
      </w:r>
      <w:r>
        <w:rPr>
          <w:spacing w:val="-23"/>
        </w:rPr>
        <w:t> 月至 </w:t>
      </w:r>
      <w:r>
        <w:rPr/>
        <w:t>2018</w:t>
      </w:r>
      <w:r>
        <w:rPr>
          <w:spacing w:val="-30"/>
        </w:rPr>
        <w:t> 年 </w:t>
      </w:r>
      <w:r>
        <w:rPr/>
        <w:t>1</w:t>
      </w:r>
      <w:r>
        <w:rPr>
          <w:spacing w:val="-7"/>
        </w:rPr>
        <w:t> 月在为部分客户办理信用卡业务时未遵守总授信额度管理</w:t>
      </w:r>
      <w:r>
        <w:rPr>
          <w:spacing w:val="8"/>
        </w:rPr>
        <w:t>制度；</w:t>
      </w:r>
      <w:r>
        <w:rPr>
          <w:spacing w:val="5"/>
        </w:rPr>
        <w:t>2</w:t>
      </w:r>
      <w:r>
        <w:rPr>
          <w:spacing w:val="10"/>
        </w:rPr>
        <w:t>、</w:t>
      </w:r>
      <w:r>
        <w:rPr/>
        <w:t>2016</w:t>
      </w:r>
      <w:r>
        <w:rPr>
          <w:spacing w:val="-22"/>
        </w:rPr>
        <w:t> 年至 </w:t>
      </w:r>
      <w:r>
        <w:rPr/>
        <w:t>2018</w:t>
      </w:r>
      <w:r>
        <w:rPr>
          <w:spacing w:val="-33"/>
        </w:rPr>
        <w:t> 年 </w:t>
      </w:r>
      <w:r>
        <w:rPr/>
        <w:t>8 月对部分信用卡申请人资信水平调查严重不尽职的违法违规行</w:t>
      </w:r>
      <w:r>
        <w:rPr>
          <w:spacing w:val="-5"/>
        </w:rPr>
        <w:t>为，责令改正，并处罚款 </w:t>
      </w:r>
      <w:r>
        <w:rPr/>
        <w:t>40</w:t>
      </w:r>
      <w:r>
        <w:rPr>
          <w:spacing w:val="-14"/>
        </w:rPr>
        <w:t> 万元。</w:t>
      </w:r>
    </w:p>
    <w:p>
      <w:pPr>
        <w:pStyle w:val="BodyText"/>
        <w:spacing w:line="364" w:lineRule="auto"/>
        <w:ind w:left="293" w:right="936" w:firstLine="420"/>
        <w:jc w:val="both"/>
      </w:pPr>
      <w:r>
        <w:rPr/>
        <w:t>2019</w:t>
      </w:r>
      <w:r>
        <w:rPr>
          <w:spacing w:val="-36"/>
        </w:rPr>
        <w:t> 年 </w:t>
      </w:r>
      <w:r>
        <w:rPr/>
        <w:t>5</w:t>
      </w:r>
      <w:r>
        <w:rPr>
          <w:spacing w:val="-36"/>
        </w:rPr>
        <w:t> 月 </w:t>
      </w:r>
      <w:r>
        <w:rPr/>
        <w:t>10</w:t>
      </w:r>
      <w:r>
        <w:rPr>
          <w:spacing w:val="-8"/>
        </w:rPr>
        <w:t> 日，中国银行保险监督管理委员会上海监管局针对平安银行股份有限公司信</w:t>
      </w:r>
      <w:r>
        <w:rPr>
          <w:spacing w:val="-2"/>
        </w:rPr>
        <w:t>用卡中心上海分中心 </w:t>
      </w:r>
      <w:r>
        <w:rPr/>
        <w:t>2015</w:t>
      </w:r>
      <w:r>
        <w:rPr>
          <w:spacing w:val="-24"/>
        </w:rPr>
        <w:t> 年至 </w:t>
      </w:r>
      <w:r>
        <w:rPr/>
        <w:t>2017</w:t>
      </w:r>
      <w:r>
        <w:rPr>
          <w:spacing w:val="-3"/>
        </w:rPr>
        <w:t> 年对员工经商办企业的行为屡禁不止，员工行为管理严重</w:t>
      </w:r>
      <w:r>
        <w:rPr>
          <w:spacing w:val="-5"/>
        </w:rPr>
        <w:t>违反审慎经营规则的违法违规事实，责令改正，并处罚款 </w:t>
      </w:r>
      <w:r>
        <w:rPr/>
        <w:t>40</w:t>
      </w:r>
      <w:r>
        <w:rPr>
          <w:spacing w:val="-14"/>
        </w:rPr>
        <w:t> 万元。</w:t>
      </w:r>
    </w:p>
    <w:p>
      <w:pPr>
        <w:pStyle w:val="BodyText"/>
        <w:spacing w:line="364" w:lineRule="auto"/>
        <w:ind w:left="293" w:right="936" w:firstLine="420"/>
        <w:jc w:val="both"/>
      </w:pPr>
      <w:r>
        <w:rPr/>
        <w:t>2019</w:t>
      </w:r>
      <w:r>
        <w:rPr>
          <w:spacing w:val="-36"/>
        </w:rPr>
        <w:t> 年 </w:t>
      </w:r>
      <w:r>
        <w:rPr/>
        <w:t>8</w:t>
      </w:r>
      <w:r>
        <w:rPr>
          <w:spacing w:val="-36"/>
        </w:rPr>
        <w:t> 月 </w:t>
      </w:r>
      <w:r>
        <w:rPr/>
        <w:t>12</w:t>
      </w:r>
      <w:r>
        <w:rPr>
          <w:spacing w:val="-8"/>
        </w:rPr>
        <w:t> 日，中国银行保险监督管理委员会上海监管局针对平安银行股份有限公司资</w:t>
      </w:r>
      <w:r>
        <w:rPr>
          <w:spacing w:val="-1"/>
        </w:rPr>
        <w:t>金运营中心 </w:t>
      </w:r>
      <w:r>
        <w:rPr/>
        <w:t>2017</w:t>
      </w:r>
      <w:r>
        <w:rPr>
          <w:spacing w:val="-16"/>
        </w:rPr>
        <w:t> 年末至 </w:t>
      </w:r>
      <w:r>
        <w:rPr/>
        <w:t>2018</w:t>
      </w:r>
      <w:r>
        <w:rPr>
          <w:spacing w:val="-32"/>
        </w:rPr>
        <w:t> 年 </w:t>
      </w:r>
      <w:r>
        <w:rPr/>
        <w:t>9</w:t>
      </w:r>
      <w:r>
        <w:rPr>
          <w:spacing w:val="1"/>
        </w:rPr>
        <w:t> 月信息科技风险管理严重违反审慎经营规则的违法违规事</w:t>
      </w:r>
      <w:r>
        <w:rPr>
          <w:spacing w:val="-4"/>
        </w:rPr>
        <w:t>实，责令改正，并处罚款 </w:t>
      </w:r>
      <w:r>
        <w:rPr/>
        <w:t>20</w:t>
      </w:r>
      <w:r>
        <w:rPr>
          <w:spacing w:val="-14"/>
        </w:rPr>
        <w:t> 万元。</w:t>
      </w:r>
    </w:p>
    <w:p>
      <w:pPr>
        <w:pStyle w:val="BodyText"/>
        <w:spacing w:line="364" w:lineRule="auto"/>
        <w:ind w:left="293" w:right="936" w:firstLine="420"/>
        <w:jc w:val="both"/>
      </w:pPr>
      <w:r>
        <w:rPr/>
        <w:t>本基金为指数增强型基金，兴业银行、招商银行、平安银行的投资决策程序符合公司投资制度的规定。除兴业银行、招商银行、平安银行外，本基金投资的前十名证券的发行主体本期没有出现被监管部门立案调查，或在报告编制日前一年内受到公开谴责、处罚的情形。</w:t>
      </w:r>
    </w:p>
    <w:p>
      <w:pPr>
        <w:pStyle w:val="ListParagraph"/>
        <w:numPr>
          <w:ilvl w:val="0"/>
          <w:numId w:val="26"/>
        </w:numPr>
        <w:tabs>
          <w:tab w:pos="1240" w:val="left" w:leader="none"/>
        </w:tabs>
        <w:spacing w:line="268" w:lineRule="exact" w:before="0" w:after="0"/>
        <w:ind w:left="1240" w:right="0" w:hanging="527"/>
        <w:jc w:val="left"/>
        <w:rPr>
          <w:sz w:val="21"/>
        </w:rPr>
      </w:pPr>
      <w:r>
        <w:rPr>
          <w:sz w:val="21"/>
        </w:rPr>
        <w:t>本基金投资的前十名股票没有超出基金合同规定的备选股票库。</w:t>
      </w:r>
    </w:p>
    <w:p>
      <w:pPr>
        <w:pStyle w:val="ListParagraph"/>
        <w:numPr>
          <w:ilvl w:val="0"/>
          <w:numId w:val="26"/>
        </w:numPr>
        <w:tabs>
          <w:tab w:pos="1240" w:val="left" w:leader="none"/>
        </w:tabs>
        <w:spacing w:line="240" w:lineRule="auto" w:before="134" w:after="0"/>
        <w:ind w:left="1240" w:right="0" w:hanging="527"/>
        <w:jc w:val="left"/>
        <w:rPr>
          <w:sz w:val="21"/>
        </w:rPr>
      </w:pPr>
      <w:r>
        <w:rPr>
          <w:sz w:val="21"/>
        </w:rPr>
        <w:t>其他各项资产构成</w:t>
      </w:r>
    </w:p>
    <w:p>
      <w:pPr>
        <w:pStyle w:val="BodyText"/>
        <w:spacing w:before="8"/>
        <w:ind w:left="0"/>
        <w:rPr>
          <w:sz w:val="10"/>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595"/>
        <w:gridCol w:w="4507"/>
      </w:tblGrid>
      <w:tr>
        <w:trPr>
          <w:trHeight w:val="587" w:hRule="atLeast"/>
        </w:trPr>
        <w:tc>
          <w:tcPr>
            <w:tcW w:w="898" w:type="dxa"/>
          </w:tcPr>
          <w:p>
            <w:pPr>
              <w:pStyle w:val="TableParagraph"/>
              <w:spacing w:before="175"/>
              <w:ind w:left="227" w:right="200"/>
              <w:jc w:val="center"/>
              <w:rPr>
                <w:sz w:val="21"/>
              </w:rPr>
            </w:pPr>
            <w:r>
              <w:rPr>
                <w:sz w:val="21"/>
              </w:rPr>
              <w:t>序号</w:t>
            </w:r>
          </w:p>
        </w:tc>
        <w:tc>
          <w:tcPr>
            <w:tcW w:w="2595" w:type="dxa"/>
          </w:tcPr>
          <w:p>
            <w:pPr>
              <w:pStyle w:val="TableParagraph"/>
              <w:spacing w:before="175"/>
              <w:ind w:left="1167" w:right="958"/>
              <w:jc w:val="center"/>
              <w:rPr>
                <w:sz w:val="21"/>
              </w:rPr>
            </w:pPr>
            <w:r>
              <w:rPr>
                <w:sz w:val="21"/>
              </w:rPr>
              <w:t>名称</w:t>
            </w:r>
          </w:p>
        </w:tc>
        <w:tc>
          <w:tcPr>
            <w:tcW w:w="4507" w:type="dxa"/>
          </w:tcPr>
          <w:p>
            <w:pPr>
              <w:pStyle w:val="TableParagraph"/>
              <w:spacing w:before="175"/>
              <w:ind w:left="1808" w:right="1599"/>
              <w:jc w:val="center"/>
              <w:rPr>
                <w:sz w:val="21"/>
              </w:rPr>
            </w:pPr>
            <w:r>
              <w:rPr>
                <w:sz w:val="21"/>
              </w:rPr>
              <w:t>金额（元）</w:t>
            </w:r>
          </w:p>
        </w:tc>
      </w:tr>
      <w:tr>
        <w:trPr>
          <w:trHeight w:val="587" w:hRule="atLeast"/>
        </w:trPr>
        <w:tc>
          <w:tcPr>
            <w:tcW w:w="898" w:type="dxa"/>
          </w:tcPr>
          <w:p>
            <w:pPr>
              <w:pStyle w:val="TableParagraph"/>
              <w:spacing w:before="175"/>
              <w:ind w:left="10"/>
              <w:jc w:val="center"/>
              <w:rPr>
                <w:sz w:val="21"/>
              </w:rPr>
            </w:pPr>
            <w:r>
              <w:rPr>
                <w:sz w:val="21"/>
              </w:rPr>
              <w:t>1</w:t>
            </w:r>
          </w:p>
        </w:tc>
        <w:tc>
          <w:tcPr>
            <w:tcW w:w="2595" w:type="dxa"/>
          </w:tcPr>
          <w:p>
            <w:pPr>
              <w:pStyle w:val="TableParagraph"/>
              <w:spacing w:before="175"/>
              <w:ind w:left="108"/>
              <w:rPr>
                <w:sz w:val="21"/>
              </w:rPr>
            </w:pPr>
            <w:r>
              <w:rPr>
                <w:sz w:val="21"/>
              </w:rPr>
              <w:t>存出保证金</w:t>
            </w:r>
          </w:p>
        </w:tc>
        <w:tc>
          <w:tcPr>
            <w:tcW w:w="4507" w:type="dxa"/>
          </w:tcPr>
          <w:p>
            <w:pPr>
              <w:pStyle w:val="TableParagraph"/>
              <w:spacing w:before="175"/>
              <w:ind w:right="96"/>
              <w:jc w:val="right"/>
              <w:rPr>
                <w:sz w:val="21"/>
              </w:rPr>
            </w:pPr>
            <w:r>
              <w:rPr>
                <w:sz w:val="21"/>
              </w:rPr>
              <w:t>1,291,675.94</w:t>
            </w:r>
          </w:p>
        </w:tc>
      </w:tr>
      <w:tr>
        <w:trPr>
          <w:trHeight w:val="587" w:hRule="atLeast"/>
        </w:trPr>
        <w:tc>
          <w:tcPr>
            <w:tcW w:w="898" w:type="dxa"/>
          </w:tcPr>
          <w:p>
            <w:pPr>
              <w:pStyle w:val="TableParagraph"/>
              <w:spacing w:before="175"/>
              <w:ind w:left="10"/>
              <w:jc w:val="center"/>
              <w:rPr>
                <w:sz w:val="21"/>
              </w:rPr>
            </w:pPr>
            <w:r>
              <w:rPr>
                <w:sz w:val="21"/>
              </w:rPr>
              <w:t>2</w:t>
            </w:r>
          </w:p>
        </w:tc>
        <w:tc>
          <w:tcPr>
            <w:tcW w:w="2595" w:type="dxa"/>
          </w:tcPr>
          <w:p>
            <w:pPr>
              <w:pStyle w:val="TableParagraph"/>
              <w:spacing w:before="175"/>
              <w:ind w:left="108"/>
              <w:rPr>
                <w:sz w:val="21"/>
              </w:rPr>
            </w:pPr>
            <w:r>
              <w:rPr>
                <w:sz w:val="21"/>
              </w:rPr>
              <w:t>应收证券清算款</w:t>
            </w:r>
          </w:p>
        </w:tc>
        <w:tc>
          <w:tcPr>
            <w:tcW w:w="4507" w:type="dxa"/>
          </w:tcPr>
          <w:p>
            <w:pPr>
              <w:pStyle w:val="TableParagraph"/>
              <w:spacing w:before="175"/>
              <w:ind w:right="96"/>
              <w:jc w:val="right"/>
              <w:rPr>
                <w:sz w:val="21"/>
              </w:rPr>
            </w:pPr>
            <w:r>
              <w:rPr>
                <w:sz w:val="21"/>
              </w:rPr>
              <w:t>128,697.82</w:t>
            </w:r>
          </w:p>
        </w:tc>
      </w:tr>
      <w:tr>
        <w:trPr>
          <w:trHeight w:val="587" w:hRule="atLeast"/>
        </w:trPr>
        <w:tc>
          <w:tcPr>
            <w:tcW w:w="898" w:type="dxa"/>
          </w:tcPr>
          <w:p>
            <w:pPr>
              <w:pStyle w:val="TableParagraph"/>
              <w:spacing w:before="175"/>
              <w:ind w:left="10"/>
              <w:jc w:val="center"/>
              <w:rPr>
                <w:sz w:val="21"/>
              </w:rPr>
            </w:pPr>
            <w:r>
              <w:rPr>
                <w:sz w:val="21"/>
              </w:rPr>
              <w:t>3</w:t>
            </w:r>
          </w:p>
        </w:tc>
        <w:tc>
          <w:tcPr>
            <w:tcW w:w="2595" w:type="dxa"/>
          </w:tcPr>
          <w:p>
            <w:pPr>
              <w:pStyle w:val="TableParagraph"/>
              <w:spacing w:before="175"/>
              <w:ind w:left="108"/>
              <w:rPr>
                <w:sz w:val="21"/>
              </w:rPr>
            </w:pPr>
            <w:r>
              <w:rPr>
                <w:sz w:val="21"/>
              </w:rPr>
              <w:t>应收股利</w:t>
            </w:r>
          </w:p>
        </w:tc>
        <w:tc>
          <w:tcPr>
            <w:tcW w:w="4507" w:type="dxa"/>
          </w:tcPr>
          <w:p>
            <w:pPr>
              <w:pStyle w:val="TableParagraph"/>
              <w:spacing w:before="175"/>
              <w:ind w:right="96"/>
              <w:jc w:val="right"/>
              <w:rPr>
                <w:sz w:val="21"/>
              </w:rPr>
            </w:pPr>
            <w:r>
              <w:rPr>
                <w:sz w:val="21"/>
              </w:rPr>
              <w:t>-</w:t>
            </w:r>
          </w:p>
        </w:tc>
      </w:tr>
      <w:tr>
        <w:trPr>
          <w:trHeight w:val="587" w:hRule="atLeast"/>
        </w:trPr>
        <w:tc>
          <w:tcPr>
            <w:tcW w:w="898" w:type="dxa"/>
          </w:tcPr>
          <w:p>
            <w:pPr>
              <w:pStyle w:val="TableParagraph"/>
              <w:spacing w:before="175"/>
              <w:ind w:left="10"/>
              <w:jc w:val="center"/>
              <w:rPr>
                <w:sz w:val="21"/>
              </w:rPr>
            </w:pPr>
            <w:r>
              <w:rPr>
                <w:sz w:val="21"/>
              </w:rPr>
              <w:t>4</w:t>
            </w:r>
          </w:p>
        </w:tc>
        <w:tc>
          <w:tcPr>
            <w:tcW w:w="2595" w:type="dxa"/>
          </w:tcPr>
          <w:p>
            <w:pPr>
              <w:pStyle w:val="TableParagraph"/>
              <w:spacing w:before="175"/>
              <w:ind w:left="108"/>
              <w:rPr>
                <w:sz w:val="21"/>
              </w:rPr>
            </w:pPr>
            <w:r>
              <w:rPr>
                <w:sz w:val="21"/>
              </w:rPr>
              <w:t>应收利息</w:t>
            </w:r>
          </w:p>
        </w:tc>
        <w:tc>
          <w:tcPr>
            <w:tcW w:w="4507" w:type="dxa"/>
          </w:tcPr>
          <w:p>
            <w:pPr>
              <w:pStyle w:val="TableParagraph"/>
              <w:spacing w:before="175"/>
              <w:ind w:right="97"/>
              <w:jc w:val="right"/>
              <w:rPr>
                <w:sz w:val="21"/>
              </w:rPr>
            </w:pPr>
            <w:r>
              <w:rPr>
                <w:sz w:val="21"/>
              </w:rPr>
              <w:t>10,844,395.77</w:t>
            </w:r>
          </w:p>
        </w:tc>
      </w:tr>
      <w:tr>
        <w:trPr>
          <w:trHeight w:val="587" w:hRule="atLeast"/>
        </w:trPr>
        <w:tc>
          <w:tcPr>
            <w:tcW w:w="898" w:type="dxa"/>
          </w:tcPr>
          <w:p>
            <w:pPr>
              <w:pStyle w:val="TableParagraph"/>
              <w:spacing w:before="175"/>
              <w:ind w:left="10"/>
              <w:jc w:val="center"/>
              <w:rPr>
                <w:sz w:val="21"/>
              </w:rPr>
            </w:pPr>
            <w:r>
              <w:rPr>
                <w:sz w:val="21"/>
              </w:rPr>
              <w:t>5</w:t>
            </w:r>
          </w:p>
        </w:tc>
        <w:tc>
          <w:tcPr>
            <w:tcW w:w="2595" w:type="dxa"/>
          </w:tcPr>
          <w:p>
            <w:pPr>
              <w:pStyle w:val="TableParagraph"/>
              <w:spacing w:before="175"/>
              <w:ind w:left="108"/>
              <w:rPr>
                <w:sz w:val="21"/>
              </w:rPr>
            </w:pPr>
            <w:r>
              <w:rPr>
                <w:sz w:val="21"/>
              </w:rPr>
              <w:t>应收申购款</w:t>
            </w:r>
          </w:p>
        </w:tc>
        <w:tc>
          <w:tcPr>
            <w:tcW w:w="4507" w:type="dxa"/>
          </w:tcPr>
          <w:p>
            <w:pPr>
              <w:pStyle w:val="TableParagraph"/>
              <w:spacing w:before="175"/>
              <w:ind w:right="97"/>
              <w:jc w:val="right"/>
              <w:rPr>
                <w:sz w:val="21"/>
              </w:rPr>
            </w:pPr>
            <w:r>
              <w:rPr>
                <w:sz w:val="21"/>
              </w:rPr>
              <w:t>64,691,102.85</w:t>
            </w:r>
          </w:p>
        </w:tc>
      </w:tr>
    </w:tbl>
    <w:p>
      <w:pPr>
        <w:spacing w:after="0"/>
        <w:jc w:val="right"/>
        <w:rPr>
          <w:sz w:val="21"/>
        </w:rPr>
        <w:sectPr>
          <w:pgSz w:w="11910" w:h="16840"/>
          <w:pgMar w:header="0" w:footer="1172" w:top="1580" w:bottom="1440" w:left="1520" w:right="360"/>
        </w:sectPr>
      </w:pPr>
    </w:p>
    <w:p>
      <w:pPr>
        <w:pStyle w:val="BodyText"/>
        <w:ind w:left="0"/>
        <w:rPr>
          <w:sz w:val="8"/>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595"/>
        <w:gridCol w:w="4507"/>
      </w:tblGrid>
      <w:tr>
        <w:trPr>
          <w:trHeight w:val="587" w:hRule="atLeast"/>
        </w:trPr>
        <w:tc>
          <w:tcPr>
            <w:tcW w:w="898" w:type="dxa"/>
          </w:tcPr>
          <w:p>
            <w:pPr>
              <w:pStyle w:val="TableParagraph"/>
              <w:spacing w:before="175"/>
              <w:ind w:left="396"/>
              <w:rPr>
                <w:sz w:val="21"/>
              </w:rPr>
            </w:pPr>
            <w:r>
              <w:rPr>
                <w:sz w:val="21"/>
              </w:rPr>
              <w:t>6</w:t>
            </w:r>
          </w:p>
        </w:tc>
        <w:tc>
          <w:tcPr>
            <w:tcW w:w="2595" w:type="dxa"/>
          </w:tcPr>
          <w:p>
            <w:pPr>
              <w:pStyle w:val="TableParagraph"/>
              <w:spacing w:before="175"/>
              <w:ind w:left="108"/>
              <w:rPr>
                <w:sz w:val="21"/>
              </w:rPr>
            </w:pPr>
            <w:r>
              <w:rPr>
                <w:sz w:val="21"/>
              </w:rPr>
              <w:t>其他应收款</w:t>
            </w:r>
          </w:p>
        </w:tc>
        <w:tc>
          <w:tcPr>
            <w:tcW w:w="4507" w:type="dxa"/>
          </w:tcPr>
          <w:p>
            <w:pPr>
              <w:pStyle w:val="TableParagraph"/>
              <w:spacing w:before="175"/>
              <w:ind w:right="96"/>
              <w:jc w:val="right"/>
              <w:rPr>
                <w:sz w:val="21"/>
              </w:rPr>
            </w:pPr>
            <w:r>
              <w:rPr>
                <w:sz w:val="21"/>
              </w:rPr>
              <w:t>-</w:t>
            </w:r>
          </w:p>
        </w:tc>
      </w:tr>
      <w:tr>
        <w:trPr>
          <w:trHeight w:val="587" w:hRule="atLeast"/>
        </w:trPr>
        <w:tc>
          <w:tcPr>
            <w:tcW w:w="898" w:type="dxa"/>
          </w:tcPr>
          <w:p>
            <w:pPr>
              <w:pStyle w:val="TableParagraph"/>
              <w:spacing w:before="175"/>
              <w:ind w:left="396"/>
              <w:rPr>
                <w:sz w:val="21"/>
              </w:rPr>
            </w:pPr>
            <w:r>
              <w:rPr>
                <w:sz w:val="21"/>
              </w:rPr>
              <w:t>7</w:t>
            </w:r>
          </w:p>
        </w:tc>
        <w:tc>
          <w:tcPr>
            <w:tcW w:w="2595" w:type="dxa"/>
          </w:tcPr>
          <w:p>
            <w:pPr>
              <w:pStyle w:val="TableParagraph"/>
              <w:spacing w:before="175"/>
              <w:ind w:left="108"/>
              <w:rPr>
                <w:sz w:val="21"/>
              </w:rPr>
            </w:pPr>
            <w:r>
              <w:rPr>
                <w:sz w:val="21"/>
              </w:rPr>
              <w:t>待摊费用</w:t>
            </w:r>
          </w:p>
        </w:tc>
        <w:tc>
          <w:tcPr>
            <w:tcW w:w="4507" w:type="dxa"/>
          </w:tcPr>
          <w:p>
            <w:pPr>
              <w:pStyle w:val="TableParagraph"/>
              <w:spacing w:before="175"/>
              <w:ind w:right="96"/>
              <w:jc w:val="right"/>
              <w:rPr>
                <w:sz w:val="21"/>
              </w:rPr>
            </w:pPr>
            <w:r>
              <w:rPr>
                <w:sz w:val="21"/>
              </w:rPr>
              <w:t>-</w:t>
            </w:r>
          </w:p>
        </w:tc>
      </w:tr>
      <w:tr>
        <w:trPr>
          <w:trHeight w:val="587" w:hRule="atLeast"/>
        </w:trPr>
        <w:tc>
          <w:tcPr>
            <w:tcW w:w="898" w:type="dxa"/>
          </w:tcPr>
          <w:p>
            <w:pPr>
              <w:pStyle w:val="TableParagraph"/>
              <w:spacing w:before="175"/>
              <w:ind w:left="396"/>
              <w:rPr>
                <w:sz w:val="21"/>
              </w:rPr>
            </w:pPr>
            <w:r>
              <w:rPr>
                <w:sz w:val="21"/>
              </w:rPr>
              <w:t>8</w:t>
            </w:r>
          </w:p>
        </w:tc>
        <w:tc>
          <w:tcPr>
            <w:tcW w:w="2595" w:type="dxa"/>
          </w:tcPr>
          <w:p>
            <w:pPr>
              <w:pStyle w:val="TableParagraph"/>
              <w:spacing w:before="175"/>
              <w:ind w:left="108"/>
              <w:rPr>
                <w:sz w:val="21"/>
              </w:rPr>
            </w:pPr>
            <w:r>
              <w:rPr>
                <w:sz w:val="21"/>
              </w:rPr>
              <w:t>其他</w:t>
            </w:r>
          </w:p>
        </w:tc>
        <w:tc>
          <w:tcPr>
            <w:tcW w:w="4507" w:type="dxa"/>
          </w:tcPr>
          <w:p>
            <w:pPr>
              <w:pStyle w:val="TableParagraph"/>
              <w:spacing w:before="175"/>
              <w:ind w:right="96"/>
              <w:jc w:val="right"/>
              <w:rPr>
                <w:sz w:val="21"/>
              </w:rPr>
            </w:pPr>
            <w:r>
              <w:rPr>
                <w:sz w:val="21"/>
              </w:rPr>
              <w:t>-</w:t>
            </w:r>
          </w:p>
        </w:tc>
      </w:tr>
      <w:tr>
        <w:trPr>
          <w:trHeight w:val="587" w:hRule="atLeast"/>
        </w:trPr>
        <w:tc>
          <w:tcPr>
            <w:tcW w:w="898" w:type="dxa"/>
          </w:tcPr>
          <w:p>
            <w:pPr>
              <w:pStyle w:val="TableParagraph"/>
              <w:spacing w:before="175"/>
              <w:ind w:left="396"/>
              <w:rPr>
                <w:sz w:val="21"/>
              </w:rPr>
            </w:pPr>
            <w:r>
              <w:rPr>
                <w:sz w:val="21"/>
              </w:rPr>
              <w:t>9</w:t>
            </w:r>
          </w:p>
        </w:tc>
        <w:tc>
          <w:tcPr>
            <w:tcW w:w="2595" w:type="dxa"/>
          </w:tcPr>
          <w:p>
            <w:pPr>
              <w:pStyle w:val="TableParagraph"/>
              <w:spacing w:before="175"/>
              <w:ind w:left="108"/>
              <w:rPr>
                <w:sz w:val="21"/>
              </w:rPr>
            </w:pPr>
            <w:r>
              <w:rPr>
                <w:sz w:val="21"/>
              </w:rPr>
              <w:t>合计</w:t>
            </w:r>
          </w:p>
        </w:tc>
        <w:tc>
          <w:tcPr>
            <w:tcW w:w="4507" w:type="dxa"/>
          </w:tcPr>
          <w:p>
            <w:pPr>
              <w:pStyle w:val="TableParagraph"/>
              <w:spacing w:before="175"/>
              <w:ind w:right="97"/>
              <w:jc w:val="right"/>
              <w:rPr>
                <w:sz w:val="21"/>
              </w:rPr>
            </w:pPr>
            <w:r>
              <w:rPr>
                <w:sz w:val="21"/>
              </w:rPr>
              <w:t>76,955,872.38</w:t>
            </w:r>
          </w:p>
        </w:tc>
      </w:tr>
    </w:tbl>
    <w:p>
      <w:pPr>
        <w:pStyle w:val="ListParagraph"/>
        <w:numPr>
          <w:ilvl w:val="0"/>
          <w:numId w:val="26"/>
        </w:numPr>
        <w:tabs>
          <w:tab w:pos="1240" w:val="left" w:leader="none"/>
        </w:tabs>
        <w:spacing w:line="364" w:lineRule="auto" w:before="3" w:after="0"/>
        <w:ind w:left="713" w:right="4481"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6"/>
        </w:numPr>
        <w:tabs>
          <w:tab w:pos="1240" w:val="left" w:leader="none"/>
        </w:tabs>
        <w:spacing w:line="268" w:lineRule="exact" w:before="0" w:after="0"/>
        <w:ind w:left="1240" w:right="0" w:hanging="527"/>
        <w:jc w:val="left"/>
        <w:rPr>
          <w:sz w:val="21"/>
        </w:rPr>
      </w:pPr>
      <w:r>
        <w:rPr>
          <w:sz w:val="21"/>
        </w:rPr>
        <w:t>报告期末前十名股票中存在流通受限情况的说明</w:t>
      </w:r>
    </w:p>
    <w:p>
      <w:pPr>
        <w:pStyle w:val="ListParagraph"/>
        <w:numPr>
          <w:ilvl w:val="0"/>
          <w:numId w:val="27"/>
        </w:numPr>
        <w:tabs>
          <w:tab w:pos="1030" w:val="left" w:leader="none"/>
        </w:tabs>
        <w:spacing w:line="240" w:lineRule="auto" w:before="139" w:after="0"/>
        <w:ind w:left="1030" w:right="0" w:hanging="317"/>
        <w:jc w:val="left"/>
        <w:rPr>
          <w:sz w:val="21"/>
        </w:rPr>
      </w:pPr>
      <w:r>
        <w:rPr>
          <w:sz w:val="21"/>
        </w:rPr>
        <w:t>期末指数投资前十名股票中存在流通受限情况的说明</w:t>
      </w:r>
    </w:p>
    <w:p>
      <w:pPr>
        <w:pStyle w:val="BodyText"/>
        <w:spacing w:before="140"/>
      </w:pPr>
      <w:r>
        <w:rPr/>
        <w:t>本基金本报告期末指数投资前十名股票中不存在流通受限情况。</w:t>
      </w:r>
    </w:p>
    <w:p>
      <w:pPr>
        <w:pStyle w:val="ListParagraph"/>
        <w:numPr>
          <w:ilvl w:val="0"/>
          <w:numId w:val="27"/>
        </w:numPr>
        <w:tabs>
          <w:tab w:pos="1030" w:val="left" w:leader="none"/>
        </w:tabs>
        <w:spacing w:line="240" w:lineRule="auto" w:before="139" w:after="0"/>
        <w:ind w:left="1030" w:right="0" w:hanging="317"/>
        <w:jc w:val="left"/>
        <w:rPr>
          <w:sz w:val="21"/>
        </w:rPr>
      </w:pPr>
      <w:r>
        <w:rPr>
          <w:sz w:val="21"/>
        </w:rPr>
        <w:t>期末积极投资前五名股票中存在流通受限情况的说明</w:t>
      </w:r>
    </w:p>
    <w:p>
      <w:pPr>
        <w:pStyle w:val="BodyText"/>
        <w:spacing w:before="140"/>
      </w:pPr>
      <w:r>
        <w:rPr/>
        <w:t>本基金本报告期末积极投资前五名股票中不存在流通受限情况。</w:t>
      </w:r>
    </w:p>
    <w:p>
      <w:pPr>
        <w:spacing w:after="0"/>
        <w:sectPr>
          <w:pgSz w:w="11910" w:h="16840"/>
          <w:pgMar w:header="0" w:footer="1172" w:top="1580" w:bottom="1440" w:left="1520" w:right="360"/>
        </w:sectPr>
      </w:pPr>
    </w:p>
    <w:p>
      <w:pPr>
        <w:pStyle w:val="Heading1"/>
        <w:ind w:right="920"/>
        <w:jc w:val="center"/>
      </w:pPr>
      <w:bookmarkStart w:name="_bookmark39" w:id="40"/>
      <w:bookmarkEnd w:id="40"/>
      <w:r>
        <w:rPr>
          <w:b w:val="0"/>
        </w:rPr>
      </w:r>
      <w:r>
        <w:rPr/>
        <w:t>九、基金的业绩</w:t>
      </w:r>
    </w:p>
    <w:p>
      <w:pPr>
        <w:pStyle w:val="BodyText"/>
        <w:spacing w:line="364" w:lineRule="auto" w:before="117"/>
        <w:ind w:left="293" w:right="936" w:firstLine="420"/>
        <w:jc w:val="both"/>
      </w:pPr>
      <w:r>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pPr>
        <w:pStyle w:val="BodyText"/>
        <w:spacing w:line="364" w:lineRule="auto"/>
        <w:ind w:left="293" w:right="936" w:firstLine="420"/>
        <w:jc w:val="both"/>
      </w:pPr>
      <w:r>
        <w:rPr>
          <w:spacing w:val="-2"/>
        </w:rPr>
        <w:t>本基金合同生效日为 </w:t>
      </w:r>
      <w:r>
        <w:rPr/>
        <w:t>2004</w:t>
      </w:r>
      <w:r>
        <w:rPr>
          <w:spacing w:val="-34"/>
        </w:rPr>
        <w:t> 年 </w:t>
      </w:r>
      <w:r>
        <w:rPr/>
        <w:t>3</w:t>
      </w:r>
      <w:r>
        <w:rPr>
          <w:spacing w:val="-34"/>
        </w:rPr>
        <w:t> 月 </w:t>
      </w:r>
      <w:r>
        <w:rPr/>
        <w:t>22</w:t>
      </w:r>
      <w:r>
        <w:rPr>
          <w:spacing w:val="-3"/>
        </w:rPr>
        <w:t> 日，本基金的投资业绩及与同期基准的比较如下表所示：</w:t>
      </w:r>
    </w:p>
    <w:p>
      <w:pPr>
        <w:pStyle w:val="BodyText"/>
        <w:spacing w:line="398" w:lineRule="auto" w:before="84"/>
        <w:ind w:left="293" w:right="936" w:firstLine="420"/>
        <w:jc w:val="both"/>
      </w:pPr>
      <w:r>
        <w:rPr/>
        <w:pict>
          <v:shape style="position:absolute;margin-left:85.899994pt;margin-top:44.369984pt;width:449.55pt;height:475.8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8"/>
                    <w:gridCol w:w="1033"/>
                    <w:gridCol w:w="1275"/>
                    <w:gridCol w:w="1237"/>
                    <w:gridCol w:w="1383"/>
                    <w:gridCol w:w="1029"/>
                    <w:gridCol w:w="981"/>
                  </w:tblGrid>
                  <w:tr>
                    <w:trPr>
                      <w:trHeight w:val="1225" w:hRule="atLeast"/>
                    </w:trPr>
                    <w:tc>
                      <w:tcPr>
                        <w:tcW w:w="2038" w:type="dxa"/>
                      </w:tcPr>
                      <w:p>
                        <w:pPr>
                          <w:pStyle w:val="TableParagraph"/>
                          <w:rPr>
                            <w:sz w:val="20"/>
                          </w:rPr>
                        </w:pPr>
                      </w:p>
                      <w:p>
                        <w:pPr>
                          <w:pStyle w:val="TableParagraph"/>
                          <w:spacing w:before="155"/>
                          <w:ind w:left="787" w:right="781"/>
                          <w:jc w:val="center"/>
                          <w:rPr>
                            <w:sz w:val="21"/>
                          </w:rPr>
                        </w:pPr>
                        <w:r>
                          <w:rPr>
                            <w:sz w:val="21"/>
                          </w:rPr>
                          <w:t>阶段</w:t>
                        </w:r>
                      </w:p>
                    </w:tc>
                    <w:tc>
                      <w:tcPr>
                        <w:tcW w:w="1033" w:type="dxa"/>
                      </w:tcPr>
                      <w:p>
                        <w:pPr>
                          <w:pStyle w:val="TableParagraph"/>
                          <w:spacing w:before="2"/>
                          <w:rPr>
                            <w:sz w:val="16"/>
                          </w:rPr>
                        </w:pPr>
                      </w:p>
                      <w:p>
                        <w:pPr>
                          <w:pStyle w:val="TableParagraph"/>
                          <w:spacing w:line="364" w:lineRule="auto"/>
                          <w:ind w:left="253" w:right="138" w:hanging="212"/>
                          <w:rPr>
                            <w:sz w:val="21"/>
                          </w:rPr>
                        </w:pPr>
                        <w:r>
                          <w:rPr>
                            <w:sz w:val="21"/>
                          </w:rPr>
                          <w:t>净值增长率①</w:t>
                        </w:r>
                      </w:p>
                    </w:tc>
                    <w:tc>
                      <w:tcPr>
                        <w:tcW w:w="1275" w:type="dxa"/>
                      </w:tcPr>
                      <w:p>
                        <w:pPr>
                          <w:pStyle w:val="TableParagraph"/>
                          <w:spacing w:before="2"/>
                          <w:rPr>
                            <w:sz w:val="16"/>
                          </w:rPr>
                        </w:pPr>
                      </w:p>
                      <w:p>
                        <w:pPr>
                          <w:pStyle w:val="TableParagraph"/>
                          <w:spacing w:line="364" w:lineRule="auto"/>
                          <w:ind w:left="162" w:right="160" w:hanging="109"/>
                          <w:rPr>
                            <w:sz w:val="21"/>
                          </w:rPr>
                        </w:pPr>
                        <w:r>
                          <w:rPr>
                            <w:sz w:val="21"/>
                          </w:rPr>
                          <w:t>净值增长率标准差②</w:t>
                        </w:r>
                      </w:p>
                    </w:tc>
                    <w:tc>
                      <w:tcPr>
                        <w:tcW w:w="1237" w:type="dxa"/>
                      </w:tcPr>
                      <w:p>
                        <w:pPr>
                          <w:pStyle w:val="TableParagraph"/>
                          <w:spacing w:line="364" w:lineRule="auto" w:before="3"/>
                          <w:ind w:left="63" w:right="111" w:firstLine="42"/>
                          <w:jc w:val="center"/>
                          <w:rPr>
                            <w:sz w:val="21"/>
                          </w:rPr>
                        </w:pPr>
                        <w:r>
                          <w:rPr>
                            <w:sz w:val="21"/>
                          </w:rPr>
                          <w:t>业绩比较 基准收益率</w:t>
                        </w:r>
                      </w:p>
                      <w:p>
                        <w:pPr>
                          <w:pStyle w:val="TableParagraph"/>
                          <w:spacing w:line="268" w:lineRule="exact"/>
                          <w:ind w:right="49"/>
                          <w:jc w:val="center"/>
                          <w:rPr>
                            <w:sz w:val="21"/>
                          </w:rPr>
                        </w:pPr>
                        <w:r>
                          <w:rPr>
                            <w:sz w:val="21"/>
                          </w:rPr>
                          <w:t>③</w:t>
                        </w:r>
                      </w:p>
                    </w:tc>
                    <w:tc>
                      <w:tcPr>
                        <w:tcW w:w="1383" w:type="dxa"/>
                      </w:tcPr>
                      <w:p>
                        <w:pPr>
                          <w:pStyle w:val="TableParagraph"/>
                          <w:spacing w:line="364" w:lineRule="auto" w:before="3"/>
                          <w:ind w:left="7" w:right="102" w:hanging="2"/>
                          <w:jc w:val="center"/>
                          <w:rPr>
                            <w:sz w:val="21"/>
                          </w:rPr>
                        </w:pPr>
                        <w:r>
                          <w:rPr>
                            <w:sz w:val="21"/>
                          </w:rPr>
                          <w:t>业绩比较基准收益率标准差</w:t>
                        </w:r>
                      </w:p>
                      <w:p>
                        <w:pPr>
                          <w:pStyle w:val="TableParagraph"/>
                          <w:spacing w:line="268" w:lineRule="exact"/>
                          <w:ind w:right="93"/>
                          <w:jc w:val="center"/>
                          <w:rPr>
                            <w:sz w:val="21"/>
                          </w:rPr>
                        </w:pPr>
                        <w:r>
                          <w:rPr>
                            <w:sz w:val="21"/>
                          </w:rPr>
                          <w:t>④</w:t>
                        </w:r>
                      </w:p>
                    </w:tc>
                    <w:tc>
                      <w:tcPr>
                        <w:tcW w:w="1029" w:type="dxa"/>
                      </w:tcPr>
                      <w:p>
                        <w:pPr>
                          <w:pStyle w:val="TableParagraph"/>
                          <w:rPr>
                            <w:sz w:val="20"/>
                          </w:rPr>
                        </w:pPr>
                      </w:p>
                      <w:p>
                        <w:pPr>
                          <w:pStyle w:val="TableParagraph"/>
                          <w:spacing w:before="1"/>
                          <w:rPr>
                            <w:sz w:val="28"/>
                          </w:rPr>
                        </w:pPr>
                      </w:p>
                      <w:p>
                        <w:pPr>
                          <w:pStyle w:val="TableParagraph"/>
                          <w:ind w:left="198"/>
                          <w:rPr>
                            <w:sz w:val="21"/>
                          </w:rPr>
                        </w:pPr>
                        <w:r>
                          <w:rPr>
                            <w:sz w:val="21"/>
                          </w:rPr>
                          <w:t>①-③</w:t>
                        </w:r>
                      </w:p>
                    </w:tc>
                    <w:tc>
                      <w:tcPr>
                        <w:tcW w:w="981" w:type="dxa"/>
                      </w:tcPr>
                      <w:p>
                        <w:pPr>
                          <w:pStyle w:val="TableParagraph"/>
                          <w:rPr>
                            <w:sz w:val="20"/>
                          </w:rPr>
                        </w:pPr>
                      </w:p>
                      <w:p>
                        <w:pPr>
                          <w:pStyle w:val="TableParagraph"/>
                          <w:spacing w:before="1"/>
                          <w:rPr>
                            <w:sz w:val="28"/>
                          </w:rPr>
                        </w:pPr>
                      </w:p>
                      <w:p>
                        <w:pPr>
                          <w:pStyle w:val="TableParagraph"/>
                          <w:ind w:left="228"/>
                          <w:rPr>
                            <w:sz w:val="21"/>
                          </w:rPr>
                        </w:pPr>
                        <w:r>
                          <w:rPr>
                            <w:sz w:val="21"/>
                          </w:rPr>
                          <w:t>②-④</w:t>
                        </w:r>
                      </w:p>
                    </w:tc>
                  </w:tr>
                  <w:tr>
                    <w:trPr>
                      <w:trHeight w:val="816" w:hRule="atLeast"/>
                    </w:trPr>
                    <w:tc>
                      <w:tcPr>
                        <w:tcW w:w="2038" w:type="dxa"/>
                      </w:tcPr>
                      <w:p>
                        <w:pPr>
                          <w:pStyle w:val="TableParagraph"/>
                          <w:spacing w:before="3"/>
                          <w:ind w:left="76"/>
                          <w:rPr>
                            <w:sz w:val="21"/>
                          </w:rPr>
                        </w:pPr>
                        <w:r>
                          <w:rPr>
                            <w:sz w:val="21"/>
                          </w:rPr>
                          <w:t>2010</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2010</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-19.18%</w:t>
                        </w:r>
                      </w:p>
                    </w:tc>
                    <w:tc>
                      <w:tcPr>
                        <w:tcW w:w="1275" w:type="dxa"/>
                      </w:tcPr>
                      <w:p>
                        <w:pPr>
                          <w:pStyle w:val="TableParagraph"/>
                          <w:spacing w:before="2"/>
                          <w:rPr>
                            <w:sz w:val="16"/>
                          </w:rPr>
                        </w:pPr>
                      </w:p>
                      <w:p>
                        <w:pPr>
                          <w:pStyle w:val="TableParagraph"/>
                          <w:ind w:right="97"/>
                          <w:jc w:val="right"/>
                          <w:rPr>
                            <w:sz w:val="21"/>
                          </w:rPr>
                        </w:pPr>
                        <w:r>
                          <w:rPr>
                            <w:sz w:val="21"/>
                          </w:rPr>
                          <w:t>1.53%</w:t>
                        </w:r>
                      </w:p>
                    </w:tc>
                    <w:tc>
                      <w:tcPr>
                        <w:tcW w:w="1237" w:type="dxa"/>
                      </w:tcPr>
                      <w:p>
                        <w:pPr>
                          <w:pStyle w:val="TableParagraph"/>
                          <w:spacing w:before="2"/>
                          <w:rPr>
                            <w:sz w:val="16"/>
                          </w:rPr>
                        </w:pPr>
                      </w:p>
                      <w:p>
                        <w:pPr>
                          <w:pStyle w:val="TableParagraph"/>
                          <w:ind w:right="97"/>
                          <w:jc w:val="right"/>
                          <w:rPr>
                            <w:sz w:val="21"/>
                          </w:rPr>
                        </w:pPr>
                        <w:r>
                          <w:rPr>
                            <w:sz w:val="21"/>
                          </w:rPr>
                          <w:t>-22.57%</w:t>
                        </w:r>
                      </w:p>
                    </w:tc>
                    <w:tc>
                      <w:tcPr>
                        <w:tcW w:w="1383" w:type="dxa"/>
                      </w:tcPr>
                      <w:p>
                        <w:pPr>
                          <w:pStyle w:val="TableParagraph"/>
                          <w:spacing w:before="2"/>
                          <w:rPr>
                            <w:sz w:val="16"/>
                          </w:rPr>
                        </w:pPr>
                      </w:p>
                      <w:p>
                        <w:pPr>
                          <w:pStyle w:val="TableParagraph"/>
                          <w:ind w:right="96"/>
                          <w:jc w:val="right"/>
                          <w:rPr>
                            <w:sz w:val="21"/>
                          </w:rPr>
                        </w:pPr>
                        <w:r>
                          <w:rPr>
                            <w:sz w:val="21"/>
                          </w:rPr>
                          <w:t>1.56%</w:t>
                        </w:r>
                      </w:p>
                    </w:tc>
                    <w:tc>
                      <w:tcPr>
                        <w:tcW w:w="1029" w:type="dxa"/>
                      </w:tcPr>
                      <w:p>
                        <w:pPr>
                          <w:pStyle w:val="TableParagraph"/>
                          <w:spacing w:before="2"/>
                          <w:rPr>
                            <w:sz w:val="16"/>
                          </w:rPr>
                        </w:pPr>
                      </w:p>
                      <w:p>
                        <w:pPr>
                          <w:pStyle w:val="TableParagraph"/>
                          <w:ind w:right="96"/>
                          <w:jc w:val="right"/>
                          <w:rPr>
                            <w:sz w:val="21"/>
                          </w:rPr>
                        </w:pPr>
                        <w:r>
                          <w:rPr>
                            <w:sz w:val="21"/>
                          </w:rPr>
                          <w:t>3.39%</w:t>
                        </w:r>
                      </w:p>
                    </w:tc>
                    <w:tc>
                      <w:tcPr>
                        <w:tcW w:w="981" w:type="dxa"/>
                      </w:tcPr>
                      <w:p>
                        <w:pPr>
                          <w:pStyle w:val="TableParagraph"/>
                          <w:spacing w:before="2"/>
                          <w:rPr>
                            <w:sz w:val="16"/>
                          </w:rPr>
                        </w:pPr>
                      </w:p>
                      <w:p>
                        <w:pPr>
                          <w:pStyle w:val="TableParagraph"/>
                          <w:ind w:right="97"/>
                          <w:jc w:val="right"/>
                          <w:rPr>
                            <w:sz w:val="21"/>
                          </w:rPr>
                        </w:pPr>
                        <w:r>
                          <w:rPr>
                            <w:sz w:val="21"/>
                          </w:rPr>
                          <w:t>-0.03%</w:t>
                        </w:r>
                      </w:p>
                    </w:tc>
                  </w:tr>
                  <w:tr>
                    <w:trPr>
                      <w:trHeight w:val="817" w:hRule="atLeast"/>
                    </w:trPr>
                    <w:tc>
                      <w:tcPr>
                        <w:tcW w:w="2038" w:type="dxa"/>
                      </w:tcPr>
                      <w:p>
                        <w:pPr>
                          <w:pStyle w:val="TableParagraph"/>
                          <w:spacing w:before="3"/>
                          <w:ind w:left="76"/>
                          <w:rPr>
                            <w:sz w:val="21"/>
                          </w:rPr>
                        </w:pPr>
                        <w:r>
                          <w:rPr>
                            <w:sz w:val="21"/>
                          </w:rPr>
                          <w:t>2011</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2011</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-18.06%</w:t>
                        </w:r>
                      </w:p>
                    </w:tc>
                    <w:tc>
                      <w:tcPr>
                        <w:tcW w:w="1275" w:type="dxa"/>
                      </w:tcPr>
                      <w:p>
                        <w:pPr>
                          <w:pStyle w:val="TableParagraph"/>
                          <w:spacing w:before="2"/>
                          <w:rPr>
                            <w:sz w:val="16"/>
                          </w:rPr>
                        </w:pPr>
                      </w:p>
                      <w:p>
                        <w:pPr>
                          <w:pStyle w:val="TableParagraph"/>
                          <w:ind w:right="97"/>
                          <w:jc w:val="right"/>
                          <w:rPr>
                            <w:sz w:val="21"/>
                          </w:rPr>
                        </w:pPr>
                        <w:r>
                          <w:rPr>
                            <w:sz w:val="21"/>
                          </w:rPr>
                          <w:t>1.25%</w:t>
                        </w:r>
                      </w:p>
                    </w:tc>
                    <w:tc>
                      <w:tcPr>
                        <w:tcW w:w="1237" w:type="dxa"/>
                      </w:tcPr>
                      <w:p>
                        <w:pPr>
                          <w:pStyle w:val="TableParagraph"/>
                          <w:spacing w:before="2"/>
                          <w:rPr>
                            <w:sz w:val="16"/>
                          </w:rPr>
                        </w:pPr>
                      </w:p>
                      <w:p>
                        <w:pPr>
                          <w:pStyle w:val="TableParagraph"/>
                          <w:ind w:right="97"/>
                          <w:jc w:val="right"/>
                          <w:rPr>
                            <w:sz w:val="21"/>
                          </w:rPr>
                        </w:pPr>
                        <w:r>
                          <w:rPr>
                            <w:sz w:val="21"/>
                          </w:rPr>
                          <w:t>-18.19%</w:t>
                        </w:r>
                      </w:p>
                    </w:tc>
                    <w:tc>
                      <w:tcPr>
                        <w:tcW w:w="1383" w:type="dxa"/>
                      </w:tcPr>
                      <w:p>
                        <w:pPr>
                          <w:pStyle w:val="TableParagraph"/>
                          <w:spacing w:before="2"/>
                          <w:rPr>
                            <w:sz w:val="16"/>
                          </w:rPr>
                        </w:pPr>
                      </w:p>
                      <w:p>
                        <w:pPr>
                          <w:pStyle w:val="TableParagraph"/>
                          <w:ind w:right="96"/>
                          <w:jc w:val="right"/>
                          <w:rPr>
                            <w:sz w:val="21"/>
                          </w:rPr>
                        </w:pPr>
                        <w:r>
                          <w:rPr>
                            <w:sz w:val="21"/>
                          </w:rPr>
                          <w:t>1.28%</w:t>
                        </w:r>
                      </w:p>
                    </w:tc>
                    <w:tc>
                      <w:tcPr>
                        <w:tcW w:w="1029" w:type="dxa"/>
                      </w:tcPr>
                      <w:p>
                        <w:pPr>
                          <w:pStyle w:val="TableParagraph"/>
                          <w:spacing w:before="2"/>
                          <w:rPr>
                            <w:sz w:val="16"/>
                          </w:rPr>
                        </w:pPr>
                      </w:p>
                      <w:p>
                        <w:pPr>
                          <w:pStyle w:val="TableParagraph"/>
                          <w:ind w:right="96"/>
                          <w:jc w:val="right"/>
                          <w:rPr>
                            <w:sz w:val="21"/>
                          </w:rPr>
                        </w:pPr>
                        <w:r>
                          <w:rPr>
                            <w:sz w:val="21"/>
                          </w:rPr>
                          <w:t>0.13%</w:t>
                        </w:r>
                      </w:p>
                    </w:tc>
                    <w:tc>
                      <w:tcPr>
                        <w:tcW w:w="981" w:type="dxa"/>
                      </w:tcPr>
                      <w:p>
                        <w:pPr>
                          <w:pStyle w:val="TableParagraph"/>
                          <w:spacing w:before="2"/>
                          <w:rPr>
                            <w:sz w:val="16"/>
                          </w:rPr>
                        </w:pPr>
                      </w:p>
                      <w:p>
                        <w:pPr>
                          <w:pStyle w:val="TableParagraph"/>
                          <w:ind w:right="97"/>
                          <w:jc w:val="right"/>
                          <w:rPr>
                            <w:sz w:val="21"/>
                          </w:rPr>
                        </w:pPr>
                        <w:r>
                          <w:rPr>
                            <w:sz w:val="21"/>
                          </w:rPr>
                          <w:t>-0.03%</w:t>
                        </w:r>
                      </w:p>
                    </w:tc>
                  </w:tr>
                  <w:tr>
                    <w:trPr>
                      <w:trHeight w:val="817" w:hRule="atLeast"/>
                    </w:trPr>
                    <w:tc>
                      <w:tcPr>
                        <w:tcW w:w="2038" w:type="dxa"/>
                      </w:tcPr>
                      <w:p>
                        <w:pPr>
                          <w:pStyle w:val="TableParagraph"/>
                          <w:spacing w:before="3"/>
                          <w:ind w:left="76"/>
                          <w:rPr>
                            <w:sz w:val="21"/>
                          </w:rPr>
                        </w:pPr>
                        <w:r>
                          <w:rPr>
                            <w:sz w:val="21"/>
                          </w:rPr>
                          <w:t>2012</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2012</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14.73%</w:t>
                        </w:r>
                      </w:p>
                    </w:tc>
                    <w:tc>
                      <w:tcPr>
                        <w:tcW w:w="1275" w:type="dxa"/>
                      </w:tcPr>
                      <w:p>
                        <w:pPr>
                          <w:pStyle w:val="TableParagraph"/>
                          <w:spacing w:before="2"/>
                          <w:rPr>
                            <w:sz w:val="16"/>
                          </w:rPr>
                        </w:pPr>
                      </w:p>
                      <w:p>
                        <w:pPr>
                          <w:pStyle w:val="TableParagraph"/>
                          <w:ind w:right="97"/>
                          <w:jc w:val="right"/>
                          <w:rPr>
                            <w:sz w:val="21"/>
                          </w:rPr>
                        </w:pPr>
                        <w:r>
                          <w:rPr>
                            <w:sz w:val="21"/>
                          </w:rPr>
                          <w:t>1.17%</w:t>
                        </w:r>
                      </w:p>
                    </w:tc>
                    <w:tc>
                      <w:tcPr>
                        <w:tcW w:w="1237" w:type="dxa"/>
                      </w:tcPr>
                      <w:p>
                        <w:pPr>
                          <w:pStyle w:val="TableParagraph"/>
                          <w:spacing w:before="2"/>
                          <w:rPr>
                            <w:sz w:val="16"/>
                          </w:rPr>
                        </w:pPr>
                      </w:p>
                      <w:p>
                        <w:pPr>
                          <w:pStyle w:val="TableParagraph"/>
                          <w:ind w:right="97"/>
                          <w:jc w:val="right"/>
                          <w:rPr>
                            <w:sz w:val="21"/>
                          </w:rPr>
                        </w:pPr>
                        <w:r>
                          <w:rPr>
                            <w:sz w:val="21"/>
                          </w:rPr>
                          <w:t>14.84%</w:t>
                        </w:r>
                      </w:p>
                    </w:tc>
                    <w:tc>
                      <w:tcPr>
                        <w:tcW w:w="1383" w:type="dxa"/>
                      </w:tcPr>
                      <w:p>
                        <w:pPr>
                          <w:pStyle w:val="TableParagraph"/>
                          <w:spacing w:before="2"/>
                          <w:rPr>
                            <w:sz w:val="16"/>
                          </w:rPr>
                        </w:pPr>
                      </w:p>
                      <w:p>
                        <w:pPr>
                          <w:pStyle w:val="TableParagraph"/>
                          <w:ind w:right="96"/>
                          <w:jc w:val="right"/>
                          <w:rPr>
                            <w:sz w:val="21"/>
                          </w:rPr>
                        </w:pPr>
                        <w:r>
                          <w:rPr>
                            <w:sz w:val="21"/>
                          </w:rPr>
                          <w:t>1.21%</w:t>
                        </w:r>
                      </w:p>
                    </w:tc>
                    <w:tc>
                      <w:tcPr>
                        <w:tcW w:w="1029" w:type="dxa"/>
                      </w:tcPr>
                      <w:p>
                        <w:pPr>
                          <w:pStyle w:val="TableParagraph"/>
                          <w:spacing w:before="2"/>
                          <w:rPr>
                            <w:sz w:val="16"/>
                          </w:rPr>
                        </w:pPr>
                      </w:p>
                      <w:p>
                        <w:pPr>
                          <w:pStyle w:val="TableParagraph"/>
                          <w:ind w:right="96"/>
                          <w:jc w:val="right"/>
                          <w:rPr>
                            <w:sz w:val="21"/>
                          </w:rPr>
                        </w:pPr>
                        <w:r>
                          <w:rPr>
                            <w:sz w:val="21"/>
                          </w:rPr>
                          <w:t>-0.11%</w:t>
                        </w:r>
                      </w:p>
                    </w:tc>
                    <w:tc>
                      <w:tcPr>
                        <w:tcW w:w="981" w:type="dxa"/>
                      </w:tcPr>
                      <w:p>
                        <w:pPr>
                          <w:pStyle w:val="TableParagraph"/>
                          <w:spacing w:before="2"/>
                          <w:rPr>
                            <w:sz w:val="16"/>
                          </w:rPr>
                        </w:pPr>
                      </w:p>
                      <w:p>
                        <w:pPr>
                          <w:pStyle w:val="TableParagraph"/>
                          <w:ind w:right="97"/>
                          <w:jc w:val="right"/>
                          <w:rPr>
                            <w:sz w:val="21"/>
                          </w:rPr>
                        </w:pPr>
                        <w:r>
                          <w:rPr>
                            <w:sz w:val="21"/>
                          </w:rPr>
                          <w:t>-0.04%</w:t>
                        </w:r>
                      </w:p>
                    </w:tc>
                  </w:tr>
                  <w:tr>
                    <w:trPr>
                      <w:trHeight w:val="817" w:hRule="atLeast"/>
                    </w:trPr>
                    <w:tc>
                      <w:tcPr>
                        <w:tcW w:w="2038" w:type="dxa"/>
                      </w:tcPr>
                      <w:p>
                        <w:pPr>
                          <w:pStyle w:val="TableParagraph"/>
                          <w:spacing w:before="3"/>
                          <w:ind w:left="76"/>
                          <w:rPr>
                            <w:sz w:val="21"/>
                          </w:rPr>
                        </w:pPr>
                        <w:r>
                          <w:rPr>
                            <w:sz w:val="21"/>
                          </w:rPr>
                          <w:t>2013</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2013</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-11.35%</w:t>
                        </w:r>
                      </w:p>
                    </w:tc>
                    <w:tc>
                      <w:tcPr>
                        <w:tcW w:w="1275" w:type="dxa"/>
                      </w:tcPr>
                      <w:p>
                        <w:pPr>
                          <w:pStyle w:val="TableParagraph"/>
                          <w:spacing w:before="2"/>
                          <w:rPr>
                            <w:sz w:val="16"/>
                          </w:rPr>
                        </w:pPr>
                      </w:p>
                      <w:p>
                        <w:pPr>
                          <w:pStyle w:val="TableParagraph"/>
                          <w:ind w:right="97"/>
                          <w:jc w:val="right"/>
                          <w:rPr>
                            <w:sz w:val="21"/>
                          </w:rPr>
                        </w:pPr>
                        <w:r>
                          <w:rPr>
                            <w:sz w:val="21"/>
                          </w:rPr>
                          <w:t>1.45%</w:t>
                        </w:r>
                      </w:p>
                    </w:tc>
                    <w:tc>
                      <w:tcPr>
                        <w:tcW w:w="1237" w:type="dxa"/>
                      </w:tcPr>
                      <w:p>
                        <w:pPr>
                          <w:pStyle w:val="TableParagraph"/>
                          <w:spacing w:before="2"/>
                          <w:rPr>
                            <w:sz w:val="16"/>
                          </w:rPr>
                        </w:pPr>
                      </w:p>
                      <w:p>
                        <w:pPr>
                          <w:pStyle w:val="TableParagraph"/>
                          <w:ind w:right="97"/>
                          <w:jc w:val="right"/>
                          <w:rPr>
                            <w:sz w:val="21"/>
                          </w:rPr>
                        </w:pPr>
                        <w:r>
                          <w:rPr>
                            <w:sz w:val="21"/>
                          </w:rPr>
                          <w:t>-15.23%</w:t>
                        </w:r>
                      </w:p>
                    </w:tc>
                    <w:tc>
                      <w:tcPr>
                        <w:tcW w:w="1383" w:type="dxa"/>
                      </w:tcPr>
                      <w:p>
                        <w:pPr>
                          <w:pStyle w:val="TableParagraph"/>
                          <w:spacing w:before="2"/>
                          <w:rPr>
                            <w:sz w:val="16"/>
                          </w:rPr>
                        </w:pPr>
                      </w:p>
                      <w:p>
                        <w:pPr>
                          <w:pStyle w:val="TableParagraph"/>
                          <w:ind w:right="96"/>
                          <w:jc w:val="right"/>
                          <w:rPr>
                            <w:sz w:val="21"/>
                          </w:rPr>
                        </w:pPr>
                        <w:r>
                          <w:rPr>
                            <w:sz w:val="21"/>
                          </w:rPr>
                          <w:t>1.57%</w:t>
                        </w:r>
                      </w:p>
                    </w:tc>
                    <w:tc>
                      <w:tcPr>
                        <w:tcW w:w="1029" w:type="dxa"/>
                      </w:tcPr>
                      <w:p>
                        <w:pPr>
                          <w:pStyle w:val="TableParagraph"/>
                          <w:spacing w:before="2"/>
                          <w:rPr>
                            <w:sz w:val="16"/>
                          </w:rPr>
                        </w:pPr>
                      </w:p>
                      <w:p>
                        <w:pPr>
                          <w:pStyle w:val="TableParagraph"/>
                          <w:ind w:right="96"/>
                          <w:jc w:val="right"/>
                          <w:rPr>
                            <w:sz w:val="21"/>
                          </w:rPr>
                        </w:pPr>
                        <w:r>
                          <w:rPr>
                            <w:sz w:val="21"/>
                          </w:rPr>
                          <w:t>3.88%</w:t>
                        </w:r>
                      </w:p>
                    </w:tc>
                    <w:tc>
                      <w:tcPr>
                        <w:tcW w:w="981" w:type="dxa"/>
                      </w:tcPr>
                      <w:p>
                        <w:pPr>
                          <w:pStyle w:val="TableParagraph"/>
                          <w:spacing w:before="2"/>
                          <w:rPr>
                            <w:sz w:val="16"/>
                          </w:rPr>
                        </w:pPr>
                      </w:p>
                      <w:p>
                        <w:pPr>
                          <w:pStyle w:val="TableParagraph"/>
                          <w:ind w:right="97"/>
                          <w:jc w:val="right"/>
                          <w:rPr>
                            <w:sz w:val="21"/>
                          </w:rPr>
                        </w:pPr>
                        <w:r>
                          <w:rPr>
                            <w:sz w:val="21"/>
                          </w:rPr>
                          <w:t>-0.12%</w:t>
                        </w:r>
                      </w:p>
                    </w:tc>
                  </w:tr>
                  <w:tr>
                    <w:trPr>
                      <w:trHeight w:val="817" w:hRule="atLeast"/>
                    </w:trPr>
                    <w:tc>
                      <w:tcPr>
                        <w:tcW w:w="2038" w:type="dxa"/>
                      </w:tcPr>
                      <w:p>
                        <w:pPr>
                          <w:pStyle w:val="TableParagraph"/>
                          <w:spacing w:before="3"/>
                          <w:ind w:left="76"/>
                          <w:rPr>
                            <w:sz w:val="21"/>
                          </w:rPr>
                        </w:pPr>
                        <w:r>
                          <w:rPr>
                            <w:sz w:val="21"/>
                          </w:rPr>
                          <w:t>2014</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2014</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60.94%</w:t>
                        </w:r>
                      </w:p>
                    </w:tc>
                    <w:tc>
                      <w:tcPr>
                        <w:tcW w:w="1275" w:type="dxa"/>
                      </w:tcPr>
                      <w:p>
                        <w:pPr>
                          <w:pStyle w:val="TableParagraph"/>
                          <w:spacing w:before="2"/>
                          <w:rPr>
                            <w:sz w:val="16"/>
                          </w:rPr>
                        </w:pPr>
                      </w:p>
                      <w:p>
                        <w:pPr>
                          <w:pStyle w:val="TableParagraph"/>
                          <w:ind w:right="97"/>
                          <w:jc w:val="right"/>
                          <w:rPr>
                            <w:sz w:val="21"/>
                          </w:rPr>
                        </w:pPr>
                        <w:r>
                          <w:rPr>
                            <w:sz w:val="21"/>
                          </w:rPr>
                          <w:t>1.31%</w:t>
                        </w:r>
                      </w:p>
                    </w:tc>
                    <w:tc>
                      <w:tcPr>
                        <w:tcW w:w="1237" w:type="dxa"/>
                      </w:tcPr>
                      <w:p>
                        <w:pPr>
                          <w:pStyle w:val="TableParagraph"/>
                          <w:spacing w:before="2"/>
                          <w:rPr>
                            <w:sz w:val="16"/>
                          </w:rPr>
                        </w:pPr>
                      </w:p>
                      <w:p>
                        <w:pPr>
                          <w:pStyle w:val="TableParagraph"/>
                          <w:ind w:right="97"/>
                          <w:jc w:val="right"/>
                          <w:rPr>
                            <w:sz w:val="21"/>
                          </w:rPr>
                        </w:pPr>
                        <w:r>
                          <w:rPr>
                            <w:sz w:val="21"/>
                          </w:rPr>
                          <w:t>63.93%</w:t>
                        </w:r>
                      </w:p>
                    </w:tc>
                    <w:tc>
                      <w:tcPr>
                        <w:tcW w:w="1383" w:type="dxa"/>
                      </w:tcPr>
                      <w:p>
                        <w:pPr>
                          <w:pStyle w:val="TableParagraph"/>
                          <w:spacing w:before="2"/>
                          <w:rPr>
                            <w:sz w:val="16"/>
                          </w:rPr>
                        </w:pPr>
                      </w:p>
                      <w:p>
                        <w:pPr>
                          <w:pStyle w:val="TableParagraph"/>
                          <w:ind w:right="96"/>
                          <w:jc w:val="right"/>
                          <w:rPr>
                            <w:sz w:val="21"/>
                          </w:rPr>
                        </w:pPr>
                        <w:r>
                          <w:rPr>
                            <w:sz w:val="21"/>
                          </w:rPr>
                          <w:t>1.42%</w:t>
                        </w:r>
                      </w:p>
                    </w:tc>
                    <w:tc>
                      <w:tcPr>
                        <w:tcW w:w="1029" w:type="dxa"/>
                      </w:tcPr>
                      <w:p>
                        <w:pPr>
                          <w:pStyle w:val="TableParagraph"/>
                          <w:spacing w:before="2"/>
                          <w:rPr>
                            <w:sz w:val="16"/>
                          </w:rPr>
                        </w:pPr>
                      </w:p>
                      <w:p>
                        <w:pPr>
                          <w:pStyle w:val="TableParagraph"/>
                          <w:ind w:right="96"/>
                          <w:jc w:val="right"/>
                          <w:rPr>
                            <w:sz w:val="21"/>
                          </w:rPr>
                        </w:pPr>
                        <w:r>
                          <w:rPr>
                            <w:sz w:val="21"/>
                          </w:rPr>
                          <w:t>-2.99%</w:t>
                        </w:r>
                      </w:p>
                    </w:tc>
                    <w:tc>
                      <w:tcPr>
                        <w:tcW w:w="981" w:type="dxa"/>
                      </w:tcPr>
                      <w:p>
                        <w:pPr>
                          <w:pStyle w:val="TableParagraph"/>
                          <w:spacing w:before="2"/>
                          <w:rPr>
                            <w:sz w:val="16"/>
                          </w:rPr>
                        </w:pPr>
                      </w:p>
                      <w:p>
                        <w:pPr>
                          <w:pStyle w:val="TableParagraph"/>
                          <w:ind w:right="97"/>
                          <w:jc w:val="right"/>
                          <w:rPr>
                            <w:sz w:val="21"/>
                          </w:rPr>
                        </w:pPr>
                        <w:r>
                          <w:rPr>
                            <w:sz w:val="21"/>
                          </w:rPr>
                          <w:t>-0.11%</w:t>
                        </w:r>
                      </w:p>
                    </w:tc>
                  </w:tr>
                  <w:tr>
                    <w:trPr>
                      <w:trHeight w:val="817" w:hRule="atLeast"/>
                    </w:trPr>
                    <w:tc>
                      <w:tcPr>
                        <w:tcW w:w="2038" w:type="dxa"/>
                      </w:tcPr>
                      <w:p>
                        <w:pPr>
                          <w:pStyle w:val="TableParagraph"/>
                          <w:spacing w:before="3"/>
                          <w:ind w:left="76"/>
                          <w:rPr>
                            <w:sz w:val="21"/>
                          </w:rPr>
                        </w:pPr>
                        <w:r>
                          <w:rPr>
                            <w:sz w:val="21"/>
                          </w:rPr>
                          <w:t>2015</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2015</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3.81%</w:t>
                        </w:r>
                      </w:p>
                    </w:tc>
                    <w:tc>
                      <w:tcPr>
                        <w:tcW w:w="1275" w:type="dxa"/>
                      </w:tcPr>
                      <w:p>
                        <w:pPr>
                          <w:pStyle w:val="TableParagraph"/>
                          <w:spacing w:before="2"/>
                          <w:rPr>
                            <w:sz w:val="16"/>
                          </w:rPr>
                        </w:pPr>
                      </w:p>
                      <w:p>
                        <w:pPr>
                          <w:pStyle w:val="TableParagraph"/>
                          <w:ind w:right="97"/>
                          <w:jc w:val="right"/>
                          <w:rPr>
                            <w:sz w:val="21"/>
                          </w:rPr>
                        </w:pPr>
                        <w:r>
                          <w:rPr>
                            <w:sz w:val="21"/>
                          </w:rPr>
                          <w:t>2.27%</w:t>
                        </w:r>
                      </w:p>
                    </w:tc>
                    <w:tc>
                      <w:tcPr>
                        <w:tcW w:w="1237" w:type="dxa"/>
                      </w:tcPr>
                      <w:p>
                        <w:pPr>
                          <w:pStyle w:val="TableParagraph"/>
                          <w:spacing w:before="2"/>
                          <w:rPr>
                            <w:sz w:val="16"/>
                          </w:rPr>
                        </w:pPr>
                      </w:p>
                      <w:p>
                        <w:pPr>
                          <w:pStyle w:val="TableParagraph"/>
                          <w:ind w:right="97"/>
                          <w:jc w:val="right"/>
                          <w:rPr>
                            <w:sz w:val="21"/>
                          </w:rPr>
                        </w:pPr>
                        <w:r>
                          <w:rPr>
                            <w:sz w:val="21"/>
                          </w:rPr>
                          <w:t>-6.23%</w:t>
                        </w:r>
                      </w:p>
                    </w:tc>
                    <w:tc>
                      <w:tcPr>
                        <w:tcW w:w="1383" w:type="dxa"/>
                      </w:tcPr>
                      <w:p>
                        <w:pPr>
                          <w:pStyle w:val="TableParagraph"/>
                          <w:spacing w:before="2"/>
                          <w:rPr>
                            <w:sz w:val="16"/>
                          </w:rPr>
                        </w:pPr>
                      </w:p>
                      <w:p>
                        <w:pPr>
                          <w:pStyle w:val="TableParagraph"/>
                          <w:ind w:right="96"/>
                          <w:jc w:val="right"/>
                          <w:rPr>
                            <w:sz w:val="21"/>
                          </w:rPr>
                        </w:pPr>
                        <w:r>
                          <w:rPr>
                            <w:sz w:val="21"/>
                          </w:rPr>
                          <w:t>2.53%</w:t>
                        </w:r>
                      </w:p>
                    </w:tc>
                    <w:tc>
                      <w:tcPr>
                        <w:tcW w:w="1029" w:type="dxa"/>
                      </w:tcPr>
                      <w:p>
                        <w:pPr>
                          <w:pStyle w:val="TableParagraph"/>
                          <w:spacing w:before="2"/>
                          <w:rPr>
                            <w:sz w:val="16"/>
                          </w:rPr>
                        </w:pPr>
                      </w:p>
                      <w:p>
                        <w:pPr>
                          <w:pStyle w:val="TableParagraph"/>
                          <w:ind w:right="96"/>
                          <w:jc w:val="right"/>
                          <w:rPr>
                            <w:sz w:val="21"/>
                          </w:rPr>
                        </w:pPr>
                        <w:r>
                          <w:rPr>
                            <w:sz w:val="21"/>
                          </w:rPr>
                          <w:t>10.04%</w:t>
                        </w:r>
                      </w:p>
                    </w:tc>
                    <w:tc>
                      <w:tcPr>
                        <w:tcW w:w="981" w:type="dxa"/>
                      </w:tcPr>
                      <w:p>
                        <w:pPr>
                          <w:pStyle w:val="TableParagraph"/>
                          <w:spacing w:before="2"/>
                          <w:rPr>
                            <w:sz w:val="16"/>
                          </w:rPr>
                        </w:pPr>
                      </w:p>
                      <w:p>
                        <w:pPr>
                          <w:pStyle w:val="TableParagraph"/>
                          <w:ind w:right="97"/>
                          <w:jc w:val="right"/>
                          <w:rPr>
                            <w:sz w:val="21"/>
                          </w:rPr>
                        </w:pPr>
                        <w:r>
                          <w:rPr>
                            <w:sz w:val="21"/>
                          </w:rPr>
                          <w:t>-0.26%</w:t>
                        </w:r>
                      </w:p>
                    </w:tc>
                  </w:tr>
                  <w:tr>
                    <w:trPr>
                      <w:trHeight w:val="817" w:hRule="atLeast"/>
                    </w:trPr>
                    <w:tc>
                      <w:tcPr>
                        <w:tcW w:w="2038" w:type="dxa"/>
                      </w:tcPr>
                      <w:p>
                        <w:pPr>
                          <w:pStyle w:val="TableParagraph"/>
                          <w:spacing w:before="3"/>
                          <w:ind w:left="76"/>
                          <w:rPr>
                            <w:sz w:val="21"/>
                          </w:rPr>
                        </w:pPr>
                        <w:r>
                          <w:rPr>
                            <w:sz w:val="21"/>
                          </w:rPr>
                          <w:t>2016</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2016</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-0.76%</w:t>
                        </w:r>
                      </w:p>
                    </w:tc>
                    <w:tc>
                      <w:tcPr>
                        <w:tcW w:w="1275" w:type="dxa"/>
                      </w:tcPr>
                      <w:p>
                        <w:pPr>
                          <w:pStyle w:val="TableParagraph"/>
                          <w:spacing w:before="2"/>
                          <w:rPr>
                            <w:sz w:val="16"/>
                          </w:rPr>
                        </w:pPr>
                      </w:p>
                      <w:p>
                        <w:pPr>
                          <w:pStyle w:val="TableParagraph"/>
                          <w:ind w:right="97"/>
                          <w:jc w:val="right"/>
                          <w:rPr>
                            <w:sz w:val="21"/>
                          </w:rPr>
                        </w:pPr>
                        <w:r>
                          <w:rPr>
                            <w:sz w:val="21"/>
                          </w:rPr>
                          <w:t>1.19%</w:t>
                        </w:r>
                      </w:p>
                    </w:tc>
                    <w:tc>
                      <w:tcPr>
                        <w:tcW w:w="1237" w:type="dxa"/>
                      </w:tcPr>
                      <w:p>
                        <w:pPr>
                          <w:pStyle w:val="TableParagraph"/>
                          <w:spacing w:before="2"/>
                          <w:rPr>
                            <w:sz w:val="16"/>
                          </w:rPr>
                        </w:pPr>
                      </w:p>
                      <w:p>
                        <w:pPr>
                          <w:pStyle w:val="TableParagraph"/>
                          <w:ind w:right="97"/>
                          <w:jc w:val="right"/>
                          <w:rPr>
                            <w:sz w:val="21"/>
                          </w:rPr>
                        </w:pPr>
                        <w:r>
                          <w:rPr>
                            <w:sz w:val="21"/>
                          </w:rPr>
                          <w:t>-5.53%</w:t>
                        </w:r>
                      </w:p>
                    </w:tc>
                    <w:tc>
                      <w:tcPr>
                        <w:tcW w:w="1383" w:type="dxa"/>
                      </w:tcPr>
                      <w:p>
                        <w:pPr>
                          <w:pStyle w:val="TableParagraph"/>
                          <w:spacing w:before="2"/>
                          <w:rPr>
                            <w:sz w:val="16"/>
                          </w:rPr>
                        </w:pPr>
                      </w:p>
                      <w:p>
                        <w:pPr>
                          <w:pStyle w:val="TableParagraph"/>
                          <w:ind w:right="96"/>
                          <w:jc w:val="right"/>
                          <w:rPr>
                            <w:sz w:val="21"/>
                          </w:rPr>
                        </w:pPr>
                        <w:r>
                          <w:rPr>
                            <w:sz w:val="21"/>
                          </w:rPr>
                          <w:t>1.27%</w:t>
                        </w:r>
                      </w:p>
                    </w:tc>
                    <w:tc>
                      <w:tcPr>
                        <w:tcW w:w="1029" w:type="dxa"/>
                      </w:tcPr>
                      <w:p>
                        <w:pPr>
                          <w:pStyle w:val="TableParagraph"/>
                          <w:spacing w:before="2"/>
                          <w:rPr>
                            <w:sz w:val="16"/>
                          </w:rPr>
                        </w:pPr>
                      </w:p>
                      <w:p>
                        <w:pPr>
                          <w:pStyle w:val="TableParagraph"/>
                          <w:ind w:right="96"/>
                          <w:jc w:val="right"/>
                          <w:rPr>
                            <w:sz w:val="21"/>
                          </w:rPr>
                        </w:pPr>
                        <w:r>
                          <w:rPr>
                            <w:sz w:val="21"/>
                          </w:rPr>
                          <w:t>4.77%</w:t>
                        </w:r>
                      </w:p>
                    </w:tc>
                    <w:tc>
                      <w:tcPr>
                        <w:tcW w:w="981" w:type="dxa"/>
                      </w:tcPr>
                      <w:p>
                        <w:pPr>
                          <w:pStyle w:val="TableParagraph"/>
                          <w:spacing w:before="2"/>
                          <w:rPr>
                            <w:sz w:val="16"/>
                          </w:rPr>
                        </w:pPr>
                      </w:p>
                      <w:p>
                        <w:pPr>
                          <w:pStyle w:val="TableParagraph"/>
                          <w:ind w:right="97"/>
                          <w:jc w:val="right"/>
                          <w:rPr>
                            <w:sz w:val="21"/>
                          </w:rPr>
                        </w:pPr>
                        <w:r>
                          <w:rPr>
                            <w:sz w:val="21"/>
                          </w:rPr>
                          <w:t>-0.08%</w:t>
                        </w:r>
                      </w:p>
                    </w:tc>
                  </w:tr>
                  <w:tr>
                    <w:trPr>
                      <w:trHeight w:val="817" w:hRule="atLeast"/>
                    </w:trPr>
                    <w:tc>
                      <w:tcPr>
                        <w:tcW w:w="2038" w:type="dxa"/>
                      </w:tcPr>
                      <w:p>
                        <w:pPr>
                          <w:pStyle w:val="TableParagraph"/>
                          <w:spacing w:before="3"/>
                          <w:ind w:left="76"/>
                          <w:rPr>
                            <w:sz w:val="21"/>
                          </w:rPr>
                        </w:pPr>
                        <w:r>
                          <w:rPr>
                            <w:sz w:val="21"/>
                          </w:rPr>
                          <w:t>2017</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2017</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41.29%</w:t>
                        </w:r>
                      </w:p>
                    </w:tc>
                    <w:tc>
                      <w:tcPr>
                        <w:tcW w:w="1275" w:type="dxa"/>
                      </w:tcPr>
                      <w:p>
                        <w:pPr>
                          <w:pStyle w:val="TableParagraph"/>
                          <w:spacing w:before="2"/>
                          <w:rPr>
                            <w:sz w:val="16"/>
                          </w:rPr>
                        </w:pPr>
                      </w:p>
                      <w:p>
                        <w:pPr>
                          <w:pStyle w:val="TableParagraph"/>
                          <w:ind w:right="97"/>
                          <w:jc w:val="right"/>
                          <w:rPr>
                            <w:sz w:val="21"/>
                          </w:rPr>
                        </w:pPr>
                        <w:r>
                          <w:rPr>
                            <w:sz w:val="21"/>
                          </w:rPr>
                          <w:t>0.73%</w:t>
                        </w:r>
                      </w:p>
                    </w:tc>
                    <w:tc>
                      <w:tcPr>
                        <w:tcW w:w="1237" w:type="dxa"/>
                      </w:tcPr>
                      <w:p>
                        <w:pPr>
                          <w:pStyle w:val="TableParagraph"/>
                          <w:spacing w:before="2"/>
                          <w:rPr>
                            <w:sz w:val="16"/>
                          </w:rPr>
                        </w:pPr>
                      </w:p>
                      <w:p>
                        <w:pPr>
                          <w:pStyle w:val="TableParagraph"/>
                          <w:ind w:right="97"/>
                          <w:jc w:val="right"/>
                          <w:rPr>
                            <w:sz w:val="21"/>
                          </w:rPr>
                        </w:pPr>
                        <w:r>
                          <w:rPr>
                            <w:sz w:val="21"/>
                          </w:rPr>
                          <w:t>25.08%</w:t>
                        </w:r>
                      </w:p>
                    </w:tc>
                    <w:tc>
                      <w:tcPr>
                        <w:tcW w:w="1383" w:type="dxa"/>
                      </w:tcPr>
                      <w:p>
                        <w:pPr>
                          <w:pStyle w:val="TableParagraph"/>
                          <w:spacing w:before="2"/>
                          <w:rPr>
                            <w:sz w:val="16"/>
                          </w:rPr>
                        </w:pPr>
                      </w:p>
                      <w:p>
                        <w:pPr>
                          <w:pStyle w:val="TableParagraph"/>
                          <w:ind w:right="96"/>
                          <w:jc w:val="right"/>
                          <w:rPr>
                            <w:sz w:val="21"/>
                          </w:rPr>
                        </w:pPr>
                        <w:r>
                          <w:rPr>
                            <w:sz w:val="21"/>
                          </w:rPr>
                          <w:t>0.70%</w:t>
                        </w:r>
                      </w:p>
                    </w:tc>
                    <w:tc>
                      <w:tcPr>
                        <w:tcW w:w="1029" w:type="dxa"/>
                      </w:tcPr>
                      <w:p>
                        <w:pPr>
                          <w:pStyle w:val="TableParagraph"/>
                          <w:spacing w:before="2"/>
                          <w:rPr>
                            <w:sz w:val="16"/>
                          </w:rPr>
                        </w:pPr>
                      </w:p>
                      <w:p>
                        <w:pPr>
                          <w:pStyle w:val="TableParagraph"/>
                          <w:ind w:right="96"/>
                          <w:jc w:val="right"/>
                          <w:rPr>
                            <w:sz w:val="21"/>
                          </w:rPr>
                        </w:pPr>
                        <w:r>
                          <w:rPr>
                            <w:sz w:val="21"/>
                          </w:rPr>
                          <w:t>16.21%</w:t>
                        </w:r>
                      </w:p>
                    </w:tc>
                    <w:tc>
                      <w:tcPr>
                        <w:tcW w:w="981" w:type="dxa"/>
                      </w:tcPr>
                      <w:p>
                        <w:pPr>
                          <w:pStyle w:val="TableParagraph"/>
                          <w:spacing w:before="2"/>
                          <w:rPr>
                            <w:sz w:val="16"/>
                          </w:rPr>
                        </w:pPr>
                      </w:p>
                      <w:p>
                        <w:pPr>
                          <w:pStyle w:val="TableParagraph"/>
                          <w:ind w:right="97"/>
                          <w:jc w:val="right"/>
                          <w:rPr>
                            <w:sz w:val="21"/>
                          </w:rPr>
                        </w:pPr>
                        <w:r>
                          <w:rPr>
                            <w:sz w:val="21"/>
                          </w:rPr>
                          <w:t>0.03%</w:t>
                        </w:r>
                      </w:p>
                    </w:tc>
                  </w:tr>
                  <w:tr>
                    <w:trPr>
                      <w:trHeight w:val="817" w:hRule="atLeast"/>
                    </w:trPr>
                    <w:tc>
                      <w:tcPr>
                        <w:tcW w:w="2038" w:type="dxa"/>
                      </w:tcPr>
                      <w:p>
                        <w:pPr>
                          <w:pStyle w:val="TableParagraph"/>
                          <w:spacing w:before="3"/>
                          <w:ind w:left="76"/>
                          <w:rPr>
                            <w:sz w:val="21"/>
                          </w:rPr>
                        </w:pPr>
                        <w:r>
                          <w:rPr>
                            <w:sz w:val="21"/>
                          </w:rPr>
                          <w:t>2018</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2018</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-16.66%</w:t>
                        </w:r>
                      </w:p>
                    </w:tc>
                    <w:tc>
                      <w:tcPr>
                        <w:tcW w:w="1275" w:type="dxa"/>
                      </w:tcPr>
                      <w:p>
                        <w:pPr>
                          <w:pStyle w:val="TableParagraph"/>
                          <w:spacing w:before="2"/>
                          <w:rPr>
                            <w:sz w:val="16"/>
                          </w:rPr>
                        </w:pPr>
                      </w:p>
                      <w:p>
                        <w:pPr>
                          <w:pStyle w:val="TableParagraph"/>
                          <w:ind w:right="97"/>
                          <w:jc w:val="right"/>
                          <w:rPr>
                            <w:sz w:val="21"/>
                          </w:rPr>
                        </w:pPr>
                        <w:r>
                          <w:rPr>
                            <w:sz w:val="21"/>
                          </w:rPr>
                          <w:t>1.45%</w:t>
                        </w:r>
                      </w:p>
                    </w:tc>
                    <w:tc>
                      <w:tcPr>
                        <w:tcW w:w="1237" w:type="dxa"/>
                      </w:tcPr>
                      <w:p>
                        <w:pPr>
                          <w:pStyle w:val="TableParagraph"/>
                          <w:spacing w:before="2"/>
                          <w:rPr>
                            <w:sz w:val="16"/>
                          </w:rPr>
                        </w:pPr>
                      </w:p>
                      <w:p>
                        <w:pPr>
                          <w:pStyle w:val="TableParagraph"/>
                          <w:ind w:right="97"/>
                          <w:jc w:val="right"/>
                          <w:rPr>
                            <w:sz w:val="21"/>
                          </w:rPr>
                        </w:pPr>
                        <w:r>
                          <w:rPr>
                            <w:sz w:val="21"/>
                          </w:rPr>
                          <w:t>-19.83%</w:t>
                        </w:r>
                      </w:p>
                    </w:tc>
                    <w:tc>
                      <w:tcPr>
                        <w:tcW w:w="1383" w:type="dxa"/>
                      </w:tcPr>
                      <w:p>
                        <w:pPr>
                          <w:pStyle w:val="TableParagraph"/>
                          <w:spacing w:before="2"/>
                          <w:rPr>
                            <w:sz w:val="16"/>
                          </w:rPr>
                        </w:pPr>
                      </w:p>
                      <w:p>
                        <w:pPr>
                          <w:pStyle w:val="TableParagraph"/>
                          <w:ind w:right="96"/>
                          <w:jc w:val="right"/>
                          <w:rPr>
                            <w:sz w:val="21"/>
                          </w:rPr>
                        </w:pPr>
                        <w:r>
                          <w:rPr>
                            <w:sz w:val="21"/>
                          </w:rPr>
                          <w:t>1.37%</w:t>
                        </w:r>
                      </w:p>
                    </w:tc>
                    <w:tc>
                      <w:tcPr>
                        <w:tcW w:w="1029" w:type="dxa"/>
                      </w:tcPr>
                      <w:p>
                        <w:pPr>
                          <w:pStyle w:val="TableParagraph"/>
                          <w:spacing w:before="2"/>
                          <w:rPr>
                            <w:sz w:val="16"/>
                          </w:rPr>
                        </w:pPr>
                      </w:p>
                      <w:p>
                        <w:pPr>
                          <w:pStyle w:val="TableParagraph"/>
                          <w:ind w:right="96"/>
                          <w:jc w:val="right"/>
                          <w:rPr>
                            <w:sz w:val="21"/>
                          </w:rPr>
                        </w:pPr>
                        <w:r>
                          <w:rPr>
                            <w:sz w:val="21"/>
                          </w:rPr>
                          <w:t>3.17%</w:t>
                        </w:r>
                      </w:p>
                    </w:tc>
                    <w:tc>
                      <w:tcPr>
                        <w:tcW w:w="981" w:type="dxa"/>
                      </w:tcPr>
                      <w:p>
                        <w:pPr>
                          <w:pStyle w:val="TableParagraph"/>
                          <w:spacing w:before="2"/>
                          <w:rPr>
                            <w:sz w:val="16"/>
                          </w:rPr>
                        </w:pPr>
                      </w:p>
                      <w:p>
                        <w:pPr>
                          <w:pStyle w:val="TableParagraph"/>
                          <w:ind w:right="97"/>
                          <w:jc w:val="right"/>
                          <w:rPr>
                            <w:sz w:val="21"/>
                          </w:rPr>
                        </w:pPr>
                        <w:r>
                          <w:rPr>
                            <w:sz w:val="21"/>
                          </w:rPr>
                          <w:t>0.08%</w:t>
                        </w:r>
                      </w:p>
                    </w:tc>
                  </w:tr>
                  <w:tr>
                    <w:trPr>
                      <w:trHeight w:val="817" w:hRule="atLeast"/>
                    </w:trPr>
                    <w:tc>
                      <w:tcPr>
                        <w:tcW w:w="2038" w:type="dxa"/>
                      </w:tcPr>
                      <w:p>
                        <w:pPr>
                          <w:pStyle w:val="TableParagraph"/>
                          <w:spacing w:before="3"/>
                          <w:ind w:left="76"/>
                          <w:rPr>
                            <w:sz w:val="21"/>
                          </w:rPr>
                        </w:pPr>
                        <w:r>
                          <w:rPr>
                            <w:sz w:val="21"/>
                          </w:rPr>
                          <w:t>2019</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2019</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right="97"/>
                          <w:jc w:val="right"/>
                          <w:rPr>
                            <w:sz w:val="21"/>
                          </w:rPr>
                        </w:pPr>
                        <w:r>
                          <w:rPr>
                            <w:sz w:val="21"/>
                          </w:rPr>
                          <w:t>51.11%</w:t>
                        </w:r>
                      </w:p>
                    </w:tc>
                    <w:tc>
                      <w:tcPr>
                        <w:tcW w:w="1275" w:type="dxa"/>
                      </w:tcPr>
                      <w:p>
                        <w:pPr>
                          <w:pStyle w:val="TableParagraph"/>
                          <w:spacing w:before="2"/>
                          <w:rPr>
                            <w:sz w:val="16"/>
                          </w:rPr>
                        </w:pPr>
                      </w:p>
                      <w:p>
                        <w:pPr>
                          <w:pStyle w:val="TableParagraph"/>
                          <w:ind w:right="97"/>
                          <w:jc w:val="right"/>
                          <w:rPr>
                            <w:sz w:val="21"/>
                          </w:rPr>
                        </w:pPr>
                        <w:r>
                          <w:rPr>
                            <w:sz w:val="21"/>
                          </w:rPr>
                          <w:t>1.23%</w:t>
                        </w:r>
                      </w:p>
                    </w:tc>
                    <w:tc>
                      <w:tcPr>
                        <w:tcW w:w="1237" w:type="dxa"/>
                      </w:tcPr>
                      <w:p>
                        <w:pPr>
                          <w:pStyle w:val="TableParagraph"/>
                          <w:spacing w:before="2"/>
                          <w:rPr>
                            <w:sz w:val="16"/>
                          </w:rPr>
                        </w:pPr>
                      </w:p>
                      <w:p>
                        <w:pPr>
                          <w:pStyle w:val="TableParagraph"/>
                          <w:ind w:right="97"/>
                          <w:jc w:val="right"/>
                          <w:rPr>
                            <w:sz w:val="21"/>
                          </w:rPr>
                        </w:pPr>
                        <w:r>
                          <w:rPr>
                            <w:sz w:val="21"/>
                          </w:rPr>
                          <w:t>33.58%</w:t>
                        </w:r>
                      </w:p>
                    </w:tc>
                    <w:tc>
                      <w:tcPr>
                        <w:tcW w:w="1383" w:type="dxa"/>
                      </w:tcPr>
                      <w:p>
                        <w:pPr>
                          <w:pStyle w:val="TableParagraph"/>
                          <w:spacing w:before="2"/>
                          <w:rPr>
                            <w:sz w:val="16"/>
                          </w:rPr>
                        </w:pPr>
                      </w:p>
                      <w:p>
                        <w:pPr>
                          <w:pStyle w:val="TableParagraph"/>
                          <w:ind w:right="96"/>
                          <w:jc w:val="right"/>
                          <w:rPr>
                            <w:sz w:val="21"/>
                          </w:rPr>
                        </w:pPr>
                        <w:r>
                          <w:rPr>
                            <w:sz w:val="21"/>
                          </w:rPr>
                          <w:t>1.21%</w:t>
                        </w:r>
                      </w:p>
                    </w:tc>
                    <w:tc>
                      <w:tcPr>
                        <w:tcW w:w="1029" w:type="dxa"/>
                      </w:tcPr>
                      <w:p>
                        <w:pPr>
                          <w:pStyle w:val="TableParagraph"/>
                          <w:spacing w:before="2"/>
                          <w:rPr>
                            <w:sz w:val="16"/>
                          </w:rPr>
                        </w:pPr>
                      </w:p>
                      <w:p>
                        <w:pPr>
                          <w:pStyle w:val="TableParagraph"/>
                          <w:ind w:right="96"/>
                          <w:jc w:val="right"/>
                          <w:rPr>
                            <w:sz w:val="21"/>
                          </w:rPr>
                        </w:pPr>
                        <w:r>
                          <w:rPr>
                            <w:sz w:val="21"/>
                          </w:rPr>
                          <w:t>17.53%</w:t>
                        </w:r>
                      </w:p>
                    </w:tc>
                    <w:tc>
                      <w:tcPr>
                        <w:tcW w:w="981" w:type="dxa"/>
                      </w:tcPr>
                      <w:p>
                        <w:pPr>
                          <w:pStyle w:val="TableParagraph"/>
                          <w:spacing w:before="2"/>
                          <w:rPr>
                            <w:sz w:val="16"/>
                          </w:rPr>
                        </w:pPr>
                      </w:p>
                      <w:p>
                        <w:pPr>
                          <w:pStyle w:val="TableParagraph"/>
                          <w:ind w:right="97"/>
                          <w:jc w:val="right"/>
                          <w:rPr>
                            <w:sz w:val="21"/>
                          </w:rPr>
                        </w:pPr>
                        <w:r>
                          <w:rPr>
                            <w:sz w:val="21"/>
                          </w:rPr>
                          <w:t>0.02%</w:t>
                        </w:r>
                      </w:p>
                    </w:tc>
                  </w:tr>
                </w:tbl>
                <w:p>
                  <w:pPr>
                    <w:pStyle w:val="BodyText"/>
                    <w:ind w:left="0"/>
                  </w:pPr>
                </w:p>
              </w:txbxContent>
            </v:textbox>
            <w10:wrap type="none"/>
          </v:shape>
        </w:pict>
      </w:r>
      <w:r>
        <w:rPr/>
        <w:t>1</w:t>
      </w:r>
      <w:r>
        <w:rPr>
          <w:spacing w:val="-3"/>
        </w:rPr>
        <w:t>、易方达上证 </w:t>
      </w:r>
      <w:r>
        <w:rPr/>
        <w:t>50</w:t>
      </w:r>
      <w:r>
        <w:rPr>
          <w:spacing w:val="-24"/>
        </w:rPr>
        <w:t> 指数 </w:t>
      </w:r>
      <w:r>
        <w:rPr/>
        <w:t>A</w:t>
      </w:r>
      <w:r>
        <w:rPr>
          <w:spacing w:val="-8"/>
        </w:rPr>
        <w:t> 类基金份额最近 </w:t>
      </w:r>
      <w:r>
        <w:rPr/>
        <w:t>10</w:t>
      </w:r>
      <w:r>
        <w:rPr>
          <w:spacing w:val="-2"/>
        </w:rPr>
        <w:t> 个完整会计年度</w:t>
      </w:r>
      <w:r>
        <w:rPr>
          <w:spacing w:val="6"/>
        </w:rPr>
        <w:t>（</w:t>
      </w:r>
      <w:r>
        <w:rPr>
          <w:spacing w:val="-14"/>
        </w:rPr>
        <w:t>截至 </w:t>
      </w:r>
      <w:r>
        <w:rPr/>
        <w:t>2019</w:t>
      </w:r>
      <w:r>
        <w:rPr>
          <w:spacing w:val="-34"/>
        </w:rPr>
        <w:t> 年 </w:t>
      </w:r>
      <w:r>
        <w:rPr/>
        <w:t>12</w:t>
      </w:r>
      <w:r>
        <w:rPr>
          <w:spacing w:val="-34"/>
        </w:rPr>
        <w:t> 月 </w:t>
      </w:r>
      <w:r>
        <w:rPr/>
        <w:t>31</w:t>
      </w:r>
      <w:r>
        <w:rPr>
          <w:spacing w:val="-24"/>
        </w:rPr>
        <w:t> 日</w:t>
      </w:r>
      <w:r>
        <w:rPr/>
        <w:t>） 的净值增长率与同期业绩比较基准收益率比较</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2"/>
        <w:ind w:left="0"/>
        <w:rPr>
          <w:sz w:val="15"/>
        </w:rPr>
      </w:pPr>
    </w:p>
    <w:p>
      <w:pPr>
        <w:pStyle w:val="BodyText"/>
      </w:pPr>
      <w:r>
        <w:rPr/>
        <w:t>2、易方达上证 50 指数 C 类基金份额截至 2019 年 12 月 31 日的净值增长率与同期业绩比较</w:t>
      </w:r>
    </w:p>
    <w:p>
      <w:pPr>
        <w:spacing w:after="0"/>
        <w:sectPr>
          <w:pgSz w:w="11910" w:h="16840"/>
          <w:pgMar w:header="0" w:footer="1172" w:top="1580" w:bottom="1440" w:left="1520" w:right="360"/>
        </w:sectPr>
      </w:pPr>
    </w:p>
    <w:p>
      <w:pPr>
        <w:pStyle w:val="BodyText"/>
        <w:spacing w:before="106"/>
        <w:ind w:left="293"/>
      </w:pPr>
      <w:r>
        <w:rPr/>
        <w:t>基准收益率比较</w:t>
      </w:r>
    </w:p>
    <w:p>
      <w:pPr>
        <w:pStyle w:val="BodyText"/>
        <w:spacing w:before="8"/>
        <w:ind w:left="0"/>
        <w:rPr>
          <w:sz w:val="10"/>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8"/>
        <w:gridCol w:w="1033"/>
        <w:gridCol w:w="1275"/>
        <w:gridCol w:w="1237"/>
        <w:gridCol w:w="1383"/>
        <w:gridCol w:w="1029"/>
        <w:gridCol w:w="981"/>
      </w:tblGrid>
      <w:tr>
        <w:trPr>
          <w:trHeight w:val="1225" w:hRule="atLeast"/>
        </w:trPr>
        <w:tc>
          <w:tcPr>
            <w:tcW w:w="2038" w:type="dxa"/>
          </w:tcPr>
          <w:p>
            <w:pPr>
              <w:pStyle w:val="TableParagraph"/>
              <w:rPr>
                <w:sz w:val="20"/>
              </w:rPr>
            </w:pPr>
          </w:p>
          <w:p>
            <w:pPr>
              <w:pStyle w:val="TableParagraph"/>
              <w:spacing w:before="155"/>
              <w:ind w:left="787" w:right="781"/>
              <w:jc w:val="center"/>
              <w:rPr>
                <w:sz w:val="21"/>
              </w:rPr>
            </w:pPr>
            <w:r>
              <w:rPr>
                <w:sz w:val="21"/>
              </w:rPr>
              <w:t>阶段</w:t>
            </w:r>
          </w:p>
        </w:tc>
        <w:tc>
          <w:tcPr>
            <w:tcW w:w="1033" w:type="dxa"/>
          </w:tcPr>
          <w:p>
            <w:pPr>
              <w:pStyle w:val="TableParagraph"/>
              <w:spacing w:before="2"/>
              <w:rPr>
                <w:sz w:val="16"/>
              </w:rPr>
            </w:pPr>
          </w:p>
          <w:p>
            <w:pPr>
              <w:pStyle w:val="TableParagraph"/>
              <w:spacing w:line="364" w:lineRule="auto"/>
              <w:ind w:left="253" w:right="138" w:hanging="212"/>
              <w:rPr>
                <w:sz w:val="21"/>
              </w:rPr>
            </w:pPr>
            <w:r>
              <w:rPr>
                <w:sz w:val="21"/>
              </w:rPr>
              <w:t>净值增长率①</w:t>
            </w:r>
          </w:p>
        </w:tc>
        <w:tc>
          <w:tcPr>
            <w:tcW w:w="1275" w:type="dxa"/>
          </w:tcPr>
          <w:p>
            <w:pPr>
              <w:pStyle w:val="TableParagraph"/>
              <w:spacing w:before="2"/>
              <w:rPr>
                <w:sz w:val="16"/>
              </w:rPr>
            </w:pPr>
          </w:p>
          <w:p>
            <w:pPr>
              <w:pStyle w:val="TableParagraph"/>
              <w:spacing w:line="364" w:lineRule="auto"/>
              <w:ind w:left="162" w:right="160" w:hanging="109"/>
              <w:rPr>
                <w:sz w:val="21"/>
              </w:rPr>
            </w:pPr>
            <w:r>
              <w:rPr>
                <w:sz w:val="21"/>
              </w:rPr>
              <w:t>净值增长率标准差②</w:t>
            </w:r>
          </w:p>
        </w:tc>
        <w:tc>
          <w:tcPr>
            <w:tcW w:w="1237" w:type="dxa"/>
          </w:tcPr>
          <w:p>
            <w:pPr>
              <w:pStyle w:val="TableParagraph"/>
              <w:spacing w:line="364" w:lineRule="auto" w:before="3"/>
              <w:ind w:left="63" w:right="111" w:firstLine="42"/>
              <w:jc w:val="center"/>
              <w:rPr>
                <w:sz w:val="21"/>
              </w:rPr>
            </w:pPr>
            <w:r>
              <w:rPr>
                <w:sz w:val="21"/>
              </w:rPr>
              <w:t>业绩比较 基准收益率</w:t>
            </w:r>
          </w:p>
          <w:p>
            <w:pPr>
              <w:pStyle w:val="TableParagraph"/>
              <w:spacing w:line="268" w:lineRule="exact"/>
              <w:ind w:right="49"/>
              <w:jc w:val="center"/>
              <w:rPr>
                <w:sz w:val="21"/>
              </w:rPr>
            </w:pPr>
            <w:r>
              <w:rPr>
                <w:sz w:val="21"/>
              </w:rPr>
              <w:t>③</w:t>
            </w:r>
          </w:p>
        </w:tc>
        <w:tc>
          <w:tcPr>
            <w:tcW w:w="1383" w:type="dxa"/>
          </w:tcPr>
          <w:p>
            <w:pPr>
              <w:pStyle w:val="TableParagraph"/>
              <w:spacing w:line="364" w:lineRule="auto" w:before="3"/>
              <w:ind w:left="7" w:right="102" w:hanging="2"/>
              <w:jc w:val="center"/>
              <w:rPr>
                <w:sz w:val="21"/>
              </w:rPr>
            </w:pPr>
            <w:r>
              <w:rPr>
                <w:sz w:val="21"/>
              </w:rPr>
              <w:t>业绩比较基准收益率标准差</w:t>
            </w:r>
          </w:p>
          <w:p>
            <w:pPr>
              <w:pStyle w:val="TableParagraph"/>
              <w:spacing w:line="268" w:lineRule="exact"/>
              <w:ind w:right="93"/>
              <w:jc w:val="center"/>
              <w:rPr>
                <w:sz w:val="21"/>
              </w:rPr>
            </w:pPr>
            <w:r>
              <w:rPr>
                <w:sz w:val="21"/>
              </w:rPr>
              <w:t>④</w:t>
            </w:r>
          </w:p>
        </w:tc>
        <w:tc>
          <w:tcPr>
            <w:tcW w:w="1029" w:type="dxa"/>
          </w:tcPr>
          <w:p>
            <w:pPr>
              <w:pStyle w:val="TableParagraph"/>
              <w:rPr>
                <w:sz w:val="20"/>
              </w:rPr>
            </w:pPr>
          </w:p>
          <w:p>
            <w:pPr>
              <w:pStyle w:val="TableParagraph"/>
              <w:spacing w:before="1"/>
              <w:rPr>
                <w:sz w:val="28"/>
              </w:rPr>
            </w:pPr>
          </w:p>
          <w:p>
            <w:pPr>
              <w:pStyle w:val="TableParagraph"/>
              <w:ind w:right="293"/>
              <w:jc w:val="right"/>
              <w:rPr>
                <w:sz w:val="21"/>
              </w:rPr>
            </w:pPr>
            <w:r>
              <w:rPr>
                <w:sz w:val="21"/>
              </w:rPr>
              <w:t>①-③</w:t>
            </w:r>
          </w:p>
        </w:tc>
        <w:tc>
          <w:tcPr>
            <w:tcW w:w="981" w:type="dxa"/>
          </w:tcPr>
          <w:p>
            <w:pPr>
              <w:pStyle w:val="TableParagraph"/>
              <w:rPr>
                <w:sz w:val="20"/>
              </w:rPr>
            </w:pPr>
          </w:p>
          <w:p>
            <w:pPr>
              <w:pStyle w:val="TableParagraph"/>
              <w:spacing w:before="1"/>
              <w:rPr>
                <w:sz w:val="28"/>
              </w:rPr>
            </w:pPr>
          </w:p>
          <w:p>
            <w:pPr>
              <w:pStyle w:val="TableParagraph"/>
              <w:ind w:left="228"/>
              <w:rPr>
                <w:sz w:val="21"/>
              </w:rPr>
            </w:pPr>
            <w:r>
              <w:rPr>
                <w:sz w:val="21"/>
              </w:rPr>
              <w:t>②-④</w:t>
            </w:r>
          </w:p>
        </w:tc>
      </w:tr>
      <w:tr>
        <w:trPr>
          <w:trHeight w:val="816" w:hRule="atLeast"/>
        </w:trPr>
        <w:tc>
          <w:tcPr>
            <w:tcW w:w="2038" w:type="dxa"/>
          </w:tcPr>
          <w:p>
            <w:pPr>
              <w:pStyle w:val="TableParagraph"/>
              <w:spacing w:before="3"/>
              <w:ind w:left="76"/>
              <w:rPr>
                <w:sz w:val="21"/>
              </w:rPr>
            </w:pPr>
            <w:r>
              <w:rPr>
                <w:sz w:val="21"/>
              </w:rPr>
              <w:t>2017</w:t>
            </w:r>
            <w:r>
              <w:rPr>
                <w:spacing w:val="-36"/>
                <w:sz w:val="21"/>
              </w:rPr>
              <w:t> 年 </w:t>
            </w:r>
            <w:r>
              <w:rPr>
                <w:sz w:val="21"/>
              </w:rPr>
              <w:t>6</w:t>
            </w:r>
            <w:r>
              <w:rPr>
                <w:spacing w:val="-36"/>
                <w:sz w:val="21"/>
              </w:rPr>
              <w:t> 月 </w:t>
            </w:r>
            <w:r>
              <w:rPr>
                <w:sz w:val="21"/>
              </w:rPr>
              <w:t>7</w:t>
            </w:r>
            <w:r>
              <w:rPr>
                <w:spacing w:val="-18"/>
                <w:sz w:val="21"/>
              </w:rPr>
              <w:t> 日至</w:t>
            </w:r>
          </w:p>
          <w:p>
            <w:pPr>
              <w:pStyle w:val="TableParagraph"/>
              <w:spacing w:before="139"/>
              <w:ind w:left="102"/>
              <w:rPr>
                <w:sz w:val="21"/>
              </w:rPr>
            </w:pPr>
            <w:r>
              <w:rPr>
                <w:sz w:val="21"/>
              </w:rPr>
              <w:t>2017</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left="151"/>
              <w:rPr>
                <w:sz w:val="21"/>
              </w:rPr>
            </w:pPr>
            <w:r>
              <w:rPr>
                <w:sz w:val="21"/>
              </w:rPr>
              <w:t>27.95%</w:t>
            </w:r>
          </w:p>
        </w:tc>
        <w:tc>
          <w:tcPr>
            <w:tcW w:w="1275" w:type="dxa"/>
          </w:tcPr>
          <w:p>
            <w:pPr>
              <w:pStyle w:val="TableParagraph"/>
              <w:spacing w:before="2"/>
              <w:rPr>
                <w:sz w:val="16"/>
              </w:rPr>
            </w:pPr>
          </w:p>
          <w:p>
            <w:pPr>
              <w:pStyle w:val="TableParagraph"/>
              <w:ind w:left="325"/>
              <w:rPr>
                <w:sz w:val="21"/>
              </w:rPr>
            </w:pPr>
            <w:r>
              <w:rPr>
                <w:sz w:val="21"/>
              </w:rPr>
              <w:t>0.84%</w:t>
            </w:r>
          </w:p>
        </w:tc>
        <w:tc>
          <w:tcPr>
            <w:tcW w:w="1237" w:type="dxa"/>
          </w:tcPr>
          <w:p>
            <w:pPr>
              <w:pStyle w:val="TableParagraph"/>
              <w:spacing w:before="2"/>
              <w:rPr>
                <w:sz w:val="16"/>
              </w:rPr>
            </w:pPr>
          </w:p>
          <w:p>
            <w:pPr>
              <w:pStyle w:val="TableParagraph"/>
              <w:ind w:right="320"/>
              <w:jc w:val="right"/>
              <w:rPr>
                <w:sz w:val="21"/>
              </w:rPr>
            </w:pPr>
            <w:r>
              <w:rPr>
                <w:sz w:val="21"/>
              </w:rPr>
              <w:t>15.99%</w:t>
            </w:r>
          </w:p>
        </w:tc>
        <w:tc>
          <w:tcPr>
            <w:tcW w:w="1383" w:type="dxa"/>
          </w:tcPr>
          <w:p>
            <w:pPr>
              <w:pStyle w:val="TableParagraph"/>
              <w:spacing w:before="2"/>
              <w:rPr>
                <w:sz w:val="16"/>
              </w:rPr>
            </w:pPr>
          </w:p>
          <w:p>
            <w:pPr>
              <w:pStyle w:val="TableParagraph"/>
              <w:ind w:left="378"/>
              <w:rPr>
                <w:sz w:val="21"/>
              </w:rPr>
            </w:pPr>
            <w:r>
              <w:rPr>
                <w:sz w:val="21"/>
              </w:rPr>
              <w:t>0.77%</w:t>
            </w:r>
          </w:p>
        </w:tc>
        <w:tc>
          <w:tcPr>
            <w:tcW w:w="1029" w:type="dxa"/>
          </w:tcPr>
          <w:p>
            <w:pPr>
              <w:pStyle w:val="TableParagraph"/>
              <w:spacing w:before="2"/>
              <w:rPr>
                <w:sz w:val="16"/>
              </w:rPr>
            </w:pPr>
          </w:p>
          <w:p>
            <w:pPr>
              <w:pStyle w:val="TableParagraph"/>
              <w:ind w:right="237"/>
              <w:jc w:val="right"/>
              <w:rPr>
                <w:sz w:val="21"/>
              </w:rPr>
            </w:pPr>
            <w:r>
              <w:rPr>
                <w:sz w:val="21"/>
              </w:rPr>
              <w:t>11.96%</w:t>
            </w:r>
          </w:p>
        </w:tc>
        <w:tc>
          <w:tcPr>
            <w:tcW w:w="981" w:type="dxa"/>
          </w:tcPr>
          <w:p>
            <w:pPr>
              <w:pStyle w:val="TableParagraph"/>
              <w:spacing w:before="2"/>
              <w:rPr>
                <w:sz w:val="16"/>
              </w:rPr>
            </w:pPr>
          </w:p>
          <w:p>
            <w:pPr>
              <w:pStyle w:val="TableParagraph"/>
              <w:ind w:left="178"/>
              <w:rPr>
                <w:sz w:val="21"/>
              </w:rPr>
            </w:pPr>
            <w:r>
              <w:rPr>
                <w:sz w:val="21"/>
              </w:rPr>
              <w:t>0.07%</w:t>
            </w:r>
          </w:p>
        </w:tc>
      </w:tr>
      <w:tr>
        <w:trPr>
          <w:trHeight w:val="817" w:hRule="atLeast"/>
        </w:trPr>
        <w:tc>
          <w:tcPr>
            <w:tcW w:w="2038" w:type="dxa"/>
          </w:tcPr>
          <w:p>
            <w:pPr>
              <w:pStyle w:val="TableParagraph"/>
              <w:spacing w:before="3"/>
              <w:ind w:left="76"/>
              <w:rPr>
                <w:sz w:val="21"/>
              </w:rPr>
            </w:pPr>
            <w:r>
              <w:rPr>
                <w:sz w:val="21"/>
              </w:rPr>
              <w:t>2018</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2018</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left="99"/>
              <w:rPr>
                <w:sz w:val="21"/>
              </w:rPr>
            </w:pPr>
            <w:r>
              <w:rPr>
                <w:sz w:val="21"/>
              </w:rPr>
              <w:t>-16.84%</w:t>
            </w:r>
          </w:p>
        </w:tc>
        <w:tc>
          <w:tcPr>
            <w:tcW w:w="1275" w:type="dxa"/>
          </w:tcPr>
          <w:p>
            <w:pPr>
              <w:pStyle w:val="TableParagraph"/>
              <w:spacing w:before="2"/>
              <w:rPr>
                <w:sz w:val="16"/>
              </w:rPr>
            </w:pPr>
          </w:p>
          <w:p>
            <w:pPr>
              <w:pStyle w:val="TableParagraph"/>
              <w:ind w:left="325"/>
              <w:rPr>
                <w:sz w:val="21"/>
              </w:rPr>
            </w:pPr>
            <w:r>
              <w:rPr>
                <w:sz w:val="21"/>
              </w:rPr>
              <w:t>1.45%</w:t>
            </w:r>
          </w:p>
        </w:tc>
        <w:tc>
          <w:tcPr>
            <w:tcW w:w="1237" w:type="dxa"/>
          </w:tcPr>
          <w:p>
            <w:pPr>
              <w:pStyle w:val="TableParagraph"/>
              <w:spacing w:before="2"/>
              <w:rPr>
                <w:sz w:val="16"/>
              </w:rPr>
            </w:pPr>
          </w:p>
          <w:p>
            <w:pPr>
              <w:pStyle w:val="TableParagraph"/>
              <w:ind w:right="290"/>
              <w:jc w:val="right"/>
              <w:rPr>
                <w:sz w:val="21"/>
              </w:rPr>
            </w:pPr>
            <w:r>
              <w:rPr>
                <w:sz w:val="21"/>
              </w:rPr>
              <w:t>-19.83%</w:t>
            </w:r>
          </w:p>
        </w:tc>
        <w:tc>
          <w:tcPr>
            <w:tcW w:w="1383" w:type="dxa"/>
          </w:tcPr>
          <w:p>
            <w:pPr>
              <w:pStyle w:val="TableParagraph"/>
              <w:spacing w:before="2"/>
              <w:rPr>
                <w:sz w:val="16"/>
              </w:rPr>
            </w:pPr>
          </w:p>
          <w:p>
            <w:pPr>
              <w:pStyle w:val="TableParagraph"/>
              <w:ind w:left="378"/>
              <w:rPr>
                <w:sz w:val="21"/>
              </w:rPr>
            </w:pPr>
            <w:r>
              <w:rPr>
                <w:sz w:val="21"/>
              </w:rPr>
              <w:t>1.37%</w:t>
            </w:r>
          </w:p>
        </w:tc>
        <w:tc>
          <w:tcPr>
            <w:tcW w:w="1029" w:type="dxa"/>
          </w:tcPr>
          <w:p>
            <w:pPr>
              <w:pStyle w:val="TableParagraph"/>
              <w:spacing w:before="2"/>
              <w:rPr>
                <w:sz w:val="16"/>
              </w:rPr>
            </w:pPr>
          </w:p>
          <w:p>
            <w:pPr>
              <w:pStyle w:val="TableParagraph"/>
              <w:ind w:right="289"/>
              <w:jc w:val="right"/>
              <w:rPr>
                <w:sz w:val="21"/>
              </w:rPr>
            </w:pPr>
            <w:r>
              <w:rPr>
                <w:sz w:val="21"/>
              </w:rPr>
              <w:t>2.99%</w:t>
            </w:r>
          </w:p>
        </w:tc>
        <w:tc>
          <w:tcPr>
            <w:tcW w:w="981" w:type="dxa"/>
          </w:tcPr>
          <w:p>
            <w:pPr>
              <w:pStyle w:val="TableParagraph"/>
              <w:spacing w:before="2"/>
              <w:rPr>
                <w:sz w:val="16"/>
              </w:rPr>
            </w:pPr>
          </w:p>
          <w:p>
            <w:pPr>
              <w:pStyle w:val="TableParagraph"/>
              <w:ind w:left="178"/>
              <w:rPr>
                <w:sz w:val="21"/>
              </w:rPr>
            </w:pPr>
            <w:r>
              <w:rPr>
                <w:sz w:val="21"/>
              </w:rPr>
              <w:t>0.08%</w:t>
            </w:r>
          </w:p>
        </w:tc>
      </w:tr>
      <w:tr>
        <w:trPr>
          <w:trHeight w:val="817" w:hRule="atLeast"/>
        </w:trPr>
        <w:tc>
          <w:tcPr>
            <w:tcW w:w="2038" w:type="dxa"/>
          </w:tcPr>
          <w:p>
            <w:pPr>
              <w:pStyle w:val="TableParagraph"/>
              <w:spacing w:before="3"/>
              <w:ind w:left="76"/>
              <w:rPr>
                <w:sz w:val="21"/>
              </w:rPr>
            </w:pPr>
            <w:r>
              <w:rPr>
                <w:sz w:val="21"/>
              </w:rPr>
              <w:t>2019</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2"/>
              <w:rPr>
                <w:sz w:val="21"/>
              </w:rPr>
            </w:pPr>
            <w:r>
              <w:rPr>
                <w:sz w:val="21"/>
              </w:rPr>
              <w:t>2019</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left="151"/>
              <w:rPr>
                <w:sz w:val="21"/>
              </w:rPr>
            </w:pPr>
            <w:r>
              <w:rPr>
                <w:sz w:val="21"/>
              </w:rPr>
              <w:t>50.66%</w:t>
            </w:r>
          </w:p>
        </w:tc>
        <w:tc>
          <w:tcPr>
            <w:tcW w:w="1275" w:type="dxa"/>
          </w:tcPr>
          <w:p>
            <w:pPr>
              <w:pStyle w:val="TableParagraph"/>
              <w:spacing w:before="2"/>
              <w:rPr>
                <w:sz w:val="16"/>
              </w:rPr>
            </w:pPr>
          </w:p>
          <w:p>
            <w:pPr>
              <w:pStyle w:val="TableParagraph"/>
              <w:ind w:left="325"/>
              <w:rPr>
                <w:sz w:val="21"/>
              </w:rPr>
            </w:pPr>
            <w:r>
              <w:rPr>
                <w:sz w:val="21"/>
              </w:rPr>
              <w:t>1.23%</w:t>
            </w:r>
          </w:p>
        </w:tc>
        <w:tc>
          <w:tcPr>
            <w:tcW w:w="1237" w:type="dxa"/>
          </w:tcPr>
          <w:p>
            <w:pPr>
              <w:pStyle w:val="TableParagraph"/>
              <w:spacing w:before="2"/>
              <w:rPr>
                <w:sz w:val="16"/>
              </w:rPr>
            </w:pPr>
          </w:p>
          <w:p>
            <w:pPr>
              <w:pStyle w:val="TableParagraph"/>
              <w:ind w:right="341"/>
              <w:jc w:val="right"/>
              <w:rPr>
                <w:sz w:val="21"/>
              </w:rPr>
            </w:pPr>
            <w:r>
              <w:rPr>
                <w:sz w:val="21"/>
              </w:rPr>
              <w:t>33.58%</w:t>
            </w:r>
          </w:p>
        </w:tc>
        <w:tc>
          <w:tcPr>
            <w:tcW w:w="1383" w:type="dxa"/>
          </w:tcPr>
          <w:p>
            <w:pPr>
              <w:pStyle w:val="TableParagraph"/>
              <w:spacing w:before="2"/>
              <w:rPr>
                <w:sz w:val="16"/>
              </w:rPr>
            </w:pPr>
          </w:p>
          <w:p>
            <w:pPr>
              <w:pStyle w:val="TableParagraph"/>
              <w:ind w:left="378"/>
              <w:rPr>
                <w:sz w:val="21"/>
              </w:rPr>
            </w:pPr>
            <w:r>
              <w:rPr>
                <w:sz w:val="21"/>
              </w:rPr>
              <w:t>1.21%</w:t>
            </w:r>
          </w:p>
        </w:tc>
        <w:tc>
          <w:tcPr>
            <w:tcW w:w="1029" w:type="dxa"/>
          </w:tcPr>
          <w:p>
            <w:pPr>
              <w:pStyle w:val="TableParagraph"/>
              <w:spacing w:before="2"/>
              <w:rPr>
                <w:sz w:val="16"/>
              </w:rPr>
            </w:pPr>
          </w:p>
          <w:p>
            <w:pPr>
              <w:pStyle w:val="TableParagraph"/>
              <w:ind w:right="236"/>
              <w:jc w:val="right"/>
              <w:rPr>
                <w:sz w:val="21"/>
              </w:rPr>
            </w:pPr>
            <w:r>
              <w:rPr>
                <w:sz w:val="21"/>
              </w:rPr>
              <w:t>17.08%</w:t>
            </w:r>
          </w:p>
        </w:tc>
        <w:tc>
          <w:tcPr>
            <w:tcW w:w="981" w:type="dxa"/>
          </w:tcPr>
          <w:p>
            <w:pPr>
              <w:pStyle w:val="TableParagraph"/>
              <w:spacing w:before="2"/>
              <w:rPr>
                <w:sz w:val="16"/>
              </w:rPr>
            </w:pPr>
          </w:p>
          <w:p>
            <w:pPr>
              <w:pStyle w:val="TableParagraph"/>
              <w:ind w:left="178"/>
              <w:rPr>
                <w:sz w:val="21"/>
              </w:rPr>
            </w:pPr>
            <w:r>
              <w:rPr>
                <w:sz w:val="21"/>
              </w:rPr>
              <w:t>0.02%</w:t>
            </w:r>
          </w:p>
        </w:tc>
      </w:tr>
      <w:tr>
        <w:trPr>
          <w:trHeight w:val="817" w:hRule="atLeast"/>
        </w:trPr>
        <w:tc>
          <w:tcPr>
            <w:tcW w:w="2038" w:type="dxa"/>
          </w:tcPr>
          <w:p>
            <w:pPr>
              <w:pStyle w:val="TableParagraph"/>
              <w:spacing w:before="3"/>
              <w:ind w:left="76"/>
              <w:rPr>
                <w:sz w:val="21"/>
              </w:rPr>
            </w:pPr>
            <w:r>
              <w:rPr>
                <w:sz w:val="21"/>
              </w:rPr>
              <w:t>2017</w:t>
            </w:r>
            <w:r>
              <w:rPr>
                <w:spacing w:val="-36"/>
                <w:sz w:val="21"/>
              </w:rPr>
              <w:t> 年 </w:t>
            </w:r>
            <w:r>
              <w:rPr>
                <w:sz w:val="21"/>
              </w:rPr>
              <w:t>6</w:t>
            </w:r>
            <w:r>
              <w:rPr>
                <w:spacing w:val="-36"/>
                <w:sz w:val="21"/>
              </w:rPr>
              <w:t> 月 </w:t>
            </w:r>
            <w:r>
              <w:rPr>
                <w:sz w:val="21"/>
              </w:rPr>
              <w:t>7</w:t>
            </w:r>
            <w:r>
              <w:rPr>
                <w:spacing w:val="-18"/>
                <w:sz w:val="21"/>
              </w:rPr>
              <w:t> 日至</w:t>
            </w:r>
          </w:p>
          <w:p>
            <w:pPr>
              <w:pStyle w:val="TableParagraph"/>
              <w:spacing w:before="139"/>
              <w:ind w:left="102"/>
              <w:rPr>
                <w:sz w:val="21"/>
              </w:rPr>
            </w:pPr>
            <w:r>
              <w:rPr>
                <w:sz w:val="21"/>
              </w:rPr>
              <w:t>2019</w:t>
            </w:r>
            <w:r>
              <w:rPr>
                <w:spacing w:val="-36"/>
                <w:sz w:val="21"/>
              </w:rPr>
              <w:t> 年 </w:t>
            </w:r>
            <w:r>
              <w:rPr>
                <w:sz w:val="21"/>
              </w:rPr>
              <w:t>12</w:t>
            </w:r>
            <w:r>
              <w:rPr>
                <w:spacing w:val="-36"/>
                <w:sz w:val="21"/>
              </w:rPr>
              <w:t> 月 </w:t>
            </w:r>
            <w:r>
              <w:rPr>
                <w:sz w:val="21"/>
              </w:rPr>
              <w:t>31</w:t>
            </w:r>
            <w:r>
              <w:rPr>
                <w:spacing w:val="-27"/>
                <w:sz w:val="21"/>
              </w:rPr>
              <w:t> 日</w:t>
            </w:r>
          </w:p>
        </w:tc>
        <w:tc>
          <w:tcPr>
            <w:tcW w:w="1033" w:type="dxa"/>
          </w:tcPr>
          <w:p>
            <w:pPr>
              <w:pStyle w:val="TableParagraph"/>
              <w:spacing w:before="2"/>
              <w:rPr>
                <w:sz w:val="16"/>
              </w:rPr>
            </w:pPr>
          </w:p>
          <w:p>
            <w:pPr>
              <w:pStyle w:val="TableParagraph"/>
              <w:ind w:left="151"/>
              <w:rPr>
                <w:sz w:val="21"/>
              </w:rPr>
            </w:pPr>
            <w:r>
              <w:rPr>
                <w:sz w:val="21"/>
              </w:rPr>
              <w:t>60.31%</w:t>
            </w:r>
          </w:p>
        </w:tc>
        <w:tc>
          <w:tcPr>
            <w:tcW w:w="1275" w:type="dxa"/>
          </w:tcPr>
          <w:p>
            <w:pPr>
              <w:pStyle w:val="TableParagraph"/>
              <w:spacing w:before="2"/>
              <w:rPr>
                <w:sz w:val="16"/>
              </w:rPr>
            </w:pPr>
          </w:p>
          <w:p>
            <w:pPr>
              <w:pStyle w:val="TableParagraph"/>
              <w:ind w:left="325"/>
              <w:rPr>
                <w:sz w:val="21"/>
              </w:rPr>
            </w:pPr>
            <w:r>
              <w:rPr>
                <w:sz w:val="21"/>
              </w:rPr>
              <w:t>1.25%</w:t>
            </w:r>
          </w:p>
        </w:tc>
        <w:tc>
          <w:tcPr>
            <w:tcW w:w="1237" w:type="dxa"/>
          </w:tcPr>
          <w:p>
            <w:pPr>
              <w:pStyle w:val="TableParagraph"/>
              <w:spacing w:before="2"/>
              <w:rPr>
                <w:sz w:val="16"/>
              </w:rPr>
            </w:pPr>
          </w:p>
          <w:p>
            <w:pPr>
              <w:pStyle w:val="TableParagraph"/>
              <w:ind w:right="341"/>
              <w:jc w:val="right"/>
              <w:rPr>
                <w:sz w:val="21"/>
              </w:rPr>
            </w:pPr>
            <w:r>
              <w:rPr>
                <w:sz w:val="21"/>
              </w:rPr>
              <w:t>24.22%</w:t>
            </w:r>
          </w:p>
        </w:tc>
        <w:tc>
          <w:tcPr>
            <w:tcW w:w="1383" w:type="dxa"/>
          </w:tcPr>
          <w:p>
            <w:pPr>
              <w:pStyle w:val="TableParagraph"/>
              <w:spacing w:before="2"/>
              <w:rPr>
                <w:sz w:val="16"/>
              </w:rPr>
            </w:pPr>
          </w:p>
          <w:p>
            <w:pPr>
              <w:pStyle w:val="TableParagraph"/>
              <w:ind w:left="378"/>
              <w:rPr>
                <w:sz w:val="21"/>
              </w:rPr>
            </w:pPr>
            <w:r>
              <w:rPr>
                <w:sz w:val="21"/>
              </w:rPr>
              <w:t>1.20%</w:t>
            </w:r>
          </w:p>
        </w:tc>
        <w:tc>
          <w:tcPr>
            <w:tcW w:w="1029" w:type="dxa"/>
          </w:tcPr>
          <w:p>
            <w:pPr>
              <w:pStyle w:val="TableParagraph"/>
              <w:spacing w:before="2"/>
              <w:rPr>
                <w:sz w:val="16"/>
              </w:rPr>
            </w:pPr>
          </w:p>
          <w:p>
            <w:pPr>
              <w:pStyle w:val="TableParagraph"/>
              <w:ind w:right="236"/>
              <w:jc w:val="right"/>
              <w:rPr>
                <w:sz w:val="21"/>
              </w:rPr>
            </w:pPr>
            <w:r>
              <w:rPr>
                <w:sz w:val="21"/>
              </w:rPr>
              <w:t>36.09%</w:t>
            </w:r>
          </w:p>
        </w:tc>
        <w:tc>
          <w:tcPr>
            <w:tcW w:w="981" w:type="dxa"/>
          </w:tcPr>
          <w:p>
            <w:pPr>
              <w:pStyle w:val="TableParagraph"/>
              <w:spacing w:before="2"/>
              <w:rPr>
                <w:sz w:val="16"/>
              </w:rPr>
            </w:pPr>
          </w:p>
          <w:p>
            <w:pPr>
              <w:pStyle w:val="TableParagraph"/>
              <w:ind w:left="178"/>
              <w:rPr>
                <w:sz w:val="21"/>
              </w:rPr>
            </w:pPr>
            <w:r>
              <w:rPr>
                <w:sz w:val="21"/>
              </w:rPr>
              <w:t>0.05%</w:t>
            </w:r>
          </w:p>
        </w:tc>
      </w:tr>
    </w:tbl>
    <w:p>
      <w:pPr>
        <w:pStyle w:val="BodyText"/>
        <w:spacing w:before="90"/>
      </w:pPr>
      <w:r>
        <w:rPr/>
        <w:t>注：自 2017 年 6 月 6 日起，本基金增设 C 类份额类别，份额首次确认日为 2017 年 6 月 7</w:t>
      </w:r>
    </w:p>
    <w:p>
      <w:pPr>
        <w:pStyle w:val="BodyText"/>
        <w:spacing w:before="178"/>
        <w:ind w:left="293"/>
      </w:pPr>
      <w:r>
        <w:rPr/>
        <w:t>日。</w:t>
      </w:r>
    </w:p>
    <w:p>
      <w:pPr>
        <w:spacing w:after="0"/>
        <w:sectPr>
          <w:pgSz w:w="11910" w:h="16840"/>
          <w:pgMar w:header="0" w:footer="1172" w:top="1580" w:bottom="1440" w:left="1520" w:right="360"/>
        </w:sectPr>
      </w:pPr>
    </w:p>
    <w:p>
      <w:pPr>
        <w:pStyle w:val="Heading1"/>
        <w:ind w:right="920"/>
        <w:jc w:val="center"/>
      </w:pPr>
      <w:bookmarkStart w:name="_bookmark40" w:id="41"/>
      <w:bookmarkEnd w:id="41"/>
      <w:r>
        <w:rPr>
          <w:b w:val="0"/>
        </w:rPr>
      </w:r>
      <w:r>
        <w:rPr/>
        <w:t>十、基金的财产</w:t>
      </w:r>
    </w:p>
    <w:p>
      <w:pPr>
        <w:pStyle w:val="Heading2"/>
        <w:spacing w:before="118"/>
      </w:pPr>
      <w:bookmarkStart w:name="_bookmark41" w:id="42"/>
      <w:bookmarkEnd w:id="42"/>
      <w:r>
        <w:rPr/>
      </w:r>
      <w:r>
        <w:rPr/>
        <w:t>（一）基金财产的构成</w:t>
      </w:r>
    </w:p>
    <w:p>
      <w:pPr>
        <w:pStyle w:val="BodyText"/>
        <w:spacing w:before="11"/>
        <w:ind w:left="0"/>
        <w:rPr>
          <w:sz w:val="8"/>
        </w:rPr>
      </w:pPr>
    </w:p>
    <w:p>
      <w:pPr>
        <w:pStyle w:val="BodyText"/>
        <w:spacing w:line="364" w:lineRule="auto" w:before="71"/>
        <w:ind w:left="293" w:right="936" w:firstLine="420"/>
      </w:pPr>
      <w:r>
        <w:rPr/>
        <w:t>基金资产总值是指所购买的各类证券价值、银行存款本息和基金应收的申购基金款以及其他投资所形成的价值总和。基金资产净值是指基金资产总值减去负债后的价值。</w:t>
      </w:r>
    </w:p>
    <w:p>
      <w:pPr>
        <w:pStyle w:val="Heading2"/>
      </w:pPr>
      <w:bookmarkStart w:name="_bookmark42" w:id="43"/>
      <w:bookmarkEnd w:id="43"/>
      <w:r>
        <w:rPr/>
      </w:r>
      <w:r>
        <w:rPr/>
        <w:t>（二）基金财产的账户</w:t>
      </w:r>
    </w:p>
    <w:p>
      <w:pPr>
        <w:pStyle w:val="BodyText"/>
        <w:spacing w:line="364" w:lineRule="auto" w:before="185"/>
        <w:ind w:left="293" w:right="936" w:firstLine="420"/>
      </w:pPr>
      <w:r>
        <w:rPr/>
        <w:t>本基金按有关规定开立基金专用银行存款账户以及证券账户，与基金管理人、基金托管人、基金销售机构、注册与过户登记机构自有的财产账户以及其它基金财产账户相互独立。</w:t>
      </w:r>
    </w:p>
    <w:p>
      <w:pPr>
        <w:pStyle w:val="Heading2"/>
      </w:pPr>
      <w:bookmarkStart w:name="_bookmark43" w:id="44"/>
      <w:bookmarkEnd w:id="44"/>
      <w:r>
        <w:rPr/>
      </w:r>
      <w:r>
        <w:rPr/>
        <w:t>（三）基金财产的保管与处分</w:t>
      </w:r>
    </w:p>
    <w:p>
      <w:pPr>
        <w:pStyle w:val="BodyText"/>
        <w:spacing w:line="364" w:lineRule="auto" w:before="185"/>
        <w:ind w:left="293" w:right="936" w:firstLine="420"/>
        <w:jc w:val="both"/>
      </w:pPr>
      <w:r>
        <w:rPr/>
        <w:t>本基金财产独立于基金管理人、基金托管人的固有财产，并由基金托管人保管。基金管理人、基金托管人不得将基金财产归入其固有财产；基金管理人、基金托管人因基金财产的管理、运用或其他情形而取得的财产和收益，归入基金财产。基金管理人、基金托管人以其自有的财产承担自身相应的法律责任，其债权人不得对基金财产行使请求冻结、扣押或其他权利。基金管理人、基金托管人因依法解散、被依法撤消或被依法宣告破产等原因进行清算的，基金财产不属于其清算财产。非因基金财产本身承担的债务不得对基金财产强制执行。除依据《基金法》、《运作办法》、基金合同及其他有关规定处分外，基金财产不得被处分。</w:t>
      </w:r>
    </w:p>
    <w:p>
      <w:pPr>
        <w:pStyle w:val="BodyText"/>
        <w:spacing w:line="364" w:lineRule="auto"/>
        <w:ind w:left="293" w:right="936" w:firstLine="420"/>
      </w:pPr>
      <w:r>
        <w:rPr/>
        <w:t>基金管理人管理运作基金财产所产生的债权，不得与其固有资产产生的债务相互抵消；基金管理人管理运作不同基金的基金财产所产生的债权债务不得相互抵消。</w:t>
      </w:r>
    </w:p>
    <w:p>
      <w:pPr>
        <w:spacing w:after="0" w:line="364" w:lineRule="auto"/>
        <w:sectPr>
          <w:pgSz w:w="11910" w:h="16840"/>
          <w:pgMar w:header="0" w:footer="1172" w:top="1580" w:bottom="1440" w:left="1520" w:right="360"/>
        </w:sectPr>
      </w:pPr>
    </w:p>
    <w:p>
      <w:pPr>
        <w:pStyle w:val="Heading1"/>
        <w:ind w:left="3285"/>
      </w:pPr>
      <w:bookmarkStart w:name="_bookmark44" w:id="45"/>
      <w:bookmarkEnd w:id="45"/>
      <w:r>
        <w:rPr>
          <w:b w:val="0"/>
        </w:rPr>
      </w:r>
      <w:r>
        <w:rPr/>
        <w:t>十一、基金资产的估值</w:t>
      </w:r>
    </w:p>
    <w:p>
      <w:pPr>
        <w:pStyle w:val="Heading2"/>
        <w:spacing w:before="118"/>
      </w:pPr>
      <w:bookmarkStart w:name="_bookmark45" w:id="46"/>
      <w:bookmarkEnd w:id="46"/>
      <w:r>
        <w:rPr/>
      </w:r>
      <w:r>
        <w:rPr/>
        <w:t>（一）估值目的</w:t>
      </w:r>
    </w:p>
    <w:p>
      <w:pPr>
        <w:pStyle w:val="BodyText"/>
        <w:spacing w:before="11"/>
        <w:ind w:left="0"/>
        <w:rPr>
          <w:sz w:val="8"/>
        </w:rPr>
      </w:pPr>
    </w:p>
    <w:p>
      <w:pPr>
        <w:pStyle w:val="BodyText"/>
        <w:spacing w:line="364" w:lineRule="auto" w:before="71"/>
        <w:ind w:left="293" w:right="936" w:firstLine="420"/>
      </w:pPr>
      <w:r>
        <w:rPr/>
        <w:t>基金估值的目的是为了准确、真实地反映基金相关金融资产和金融负债的公允价值。开放式基金份额申购、赎回价格应按基金估值后确定的基金份额净值计算。</w:t>
      </w:r>
    </w:p>
    <w:p>
      <w:pPr>
        <w:pStyle w:val="Heading2"/>
      </w:pPr>
      <w:bookmarkStart w:name="_bookmark46" w:id="47"/>
      <w:bookmarkEnd w:id="47"/>
      <w:r>
        <w:rPr/>
      </w:r>
      <w:r>
        <w:rPr/>
        <w:t>（二）估值日</w:t>
      </w:r>
    </w:p>
    <w:p>
      <w:pPr>
        <w:pStyle w:val="BodyText"/>
        <w:spacing w:line="364" w:lineRule="auto" w:before="185"/>
        <w:ind w:left="293" w:right="936" w:firstLine="420"/>
      </w:pPr>
      <w:r>
        <w:rPr/>
        <w:t>本基金的估值日为上海和深圳证券交易所的交易日以及国家法律法规规定需要对外披露基金净值的非营业日。</w:t>
      </w:r>
    </w:p>
    <w:p>
      <w:pPr>
        <w:pStyle w:val="Heading2"/>
      </w:pPr>
      <w:bookmarkStart w:name="_bookmark47" w:id="48"/>
      <w:bookmarkEnd w:id="48"/>
      <w:r>
        <w:rPr/>
      </w:r>
      <w:r>
        <w:rPr/>
        <w:t>（三）估值对象</w:t>
      </w:r>
    </w:p>
    <w:p>
      <w:pPr>
        <w:pStyle w:val="BodyText"/>
        <w:spacing w:before="185"/>
      </w:pPr>
      <w:r>
        <w:rPr/>
        <w:t>基金所持有的金融资产和金融负债。</w:t>
      </w:r>
    </w:p>
    <w:p>
      <w:pPr>
        <w:pStyle w:val="Heading2"/>
        <w:spacing w:before="140"/>
      </w:pPr>
      <w:bookmarkStart w:name="_bookmark48" w:id="49"/>
      <w:bookmarkEnd w:id="49"/>
      <w:r>
        <w:rPr/>
      </w:r>
      <w:r>
        <w:rPr/>
        <w:t>（四）估值方法</w:t>
      </w:r>
    </w:p>
    <w:p>
      <w:pPr>
        <w:pStyle w:val="BodyText"/>
        <w:spacing w:before="185"/>
      </w:pPr>
      <w:r>
        <w:rPr/>
        <w:t>1、股票估值方法</w:t>
      </w:r>
    </w:p>
    <w:p>
      <w:pPr>
        <w:pStyle w:val="ListParagraph"/>
        <w:numPr>
          <w:ilvl w:val="0"/>
          <w:numId w:val="28"/>
        </w:numPr>
        <w:tabs>
          <w:tab w:pos="1240" w:val="left" w:leader="none"/>
        </w:tabs>
        <w:spacing w:line="240" w:lineRule="auto" w:before="140" w:after="0"/>
        <w:ind w:left="1240" w:right="0" w:hanging="527"/>
        <w:jc w:val="left"/>
        <w:rPr>
          <w:sz w:val="21"/>
        </w:rPr>
      </w:pPr>
      <w:r>
        <w:rPr>
          <w:sz w:val="21"/>
        </w:rPr>
        <w:t>上市流通股票的估值</w:t>
      </w:r>
    </w:p>
    <w:p>
      <w:pPr>
        <w:pStyle w:val="BodyText"/>
        <w:spacing w:line="364" w:lineRule="auto" w:before="139"/>
        <w:ind w:left="293" w:right="936" w:firstLine="420"/>
      </w:pPr>
      <w:r>
        <w:rPr/>
        <w:t>上市流通股票按估值日其所在证券交易所的收盘价估值；估值日无交易的，以最近交易日的收盘价估值。</w:t>
      </w:r>
    </w:p>
    <w:p>
      <w:pPr>
        <w:pStyle w:val="ListParagraph"/>
        <w:numPr>
          <w:ilvl w:val="0"/>
          <w:numId w:val="28"/>
        </w:numPr>
        <w:tabs>
          <w:tab w:pos="1240" w:val="left" w:leader="none"/>
        </w:tabs>
        <w:spacing w:line="268" w:lineRule="exact" w:before="0" w:after="0"/>
        <w:ind w:left="1240" w:right="0" w:hanging="527"/>
        <w:jc w:val="left"/>
        <w:rPr>
          <w:sz w:val="21"/>
        </w:rPr>
      </w:pPr>
      <w:r>
        <w:rPr>
          <w:sz w:val="21"/>
        </w:rPr>
        <w:t>未上市股票的估值</w:t>
      </w:r>
    </w:p>
    <w:p>
      <w:pPr>
        <w:pStyle w:val="BodyText"/>
        <w:spacing w:line="364" w:lineRule="auto" w:before="140"/>
        <w:ind w:left="293" w:right="936" w:firstLine="420"/>
      </w:pPr>
      <w:r>
        <w:rPr/>
        <w:t>送股、转增股、配股和公开增发新股等发行未上市的股票，按估值日在交易所挂牌的同一股票的收盘价估值；估值日无交易的，以最近交易日的收盘价估值。</w:t>
      </w:r>
    </w:p>
    <w:p>
      <w:pPr>
        <w:pStyle w:val="BodyText"/>
        <w:spacing w:line="364" w:lineRule="auto"/>
        <w:ind w:left="293" w:right="936" w:firstLine="420"/>
      </w:pPr>
      <w:r>
        <w:rPr/>
        <w:t>首次发行未上市的股票，采用估值技术确定公允价值，在估值技术难以可靠计量的情况下，按成本估值。</w:t>
      </w:r>
    </w:p>
    <w:p>
      <w:pPr>
        <w:pStyle w:val="ListParagraph"/>
        <w:numPr>
          <w:ilvl w:val="0"/>
          <w:numId w:val="28"/>
        </w:numPr>
        <w:tabs>
          <w:tab w:pos="1240" w:val="left" w:leader="none"/>
        </w:tabs>
        <w:spacing w:line="268" w:lineRule="exact" w:before="0" w:after="0"/>
        <w:ind w:left="1240" w:right="0" w:hanging="527"/>
        <w:jc w:val="left"/>
        <w:rPr>
          <w:sz w:val="21"/>
        </w:rPr>
      </w:pPr>
      <w:r>
        <w:rPr>
          <w:sz w:val="21"/>
        </w:rPr>
        <w:t>有明确锁定期股票的估值</w:t>
      </w:r>
    </w:p>
    <w:p>
      <w:pPr>
        <w:pStyle w:val="BodyText"/>
        <w:spacing w:line="364" w:lineRule="auto" w:before="138"/>
        <w:ind w:left="293" w:right="936" w:firstLine="420"/>
        <w:jc w:val="both"/>
      </w:pPr>
      <w:r>
        <w:rPr/>
        <w:t>首次公开发行有明确锁定期的股票，同一股票在交易所上市后，按交易所上市的同一股票的收盘价估值；非公开发行且处于明确锁定期的股票，按监管机构或行业协会的有关规定确定公允价值。</w:t>
      </w:r>
    </w:p>
    <w:p>
      <w:pPr>
        <w:pStyle w:val="BodyText"/>
        <w:spacing w:line="268" w:lineRule="exact"/>
      </w:pPr>
      <w:r>
        <w:rPr/>
        <w:t>2、固定收益证券的估值办法</w:t>
      </w:r>
    </w:p>
    <w:p>
      <w:pPr>
        <w:pStyle w:val="ListParagraph"/>
        <w:numPr>
          <w:ilvl w:val="0"/>
          <w:numId w:val="29"/>
        </w:numPr>
        <w:tabs>
          <w:tab w:pos="1244" w:val="left" w:leader="none"/>
        </w:tabs>
        <w:spacing w:line="364" w:lineRule="auto" w:before="140" w:after="0"/>
        <w:ind w:left="293" w:right="936" w:firstLine="420"/>
        <w:jc w:val="left"/>
        <w:rPr>
          <w:sz w:val="21"/>
        </w:rPr>
      </w:pPr>
      <w:r>
        <w:rPr>
          <w:sz w:val="21"/>
        </w:rPr>
        <w:t>证券交易所市场实行净价交易的债券按估值日收盘净价估值，估值日没有交易的，按最近交易日的收盘净价估值。</w:t>
      </w:r>
    </w:p>
    <w:p>
      <w:pPr>
        <w:pStyle w:val="ListParagraph"/>
        <w:numPr>
          <w:ilvl w:val="0"/>
          <w:numId w:val="29"/>
        </w:numPr>
        <w:tabs>
          <w:tab w:pos="1244" w:val="left" w:leader="none"/>
        </w:tabs>
        <w:spacing w:line="364" w:lineRule="auto" w:before="0" w:after="0"/>
        <w:ind w:left="293" w:right="936" w:firstLine="420"/>
        <w:jc w:val="both"/>
        <w:rPr>
          <w:sz w:val="21"/>
        </w:rPr>
      </w:pPr>
      <w:r>
        <w:rPr>
          <w:sz w:val="21"/>
        </w:rPr>
        <w:t>证券交易所市场未实行净价交易的债券按估值日收盘价减去债券收盘价中所含的债券</w:t>
      </w:r>
      <w:r>
        <w:rPr>
          <w:spacing w:val="9"/>
          <w:sz w:val="21"/>
        </w:rPr>
        <w:t>应收利息得到的净价进行估值，估值日没有交易的，按有交易的最近交易日所采用的净价估</w:t>
      </w:r>
      <w:r>
        <w:rPr>
          <w:sz w:val="21"/>
        </w:rPr>
        <w:t>值。</w:t>
      </w:r>
    </w:p>
    <w:p>
      <w:pPr>
        <w:pStyle w:val="ListParagraph"/>
        <w:numPr>
          <w:ilvl w:val="0"/>
          <w:numId w:val="29"/>
        </w:numPr>
        <w:tabs>
          <w:tab w:pos="1244" w:val="left" w:leader="none"/>
        </w:tabs>
        <w:spacing w:line="364" w:lineRule="auto" w:before="0" w:after="0"/>
        <w:ind w:left="293" w:right="936" w:firstLine="420"/>
        <w:jc w:val="left"/>
        <w:rPr>
          <w:sz w:val="21"/>
        </w:rPr>
      </w:pPr>
      <w:r>
        <w:rPr>
          <w:sz w:val="21"/>
        </w:rPr>
        <w:t>未上市债券采用估值技术确定公允价值，在估值技术难以可靠计量的情况下，按成本估值。</w:t>
      </w:r>
    </w:p>
    <w:p>
      <w:pPr>
        <w:spacing w:after="0" w:line="364" w:lineRule="auto"/>
        <w:jc w:val="left"/>
        <w:rPr>
          <w:sz w:val="21"/>
        </w:rPr>
        <w:sectPr>
          <w:pgSz w:w="11910" w:h="16840"/>
          <w:pgMar w:header="0" w:footer="1172" w:top="1580" w:bottom="1440" w:left="1520" w:right="360"/>
        </w:sectPr>
      </w:pPr>
    </w:p>
    <w:p>
      <w:pPr>
        <w:pStyle w:val="ListParagraph"/>
        <w:numPr>
          <w:ilvl w:val="0"/>
          <w:numId w:val="29"/>
        </w:numPr>
        <w:tabs>
          <w:tab w:pos="1244" w:val="left" w:leader="none"/>
        </w:tabs>
        <w:spacing w:line="364" w:lineRule="auto" w:before="106" w:after="0"/>
        <w:ind w:left="293" w:right="936" w:firstLine="420"/>
        <w:jc w:val="left"/>
        <w:rPr>
          <w:sz w:val="21"/>
        </w:rPr>
      </w:pPr>
      <w:r>
        <w:rPr>
          <w:sz w:val="21"/>
        </w:rPr>
        <w:t>在银行间债券市场交易的债券、资产支持证券等固定收益品种，采用估值技术确定公允价值。</w:t>
      </w:r>
    </w:p>
    <w:p>
      <w:pPr>
        <w:pStyle w:val="ListParagraph"/>
        <w:numPr>
          <w:ilvl w:val="0"/>
          <w:numId w:val="29"/>
        </w:numPr>
        <w:tabs>
          <w:tab w:pos="1244" w:val="left" w:leader="none"/>
        </w:tabs>
        <w:spacing w:line="364" w:lineRule="auto" w:before="0" w:after="0"/>
        <w:ind w:left="293" w:right="936"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9"/>
        </w:numPr>
        <w:tabs>
          <w:tab w:pos="1240" w:val="left" w:leader="none"/>
        </w:tabs>
        <w:spacing w:line="268" w:lineRule="exact" w:before="0" w:after="0"/>
        <w:ind w:left="1240" w:right="0" w:hanging="527"/>
        <w:jc w:val="left"/>
        <w:rPr>
          <w:sz w:val="21"/>
        </w:rPr>
      </w:pPr>
      <w:r>
        <w:rPr>
          <w:sz w:val="21"/>
        </w:rPr>
        <w:t>同一债券同时在两个或两个以上市场交易的，按债券所处的市场分别估值。</w:t>
      </w:r>
    </w:p>
    <w:p>
      <w:pPr>
        <w:pStyle w:val="BodyText"/>
        <w:spacing w:before="138"/>
      </w:pPr>
      <w:r>
        <w:rPr/>
        <w:t>3、权证估值：</w:t>
      </w:r>
    </w:p>
    <w:p>
      <w:pPr>
        <w:pStyle w:val="ListParagraph"/>
        <w:numPr>
          <w:ilvl w:val="0"/>
          <w:numId w:val="30"/>
        </w:numPr>
        <w:tabs>
          <w:tab w:pos="1240" w:val="left" w:leader="none"/>
        </w:tabs>
        <w:spacing w:line="240" w:lineRule="auto" w:before="140" w:after="0"/>
        <w:ind w:left="1240" w:right="0" w:hanging="527"/>
        <w:jc w:val="left"/>
        <w:rPr>
          <w:sz w:val="21"/>
        </w:rPr>
      </w:pPr>
      <w:r>
        <w:rPr>
          <w:sz w:val="21"/>
        </w:rPr>
        <w:t>配股权证的估值：</w:t>
      </w:r>
    </w:p>
    <w:p>
      <w:pPr>
        <w:pStyle w:val="BodyText"/>
        <w:spacing w:before="139"/>
      </w:pPr>
      <w:r>
        <w:rPr/>
        <w:t>因持有股票而享有的配股权，采用估值技术进行估值。</w:t>
      </w:r>
    </w:p>
    <w:p>
      <w:pPr>
        <w:pStyle w:val="ListParagraph"/>
        <w:numPr>
          <w:ilvl w:val="0"/>
          <w:numId w:val="30"/>
        </w:numPr>
        <w:tabs>
          <w:tab w:pos="1240" w:val="left" w:leader="none"/>
        </w:tabs>
        <w:spacing w:line="240" w:lineRule="auto" w:before="140" w:after="0"/>
        <w:ind w:left="1240" w:right="0" w:hanging="527"/>
        <w:jc w:val="left"/>
        <w:rPr>
          <w:sz w:val="21"/>
        </w:rPr>
      </w:pPr>
      <w:r>
        <w:rPr>
          <w:sz w:val="21"/>
        </w:rPr>
        <w:t>认沽/认购权证的估值：</w:t>
      </w:r>
    </w:p>
    <w:p>
      <w:pPr>
        <w:pStyle w:val="BodyText"/>
        <w:spacing w:line="364" w:lineRule="auto" w:before="139"/>
        <w:ind w:left="293" w:right="936" w:firstLine="420"/>
        <w:jc w:val="both"/>
      </w:pPr>
      <w:r>
        <w:rPr/>
        <w:t>从持有确认日起到卖出日或行权日止，上市交易的认沽/认购权证按估值日的收盘价估值， 估值日没有交易的，按最近交易日的收盘价估值；未上市交易的认沽/认购权证采用估值技术确定公允价值，在估值技术难以可靠计量的情况下，按成本估值；停止交易、但未行权的权证， 采用估值技术确定公允价值。</w:t>
      </w:r>
    </w:p>
    <w:p>
      <w:pPr>
        <w:pStyle w:val="BodyText"/>
        <w:spacing w:line="267" w:lineRule="exact"/>
      </w:pPr>
      <w:r>
        <w:rPr/>
        <w:t>4、其他资产按国家有关规定进行估值。</w:t>
      </w:r>
    </w:p>
    <w:p>
      <w:pPr>
        <w:pStyle w:val="BodyText"/>
        <w:spacing w:line="364" w:lineRule="auto" w:before="140"/>
        <w:ind w:left="293" w:right="936" w:firstLine="420"/>
        <w:jc w:val="both"/>
      </w:pPr>
      <w:r>
        <w:rPr/>
        <w:t>5</w:t>
      </w:r>
      <w:r>
        <w:rPr>
          <w:spacing w:val="-2"/>
        </w:rPr>
        <w:t>、在任何情况下，基金管理人采用上述 </w:t>
      </w:r>
      <w:r>
        <w:rPr/>
        <w:t>1-4</w:t>
      </w:r>
      <w:r>
        <w:rPr>
          <w:spacing w:val="-5"/>
        </w:rPr>
        <w:t> 项规定的方法对基金财产进行估值，均应被认</w:t>
      </w:r>
      <w:r>
        <w:rPr>
          <w:spacing w:val="3"/>
        </w:rPr>
        <w:t>为采用了适当的估值方法。但是，如果基金管理人有充足的理由认为按上述方法对基金财产进</w:t>
      </w:r>
      <w:r>
        <w:rPr>
          <w:spacing w:val="9"/>
        </w:rPr>
        <w:t>行估值不能客观反映其公允价值的，基金管理人可在综合考虑市场成交价、市场报价、流动</w:t>
      </w:r>
      <w:r>
        <w:rPr/>
        <w:t>性、收益率曲线等多种因素的基础上与基金托管人商定后，按最能反映公允价值的价格估值。</w:t>
      </w:r>
    </w:p>
    <w:p>
      <w:pPr>
        <w:pStyle w:val="BodyText"/>
        <w:spacing w:line="267" w:lineRule="exact"/>
      </w:pPr>
      <w:r>
        <w:rPr/>
        <w:t>6、国家有最新规定的，按其规定进行估值。</w:t>
      </w:r>
    </w:p>
    <w:p>
      <w:pPr>
        <w:pStyle w:val="Heading2"/>
        <w:spacing w:before="140"/>
      </w:pPr>
      <w:bookmarkStart w:name="_bookmark49" w:id="50"/>
      <w:bookmarkEnd w:id="50"/>
      <w:r>
        <w:rPr/>
      </w:r>
      <w:r>
        <w:rPr/>
        <w:t>（五）估值程序</w:t>
      </w:r>
    </w:p>
    <w:p>
      <w:pPr>
        <w:pStyle w:val="BodyText"/>
        <w:spacing w:line="364" w:lineRule="auto" w:before="185"/>
        <w:ind w:left="293" w:right="936" w:firstLine="420"/>
        <w:jc w:val="both"/>
      </w:pPr>
      <w:r>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pPr>
        <w:pStyle w:val="Heading2"/>
        <w:spacing w:line="358" w:lineRule="exact"/>
      </w:pPr>
      <w:bookmarkStart w:name="_bookmark50" w:id="51"/>
      <w:bookmarkEnd w:id="51"/>
      <w:r>
        <w:rPr/>
      </w:r>
      <w:r>
        <w:rPr/>
        <w:t>（六）暂停估值的情形</w:t>
      </w:r>
    </w:p>
    <w:p>
      <w:pPr>
        <w:pStyle w:val="BodyText"/>
        <w:spacing w:before="185"/>
      </w:pPr>
      <w:r>
        <w:rPr/>
        <w:t>1、基金投资所涉及的证券交易所遇法定节假日或因其他原因暂停营业时；</w:t>
      </w:r>
    </w:p>
    <w:p>
      <w:pPr>
        <w:pStyle w:val="BodyText"/>
        <w:spacing w:before="139"/>
      </w:pPr>
      <w:r>
        <w:rPr/>
        <w:t>2、因不可抗力或其他情形致使基金管理人、基金托管人无法准确评估基金财产价值时；</w:t>
      </w:r>
    </w:p>
    <w:p>
      <w:pPr>
        <w:pStyle w:val="BodyText"/>
        <w:spacing w:line="440" w:lineRule="atLeast" w:before="56"/>
        <w:ind w:left="293" w:right="936" w:firstLine="420"/>
      </w:pPr>
      <w:r>
        <w:rPr/>
        <w:t>3、当前一估值日基金资产净值 50%以上的资产出现无可参考的活跃市场价格且采用估值技术仍导致公允价值存在重大不确定性时，经与基金托管人协商一致的；</w:t>
      </w:r>
    </w:p>
    <w:p>
      <w:pPr>
        <w:pStyle w:val="BodyText"/>
        <w:spacing w:before="98"/>
      </w:pPr>
      <w:r>
        <w:rPr/>
        <w:t>4、中国证监会认定的其他情形。</w:t>
      </w:r>
    </w:p>
    <w:p>
      <w:pPr>
        <w:pStyle w:val="Heading2"/>
        <w:spacing w:before="140"/>
      </w:pPr>
      <w:bookmarkStart w:name="_bookmark51" w:id="52"/>
      <w:bookmarkEnd w:id="52"/>
      <w:r>
        <w:rPr/>
      </w:r>
      <w:r>
        <w:rPr/>
        <w:t>（七）基金份额净值的确认</w:t>
      </w:r>
    </w:p>
    <w:p>
      <w:pPr>
        <w:pStyle w:val="BodyText"/>
        <w:spacing w:before="185"/>
      </w:pPr>
      <w:r>
        <w:rPr/>
        <w:t>用于基金信息披露的基金份额净值由基金管理人负责计算，基金托管人进行复核。基金管</w:t>
      </w:r>
    </w:p>
    <w:p>
      <w:pPr>
        <w:spacing w:after="0"/>
        <w:sectPr>
          <w:pgSz w:w="11910" w:h="16840"/>
          <w:pgMar w:header="0" w:footer="1172" w:top="1580" w:bottom="1440" w:left="1520" w:right="360"/>
        </w:sectPr>
      </w:pPr>
    </w:p>
    <w:p>
      <w:pPr>
        <w:pStyle w:val="BodyText"/>
        <w:spacing w:line="364" w:lineRule="auto" w:before="106"/>
        <w:ind w:left="293" w:right="936"/>
        <w:jc w:val="both"/>
      </w:pPr>
      <w:r>
        <w:rPr/>
        <w:t>理人应于每个工作日交易结束后计算当日的基金份额净值并发送给基金托管人。基金托管人对净值计算结果复核确认后发送给基金管理人，由基金管理人对基金份额净值予以公布。本基金各类基金份额将分别计算基金份额净值。</w:t>
      </w:r>
    </w:p>
    <w:p>
      <w:pPr>
        <w:pStyle w:val="BodyText"/>
        <w:spacing w:line="364" w:lineRule="auto"/>
        <w:ind w:left="293" w:right="936" w:firstLine="420"/>
        <w:jc w:val="both"/>
      </w:pPr>
      <w:r>
        <w:rPr>
          <w:spacing w:val="-2"/>
        </w:rPr>
        <w:t>基金份额净值的计算精确到 </w:t>
      </w:r>
      <w:r>
        <w:rPr/>
        <w:t>0.0001</w:t>
      </w:r>
      <w:r>
        <w:rPr>
          <w:spacing w:val="-5"/>
        </w:rPr>
        <w:t> 元，小数点后第五位四舍五入。国家另有规定的，从其规定。</w:t>
      </w:r>
    </w:p>
    <w:p>
      <w:pPr>
        <w:pStyle w:val="Heading2"/>
      </w:pPr>
      <w:bookmarkStart w:name="_bookmark52" w:id="53"/>
      <w:bookmarkEnd w:id="53"/>
      <w:r>
        <w:rPr/>
      </w:r>
      <w:r>
        <w:rPr/>
        <w:t>（八）估值错误的处理</w:t>
      </w:r>
    </w:p>
    <w:p>
      <w:pPr>
        <w:pStyle w:val="BodyText"/>
        <w:spacing w:line="364" w:lineRule="auto" w:before="184"/>
        <w:ind w:left="293" w:right="936" w:firstLine="420"/>
      </w:pPr>
      <w:r>
        <w:rPr/>
        <w:t>1、当基金资产的估值导致基金份额净值小数点后四位（含第四位）内发生差错时，视为基金份额净值估值错误。</w:t>
      </w:r>
    </w:p>
    <w:p>
      <w:pPr>
        <w:pStyle w:val="BodyText"/>
        <w:spacing w:line="364" w:lineRule="auto"/>
        <w:ind w:left="293" w:right="935" w:firstLine="420"/>
        <w:jc w:val="both"/>
      </w:pPr>
      <w:r>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 0.25%时，基金管理人应当报中国证监会备案；当计价错误达到或超过基金份额净值的 0.5%时，基金管理人应当公告，并同时报中国证监会备案。</w:t>
      </w:r>
    </w:p>
    <w:p>
      <w:pPr>
        <w:pStyle w:val="BodyText"/>
        <w:spacing w:line="267" w:lineRule="exact"/>
      </w:pPr>
      <w:r>
        <w:rPr/>
        <w:t>3、前述内容如法律法规或监管机构另有规定的，按其规定处理。</w:t>
      </w:r>
    </w:p>
    <w:p>
      <w:pPr>
        <w:pStyle w:val="Heading2"/>
        <w:spacing w:before="139"/>
      </w:pPr>
      <w:bookmarkStart w:name="_bookmark53" w:id="54"/>
      <w:bookmarkEnd w:id="54"/>
      <w:r>
        <w:rPr/>
      </w:r>
      <w:r>
        <w:rPr/>
        <w:t>（九）特殊情形的处理</w:t>
      </w:r>
    </w:p>
    <w:p>
      <w:pPr>
        <w:pStyle w:val="BodyText"/>
        <w:spacing w:line="364" w:lineRule="auto" w:before="185"/>
        <w:ind w:left="293" w:right="936" w:firstLine="420"/>
        <w:jc w:val="both"/>
      </w:pPr>
      <w:r>
        <w:rPr/>
        <w:t>1、基金管理人按本条第（四）</w:t>
      </w:r>
      <w:r>
        <w:rPr>
          <w:spacing w:val="-2"/>
        </w:rPr>
        <w:t>款有关估值方法规定的第 </w:t>
      </w:r>
      <w:r>
        <w:rPr/>
        <w:t>5</w:t>
      </w:r>
      <w:r>
        <w:rPr>
          <w:spacing w:val="-6"/>
        </w:rPr>
        <w:t> 项条款进行估值时，所造成的误</w:t>
      </w:r>
      <w:r>
        <w:rPr/>
        <w:t>差不作为基金份额净值错误处理。</w:t>
      </w:r>
    </w:p>
    <w:p>
      <w:pPr>
        <w:pStyle w:val="BodyText"/>
        <w:spacing w:line="364" w:lineRule="auto"/>
        <w:ind w:left="293" w:right="936" w:firstLine="420"/>
        <w:jc w:val="both"/>
      </w:pPr>
      <w:r>
        <w:rPr/>
        <w:t>2、由于不可抗力原因，或由于证券交易所及登记结算公司发送的数据错误，基金管理人和</w:t>
      </w:r>
      <w:r>
        <w:rPr>
          <w:spacing w:val="3"/>
        </w:rPr>
        <w:t>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pPr>
        <w:spacing w:after="0" w:line="364" w:lineRule="auto"/>
        <w:jc w:val="both"/>
        <w:sectPr>
          <w:pgSz w:w="11910" w:h="16840"/>
          <w:pgMar w:header="0" w:footer="1172" w:top="1580" w:bottom="1440" w:left="1520" w:right="360"/>
        </w:sectPr>
      </w:pPr>
    </w:p>
    <w:p>
      <w:pPr>
        <w:pStyle w:val="BodyText"/>
        <w:ind w:left="0"/>
        <w:rPr>
          <w:sz w:val="20"/>
        </w:rPr>
      </w:pPr>
    </w:p>
    <w:p>
      <w:pPr>
        <w:pStyle w:val="BodyText"/>
        <w:ind w:left="0"/>
        <w:rPr>
          <w:sz w:val="20"/>
        </w:rPr>
      </w:pPr>
    </w:p>
    <w:p>
      <w:pPr>
        <w:pStyle w:val="BodyText"/>
        <w:spacing w:before="5"/>
        <w:ind w:left="0"/>
        <w:rPr>
          <w:sz w:val="27"/>
        </w:rPr>
      </w:pPr>
    </w:p>
    <w:p>
      <w:pPr>
        <w:pStyle w:val="Heading1"/>
        <w:spacing w:line="487" w:lineRule="exact" w:before="0"/>
        <w:ind w:left="3285"/>
      </w:pPr>
      <w:bookmarkStart w:name="_bookmark54" w:id="55"/>
      <w:bookmarkEnd w:id="55"/>
      <w:r>
        <w:rPr>
          <w:b w:val="0"/>
        </w:rPr>
      </w:r>
      <w:r>
        <w:rPr/>
        <w:t>十二、基金的收益分配</w:t>
      </w:r>
    </w:p>
    <w:p>
      <w:pPr>
        <w:pStyle w:val="Heading2"/>
        <w:spacing w:before="118"/>
      </w:pPr>
      <w:bookmarkStart w:name="_bookmark55" w:id="56"/>
      <w:bookmarkEnd w:id="56"/>
      <w:r>
        <w:rPr/>
      </w:r>
      <w:r>
        <w:rPr/>
        <w:t>（一）收益的构成</w:t>
      </w:r>
    </w:p>
    <w:p>
      <w:pPr>
        <w:pStyle w:val="BodyText"/>
        <w:spacing w:before="12"/>
        <w:ind w:left="0"/>
        <w:rPr>
          <w:sz w:val="8"/>
        </w:rPr>
      </w:pPr>
    </w:p>
    <w:p>
      <w:pPr>
        <w:pStyle w:val="BodyText"/>
        <w:spacing w:line="364" w:lineRule="auto" w:before="70"/>
        <w:ind w:left="293" w:right="936" w:firstLine="420"/>
      </w:pPr>
      <w:r>
        <w:rPr/>
        <w:t>基金收益包括：基金投资所得红利、股息、债券利息、买卖证券差价、银行存款利息以及其他收入。因运用基金资产带来的成本或费用的节约计入收益。</w:t>
      </w:r>
    </w:p>
    <w:p>
      <w:pPr>
        <w:pStyle w:val="BodyText"/>
        <w:spacing w:line="268" w:lineRule="exact"/>
      </w:pPr>
      <w:r>
        <w:rPr/>
        <w:t>基金净收益为基金收益扣除按照有关规定可以在基金收益中扣除的费用等项目后的余额。</w:t>
      </w:r>
    </w:p>
    <w:p>
      <w:pPr>
        <w:pStyle w:val="Heading2"/>
        <w:spacing w:before="141"/>
      </w:pPr>
      <w:bookmarkStart w:name="_bookmark56" w:id="57"/>
      <w:bookmarkEnd w:id="57"/>
      <w:r>
        <w:rPr/>
      </w:r>
      <w:r>
        <w:rPr/>
        <w:t>（二）收益分配原则</w:t>
      </w:r>
    </w:p>
    <w:p>
      <w:pPr>
        <w:pStyle w:val="BodyText"/>
        <w:spacing w:line="364" w:lineRule="auto" w:before="185"/>
        <w:ind w:left="293" w:right="936" w:firstLine="420"/>
        <w:jc w:val="both"/>
      </w:pPr>
      <w:r>
        <w:rPr/>
        <w:t>1、基金收益分配采用现金方式，投资者可选择获取现金红利或者将现金红利按红利发放日</w:t>
      </w:r>
      <w:r>
        <w:rPr>
          <w:spacing w:val="4"/>
        </w:rPr>
        <w:t>前一工作日的基金份额净值自动转为对应类别的基金份额进行再投资（简称“再投资方式</w:t>
      </w:r>
      <w:r>
        <w:rPr>
          <w:spacing w:val="-101"/>
        </w:rPr>
        <w:t>”）</w:t>
      </w:r>
      <w:r>
        <w:rPr/>
        <w:t>；如果投资者没有明示选择，则视为选择现金方式；</w:t>
      </w:r>
    </w:p>
    <w:p>
      <w:pPr>
        <w:pStyle w:val="BodyText"/>
        <w:spacing w:line="364" w:lineRule="auto"/>
        <w:ind w:left="293" w:right="936" w:firstLine="420"/>
      </w:pPr>
      <w:r>
        <w:rPr/>
        <w:t>2、本基金各基金份额类别在费用收取上不同，其对应的可分配收益可能有所不同。同一类别的每一基金份额享有同等分配权；</w:t>
      </w:r>
    </w:p>
    <w:p>
      <w:pPr>
        <w:pStyle w:val="BodyText"/>
        <w:spacing w:line="268" w:lineRule="exact"/>
      </w:pPr>
      <w:r>
        <w:rPr/>
        <w:t>3、基金当期收益先弥补上期亏损后，方可进行当期收益分配；</w:t>
      </w:r>
    </w:p>
    <w:p>
      <w:pPr>
        <w:pStyle w:val="BodyText"/>
        <w:spacing w:before="138"/>
      </w:pPr>
      <w:r>
        <w:rPr/>
        <w:t>4、基金收益分配后每基金份额净值不能低于面值；</w:t>
      </w:r>
    </w:p>
    <w:p>
      <w:pPr>
        <w:pStyle w:val="BodyText"/>
        <w:spacing w:before="139"/>
      </w:pPr>
      <w:r>
        <w:rPr/>
        <w:t>5、如果基金投资当期出现亏损，则不进行收益分配；</w:t>
      </w:r>
    </w:p>
    <w:p>
      <w:pPr>
        <w:pStyle w:val="BodyText"/>
        <w:spacing w:before="139"/>
      </w:pPr>
      <w:r>
        <w:rPr/>
        <w:t>6、基金收益分配比例按照有关规定执行；</w:t>
      </w:r>
    </w:p>
    <w:p>
      <w:pPr>
        <w:pStyle w:val="BodyText"/>
        <w:spacing w:line="364" w:lineRule="auto" w:before="140"/>
        <w:ind w:left="293" w:right="886" w:firstLine="420"/>
      </w:pPr>
      <w:r>
        <w:rPr/>
        <w:t>7、在符合基金分红条件的前提下，本基金每年至少分红一次。基金合同生效当年不满 3 个月，收益可不分配。</w:t>
      </w:r>
    </w:p>
    <w:p>
      <w:pPr>
        <w:pStyle w:val="BodyText"/>
        <w:spacing w:line="268" w:lineRule="exact"/>
      </w:pPr>
      <w:r>
        <w:rPr/>
        <w:t>法律、法规或监管机构另有规定的从其规定。</w:t>
      </w:r>
    </w:p>
    <w:p>
      <w:pPr>
        <w:pStyle w:val="Heading2"/>
        <w:spacing w:before="140"/>
      </w:pPr>
      <w:bookmarkStart w:name="_bookmark57" w:id="58"/>
      <w:bookmarkEnd w:id="58"/>
      <w:r>
        <w:rPr/>
      </w:r>
      <w:r>
        <w:rPr/>
        <w:t>（三）收益分配方案的确定与公告</w:t>
      </w:r>
    </w:p>
    <w:p>
      <w:pPr>
        <w:pStyle w:val="BodyText"/>
        <w:spacing w:line="364" w:lineRule="auto" w:before="185"/>
        <w:ind w:left="293" w:right="936" w:firstLine="420"/>
      </w:pPr>
      <w:r>
        <w:rPr/>
        <w:t>本基金收益分配方案由基金管理人拟定，并由基金托管人核实后确定，并按有关规定公告。</w:t>
      </w:r>
    </w:p>
    <w:p>
      <w:pPr>
        <w:pStyle w:val="Heading2"/>
      </w:pPr>
      <w:bookmarkStart w:name="_bookmark58" w:id="59"/>
      <w:bookmarkEnd w:id="59"/>
      <w:r>
        <w:rPr/>
      </w:r>
      <w:r>
        <w:rPr/>
        <w:t>（四）收益分配中发生的费用</w:t>
      </w:r>
    </w:p>
    <w:p>
      <w:pPr>
        <w:pStyle w:val="BodyText"/>
        <w:spacing w:before="185"/>
      </w:pPr>
      <w:r>
        <w:rPr/>
        <w:t>1、收益分配采用红利再投资方式免收再投资的费用。</w:t>
      </w:r>
    </w:p>
    <w:p>
      <w:pPr>
        <w:pStyle w:val="BodyText"/>
        <w:spacing w:line="364" w:lineRule="auto" w:before="140"/>
        <w:ind w:left="293" w:right="936" w:firstLine="420"/>
        <w:jc w:val="both"/>
      </w:pPr>
      <w:r>
        <w:rPr/>
        <w:t>2、收益分配时发生的银行转帐等手续费由基金份额持有人自行承担；如果基金份额持有人所获现金红利不足支付前述银行转帐等手续费，注册登记机构自动将该基金份额持有人的现金红利按红利发放日前一工作日的基金份额净值转为对应类别的基金份额。</w:t>
      </w:r>
    </w:p>
    <w:p>
      <w:pPr>
        <w:spacing w:after="0" w:line="364" w:lineRule="auto"/>
        <w:jc w:val="both"/>
        <w:sectPr>
          <w:pgSz w:w="11910" w:h="16840"/>
          <w:pgMar w:header="0" w:footer="1172" w:top="1580" w:bottom="1440" w:left="1520" w:right="360"/>
        </w:sectPr>
      </w:pPr>
    </w:p>
    <w:p>
      <w:pPr>
        <w:pStyle w:val="Heading1"/>
        <w:ind w:left="3144"/>
      </w:pPr>
      <w:bookmarkStart w:name="_bookmark59" w:id="60"/>
      <w:bookmarkEnd w:id="60"/>
      <w:r>
        <w:rPr>
          <w:b w:val="0"/>
        </w:rPr>
      </w:r>
      <w:r>
        <w:rPr/>
        <w:t>十三、基金的费用与税收</w:t>
      </w:r>
    </w:p>
    <w:p>
      <w:pPr>
        <w:pStyle w:val="Heading2"/>
        <w:spacing w:before="118"/>
      </w:pPr>
      <w:bookmarkStart w:name="_bookmark60" w:id="61"/>
      <w:bookmarkEnd w:id="61"/>
      <w:r>
        <w:rPr/>
      </w:r>
      <w:r>
        <w:rPr/>
        <w:t>（一）与基金运作有关的费用</w:t>
      </w:r>
    </w:p>
    <w:p>
      <w:pPr>
        <w:pStyle w:val="BodyText"/>
        <w:spacing w:before="184"/>
      </w:pPr>
      <w:r>
        <w:rPr/>
        <w:t>1、基金费用的种类</w:t>
      </w:r>
    </w:p>
    <w:p>
      <w:pPr>
        <w:pStyle w:val="ListParagraph"/>
        <w:numPr>
          <w:ilvl w:val="0"/>
          <w:numId w:val="31"/>
        </w:numPr>
        <w:tabs>
          <w:tab w:pos="1434" w:val="left" w:leader="none"/>
        </w:tabs>
        <w:spacing w:line="240" w:lineRule="auto" w:before="140" w:after="0"/>
        <w:ind w:left="1434" w:right="0" w:hanging="721"/>
        <w:jc w:val="left"/>
        <w:rPr>
          <w:sz w:val="21"/>
        </w:rPr>
      </w:pPr>
      <w:r>
        <w:rPr>
          <w:sz w:val="21"/>
        </w:rPr>
        <w:t>基金管理人的管理费；</w:t>
      </w:r>
    </w:p>
    <w:p>
      <w:pPr>
        <w:pStyle w:val="ListParagraph"/>
        <w:numPr>
          <w:ilvl w:val="0"/>
          <w:numId w:val="31"/>
        </w:numPr>
        <w:tabs>
          <w:tab w:pos="1434" w:val="left" w:leader="none"/>
        </w:tabs>
        <w:spacing w:line="240" w:lineRule="auto" w:before="139" w:after="0"/>
        <w:ind w:left="1434" w:right="0" w:hanging="721"/>
        <w:jc w:val="left"/>
        <w:rPr>
          <w:sz w:val="21"/>
        </w:rPr>
      </w:pPr>
      <w:r>
        <w:rPr>
          <w:sz w:val="21"/>
        </w:rPr>
        <w:t>基金托管人的托管费；</w:t>
      </w:r>
    </w:p>
    <w:p>
      <w:pPr>
        <w:pStyle w:val="ListParagraph"/>
        <w:numPr>
          <w:ilvl w:val="0"/>
          <w:numId w:val="31"/>
        </w:numPr>
        <w:tabs>
          <w:tab w:pos="1434" w:val="left" w:leader="none"/>
        </w:tabs>
        <w:spacing w:line="240" w:lineRule="auto" w:before="140" w:after="0"/>
        <w:ind w:left="1434" w:right="0" w:hanging="721"/>
        <w:jc w:val="left"/>
        <w:rPr>
          <w:sz w:val="21"/>
        </w:rPr>
      </w:pPr>
      <w:r>
        <w:rPr>
          <w:sz w:val="21"/>
        </w:rPr>
        <w:t>销售服务费；</w:t>
      </w:r>
    </w:p>
    <w:p>
      <w:pPr>
        <w:pStyle w:val="ListParagraph"/>
        <w:numPr>
          <w:ilvl w:val="0"/>
          <w:numId w:val="31"/>
        </w:numPr>
        <w:tabs>
          <w:tab w:pos="1434" w:val="left" w:leader="none"/>
        </w:tabs>
        <w:spacing w:line="240" w:lineRule="auto" w:before="139" w:after="0"/>
        <w:ind w:left="1434" w:right="0" w:hanging="721"/>
        <w:jc w:val="left"/>
        <w:rPr>
          <w:sz w:val="21"/>
        </w:rPr>
      </w:pPr>
      <w:r>
        <w:rPr>
          <w:sz w:val="21"/>
        </w:rPr>
        <w:t>基金信息披露费用；</w:t>
      </w:r>
    </w:p>
    <w:p>
      <w:pPr>
        <w:pStyle w:val="ListParagraph"/>
        <w:numPr>
          <w:ilvl w:val="0"/>
          <w:numId w:val="31"/>
        </w:numPr>
        <w:tabs>
          <w:tab w:pos="1434" w:val="left" w:leader="none"/>
        </w:tabs>
        <w:spacing w:line="240" w:lineRule="auto" w:before="140" w:after="0"/>
        <w:ind w:left="1434" w:right="0" w:hanging="721"/>
        <w:jc w:val="left"/>
        <w:rPr>
          <w:sz w:val="21"/>
        </w:rPr>
      </w:pPr>
      <w:r>
        <w:rPr>
          <w:sz w:val="21"/>
        </w:rPr>
        <w:t>基金份额持有人大会费用；</w:t>
      </w:r>
    </w:p>
    <w:p>
      <w:pPr>
        <w:pStyle w:val="ListParagraph"/>
        <w:numPr>
          <w:ilvl w:val="0"/>
          <w:numId w:val="31"/>
        </w:numPr>
        <w:tabs>
          <w:tab w:pos="1434" w:val="left" w:leader="none"/>
        </w:tabs>
        <w:spacing w:line="240" w:lineRule="auto" w:before="139" w:after="0"/>
        <w:ind w:left="1434" w:right="0" w:hanging="721"/>
        <w:jc w:val="left"/>
        <w:rPr>
          <w:sz w:val="21"/>
        </w:rPr>
      </w:pPr>
      <w:r>
        <w:rPr>
          <w:sz w:val="21"/>
        </w:rPr>
        <w:t>与基金相关的会计师费和律师费；</w:t>
      </w:r>
    </w:p>
    <w:p>
      <w:pPr>
        <w:pStyle w:val="ListParagraph"/>
        <w:numPr>
          <w:ilvl w:val="0"/>
          <w:numId w:val="31"/>
        </w:numPr>
        <w:tabs>
          <w:tab w:pos="1434" w:val="left" w:leader="none"/>
        </w:tabs>
        <w:spacing w:line="240" w:lineRule="auto" w:before="140" w:after="0"/>
        <w:ind w:left="1434" w:right="0" w:hanging="721"/>
        <w:jc w:val="left"/>
        <w:rPr>
          <w:sz w:val="21"/>
        </w:rPr>
      </w:pPr>
      <w:r>
        <w:rPr>
          <w:sz w:val="21"/>
        </w:rPr>
        <w:t>证券交易费；</w:t>
      </w:r>
    </w:p>
    <w:p>
      <w:pPr>
        <w:pStyle w:val="ListParagraph"/>
        <w:numPr>
          <w:ilvl w:val="0"/>
          <w:numId w:val="31"/>
        </w:numPr>
        <w:tabs>
          <w:tab w:pos="1434" w:val="left" w:leader="none"/>
        </w:tabs>
        <w:spacing w:line="364" w:lineRule="auto" w:before="139" w:after="0"/>
        <w:ind w:left="293" w:right="2711" w:firstLine="420"/>
        <w:jc w:val="left"/>
        <w:rPr>
          <w:sz w:val="21"/>
        </w:rPr>
      </w:pPr>
      <w:r>
        <w:rPr>
          <w:spacing w:val="-1"/>
          <w:sz w:val="21"/>
        </w:rPr>
        <w:t>按照国家有关规定和《基金合同》的规定可以列入的其他费用； </w:t>
      </w:r>
      <w:r>
        <w:rPr>
          <w:sz w:val="21"/>
        </w:rPr>
        <w:t>法律法规另有规定时从其规定。</w:t>
      </w:r>
    </w:p>
    <w:p>
      <w:pPr>
        <w:pStyle w:val="BodyText"/>
        <w:spacing w:line="268" w:lineRule="exact"/>
      </w:pPr>
      <w:r>
        <w:rPr/>
        <w:t>2、基金费用计提方法、计提标准和支付方式</w:t>
      </w:r>
    </w:p>
    <w:p>
      <w:pPr>
        <w:pStyle w:val="ListParagraph"/>
        <w:numPr>
          <w:ilvl w:val="1"/>
          <w:numId w:val="31"/>
        </w:numPr>
        <w:tabs>
          <w:tab w:pos="1581" w:val="left" w:leader="none"/>
        </w:tabs>
        <w:spacing w:line="240" w:lineRule="auto" w:before="139" w:after="0"/>
        <w:ind w:left="1581" w:right="0" w:hanging="721"/>
        <w:jc w:val="left"/>
        <w:rPr>
          <w:sz w:val="21"/>
        </w:rPr>
      </w:pPr>
      <w:r>
        <w:rPr>
          <w:sz w:val="21"/>
        </w:rPr>
        <w:t>基金管理人的管理费</w:t>
      </w:r>
    </w:p>
    <w:p>
      <w:pPr>
        <w:pStyle w:val="BodyText"/>
        <w:spacing w:line="364" w:lineRule="auto" w:before="140"/>
        <w:ind w:right="2066"/>
      </w:pPr>
      <w:r>
        <w:rPr/>
        <w:t>基金管理费按前一日基金资产净值的 1.2%年费率计算。计算方法如下： H=E×1.2%÷当年天数；H为每日应支付的基金管理费；E为前一日基金资产净值</w:t>
      </w:r>
    </w:p>
    <w:p>
      <w:pPr>
        <w:pStyle w:val="BodyText"/>
        <w:spacing w:line="364" w:lineRule="auto"/>
        <w:ind w:left="293" w:right="936" w:firstLine="420"/>
      </w:pPr>
      <w:r>
        <w:rPr/>
        <w:t>基金管理费每日计算，逐日累计至每个月月末，按月支付，由基金托管人复核后于次月的前两个工作日内从基金资产中一次性支付给基金管理人。</w:t>
      </w:r>
    </w:p>
    <w:p>
      <w:pPr>
        <w:pStyle w:val="ListParagraph"/>
        <w:numPr>
          <w:ilvl w:val="1"/>
          <w:numId w:val="31"/>
        </w:numPr>
        <w:tabs>
          <w:tab w:pos="1581" w:val="left" w:leader="none"/>
        </w:tabs>
        <w:spacing w:line="268" w:lineRule="exact" w:before="0" w:after="0"/>
        <w:ind w:left="1581" w:right="0" w:hanging="721"/>
        <w:jc w:val="left"/>
        <w:rPr>
          <w:sz w:val="21"/>
        </w:rPr>
      </w:pPr>
      <w:r>
        <w:rPr>
          <w:sz w:val="21"/>
        </w:rPr>
        <w:t>基金托管人的托管费</w:t>
      </w:r>
    </w:p>
    <w:p>
      <w:pPr>
        <w:pStyle w:val="BodyText"/>
        <w:spacing w:line="364" w:lineRule="auto" w:before="138"/>
        <w:ind w:right="1751"/>
      </w:pPr>
      <w:r>
        <w:rPr/>
        <w:t>基金托管费按前一日的基金资产净值的 0.20%的年费率计算。计算方法如下： H=E×0.20%÷当年天数；H为每日应计提的基金托管费；E为前一日的基金资产净值</w:t>
      </w:r>
    </w:p>
    <w:p>
      <w:pPr>
        <w:pStyle w:val="BodyText"/>
        <w:spacing w:line="364" w:lineRule="auto"/>
        <w:ind w:left="293" w:right="936" w:firstLine="420"/>
        <w:jc w:val="both"/>
      </w:pPr>
      <w:r>
        <w:rPr/>
        <w:t>基金托管费每日计算，逐日累计至每个月月末，按月支付。由基金管理人向基金托管人发送基金托管费划付指令，基金托管人复核后于次月的前两个工作日内从基金资产中一次性支付给基金托管人。</w:t>
      </w:r>
    </w:p>
    <w:p>
      <w:pPr>
        <w:pStyle w:val="ListParagraph"/>
        <w:numPr>
          <w:ilvl w:val="1"/>
          <w:numId w:val="31"/>
        </w:numPr>
        <w:tabs>
          <w:tab w:pos="1581" w:val="left" w:leader="none"/>
        </w:tabs>
        <w:spacing w:line="268" w:lineRule="exact" w:before="0" w:after="0"/>
        <w:ind w:left="1581" w:right="0" w:hanging="721"/>
        <w:jc w:val="both"/>
        <w:rPr>
          <w:sz w:val="21"/>
        </w:rPr>
      </w:pPr>
      <w:r>
        <w:rPr>
          <w:sz w:val="21"/>
        </w:rPr>
        <w:t>销售服务费</w:t>
      </w:r>
    </w:p>
    <w:p>
      <w:pPr>
        <w:pStyle w:val="BodyText"/>
        <w:spacing w:line="364" w:lineRule="auto" w:before="139"/>
        <w:ind w:left="293" w:right="936" w:firstLine="200"/>
      </w:pPr>
      <w:r>
        <w:rPr>
          <w:spacing w:val="-11"/>
        </w:rPr>
        <w:t>本基金 </w:t>
      </w:r>
      <w:r>
        <w:rPr/>
        <w:t>A</w:t>
      </w:r>
      <w:r>
        <w:rPr>
          <w:spacing w:val="-7"/>
        </w:rPr>
        <w:t> 类基金份额不收取销售服务费，</w:t>
      </w:r>
      <w:r>
        <w:rPr/>
        <w:t>C</w:t>
      </w:r>
      <w:r>
        <w:rPr>
          <w:spacing w:val="-9"/>
        </w:rPr>
        <w:t> 类基金份额的销售服务费年费率为 </w:t>
      </w:r>
      <w:r>
        <w:rPr/>
        <w:t>0.25%</w:t>
      </w:r>
      <w:r>
        <w:rPr>
          <w:spacing w:val="-14"/>
        </w:rPr>
        <w:t>，按 </w:t>
      </w:r>
      <w:r>
        <w:rPr/>
        <w:t>C</w:t>
      </w:r>
      <w:r>
        <w:rPr>
          <w:spacing w:val="-22"/>
        </w:rPr>
        <w:t> 类</w:t>
      </w:r>
      <w:r>
        <w:rPr>
          <w:spacing w:val="-25"/>
        </w:rPr>
        <w:t>份额前一日基金资产净值的 </w:t>
      </w:r>
      <w:r>
        <w:rPr/>
        <w:t>0.25%年费率计提。</w:t>
      </w:r>
    </w:p>
    <w:p>
      <w:pPr>
        <w:pStyle w:val="BodyText"/>
        <w:spacing w:line="268" w:lineRule="exact"/>
        <w:ind w:left="493"/>
      </w:pPr>
      <w:r>
        <w:rPr/>
        <w:t>销售服务费的计算方法如下：</w:t>
      </w:r>
    </w:p>
    <w:p>
      <w:pPr>
        <w:pStyle w:val="BodyText"/>
        <w:spacing w:before="139"/>
        <w:ind w:left="493"/>
      </w:pPr>
      <w:r>
        <w:rPr/>
        <w:t>H=E×0.25%÷当年天数</w:t>
      </w:r>
    </w:p>
    <w:p>
      <w:pPr>
        <w:pStyle w:val="BodyText"/>
        <w:spacing w:line="364" w:lineRule="auto" w:before="140"/>
        <w:ind w:left="493" w:right="5592"/>
      </w:pPr>
      <w:r>
        <w:rPr/>
        <w:t>H</w:t>
      </w:r>
      <w:r>
        <w:rPr>
          <w:spacing w:val="-36"/>
        </w:rPr>
        <w:t> 为 </w:t>
      </w:r>
      <w:r>
        <w:rPr/>
        <w:t>C</w:t>
      </w:r>
      <w:r>
        <w:rPr>
          <w:spacing w:val="-9"/>
        </w:rPr>
        <w:t> 类基金份额每日应计提的销售服务费</w:t>
      </w:r>
      <w:r>
        <w:rPr/>
        <w:t>E</w:t>
      </w:r>
      <w:r>
        <w:rPr>
          <w:spacing w:val="-36"/>
        </w:rPr>
        <w:t> 为 </w:t>
      </w:r>
      <w:r>
        <w:rPr/>
        <w:t>C</w:t>
      </w:r>
      <w:r>
        <w:rPr>
          <w:spacing w:val="-8"/>
        </w:rPr>
        <w:t> 类基金份额前一日基金资产净值</w:t>
      </w:r>
    </w:p>
    <w:p>
      <w:pPr>
        <w:pStyle w:val="BodyText"/>
        <w:spacing w:line="268" w:lineRule="exact"/>
        <w:ind w:left="493"/>
      </w:pPr>
      <w:r>
        <w:rPr/>
        <w:t>基金销售服务费每日计提，逐日累计至每个月月末，按月支付，由基金管理人向基金托管人</w:t>
      </w:r>
    </w:p>
    <w:p>
      <w:pPr>
        <w:spacing w:after="0" w:line="268" w:lineRule="exact"/>
        <w:sectPr>
          <w:pgSz w:w="11910" w:h="16840"/>
          <w:pgMar w:header="0" w:footer="1172" w:top="1580" w:bottom="1440" w:left="1520" w:right="360"/>
        </w:sectPr>
      </w:pPr>
    </w:p>
    <w:p>
      <w:pPr>
        <w:pStyle w:val="BodyText"/>
        <w:spacing w:line="364" w:lineRule="auto" w:before="106"/>
        <w:ind w:left="293" w:right="936"/>
      </w:pPr>
      <w:r>
        <w:rPr/>
        <w:t>发送销售服务费划付指令，基金托管人复核后于次月前两个工作日内从基金资产中一次性支付。</w:t>
      </w:r>
    </w:p>
    <w:p>
      <w:pPr>
        <w:pStyle w:val="ListParagraph"/>
        <w:numPr>
          <w:ilvl w:val="1"/>
          <w:numId w:val="31"/>
        </w:numPr>
        <w:tabs>
          <w:tab w:pos="1591" w:val="left" w:leader="none"/>
        </w:tabs>
        <w:spacing w:line="364" w:lineRule="auto" w:before="0" w:after="0"/>
        <w:ind w:left="440" w:right="936" w:firstLine="420"/>
        <w:jc w:val="left"/>
        <w:rPr>
          <w:sz w:val="21"/>
        </w:rPr>
      </w:pPr>
      <w:r>
        <w:rPr>
          <w:spacing w:val="-15"/>
          <w:sz w:val="21"/>
        </w:rPr>
        <w:t>上述 </w:t>
      </w:r>
      <w:r>
        <w:rPr>
          <w:sz w:val="21"/>
        </w:rPr>
        <w:t>1</w:t>
      </w:r>
      <w:r>
        <w:rPr>
          <w:spacing w:val="-15"/>
          <w:sz w:val="21"/>
        </w:rPr>
        <w:t> 款中</w:t>
      </w:r>
      <w:r>
        <w:rPr>
          <w:spacing w:val="2"/>
          <w:sz w:val="21"/>
        </w:rPr>
        <w:t>（4）</w:t>
      </w:r>
      <w:r>
        <w:rPr>
          <w:spacing w:val="4"/>
          <w:sz w:val="21"/>
        </w:rPr>
        <w:t>至</w:t>
      </w:r>
      <w:r>
        <w:rPr>
          <w:spacing w:val="2"/>
          <w:sz w:val="21"/>
        </w:rPr>
        <w:t>（8）</w:t>
      </w:r>
      <w:r>
        <w:rPr>
          <w:spacing w:val="3"/>
          <w:sz w:val="21"/>
        </w:rPr>
        <w:t>项费用由基金托管人根据其他有关法规及相应协议的规定，按费用实际支出金额支付，列入当期基金费用。</w:t>
      </w:r>
    </w:p>
    <w:p>
      <w:pPr>
        <w:pStyle w:val="BodyText"/>
        <w:spacing w:line="268" w:lineRule="exact"/>
      </w:pPr>
      <w:r>
        <w:rPr/>
        <w:t>3、不列入基金费用的项目</w:t>
      </w:r>
    </w:p>
    <w:p>
      <w:pPr>
        <w:pStyle w:val="BodyText"/>
        <w:spacing w:line="364" w:lineRule="auto" w:before="138"/>
        <w:ind w:left="293" w:right="936" w:firstLine="420"/>
      </w:pPr>
      <w:r>
        <w:rPr/>
        <w:t>基金管理人和基金托管人因未履行或未完全履行义务导致的费用支出或基金资产的损失， 以及处理与基金运作无关的事项发生的费用等不列入基金费用。</w:t>
      </w:r>
    </w:p>
    <w:p>
      <w:pPr>
        <w:pStyle w:val="BodyText"/>
        <w:spacing w:line="364" w:lineRule="auto"/>
        <w:ind w:left="293" w:right="936" w:firstLine="420"/>
      </w:pPr>
      <w:r>
        <w:rPr/>
        <w:t>4、基金管理人和基金托管人可磋商酌情调低基金管理费和基金托管费或销售服务费，此项调整不需要基金份额持有人大会决议通过。</w:t>
      </w:r>
    </w:p>
    <w:p>
      <w:pPr>
        <w:pStyle w:val="Heading2"/>
      </w:pPr>
      <w:bookmarkStart w:name="_bookmark61" w:id="62"/>
      <w:bookmarkEnd w:id="62"/>
      <w:r>
        <w:rPr/>
      </w:r>
      <w:r>
        <w:rPr/>
        <w:t>（二）与基金销售有关的费用</w:t>
      </w:r>
    </w:p>
    <w:p>
      <w:pPr>
        <w:pStyle w:val="BodyText"/>
        <w:spacing w:before="184"/>
      </w:pPr>
      <w:r>
        <w:rPr/>
        <w:t>1、申购费率：</w:t>
      </w:r>
    </w:p>
    <w:p>
      <w:pPr>
        <w:pStyle w:val="BodyText"/>
        <w:spacing w:before="140"/>
      </w:pPr>
      <w:r>
        <w:rPr/>
        <w:t>（1）A 类基金份额</w:t>
      </w:r>
    </w:p>
    <w:p>
      <w:pPr>
        <w:pStyle w:val="BodyText"/>
        <w:spacing w:line="364" w:lineRule="auto" w:before="139"/>
        <w:ind w:left="816" w:right="936"/>
        <w:jc w:val="both"/>
      </w:pPr>
      <w:r>
        <w:rPr>
          <w:spacing w:val="-7"/>
        </w:rPr>
        <w:t>对于 </w:t>
      </w:r>
      <w:r>
        <w:rPr/>
        <w:t>A</w:t>
      </w:r>
      <w:r>
        <w:rPr>
          <w:spacing w:val="-5"/>
        </w:rPr>
        <w:t> 类基金份额，本基金对通过本公司直销中心申购的特定投资群体与除此之外的其他投资者实施差别的申购费率。</w:t>
      </w:r>
    </w:p>
    <w:p>
      <w:pPr>
        <w:pStyle w:val="BodyText"/>
        <w:spacing w:line="364" w:lineRule="auto"/>
        <w:ind w:left="816" w:right="936"/>
        <w:jc w:val="both"/>
      </w:pPr>
      <w:r>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pPr>
        <w:pStyle w:val="BodyText"/>
        <w:spacing w:line="267" w:lineRule="exact"/>
        <w:ind w:left="816"/>
        <w:jc w:val="both"/>
      </w:pPr>
      <w:r>
        <w:rPr/>
        <w:t>通过基金管理人的直销中心申购本基金 A 类基金份额的特定投资群体申购费率为：</w:t>
      </w:r>
    </w:p>
    <w:p>
      <w:pPr>
        <w:pStyle w:val="BodyText"/>
        <w:spacing w:before="7"/>
        <w:ind w:left="0"/>
        <w:rPr>
          <w:sz w:val="10"/>
        </w:rPr>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3150"/>
      </w:tblGrid>
      <w:tr>
        <w:trPr>
          <w:trHeight w:val="816" w:hRule="atLeast"/>
        </w:trPr>
        <w:tc>
          <w:tcPr>
            <w:tcW w:w="3260" w:type="dxa"/>
          </w:tcPr>
          <w:p>
            <w:pPr>
              <w:pStyle w:val="TableParagraph"/>
              <w:spacing w:before="3"/>
              <w:ind w:left="527"/>
              <w:rPr>
                <w:sz w:val="21"/>
              </w:rPr>
            </w:pPr>
            <w:r>
              <w:rPr>
                <w:spacing w:val="9"/>
                <w:sz w:val="21"/>
              </w:rPr>
              <w:t>申购金额 </w:t>
            </w:r>
            <w:r>
              <w:rPr>
                <w:sz w:val="21"/>
              </w:rPr>
              <w:t>M（</w:t>
            </w:r>
            <w:r>
              <w:rPr>
                <w:spacing w:val="-27"/>
                <w:sz w:val="21"/>
              </w:rPr>
              <w:t> 元</w:t>
            </w:r>
            <w:r>
              <w:rPr>
                <w:spacing w:val="-40"/>
                <w:sz w:val="21"/>
              </w:rPr>
              <w:t>）（</w:t>
            </w:r>
            <w:r>
              <w:rPr>
                <w:spacing w:val="-8"/>
                <w:sz w:val="21"/>
              </w:rPr>
              <w:t> 含申购</w:t>
            </w:r>
          </w:p>
          <w:p>
            <w:pPr>
              <w:pStyle w:val="TableParagraph"/>
              <w:spacing w:before="139"/>
              <w:ind w:left="107"/>
              <w:rPr>
                <w:sz w:val="21"/>
              </w:rPr>
            </w:pPr>
            <w:r>
              <w:rPr>
                <w:sz w:val="21"/>
              </w:rPr>
              <w:t>费）</w:t>
            </w:r>
          </w:p>
        </w:tc>
        <w:tc>
          <w:tcPr>
            <w:tcW w:w="3150" w:type="dxa"/>
          </w:tcPr>
          <w:p>
            <w:pPr>
              <w:pStyle w:val="TableParagraph"/>
              <w:spacing w:before="3"/>
              <w:ind w:left="527"/>
              <w:rPr>
                <w:sz w:val="21"/>
              </w:rPr>
            </w:pPr>
            <w:r>
              <w:rPr>
                <w:sz w:val="21"/>
              </w:rPr>
              <w:t>申购费率</w:t>
            </w:r>
          </w:p>
        </w:tc>
      </w:tr>
      <w:tr>
        <w:trPr>
          <w:trHeight w:val="408" w:hRule="atLeast"/>
        </w:trPr>
        <w:tc>
          <w:tcPr>
            <w:tcW w:w="3260" w:type="dxa"/>
          </w:tcPr>
          <w:p>
            <w:pPr>
              <w:pStyle w:val="TableParagraph"/>
              <w:spacing w:before="3"/>
              <w:ind w:left="527"/>
              <w:rPr>
                <w:sz w:val="21"/>
              </w:rPr>
            </w:pPr>
            <w:r>
              <w:rPr>
                <w:sz w:val="21"/>
              </w:rPr>
              <w:t>M≥1000 万</w:t>
            </w:r>
          </w:p>
        </w:tc>
        <w:tc>
          <w:tcPr>
            <w:tcW w:w="3150" w:type="dxa"/>
          </w:tcPr>
          <w:p>
            <w:pPr>
              <w:pStyle w:val="TableParagraph"/>
              <w:spacing w:before="3"/>
              <w:ind w:left="527"/>
              <w:rPr>
                <w:sz w:val="21"/>
              </w:rPr>
            </w:pPr>
            <w:r>
              <w:rPr>
                <w:sz w:val="21"/>
              </w:rPr>
              <w:t>按笔收取，1000 元/笔</w:t>
            </w:r>
          </w:p>
        </w:tc>
      </w:tr>
      <w:tr>
        <w:trPr>
          <w:trHeight w:val="408" w:hRule="atLeast"/>
        </w:trPr>
        <w:tc>
          <w:tcPr>
            <w:tcW w:w="3260" w:type="dxa"/>
          </w:tcPr>
          <w:p>
            <w:pPr>
              <w:pStyle w:val="TableParagraph"/>
              <w:spacing w:before="3"/>
              <w:ind w:left="527"/>
              <w:rPr>
                <w:sz w:val="21"/>
              </w:rPr>
            </w:pPr>
            <w:r>
              <w:rPr>
                <w:sz w:val="21"/>
              </w:rPr>
              <w:t>500 万≤M＜1000 万</w:t>
            </w:r>
          </w:p>
        </w:tc>
        <w:tc>
          <w:tcPr>
            <w:tcW w:w="3150" w:type="dxa"/>
          </w:tcPr>
          <w:p>
            <w:pPr>
              <w:pStyle w:val="TableParagraph"/>
              <w:spacing w:before="3"/>
              <w:ind w:left="527"/>
              <w:rPr>
                <w:sz w:val="21"/>
              </w:rPr>
            </w:pPr>
            <w:r>
              <w:rPr>
                <w:sz w:val="21"/>
              </w:rPr>
              <w:t>0.03%</w:t>
            </w:r>
          </w:p>
        </w:tc>
      </w:tr>
      <w:tr>
        <w:trPr>
          <w:trHeight w:val="408" w:hRule="atLeast"/>
        </w:trPr>
        <w:tc>
          <w:tcPr>
            <w:tcW w:w="3260" w:type="dxa"/>
          </w:tcPr>
          <w:p>
            <w:pPr>
              <w:pStyle w:val="TableParagraph"/>
              <w:spacing w:before="3"/>
              <w:ind w:left="527"/>
              <w:rPr>
                <w:sz w:val="21"/>
              </w:rPr>
            </w:pPr>
            <w:r>
              <w:rPr>
                <w:sz w:val="21"/>
              </w:rPr>
              <w:t>100 万≤M＜500 万</w:t>
            </w:r>
          </w:p>
        </w:tc>
        <w:tc>
          <w:tcPr>
            <w:tcW w:w="3150" w:type="dxa"/>
          </w:tcPr>
          <w:p>
            <w:pPr>
              <w:pStyle w:val="TableParagraph"/>
              <w:spacing w:before="3"/>
              <w:ind w:left="527"/>
              <w:rPr>
                <w:sz w:val="21"/>
              </w:rPr>
            </w:pPr>
            <w:r>
              <w:rPr>
                <w:sz w:val="21"/>
              </w:rPr>
              <w:t>0.12%</w:t>
            </w:r>
          </w:p>
        </w:tc>
      </w:tr>
      <w:tr>
        <w:trPr>
          <w:trHeight w:val="408" w:hRule="atLeast"/>
        </w:trPr>
        <w:tc>
          <w:tcPr>
            <w:tcW w:w="3260" w:type="dxa"/>
          </w:tcPr>
          <w:p>
            <w:pPr>
              <w:pStyle w:val="TableParagraph"/>
              <w:spacing w:before="3"/>
              <w:ind w:left="527"/>
              <w:rPr>
                <w:sz w:val="21"/>
              </w:rPr>
            </w:pPr>
            <w:r>
              <w:rPr>
                <w:sz w:val="21"/>
              </w:rPr>
              <w:t>M＜100 万</w:t>
            </w:r>
          </w:p>
        </w:tc>
        <w:tc>
          <w:tcPr>
            <w:tcW w:w="3150" w:type="dxa"/>
          </w:tcPr>
          <w:p>
            <w:pPr>
              <w:pStyle w:val="TableParagraph"/>
              <w:spacing w:before="3"/>
              <w:ind w:left="527"/>
              <w:rPr>
                <w:sz w:val="21"/>
              </w:rPr>
            </w:pPr>
            <w:r>
              <w:rPr>
                <w:sz w:val="21"/>
              </w:rPr>
              <w:t>0.15%</w:t>
            </w:r>
          </w:p>
        </w:tc>
      </w:tr>
    </w:tbl>
    <w:p>
      <w:pPr>
        <w:pStyle w:val="BodyText"/>
        <w:spacing w:before="3"/>
        <w:ind w:left="816"/>
      </w:pPr>
      <w:r>
        <w:rPr/>
        <w:t>其他投资者申购本基金 A 类基金份额的申购费率为：</w:t>
      </w:r>
    </w:p>
    <w:p>
      <w:pPr>
        <w:pStyle w:val="BodyText"/>
        <w:spacing w:before="8"/>
        <w:ind w:left="0"/>
        <w:rPr>
          <w:sz w:val="10"/>
        </w:rPr>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3150"/>
      </w:tblGrid>
      <w:tr>
        <w:trPr>
          <w:trHeight w:val="816" w:hRule="atLeast"/>
        </w:trPr>
        <w:tc>
          <w:tcPr>
            <w:tcW w:w="3260" w:type="dxa"/>
          </w:tcPr>
          <w:p>
            <w:pPr>
              <w:pStyle w:val="TableParagraph"/>
              <w:spacing w:before="3"/>
              <w:ind w:left="527"/>
              <w:rPr>
                <w:sz w:val="21"/>
              </w:rPr>
            </w:pPr>
            <w:r>
              <w:rPr>
                <w:spacing w:val="9"/>
                <w:sz w:val="21"/>
              </w:rPr>
              <w:t>申购金额 </w:t>
            </w:r>
            <w:r>
              <w:rPr>
                <w:sz w:val="21"/>
              </w:rPr>
              <w:t>M（</w:t>
            </w:r>
            <w:r>
              <w:rPr>
                <w:spacing w:val="-27"/>
                <w:sz w:val="21"/>
              </w:rPr>
              <w:t> 元</w:t>
            </w:r>
            <w:r>
              <w:rPr>
                <w:spacing w:val="-40"/>
                <w:sz w:val="21"/>
              </w:rPr>
              <w:t>）（</w:t>
            </w:r>
            <w:r>
              <w:rPr>
                <w:spacing w:val="-8"/>
                <w:sz w:val="21"/>
              </w:rPr>
              <w:t> 含申购</w:t>
            </w:r>
          </w:p>
          <w:p>
            <w:pPr>
              <w:pStyle w:val="TableParagraph"/>
              <w:spacing w:before="139"/>
              <w:ind w:left="107"/>
              <w:rPr>
                <w:sz w:val="21"/>
              </w:rPr>
            </w:pPr>
            <w:r>
              <w:rPr>
                <w:sz w:val="21"/>
              </w:rPr>
              <w:t>费）</w:t>
            </w:r>
          </w:p>
        </w:tc>
        <w:tc>
          <w:tcPr>
            <w:tcW w:w="3150" w:type="dxa"/>
          </w:tcPr>
          <w:p>
            <w:pPr>
              <w:pStyle w:val="TableParagraph"/>
              <w:spacing w:before="3"/>
              <w:ind w:left="527"/>
              <w:rPr>
                <w:sz w:val="21"/>
              </w:rPr>
            </w:pPr>
            <w:r>
              <w:rPr>
                <w:sz w:val="21"/>
              </w:rPr>
              <w:t>申购费率</w:t>
            </w:r>
          </w:p>
        </w:tc>
      </w:tr>
      <w:tr>
        <w:trPr>
          <w:trHeight w:val="408" w:hRule="atLeast"/>
        </w:trPr>
        <w:tc>
          <w:tcPr>
            <w:tcW w:w="3260" w:type="dxa"/>
          </w:tcPr>
          <w:p>
            <w:pPr>
              <w:pStyle w:val="TableParagraph"/>
              <w:spacing w:before="3"/>
              <w:ind w:left="527"/>
              <w:rPr>
                <w:sz w:val="21"/>
              </w:rPr>
            </w:pPr>
            <w:r>
              <w:rPr>
                <w:sz w:val="21"/>
              </w:rPr>
              <w:t>M≥1000 万</w:t>
            </w:r>
          </w:p>
        </w:tc>
        <w:tc>
          <w:tcPr>
            <w:tcW w:w="3150" w:type="dxa"/>
          </w:tcPr>
          <w:p>
            <w:pPr>
              <w:pStyle w:val="TableParagraph"/>
              <w:spacing w:before="3"/>
              <w:ind w:left="527"/>
              <w:rPr>
                <w:sz w:val="21"/>
              </w:rPr>
            </w:pPr>
            <w:r>
              <w:rPr>
                <w:sz w:val="21"/>
              </w:rPr>
              <w:t>按笔收取，1000 元/笔</w:t>
            </w:r>
          </w:p>
        </w:tc>
      </w:tr>
      <w:tr>
        <w:trPr>
          <w:trHeight w:val="408" w:hRule="atLeast"/>
        </w:trPr>
        <w:tc>
          <w:tcPr>
            <w:tcW w:w="3260" w:type="dxa"/>
          </w:tcPr>
          <w:p>
            <w:pPr>
              <w:pStyle w:val="TableParagraph"/>
              <w:spacing w:before="3"/>
              <w:ind w:left="527"/>
              <w:rPr>
                <w:sz w:val="21"/>
              </w:rPr>
            </w:pPr>
            <w:r>
              <w:rPr>
                <w:sz w:val="21"/>
              </w:rPr>
              <w:t>500 万≤M＜1000 万</w:t>
            </w:r>
          </w:p>
        </w:tc>
        <w:tc>
          <w:tcPr>
            <w:tcW w:w="3150" w:type="dxa"/>
          </w:tcPr>
          <w:p>
            <w:pPr>
              <w:pStyle w:val="TableParagraph"/>
              <w:spacing w:before="3"/>
              <w:ind w:left="527"/>
              <w:rPr>
                <w:sz w:val="21"/>
              </w:rPr>
            </w:pPr>
            <w:r>
              <w:rPr>
                <w:sz w:val="21"/>
              </w:rPr>
              <w:t>0.3%</w:t>
            </w:r>
          </w:p>
        </w:tc>
      </w:tr>
      <w:tr>
        <w:trPr>
          <w:trHeight w:val="408" w:hRule="atLeast"/>
        </w:trPr>
        <w:tc>
          <w:tcPr>
            <w:tcW w:w="3260" w:type="dxa"/>
          </w:tcPr>
          <w:p>
            <w:pPr>
              <w:pStyle w:val="TableParagraph"/>
              <w:spacing w:before="3"/>
              <w:ind w:left="527"/>
              <w:rPr>
                <w:sz w:val="21"/>
              </w:rPr>
            </w:pPr>
            <w:r>
              <w:rPr>
                <w:sz w:val="21"/>
              </w:rPr>
              <w:t>100 万≤M＜500 万</w:t>
            </w:r>
          </w:p>
        </w:tc>
        <w:tc>
          <w:tcPr>
            <w:tcW w:w="3150" w:type="dxa"/>
          </w:tcPr>
          <w:p>
            <w:pPr>
              <w:pStyle w:val="TableParagraph"/>
              <w:spacing w:before="3"/>
              <w:ind w:left="527"/>
              <w:rPr>
                <w:sz w:val="21"/>
              </w:rPr>
            </w:pPr>
            <w:r>
              <w:rPr>
                <w:sz w:val="21"/>
              </w:rPr>
              <w:t>1.2%</w:t>
            </w:r>
          </w:p>
        </w:tc>
      </w:tr>
    </w:tbl>
    <w:p>
      <w:pPr>
        <w:spacing w:after="0"/>
        <w:rPr>
          <w:sz w:val="21"/>
        </w:rPr>
        <w:sectPr>
          <w:pgSz w:w="11910" w:h="16840"/>
          <w:pgMar w:header="0" w:footer="1172" w:top="1580" w:bottom="1440" w:left="1520" w:right="360"/>
        </w:sectPr>
      </w:pPr>
    </w:p>
    <w:p>
      <w:pPr>
        <w:pStyle w:val="BodyText"/>
        <w:ind w:left="0"/>
        <w:rPr>
          <w:sz w:val="8"/>
        </w:rPr>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3150"/>
      </w:tblGrid>
      <w:tr>
        <w:trPr>
          <w:trHeight w:val="408" w:hRule="atLeast"/>
        </w:trPr>
        <w:tc>
          <w:tcPr>
            <w:tcW w:w="3260" w:type="dxa"/>
          </w:tcPr>
          <w:p>
            <w:pPr>
              <w:pStyle w:val="TableParagraph"/>
              <w:spacing w:before="3"/>
              <w:ind w:left="527"/>
              <w:rPr>
                <w:sz w:val="21"/>
              </w:rPr>
            </w:pPr>
            <w:r>
              <w:rPr>
                <w:sz w:val="21"/>
              </w:rPr>
              <w:t>M＜100 万</w:t>
            </w:r>
          </w:p>
        </w:tc>
        <w:tc>
          <w:tcPr>
            <w:tcW w:w="3150" w:type="dxa"/>
          </w:tcPr>
          <w:p>
            <w:pPr>
              <w:pStyle w:val="TableParagraph"/>
              <w:spacing w:before="3"/>
              <w:ind w:left="527"/>
              <w:rPr>
                <w:sz w:val="21"/>
              </w:rPr>
            </w:pPr>
            <w:r>
              <w:rPr>
                <w:sz w:val="21"/>
              </w:rPr>
              <w:t>1.5%</w:t>
            </w:r>
          </w:p>
        </w:tc>
      </w:tr>
    </w:tbl>
    <w:p>
      <w:pPr>
        <w:pStyle w:val="BodyText"/>
        <w:spacing w:before="3"/>
        <w:ind w:left="816"/>
      </w:pPr>
      <w:r>
        <w:rPr/>
        <w:t>本基金的申购费由申购人承担，不计入基金财产。</w:t>
      </w:r>
    </w:p>
    <w:p>
      <w:pPr>
        <w:pStyle w:val="BodyText"/>
        <w:spacing w:before="139"/>
        <w:ind w:left="816"/>
      </w:pPr>
      <w:r>
        <w:rPr/>
        <w:t>（2）C 类基金份额不收取申购费。</w:t>
      </w:r>
    </w:p>
    <w:p>
      <w:pPr>
        <w:pStyle w:val="BodyText"/>
        <w:spacing w:before="140"/>
        <w:ind w:left="816"/>
      </w:pPr>
      <w:r>
        <w:rPr/>
        <w:t>2、赎回费率:</w:t>
      </w:r>
    </w:p>
    <w:p>
      <w:pPr>
        <w:pStyle w:val="BodyText"/>
        <w:spacing w:before="139"/>
        <w:ind w:left="816"/>
      </w:pPr>
      <w:r>
        <w:rPr/>
        <w:t>（1）A 类基金份额</w:t>
      </w:r>
    </w:p>
    <w:p>
      <w:pPr>
        <w:pStyle w:val="BodyText"/>
        <w:spacing w:before="8"/>
        <w:ind w:left="0"/>
        <w:rPr>
          <w:sz w:val="10"/>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5"/>
        <w:gridCol w:w="3150"/>
      </w:tblGrid>
      <w:tr>
        <w:trPr>
          <w:trHeight w:val="408" w:hRule="atLeast"/>
        </w:trPr>
        <w:tc>
          <w:tcPr>
            <w:tcW w:w="3255" w:type="dxa"/>
          </w:tcPr>
          <w:p>
            <w:pPr>
              <w:pStyle w:val="TableParagraph"/>
              <w:spacing w:before="3"/>
              <w:ind w:left="977" w:right="967"/>
              <w:jc w:val="center"/>
              <w:rPr>
                <w:sz w:val="21"/>
              </w:rPr>
            </w:pPr>
            <w:r>
              <w:rPr>
                <w:sz w:val="21"/>
              </w:rPr>
              <w:t>持有期（天）</w:t>
            </w:r>
          </w:p>
        </w:tc>
        <w:tc>
          <w:tcPr>
            <w:tcW w:w="3150" w:type="dxa"/>
          </w:tcPr>
          <w:p>
            <w:pPr>
              <w:pStyle w:val="TableParagraph"/>
              <w:spacing w:before="3"/>
              <w:ind w:left="1134" w:right="1125"/>
              <w:jc w:val="center"/>
              <w:rPr>
                <w:sz w:val="21"/>
              </w:rPr>
            </w:pPr>
            <w:r>
              <w:rPr>
                <w:sz w:val="21"/>
              </w:rPr>
              <w:t>赎回费率</w:t>
            </w:r>
          </w:p>
        </w:tc>
      </w:tr>
      <w:tr>
        <w:trPr>
          <w:trHeight w:val="408" w:hRule="atLeast"/>
        </w:trPr>
        <w:tc>
          <w:tcPr>
            <w:tcW w:w="3255" w:type="dxa"/>
          </w:tcPr>
          <w:p>
            <w:pPr>
              <w:pStyle w:val="TableParagraph"/>
              <w:spacing w:before="3"/>
              <w:ind w:left="976" w:right="967"/>
              <w:jc w:val="center"/>
              <w:rPr>
                <w:sz w:val="21"/>
              </w:rPr>
            </w:pPr>
            <w:r>
              <w:rPr>
                <w:sz w:val="21"/>
              </w:rPr>
              <w:t>0-6</w:t>
            </w:r>
          </w:p>
        </w:tc>
        <w:tc>
          <w:tcPr>
            <w:tcW w:w="3150" w:type="dxa"/>
          </w:tcPr>
          <w:p>
            <w:pPr>
              <w:pStyle w:val="TableParagraph"/>
              <w:spacing w:before="3"/>
              <w:ind w:left="1134" w:right="1125"/>
              <w:jc w:val="center"/>
              <w:rPr>
                <w:sz w:val="21"/>
              </w:rPr>
            </w:pPr>
            <w:r>
              <w:rPr>
                <w:sz w:val="21"/>
              </w:rPr>
              <w:t>1.5%</w:t>
            </w:r>
          </w:p>
        </w:tc>
      </w:tr>
      <w:tr>
        <w:trPr>
          <w:trHeight w:val="408" w:hRule="atLeast"/>
        </w:trPr>
        <w:tc>
          <w:tcPr>
            <w:tcW w:w="3255" w:type="dxa"/>
          </w:tcPr>
          <w:p>
            <w:pPr>
              <w:pStyle w:val="TableParagraph"/>
              <w:spacing w:before="3"/>
              <w:ind w:left="976" w:right="967"/>
              <w:jc w:val="center"/>
              <w:rPr>
                <w:sz w:val="21"/>
              </w:rPr>
            </w:pPr>
            <w:r>
              <w:rPr>
                <w:sz w:val="21"/>
              </w:rPr>
              <w:t>7-364</w:t>
            </w:r>
          </w:p>
        </w:tc>
        <w:tc>
          <w:tcPr>
            <w:tcW w:w="3150" w:type="dxa"/>
          </w:tcPr>
          <w:p>
            <w:pPr>
              <w:pStyle w:val="TableParagraph"/>
              <w:spacing w:before="3"/>
              <w:ind w:left="1134" w:right="1125"/>
              <w:jc w:val="center"/>
              <w:rPr>
                <w:sz w:val="21"/>
              </w:rPr>
            </w:pPr>
            <w:r>
              <w:rPr>
                <w:sz w:val="21"/>
              </w:rPr>
              <w:t>0.50%</w:t>
            </w:r>
          </w:p>
        </w:tc>
      </w:tr>
      <w:tr>
        <w:trPr>
          <w:trHeight w:val="408" w:hRule="atLeast"/>
        </w:trPr>
        <w:tc>
          <w:tcPr>
            <w:tcW w:w="3255" w:type="dxa"/>
          </w:tcPr>
          <w:p>
            <w:pPr>
              <w:pStyle w:val="TableParagraph"/>
              <w:spacing w:before="3"/>
              <w:ind w:left="976" w:right="967"/>
              <w:jc w:val="center"/>
              <w:rPr>
                <w:sz w:val="21"/>
              </w:rPr>
            </w:pPr>
            <w:r>
              <w:rPr>
                <w:sz w:val="21"/>
              </w:rPr>
              <w:t>365-729</w:t>
            </w:r>
          </w:p>
        </w:tc>
        <w:tc>
          <w:tcPr>
            <w:tcW w:w="3150" w:type="dxa"/>
          </w:tcPr>
          <w:p>
            <w:pPr>
              <w:pStyle w:val="TableParagraph"/>
              <w:spacing w:before="3"/>
              <w:ind w:left="1134" w:right="1125"/>
              <w:jc w:val="center"/>
              <w:rPr>
                <w:sz w:val="21"/>
              </w:rPr>
            </w:pPr>
            <w:r>
              <w:rPr>
                <w:sz w:val="21"/>
              </w:rPr>
              <w:t>0.25%</w:t>
            </w:r>
          </w:p>
        </w:tc>
      </w:tr>
      <w:tr>
        <w:trPr>
          <w:trHeight w:val="408" w:hRule="atLeast"/>
        </w:trPr>
        <w:tc>
          <w:tcPr>
            <w:tcW w:w="3255" w:type="dxa"/>
          </w:tcPr>
          <w:p>
            <w:pPr>
              <w:pStyle w:val="TableParagraph"/>
              <w:spacing w:before="3"/>
              <w:ind w:left="976" w:right="967"/>
              <w:jc w:val="center"/>
              <w:rPr>
                <w:sz w:val="21"/>
              </w:rPr>
            </w:pPr>
            <w:r>
              <w:rPr>
                <w:sz w:val="21"/>
              </w:rPr>
              <w:t>730 及以上</w:t>
            </w:r>
          </w:p>
        </w:tc>
        <w:tc>
          <w:tcPr>
            <w:tcW w:w="3150" w:type="dxa"/>
          </w:tcPr>
          <w:p>
            <w:pPr>
              <w:pStyle w:val="TableParagraph"/>
              <w:spacing w:before="3"/>
              <w:ind w:left="1134" w:right="1125"/>
              <w:jc w:val="center"/>
              <w:rPr>
                <w:sz w:val="21"/>
              </w:rPr>
            </w:pPr>
            <w:r>
              <w:rPr>
                <w:sz w:val="21"/>
              </w:rPr>
              <w:t>0.00%</w:t>
            </w:r>
          </w:p>
        </w:tc>
      </w:tr>
    </w:tbl>
    <w:p>
      <w:pPr>
        <w:pStyle w:val="BodyText"/>
        <w:spacing w:before="3"/>
        <w:ind w:left="728"/>
      </w:pPr>
      <w:r>
        <w:rPr/>
        <w:t>（2）C 类基金份额</w:t>
      </w:r>
    </w:p>
    <w:p>
      <w:pPr>
        <w:pStyle w:val="BodyText"/>
        <w:spacing w:before="8"/>
        <w:ind w:left="0"/>
        <w:rPr>
          <w:sz w:val="10"/>
        </w:rPr>
      </w:pPr>
    </w:p>
    <w:tbl>
      <w:tblPr>
        <w:tblW w:w="0" w:type="auto"/>
        <w:jc w:val="left"/>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3118"/>
      </w:tblGrid>
      <w:tr>
        <w:trPr>
          <w:trHeight w:val="408" w:hRule="atLeast"/>
        </w:trPr>
        <w:tc>
          <w:tcPr>
            <w:tcW w:w="3260" w:type="dxa"/>
          </w:tcPr>
          <w:p>
            <w:pPr>
              <w:pStyle w:val="TableParagraph"/>
              <w:spacing w:before="3"/>
              <w:ind w:left="979" w:right="970"/>
              <w:jc w:val="center"/>
              <w:rPr>
                <w:sz w:val="21"/>
              </w:rPr>
            </w:pPr>
            <w:r>
              <w:rPr>
                <w:sz w:val="21"/>
              </w:rPr>
              <w:t>持有时间(天)</w:t>
            </w:r>
          </w:p>
        </w:tc>
        <w:tc>
          <w:tcPr>
            <w:tcW w:w="3118" w:type="dxa"/>
          </w:tcPr>
          <w:p>
            <w:pPr>
              <w:pStyle w:val="TableParagraph"/>
              <w:spacing w:before="3"/>
              <w:ind w:left="488" w:right="479"/>
              <w:jc w:val="center"/>
              <w:rPr>
                <w:sz w:val="21"/>
              </w:rPr>
            </w:pPr>
            <w:r>
              <w:rPr>
                <w:sz w:val="21"/>
              </w:rPr>
              <w:t>C 类基金份额赎回费率</w:t>
            </w:r>
          </w:p>
        </w:tc>
      </w:tr>
      <w:tr>
        <w:trPr>
          <w:trHeight w:val="408" w:hRule="atLeast"/>
        </w:trPr>
        <w:tc>
          <w:tcPr>
            <w:tcW w:w="3260" w:type="dxa"/>
          </w:tcPr>
          <w:p>
            <w:pPr>
              <w:pStyle w:val="TableParagraph"/>
              <w:spacing w:before="3"/>
              <w:ind w:left="979" w:right="970"/>
              <w:jc w:val="center"/>
              <w:rPr>
                <w:sz w:val="21"/>
              </w:rPr>
            </w:pPr>
            <w:r>
              <w:rPr>
                <w:sz w:val="21"/>
              </w:rPr>
              <w:t>0-6</w:t>
            </w:r>
          </w:p>
        </w:tc>
        <w:tc>
          <w:tcPr>
            <w:tcW w:w="3118" w:type="dxa"/>
          </w:tcPr>
          <w:p>
            <w:pPr>
              <w:pStyle w:val="TableParagraph"/>
              <w:spacing w:before="3"/>
              <w:ind w:left="488" w:right="479"/>
              <w:jc w:val="center"/>
              <w:rPr>
                <w:sz w:val="21"/>
              </w:rPr>
            </w:pPr>
            <w:r>
              <w:rPr>
                <w:sz w:val="21"/>
              </w:rPr>
              <w:t>1.5%</w:t>
            </w:r>
          </w:p>
        </w:tc>
      </w:tr>
      <w:tr>
        <w:trPr>
          <w:trHeight w:val="408" w:hRule="atLeast"/>
        </w:trPr>
        <w:tc>
          <w:tcPr>
            <w:tcW w:w="3260" w:type="dxa"/>
          </w:tcPr>
          <w:p>
            <w:pPr>
              <w:pStyle w:val="TableParagraph"/>
              <w:spacing w:before="3"/>
              <w:ind w:left="979" w:right="970"/>
              <w:jc w:val="center"/>
              <w:rPr>
                <w:sz w:val="21"/>
              </w:rPr>
            </w:pPr>
            <w:r>
              <w:rPr>
                <w:sz w:val="21"/>
              </w:rPr>
              <w:t>7 及以上</w:t>
            </w:r>
          </w:p>
        </w:tc>
        <w:tc>
          <w:tcPr>
            <w:tcW w:w="3118" w:type="dxa"/>
          </w:tcPr>
          <w:p>
            <w:pPr>
              <w:pStyle w:val="TableParagraph"/>
              <w:spacing w:before="3"/>
              <w:ind w:left="488" w:right="478"/>
              <w:jc w:val="center"/>
              <w:rPr>
                <w:sz w:val="21"/>
              </w:rPr>
            </w:pPr>
            <w:r>
              <w:rPr>
                <w:sz w:val="21"/>
              </w:rPr>
              <w:t>0%</w:t>
            </w:r>
          </w:p>
        </w:tc>
      </w:tr>
    </w:tbl>
    <w:p>
      <w:pPr>
        <w:pStyle w:val="BodyText"/>
        <w:spacing w:line="364" w:lineRule="auto" w:before="3"/>
        <w:ind w:left="293" w:right="936" w:firstLine="435"/>
        <w:jc w:val="both"/>
      </w:pPr>
      <w:r>
        <w:rPr/>
        <w:t>本基金的赎回费由赎回人承担，其中对持续持有期大于 7</w:t>
      </w:r>
      <w:r>
        <w:rPr>
          <w:spacing w:val="-25"/>
        </w:rPr>
        <w:t> 天</w:t>
      </w:r>
      <w:r>
        <w:rPr>
          <w:spacing w:val="4"/>
        </w:rPr>
        <w:t>（含）</w:t>
      </w:r>
      <w:r>
        <w:rPr>
          <w:spacing w:val="-24"/>
        </w:rPr>
        <w:t>的 </w:t>
      </w:r>
      <w:r>
        <w:rPr/>
        <w:t>A</w:t>
      </w:r>
      <w:r>
        <w:rPr>
          <w:spacing w:val="-4"/>
        </w:rPr>
        <w:t> 类基金份额的投资</w:t>
      </w:r>
      <w:r>
        <w:rPr>
          <w:spacing w:val="-10"/>
        </w:rPr>
        <w:t>者收取的赎回费的 </w:t>
      </w:r>
      <w:r>
        <w:rPr/>
        <w:t>25%</w:t>
      </w:r>
      <w:r>
        <w:rPr>
          <w:spacing w:val="-2"/>
        </w:rPr>
        <w:t>归入基金财产，其余用于支付注册登记费和其他必要的手续费，对 </w:t>
      </w:r>
      <w:r>
        <w:rPr/>
        <w:t>C</w:t>
      </w:r>
      <w:r>
        <w:rPr>
          <w:spacing w:val="-18"/>
        </w:rPr>
        <w:t> 类基</w:t>
      </w:r>
      <w:r>
        <w:rPr>
          <w:spacing w:val="1"/>
        </w:rPr>
        <w:t>金份额的投资者收取的赎回费全额计入基金财产。对持续持有期少于 </w:t>
      </w:r>
      <w:r>
        <w:rPr/>
        <w:t>7</w:t>
      </w:r>
      <w:r>
        <w:rPr>
          <w:spacing w:val="-25"/>
        </w:rPr>
        <w:t> 天</w:t>
      </w:r>
      <w:r>
        <w:rPr>
          <w:spacing w:val="4"/>
        </w:rPr>
        <w:t>（不含）</w:t>
      </w:r>
      <w:r>
        <w:rPr>
          <w:spacing w:val="-24"/>
        </w:rPr>
        <w:t>的 </w:t>
      </w:r>
      <w:r>
        <w:rPr/>
        <w:t>A</w:t>
      </w:r>
      <w:r>
        <w:rPr>
          <w:spacing w:val="-12"/>
        </w:rPr>
        <w:t> 类基金</w:t>
      </w:r>
      <w:r>
        <w:rPr>
          <w:spacing w:val="5"/>
        </w:rPr>
        <w:t>份额、</w:t>
      </w:r>
      <w:r>
        <w:rPr/>
        <w:t>C</w:t>
      </w:r>
      <w:r>
        <w:rPr>
          <w:spacing w:val="-6"/>
        </w:rPr>
        <w:t> 类基金份额的投资者收取的赎回费调整为 </w:t>
      </w:r>
      <w:r>
        <w:rPr/>
        <w:t>1.5%</w:t>
      </w:r>
      <w:r>
        <w:rPr>
          <w:spacing w:val="-2"/>
        </w:rPr>
        <w:t>，并将上述对持续持有期少于 </w:t>
      </w:r>
      <w:r>
        <w:rPr/>
        <w:t>7</w:t>
      </w:r>
      <w:r>
        <w:rPr>
          <w:spacing w:val="-24"/>
        </w:rPr>
        <w:t> 天</w:t>
      </w:r>
      <w:r>
        <w:rPr>
          <w:spacing w:val="5"/>
        </w:rPr>
        <w:t>（</w:t>
      </w:r>
      <w:r>
        <w:rPr>
          <w:spacing w:val="-11"/>
        </w:rPr>
        <w:t>不</w:t>
      </w:r>
      <w:r>
        <w:rPr/>
        <w:t>含）的投资者收取的赎回费全额计入基金财产。</w:t>
      </w:r>
    </w:p>
    <w:p>
      <w:pPr>
        <w:pStyle w:val="BodyText"/>
        <w:spacing w:line="267" w:lineRule="exact"/>
        <w:ind w:left="816"/>
      </w:pPr>
      <w:r>
        <w:rPr/>
        <w:t>3、转换费率:</w:t>
      </w:r>
    </w:p>
    <w:p>
      <w:pPr>
        <w:pStyle w:val="BodyText"/>
        <w:spacing w:line="364" w:lineRule="auto" w:before="139"/>
        <w:ind w:left="293" w:right="1121" w:firstLine="420"/>
        <w:jc w:val="both"/>
      </w:pPr>
      <w:r>
        <w:rPr/>
        <w:t>目前，基金管理人已开通了本基金与旗下部分开放式基金之间的转换业务，具体实施办法和转换费率详见相关公告。本基金的转换费用由投资者承担，基金转换费用由转出基金赎回费用和基金申购补差费用构成，其中转出基金赎回费按照各基金的基金合同、更新的招募说明书及最新的相关公告约定的比例归入基金财产，其余部分用于支付注册登记费等相关手续费，转换费用以人民币元为单位，计算结果按照四舍五入方法，保留小数点后两位。</w:t>
      </w:r>
    </w:p>
    <w:p>
      <w:pPr>
        <w:pStyle w:val="BodyText"/>
        <w:spacing w:line="364" w:lineRule="auto"/>
        <w:ind w:left="293" w:right="936" w:firstLine="420"/>
      </w:pPr>
      <w:r>
        <w:rPr/>
        <w:t>4、投资者通过本公司网上交易系统（</w:t>
      </w:r>
      <w:hyperlink r:id="rId8">
        <w:r>
          <w:rPr/>
          <w:t>www.efunds.com.cn</w:t>
        </w:r>
      </w:hyperlink>
      <w:r>
        <w:rPr/>
        <w:t>）进行申购、赎回和转换的交易费率，请具体参照我公司网站上的相关说明。</w:t>
      </w:r>
    </w:p>
    <w:p>
      <w:pPr>
        <w:pStyle w:val="BodyText"/>
        <w:spacing w:line="364" w:lineRule="auto"/>
        <w:ind w:left="293" w:right="1016" w:firstLine="420"/>
      </w:pPr>
      <w:r>
        <w:rPr/>
        <w:t>5、基金管理人可以在基金合同规定的范围内调整上述费率，上述费率如发生变更，基金管理人应最迟于新的费率实施前3个工作日在指定媒介公告。</w:t>
      </w:r>
    </w:p>
    <w:p>
      <w:pPr>
        <w:pStyle w:val="BodyText"/>
        <w:spacing w:line="364" w:lineRule="auto"/>
        <w:ind w:left="293" w:right="1016" w:firstLine="420"/>
      </w:pPr>
      <w:r>
        <w:rPr/>
        <w:t>6、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w:t>
      </w:r>
    </w:p>
    <w:p>
      <w:pPr>
        <w:spacing w:after="0" w:line="364" w:lineRule="auto"/>
        <w:sectPr>
          <w:pgSz w:w="11910" w:h="16840"/>
          <w:pgMar w:header="0" w:footer="1172" w:top="1580" w:bottom="1440" w:left="1520" w:right="360"/>
        </w:sectPr>
      </w:pPr>
    </w:p>
    <w:p>
      <w:pPr>
        <w:pStyle w:val="BodyText"/>
        <w:spacing w:before="106"/>
        <w:ind w:left="293"/>
      </w:pPr>
      <w:r>
        <w:rPr/>
        <w:t>动。</w:t>
      </w:r>
    </w:p>
    <w:p>
      <w:pPr>
        <w:pStyle w:val="Heading2"/>
        <w:spacing w:before="140"/>
      </w:pPr>
      <w:bookmarkStart w:name="_bookmark62" w:id="63"/>
      <w:bookmarkEnd w:id="63"/>
      <w:r>
        <w:rPr/>
      </w:r>
      <w:r>
        <w:rPr/>
        <w:t>（三）基金的税收</w:t>
      </w:r>
    </w:p>
    <w:p>
      <w:pPr>
        <w:pStyle w:val="BodyText"/>
        <w:spacing w:before="185"/>
      </w:pPr>
      <w:r>
        <w:rPr/>
        <w:t>本基金运作过程中涉及的各纳税主体，其纳税义务按国家税收法律、法规执行。</w:t>
      </w:r>
    </w:p>
    <w:p>
      <w:pPr>
        <w:spacing w:after="0"/>
        <w:sectPr>
          <w:pgSz w:w="11910" w:h="16840"/>
          <w:pgMar w:header="0" w:footer="1172" w:top="1580" w:bottom="1440" w:left="1520" w:right="360"/>
        </w:sectPr>
      </w:pPr>
    </w:p>
    <w:p>
      <w:pPr>
        <w:pStyle w:val="Heading1"/>
        <w:ind w:left="3144"/>
      </w:pPr>
      <w:bookmarkStart w:name="_bookmark63" w:id="64"/>
      <w:bookmarkEnd w:id="64"/>
      <w:r>
        <w:rPr>
          <w:b w:val="0"/>
        </w:rPr>
      </w:r>
      <w:r>
        <w:rPr/>
        <w:t>十四、基金的会计与审计</w:t>
      </w:r>
    </w:p>
    <w:p>
      <w:pPr>
        <w:pStyle w:val="Heading2"/>
        <w:spacing w:before="118"/>
      </w:pPr>
      <w:bookmarkStart w:name="_bookmark64" w:id="65"/>
      <w:bookmarkEnd w:id="65"/>
      <w:r>
        <w:rPr/>
      </w:r>
      <w:r>
        <w:rPr/>
        <w:t>（一）基金会计政策</w:t>
      </w:r>
    </w:p>
    <w:p>
      <w:pPr>
        <w:pStyle w:val="BodyText"/>
        <w:spacing w:before="11"/>
        <w:ind w:left="0"/>
        <w:rPr>
          <w:sz w:val="8"/>
        </w:rPr>
      </w:pPr>
    </w:p>
    <w:p>
      <w:pPr>
        <w:pStyle w:val="BodyText"/>
        <w:spacing w:before="71"/>
      </w:pPr>
      <w:r>
        <w:rPr/>
        <w:t>1、基金管理人为本基金的基金会计责任方；</w:t>
      </w:r>
    </w:p>
    <w:p>
      <w:pPr>
        <w:pStyle w:val="BodyText"/>
        <w:spacing w:before="139"/>
      </w:pPr>
      <w:r>
        <w:rPr/>
        <w:t>2、基金的会计年度为公历每年 1 月 1 日至 12 月 31 日；</w:t>
      </w:r>
    </w:p>
    <w:p>
      <w:pPr>
        <w:pStyle w:val="BodyText"/>
        <w:spacing w:before="140"/>
      </w:pPr>
      <w:r>
        <w:rPr/>
        <w:t>3、基金核算以人民币为记帐本位币，记帐单位是人民币元；</w:t>
      </w:r>
    </w:p>
    <w:p>
      <w:pPr>
        <w:pStyle w:val="BodyText"/>
        <w:spacing w:before="139"/>
      </w:pPr>
      <w:r>
        <w:rPr/>
        <w:t>4、会计制度执行国家有关的会计制度；</w:t>
      </w:r>
    </w:p>
    <w:p>
      <w:pPr>
        <w:pStyle w:val="BodyText"/>
        <w:spacing w:before="140"/>
      </w:pPr>
      <w:r>
        <w:rPr/>
        <w:t>5、本基金独立建帐、独立核算；</w:t>
      </w:r>
    </w:p>
    <w:p>
      <w:pPr>
        <w:pStyle w:val="BodyText"/>
        <w:spacing w:line="364" w:lineRule="auto" w:before="139"/>
        <w:ind w:left="293" w:right="936" w:firstLine="420"/>
      </w:pPr>
      <w:r>
        <w:rPr/>
        <w:t>6、基金管理人及基金托管人各自保留完整的会计帐目、凭证并进行日常的会计核算，按照有关规定编制基金会计报表；</w:t>
      </w:r>
    </w:p>
    <w:p>
      <w:pPr>
        <w:pStyle w:val="BodyText"/>
        <w:spacing w:line="364" w:lineRule="auto"/>
        <w:ind w:left="293" w:right="936" w:firstLine="420"/>
      </w:pPr>
      <w:r>
        <w:rPr/>
        <w:t>7、基金托管人每月与基金管理人就基金的会计核算、报表编制等进行核对并以书面方式确认。</w:t>
      </w:r>
    </w:p>
    <w:p>
      <w:pPr>
        <w:pStyle w:val="Heading2"/>
      </w:pPr>
      <w:bookmarkStart w:name="_bookmark65" w:id="66"/>
      <w:bookmarkEnd w:id="66"/>
      <w:r>
        <w:rPr/>
      </w:r>
      <w:r>
        <w:rPr/>
        <w:t>（二）基金的审计</w:t>
      </w:r>
    </w:p>
    <w:p>
      <w:pPr>
        <w:pStyle w:val="BodyText"/>
        <w:spacing w:line="364" w:lineRule="auto" w:before="184"/>
        <w:ind w:left="293" w:right="936" w:firstLine="420"/>
      </w:pPr>
      <w:r>
        <w:rPr/>
        <w:t>1、本基金管理人聘请安永华明会计师事务所及其注册会计师对基金年度财务报表进行审计；</w:t>
      </w:r>
    </w:p>
    <w:p>
      <w:pPr>
        <w:pStyle w:val="BodyText"/>
        <w:spacing w:line="268" w:lineRule="exact"/>
      </w:pPr>
      <w:r>
        <w:rPr/>
        <w:t>2、会计师事务所更换经办注册会计师时，须事先征得基金管理人同意；</w:t>
      </w:r>
    </w:p>
    <w:p>
      <w:pPr>
        <w:pStyle w:val="BodyText"/>
        <w:spacing w:line="364" w:lineRule="auto" w:before="140"/>
        <w:ind w:left="293" w:right="936" w:firstLine="420"/>
      </w:pPr>
      <w:r>
        <w:rPr/>
        <w:t>3、基金管理人(或基金托管人)认为有充足理由更换会计师事务所，经基金托管人（或基金管理人）同意后可以更换。基金管理人应当在更换会计师事务所后在 2 日内在指定媒介公告。</w:t>
      </w:r>
    </w:p>
    <w:p>
      <w:pPr>
        <w:spacing w:after="0" w:line="364" w:lineRule="auto"/>
        <w:sectPr>
          <w:pgSz w:w="11910" w:h="16840"/>
          <w:pgMar w:header="0" w:footer="1172" w:top="1580" w:bottom="1440" w:left="1520" w:right="360"/>
        </w:sectPr>
      </w:pPr>
    </w:p>
    <w:p>
      <w:pPr>
        <w:pStyle w:val="Heading1"/>
        <w:ind w:left="3285"/>
      </w:pPr>
      <w:bookmarkStart w:name="_bookmark66" w:id="67"/>
      <w:bookmarkEnd w:id="67"/>
      <w:r>
        <w:rPr>
          <w:b w:val="0"/>
        </w:rPr>
      </w:r>
      <w:r>
        <w:rPr/>
        <w:t>十五、基金的信息披露</w:t>
      </w:r>
    </w:p>
    <w:p>
      <w:pPr>
        <w:pStyle w:val="Heading2"/>
        <w:spacing w:before="118"/>
      </w:pPr>
      <w:bookmarkStart w:name="_bookmark67" w:id="68"/>
      <w:bookmarkEnd w:id="68"/>
      <w:r>
        <w:rPr/>
      </w:r>
      <w:r>
        <w:rPr/>
        <w:t>（一）信息披露的形式</w:t>
      </w:r>
    </w:p>
    <w:p>
      <w:pPr>
        <w:pStyle w:val="BodyText"/>
        <w:spacing w:before="11"/>
        <w:ind w:left="0"/>
        <w:rPr>
          <w:sz w:val="8"/>
        </w:rPr>
      </w:pPr>
    </w:p>
    <w:p>
      <w:pPr>
        <w:pStyle w:val="BodyText"/>
        <w:spacing w:line="364" w:lineRule="auto" w:before="71"/>
        <w:ind w:left="293" w:right="935" w:firstLine="420"/>
        <w:jc w:val="both"/>
      </w:pPr>
      <w:r>
        <w:rPr>
          <w:spacing w:val="-15"/>
        </w:rPr>
        <w:t>本基金的信息披露严格按照《基金法》、《公开募集证券投资基金信息披露管理办法》、《证</w:t>
      </w:r>
      <w:r>
        <w:rPr>
          <w:spacing w:val="-25"/>
        </w:rPr>
        <w:t>券投资基金信息披露内容和格式准则》、《证券投资基金信息披露编报规则》、基金合同及其它有关规定进行。本基金的信息披露事项须在中国证监会指定的媒介上公告。</w:t>
      </w:r>
    </w:p>
    <w:p>
      <w:pPr>
        <w:pStyle w:val="Heading2"/>
        <w:spacing w:line="358" w:lineRule="exact"/>
      </w:pPr>
      <w:bookmarkStart w:name="_bookmark68" w:id="69"/>
      <w:bookmarkEnd w:id="69"/>
      <w:r>
        <w:rPr/>
      </w:r>
      <w:r>
        <w:rPr/>
        <w:t>（二）信息披露的种类、披露时间和披露形式</w:t>
      </w:r>
    </w:p>
    <w:p>
      <w:pPr>
        <w:pStyle w:val="Heading5"/>
        <w:spacing w:line="240" w:lineRule="auto" w:before="118"/>
      </w:pPr>
      <w:r>
        <w:rPr/>
        <w:t>1、招募说明书、基金产品资料概要</w:t>
      </w:r>
    </w:p>
    <w:p>
      <w:pPr>
        <w:pStyle w:val="BodyText"/>
        <w:spacing w:before="88"/>
      </w:pPr>
      <w:r>
        <w:rPr/>
        <w:t>本基金管理人依据《基金法》及相关法律法规、实施准则编制并公告《招募说明书》。</w:t>
      </w:r>
    </w:p>
    <w:p>
      <w:pPr>
        <w:pStyle w:val="BodyText"/>
        <w:spacing w:line="364" w:lineRule="auto" w:before="140"/>
        <w:ind w:left="293" w:right="936" w:firstLine="420"/>
        <w:jc w:val="both"/>
      </w:pPr>
      <w:r>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pStyle w:val="BodyText"/>
        <w:spacing w:line="268" w:lineRule="exact"/>
      </w:pPr>
      <w:r>
        <w:rPr/>
        <w:t>基金产品资料概要是基金招募说明书的摘要文件，用于向投资者提供简明的基金概要信息。</w:t>
      </w:r>
    </w:p>
    <w:p>
      <w:pPr>
        <w:pStyle w:val="BodyText"/>
        <w:spacing w:line="364" w:lineRule="auto" w:before="139"/>
        <w:ind w:left="293" w:right="936"/>
        <w:jc w:val="both"/>
      </w:pPr>
      <w:r>
        <w:rPr/>
        <w:t>《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pStyle w:val="Heading5"/>
      </w:pPr>
      <w:r>
        <w:rPr/>
        <w:t>2、份额发售公告</w:t>
      </w:r>
    </w:p>
    <w:p>
      <w:pPr>
        <w:pStyle w:val="BodyText"/>
        <w:spacing w:line="364" w:lineRule="auto" w:before="89"/>
        <w:ind w:left="293" w:right="936" w:firstLine="420"/>
      </w:pPr>
      <w:r>
        <w:rPr/>
        <w:t>本基金管理人按照《基金法》及相关法律法规、实施准则的有关规定编制并发布份额发售公告。</w:t>
      </w:r>
    </w:p>
    <w:p>
      <w:pPr>
        <w:pStyle w:val="Heading5"/>
        <w:spacing w:line="319" w:lineRule="exact"/>
      </w:pPr>
      <w:r>
        <w:rPr/>
        <w:t>3、定期报告</w:t>
      </w:r>
    </w:p>
    <w:p>
      <w:pPr>
        <w:pStyle w:val="BodyText"/>
        <w:spacing w:line="364" w:lineRule="auto" w:before="88"/>
        <w:ind w:left="293" w:right="936" w:firstLine="422"/>
        <w:jc w:val="both"/>
      </w:pPr>
      <w:r>
        <w:rPr>
          <w:spacing w:val="-4"/>
        </w:rPr>
        <w:t>本基金定期报告由基金管理人和基金托管人按照《暂行办法》、《试点办法》和中国证监会</w:t>
      </w:r>
      <w:r>
        <w:rPr>
          <w:spacing w:val="3"/>
        </w:rPr>
        <w:t>颁布的有关证券投资基金信息披露内容与格式的相关文件进行的规定编制，包括季度报告、中期报告、年度报告、基金净值信息、招募说明书、基金产品资料概要，并在指定媒介公告。</w:t>
      </w:r>
    </w:p>
    <w:p>
      <w:pPr>
        <w:pStyle w:val="BodyText"/>
        <w:spacing w:line="364" w:lineRule="auto"/>
        <w:ind w:left="293" w:right="936" w:firstLine="422"/>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BodyText"/>
        <w:spacing w:line="364" w:lineRule="auto"/>
        <w:ind w:left="293" w:right="936" w:firstLine="422"/>
      </w:pPr>
      <w:r>
        <w:rPr/>
        <w:t>基金管理人应当在上半年结束之日起两个月内，编制完成基金中期报告，将中期报告登载在指定网站上，并将中期报告提示性公告登载在指定报刊上。</w:t>
      </w:r>
    </w:p>
    <w:p>
      <w:pPr>
        <w:pStyle w:val="BodyText"/>
        <w:spacing w:line="364" w:lineRule="auto"/>
        <w:ind w:left="293" w:right="898" w:firstLine="422"/>
      </w:pPr>
      <w:r>
        <w:rPr/>
        <w:t>基金管理人应当在季度结束之日起 15 个工作日内，编制完成基金季度报告，将季度报告登载在指定网站上，并将季度报告提示性公告登载在指定报刊上。</w:t>
      </w:r>
    </w:p>
    <w:p>
      <w:pPr>
        <w:spacing w:line="364" w:lineRule="auto" w:before="0"/>
        <w:ind w:left="293" w:right="936" w:firstLine="440"/>
        <w:jc w:val="left"/>
        <w:rPr>
          <w:sz w:val="22"/>
        </w:rPr>
      </w:pPr>
      <w:r>
        <w:rPr>
          <w:sz w:val="22"/>
        </w:rPr>
        <w:t>基金净值信息：《基金合同》生效后，在开始办理基金份额申购或者赎回前，基金管理人应当至少每周在指定网站披露一次基金份额净值和基金份额累计净值。在开始办理基</w:t>
      </w:r>
    </w:p>
    <w:p>
      <w:pPr>
        <w:spacing w:after="0" w:line="364" w:lineRule="auto"/>
        <w:jc w:val="left"/>
        <w:rPr>
          <w:sz w:val="22"/>
        </w:rPr>
        <w:sectPr>
          <w:pgSz w:w="11910" w:h="16840"/>
          <w:pgMar w:header="0" w:footer="1172" w:top="1580" w:bottom="1440" w:left="1520" w:right="360"/>
        </w:sectPr>
      </w:pPr>
    </w:p>
    <w:p>
      <w:pPr>
        <w:spacing w:line="364" w:lineRule="auto" w:before="106"/>
        <w:ind w:left="293" w:right="936" w:firstLine="0"/>
        <w:jc w:val="both"/>
        <w:rPr>
          <w:sz w:val="22"/>
        </w:rPr>
      </w:pPr>
      <w:r>
        <w:rPr>
          <w:sz w:val="22"/>
        </w:rPr>
        <w:t>金份额申购或赎回之后，基金管理人应当在不晚于每个开放日的次日，通过指定网站、基金销售机构网站或者营业网点披露开放日的基金份额净值和基金份额累计净值。基金管理人应当在不晚于半年度和年度最后一日的次日，在指定网站披露半年度和年度最后一日的基金份额净值和基金份额累计净值。</w:t>
      </w:r>
    </w:p>
    <w:p>
      <w:pPr>
        <w:spacing w:line="364" w:lineRule="auto" w:before="0"/>
        <w:ind w:left="293" w:right="935" w:firstLine="480"/>
        <w:jc w:val="both"/>
        <w:rPr>
          <w:sz w:val="24"/>
        </w:rPr>
      </w:pPr>
      <w:r>
        <w:rPr>
          <w:sz w:val="24"/>
        </w:rPr>
        <w:t>报告期内出现单一投资者持有基金份额比例达到或超过 20%的情形，基金管理人应当在季度报告、中期报告、年度报告等定期报告文件中披露该投资者的类别、报告期末持有份额及占比、报告期内持有份额变化情况及产品的特有风险，中国证监会认定的特殊情形除外。</w:t>
      </w:r>
    </w:p>
    <w:p>
      <w:pPr>
        <w:spacing w:line="364" w:lineRule="auto" w:before="0"/>
        <w:ind w:left="293" w:right="936" w:firstLine="480"/>
        <w:jc w:val="left"/>
        <w:rPr>
          <w:sz w:val="24"/>
        </w:rPr>
      </w:pPr>
      <w:r>
        <w:rPr>
          <w:sz w:val="24"/>
        </w:rPr>
        <w:t>基金管理人应当在基金年度报告和中期报告中披露基金组合资产情况及其流动性风险分析等。</w:t>
      </w:r>
    </w:p>
    <w:p>
      <w:pPr>
        <w:pStyle w:val="Heading5"/>
      </w:pPr>
      <w:r>
        <w:rPr/>
        <w:t>4、临时报告</w:t>
      </w:r>
    </w:p>
    <w:p>
      <w:pPr>
        <w:pStyle w:val="BodyText"/>
        <w:spacing w:line="364" w:lineRule="auto" w:before="85"/>
        <w:ind w:left="293" w:right="936" w:firstLine="420"/>
      </w:pPr>
      <w:r>
        <w:rPr/>
        <w:t>本基金发生重大事件，有关信息披露义务人应当在两日内编制临时报告书，并登载在指定报刊和指定网站上。</w:t>
      </w:r>
    </w:p>
    <w:p>
      <w:pPr>
        <w:pStyle w:val="ListParagraph"/>
        <w:numPr>
          <w:ilvl w:val="0"/>
          <w:numId w:val="32"/>
        </w:numPr>
        <w:tabs>
          <w:tab w:pos="1240" w:val="left" w:leader="none"/>
        </w:tabs>
        <w:spacing w:line="268" w:lineRule="exact" w:before="0" w:after="0"/>
        <w:ind w:left="1240" w:right="0" w:hanging="527"/>
        <w:jc w:val="left"/>
        <w:rPr>
          <w:sz w:val="21"/>
        </w:rPr>
      </w:pPr>
      <w:r>
        <w:rPr>
          <w:sz w:val="21"/>
        </w:rPr>
        <w:t>基金份额持有人大会的召开及决定的事项；</w:t>
      </w:r>
    </w:p>
    <w:p>
      <w:pPr>
        <w:pStyle w:val="ListParagraph"/>
        <w:numPr>
          <w:ilvl w:val="0"/>
          <w:numId w:val="32"/>
        </w:numPr>
        <w:tabs>
          <w:tab w:pos="1240" w:val="left" w:leader="none"/>
        </w:tabs>
        <w:spacing w:line="240" w:lineRule="auto" w:before="139" w:after="0"/>
        <w:ind w:left="1240" w:right="0" w:hanging="527"/>
        <w:jc w:val="left"/>
        <w:rPr>
          <w:sz w:val="21"/>
        </w:rPr>
      </w:pPr>
      <w:r>
        <w:rPr>
          <w:sz w:val="21"/>
        </w:rPr>
        <w:t>基金合同终止、基金清算；</w:t>
      </w:r>
    </w:p>
    <w:p>
      <w:pPr>
        <w:pStyle w:val="ListParagraph"/>
        <w:numPr>
          <w:ilvl w:val="0"/>
          <w:numId w:val="32"/>
        </w:numPr>
        <w:tabs>
          <w:tab w:pos="1240" w:val="left" w:leader="none"/>
        </w:tabs>
        <w:spacing w:line="240" w:lineRule="auto" w:before="140" w:after="0"/>
        <w:ind w:left="1240" w:right="0" w:hanging="527"/>
        <w:jc w:val="left"/>
        <w:rPr>
          <w:sz w:val="21"/>
        </w:rPr>
      </w:pPr>
      <w:r>
        <w:rPr>
          <w:sz w:val="21"/>
        </w:rPr>
        <w:t>转换基金运作方式、基金合并；</w:t>
      </w:r>
    </w:p>
    <w:p>
      <w:pPr>
        <w:pStyle w:val="ListParagraph"/>
        <w:numPr>
          <w:ilvl w:val="0"/>
          <w:numId w:val="32"/>
        </w:numPr>
        <w:tabs>
          <w:tab w:pos="1240" w:val="left" w:leader="none"/>
        </w:tabs>
        <w:spacing w:line="240" w:lineRule="auto" w:before="139" w:after="0"/>
        <w:ind w:left="1240" w:right="0" w:hanging="527"/>
        <w:jc w:val="left"/>
        <w:rPr>
          <w:sz w:val="21"/>
        </w:rPr>
      </w:pPr>
      <w:r>
        <w:rPr>
          <w:sz w:val="21"/>
        </w:rPr>
        <w:t>更换基金管理人、基金托管人、基金份额登记机构，基金改聘会计师事务所；</w:t>
      </w:r>
    </w:p>
    <w:p>
      <w:pPr>
        <w:pStyle w:val="ListParagraph"/>
        <w:numPr>
          <w:ilvl w:val="0"/>
          <w:numId w:val="32"/>
        </w:numPr>
        <w:tabs>
          <w:tab w:pos="1244" w:val="left" w:leader="none"/>
        </w:tabs>
        <w:spacing w:line="364" w:lineRule="auto" w:before="140" w:after="0"/>
        <w:ind w:left="293" w:right="936"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32"/>
        </w:numPr>
        <w:tabs>
          <w:tab w:pos="1240" w:val="left" w:leader="none"/>
        </w:tabs>
        <w:spacing w:line="268" w:lineRule="exact" w:before="0" w:after="0"/>
        <w:ind w:left="1240" w:right="0" w:hanging="527"/>
        <w:jc w:val="left"/>
        <w:rPr>
          <w:sz w:val="21"/>
        </w:rPr>
      </w:pPr>
      <w:r>
        <w:rPr>
          <w:sz w:val="21"/>
        </w:rPr>
        <w:t>基金管理人、基金托管人的法定名称、住所发生变更；</w:t>
      </w:r>
    </w:p>
    <w:p>
      <w:pPr>
        <w:pStyle w:val="ListParagraph"/>
        <w:numPr>
          <w:ilvl w:val="0"/>
          <w:numId w:val="32"/>
        </w:numPr>
        <w:tabs>
          <w:tab w:pos="1240" w:val="left" w:leader="none"/>
        </w:tabs>
        <w:spacing w:line="240" w:lineRule="auto" w:before="139" w:after="0"/>
        <w:ind w:left="1240" w:right="0" w:hanging="527"/>
        <w:jc w:val="left"/>
        <w:rPr>
          <w:sz w:val="21"/>
        </w:rPr>
      </w:pPr>
      <w:r>
        <w:rPr>
          <w:sz w:val="21"/>
        </w:rPr>
        <w:t>基金管理公司变更持有百分之五以上股权的股东、基金管理人的实际控制人变更；</w:t>
      </w:r>
    </w:p>
    <w:p>
      <w:pPr>
        <w:pStyle w:val="ListParagraph"/>
        <w:numPr>
          <w:ilvl w:val="0"/>
          <w:numId w:val="32"/>
        </w:numPr>
        <w:tabs>
          <w:tab w:pos="1240" w:val="left" w:leader="none"/>
        </w:tabs>
        <w:spacing w:line="240" w:lineRule="auto" w:before="140" w:after="0"/>
        <w:ind w:left="1240" w:right="0" w:hanging="527"/>
        <w:jc w:val="left"/>
        <w:rPr>
          <w:sz w:val="21"/>
        </w:rPr>
      </w:pPr>
      <w:r>
        <w:rPr>
          <w:sz w:val="21"/>
        </w:rPr>
        <w:t>基金募集期延长或提前结束募集；</w:t>
      </w:r>
    </w:p>
    <w:p>
      <w:pPr>
        <w:pStyle w:val="ListParagraph"/>
        <w:numPr>
          <w:ilvl w:val="0"/>
          <w:numId w:val="32"/>
        </w:numPr>
        <w:tabs>
          <w:tab w:pos="1244" w:val="left" w:leader="none"/>
        </w:tabs>
        <w:spacing w:line="364" w:lineRule="auto" w:before="139" w:after="0"/>
        <w:ind w:left="293" w:right="936" w:firstLine="420"/>
        <w:jc w:val="left"/>
        <w:rPr>
          <w:sz w:val="21"/>
        </w:rPr>
      </w:pPr>
      <w:r>
        <w:rPr>
          <w:sz w:val="21"/>
        </w:rPr>
        <w:t>基金管理人的高级管理人员、基金经理和基金托管人专门基金托管部门负责人发生变动；</w:t>
      </w:r>
    </w:p>
    <w:p>
      <w:pPr>
        <w:pStyle w:val="ListParagraph"/>
        <w:numPr>
          <w:ilvl w:val="0"/>
          <w:numId w:val="32"/>
        </w:numPr>
        <w:tabs>
          <w:tab w:pos="1349" w:val="left" w:leader="none"/>
        </w:tabs>
        <w:spacing w:line="364" w:lineRule="auto" w:before="0" w:after="0"/>
        <w:ind w:left="293" w:right="936" w:firstLine="420"/>
        <w:jc w:val="left"/>
        <w:rPr>
          <w:sz w:val="21"/>
        </w:rPr>
      </w:pPr>
      <w:r>
        <w:rPr>
          <w:spacing w:val="-2"/>
          <w:sz w:val="21"/>
        </w:rPr>
        <w:t>基金管理人的董事在最近 </w:t>
      </w:r>
      <w:r>
        <w:rPr>
          <w:sz w:val="21"/>
        </w:rPr>
        <w:t>12</w:t>
      </w:r>
      <w:r>
        <w:rPr>
          <w:spacing w:val="-5"/>
          <w:sz w:val="21"/>
        </w:rPr>
        <w:t> 个月内变更超过百分之五十，基金管理人、基金托管人</w:t>
      </w:r>
      <w:r>
        <w:rPr>
          <w:spacing w:val="-8"/>
          <w:sz w:val="21"/>
        </w:rPr>
        <w:t>专门基金托管部门的主要业务人员在最近 </w:t>
      </w:r>
      <w:r>
        <w:rPr>
          <w:sz w:val="21"/>
        </w:rPr>
        <w:t>12</w:t>
      </w:r>
      <w:r>
        <w:rPr>
          <w:spacing w:val="-8"/>
          <w:sz w:val="21"/>
        </w:rPr>
        <w:t> 个月内变动超过百分之三十；</w:t>
      </w:r>
    </w:p>
    <w:p>
      <w:pPr>
        <w:pStyle w:val="ListParagraph"/>
        <w:numPr>
          <w:ilvl w:val="0"/>
          <w:numId w:val="32"/>
        </w:numPr>
        <w:tabs>
          <w:tab w:pos="1345" w:val="left" w:leader="none"/>
        </w:tabs>
        <w:spacing w:line="268" w:lineRule="exact" w:before="0" w:after="0"/>
        <w:ind w:left="1345" w:right="0" w:hanging="632"/>
        <w:jc w:val="left"/>
        <w:rPr>
          <w:sz w:val="21"/>
        </w:rPr>
      </w:pPr>
      <w:r>
        <w:rPr>
          <w:sz w:val="21"/>
        </w:rPr>
        <w:t>涉及基金财产、基金管理业务、基金托管业务的诉讼或仲裁；</w:t>
      </w:r>
    </w:p>
    <w:p>
      <w:pPr>
        <w:pStyle w:val="ListParagraph"/>
        <w:numPr>
          <w:ilvl w:val="0"/>
          <w:numId w:val="32"/>
        </w:numPr>
        <w:tabs>
          <w:tab w:pos="1354" w:val="left" w:leader="none"/>
        </w:tabs>
        <w:spacing w:line="364" w:lineRule="auto" w:before="139" w:after="0"/>
        <w:ind w:left="293" w:right="936" w:firstLine="420"/>
        <w:jc w:val="both"/>
        <w:rPr>
          <w:sz w:val="21"/>
        </w:rPr>
      </w:pPr>
      <w:r>
        <w:rPr>
          <w:spacing w:val="3"/>
          <w:sz w:val="21"/>
        </w:rPr>
        <w:t>基金管理人或其高级管理人员、基金经理因基金管理业务相关行为受到重大行政处罚、刑事处罚，基金托管人或其专门基金托管部门负责人因基金托管业务相关行为受到重大行政处罚、刑事处罚；</w:t>
      </w:r>
    </w:p>
    <w:p>
      <w:pPr>
        <w:pStyle w:val="ListParagraph"/>
        <w:numPr>
          <w:ilvl w:val="0"/>
          <w:numId w:val="32"/>
        </w:numPr>
        <w:tabs>
          <w:tab w:pos="1354" w:val="left" w:leader="none"/>
        </w:tabs>
        <w:spacing w:line="364" w:lineRule="auto" w:before="0" w:after="0"/>
        <w:ind w:left="293" w:right="936" w:firstLine="420"/>
        <w:jc w:val="left"/>
        <w:rPr>
          <w:sz w:val="21"/>
        </w:rPr>
      </w:pPr>
      <w:r>
        <w:rPr>
          <w:spacing w:val="3"/>
          <w:sz w:val="21"/>
        </w:rPr>
        <w:t>基金管理人运用基金财产买卖基金管理人、基金托管人及其控股股东、实际控制人或者与其有重大利害关系的公司发行的证券或者承销期内承销的证券，或者从事其他重大关联</w:t>
      </w:r>
    </w:p>
    <w:p>
      <w:pPr>
        <w:spacing w:after="0" w:line="364" w:lineRule="auto"/>
        <w:jc w:val="left"/>
        <w:rPr>
          <w:sz w:val="21"/>
        </w:rPr>
        <w:sectPr>
          <w:pgSz w:w="11910" w:h="16840"/>
          <w:pgMar w:header="0" w:footer="1172" w:top="1580" w:bottom="1440" w:left="1520" w:right="360"/>
        </w:sectPr>
      </w:pPr>
    </w:p>
    <w:p>
      <w:pPr>
        <w:pStyle w:val="BodyText"/>
        <w:spacing w:before="106"/>
        <w:ind w:left="293"/>
      </w:pPr>
      <w:r>
        <w:rPr/>
        <w:t>交易事项，中国证监会另有规定的情形除外；</w:t>
      </w:r>
    </w:p>
    <w:p>
      <w:pPr>
        <w:pStyle w:val="ListParagraph"/>
        <w:numPr>
          <w:ilvl w:val="0"/>
          <w:numId w:val="32"/>
        </w:numPr>
        <w:tabs>
          <w:tab w:pos="1345" w:val="left" w:leader="none"/>
        </w:tabs>
        <w:spacing w:line="240" w:lineRule="auto" w:before="139" w:after="0"/>
        <w:ind w:left="1345" w:right="0" w:hanging="632"/>
        <w:jc w:val="left"/>
        <w:rPr>
          <w:sz w:val="21"/>
        </w:rPr>
      </w:pPr>
      <w:r>
        <w:rPr>
          <w:sz w:val="21"/>
        </w:rPr>
        <w:t>基金收益分配事项；</w:t>
      </w:r>
    </w:p>
    <w:p>
      <w:pPr>
        <w:pStyle w:val="ListParagraph"/>
        <w:numPr>
          <w:ilvl w:val="0"/>
          <w:numId w:val="32"/>
        </w:numPr>
        <w:tabs>
          <w:tab w:pos="1345" w:val="left" w:leader="none"/>
        </w:tabs>
        <w:spacing w:line="240" w:lineRule="auto" w:before="140" w:after="0"/>
        <w:ind w:left="1345" w:right="0" w:hanging="632"/>
        <w:jc w:val="left"/>
        <w:rPr>
          <w:sz w:val="21"/>
        </w:rPr>
      </w:pPr>
      <w:r>
        <w:rPr>
          <w:sz w:val="21"/>
        </w:rPr>
        <w:t>管理费、托管费、申购费、赎回费等费用计提标准、计提方式和费率发生变更；</w:t>
      </w:r>
    </w:p>
    <w:p>
      <w:pPr>
        <w:pStyle w:val="ListParagraph"/>
        <w:numPr>
          <w:ilvl w:val="0"/>
          <w:numId w:val="32"/>
        </w:numPr>
        <w:tabs>
          <w:tab w:pos="1345" w:val="left" w:leader="none"/>
        </w:tabs>
        <w:spacing w:line="240" w:lineRule="auto" w:before="139" w:after="0"/>
        <w:ind w:left="1345" w:right="0" w:hanging="632"/>
        <w:jc w:val="left"/>
        <w:rPr>
          <w:sz w:val="21"/>
        </w:rPr>
      </w:pPr>
      <w:r>
        <w:rPr>
          <w:sz w:val="21"/>
        </w:rPr>
        <w:t>基金份额净值计价错误达基金份额净值百分之零点五；</w:t>
      </w:r>
    </w:p>
    <w:p>
      <w:pPr>
        <w:pStyle w:val="ListParagraph"/>
        <w:numPr>
          <w:ilvl w:val="0"/>
          <w:numId w:val="32"/>
        </w:numPr>
        <w:tabs>
          <w:tab w:pos="1345" w:val="left" w:leader="none"/>
        </w:tabs>
        <w:spacing w:line="240" w:lineRule="auto" w:before="140" w:after="0"/>
        <w:ind w:left="1345" w:right="0" w:hanging="632"/>
        <w:jc w:val="left"/>
        <w:rPr>
          <w:sz w:val="21"/>
        </w:rPr>
      </w:pPr>
      <w:r>
        <w:rPr>
          <w:sz w:val="21"/>
        </w:rPr>
        <w:t>本基金开始办理申购、赎回；</w:t>
      </w:r>
    </w:p>
    <w:p>
      <w:pPr>
        <w:pStyle w:val="ListParagraph"/>
        <w:numPr>
          <w:ilvl w:val="0"/>
          <w:numId w:val="32"/>
        </w:numPr>
        <w:tabs>
          <w:tab w:pos="1345" w:val="left" w:leader="none"/>
        </w:tabs>
        <w:spacing w:line="240" w:lineRule="auto" w:before="139" w:after="0"/>
        <w:ind w:left="1345" w:right="0" w:hanging="632"/>
        <w:jc w:val="left"/>
        <w:rPr>
          <w:sz w:val="21"/>
        </w:rPr>
      </w:pPr>
      <w:r>
        <w:rPr>
          <w:sz w:val="21"/>
        </w:rPr>
        <w:t>本基金暂停接受申购、赎回申请或重新接受申购、赎回申请；</w:t>
      </w:r>
    </w:p>
    <w:p>
      <w:pPr>
        <w:pStyle w:val="ListParagraph"/>
        <w:numPr>
          <w:ilvl w:val="0"/>
          <w:numId w:val="32"/>
        </w:numPr>
        <w:tabs>
          <w:tab w:pos="1345" w:val="left" w:leader="none"/>
        </w:tabs>
        <w:spacing w:line="240" w:lineRule="auto" w:before="140" w:after="0"/>
        <w:ind w:left="1345" w:right="0" w:hanging="632"/>
        <w:jc w:val="left"/>
        <w:rPr>
          <w:sz w:val="21"/>
        </w:rPr>
      </w:pPr>
      <w:r>
        <w:rPr>
          <w:sz w:val="21"/>
        </w:rPr>
        <w:t>基金变更标的指数；</w:t>
      </w:r>
    </w:p>
    <w:p>
      <w:pPr>
        <w:pStyle w:val="ListParagraph"/>
        <w:numPr>
          <w:ilvl w:val="0"/>
          <w:numId w:val="32"/>
        </w:numPr>
        <w:tabs>
          <w:tab w:pos="1345" w:val="left" w:leader="none"/>
        </w:tabs>
        <w:spacing w:line="240" w:lineRule="auto" w:before="139" w:after="0"/>
        <w:ind w:left="1345" w:right="0" w:hanging="632"/>
        <w:jc w:val="left"/>
        <w:rPr>
          <w:sz w:val="21"/>
        </w:rPr>
      </w:pPr>
      <w:r>
        <w:rPr>
          <w:sz w:val="21"/>
        </w:rPr>
        <w:t>调整基金份额类别的设置；</w:t>
      </w:r>
    </w:p>
    <w:p>
      <w:pPr>
        <w:pStyle w:val="ListParagraph"/>
        <w:numPr>
          <w:ilvl w:val="0"/>
          <w:numId w:val="32"/>
        </w:numPr>
        <w:tabs>
          <w:tab w:pos="1345" w:val="left" w:leader="none"/>
        </w:tabs>
        <w:spacing w:line="240" w:lineRule="auto" w:before="139" w:after="0"/>
        <w:ind w:left="1345" w:right="0" w:hanging="632"/>
        <w:jc w:val="left"/>
        <w:rPr>
          <w:sz w:val="21"/>
        </w:rPr>
      </w:pPr>
      <w:r>
        <w:rPr>
          <w:sz w:val="21"/>
        </w:rPr>
        <w:t>基金推出新业务或服务；</w:t>
      </w:r>
    </w:p>
    <w:p>
      <w:pPr>
        <w:pStyle w:val="ListParagraph"/>
        <w:numPr>
          <w:ilvl w:val="0"/>
          <w:numId w:val="32"/>
        </w:numPr>
        <w:tabs>
          <w:tab w:pos="1354" w:val="left" w:leader="none"/>
        </w:tabs>
        <w:spacing w:line="364" w:lineRule="auto" w:before="140" w:after="0"/>
        <w:ind w:left="293" w:right="936" w:firstLine="420"/>
        <w:jc w:val="left"/>
        <w:rPr>
          <w:sz w:val="21"/>
        </w:rPr>
      </w:pPr>
      <w:r>
        <w:rPr>
          <w:spacing w:val="3"/>
          <w:sz w:val="21"/>
        </w:rPr>
        <w:t>基金信息披露义务人认为可能对基金份额持有人权益或者基金份额的价格产生重大影响的其他事项或中国证监会规定的其他事项。</w:t>
      </w:r>
    </w:p>
    <w:p>
      <w:pPr>
        <w:pStyle w:val="Heading5"/>
        <w:spacing w:line="319" w:lineRule="exact"/>
      </w:pPr>
      <w:r>
        <w:rPr/>
        <w:t>5、澄清公告</w:t>
      </w:r>
    </w:p>
    <w:p>
      <w:pPr>
        <w:pStyle w:val="BodyText"/>
        <w:spacing w:line="364" w:lineRule="auto" w:before="88"/>
        <w:ind w:left="293" w:right="936" w:firstLine="420"/>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Heading5"/>
      </w:pPr>
      <w:r>
        <w:rPr/>
        <w:t>6、中国证监会规定的其他信息</w:t>
      </w:r>
    </w:p>
    <w:p>
      <w:pPr>
        <w:pStyle w:val="BodyText"/>
        <w:spacing w:before="89"/>
      </w:pPr>
      <w:r>
        <w:rPr/>
        <w:t>若本基金参与融资及转融通证券出借业务，基金管理人将按相关法律法规要求进行披露。</w:t>
      </w:r>
    </w:p>
    <w:p>
      <w:pPr>
        <w:pStyle w:val="Heading5"/>
        <w:spacing w:line="240" w:lineRule="auto" w:before="72"/>
      </w:pPr>
      <w:r>
        <w:rPr/>
        <w:t>7、清算报告</w:t>
      </w:r>
    </w:p>
    <w:p>
      <w:pPr>
        <w:pStyle w:val="BodyText"/>
        <w:spacing w:line="364" w:lineRule="auto" w:before="89"/>
        <w:ind w:left="293" w:right="936"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Heading2"/>
        <w:spacing w:line="358" w:lineRule="exact"/>
      </w:pPr>
      <w:bookmarkStart w:name="_bookmark69" w:id="70"/>
      <w:bookmarkEnd w:id="70"/>
      <w:r>
        <w:rPr/>
      </w:r>
      <w:r>
        <w:rPr/>
        <w:t>（三）信息披露事务管理</w:t>
      </w:r>
    </w:p>
    <w:p>
      <w:pPr>
        <w:pStyle w:val="BodyText"/>
        <w:spacing w:line="364" w:lineRule="auto" w:before="185"/>
        <w:ind w:left="293" w:right="936" w:firstLine="420"/>
      </w:pPr>
      <w:r>
        <w:rPr/>
        <w:t>基金管理人、基金托管人应当建立健全信息披露管理制度，指定专门部门及高级管理人员负责管理信息披露事务。</w:t>
      </w:r>
    </w:p>
    <w:p>
      <w:pPr>
        <w:pStyle w:val="BodyText"/>
        <w:spacing w:line="364" w:lineRule="auto"/>
        <w:ind w:left="293" w:right="936" w:firstLine="420"/>
      </w:pPr>
      <w:r>
        <w:rPr/>
        <w:t>基金信息披露义务人公开披露基金信息，应当符合中国证监会相关基金信息披露内容与格式准则等法规的规定。</w:t>
      </w:r>
    </w:p>
    <w:p>
      <w:pPr>
        <w:pStyle w:val="BodyText"/>
        <w:spacing w:line="364" w:lineRule="auto"/>
        <w:ind w:left="293" w:right="936" w:firstLine="42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364" w:lineRule="auto"/>
        <w:ind w:left="293" w:right="936" w:firstLine="420"/>
      </w:pPr>
      <w:r>
        <w:rPr/>
        <w:t>基金管理人、基金托管人应当在指定报刊中选择一家报刊披露本基金信息。基金管理人、基金托管人应当向中国证监会基金电子披露网站报送拟披露的基金信息，并保证相关报送信息</w:t>
      </w:r>
    </w:p>
    <w:p>
      <w:pPr>
        <w:spacing w:after="0" w:line="364" w:lineRule="auto"/>
        <w:sectPr>
          <w:pgSz w:w="11910" w:h="16840"/>
          <w:pgMar w:header="0" w:footer="1172" w:top="1580" w:bottom="1440" w:left="1520" w:right="360"/>
        </w:sectPr>
      </w:pPr>
    </w:p>
    <w:p>
      <w:pPr>
        <w:pStyle w:val="BodyText"/>
        <w:spacing w:before="106"/>
        <w:ind w:left="293"/>
      </w:pPr>
      <w:r>
        <w:rPr/>
        <w:t>的真实、准确、完整、及时。</w:t>
      </w:r>
    </w:p>
    <w:p>
      <w:pPr>
        <w:pStyle w:val="BodyText"/>
        <w:spacing w:line="364" w:lineRule="auto" w:before="139"/>
        <w:ind w:left="293" w:right="936" w:firstLine="420"/>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364" w:lineRule="auto"/>
        <w:ind w:left="293" w:right="936" w:firstLine="420"/>
        <w:jc w:val="both"/>
      </w:pPr>
      <w:r>
        <w:rPr/>
        <w:t>基金管理人、基金托管人除按法律法规要求披露信息外，也可着眼于为投资者决策提供有用信息的角度，在保证公平对待投资者、不误导投资者、不影响基金正常投资操作的前提下， 自主提升信息披露服务的质量。具体要求应当符合中国证监会及自律规则的相关规定。前述自主披露如产生信息披露费用，该费用不得从基金财产中列支。</w:t>
      </w:r>
    </w:p>
    <w:p>
      <w:pPr>
        <w:pStyle w:val="Heading2"/>
        <w:spacing w:line="358" w:lineRule="exact"/>
      </w:pPr>
      <w:bookmarkStart w:name="_bookmark70" w:id="71"/>
      <w:bookmarkEnd w:id="71"/>
      <w:r>
        <w:rPr/>
      </w:r>
      <w:r>
        <w:rPr/>
        <w:t>（四）信息披露文件的存放与查阅</w:t>
      </w:r>
    </w:p>
    <w:p>
      <w:pPr>
        <w:pStyle w:val="BodyText"/>
        <w:spacing w:line="364" w:lineRule="auto" w:before="184"/>
        <w:ind w:left="293" w:right="936" w:firstLine="420"/>
      </w:pPr>
      <w:r>
        <w:rPr/>
        <w:t>依法必须披露的信息发布后，基金管理人、基金托管人应当按照相关法律法规规定将信息置备于公司办公场所，供社会公众查阅、复制。</w:t>
      </w:r>
    </w:p>
    <w:p>
      <w:pPr>
        <w:spacing w:after="0" w:line="364" w:lineRule="auto"/>
        <w:sectPr>
          <w:pgSz w:w="11910" w:h="16840"/>
          <w:pgMar w:header="0" w:footer="1172" w:top="1580" w:bottom="1440" w:left="1520" w:right="360"/>
        </w:sectPr>
      </w:pPr>
    </w:p>
    <w:p>
      <w:pPr>
        <w:pStyle w:val="Heading1"/>
        <w:ind w:right="920"/>
        <w:jc w:val="center"/>
      </w:pPr>
      <w:bookmarkStart w:name="_bookmark71" w:id="72"/>
      <w:bookmarkEnd w:id="72"/>
      <w:r>
        <w:rPr>
          <w:b w:val="0"/>
        </w:rPr>
      </w:r>
      <w:r>
        <w:rPr/>
        <w:t>十六、风险揭示</w:t>
      </w:r>
    </w:p>
    <w:p>
      <w:pPr>
        <w:pStyle w:val="Heading2"/>
        <w:spacing w:before="118"/>
      </w:pPr>
      <w:bookmarkStart w:name="_bookmark72" w:id="73"/>
      <w:bookmarkEnd w:id="73"/>
      <w:r>
        <w:rPr/>
      </w:r>
      <w:r>
        <w:rPr/>
        <w:t>（一）市场风险</w:t>
      </w:r>
    </w:p>
    <w:p>
      <w:pPr>
        <w:pStyle w:val="BodyText"/>
        <w:spacing w:before="11"/>
        <w:ind w:left="0"/>
        <w:rPr>
          <w:sz w:val="8"/>
        </w:rPr>
      </w:pPr>
    </w:p>
    <w:p>
      <w:pPr>
        <w:pStyle w:val="BodyText"/>
        <w:spacing w:line="364" w:lineRule="auto" w:before="71"/>
        <w:ind w:left="293" w:right="936" w:firstLine="420"/>
        <w:jc w:val="both"/>
      </w:pPr>
      <w:r>
        <w:rPr/>
        <w:t>基金主要投资于证券市场，而证券市场价格因受到经济因素、政治因素、投资者心理和交易制度等各种因素的影响而产生波动，从而导致基金收益水平发生变化，产生风险。主要的风险因素包括：</w:t>
      </w:r>
    </w:p>
    <w:p>
      <w:pPr>
        <w:pStyle w:val="BodyText"/>
        <w:spacing w:line="364" w:lineRule="auto"/>
        <w:ind w:left="293" w:right="936" w:firstLine="420"/>
      </w:pPr>
      <w:r>
        <w:rPr/>
        <w:t>1、政策风险。因财政政策、货币政策、产业政策、地区发展政策等国家宏观政策发生变化，导致市场价格波动，影响基金收益而产生风险。</w:t>
      </w:r>
    </w:p>
    <w:p>
      <w:pPr>
        <w:pStyle w:val="BodyText"/>
        <w:spacing w:line="364" w:lineRule="auto"/>
        <w:ind w:left="293" w:right="936" w:firstLine="420"/>
      </w:pPr>
      <w:r>
        <w:rPr/>
        <w:t>2、经济周期风险。随着经济运行的周期性变化，证券市场的收益水平也呈周期性变化，基金投资的收益水平也会随之变化，从而产生风险。</w:t>
      </w:r>
    </w:p>
    <w:p>
      <w:pPr>
        <w:pStyle w:val="BodyText"/>
        <w:spacing w:line="364" w:lineRule="auto"/>
        <w:ind w:left="293" w:right="936" w:firstLine="420"/>
        <w:jc w:val="both"/>
      </w:pPr>
      <w:r>
        <w:rPr/>
        <w:t>3、利率风险。金融市场利率的波动会导致证券市场价格和收益率的变动。利率直接影响着债券的价格和收益率，影响着企业的融资成本和利润。基金投资于债券和股票，其收益水平可能会受到利率变化的影响。</w:t>
      </w:r>
    </w:p>
    <w:p>
      <w:pPr>
        <w:pStyle w:val="BodyText"/>
        <w:spacing w:line="364" w:lineRule="auto"/>
        <w:ind w:left="293" w:right="936" w:firstLine="420"/>
        <w:jc w:val="both"/>
      </w:pPr>
      <w:r>
        <w:rPr/>
        <w:t>4、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pPr>
        <w:pStyle w:val="BodyText"/>
        <w:spacing w:line="364" w:lineRule="auto"/>
        <w:ind w:left="293" w:right="936" w:firstLine="420"/>
      </w:pPr>
      <w:r>
        <w:rPr/>
        <w:t>5、购买力风险。基金持有人收益将主要通过现金形式来分配，而现金可能因为通货膨胀因素而使其购买力下降,从而使基金的实际收益下降。</w:t>
      </w:r>
    </w:p>
    <w:p>
      <w:pPr>
        <w:pStyle w:val="Heading2"/>
      </w:pPr>
      <w:bookmarkStart w:name="_bookmark73" w:id="74"/>
      <w:bookmarkEnd w:id="74"/>
      <w:r>
        <w:rPr/>
      </w:r>
      <w:r>
        <w:rPr/>
        <w:t>（二）本基金特有的风险</w:t>
      </w:r>
    </w:p>
    <w:p>
      <w:pPr>
        <w:pStyle w:val="BodyText"/>
        <w:spacing w:line="364" w:lineRule="auto" w:before="178"/>
        <w:ind w:left="293" w:right="936" w:firstLine="420"/>
      </w:pPr>
      <w:r>
        <w:rPr/>
        <w:t>作为一只指数增强型基金，本基金特有的风险主要包括被动跟踪指数的风险及主动增强投资的风险。</w:t>
      </w:r>
    </w:p>
    <w:p>
      <w:pPr>
        <w:pStyle w:val="BodyText"/>
        <w:spacing w:line="364" w:lineRule="auto"/>
        <w:ind w:right="7001"/>
      </w:pPr>
      <w:r>
        <w:rPr/>
        <w:t>1、被动跟踪指数的风险主要表现在以下几方面：</w:t>
      </w:r>
    </w:p>
    <w:p>
      <w:pPr>
        <w:pStyle w:val="ListParagraph"/>
        <w:numPr>
          <w:ilvl w:val="0"/>
          <w:numId w:val="33"/>
        </w:numPr>
        <w:tabs>
          <w:tab w:pos="1240" w:val="left" w:leader="none"/>
        </w:tabs>
        <w:spacing w:line="364" w:lineRule="auto" w:before="0" w:after="0"/>
        <w:ind w:left="293" w:right="1016" w:firstLine="420"/>
        <w:jc w:val="left"/>
        <w:rPr>
          <w:sz w:val="21"/>
        </w:rPr>
      </w:pPr>
      <w:r>
        <w:rPr>
          <w:spacing w:val="-1"/>
          <w:sz w:val="21"/>
        </w:rPr>
        <w:t>指数下跌风险：即在市场下跌的情况下由于本基金跟踪指数而对基金净值造成损失的</w:t>
      </w:r>
      <w:r>
        <w:rPr>
          <w:sz w:val="21"/>
        </w:rPr>
        <w:t>不确定性；</w:t>
      </w:r>
    </w:p>
    <w:p>
      <w:pPr>
        <w:pStyle w:val="ListParagraph"/>
        <w:numPr>
          <w:ilvl w:val="0"/>
          <w:numId w:val="33"/>
        </w:numPr>
        <w:tabs>
          <w:tab w:pos="1240" w:val="left" w:leader="none"/>
        </w:tabs>
        <w:spacing w:line="364" w:lineRule="auto" w:before="0" w:after="0"/>
        <w:ind w:left="293" w:right="1016" w:firstLine="420"/>
        <w:jc w:val="left"/>
        <w:rPr>
          <w:sz w:val="21"/>
        </w:rPr>
      </w:pPr>
      <w:r>
        <w:rPr>
          <w:spacing w:val="-1"/>
          <w:sz w:val="21"/>
        </w:rPr>
        <w:t>目标指数的风险：即目标指数因为编制方法的缺陷有可能导致目标指数的表现与总体</w:t>
      </w:r>
      <w:r>
        <w:rPr>
          <w:sz w:val="21"/>
        </w:rPr>
        <w:t>市场表现的差异，因目标指数编制方法的不成熟也可能导致指数调整较大，增加基金投资成</w:t>
      </w:r>
    </w:p>
    <w:p>
      <w:pPr>
        <w:pStyle w:val="BodyText"/>
        <w:spacing w:line="268" w:lineRule="exact"/>
        <w:ind w:left="293"/>
      </w:pPr>
      <w:r>
        <w:rPr/>
        <w:t>本，并有可能因此而增加跟踪误差，影响投资收益。</w:t>
      </w:r>
    </w:p>
    <w:p>
      <w:pPr>
        <w:pStyle w:val="ListParagraph"/>
        <w:numPr>
          <w:ilvl w:val="0"/>
          <w:numId w:val="33"/>
        </w:numPr>
        <w:tabs>
          <w:tab w:pos="1240" w:val="left" w:leader="none"/>
        </w:tabs>
        <w:spacing w:line="364" w:lineRule="auto" w:before="137" w:after="0"/>
        <w:ind w:left="293" w:right="1016" w:firstLine="420"/>
        <w:jc w:val="left"/>
        <w:rPr>
          <w:sz w:val="21"/>
        </w:rPr>
      </w:pPr>
      <w:r>
        <w:rPr>
          <w:spacing w:val="-1"/>
          <w:sz w:val="21"/>
        </w:rPr>
        <w:t>跟踪偏离风险：即基金在跟踪指数时由于各种原因导致基金的业绩表现与目标指数表</w:t>
      </w:r>
      <w:r>
        <w:rPr>
          <w:sz w:val="21"/>
        </w:rPr>
        <w:t>现之间产生差异的不确定性，可能包括：</w:t>
      </w:r>
    </w:p>
    <w:p>
      <w:pPr>
        <w:pStyle w:val="ListParagraph"/>
        <w:numPr>
          <w:ilvl w:val="0"/>
          <w:numId w:val="34"/>
        </w:numPr>
        <w:tabs>
          <w:tab w:pos="1030" w:val="left" w:leader="none"/>
        </w:tabs>
        <w:spacing w:line="364" w:lineRule="auto" w:before="0" w:after="0"/>
        <w:ind w:left="293" w:right="1016" w:firstLine="420"/>
        <w:jc w:val="left"/>
        <w:rPr>
          <w:sz w:val="21"/>
        </w:rPr>
      </w:pPr>
      <w:r>
        <w:rPr>
          <w:spacing w:val="-1"/>
          <w:sz w:val="21"/>
        </w:rPr>
        <w:t>基金在跟踪指数过程中由于买入和卖出证券时均存在交易成本例如印花税、交易佣金经</w:t>
      </w:r>
      <w:r>
        <w:rPr>
          <w:sz w:val="21"/>
        </w:rPr>
        <w:t>手费、证管费、过户费等交易成本，导致本基金在跟踪指数时可能产生收益上的偏离；</w:t>
      </w:r>
    </w:p>
    <w:p>
      <w:pPr>
        <w:spacing w:after="0" w:line="364" w:lineRule="auto"/>
        <w:jc w:val="left"/>
        <w:rPr>
          <w:sz w:val="21"/>
        </w:rPr>
        <w:sectPr>
          <w:pgSz w:w="11910" w:h="16840"/>
          <w:pgMar w:header="0" w:footer="1172" w:top="1580" w:bottom="1440" w:left="1520" w:right="360"/>
        </w:sectPr>
      </w:pPr>
    </w:p>
    <w:p>
      <w:pPr>
        <w:pStyle w:val="ListParagraph"/>
        <w:numPr>
          <w:ilvl w:val="0"/>
          <w:numId w:val="34"/>
        </w:numPr>
        <w:tabs>
          <w:tab w:pos="1030" w:val="left" w:leader="none"/>
        </w:tabs>
        <w:spacing w:line="364" w:lineRule="auto" w:before="106" w:after="0"/>
        <w:ind w:left="293" w:right="1016" w:firstLine="420"/>
        <w:jc w:val="left"/>
        <w:rPr>
          <w:sz w:val="21"/>
        </w:rPr>
      </w:pPr>
      <w:r>
        <w:rPr>
          <w:spacing w:val="-1"/>
          <w:sz w:val="21"/>
        </w:rPr>
        <w:t>受市场流动性风险的影响本基金在实际管理过程中由于投资者申购而增加的资金可能不</w:t>
      </w:r>
      <w:r>
        <w:rPr>
          <w:sz w:val="21"/>
        </w:rPr>
        <w:t>能及时地转化为目标指数的成分股票、或在面临投资者赎回时无法以赎回价格将股票及时地转化为现金，这些情况使得本基金在跟踪指数时存在一定的跟踪偏离风险；</w:t>
      </w:r>
    </w:p>
    <w:p>
      <w:pPr>
        <w:pStyle w:val="ListParagraph"/>
        <w:numPr>
          <w:ilvl w:val="0"/>
          <w:numId w:val="34"/>
        </w:numPr>
        <w:tabs>
          <w:tab w:pos="1030" w:val="left" w:leader="none"/>
        </w:tabs>
        <w:spacing w:line="364" w:lineRule="auto" w:before="0" w:after="0"/>
        <w:ind w:left="293" w:right="1016" w:firstLine="420"/>
        <w:jc w:val="left"/>
        <w:rPr>
          <w:sz w:val="21"/>
        </w:rPr>
      </w:pPr>
      <w:r>
        <w:rPr>
          <w:spacing w:val="-1"/>
          <w:sz w:val="21"/>
        </w:rPr>
        <w:t>在本基金实行指数化投资过程中，管理人对指数基金的管理能力例如跟踪指数的技术手</w:t>
      </w:r>
      <w:r>
        <w:rPr>
          <w:sz w:val="21"/>
        </w:rPr>
        <w:t>段、买入卖出的时机选择等都会对本基金的收益产生影响，从而影响本基金对目标指数的跟踪程度。</w:t>
      </w:r>
    </w:p>
    <w:p>
      <w:pPr>
        <w:pStyle w:val="BodyText"/>
        <w:spacing w:line="268" w:lineRule="exact"/>
      </w:pPr>
      <w:r>
        <w:rPr/>
        <w:t>2、主动增强投资的风险</w:t>
      </w:r>
    </w:p>
    <w:p>
      <w:pPr>
        <w:pStyle w:val="BodyText"/>
        <w:spacing w:line="364" w:lineRule="auto" w:before="138"/>
        <w:ind w:left="293" w:right="936" w:firstLine="420"/>
        <w:jc w:val="both"/>
      </w:pPr>
      <w:r>
        <w:rPr/>
        <w:t>根据本基金的投资策略，基金经理为了获得超越指数的投资回报，可以在被动跟踪指数的基础上进行一些优化调整，如在一定幅度内减少或增强成分股的权重，甚至从投资组合中剔除个别成分股。尽管基金经理为了控制风险，总是基于对基本面的深度研究才会作出优化调整指数成分股权重的决策，但最终结果总是存在一定的不确定性，其投资收益率可能高于指数收益率但也有可能低于指数收益率。</w:t>
      </w:r>
    </w:p>
    <w:p>
      <w:pPr>
        <w:pStyle w:val="Heading2"/>
        <w:spacing w:line="357" w:lineRule="exact"/>
      </w:pPr>
      <w:bookmarkStart w:name="_bookmark74" w:id="75"/>
      <w:bookmarkEnd w:id="75"/>
      <w:r>
        <w:rPr/>
      </w:r>
      <w:r>
        <w:rPr/>
        <w:t>（三）目标指数变更的风险</w:t>
      </w:r>
    </w:p>
    <w:p>
      <w:pPr>
        <w:pStyle w:val="BodyText"/>
        <w:spacing w:line="364" w:lineRule="auto" w:before="185"/>
        <w:ind w:left="293" w:right="936" w:firstLine="420"/>
        <w:jc w:val="both"/>
      </w:pPr>
      <w:r>
        <w:rPr/>
        <w:t>尽管可能性很小，但根据基金合同规定，如果基金所跟踪的目标指数被相关的交易所停止发布、或由其他指数替代、或由于指数编制方法等重大变更导致该指数不宜继续作为目标指数，或者证券市场有其他代表性更强、更适合投资的指数推出，本基金管理人可以依据维护投资者的合法权益的原则，变更基金的跟踪目标和投资对象，且不需召开基金份额持有人大会通过。若目标指数发生变更，本基金的投资组合将相应进行调整。届时本基金的风险收益特征可能发生变化，且投资组合调整可能产生交易成本和机会成本。投资者须承担因目标指数变更而产生的风险与成本。</w:t>
      </w:r>
    </w:p>
    <w:p>
      <w:pPr>
        <w:pStyle w:val="Heading2"/>
        <w:spacing w:line="357" w:lineRule="exact"/>
      </w:pPr>
      <w:bookmarkStart w:name="_bookmark75" w:id="76"/>
      <w:bookmarkEnd w:id="76"/>
      <w:r>
        <w:rPr/>
      </w:r>
      <w:r>
        <w:rPr/>
        <w:t>（四）流动性风险</w:t>
      </w:r>
    </w:p>
    <w:p>
      <w:pPr>
        <w:pStyle w:val="ListParagraph"/>
        <w:numPr>
          <w:ilvl w:val="0"/>
          <w:numId w:val="35"/>
        </w:numPr>
        <w:tabs>
          <w:tab w:pos="1278" w:val="left" w:leader="none"/>
        </w:tabs>
        <w:spacing w:line="240" w:lineRule="auto" w:before="185" w:after="0"/>
        <w:ind w:left="1277" w:right="0" w:hanging="527"/>
        <w:jc w:val="left"/>
        <w:rPr>
          <w:sz w:val="21"/>
        </w:rPr>
      </w:pPr>
      <w:r>
        <w:rPr>
          <w:sz w:val="21"/>
        </w:rPr>
        <w:t>拟投资市场、行业及资产的流动性风险评估</w:t>
      </w:r>
    </w:p>
    <w:p>
      <w:pPr>
        <w:pStyle w:val="BodyText"/>
        <w:spacing w:line="364" w:lineRule="auto" w:before="139"/>
        <w:ind w:left="293" w:right="1082" w:firstLine="457"/>
        <w:jc w:val="both"/>
      </w:pPr>
      <w:r>
        <w:rPr/>
        <w:t>本基金为以上证50指数为标的指数的指数基金，主要投资于标的指数的成分股票，包括上证50指数的成分股和预期将要被选入上证50指数的股票，一般情况下，上述投资标的流动性较好，但不排除在特定阶段、特定市场环境下特定投资标的出现流动性较差的情况。因此，本基金投资于上述资产时，可能存在以下流动性风险：一是基金管理人建仓时或为实现收益而进行组合调整时，可能由于市场流动性相对不足而无法按预期的价格将股票或债券买进或卖出；二是为应付投资者的赎回，基金管理人的现金支付出现困难，被迫在不适当的价格大量抛售股票或债券。两者均可能使基金净值受到不利影响。对本基金而言，根据该基金主动积极的投资策略，有可能持股集中度相对较高、或进行积极主动的行业轮换，市场流动性不足可能给实施上述策略带来困难，进而使基金运作面临风险。</w:t>
      </w:r>
    </w:p>
    <w:p>
      <w:pPr>
        <w:pStyle w:val="ListParagraph"/>
        <w:numPr>
          <w:ilvl w:val="0"/>
          <w:numId w:val="35"/>
        </w:numPr>
        <w:tabs>
          <w:tab w:pos="1278" w:val="left" w:leader="none"/>
        </w:tabs>
        <w:spacing w:line="265" w:lineRule="exact" w:before="0" w:after="0"/>
        <w:ind w:left="1277" w:right="0" w:hanging="527"/>
        <w:jc w:val="left"/>
        <w:rPr>
          <w:sz w:val="21"/>
        </w:rPr>
      </w:pPr>
      <w:r>
        <w:rPr>
          <w:sz w:val="21"/>
        </w:rPr>
        <w:t>巨额赎回情形下的流动性风险管理措施</w:t>
      </w:r>
    </w:p>
    <w:p>
      <w:pPr>
        <w:spacing w:after="0" w:line="265" w:lineRule="exact"/>
        <w:jc w:val="left"/>
        <w:rPr>
          <w:sz w:val="21"/>
        </w:rPr>
        <w:sectPr>
          <w:pgSz w:w="11910" w:h="16840"/>
          <w:pgMar w:header="0" w:footer="1172" w:top="1580" w:bottom="1440" w:left="1520" w:right="360"/>
        </w:sectPr>
      </w:pPr>
    </w:p>
    <w:p>
      <w:pPr>
        <w:pStyle w:val="BodyText"/>
        <w:spacing w:line="364" w:lineRule="auto" w:before="106"/>
        <w:ind w:left="293" w:right="1016" w:firstLine="457"/>
      </w:pPr>
      <w:r>
        <w:rPr/>
        <w:t>当本基金发生巨额赎回时，基金管理人可以根据基金当时的资产组合状况决定全额赎回或部分延期赎回；此外，如出现连续两日以上（含本数）发生巨额赎回或在一段时间内三次以上发生巨额赎回时，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六、基金份额的申购、赎回和转换”之“（九）巨额赎回的认定及处理方式”。</w:t>
      </w:r>
    </w:p>
    <w:p>
      <w:pPr>
        <w:pStyle w:val="BodyText"/>
        <w:spacing w:line="364" w:lineRule="auto"/>
        <w:ind w:left="293" w:right="1082" w:firstLine="457"/>
      </w:pPr>
      <w:r>
        <w:rPr>
          <w:spacing w:val="-1"/>
        </w:rPr>
        <w:t>发生上述情形时，投资人面临无法全部赎回或无法及时获得赎回资金的风险。在本基金暂</w:t>
      </w:r>
      <w:r>
        <w:rPr/>
        <w:t>停或延期办理投资者赎回申请的情况下，投资者未能赎回的基金份额还将面临净值波动的风 险。</w:t>
      </w:r>
    </w:p>
    <w:p>
      <w:pPr>
        <w:pStyle w:val="ListParagraph"/>
        <w:numPr>
          <w:ilvl w:val="0"/>
          <w:numId w:val="35"/>
        </w:numPr>
        <w:tabs>
          <w:tab w:pos="1278" w:val="left" w:leader="none"/>
        </w:tabs>
        <w:spacing w:line="364" w:lineRule="auto" w:before="0" w:after="0"/>
        <w:ind w:left="293" w:right="977" w:firstLine="457"/>
        <w:jc w:val="left"/>
        <w:rPr>
          <w:sz w:val="21"/>
        </w:rPr>
      </w:pPr>
      <w:r>
        <w:rPr>
          <w:spacing w:val="-1"/>
          <w:sz w:val="21"/>
        </w:rPr>
        <w:t>除场外份额巨额赎回情形外实施备用的流动性风险管理工具的情形、程序及对投资者</w:t>
      </w:r>
      <w:r>
        <w:rPr>
          <w:sz w:val="21"/>
        </w:rPr>
        <w:t>的潜在影响</w:t>
      </w:r>
    </w:p>
    <w:p>
      <w:pPr>
        <w:pStyle w:val="BodyText"/>
        <w:spacing w:line="364" w:lineRule="auto"/>
        <w:ind w:left="293" w:right="1082" w:firstLine="457"/>
      </w:pPr>
      <w:r>
        <w:rPr/>
        <w:t>除场外份额巨额赎回情形外，本基金备用流动性风险管理工具包括但不限于暂停接受赎回申请、延缓支付赎回款项、暂停基金估值以及证监会认定的其他措施。</w:t>
      </w:r>
    </w:p>
    <w:p>
      <w:pPr>
        <w:pStyle w:val="BodyText"/>
        <w:spacing w:line="364" w:lineRule="auto"/>
        <w:ind w:left="293" w:right="1082" w:firstLine="457"/>
        <w:jc w:val="both"/>
      </w:pPr>
      <w:r>
        <w:rPr/>
        <w:t>暂停接受赎回申请、延缓支付赎回款项等工具的情形、程序见招募说明书“六、基金份额的申购、赎回和转换”之“（十）拒绝或暂停申购、赎回和转换的情形及处理方式”的相关规定。若本基金暂停赎回申请，投资者在暂停赎回期间将无法赎回其持有的基金份额。若本基金延缓支付赎回款项，赎回款支付时间将后延，可能对投资者的资金安排带来不利影响。</w:t>
      </w:r>
    </w:p>
    <w:p>
      <w:pPr>
        <w:pStyle w:val="BodyText"/>
        <w:spacing w:line="364" w:lineRule="auto"/>
        <w:ind w:left="293" w:right="977" w:firstLine="457"/>
      </w:pPr>
      <w:r>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pPr>
        <w:pStyle w:val="BodyText"/>
        <w:spacing w:line="364" w:lineRule="auto"/>
        <w:ind w:left="293" w:right="1082" w:firstLine="457"/>
        <w:jc w:val="both"/>
      </w:pPr>
      <w:r>
        <w:rPr/>
        <w:t>暂停基金估值的情形、程序见招募说明书“十一、基金资产的估值”之“（六）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pPr>
        <w:pStyle w:val="Heading2"/>
        <w:spacing w:line="358" w:lineRule="exact"/>
      </w:pPr>
      <w:bookmarkStart w:name="_bookmark76" w:id="77"/>
      <w:bookmarkEnd w:id="77"/>
      <w:r>
        <w:rPr/>
      </w:r>
      <w:r>
        <w:rPr/>
        <w:t>（五）管理风险</w:t>
      </w:r>
    </w:p>
    <w:p>
      <w:pPr>
        <w:pStyle w:val="BodyText"/>
        <w:spacing w:line="364" w:lineRule="auto" w:before="175"/>
        <w:ind w:left="293" w:right="977" w:firstLine="457"/>
      </w:pPr>
      <w:r>
        <w:rPr/>
        <w:t>1、在基金管理运作过程中，基金管理人的知识、经验、判断、决策、技能等，会影响其对信息的占有以及对经济形势、证券价格走势的判断，从而影响基金收益水平；</w:t>
      </w:r>
    </w:p>
    <w:p>
      <w:pPr>
        <w:pStyle w:val="BodyText"/>
        <w:spacing w:line="268" w:lineRule="exact"/>
        <w:ind w:left="751"/>
      </w:pPr>
      <w:r>
        <w:rPr/>
        <w:t>2、基金管理人的管理手段和管理技术等因素的变化也会影响基金收益水平。</w:t>
      </w:r>
    </w:p>
    <w:p>
      <w:pPr>
        <w:pStyle w:val="Heading2"/>
        <w:spacing w:line="364" w:lineRule="auto" w:before="141"/>
        <w:ind w:right="936"/>
      </w:pPr>
      <w:bookmarkStart w:name="_bookmark77" w:id="78"/>
      <w:bookmarkEnd w:id="78"/>
      <w:r>
        <w:rPr/>
      </w:r>
      <w:r>
        <w:rPr/>
        <w:t>（六）本基金法律文件中涉及基金风险特征的表述与销售机构对基金的风险评级可能不一致的风险</w:t>
      </w:r>
    </w:p>
    <w:p>
      <w:pPr>
        <w:pStyle w:val="BodyText"/>
        <w:spacing w:line="364" w:lineRule="auto"/>
        <w:ind w:left="293" w:right="1082" w:firstLine="457"/>
      </w:pPr>
      <w:r>
        <w:rPr/>
        <w:t>本基金基金合同、招募说明书等法律文件中涉及基金风险收益特征或风险状况的表述仅为主要基于基金投资方向与策略特点的概括性表述；而本基金各销售机构依据中国证券投资基金</w:t>
      </w:r>
    </w:p>
    <w:p>
      <w:pPr>
        <w:spacing w:after="0" w:line="364" w:lineRule="auto"/>
        <w:sectPr>
          <w:pgSz w:w="11910" w:h="16840"/>
          <w:pgMar w:header="0" w:footer="1172" w:top="1580" w:bottom="1440" w:left="1520" w:right="360"/>
        </w:sectPr>
      </w:pPr>
    </w:p>
    <w:p>
      <w:pPr>
        <w:pStyle w:val="BodyText"/>
        <w:spacing w:line="364" w:lineRule="auto" w:before="106"/>
        <w:ind w:left="293" w:right="1016"/>
      </w:pPr>
      <w:r>
        <w:rPr/>
        <w:t>业协会发布的《基金募集机构投资者适当性管理实施指引（试行</w:t>
      </w:r>
      <w:r>
        <w:rPr>
          <w:spacing w:val="-105"/>
        </w:rPr>
        <w:t>）</w:t>
      </w:r>
      <w:r>
        <w:rPr>
          <w:spacing w:val="-2"/>
        </w:rPr>
        <w:t>》及内部评级标准，将基金产</w:t>
      </w:r>
      <w:r>
        <w:rPr/>
        <w:t>品按照风险由低到高顺序进行风险级别评定划分，其风险评级结果所依据的评价要素可能更</w:t>
      </w:r>
    </w:p>
    <w:p>
      <w:pPr>
        <w:pStyle w:val="BodyText"/>
        <w:spacing w:line="364" w:lineRule="auto"/>
        <w:ind w:left="293" w:right="1121"/>
        <w:jc w:val="both"/>
      </w:pPr>
      <w:r>
        <w:rPr/>
        <w:t>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Heading2"/>
        <w:spacing w:line="357" w:lineRule="exact"/>
      </w:pPr>
      <w:bookmarkStart w:name="_bookmark78" w:id="79"/>
      <w:bookmarkEnd w:id="79"/>
      <w:r>
        <w:rPr/>
      </w:r>
      <w:r>
        <w:rPr/>
        <w:t>（七）其他风险</w:t>
      </w:r>
    </w:p>
    <w:p>
      <w:pPr>
        <w:pStyle w:val="BodyText"/>
        <w:spacing w:before="184"/>
        <w:ind w:left="751"/>
      </w:pPr>
      <w:r>
        <w:rPr/>
        <w:t>1、因技术因素而产生的风险，如电脑等技术系统的故障或差错产生的风险；</w:t>
      </w:r>
    </w:p>
    <w:p>
      <w:pPr>
        <w:pStyle w:val="BodyText"/>
        <w:spacing w:line="364" w:lineRule="auto" w:before="139"/>
        <w:ind w:left="293" w:right="977" w:firstLine="457"/>
      </w:pPr>
      <w:r>
        <w:rPr/>
        <w:t>2、因战争、自然灾害等不可抗力导致的基金管理人、基金托管人、基金销售机构等机构无法正常工作，从而影响基金运作的风险；</w:t>
      </w:r>
    </w:p>
    <w:p>
      <w:pPr>
        <w:pStyle w:val="BodyText"/>
        <w:spacing w:line="364" w:lineRule="auto"/>
        <w:ind w:left="293" w:right="977" w:firstLine="457"/>
      </w:pPr>
      <w:r>
        <w:rPr/>
        <w:t>3、因金融市场危机、代理商违约、基金托管人违约等超出基金管理人自身控制能力的因素出现，可能导致基金或者基金份额持有人利益受损的风险。</w:t>
      </w:r>
    </w:p>
    <w:p>
      <w:pPr>
        <w:pStyle w:val="BodyText"/>
        <w:spacing w:line="364" w:lineRule="auto"/>
        <w:ind w:left="293" w:right="977" w:firstLine="457"/>
      </w:pPr>
      <w:r>
        <w:rPr/>
        <w:t>4、因固定收益类金融工具主要在场外市场进行交易，场外市场交易现阶段自动化程度较场内市场低，本基金在投资运作过程中可能面临操作风险。</w:t>
      </w:r>
    </w:p>
    <w:p>
      <w:pPr>
        <w:spacing w:after="0" w:line="364" w:lineRule="auto"/>
        <w:sectPr>
          <w:pgSz w:w="11910" w:h="16840"/>
          <w:pgMar w:header="0" w:footer="1172" w:top="1580" w:bottom="1440" w:left="1520" w:right="360"/>
        </w:sectPr>
      </w:pPr>
    </w:p>
    <w:p>
      <w:pPr>
        <w:pStyle w:val="Heading1"/>
        <w:ind w:left="2863"/>
      </w:pPr>
      <w:bookmarkStart w:name="_bookmark79" w:id="80"/>
      <w:bookmarkEnd w:id="80"/>
      <w:r>
        <w:rPr>
          <w:b w:val="0"/>
        </w:rPr>
      </w:r>
      <w:r>
        <w:rPr/>
        <w:t>十七、基金合同的终止与清算</w:t>
      </w:r>
    </w:p>
    <w:p>
      <w:pPr>
        <w:pStyle w:val="Heading2"/>
        <w:spacing w:before="118"/>
      </w:pPr>
      <w:bookmarkStart w:name="_bookmark80" w:id="81"/>
      <w:bookmarkEnd w:id="81"/>
      <w:r>
        <w:rPr/>
      </w:r>
      <w:r>
        <w:rPr/>
        <w:t>（一）基金合同的终止</w:t>
      </w:r>
    </w:p>
    <w:p>
      <w:pPr>
        <w:pStyle w:val="BodyText"/>
        <w:spacing w:before="184"/>
      </w:pPr>
      <w:r>
        <w:rPr/>
        <w:t>有下列情形之一的，基金合同经中国证监会批准后将终止：</w:t>
      </w:r>
    </w:p>
    <w:p>
      <w:pPr>
        <w:pStyle w:val="BodyText"/>
        <w:spacing w:line="364" w:lineRule="auto" w:before="140"/>
        <w:ind w:left="293" w:right="1082" w:firstLine="457"/>
      </w:pPr>
      <w:r>
        <w:rPr/>
        <w:t>1、存续期间内，基金份额持有人数量连续60个工作日达不到100人，或连续60个工作日基金资产净值低于人民币5000万元，基金管理人将宣布本基金合同终止；</w:t>
      </w:r>
    </w:p>
    <w:p>
      <w:pPr>
        <w:pStyle w:val="BodyText"/>
        <w:spacing w:line="268" w:lineRule="exact"/>
        <w:ind w:left="751"/>
      </w:pPr>
      <w:r>
        <w:rPr/>
        <w:t>2、基金合同经持有人大会表决终止的；</w:t>
      </w:r>
    </w:p>
    <w:p>
      <w:pPr>
        <w:pStyle w:val="BodyText"/>
        <w:spacing w:before="139"/>
        <w:ind w:left="751"/>
      </w:pPr>
      <w:r>
        <w:rPr/>
        <w:t>3、因重大违法、违规行为，基金被中国证监会责令终止的；</w:t>
      </w:r>
    </w:p>
    <w:p>
      <w:pPr>
        <w:pStyle w:val="BodyText"/>
        <w:spacing w:line="364" w:lineRule="auto" w:before="140"/>
        <w:ind w:left="293" w:right="977" w:firstLine="457"/>
      </w:pPr>
      <w:r>
        <w:rPr/>
        <w:t>4、基金管理人因解散、破产、撤销、丧失基金管理机构资格、停止营业等事由，不能继续担任本基金管理人的职务，而无其它基金管理公司承受其原有权利及义务；</w:t>
      </w:r>
    </w:p>
    <w:p>
      <w:pPr>
        <w:pStyle w:val="BodyText"/>
        <w:spacing w:line="364" w:lineRule="auto"/>
        <w:ind w:left="293" w:right="977" w:firstLine="457"/>
      </w:pPr>
      <w:r>
        <w:rPr/>
        <w:t>5、基金托管人因解散、破产、撤销、丧失基金托管机构资格、停止营业等事由，不能继续担任本基金托管人的职务，而无其它托管机构承受其原有权利及义务；</w:t>
      </w:r>
    </w:p>
    <w:p>
      <w:pPr>
        <w:pStyle w:val="BodyText"/>
        <w:spacing w:line="268" w:lineRule="exact"/>
        <w:ind w:left="751"/>
      </w:pPr>
      <w:r>
        <w:rPr/>
        <w:t>6、由于投资方向变更引起的基金合并、撤销；</w:t>
      </w:r>
    </w:p>
    <w:p>
      <w:pPr>
        <w:pStyle w:val="BodyText"/>
        <w:spacing w:before="138"/>
        <w:ind w:left="751"/>
      </w:pPr>
      <w:r>
        <w:rPr/>
        <w:t>7、中国证监会允许的其他情况。</w:t>
      </w:r>
    </w:p>
    <w:p>
      <w:pPr>
        <w:pStyle w:val="BodyText"/>
        <w:spacing w:line="364" w:lineRule="auto" w:before="140"/>
        <w:ind w:left="293" w:right="1082" w:firstLine="457"/>
        <w:jc w:val="both"/>
      </w:pPr>
      <w:r>
        <w:rPr>
          <w:spacing w:val="-16"/>
        </w:rPr>
        <w:t>基金合同终止后，基金管理人和基金托管人依照《基金法》、《信托法》、《基金合同》及其</w:t>
      </w:r>
      <w:r>
        <w:rPr/>
        <w:t>他有关规定，行使请求给付报酬，从基金资产中获得补偿的权利时，可以留置基金资产或者对基金资产的权利归属人提出请求。</w:t>
      </w:r>
    </w:p>
    <w:p>
      <w:pPr>
        <w:pStyle w:val="Heading2"/>
        <w:spacing w:line="358" w:lineRule="exact"/>
      </w:pPr>
      <w:bookmarkStart w:name="_bookmark81" w:id="82"/>
      <w:bookmarkEnd w:id="82"/>
      <w:r>
        <w:rPr/>
      </w:r>
      <w:r>
        <w:rPr/>
        <w:t>（二）基金财产的清算</w:t>
      </w:r>
    </w:p>
    <w:p>
      <w:pPr>
        <w:pStyle w:val="BodyText"/>
        <w:spacing w:before="185"/>
      </w:pPr>
      <w:r>
        <w:rPr/>
        <w:t>1、基金财产清算小组</w:t>
      </w:r>
    </w:p>
    <w:p>
      <w:pPr>
        <w:pStyle w:val="ListParagraph"/>
        <w:numPr>
          <w:ilvl w:val="0"/>
          <w:numId w:val="36"/>
        </w:numPr>
        <w:tabs>
          <w:tab w:pos="1244" w:val="left" w:leader="none"/>
        </w:tabs>
        <w:spacing w:line="364" w:lineRule="auto" w:before="139" w:after="0"/>
        <w:ind w:left="293" w:right="936" w:firstLine="420"/>
        <w:jc w:val="left"/>
        <w:rPr>
          <w:sz w:val="21"/>
        </w:rPr>
      </w:pPr>
      <w:r>
        <w:rPr>
          <w:sz w:val="21"/>
        </w:rPr>
        <w:t>自基金合同终止之日起30</w:t>
      </w:r>
      <w:r>
        <w:rPr>
          <w:spacing w:val="-1"/>
          <w:sz w:val="21"/>
        </w:rPr>
        <w:t>个工作日内成立基金财产清算小组，基金财产清算小组在中</w:t>
      </w:r>
      <w:r>
        <w:rPr>
          <w:sz w:val="21"/>
        </w:rPr>
        <w:t>国证监会的监督下进行基金财产清算。</w:t>
      </w:r>
    </w:p>
    <w:p>
      <w:pPr>
        <w:pStyle w:val="ListParagraph"/>
        <w:numPr>
          <w:ilvl w:val="0"/>
          <w:numId w:val="36"/>
        </w:numPr>
        <w:tabs>
          <w:tab w:pos="1244" w:val="left" w:leader="none"/>
        </w:tabs>
        <w:spacing w:line="364" w:lineRule="auto" w:before="0" w:after="0"/>
        <w:ind w:left="293" w:right="936" w:firstLine="420"/>
        <w:jc w:val="both"/>
        <w:rPr>
          <w:sz w:val="21"/>
        </w:rPr>
      </w:pPr>
      <w:r>
        <w:rPr>
          <w:sz w:val="21"/>
        </w:rPr>
        <w:t>基金财产清算小组成员由基金发起人、基金管理人、基金托管人、具有从事证券相关</w:t>
      </w:r>
      <w:r>
        <w:rPr>
          <w:spacing w:val="3"/>
          <w:sz w:val="21"/>
        </w:rPr>
        <w:t>业务资格的注册会计师、具有从事证券法律业务资格的律师以及中国证监会指定的人员组成。基金财产清算小组可以聘用必要的工作人员。基金财产清算小组在成立后五个工作日内应当公告。</w:t>
      </w:r>
    </w:p>
    <w:p>
      <w:pPr>
        <w:pStyle w:val="ListParagraph"/>
        <w:numPr>
          <w:ilvl w:val="0"/>
          <w:numId w:val="36"/>
        </w:numPr>
        <w:tabs>
          <w:tab w:pos="1244" w:val="left" w:leader="none"/>
        </w:tabs>
        <w:spacing w:line="364" w:lineRule="auto" w:before="0" w:after="0"/>
        <w:ind w:left="293" w:right="936" w:firstLine="420"/>
        <w:jc w:val="left"/>
        <w:rPr>
          <w:sz w:val="21"/>
        </w:rPr>
      </w:pPr>
      <w:r>
        <w:rPr>
          <w:sz w:val="21"/>
        </w:rPr>
        <w:t>基金财产清算小组负责基金资产的保管、清理、估价、变现和分配。基金财产清算小组可以依法以基金的名义进行必要的民事活动。</w:t>
      </w:r>
    </w:p>
    <w:p>
      <w:pPr>
        <w:pStyle w:val="BodyText"/>
        <w:spacing w:line="268" w:lineRule="exact"/>
      </w:pPr>
      <w:r>
        <w:rPr/>
        <w:t>2、清算程序</w:t>
      </w:r>
    </w:p>
    <w:p>
      <w:pPr>
        <w:pStyle w:val="ListParagraph"/>
        <w:numPr>
          <w:ilvl w:val="0"/>
          <w:numId w:val="37"/>
        </w:numPr>
        <w:tabs>
          <w:tab w:pos="1134" w:val="left" w:leader="none"/>
        </w:tabs>
        <w:spacing w:line="240" w:lineRule="auto" w:before="137" w:after="0"/>
        <w:ind w:left="1134" w:right="0" w:hanging="421"/>
        <w:jc w:val="left"/>
        <w:rPr>
          <w:sz w:val="21"/>
        </w:rPr>
      </w:pPr>
      <w:r>
        <w:rPr>
          <w:sz w:val="21"/>
        </w:rPr>
        <w:t>基金合同终止后，由基金财产清算小组统一接管基金；</w:t>
      </w:r>
    </w:p>
    <w:p>
      <w:pPr>
        <w:pStyle w:val="ListParagraph"/>
        <w:numPr>
          <w:ilvl w:val="0"/>
          <w:numId w:val="37"/>
        </w:numPr>
        <w:tabs>
          <w:tab w:pos="1134" w:val="left" w:leader="none"/>
        </w:tabs>
        <w:spacing w:line="240" w:lineRule="auto" w:before="139" w:after="0"/>
        <w:ind w:left="1134" w:right="0" w:hanging="421"/>
        <w:jc w:val="left"/>
        <w:rPr>
          <w:sz w:val="21"/>
        </w:rPr>
      </w:pPr>
      <w:r>
        <w:rPr>
          <w:sz w:val="21"/>
        </w:rPr>
        <w:t>对基金资产和债权债务进行清理和确认；</w:t>
      </w:r>
    </w:p>
    <w:p>
      <w:pPr>
        <w:pStyle w:val="ListParagraph"/>
        <w:numPr>
          <w:ilvl w:val="0"/>
          <w:numId w:val="37"/>
        </w:numPr>
        <w:tabs>
          <w:tab w:pos="1134" w:val="left" w:leader="none"/>
        </w:tabs>
        <w:spacing w:line="240" w:lineRule="auto" w:before="139" w:after="0"/>
        <w:ind w:left="1134" w:right="0" w:hanging="421"/>
        <w:jc w:val="left"/>
        <w:rPr>
          <w:sz w:val="21"/>
        </w:rPr>
      </w:pPr>
      <w:r>
        <w:rPr>
          <w:sz w:val="21"/>
        </w:rPr>
        <w:t>对基金资产进行估值和变现；</w:t>
      </w:r>
    </w:p>
    <w:p>
      <w:pPr>
        <w:pStyle w:val="ListParagraph"/>
        <w:numPr>
          <w:ilvl w:val="0"/>
          <w:numId w:val="37"/>
        </w:numPr>
        <w:tabs>
          <w:tab w:pos="1134" w:val="left" w:leader="none"/>
        </w:tabs>
        <w:spacing w:line="240" w:lineRule="auto" w:before="140" w:after="0"/>
        <w:ind w:left="1134" w:right="0" w:hanging="421"/>
        <w:jc w:val="left"/>
        <w:rPr>
          <w:sz w:val="21"/>
        </w:rPr>
      </w:pPr>
      <w:r>
        <w:rPr>
          <w:sz w:val="21"/>
        </w:rPr>
        <w:t>将基金财产清算结果报告中国证监会；</w:t>
      </w:r>
    </w:p>
    <w:p>
      <w:pPr>
        <w:pStyle w:val="ListParagraph"/>
        <w:numPr>
          <w:ilvl w:val="0"/>
          <w:numId w:val="37"/>
        </w:numPr>
        <w:tabs>
          <w:tab w:pos="1134" w:val="left" w:leader="none"/>
        </w:tabs>
        <w:spacing w:line="240" w:lineRule="auto" w:before="139" w:after="0"/>
        <w:ind w:left="1134" w:right="0" w:hanging="421"/>
        <w:jc w:val="left"/>
        <w:rPr>
          <w:sz w:val="21"/>
        </w:rPr>
      </w:pPr>
      <w:r>
        <w:rPr>
          <w:sz w:val="21"/>
        </w:rPr>
        <w:t>公布基金财产清算公告；</w:t>
      </w:r>
    </w:p>
    <w:p>
      <w:pPr>
        <w:spacing w:after="0" w:line="240" w:lineRule="auto"/>
        <w:jc w:val="left"/>
        <w:rPr>
          <w:sz w:val="21"/>
        </w:rPr>
        <w:sectPr>
          <w:pgSz w:w="11910" w:h="16840"/>
          <w:pgMar w:header="0" w:footer="1172" w:top="1580" w:bottom="1440" w:left="1520" w:right="360"/>
        </w:sectPr>
      </w:pPr>
    </w:p>
    <w:p>
      <w:pPr>
        <w:pStyle w:val="ListParagraph"/>
        <w:numPr>
          <w:ilvl w:val="0"/>
          <w:numId w:val="37"/>
        </w:numPr>
        <w:tabs>
          <w:tab w:pos="1134" w:val="left" w:leader="none"/>
        </w:tabs>
        <w:spacing w:line="240" w:lineRule="auto" w:before="106" w:after="0"/>
        <w:ind w:left="1134" w:right="0" w:hanging="421"/>
        <w:jc w:val="left"/>
        <w:rPr>
          <w:sz w:val="21"/>
        </w:rPr>
      </w:pPr>
      <w:r>
        <w:rPr>
          <w:sz w:val="21"/>
        </w:rPr>
        <w:t>对基金资产进行分配。</w:t>
      </w:r>
    </w:p>
    <w:p>
      <w:pPr>
        <w:pStyle w:val="BodyText"/>
        <w:spacing w:before="139"/>
      </w:pPr>
      <w:r>
        <w:rPr/>
        <w:t>3、清算费用</w:t>
      </w:r>
    </w:p>
    <w:p>
      <w:pPr>
        <w:pStyle w:val="BodyText"/>
        <w:spacing w:line="364" w:lineRule="auto" w:before="140"/>
        <w:ind w:left="293" w:right="936" w:firstLine="420"/>
      </w:pPr>
      <w:r>
        <w:rPr/>
        <w:t>清算费用是指基金财产清算小组在进行基金财产清算过程中发生的所有合理费用，清算费用由基金财产清算小组优先从基金资产中支付。</w:t>
      </w:r>
    </w:p>
    <w:p>
      <w:pPr>
        <w:pStyle w:val="BodyText"/>
        <w:spacing w:line="268" w:lineRule="exact"/>
      </w:pPr>
      <w:r>
        <w:rPr/>
        <w:t>4、基金清算剩余财产的分配</w:t>
      </w:r>
    </w:p>
    <w:p>
      <w:pPr>
        <w:pStyle w:val="ListParagraph"/>
        <w:numPr>
          <w:ilvl w:val="0"/>
          <w:numId w:val="38"/>
        </w:numPr>
        <w:tabs>
          <w:tab w:pos="1074" w:val="left" w:leader="none"/>
        </w:tabs>
        <w:spacing w:line="240" w:lineRule="auto" w:before="139" w:after="0"/>
        <w:ind w:left="1074" w:right="0" w:hanging="361"/>
        <w:jc w:val="left"/>
        <w:rPr>
          <w:sz w:val="21"/>
        </w:rPr>
      </w:pPr>
      <w:r>
        <w:rPr>
          <w:sz w:val="21"/>
        </w:rPr>
        <w:t>支付清算费用；</w:t>
      </w:r>
    </w:p>
    <w:p>
      <w:pPr>
        <w:pStyle w:val="ListParagraph"/>
        <w:numPr>
          <w:ilvl w:val="0"/>
          <w:numId w:val="38"/>
        </w:numPr>
        <w:tabs>
          <w:tab w:pos="1074" w:val="left" w:leader="none"/>
        </w:tabs>
        <w:spacing w:line="240" w:lineRule="auto" w:before="140" w:after="0"/>
        <w:ind w:left="1074" w:right="0" w:hanging="361"/>
        <w:jc w:val="left"/>
        <w:rPr>
          <w:sz w:val="21"/>
        </w:rPr>
      </w:pPr>
      <w:r>
        <w:rPr>
          <w:sz w:val="21"/>
        </w:rPr>
        <w:t>交纳所欠税款；</w:t>
      </w:r>
    </w:p>
    <w:p>
      <w:pPr>
        <w:pStyle w:val="ListParagraph"/>
        <w:numPr>
          <w:ilvl w:val="0"/>
          <w:numId w:val="38"/>
        </w:numPr>
        <w:tabs>
          <w:tab w:pos="1074" w:val="left" w:leader="none"/>
        </w:tabs>
        <w:spacing w:line="240" w:lineRule="auto" w:before="139" w:after="0"/>
        <w:ind w:left="1074" w:right="0" w:hanging="361"/>
        <w:jc w:val="left"/>
        <w:rPr>
          <w:sz w:val="21"/>
        </w:rPr>
      </w:pPr>
      <w:r>
        <w:rPr>
          <w:sz w:val="21"/>
        </w:rPr>
        <w:t>清偿基金债务；</w:t>
      </w:r>
    </w:p>
    <w:p>
      <w:pPr>
        <w:pStyle w:val="ListParagraph"/>
        <w:numPr>
          <w:ilvl w:val="0"/>
          <w:numId w:val="38"/>
        </w:numPr>
        <w:tabs>
          <w:tab w:pos="1074" w:val="left" w:leader="none"/>
        </w:tabs>
        <w:spacing w:line="240" w:lineRule="auto" w:before="140" w:after="0"/>
        <w:ind w:left="1074" w:right="0" w:hanging="361"/>
        <w:jc w:val="left"/>
        <w:rPr>
          <w:sz w:val="21"/>
        </w:rPr>
      </w:pPr>
      <w:r>
        <w:rPr>
          <w:sz w:val="21"/>
        </w:rPr>
        <w:t>按基金份额持有人持有的基金份额比例进行分配。</w:t>
      </w:r>
    </w:p>
    <w:p>
      <w:pPr>
        <w:pStyle w:val="BodyText"/>
        <w:spacing w:before="139"/>
      </w:pPr>
      <w:r>
        <w:rPr/>
        <w:t>基金资产未按前款（1）至（3）项规定清偿前，不分配给基金份额持有人</w:t>
      </w:r>
    </w:p>
    <w:p>
      <w:pPr>
        <w:pStyle w:val="BodyText"/>
        <w:spacing w:before="139"/>
      </w:pPr>
      <w:r>
        <w:rPr/>
        <w:t>5、基金财产清算的公告</w:t>
      </w:r>
    </w:p>
    <w:p>
      <w:pPr>
        <w:pStyle w:val="BodyText"/>
        <w:spacing w:line="364" w:lineRule="auto" w:before="140"/>
        <w:ind w:left="293" w:right="936" w:firstLine="420"/>
        <w:jc w:val="both"/>
      </w:pPr>
      <w:r>
        <w:rPr/>
        <w:t>基金合同终止并报中国证监会备案后 5 个工作日内由基金财产清算小组公告；清算过程中的有关重大事项须及时公告；基金财产清算结果由基金财产清算小组经中国证监会批准后 3 个工作日内公告。</w:t>
      </w:r>
    </w:p>
    <w:p>
      <w:pPr>
        <w:pStyle w:val="BodyText"/>
        <w:spacing w:line="268" w:lineRule="exact"/>
      </w:pPr>
      <w:r>
        <w:rPr/>
        <w:t>6、清算帐册及文件的保存</w:t>
      </w:r>
    </w:p>
    <w:p>
      <w:pPr>
        <w:pStyle w:val="BodyText"/>
        <w:spacing w:before="139"/>
      </w:pPr>
      <w:r>
        <w:rPr/>
        <w:t>基金财产清算帐册及有关文件由基金托管人保存 15 年以上。</w:t>
      </w:r>
    </w:p>
    <w:p>
      <w:pPr>
        <w:spacing w:after="0"/>
        <w:sectPr>
          <w:pgSz w:w="11910" w:h="16840"/>
          <w:pgMar w:header="0" w:footer="1172" w:top="1580" w:bottom="1440" w:left="1520" w:right="360"/>
        </w:sectPr>
      </w:pPr>
    </w:p>
    <w:p>
      <w:pPr>
        <w:pStyle w:val="Heading1"/>
        <w:ind w:left="3004"/>
      </w:pPr>
      <w:bookmarkStart w:name="_bookmark82" w:id="83"/>
      <w:bookmarkEnd w:id="83"/>
      <w:r>
        <w:rPr>
          <w:b w:val="0"/>
        </w:rPr>
      </w:r>
      <w:r>
        <w:rPr/>
        <w:t>十八、基金合同的内容摘要</w:t>
      </w:r>
    </w:p>
    <w:p>
      <w:pPr>
        <w:pStyle w:val="Heading2"/>
        <w:spacing w:before="118"/>
      </w:pPr>
      <w:bookmarkStart w:name="_bookmark83" w:id="84"/>
      <w:bookmarkEnd w:id="84"/>
      <w:r>
        <w:rPr/>
      </w:r>
      <w:r>
        <w:rPr/>
        <w:t>（一）基金管理人的权利和义务</w:t>
      </w:r>
    </w:p>
    <w:p>
      <w:pPr>
        <w:pStyle w:val="BodyText"/>
        <w:spacing w:before="184"/>
        <w:ind w:left="922"/>
      </w:pPr>
      <w:r>
        <w:rPr/>
        <w:t>1、基金管理人的权利</w:t>
      </w:r>
    </w:p>
    <w:p>
      <w:pPr>
        <w:pStyle w:val="ListParagraph"/>
        <w:numPr>
          <w:ilvl w:val="1"/>
          <w:numId w:val="38"/>
        </w:numPr>
        <w:tabs>
          <w:tab w:pos="1554" w:val="left" w:leader="none"/>
        </w:tabs>
        <w:spacing w:line="364" w:lineRule="auto" w:before="140" w:after="0"/>
        <w:ind w:left="923" w:right="936" w:firstLine="210"/>
        <w:jc w:val="left"/>
        <w:rPr>
          <w:sz w:val="21"/>
        </w:rPr>
      </w:pPr>
      <w:r>
        <w:rPr>
          <w:spacing w:val="4"/>
          <w:sz w:val="21"/>
        </w:rPr>
        <w:t>自本基金合同生效之日起，基金管理人根据《基金合同》的规定，独立运用并管理基金资产；</w:t>
      </w:r>
    </w:p>
    <w:p>
      <w:pPr>
        <w:pStyle w:val="ListParagraph"/>
        <w:numPr>
          <w:ilvl w:val="1"/>
          <w:numId w:val="38"/>
        </w:numPr>
        <w:tabs>
          <w:tab w:pos="1554" w:val="left" w:leader="none"/>
        </w:tabs>
        <w:spacing w:line="268" w:lineRule="exact" w:before="0" w:after="0"/>
        <w:ind w:left="1554" w:right="0" w:hanging="421"/>
        <w:jc w:val="left"/>
        <w:rPr>
          <w:sz w:val="21"/>
        </w:rPr>
      </w:pPr>
      <w:r>
        <w:rPr>
          <w:sz w:val="21"/>
        </w:rPr>
        <w:t>根据《基金合同》的规定获得基金管理费；</w:t>
      </w:r>
    </w:p>
    <w:p>
      <w:pPr>
        <w:pStyle w:val="ListParagraph"/>
        <w:numPr>
          <w:ilvl w:val="1"/>
          <w:numId w:val="38"/>
        </w:numPr>
        <w:tabs>
          <w:tab w:pos="1554" w:val="left" w:leader="none"/>
        </w:tabs>
        <w:spacing w:line="364" w:lineRule="auto" w:before="139" w:after="0"/>
        <w:ind w:left="923" w:right="936" w:firstLine="210"/>
        <w:jc w:val="left"/>
        <w:rPr>
          <w:sz w:val="21"/>
        </w:rPr>
      </w:pPr>
      <w:r>
        <w:rPr>
          <w:spacing w:val="10"/>
          <w:sz w:val="21"/>
        </w:rPr>
        <w:t>在符合有关法律法规和《基金合同》的前提下，制订和调整开放式基金业务规则，决定基金的相关费率结构和收费方式；</w:t>
      </w:r>
    </w:p>
    <w:p>
      <w:pPr>
        <w:pStyle w:val="ListParagraph"/>
        <w:numPr>
          <w:ilvl w:val="1"/>
          <w:numId w:val="38"/>
        </w:numPr>
        <w:tabs>
          <w:tab w:pos="1554" w:val="left" w:leader="none"/>
        </w:tabs>
        <w:spacing w:line="364" w:lineRule="auto" w:before="0" w:after="0"/>
        <w:ind w:left="923" w:right="936" w:firstLine="210"/>
        <w:jc w:val="left"/>
        <w:rPr>
          <w:sz w:val="21"/>
        </w:rPr>
      </w:pPr>
      <w:r>
        <w:rPr>
          <w:spacing w:val="4"/>
          <w:sz w:val="21"/>
        </w:rPr>
        <w:t>根据《基金合同》规定销售基金份额，并收取基金认购费、赎回费及其他法律法规规定的费用；</w:t>
      </w:r>
    </w:p>
    <w:p>
      <w:pPr>
        <w:pStyle w:val="ListParagraph"/>
        <w:numPr>
          <w:ilvl w:val="1"/>
          <w:numId w:val="38"/>
        </w:numPr>
        <w:tabs>
          <w:tab w:pos="1554" w:val="left" w:leader="none"/>
        </w:tabs>
        <w:spacing w:line="364" w:lineRule="auto" w:before="0" w:after="0"/>
        <w:ind w:left="923" w:right="936" w:firstLine="210"/>
        <w:jc w:val="left"/>
        <w:rPr>
          <w:sz w:val="21"/>
        </w:rPr>
      </w:pPr>
      <w:r>
        <w:rPr>
          <w:spacing w:val="4"/>
          <w:sz w:val="21"/>
        </w:rPr>
        <w:t>担任基金的注册登记人并获得《基金合同》规定的注册登记费用；选择和更换注册登记代理机构,并对其注册登记代理行为进行必要的监督；</w:t>
      </w:r>
    </w:p>
    <w:p>
      <w:pPr>
        <w:pStyle w:val="ListParagraph"/>
        <w:numPr>
          <w:ilvl w:val="1"/>
          <w:numId w:val="38"/>
        </w:numPr>
        <w:tabs>
          <w:tab w:pos="1554" w:val="left" w:leader="none"/>
        </w:tabs>
        <w:spacing w:line="268" w:lineRule="exact" w:before="0" w:after="0"/>
        <w:ind w:left="1554" w:right="0" w:hanging="421"/>
        <w:jc w:val="left"/>
        <w:rPr>
          <w:sz w:val="21"/>
        </w:rPr>
      </w:pPr>
      <w:r>
        <w:rPr>
          <w:sz w:val="21"/>
        </w:rPr>
        <w:t>根据有关法律法规和基金合同的规定，决定开展认购、赎回、基金转换等业务；</w:t>
      </w:r>
    </w:p>
    <w:p>
      <w:pPr>
        <w:pStyle w:val="ListParagraph"/>
        <w:numPr>
          <w:ilvl w:val="1"/>
          <w:numId w:val="38"/>
        </w:numPr>
        <w:tabs>
          <w:tab w:pos="1554" w:val="left" w:leader="none"/>
        </w:tabs>
        <w:spacing w:line="364" w:lineRule="auto" w:before="138" w:after="0"/>
        <w:ind w:left="923" w:right="936" w:firstLine="210"/>
        <w:jc w:val="left"/>
        <w:rPr>
          <w:sz w:val="21"/>
        </w:rPr>
      </w:pPr>
      <w:r>
        <w:rPr>
          <w:spacing w:val="4"/>
          <w:sz w:val="21"/>
        </w:rPr>
        <w:t>在基金存续期内，根据有关法律法规和基金合同的规定，决定拒绝和暂停受理基金份额的申购、赎回和转换申请；</w:t>
      </w:r>
    </w:p>
    <w:p>
      <w:pPr>
        <w:pStyle w:val="ListParagraph"/>
        <w:numPr>
          <w:ilvl w:val="1"/>
          <w:numId w:val="38"/>
        </w:numPr>
        <w:tabs>
          <w:tab w:pos="1554" w:val="left" w:leader="none"/>
        </w:tabs>
        <w:spacing w:line="268" w:lineRule="exact" w:before="0" w:after="0"/>
        <w:ind w:left="1554" w:right="0" w:hanging="421"/>
        <w:jc w:val="left"/>
        <w:rPr>
          <w:sz w:val="21"/>
        </w:rPr>
      </w:pPr>
      <w:r>
        <w:rPr>
          <w:sz w:val="21"/>
        </w:rPr>
        <w:t>依据《基金合同》的规定，决定基金收益的分配方案；</w:t>
      </w:r>
    </w:p>
    <w:p>
      <w:pPr>
        <w:pStyle w:val="ListParagraph"/>
        <w:numPr>
          <w:ilvl w:val="1"/>
          <w:numId w:val="38"/>
        </w:numPr>
        <w:tabs>
          <w:tab w:pos="1554" w:val="left" w:leader="none"/>
        </w:tabs>
        <w:spacing w:line="240" w:lineRule="auto" w:before="139" w:after="0"/>
        <w:ind w:left="1554" w:right="0" w:hanging="421"/>
        <w:jc w:val="both"/>
        <w:rPr>
          <w:sz w:val="21"/>
        </w:rPr>
      </w:pPr>
      <w:r>
        <w:rPr>
          <w:sz w:val="21"/>
        </w:rPr>
        <w:t>提议召开基金份额持有人大会；</w:t>
      </w:r>
    </w:p>
    <w:p>
      <w:pPr>
        <w:pStyle w:val="ListParagraph"/>
        <w:numPr>
          <w:ilvl w:val="1"/>
          <w:numId w:val="38"/>
        </w:numPr>
        <w:tabs>
          <w:tab w:pos="1974" w:val="left" w:leader="none"/>
        </w:tabs>
        <w:spacing w:line="240" w:lineRule="auto" w:before="140" w:after="0"/>
        <w:ind w:left="1974" w:right="0" w:hanging="841"/>
        <w:jc w:val="both"/>
        <w:rPr>
          <w:sz w:val="21"/>
        </w:rPr>
      </w:pPr>
      <w:r>
        <w:rPr>
          <w:sz w:val="21"/>
        </w:rPr>
        <w:t>在基金托管人更换时，提名新的基金托管人；</w:t>
      </w:r>
    </w:p>
    <w:p>
      <w:pPr>
        <w:pStyle w:val="ListParagraph"/>
        <w:numPr>
          <w:ilvl w:val="1"/>
          <w:numId w:val="38"/>
        </w:numPr>
        <w:tabs>
          <w:tab w:pos="1974" w:val="left" w:leader="none"/>
        </w:tabs>
        <w:spacing w:line="364" w:lineRule="auto" w:before="139" w:after="0"/>
        <w:ind w:left="923" w:right="936" w:firstLine="210"/>
        <w:jc w:val="both"/>
        <w:rPr>
          <w:sz w:val="21"/>
        </w:rPr>
      </w:pPr>
      <w:r>
        <w:rPr>
          <w:spacing w:val="4"/>
          <w:sz w:val="21"/>
        </w:rPr>
        <w:t>依据《基金合同》及有关法律规定监督基金托管人，如认为基金托管人违反</w:t>
      </w:r>
      <w:r>
        <w:rPr>
          <w:spacing w:val="3"/>
          <w:sz w:val="21"/>
        </w:rPr>
        <w:t>了本基金合同或国家有关法律规定对基金资产或基金份额持有人利益造成重大损失的， 应呈报中国证监会和中国银监会，并有权提议召开基金份额持有人大会，由基金份额持有人大会表决更换基金托管人，或采取其它必要措施保护基金投资者的利益；</w:t>
      </w:r>
    </w:p>
    <w:p>
      <w:pPr>
        <w:pStyle w:val="ListParagraph"/>
        <w:numPr>
          <w:ilvl w:val="1"/>
          <w:numId w:val="38"/>
        </w:numPr>
        <w:tabs>
          <w:tab w:pos="1974" w:val="left" w:leader="none"/>
        </w:tabs>
        <w:spacing w:line="364" w:lineRule="auto" w:before="0" w:after="0"/>
        <w:ind w:left="923" w:right="936" w:firstLine="210"/>
        <w:jc w:val="both"/>
        <w:rPr>
          <w:sz w:val="21"/>
        </w:rPr>
      </w:pPr>
      <w:r>
        <w:rPr>
          <w:spacing w:val="4"/>
          <w:sz w:val="21"/>
        </w:rPr>
        <w:t>选择、更换基金代销机构，对基金代销机构行为进行必要的监督和检查；如</w:t>
      </w:r>
      <w:r>
        <w:rPr>
          <w:sz w:val="21"/>
        </w:rPr>
        <w:t>果基金管理人认为基金代销机构的作为或不作为违反了法律法规、《基金合同》或基金销售代理协议，基金管理人应行使法律法规、《基金合同》或基金销售代理协议赋予、给</w:t>
      </w:r>
      <w:r>
        <w:rPr>
          <w:spacing w:val="3"/>
          <w:sz w:val="21"/>
        </w:rPr>
        <w:t>予、规定的基金管理人的任何及所有权利和救济措施，以保护基金资产的安全和基金投资者的利益；</w:t>
      </w:r>
    </w:p>
    <w:p>
      <w:pPr>
        <w:pStyle w:val="ListParagraph"/>
        <w:numPr>
          <w:ilvl w:val="1"/>
          <w:numId w:val="38"/>
        </w:numPr>
        <w:tabs>
          <w:tab w:pos="1974" w:val="left" w:leader="none"/>
        </w:tabs>
        <w:spacing w:line="364" w:lineRule="auto" w:before="0" w:after="0"/>
        <w:ind w:left="923" w:right="936" w:firstLine="210"/>
        <w:jc w:val="both"/>
        <w:rPr>
          <w:sz w:val="21"/>
        </w:rPr>
      </w:pPr>
      <w:r>
        <w:rPr>
          <w:spacing w:val="11"/>
          <w:sz w:val="21"/>
        </w:rPr>
        <w:t>以基金资产负担因处理基金事务所支出的其他费用以及对第三人所负的债务，若基金管理人以其自有财产先行支付的，对基金资产有优先受偿的权利；</w:t>
      </w:r>
    </w:p>
    <w:p>
      <w:pPr>
        <w:pStyle w:val="ListParagraph"/>
        <w:numPr>
          <w:ilvl w:val="1"/>
          <w:numId w:val="38"/>
        </w:numPr>
        <w:tabs>
          <w:tab w:pos="1974" w:val="left" w:leader="none"/>
        </w:tabs>
        <w:spacing w:line="364" w:lineRule="auto" w:before="0" w:after="0"/>
        <w:ind w:left="923" w:right="936" w:firstLine="210"/>
        <w:jc w:val="both"/>
        <w:rPr>
          <w:sz w:val="21"/>
        </w:rPr>
      </w:pPr>
      <w:r>
        <w:rPr>
          <w:spacing w:val="-10"/>
          <w:sz w:val="21"/>
        </w:rPr>
        <w:t>按照《试点办法》，代表基金对其所投资的企业依法行使股东权利或行使因投资于其他证券产生的权利；</w:t>
      </w:r>
    </w:p>
    <w:p>
      <w:pPr>
        <w:pStyle w:val="ListParagraph"/>
        <w:numPr>
          <w:ilvl w:val="1"/>
          <w:numId w:val="38"/>
        </w:numPr>
        <w:tabs>
          <w:tab w:pos="1974" w:val="left" w:leader="none"/>
        </w:tabs>
        <w:spacing w:line="268" w:lineRule="exact" w:before="0" w:after="0"/>
        <w:ind w:left="1974" w:right="0" w:hanging="841"/>
        <w:jc w:val="both"/>
        <w:rPr>
          <w:sz w:val="21"/>
        </w:rPr>
      </w:pPr>
      <w:r>
        <w:rPr>
          <w:spacing w:val="4"/>
          <w:sz w:val="21"/>
        </w:rPr>
        <w:t>本基金终止时，组建或参加清算小组，参与基金资产的保管、清理、估价、</w:t>
      </w:r>
    </w:p>
    <w:p>
      <w:pPr>
        <w:spacing w:after="0" w:line="268" w:lineRule="exact"/>
        <w:jc w:val="both"/>
        <w:rPr>
          <w:sz w:val="21"/>
        </w:rPr>
        <w:sectPr>
          <w:pgSz w:w="11910" w:h="16840"/>
          <w:pgMar w:header="0" w:footer="1172" w:top="1580" w:bottom="1440" w:left="1520" w:right="360"/>
        </w:sectPr>
      </w:pPr>
    </w:p>
    <w:p>
      <w:pPr>
        <w:pStyle w:val="BodyText"/>
        <w:spacing w:before="106"/>
        <w:ind w:left="923"/>
      </w:pPr>
      <w:r>
        <w:rPr/>
        <w:t>变现和分配；</w:t>
      </w:r>
    </w:p>
    <w:p>
      <w:pPr>
        <w:pStyle w:val="ListParagraph"/>
        <w:numPr>
          <w:ilvl w:val="1"/>
          <w:numId w:val="38"/>
        </w:numPr>
        <w:tabs>
          <w:tab w:pos="1973" w:val="left" w:leader="none"/>
          <w:tab w:pos="1974" w:val="left" w:leader="none"/>
        </w:tabs>
        <w:spacing w:line="364" w:lineRule="auto" w:before="139" w:after="0"/>
        <w:ind w:left="923" w:right="936" w:firstLine="210"/>
        <w:jc w:val="left"/>
        <w:rPr>
          <w:sz w:val="21"/>
        </w:rPr>
      </w:pPr>
      <w:r>
        <w:rPr>
          <w:spacing w:val="4"/>
          <w:sz w:val="21"/>
        </w:rPr>
        <w:t>法律、法规、本《基金合同》以及依据本《基金合同》制定的其他法律文件所规定的其他权利。</w:t>
      </w:r>
    </w:p>
    <w:p>
      <w:pPr>
        <w:pStyle w:val="BodyText"/>
        <w:spacing w:line="268" w:lineRule="exact"/>
        <w:ind w:left="922"/>
      </w:pPr>
      <w:r>
        <w:rPr/>
        <w:t>2、基金管理人的义务</w:t>
      </w:r>
    </w:p>
    <w:p>
      <w:pPr>
        <w:pStyle w:val="ListParagraph"/>
        <w:numPr>
          <w:ilvl w:val="0"/>
          <w:numId w:val="39"/>
        </w:numPr>
        <w:tabs>
          <w:tab w:pos="1973" w:val="left" w:leader="none"/>
          <w:tab w:pos="1974" w:val="left" w:leader="none"/>
        </w:tabs>
        <w:spacing w:line="364" w:lineRule="auto" w:before="140" w:after="0"/>
        <w:ind w:left="923" w:right="936" w:firstLine="315"/>
        <w:jc w:val="left"/>
        <w:rPr>
          <w:sz w:val="21"/>
        </w:rPr>
      </w:pPr>
      <w:r>
        <w:rPr>
          <w:spacing w:val="-18"/>
          <w:sz w:val="21"/>
        </w:rPr>
        <w:t>基金管理人将遵守《信托法》、《试点办法》、《基金合同》及其他有关规定， 为基金份额持有人的最大利益处理基金事务；</w:t>
      </w:r>
    </w:p>
    <w:p>
      <w:pPr>
        <w:pStyle w:val="BodyText"/>
        <w:spacing w:line="364" w:lineRule="auto"/>
        <w:ind w:left="924" w:right="936" w:firstLine="630"/>
      </w:pPr>
      <w:r>
        <w:rPr/>
        <w:t>基金管理人保证恪尽职守，依照诚实信用、勤勉尽责的原则，谨慎、有效管理和运用基金资产；</w:t>
      </w:r>
    </w:p>
    <w:p>
      <w:pPr>
        <w:pStyle w:val="ListParagraph"/>
        <w:numPr>
          <w:ilvl w:val="0"/>
          <w:numId w:val="39"/>
        </w:numPr>
        <w:tabs>
          <w:tab w:pos="1974" w:val="left" w:leader="none"/>
        </w:tabs>
        <w:spacing w:line="364" w:lineRule="auto" w:before="0" w:after="0"/>
        <w:ind w:left="923" w:right="936" w:firstLine="315"/>
        <w:jc w:val="both"/>
        <w:rPr>
          <w:sz w:val="21"/>
        </w:rPr>
      </w:pPr>
      <w:r>
        <w:rPr>
          <w:spacing w:val="11"/>
          <w:sz w:val="21"/>
        </w:rPr>
        <w:t>设置相应的部门并配备足够的具有专业资格的人员进行基金投资分析、决策，以专业化的经营方式管理和运作基金资产；</w:t>
      </w:r>
    </w:p>
    <w:p>
      <w:pPr>
        <w:pStyle w:val="ListParagraph"/>
        <w:numPr>
          <w:ilvl w:val="0"/>
          <w:numId w:val="39"/>
        </w:numPr>
        <w:tabs>
          <w:tab w:pos="1974" w:val="left" w:leader="none"/>
        </w:tabs>
        <w:spacing w:line="364" w:lineRule="auto" w:before="0" w:after="0"/>
        <w:ind w:left="923" w:right="936" w:firstLine="315"/>
        <w:jc w:val="both"/>
        <w:rPr>
          <w:sz w:val="21"/>
        </w:rPr>
      </w:pPr>
      <w:r>
        <w:rPr>
          <w:spacing w:val="4"/>
          <w:sz w:val="21"/>
        </w:rPr>
        <w:t>设置相应的部门并配备足够的专业人员办理基金份额的认购、申购、赎回和其它业务或委托其它机构代理这些业务；</w:t>
      </w:r>
    </w:p>
    <w:p>
      <w:pPr>
        <w:pStyle w:val="ListParagraph"/>
        <w:numPr>
          <w:ilvl w:val="0"/>
          <w:numId w:val="39"/>
        </w:numPr>
        <w:tabs>
          <w:tab w:pos="1974" w:val="left" w:leader="none"/>
        </w:tabs>
        <w:spacing w:line="364" w:lineRule="auto" w:before="0" w:after="0"/>
        <w:ind w:left="923" w:right="936" w:firstLine="315"/>
        <w:jc w:val="both"/>
        <w:rPr>
          <w:sz w:val="21"/>
        </w:rPr>
      </w:pPr>
      <w:r>
        <w:rPr>
          <w:spacing w:val="4"/>
          <w:sz w:val="21"/>
        </w:rPr>
        <w:t>设置相应的部门并配备足够的专业人员办理基金的注册与过户登记工作或委托其它机构代理该项业务；</w:t>
      </w:r>
    </w:p>
    <w:p>
      <w:pPr>
        <w:pStyle w:val="ListParagraph"/>
        <w:numPr>
          <w:ilvl w:val="0"/>
          <w:numId w:val="39"/>
        </w:numPr>
        <w:tabs>
          <w:tab w:pos="1974" w:val="left" w:leader="none"/>
        </w:tabs>
        <w:spacing w:line="364" w:lineRule="auto" w:before="0" w:after="0"/>
        <w:ind w:left="923" w:right="936" w:firstLine="315"/>
        <w:jc w:val="both"/>
        <w:rPr>
          <w:sz w:val="21"/>
        </w:rPr>
      </w:pPr>
      <w:r>
        <w:rPr>
          <w:spacing w:val="4"/>
          <w:sz w:val="21"/>
        </w:rPr>
        <w:t>建立健全内部控制制度，保证所管理的基金资产和基金管理人的固有资产相</w:t>
      </w:r>
      <w:r>
        <w:rPr>
          <w:spacing w:val="3"/>
          <w:sz w:val="21"/>
        </w:rPr>
        <w:t>互独立，确保分别管理、分别计帐；保证本基金与基金管理人管理的其他基金之间在资产运作、财务管理等方面相互独立，确保分别管理、分别计帐。</w:t>
      </w:r>
    </w:p>
    <w:p>
      <w:pPr>
        <w:pStyle w:val="ListParagraph"/>
        <w:numPr>
          <w:ilvl w:val="0"/>
          <w:numId w:val="39"/>
        </w:numPr>
        <w:tabs>
          <w:tab w:pos="1974" w:val="left" w:leader="none"/>
        </w:tabs>
        <w:spacing w:line="364" w:lineRule="auto" w:before="0" w:after="0"/>
        <w:ind w:left="923" w:right="936" w:firstLine="315"/>
        <w:jc w:val="both"/>
        <w:rPr>
          <w:sz w:val="21"/>
        </w:rPr>
      </w:pPr>
      <w:r>
        <w:rPr>
          <w:spacing w:val="-22"/>
          <w:sz w:val="21"/>
        </w:rPr>
        <w:t>除依据《信托法》、《试点办法》、《基金合同》及其他有关规定外,不为自己及</w:t>
      </w:r>
      <w:r>
        <w:rPr>
          <w:spacing w:val="3"/>
          <w:sz w:val="21"/>
        </w:rPr>
        <w:t>任何第三方谋取利益，基金管理人违反此义务，利用基金资产为自己及任何第三方谋取利益，所得利益归于基金资产，造成基金资产损失的，承担赔偿责任；</w:t>
      </w:r>
    </w:p>
    <w:p>
      <w:pPr>
        <w:pStyle w:val="BodyText"/>
        <w:spacing w:line="364" w:lineRule="auto"/>
        <w:ind w:left="293" w:right="936" w:firstLine="420"/>
      </w:pPr>
      <w:r>
        <w:rPr/>
        <w:t>基金管理人不得将基金资产转为其自有财产，违背此款规定的，将承担相应的责任，包括但不限于恢复基金资产的原状、承担赔偿责任；</w:t>
      </w:r>
    </w:p>
    <w:p>
      <w:pPr>
        <w:pStyle w:val="ListParagraph"/>
        <w:numPr>
          <w:ilvl w:val="0"/>
          <w:numId w:val="39"/>
        </w:numPr>
        <w:tabs>
          <w:tab w:pos="1973" w:val="left" w:leader="none"/>
          <w:tab w:pos="1974" w:val="left" w:leader="none"/>
        </w:tabs>
        <w:spacing w:line="364" w:lineRule="auto" w:before="0" w:after="0"/>
        <w:ind w:left="923" w:right="936" w:firstLine="315"/>
        <w:jc w:val="left"/>
        <w:rPr>
          <w:sz w:val="21"/>
        </w:rPr>
      </w:pPr>
      <w:r>
        <w:rPr>
          <w:spacing w:val="-18"/>
          <w:sz w:val="21"/>
        </w:rPr>
        <w:t>除依据《信托法》、《试点办法》、《基金合同》及其他有关规定外，基金管理人不得委托第三人管理、运作基金资产；</w:t>
      </w:r>
    </w:p>
    <w:p>
      <w:pPr>
        <w:pStyle w:val="ListParagraph"/>
        <w:numPr>
          <w:ilvl w:val="0"/>
          <w:numId w:val="39"/>
        </w:numPr>
        <w:tabs>
          <w:tab w:pos="1973" w:val="left" w:leader="none"/>
          <w:tab w:pos="1974" w:val="left" w:leader="none"/>
        </w:tabs>
        <w:spacing w:line="364" w:lineRule="auto" w:before="0" w:after="0"/>
        <w:ind w:left="923" w:right="936" w:firstLine="315"/>
        <w:jc w:val="left"/>
        <w:rPr>
          <w:sz w:val="21"/>
        </w:rPr>
      </w:pPr>
      <w:r>
        <w:rPr>
          <w:spacing w:val="4"/>
          <w:sz w:val="21"/>
        </w:rPr>
        <w:t>接受基金托管人依据法律法规、本《基金合同》和《托管协议》对基金管理人履行本《基金合同》和托管协议的情况进行的监督；</w:t>
      </w:r>
    </w:p>
    <w:p>
      <w:pPr>
        <w:pStyle w:val="ListParagraph"/>
        <w:numPr>
          <w:ilvl w:val="0"/>
          <w:numId w:val="39"/>
        </w:numPr>
        <w:tabs>
          <w:tab w:pos="1973" w:val="left" w:leader="none"/>
          <w:tab w:pos="1974" w:val="left" w:leader="none"/>
        </w:tabs>
        <w:spacing w:line="268" w:lineRule="exact" w:before="0" w:after="0"/>
        <w:ind w:left="1974" w:right="0" w:hanging="736"/>
        <w:jc w:val="left"/>
        <w:rPr>
          <w:sz w:val="21"/>
        </w:rPr>
      </w:pPr>
      <w:r>
        <w:rPr>
          <w:sz w:val="21"/>
        </w:rPr>
        <w:t>按规定计算并公告基金净值信息；</w:t>
      </w:r>
    </w:p>
    <w:p>
      <w:pPr>
        <w:pStyle w:val="ListParagraph"/>
        <w:numPr>
          <w:ilvl w:val="0"/>
          <w:numId w:val="39"/>
        </w:numPr>
        <w:tabs>
          <w:tab w:pos="1973" w:val="left" w:leader="none"/>
          <w:tab w:pos="1974" w:val="left" w:leader="none"/>
        </w:tabs>
        <w:spacing w:line="364" w:lineRule="auto" w:before="130" w:after="0"/>
        <w:ind w:left="923" w:right="936" w:firstLine="315"/>
        <w:jc w:val="left"/>
        <w:rPr>
          <w:sz w:val="21"/>
        </w:rPr>
      </w:pPr>
      <w:r>
        <w:rPr>
          <w:spacing w:val="4"/>
          <w:sz w:val="21"/>
        </w:rPr>
        <w:t>按照法律和本《基金合同》的规定受理认、申购和赎回申请，及时、足额支付赎回款项；</w:t>
      </w:r>
    </w:p>
    <w:p>
      <w:pPr>
        <w:pStyle w:val="ListParagraph"/>
        <w:numPr>
          <w:ilvl w:val="0"/>
          <w:numId w:val="39"/>
        </w:numPr>
        <w:tabs>
          <w:tab w:pos="1973" w:val="left" w:leader="none"/>
          <w:tab w:pos="1974" w:val="left" w:leader="none"/>
        </w:tabs>
        <w:spacing w:line="364" w:lineRule="auto" w:before="0" w:after="0"/>
        <w:ind w:left="923" w:right="936" w:firstLine="315"/>
        <w:jc w:val="left"/>
        <w:rPr>
          <w:sz w:val="21"/>
        </w:rPr>
      </w:pPr>
      <w:r>
        <w:rPr>
          <w:spacing w:val="-17"/>
          <w:sz w:val="21"/>
        </w:rPr>
        <w:t>严格按照《信托法》、《试点办法》、《基金合同》及其他有关规定履行信息披露及报告义务；</w:t>
      </w:r>
    </w:p>
    <w:p>
      <w:pPr>
        <w:pStyle w:val="ListParagraph"/>
        <w:numPr>
          <w:ilvl w:val="0"/>
          <w:numId w:val="39"/>
        </w:numPr>
        <w:tabs>
          <w:tab w:pos="1973" w:val="left" w:leader="none"/>
          <w:tab w:pos="1974" w:val="left" w:leader="none"/>
        </w:tabs>
        <w:spacing w:line="364" w:lineRule="auto" w:before="0" w:after="0"/>
        <w:ind w:left="923" w:right="936" w:firstLine="315"/>
        <w:jc w:val="left"/>
        <w:rPr>
          <w:sz w:val="21"/>
        </w:rPr>
      </w:pPr>
      <w:r>
        <w:rPr>
          <w:spacing w:val="-3"/>
          <w:sz w:val="21"/>
        </w:rPr>
        <w:t>保守基金的商业秘密，不泄露基金投资计划等；除法律法规、《基金合同》、</w:t>
      </w:r>
      <w:r>
        <w:rPr>
          <w:spacing w:val="3"/>
          <w:sz w:val="21"/>
        </w:rPr>
        <w:t>及其他有关规定另有规定外，在基金信息公开披露前应予保密，不向他人泄露，但因遵</w:t>
      </w:r>
    </w:p>
    <w:p>
      <w:pPr>
        <w:spacing w:after="0" w:line="364" w:lineRule="auto"/>
        <w:jc w:val="left"/>
        <w:rPr>
          <w:sz w:val="21"/>
        </w:rPr>
        <w:sectPr>
          <w:pgSz w:w="11910" w:h="16840"/>
          <w:pgMar w:header="0" w:footer="1172" w:top="1580" w:bottom="1440" w:left="1520" w:right="360"/>
        </w:sectPr>
      </w:pPr>
    </w:p>
    <w:p>
      <w:pPr>
        <w:pStyle w:val="BodyText"/>
        <w:spacing w:line="364" w:lineRule="auto" w:before="106"/>
        <w:ind w:left="923" w:right="936"/>
      </w:pPr>
      <w:r>
        <w:rPr/>
        <w:t>守和服从司法机构、中国证监会或其他监管机构的判决、裁决、决定、命令而作出的披露不应视为基金管理人违反本《基金合同》规定的保密义务；</w:t>
      </w:r>
    </w:p>
    <w:p>
      <w:pPr>
        <w:pStyle w:val="ListParagraph"/>
        <w:numPr>
          <w:ilvl w:val="0"/>
          <w:numId w:val="39"/>
        </w:numPr>
        <w:tabs>
          <w:tab w:pos="1973" w:val="left" w:leader="none"/>
          <w:tab w:pos="1974" w:val="left" w:leader="none"/>
        </w:tabs>
        <w:spacing w:line="364" w:lineRule="auto" w:before="0" w:after="0"/>
        <w:ind w:left="923" w:right="936" w:firstLine="315"/>
        <w:jc w:val="left"/>
        <w:rPr>
          <w:sz w:val="21"/>
        </w:rPr>
      </w:pPr>
      <w:r>
        <w:rPr>
          <w:spacing w:val="4"/>
          <w:sz w:val="21"/>
        </w:rPr>
        <w:t>依据《基金合同》规定决定基金收益分配方案并向基金份额持有人分配基金收益；</w:t>
      </w:r>
    </w:p>
    <w:p>
      <w:pPr>
        <w:pStyle w:val="ListParagraph"/>
        <w:numPr>
          <w:ilvl w:val="0"/>
          <w:numId w:val="39"/>
        </w:numPr>
        <w:tabs>
          <w:tab w:pos="1973" w:val="left" w:leader="none"/>
          <w:tab w:pos="1974" w:val="left" w:leader="none"/>
        </w:tabs>
        <w:spacing w:line="268" w:lineRule="exact" w:before="0" w:after="0"/>
        <w:ind w:left="1974" w:right="0" w:hanging="736"/>
        <w:jc w:val="left"/>
        <w:rPr>
          <w:sz w:val="21"/>
        </w:rPr>
      </w:pPr>
      <w:r>
        <w:rPr>
          <w:sz w:val="21"/>
        </w:rPr>
        <w:t>不谋求对基金资产所投资的公司的控股和直接管理；</w:t>
      </w:r>
    </w:p>
    <w:p>
      <w:pPr>
        <w:pStyle w:val="ListParagraph"/>
        <w:numPr>
          <w:ilvl w:val="0"/>
          <w:numId w:val="39"/>
        </w:numPr>
        <w:tabs>
          <w:tab w:pos="1973" w:val="left" w:leader="none"/>
          <w:tab w:pos="1974" w:val="left" w:leader="none"/>
        </w:tabs>
        <w:spacing w:line="364" w:lineRule="auto" w:before="138" w:after="0"/>
        <w:ind w:left="923" w:right="936" w:firstLine="315"/>
        <w:jc w:val="left"/>
        <w:rPr>
          <w:sz w:val="21"/>
        </w:rPr>
      </w:pPr>
      <w:r>
        <w:rPr>
          <w:spacing w:val="-11"/>
          <w:sz w:val="21"/>
        </w:rPr>
        <w:t>依据《试点办法》、《基金合同》及其他有关规定召集基金份额持有人大会， 执行基金份额持有人大会决议；</w:t>
      </w:r>
    </w:p>
    <w:p>
      <w:pPr>
        <w:pStyle w:val="ListParagraph"/>
        <w:numPr>
          <w:ilvl w:val="0"/>
          <w:numId w:val="39"/>
        </w:numPr>
        <w:tabs>
          <w:tab w:pos="1973" w:val="left" w:leader="none"/>
          <w:tab w:pos="1974" w:val="left" w:leader="none"/>
        </w:tabs>
        <w:spacing w:line="268" w:lineRule="exact" w:before="0" w:after="0"/>
        <w:ind w:left="1974" w:right="0" w:hanging="736"/>
        <w:jc w:val="left"/>
        <w:rPr>
          <w:sz w:val="21"/>
        </w:rPr>
      </w:pPr>
      <w:r>
        <w:rPr>
          <w:sz w:val="21"/>
        </w:rPr>
        <w:t>进行基金会计核算并编制基金财务会计报告；</w:t>
      </w:r>
    </w:p>
    <w:p>
      <w:pPr>
        <w:pStyle w:val="ListParagraph"/>
        <w:numPr>
          <w:ilvl w:val="0"/>
          <w:numId w:val="39"/>
        </w:numPr>
        <w:tabs>
          <w:tab w:pos="1974" w:val="left" w:leader="none"/>
        </w:tabs>
        <w:spacing w:line="240" w:lineRule="auto" w:before="140" w:after="0"/>
        <w:ind w:left="1974" w:right="0" w:hanging="736"/>
        <w:jc w:val="both"/>
        <w:rPr>
          <w:sz w:val="21"/>
        </w:rPr>
      </w:pPr>
      <w:r>
        <w:rPr>
          <w:spacing w:val="-2"/>
          <w:sz w:val="21"/>
        </w:rPr>
        <w:t>保存基金财产管理业务活动的记录、帐册、报表和其他相关资料 </w:t>
      </w:r>
      <w:r>
        <w:rPr>
          <w:sz w:val="21"/>
        </w:rPr>
        <w:t>15</w:t>
      </w:r>
      <w:r>
        <w:rPr>
          <w:spacing w:val="-12"/>
          <w:sz w:val="21"/>
        </w:rPr>
        <w:t> 年以上；</w:t>
      </w:r>
    </w:p>
    <w:p>
      <w:pPr>
        <w:pStyle w:val="ListParagraph"/>
        <w:numPr>
          <w:ilvl w:val="0"/>
          <w:numId w:val="39"/>
        </w:numPr>
        <w:tabs>
          <w:tab w:pos="1974" w:val="left" w:leader="none"/>
        </w:tabs>
        <w:spacing w:line="240" w:lineRule="auto" w:before="139" w:after="0"/>
        <w:ind w:left="1974" w:right="0" w:hanging="736"/>
        <w:jc w:val="both"/>
        <w:rPr>
          <w:sz w:val="21"/>
        </w:rPr>
      </w:pPr>
      <w:r>
        <w:rPr>
          <w:sz w:val="21"/>
        </w:rPr>
        <w:t>参加基金财产清算小组，参与基金资产的保管、清理、估价、变现和分配；</w:t>
      </w:r>
    </w:p>
    <w:p>
      <w:pPr>
        <w:pStyle w:val="ListParagraph"/>
        <w:numPr>
          <w:ilvl w:val="0"/>
          <w:numId w:val="39"/>
        </w:numPr>
        <w:tabs>
          <w:tab w:pos="1974" w:val="left" w:leader="none"/>
        </w:tabs>
        <w:spacing w:line="364" w:lineRule="auto" w:before="140" w:after="0"/>
        <w:ind w:left="923" w:right="936" w:firstLine="315"/>
        <w:jc w:val="both"/>
        <w:rPr>
          <w:sz w:val="21"/>
        </w:rPr>
      </w:pPr>
      <w:r>
        <w:rPr>
          <w:spacing w:val="4"/>
          <w:sz w:val="21"/>
        </w:rPr>
        <w:t>当基金管理人将其义务委托第三方处理时，应当对第三方处理基金管理事务的行为承担责任；</w:t>
      </w:r>
    </w:p>
    <w:p>
      <w:pPr>
        <w:pStyle w:val="ListParagraph"/>
        <w:numPr>
          <w:ilvl w:val="0"/>
          <w:numId w:val="39"/>
        </w:numPr>
        <w:tabs>
          <w:tab w:pos="1974" w:val="left" w:leader="none"/>
        </w:tabs>
        <w:spacing w:line="364" w:lineRule="auto" w:before="0" w:after="0"/>
        <w:ind w:left="923" w:right="936" w:firstLine="315"/>
        <w:jc w:val="both"/>
        <w:rPr>
          <w:sz w:val="21"/>
        </w:rPr>
      </w:pPr>
      <w:r>
        <w:rPr>
          <w:spacing w:val="4"/>
          <w:sz w:val="21"/>
        </w:rPr>
        <w:t>面临解散、依法被撤销、破产或者由接管人接管其资产时，及时报告中国证监会并通知基金托管人；</w:t>
      </w:r>
    </w:p>
    <w:p>
      <w:pPr>
        <w:pStyle w:val="ListParagraph"/>
        <w:numPr>
          <w:ilvl w:val="0"/>
          <w:numId w:val="39"/>
        </w:numPr>
        <w:tabs>
          <w:tab w:pos="1974" w:val="left" w:leader="none"/>
        </w:tabs>
        <w:spacing w:line="364" w:lineRule="auto" w:before="0" w:after="0"/>
        <w:ind w:left="923" w:right="936" w:firstLine="315"/>
        <w:jc w:val="both"/>
        <w:rPr>
          <w:sz w:val="21"/>
        </w:rPr>
      </w:pPr>
      <w:r>
        <w:rPr>
          <w:spacing w:val="4"/>
          <w:sz w:val="21"/>
        </w:rPr>
        <w:t>监督基金托管人按法律法规和合同规定履行自己的义务，基金托管人因过错</w:t>
      </w:r>
      <w:r>
        <w:rPr>
          <w:spacing w:val="3"/>
          <w:sz w:val="21"/>
        </w:rPr>
        <w:t>造成基金资产损失时，基金管理人应为基金向基金托管人追偿，但不连带承担基金托管人的责任；</w:t>
      </w:r>
    </w:p>
    <w:p>
      <w:pPr>
        <w:pStyle w:val="ListParagraph"/>
        <w:numPr>
          <w:ilvl w:val="0"/>
          <w:numId w:val="39"/>
        </w:numPr>
        <w:tabs>
          <w:tab w:pos="1974" w:val="left" w:leader="none"/>
        </w:tabs>
        <w:spacing w:line="268" w:lineRule="exact" w:before="0" w:after="0"/>
        <w:ind w:left="1974" w:right="0" w:hanging="736"/>
        <w:jc w:val="both"/>
        <w:rPr>
          <w:sz w:val="21"/>
        </w:rPr>
      </w:pPr>
      <w:r>
        <w:rPr>
          <w:spacing w:val="11"/>
          <w:sz w:val="21"/>
        </w:rPr>
        <w:t>基金管理人因违反《基金合同》规定的信托目的处分基金资产或者因违背</w:t>
      </w:r>
    </w:p>
    <w:p>
      <w:pPr>
        <w:pStyle w:val="BodyText"/>
        <w:spacing w:line="364" w:lineRule="auto" w:before="137"/>
        <w:ind w:left="923" w:right="936"/>
      </w:pPr>
      <w:r>
        <w:rPr/>
        <w:t>《基金合同》规定的管理职责、处理基金事务不当而致使基金资产或基金份额持有人利益受到损失的，应当承担赔偿责任，其过错责任不因其退任而免除；</w:t>
      </w:r>
    </w:p>
    <w:p>
      <w:pPr>
        <w:pStyle w:val="ListParagraph"/>
        <w:numPr>
          <w:ilvl w:val="0"/>
          <w:numId w:val="39"/>
        </w:numPr>
        <w:tabs>
          <w:tab w:pos="1974" w:val="left" w:leader="none"/>
        </w:tabs>
        <w:spacing w:line="364" w:lineRule="auto" w:before="0" w:after="0"/>
        <w:ind w:left="923" w:right="936" w:firstLine="315"/>
        <w:jc w:val="both"/>
        <w:rPr>
          <w:sz w:val="21"/>
        </w:rPr>
      </w:pPr>
      <w:r>
        <w:rPr>
          <w:spacing w:val="4"/>
          <w:sz w:val="21"/>
        </w:rPr>
        <w:t>确保向基金投资人提供的各项文件或资料在规定时间内发出；保证投资人能</w:t>
      </w:r>
      <w:r>
        <w:rPr>
          <w:spacing w:val="3"/>
          <w:sz w:val="21"/>
        </w:rPr>
        <w:t>够按照本《基金合同》规定的时间和方式，查阅到与基金有关的公开资料，并得到有关资料的复印件；</w:t>
      </w:r>
    </w:p>
    <w:p>
      <w:pPr>
        <w:pStyle w:val="ListParagraph"/>
        <w:numPr>
          <w:ilvl w:val="0"/>
          <w:numId w:val="39"/>
        </w:numPr>
        <w:tabs>
          <w:tab w:pos="1974" w:val="left" w:leader="none"/>
        </w:tabs>
        <w:spacing w:line="268" w:lineRule="exact" w:before="0" w:after="0"/>
        <w:ind w:left="1974" w:right="0" w:hanging="736"/>
        <w:jc w:val="both"/>
        <w:rPr>
          <w:sz w:val="21"/>
        </w:rPr>
      </w:pPr>
      <w:r>
        <w:rPr>
          <w:sz w:val="21"/>
        </w:rPr>
        <w:t>负责为基金聘请注册会计师和律师；</w:t>
      </w:r>
    </w:p>
    <w:p>
      <w:pPr>
        <w:pStyle w:val="ListParagraph"/>
        <w:numPr>
          <w:ilvl w:val="0"/>
          <w:numId w:val="39"/>
        </w:numPr>
        <w:tabs>
          <w:tab w:pos="1974" w:val="left" w:leader="none"/>
        </w:tabs>
        <w:spacing w:line="240" w:lineRule="auto" w:before="139" w:after="0"/>
        <w:ind w:left="1974" w:right="0" w:hanging="736"/>
        <w:jc w:val="both"/>
        <w:rPr>
          <w:sz w:val="21"/>
        </w:rPr>
      </w:pPr>
      <w:r>
        <w:rPr>
          <w:sz w:val="21"/>
        </w:rPr>
        <w:t>不从事任何有损基金及本基金其他当事人利益的活动；</w:t>
      </w:r>
    </w:p>
    <w:p>
      <w:pPr>
        <w:pStyle w:val="ListParagraph"/>
        <w:numPr>
          <w:ilvl w:val="0"/>
          <w:numId w:val="39"/>
        </w:numPr>
        <w:tabs>
          <w:tab w:pos="1973" w:val="left" w:leader="none"/>
          <w:tab w:pos="1974" w:val="left" w:leader="none"/>
        </w:tabs>
        <w:spacing w:line="240" w:lineRule="auto" w:before="139" w:after="0"/>
        <w:ind w:left="1974" w:right="0" w:hanging="736"/>
        <w:jc w:val="left"/>
        <w:rPr>
          <w:sz w:val="21"/>
        </w:rPr>
      </w:pPr>
      <w:r>
        <w:rPr>
          <w:sz w:val="21"/>
        </w:rPr>
        <w:t>根据有关法律法规的要求办理基金备案手续；</w:t>
      </w:r>
    </w:p>
    <w:p>
      <w:pPr>
        <w:pStyle w:val="ListParagraph"/>
        <w:numPr>
          <w:ilvl w:val="0"/>
          <w:numId w:val="39"/>
        </w:numPr>
        <w:tabs>
          <w:tab w:pos="1973" w:val="left" w:leader="none"/>
          <w:tab w:pos="1974" w:val="left" w:leader="none"/>
        </w:tabs>
        <w:spacing w:line="364" w:lineRule="auto" w:before="140" w:after="0"/>
        <w:ind w:left="923" w:right="936" w:firstLine="315"/>
        <w:jc w:val="left"/>
        <w:rPr>
          <w:sz w:val="21"/>
        </w:rPr>
      </w:pPr>
      <w:r>
        <w:rPr>
          <w:spacing w:val="4"/>
          <w:sz w:val="21"/>
        </w:rPr>
        <w:t>以基金管理人名义，代表基金份额持有人利益行使诉讼权利或者实施其他法律行为；</w:t>
      </w:r>
    </w:p>
    <w:p>
      <w:pPr>
        <w:pStyle w:val="ListParagraph"/>
        <w:numPr>
          <w:ilvl w:val="0"/>
          <w:numId w:val="39"/>
        </w:numPr>
        <w:tabs>
          <w:tab w:pos="1973" w:val="left" w:leader="none"/>
          <w:tab w:pos="1974" w:val="left" w:leader="none"/>
        </w:tabs>
        <w:spacing w:line="364" w:lineRule="auto" w:before="0" w:after="0"/>
        <w:ind w:left="923" w:right="936" w:firstLine="315"/>
        <w:jc w:val="left"/>
        <w:rPr>
          <w:sz w:val="21"/>
        </w:rPr>
      </w:pPr>
      <w:r>
        <w:rPr>
          <w:spacing w:val="4"/>
          <w:sz w:val="21"/>
        </w:rPr>
        <w:t>法律、法规、本《基金合同》以及依据本《基金合同》制定的其他法律文件所规定的其他义务。</w:t>
      </w:r>
    </w:p>
    <w:p>
      <w:pPr>
        <w:spacing w:after="0" w:line="364" w:lineRule="auto"/>
        <w:jc w:val="left"/>
        <w:rPr>
          <w:sz w:val="21"/>
        </w:rPr>
        <w:sectPr>
          <w:pgSz w:w="11910" w:h="16840"/>
          <w:pgMar w:header="0" w:footer="1172" w:top="1580" w:bottom="1440" w:left="1520" w:right="360"/>
        </w:sectPr>
      </w:pPr>
    </w:p>
    <w:p>
      <w:pPr>
        <w:pStyle w:val="Heading2"/>
        <w:spacing w:before="107"/>
      </w:pPr>
      <w:bookmarkStart w:name="_bookmark84" w:id="85"/>
      <w:bookmarkEnd w:id="85"/>
      <w:r>
        <w:rPr/>
      </w:r>
      <w:r>
        <w:rPr/>
        <w:t>（二）基金托管人的权利和义务</w:t>
      </w:r>
    </w:p>
    <w:p>
      <w:pPr>
        <w:pStyle w:val="BodyText"/>
        <w:spacing w:before="185"/>
        <w:ind w:left="816"/>
      </w:pPr>
      <w:r>
        <w:rPr/>
        <w:t>1、基金托管人的权利</w:t>
      </w:r>
    </w:p>
    <w:p>
      <w:pPr>
        <w:pStyle w:val="ListParagraph"/>
        <w:numPr>
          <w:ilvl w:val="0"/>
          <w:numId w:val="40"/>
        </w:numPr>
        <w:tabs>
          <w:tab w:pos="1240" w:val="left" w:leader="none"/>
        </w:tabs>
        <w:spacing w:line="240" w:lineRule="auto" w:before="139" w:after="0"/>
        <w:ind w:left="1240" w:right="0" w:hanging="527"/>
        <w:jc w:val="left"/>
        <w:rPr>
          <w:sz w:val="21"/>
        </w:rPr>
      </w:pPr>
      <w:r>
        <w:rPr>
          <w:sz w:val="21"/>
        </w:rPr>
        <w:t>依法持有并保管基金的资产；</w:t>
      </w:r>
    </w:p>
    <w:p>
      <w:pPr>
        <w:pStyle w:val="ListParagraph"/>
        <w:numPr>
          <w:ilvl w:val="0"/>
          <w:numId w:val="40"/>
        </w:numPr>
        <w:tabs>
          <w:tab w:pos="1240" w:val="left" w:leader="none"/>
        </w:tabs>
        <w:spacing w:line="240" w:lineRule="auto" w:before="140" w:after="0"/>
        <w:ind w:left="1240" w:right="0" w:hanging="527"/>
        <w:jc w:val="left"/>
        <w:rPr>
          <w:sz w:val="21"/>
        </w:rPr>
      </w:pPr>
      <w:r>
        <w:rPr>
          <w:sz w:val="21"/>
        </w:rPr>
        <w:t>依照《基金合同》的约定获得基金托管费；</w:t>
      </w:r>
    </w:p>
    <w:p>
      <w:pPr>
        <w:pStyle w:val="ListParagraph"/>
        <w:numPr>
          <w:ilvl w:val="0"/>
          <w:numId w:val="40"/>
        </w:numPr>
        <w:tabs>
          <w:tab w:pos="1244" w:val="left" w:leader="none"/>
        </w:tabs>
        <w:spacing w:line="364" w:lineRule="auto" w:before="139" w:after="0"/>
        <w:ind w:left="293" w:right="936" w:firstLine="420"/>
        <w:jc w:val="left"/>
        <w:rPr>
          <w:sz w:val="21"/>
        </w:rPr>
      </w:pPr>
      <w:r>
        <w:rPr>
          <w:sz w:val="21"/>
        </w:rPr>
        <w:t>监督基金的投资运作，如认为基金管理人违反基金合同或有关法律法规的规定，可呈报中国证监会和其他监管部门，并采取必要措施保护基金投资者的利益；</w:t>
      </w:r>
    </w:p>
    <w:p>
      <w:pPr>
        <w:pStyle w:val="ListParagraph"/>
        <w:numPr>
          <w:ilvl w:val="0"/>
          <w:numId w:val="40"/>
        </w:numPr>
        <w:tabs>
          <w:tab w:pos="1240" w:val="left" w:leader="none"/>
        </w:tabs>
        <w:spacing w:line="268" w:lineRule="exact" w:before="0" w:after="0"/>
        <w:ind w:left="1240" w:right="0" w:hanging="527"/>
        <w:jc w:val="left"/>
        <w:rPr>
          <w:sz w:val="21"/>
        </w:rPr>
      </w:pPr>
      <w:r>
        <w:rPr>
          <w:sz w:val="21"/>
        </w:rPr>
        <w:t>在基金管理人更换时，提名新的基金管理人；</w:t>
      </w:r>
    </w:p>
    <w:p>
      <w:pPr>
        <w:pStyle w:val="ListParagraph"/>
        <w:numPr>
          <w:ilvl w:val="0"/>
          <w:numId w:val="40"/>
        </w:numPr>
        <w:tabs>
          <w:tab w:pos="1249" w:val="left" w:leader="none"/>
        </w:tabs>
        <w:spacing w:line="364" w:lineRule="auto" w:before="140" w:after="0"/>
        <w:ind w:left="293" w:right="936" w:firstLine="420"/>
        <w:jc w:val="left"/>
        <w:rPr>
          <w:sz w:val="21"/>
        </w:rPr>
      </w:pPr>
      <w:r>
        <w:rPr>
          <w:spacing w:val="-7"/>
          <w:sz w:val="21"/>
        </w:rPr>
        <w:t>法律、法规、《基金合同》以及依据《基金合同》制定的其他法律文件所规定的其他权利。</w:t>
      </w:r>
    </w:p>
    <w:p>
      <w:pPr>
        <w:pStyle w:val="BodyText"/>
        <w:spacing w:line="268" w:lineRule="exact"/>
        <w:ind w:left="816"/>
      </w:pPr>
      <w:r>
        <w:rPr/>
        <w:t>2、基金托管人的义务</w:t>
      </w:r>
    </w:p>
    <w:p>
      <w:pPr>
        <w:pStyle w:val="ListParagraph"/>
        <w:numPr>
          <w:ilvl w:val="0"/>
          <w:numId w:val="41"/>
        </w:numPr>
        <w:tabs>
          <w:tab w:pos="1243" w:val="left" w:leader="none"/>
        </w:tabs>
        <w:spacing w:line="364" w:lineRule="auto" w:before="139" w:after="0"/>
        <w:ind w:left="293" w:right="936" w:firstLine="420"/>
        <w:jc w:val="left"/>
        <w:rPr>
          <w:sz w:val="21"/>
        </w:rPr>
      </w:pPr>
      <w:r>
        <w:rPr>
          <w:spacing w:val="-22"/>
          <w:sz w:val="21"/>
        </w:rPr>
        <w:t>基金托管人将遵守《信托法》、《试点办法》、《基金合同》及其他有关规定，依法持有基金资产，为基金份额持有人的最大利益处理基金事务；</w:t>
      </w:r>
    </w:p>
    <w:p>
      <w:pPr>
        <w:pStyle w:val="ListParagraph"/>
        <w:numPr>
          <w:ilvl w:val="0"/>
          <w:numId w:val="41"/>
        </w:numPr>
        <w:tabs>
          <w:tab w:pos="1244" w:val="left" w:leader="none"/>
        </w:tabs>
        <w:spacing w:line="364" w:lineRule="auto" w:before="0" w:after="0"/>
        <w:ind w:left="293" w:right="936" w:firstLine="420"/>
        <w:jc w:val="left"/>
        <w:rPr>
          <w:sz w:val="21"/>
        </w:rPr>
      </w:pPr>
      <w:r>
        <w:rPr>
          <w:sz w:val="21"/>
        </w:rPr>
        <w:t>基金托管人保证恪尽职守，依照诚实信用、勤勉尽责的原则，谨慎、有效地持有并保管基金资产；</w:t>
      </w:r>
    </w:p>
    <w:p>
      <w:pPr>
        <w:pStyle w:val="ListParagraph"/>
        <w:numPr>
          <w:ilvl w:val="0"/>
          <w:numId w:val="41"/>
        </w:numPr>
        <w:tabs>
          <w:tab w:pos="1244" w:val="left" w:leader="none"/>
        </w:tabs>
        <w:spacing w:line="364" w:lineRule="auto" w:before="0" w:after="0"/>
        <w:ind w:left="293" w:right="936" w:firstLine="420"/>
        <w:jc w:val="left"/>
        <w:rPr>
          <w:sz w:val="21"/>
        </w:rPr>
      </w:pPr>
      <w:r>
        <w:rPr>
          <w:sz w:val="21"/>
        </w:rPr>
        <w:t>设立专门的基金托管部，具有符合要求的营业场所，配备足够的、合格的熟悉基金托管业务的专职人员，负责基金资产托管事宜；</w:t>
      </w:r>
    </w:p>
    <w:p>
      <w:pPr>
        <w:pStyle w:val="ListParagraph"/>
        <w:numPr>
          <w:ilvl w:val="0"/>
          <w:numId w:val="41"/>
        </w:numPr>
        <w:tabs>
          <w:tab w:pos="1244" w:val="left" w:leader="none"/>
        </w:tabs>
        <w:spacing w:line="364" w:lineRule="auto" w:before="0" w:after="0"/>
        <w:ind w:left="293" w:right="936" w:firstLine="420"/>
        <w:jc w:val="both"/>
        <w:rPr>
          <w:sz w:val="21"/>
        </w:rPr>
      </w:pPr>
      <w:r>
        <w:rPr>
          <w:sz w:val="21"/>
        </w:rPr>
        <w:t>建立健全内部风险监控制度、监察与稽核、财务管理及人事管理制度，确保基金资产</w:t>
      </w:r>
      <w:r>
        <w:rPr>
          <w:spacing w:val="3"/>
          <w:sz w:val="21"/>
        </w:rPr>
        <w:t>的安全与完整，保证其托管的基金资产与基金托管人自有资产相互独立，保证其托管的本基金与其托管的其他基金资产之间相互独立；对不同的基金分别设置帐户，独立核算，分帐管理， 保证不同基金之间在名册登记、帐户设置、资金划拨、帐册记录等方面相互独立；</w:t>
      </w:r>
    </w:p>
    <w:p>
      <w:pPr>
        <w:pStyle w:val="ListParagraph"/>
        <w:numPr>
          <w:ilvl w:val="0"/>
          <w:numId w:val="41"/>
        </w:numPr>
        <w:tabs>
          <w:tab w:pos="1243" w:val="left" w:leader="none"/>
        </w:tabs>
        <w:spacing w:line="364" w:lineRule="auto" w:before="0" w:after="0"/>
        <w:ind w:left="293" w:right="936" w:firstLine="420"/>
        <w:jc w:val="both"/>
        <w:rPr>
          <w:sz w:val="21"/>
        </w:rPr>
      </w:pPr>
      <w:r>
        <w:rPr>
          <w:spacing w:val="-22"/>
          <w:sz w:val="21"/>
        </w:rPr>
        <w:t>除依据《信托法》、《试点办法》、《基金合同》及其他有关规定外，不为自己及任何第</w:t>
      </w:r>
      <w:r>
        <w:rPr>
          <w:spacing w:val="3"/>
          <w:sz w:val="21"/>
        </w:rPr>
        <w:t>三人谋取利益，基金托管人违反此义务，利用基金资产为自己及任何第三方谋取利益，所得利益归于基金资产，造成基金资产损失的，承担赔偿责任；</w:t>
      </w:r>
    </w:p>
    <w:p>
      <w:pPr>
        <w:pStyle w:val="BodyText"/>
        <w:spacing w:line="364" w:lineRule="auto"/>
        <w:ind w:left="293" w:right="936" w:firstLine="420"/>
      </w:pPr>
      <w:r>
        <w:rPr/>
        <w:t>基金托管人不得将基金资产转为其自有财产，违背此款规定的，将承担相应的责任，包括但不限于恢复基金资产的原状、承担赔偿责任；</w:t>
      </w:r>
    </w:p>
    <w:p>
      <w:pPr>
        <w:pStyle w:val="ListParagraph"/>
        <w:numPr>
          <w:ilvl w:val="0"/>
          <w:numId w:val="41"/>
        </w:numPr>
        <w:tabs>
          <w:tab w:pos="1243" w:val="left" w:leader="none"/>
        </w:tabs>
        <w:spacing w:line="364" w:lineRule="auto" w:before="0" w:after="0"/>
        <w:ind w:left="293" w:right="936" w:firstLine="420"/>
        <w:jc w:val="left"/>
        <w:rPr>
          <w:sz w:val="21"/>
        </w:rPr>
      </w:pPr>
      <w:r>
        <w:rPr>
          <w:spacing w:val="-22"/>
          <w:sz w:val="21"/>
        </w:rPr>
        <w:t>除依据《信托法》、《试点办法》、《基金合同》及其他有关规定外，基金托管人不得委托第三人托管基金资产；</w:t>
      </w:r>
    </w:p>
    <w:p>
      <w:pPr>
        <w:pStyle w:val="ListParagraph"/>
        <w:numPr>
          <w:ilvl w:val="0"/>
          <w:numId w:val="41"/>
        </w:numPr>
        <w:tabs>
          <w:tab w:pos="1240" w:val="left" w:leader="none"/>
        </w:tabs>
        <w:spacing w:line="268" w:lineRule="exact" w:before="0" w:after="0"/>
        <w:ind w:left="1240" w:right="0" w:hanging="527"/>
        <w:jc w:val="left"/>
        <w:rPr>
          <w:sz w:val="21"/>
        </w:rPr>
      </w:pPr>
      <w:r>
        <w:rPr>
          <w:sz w:val="21"/>
        </w:rPr>
        <w:t>保管由基金管理人代表基金签订的与基金有关的重大合同及有关凭证；</w:t>
      </w:r>
    </w:p>
    <w:p>
      <w:pPr>
        <w:pStyle w:val="ListParagraph"/>
        <w:numPr>
          <w:ilvl w:val="0"/>
          <w:numId w:val="41"/>
        </w:numPr>
        <w:tabs>
          <w:tab w:pos="1244" w:val="left" w:leader="none"/>
        </w:tabs>
        <w:spacing w:line="364" w:lineRule="auto" w:before="132" w:after="0"/>
        <w:ind w:left="293" w:right="936" w:firstLine="420"/>
        <w:jc w:val="both"/>
        <w:rPr>
          <w:sz w:val="21"/>
        </w:rPr>
      </w:pPr>
      <w:r>
        <w:rPr>
          <w:sz w:val="21"/>
        </w:rPr>
        <w:t>按法律法规、基金合同的规定为基金设立证券帐户、银行存款帐户等基金资产帐户； </w:t>
      </w:r>
      <w:r>
        <w:rPr>
          <w:spacing w:val="3"/>
          <w:sz w:val="21"/>
        </w:rPr>
        <w:t>根据基金管理人的投资指令，负责及时办理基金投资于证券的清算交割及执行，并负责办理基金名下的资金往来；</w:t>
      </w:r>
    </w:p>
    <w:p>
      <w:pPr>
        <w:pStyle w:val="ListParagraph"/>
        <w:numPr>
          <w:ilvl w:val="0"/>
          <w:numId w:val="41"/>
        </w:numPr>
        <w:tabs>
          <w:tab w:pos="1243" w:val="left" w:leader="none"/>
        </w:tabs>
        <w:spacing w:line="268" w:lineRule="exact" w:before="0" w:after="0"/>
        <w:ind w:left="1242" w:right="0" w:hanging="530"/>
        <w:jc w:val="left"/>
        <w:rPr>
          <w:sz w:val="21"/>
        </w:rPr>
      </w:pPr>
      <w:r>
        <w:rPr>
          <w:spacing w:val="-23"/>
          <w:sz w:val="21"/>
        </w:rPr>
        <w:t>保守基金商业秘密。除《信托法》、《试点办法》、《基金合同》及其他有关规定另有规</w:t>
      </w:r>
    </w:p>
    <w:p>
      <w:pPr>
        <w:spacing w:after="0" w:line="268" w:lineRule="exact"/>
        <w:jc w:val="left"/>
        <w:rPr>
          <w:sz w:val="21"/>
        </w:rPr>
        <w:sectPr>
          <w:pgSz w:w="11910" w:h="16840"/>
          <w:pgMar w:header="0" w:footer="1172" w:top="1580" w:bottom="1440" w:left="1520" w:right="360"/>
        </w:sectPr>
      </w:pPr>
    </w:p>
    <w:p>
      <w:pPr>
        <w:pStyle w:val="BodyText"/>
        <w:spacing w:line="364" w:lineRule="auto" w:before="106"/>
        <w:ind w:left="293" w:right="936"/>
        <w:jc w:val="both"/>
      </w:pPr>
      <w:r>
        <w:rPr/>
        <w:t>定外，在基金信息公开披露前予以保密，不得向他人泄露；但因遵守和服从司法机构、中国证监会或其他监管机构的判决、裁决、决定、命令而作出的披露不应视为基金托管人违反本《基金合同》规定的保密义务；</w:t>
      </w:r>
    </w:p>
    <w:p>
      <w:pPr>
        <w:pStyle w:val="ListParagraph"/>
        <w:numPr>
          <w:ilvl w:val="0"/>
          <w:numId w:val="41"/>
        </w:numPr>
        <w:tabs>
          <w:tab w:pos="1354" w:val="left" w:leader="none"/>
        </w:tabs>
        <w:spacing w:line="364" w:lineRule="auto" w:before="0" w:after="0"/>
        <w:ind w:left="293" w:right="936" w:firstLine="420"/>
        <w:jc w:val="left"/>
        <w:rPr>
          <w:sz w:val="21"/>
        </w:rPr>
      </w:pPr>
      <w:r>
        <w:rPr>
          <w:spacing w:val="3"/>
          <w:sz w:val="21"/>
        </w:rPr>
        <w:t>复核、审查基金管理人计算的基金资产净值、基金份额净值和基金份额申购、赎回价格；</w:t>
      </w:r>
    </w:p>
    <w:p>
      <w:pPr>
        <w:pStyle w:val="ListParagraph"/>
        <w:numPr>
          <w:ilvl w:val="0"/>
          <w:numId w:val="41"/>
        </w:numPr>
        <w:tabs>
          <w:tab w:pos="1366" w:val="left" w:leader="none"/>
        </w:tabs>
        <w:spacing w:line="364" w:lineRule="auto" w:before="0" w:after="0"/>
        <w:ind w:left="293" w:right="936" w:firstLine="420"/>
        <w:jc w:val="left"/>
        <w:rPr>
          <w:sz w:val="21"/>
        </w:rPr>
      </w:pPr>
      <w:r>
        <w:rPr>
          <w:spacing w:val="9"/>
          <w:sz w:val="21"/>
        </w:rPr>
        <w:t>按规定出具基金管理人履行基金合同情况和基金托管情况的报告，并报中国证监会；</w:t>
      </w:r>
    </w:p>
    <w:p>
      <w:pPr>
        <w:pStyle w:val="ListParagraph"/>
        <w:numPr>
          <w:ilvl w:val="0"/>
          <w:numId w:val="41"/>
        </w:numPr>
        <w:tabs>
          <w:tab w:pos="1345" w:val="left" w:leader="none"/>
        </w:tabs>
        <w:spacing w:line="268" w:lineRule="exact" w:before="0" w:after="0"/>
        <w:ind w:left="1345" w:right="0" w:hanging="632"/>
        <w:jc w:val="left"/>
        <w:rPr>
          <w:sz w:val="21"/>
        </w:rPr>
      </w:pPr>
      <w:r>
        <w:rPr>
          <w:sz w:val="21"/>
        </w:rPr>
        <w:t>负责基金申购和赎回的资金保管和清算；</w:t>
      </w:r>
    </w:p>
    <w:p>
      <w:pPr>
        <w:pStyle w:val="ListParagraph"/>
        <w:numPr>
          <w:ilvl w:val="0"/>
          <w:numId w:val="41"/>
        </w:numPr>
        <w:tabs>
          <w:tab w:pos="1354" w:val="left" w:leader="none"/>
        </w:tabs>
        <w:spacing w:line="364" w:lineRule="auto" w:before="137" w:after="0"/>
        <w:ind w:left="293" w:right="936" w:firstLine="420"/>
        <w:jc w:val="left"/>
        <w:rPr>
          <w:sz w:val="21"/>
        </w:rPr>
      </w:pPr>
      <w:r>
        <w:rPr>
          <w:spacing w:val="3"/>
          <w:sz w:val="21"/>
        </w:rPr>
        <w:t>采取适当、合理的措施，使基金份额的认购、申购和赎回等事项符合《基金合同》等有关法律文件的规定；</w:t>
      </w:r>
    </w:p>
    <w:p>
      <w:pPr>
        <w:pStyle w:val="ListParagraph"/>
        <w:numPr>
          <w:ilvl w:val="0"/>
          <w:numId w:val="41"/>
        </w:numPr>
        <w:tabs>
          <w:tab w:pos="1354" w:val="left" w:leader="none"/>
        </w:tabs>
        <w:spacing w:line="364" w:lineRule="auto" w:before="0" w:after="0"/>
        <w:ind w:left="293" w:right="936" w:firstLine="420"/>
        <w:jc w:val="left"/>
        <w:rPr>
          <w:sz w:val="21"/>
        </w:rPr>
      </w:pPr>
      <w:r>
        <w:rPr>
          <w:spacing w:val="3"/>
          <w:sz w:val="21"/>
        </w:rPr>
        <w:t>采取适当、合理的措施，使基金管理人用以计算开放式基金份额申购和赎回价格的方法符合法律法规和《基金合同》等法律文件的规定；</w:t>
      </w:r>
    </w:p>
    <w:p>
      <w:pPr>
        <w:pStyle w:val="ListParagraph"/>
        <w:numPr>
          <w:ilvl w:val="0"/>
          <w:numId w:val="41"/>
        </w:numPr>
        <w:tabs>
          <w:tab w:pos="1366" w:val="left" w:leader="none"/>
        </w:tabs>
        <w:spacing w:line="364" w:lineRule="auto" w:before="0" w:after="0"/>
        <w:ind w:left="293" w:right="936" w:firstLine="420"/>
        <w:jc w:val="left"/>
        <w:rPr>
          <w:sz w:val="21"/>
        </w:rPr>
      </w:pPr>
      <w:r>
        <w:rPr>
          <w:spacing w:val="9"/>
          <w:sz w:val="21"/>
        </w:rPr>
        <w:t>监督基金管理人的投资运作，发现基金管理人的投资指令违法、违规的，不予执行，向中国证监会报告；</w:t>
      </w:r>
    </w:p>
    <w:p>
      <w:pPr>
        <w:pStyle w:val="ListParagraph"/>
        <w:numPr>
          <w:ilvl w:val="0"/>
          <w:numId w:val="41"/>
        </w:numPr>
        <w:tabs>
          <w:tab w:pos="1345" w:val="left" w:leader="none"/>
        </w:tabs>
        <w:spacing w:line="268" w:lineRule="exact" w:before="0" w:after="0"/>
        <w:ind w:left="1345" w:right="0" w:hanging="632"/>
        <w:jc w:val="left"/>
        <w:rPr>
          <w:sz w:val="21"/>
        </w:rPr>
      </w:pPr>
      <w:r>
        <w:rPr>
          <w:sz w:val="21"/>
        </w:rPr>
        <w:t>对基金财务会计报告、季度报告、中期报告和年度报告出具意见；</w:t>
      </w:r>
    </w:p>
    <w:p>
      <w:pPr>
        <w:pStyle w:val="ListParagraph"/>
        <w:numPr>
          <w:ilvl w:val="0"/>
          <w:numId w:val="41"/>
        </w:numPr>
        <w:tabs>
          <w:tab w:pos="1366" w:val="left" w:leader="none"/>
        </w:tabs>
        <w:spacing w:line="364" w:lineRule="auto" w:before="138" w:after="0"/>
        <w:ind w:left="293" w:right="936" w:firstLine="420"/>
        <w:jc w:val="both"/>
        <w:rPr>
          <w:sz w:val="21"/>
        </w:rPr>
      </w:pPr>
      <w:r>
        <w:rPr>
          <w:spacing w:val="9"/>
          <w:sz w:val="21"/>
        </w:rPr>
        <w:t>办理与基金托管业务活动有关的信息披露事项；在定期报告内出具基金托管人意</w:t>
      </w:r>
      <w:r>
        <w:rPr>
          <w:spacing w:val="3"/>
          <w:sz w:val="21"/>
        </w:rPr>
        <w:t>见，说明基金管理人在各重要方面的运作是否严格按照本《基金合同》的规定进行，如果基金管理人有未执行本《基金合同》规定的行为，还应当说明基金托管人是否采取了适当的措施；</w:t>
      </w:r>
    </w:p>
    <w:p>
      <w:pPr>
        <w:pStyle w:val="ListParagraph"/>
        <w:numPr>
          <w:ilvl w:val="0"/>
          <w:numId w:val="41"/>
        </w:numPr>
        <w:tabs>
          <w:tab w:pos="1354" w:val="left" w:leader="none"/>
        </w:tabs>
        <w:spacing w:line="364" w:lineRule="auto" w:before="0" w:after="0"/>
        <w:ind w:left="293" w:right="936" w:firstLine="420"/>
        <w:jc w:val="both"/>
        <w:rPr>
          <w:sz w:val="21"/>
        </w:rPr>
      </w:pPr>
      <w:r>
        <w:rPr>
          <w:spacing w:val="3"/>
          <w:sz w:val="21"/>
        </w:rPr>
        <w:t>按有关规定，保存基金托管业务活动的记录、账册、报表和其他相关资料的完整记</w:t>
      </w:r>
      <w:r>
        <w:rPr>
          <w:spacing w:val="-16"/>
          <w:sz w:val="21"/>
        </w:rPr>
        <w:t>录等 </w:t>
      </w:r>
      <w:r>
        <w:rPr>
          <w:sz w:val="21"/>
        </w:rPr>
        <w:t>15</w:t>
      </w:r>
      <w:r>
        <w:rPr>
          <w:spacing w:val="-12"/>
          <w:sz w:val="21"/>
        </w:rPr>
        <w:t> 年以上；</w:t>
      </w:r>
    </w:p>
    <w:p>
      <w:pPr>
        <w:pStyle w:val="ListParagraph"/>
        <w:numPr>
          <w:ilvl w:val="0"/>
          <w:numId w:val="41"/>
        </w:numPr>
        <w:tabs>
          <w:tab w:pos="1345" w:val="left" w:leader="none"/>
        </w:tabs>
        <w:spacing w:line="268" w:lineRule="exact" w:before="0" w:after="0"/>
        <w:ind w:left="1345" w:right="0" w:hanging="632"/>
        <w:jc w:val="left"/>
        <w:rPr>
          <w:sz w:val="21"/>
        </w:rPr>
      </w:pPr>
      <w:r>
        <w:rPr>
          <w:sz w:val="21"/>
        </w:rPr>
        <w:t>按规定制作相关帐册并与基金管理人核对；</w:t>
      </w:r>
    </w:p>
    <w:p>
      <w:pPr>
        <w:pStyle w:val="ListParagraph"/>
        <w:numPr>
          <w:ilvl w:val="0"/>
          <w:numId w:val="41"/>
        </w:numPr>
        <w:tabs>
          <w:tab w:pos="1345" w:val="left" w:leader="none"/>
        </w:tabs>
        <w:spacing w:line="240" w:lineRule="auto" w:before="138" w:after="0"/>
        <w:ind w:left="1345" w:right="0" w:hanging="632"/>
        <w:jc w:val="left"/>
        <w:rPr>
          <w:sz w:val="21"/>
        </w:rPr>
      </w:pPr>
      <w:r>
        <w:rPr>
          <w:sz w:val="21"/>
        </w:rPr>
        <w:t>依据基金管理人的指令或有关规定向基金份额持有人支付基金分红和赎回款项；</w:t>
      </w:r>
    </w:p>
    <w:p>
      <w:pPr>
        <w:pStyle w:val="ListParagraph"/>
        <w:numPr>
          <w:ilvl w:val="0"/>
          <w:numId w:val="41"/>
        </w:numPr>
        <w:tabs>
          <w:tab w:pos="1345" w:val="left" w:leader="none"/>
        </w:tabs>
        <w:spacing w:line="240" w:lineRule="auto" w:before="139" w:after="0"/>
        <w:ind w:left="1345" w:right="0" w:hanging="632"/>
        <w:jc w:val="left"/>
        <w:rPr>
          <w:sz w:val="21"/>
        </w:rPr>
      </w:pPr>
      <w:r>
        <w:rPr>
          <w:sz w:val="21"/>
        </w:rPr>
        <w:t>参加基金财产清算小组，参与基金资产的保管、清理、估价、变现和分配；</w:t>
      </w:r>
    </w:p>
    <w:p>
      <w:pPr>
        <w:pStyle w:val="ListParagraph"/>
        <w:numPr>
          <w:ilvl w:val="0"/>
          <w:numId w:val="41"/>
        </w:numPr>
        <w:tabs>
          <w:tab w:pos="1354" w:val="left" w:leader="none"/>
        </w:tabs>
        <w:spacing w:line="364" w:lineRule="auto" w:before="139" w:after="0"/>
        <w:ind w:left="293" w:right="936" w:firstLine="420"/>
        <w:jc w:val="left"/>
        <w:rPr>
          <w:sz w:val="21"/>
        </w:rPr>
      </w:pPr>
      <w:r>
        <w:rPr>
          <w:spacing w:val="3"/>
          <w:sz w:val="21"/>
        </w:rPr>
        <w:t>面临解散、依法被撤销、破产或者由接管人接管其资产时，及时报告中国证监会和中国银监会，并通知基金管理人；</w:t>
      </w:r>
    </w:p>
    <w:p>
      <w:pPr>
        <w:pStyle w:val="ListParagraph"/>
        <w:numPr>
          <w:ilvl w:val="0"/>
          <w:numId w:val="41"/>
        </w:numPr>
        <w:tabs>
          <w:tab w:pos="1354" w:val="left" w:leader="none"/>
        </w:tabs>
        <w:spacing w:line="364" w:lineRule="auto" w:before="0" w:after="0"/>
        <w:ind w:left="293" w:right="936" w:firstLine="420"/>
        <w:jc w:val="left"/>
        <w:rPr>
          <w:sz w:val="21"/>
        </w:rPr>
      </w:pPr>
      <w:r>
        <w:rPr>
          <w:spacing w:val="3"/>
          <w:sz w:val="21"/>
        </w:rPr>
        <w:t>基金管理人因过错造成基金资产损失时，基金托管人应为基金向基金管理人追偿， 但不连带承担基金管理人的责任</w:t>
      </w:r>
    </w:p>
    <w:p>
      <w:pPr>
        <w:pStyle w:val="ListParagraph"/>
        <w:numPr>
          <w:ilvl w:val="0"/>
          <w:numId w:val="41"/>
        </w:numPr>
        <w:tabs>
          <w:tab w:pos="1354" w:val="left" w:leader="none"/>
        </w:tabs>
        <w:spacing w:line="364" w:lineRule="auto" w:before="0" w:after="0"/>
        <w:ind w:left="293" w:right="936" w:firstLine="420"/>
        <w:jc w:val="left"/>
        <w:rPr>
          <w:sz w:val="21"/>
        </w:rPr>
      </w:pPr>
      <w:r>
        <w:rPr>
          <w:spacing w:val="3"/>
          <w:sz w:val="21"/>
        </w:rPr>
        <w:t>因过错导致基金资产的损失或因违背托管职责或者处理基金事务不当对第三人所负债务或者自己受到的损失，应以其自有财产承担，其责任不因其退任而免除；</w:t>
      </w:r>
    </w:p>
    <w:p>
      <w:pPr>
        <w:pStyle w:val="ListParagraph"/>
        <w:numPr>
          <w:ilvl w:val="0"/>
          <w:numId w:val="41"/>
        </w:numPr>
        <w:tabs>
          <w:tab w:pos="1345" w:val="left" w:leader="none"/>
        </w:tabs>
        <w:spacing w:line="268" w:lineRule="exact" w:before="0" w:after="0"/>
        <w:ind w:left="1345" w:right="0" w:hanging="632"/>
        <w:jc w:val="left"/>
        <w:rPr>
          <w:sz w:val="21"/>
        </w:rPr>
      </w:pPr>
      <w:r>
        <w:rPr>
          <w:sz w:val="21"/>
        </w:rPr>
        <w:t>不从事任何有损基金及本基金其他当事人利益的活动；</w:t>
      </w:r>
    </w:p>
    <w:p>
      <w:pPr>
        <w:pStyle w:val="ListParagraph"/>
        <w:numPr>
          <w:ilvl w:val="0"/>
          <w:numId w:val="41"/>
        </w:numPr>
        <w:tabs>
          <w:tab w:pos="1354" w:val="left" w:leader="none"/>
        </w:tabs>
        <w:spacing w:line="364" w:lineRule="auto" w:before="138" w:after="0"/>
        <w:ind w:left="293" w:right="936" w:firstLine="420"/>
        <w:jc w:val="left"/>
        <w:rPr>
          <w:sz w:val="21"/>
        </w:rPr>
      </w:pPr>
      <w:r>
        <w:rPr>
          <w:spacing w:val="-12"/>
          <w:sz w:val="21"/>
        </w:rPr>
        <w:t>依据《试点办法》、《基金合同》及其他有关规定召集基金份额持有人大会，执行基金份额持有人大会决议；</w:t>
      </w:r>
    </w:p>
    <w:p>
      <w:pPr>
        <w:pStyle w:val="ListParagraph"/>
        <w:numPr>
          <w:ilvl w:val="0"/>
          <w:numId w:val="41"/>
        </w:numPr>
        <w:tabs>
          <w:tab w:pos="1283" w:val="left" w:leader="none"/>
        </w:tabs>
        <w:spacing w:line="268" w:lineRule="exact" w:before="0" w:after="0"/>
        <w:ind w:left="1283" w:right="0" w:hanging="633"/>
        <w:jc w:val="left"/>
        <w:rPr>
          <w:sz w:val="21"/>
        </w:rPr>
      </w:pPr>
      <w:r>
        <w:rPr>
          <w:sz w:val="21"/>
        </w:rPr>
        <w:t>法律、法规、本《基金合同》和依据本《基金合同》制定的其他法律文件所规定的其</w:t>
      </w:r>
    </w:p>
    <w:p>
      <w:pPr>
        <w:spacing w:after="0" w:line="268" w:lineRule="exact"/>
        <w:jc w:val="left"/>
        <w:rPr>
          <w:sz w:val="21"/>
        </w:rPr>
        <w:sectPr>
          <w:pgSz w:w="11910" w:h="16840"/>
          <w:pgMar w:header="0" w:footer="1172" w:top="1580" w:bottom="1440" w:left="1520" w:right="360"/>
        </w:sectPr>
      </w:pPr>
    </w:p>
    <w:p>
      <w:pPr>
        <w:pStyle w:val="BodyText"/>
        <w:spacing w:before="106"/>
        <w:ind w:left="293"/>
      </w:pPr>
      <w:r>
        <w:rPr/>
        <w:t>他义务。</w:t>
      </w:r>
    </w:p>
    <w:p>
      <w:pPr>
        <w:pStyle w:val="BodyText"/>
        <w:ind w:left="0"/>
        <w:rPr>
          <w:sz w:val="20"/>
        </w:rPr>
      </w:pPr>
    </w:p>
    <w:p>
      <w:pPr>
        <w:pStyle w:val="BodyText"/>
        <w:spacing w:before="5"/>
        <w:ind w:left="0"/>
        <w:rPr>
          <w:sz w:val="27"/>
        </w:rPr>
      </w:pPr>
    </w:p>
    <w:p>
      <w:pPr>
        <w:pStyle w:val="Heading2"/>
      </w:pPr>
      <w:bookmarkStart w:name="_bookmark85" w:id="86"/>
      <w:bookmarkEnd w:id="86"/>
      <w:r>
        <w:rPr/>
      </w:r>
      <w:r>
        <w:rPr/>
        <w:t>（三）基金份额持有人的权利和义务</w:t>
      </w:r>
    </w:p>
    <w:p>
      <w:pPr>
        <w:pStyle w:val="BodyText"/>
        <w:spacing w:before="185"/>
      </w:pPr>
      <w:r>
        <w:rPr/>
        <w:t>1、基金份额持有人权利</w:t>
      </w:r>
    </w:p>
    <w:p>
      <w:pPr>
        <w:pStyle w:val="BodyText"/>
        <w:spacing w:line="364" w:lineRule="auto" w:before="139"/>
        <w:ind w:left="293" w:right="936" w:firstLine="420"/>
      </w:pPr>
      <w:r>
        <w:rPr/>
        <w:t>基金份额持有人有权按法律法规、本《基金合同》以及依据本《基金合同》制定的其他法律文件的规定：</w:t>
      </w:r>
    </w:p>
    <w:p>
      <w:pPr>
        <w:pStyle w:val="ListParagraph"/>
        <w:numPr>
          <w:ilvl w:val="0"/>
          <w:numId w:val="42"/>
        </w:numPr>
        <w:tabs>
          <w:tab w:pos="1240" w:val="left" w:leader="none"/>
        </w:tabs>
        <w:spacing w:line="268" w:lineRule="exact" w:before="0" w:after="0"/>
        <w:ind w:left="1240" w:right="0" w:hanging="527"/>
        <w:jc w:val="left"/>
        <w:rPr>
          <w:sz w:val="21"/>
        </w:rPr>
      </w:pPr>
      <w:r>
        <w:rPr>
          <w:sz w:val="21"/>
        </w:rPr>
        <w:t>出席或者委派代表出席基金份额持有人大会，并行使表决权；</w:t>
      </w:r>
    </w:p>
    <w:p>
      <w:pPr>
        <w:pStyle w:val="ListParagraph"/>
        <w:numPr>
          <w:ilvl w:val="0"/>
          <w:numId w:val="42"/>
        </w:numPr>
        <w:tabs>
          <w:tab w:pos="1240" w:val="left" w:leader="none"/>
        </w:tabs>
        <w:spacing w:line="240" w:lineRule="auto" w:before="140" w:after="0"/>
        <w:ind w:left="1240" w:right="0" w:hanging="527"/>
        <w:jc w:val="left"/>
        <w:rPr>
          <w:sz w:val="21"/>
        </w:rPr>
      </w:pPr>
      <w:r>
        <w:rPr>
          <w:sz w:val="21"/>
        </w:rPr>
        <w:t>取得基金收益；</w:t>
      </w:r>
    </w:p>
    <w:p>
      <w:pPr>
        <w:pStyle w:val="ListParagraph"/>
        <w:numPr>
          <w:ilvl w:val="0"/>
          <w:numId w:val="42"/>
        </w:numPr>
        <w:tabs>
          <w:tab w:pos="1240" w:val="left" w:leader="none"/>
        </w:tabs>
        <w:spacing w:line="240" w:lineRule="auto" w:before="139" w:after="0"/>
        <w:ind w:left="1240" w:right="0" w:hanging="527"/>
        <w:jc w:val="left"/>
        <w:rPr>
          <w:sz w:val="21"/>
        </w:rPr>
      </w:pPr>
      <w:r>
        <w:rPr>
          <w:sz w:val="21"/>
        </w:rPr>
        <w:t>监督基金经营情况，查阅或者复制公开披露的基金信息资料；</w:t>
      </w:r>
    </w:p>
    <w:p>
      <w:pPr>
        <w:pStyle w:val="ListParagraph"/>
        <w:numPr>
          <w:ilvl w:val="0"/>
          <w:numId w:val="42"/>
        </w:numPr>
        <w:tabs>
          <w:tab w:pos="1240" w:val="left" w:leader="none"/>
        </w:tabs>
        <w:spacing w:line="240" w:lineRule="auto" w:before="140" w:after="0"/>
        <w:ind w:left="1240" w:right="0" w:hanging="527"/>
        <w:jc w:val="left"/>
        <w:rPr>
          <w:sz w:val="21"/>
        </w:rPr>
      </w:pPr>
      <w:r>
        <w:rPr>
          <w:sz w:val="21"/>
        </w:rPr>
        <w:t>按规定申购或赎回基金份额，并在规定的时间内取得有效申请的基金份额或款项</w:t>
      </w:r>
    </w:p>
    <w:p>
      <w:pPr>
        <w:pStyle w:val="ListParagraph"/>
        <w:numPr>
          <w:ilvl w:val="0"/>
          <w:numId w:val="42"/>
        </w:numPr>
        <w:tabs>
          <w:tab w:pos="1240" w:val="left" w:leader="none"/>
        </w:tabs>
        <w:spacing w:line="240" w:lineRule="auto" w:before="139" w:after="0"/>
        <w:ind w:left="1240" w:right="0" w:hanging="527"/>
        <w:jc w:val="left"/>
        <w:rPr>
          <w:sz w:val="21"/>
        </w:rPr>
      </w:pPr>
      <w:r>
        <w:rPr>
          <w:sz w:val="21"/>
        </w:rPr>
        <w:t>取得基金财产清算后的剩余资产；</w:t>
      </w:r>
    </w:p>
    <w:p>
      <w:pPr>
        <w:pStyle w:val="ListParagraph"/>
        <w:numPr>
          <w:ilvl w:val="0"/>
          <w:numId w:val="42"/>
        </w:numPr>
        <w:tabs>
          <w:tab w:pos="1244" w:val="left" w:leader="none"/>
        </w:tabs>
        <w:spacing w:line="364" w:lineRule="auto" w:before="140" w:after="0"/>
        <w:ind w:left="293" w:right="936" w:firstLine="420"/>
        <w:jc w:val="left"/>
        <w:rPr>
          <w:sz w:val="21"/>
        </w:rPr>
      </w:pPr>
      <w:r>
        <w:rPr>
          <w:sz w:val="21"/>
        </w:rPr>
        <w:t>要求基金管理人或基金托管人按法律法规、本《基金合同》以及依据本《基金合同》制定的其他法律文件的规定履行其义务；</w:t>
      </w:r>
    </w:p>
    <w:p>
      <w:pPr>
        <w:pStyle w:val="ListParagraph"/>
        <w:numPr>
          <w:ilvl w:val="0"/>
          <w:numId w:val="42"/>
        </w:numPr>
        <w:tabs>
          <w:tab w:pos="1240" w:val="left" w:leader="none"/>
        </w:tabs>
        <w:spacing w:line="268" w:lineRule="exact" w:before="0" w:after="0"/>
        <w:ind w:left="1240" w:right="0" w:hanging="527"/>
        <w:jc w:val="left"/>
        <w:rPr>
          <w:sz w:val="21"/>
        </w:rPr>
      </w:pPr>
      <w:r>
        <w:rPr>
          <w:sz w:val="21"/>
        </w:rPr>
        <w:t>按照有关法律法规和基金合同的规定召集基金份额持有人大会；</w:t>
      </w:r>
    </w:p>
    <w:p>
      <w:pPr>
        <w:pStyle w:val="ListParagraph"/>
        <w:numPr>
          <w:ilvl w:val="0"/>
          <w:numId w:val="42"/>
        </w:numPr>
        <w:tabs>
          <w:tab w:pos="1240" w:val="left" w:leader="none"/>
        </w:tabs>
        <w:spacing w:line="240" w:lineRule="auto" w:before="139" w:after="0"/>
        <w:ind w:left="1240" w:right="0" w:hanging="527"/>
        <w:jc w:val="left"/>
        <w:rPr>
          <w:sz w:val="21"/>
        </w:rPr>
      </w:pPr>
      <w:r>
        <w:rPr>
          <w:sz w:val="21"/>
        </w:rPr>
        <w:t>对基金管理人、基金托管人、基金份额发售机构损害其利益的行为，依法提起诉讼；</w:t>
      </w:r>
    </w:p>
    <w:p>
      <w:pPr>
        <w:pStyle w:val="ListParagraph"/>
        <w:numPr>
          <w:ilvl w:val="0"/>
          <w:numId w:val="42"/>
        </w:numPr>
        <w:tabs>
          <w:tab w:pos="1244" w:val="left" w:leader="none"/>
        </w:tabs>
        <w:spacing w:line="364" w:lineRule="auto" w:before="140" w:after="0"/>
        <w:ind w:left="293" w:right="936" w:firstLine="420"/>
        <w:jc w:val="left"/>
        <w:rPr>
          <w:sz w:val="21"/>
        </w:rPr>
      </w:pPr>
      <w:r>
        <w:rPr>
          <w:sz w:val="21"/>
        </w:rPr>
        <w:t>法律、法规、本《基金合同》以及依据本《基金合同》制定的其他法律文件规定的其他权利。</w:t>
      </w:r>
    </w:p>
    <w:p>
      <w:pPr>
        <w:pStyle w:val="BodyText"/>
        <w:spacing w:line="268" w:lineRule="exact"/>
      </w:pPr>
      <w:r>
        <w:rPr/>
        <w:t>2、基金份额持有人义务</w:t>
      </w:r>
    </w:p>
    <w:p>
      <w:pPr>
        <w:pStyle w:val="ListParagraph"/>
        <w:numPr>
          <w:ilvl w:val="0"/>
          <w:numId w:val="43"/>
        </w:numPr>
        <w:tabs>
          <w:tab w:pos="1240" w:val="left" w:leader="none"/>
        </w:tabs>
        <w:spacing w:line="240" w:lineRule="auto" w:before="139" w:after="0"/>
        <w:ind w:left="1240" w:right="0" w:hanging="527"/>
        <w:jc w:val="left"/>
        <w:rPr>
          <w:sz w:val="21"/>
        </w:rPr>
      </w:pPr>
      <w:r>
        <w:rPr>
          <w:sz w:val="21"/>
        </w:rPr>
        <w:t>遵守本《基金合同》及根据本《基金合同》制订的相关业务规则；</w:t>
      </w:r>
    </w:p>
    <w:p>
      <w:pPr>
        <w:pStyle w:val="ListParagraph"/>
        <w:numPr>
          <w:ilvl w:val="0"/>
          <w:numId w:val="43"/>
        </w:numPr>
        <w:tabs>
          <w:tab w:pos="1240" w:val="left" w:leader="none"/>
        </w:tabs>
        <w:spacing w:line="240" w:lineRule="auto" w:before="139" w:after="0"/>
        <w:ind w:left="1240" w:right="0" w:hanging="527"/>
        <w:jc w:val="left"/>
        <w:rPr>
          <w:sz w:val="21"/>
        </w:rPr>
      </w:pPr>
      <w:r>
        <w:rPr>
          <w:sz w:val="21"/>
        </w:rPr>
        <w:t>缴纳基金认购、申购款项及规定的费用；</w:t>
      </w:r>
    </w:p>
    <w:p>
      <w:pPr>
        <w:pStyle w:val="ListParagraph"/>
        <w:numPr>
          <w:ilvl w:val="0"/>
          <w:numId w:val="43"/>
        </w:numPr>
        <w:tabs>
          <w:tab w:pos="1240" w:val="left" w:leader="none"/>
        </w:tabs>
        <w:spacing w:line="240" w:lineRule="auto" w:before="140" w:after="0"/>
        <w:ind w:left="1240" w:right="0" w:hanging="527"/>
        <w:jc w:val="left"/>
        <w:rPr>
          <w:sz w:val="21"/>
        </w:rPr>
      </w:pPr>
      <w:r>
        <w:rPr>
          <w:sz w:val="21"/>
        </w:rPr>
        <w:t>以其投资额为限承担基金亏损或者终止的有限责任；</w:t>
      </w:r>
    </w:p>
    <w:p>
      <w:pPr>
        <w:pStyle w:val="ListParagraph"/>
        <w:numPr>
          <w:ilvl w:val="0"/>
          <w:numId w:val="43"/>
        </w:numPr>
        <w:tabs>
          <w:tab w:pos="1240" w:val="left" w:leader="none"/>
        </w:tabs>
        <w:spacing w:line="240" w:lineRule="auto" w:before="139" w:after="0"/>
        <w:ind w:left="1240" w:right="0" w:hanging="527"/>
        <w:jc w:val="left"/>
        <w:rPr>
          <w:sz w:val="21"/>
        </w:rPr>
      </w:pPr>
      <w:r>
        <w:rPr>
          <w:sz w:val="21"/>
        </w:rPr>
        <w:t>返还持有基金过程中获得的不当得利；</w:t>
      </w:r>
    </w:p>
    <w:p>
      <w:pPr>
        <w:pStyle w:val="ListParagraph"/>
        <w:numPr>
          <w:ilvl w:val="0"/>
          <w:numId w:val="43"/>
        </w:numPr>
        <w:tabs>
          <w:tab w:pos="1240" w:val="left" w:leader="none"/>
        </w:tabs>
        <w:spacing w:line="240" w:lineRule="auto" w:before="140" w:after="0"/>
        <w:ind w:left="1240" w:right="0" w:hanging="527"/>
        <w:jc w:val="left"/>
        <w:rPr>
          <w:sz w:val="21"/>
        </w:rPr>
      </w:pPr>
      <w:r>
        <w:rPr>
          <w:sz w:val="21"/>
        </w:rPr>
        <w:t>不从事任何有损基金及其他基金份额持有人利益的活动；</w:t>
      </w:r>
    </w:p>
    <w:p>
      <w:pPr>
        <w:pStyle w:val="ListParagraph"/>
        <w:numPr>
          <w:ilvl w:val="0"/>
          <w:numId w:val="43"/>
        </w:numPr>
        <w:tabs>
          <w:tab w:pos="1244" w:val="left" w:leader="none"/>
        </w:tabs>
        <w:spacing w:line="364" w:lineRule="auto" w:before="139" w:after="0"/>
        <w:ind w:left="293" w:right="936" w:firstLine="420"/>
        <w:jc w:val="left"/>
        <w:rPr>
          <w:sz w:val="21"/>
        </w:rPr>
      </w:pPr>
      <w:r>
        <w:rPr>
          <w:sz w:val="21"/>
        </w:rPr>
        <w:t>法律、法规、本《基金合同》以及依据本《基金合同》制定的其他法律文件所规定的其他义务。</w:t>
      </w:r>
    </w:p>
    <w:p>
      <w:pPr>
        <w:pStyle w:val="Heading2"/>
      </w:pPr>
      <w:bookmarkStart w:name="_bookmark86" w:id="87"/>
      <w:bookmarkEnd w:id="87"/>
      <w:r>
        <w:rPr/>
      </w:r>
      <w:r>
        <w:rPr/>
        <w:t>（四）基金份额持有人大会</w:t>
      </w:r>
    </w:p>
    <w:p>
      <w:pPr>
        <w:pStyle w:val="BodyText"/>
        <w:spacing w:line="364" w:lineRule="auto" w:before="185"/>
        <w:ind w:right="936"/>
      </w:pPr>
      <w:r>
        <w:rPr/>
        <w:t>1、基金份额持有人大会由基金份额持有人共同组成。基金份额持有人持有的每一基金份额拥有平等的投票权。</w:t>
      </w:r>
    </w:p>
    <w:p>
      <w:pPr>
        <w:pStyle w:val="BodyText"/>
        <w:spacing w:line="268" w:lineRule="exact"/>
      </w:pPr>
      <w:r>
        <w:rPr/>
        <w:t>2、召开事由</w:t>
      </w:r>
    </w:p>
    <w:p>
      <w:pPr>
        <w:pStyle w:val="ListParagraph"/>
        <w:numPr>
          <w:ilvl w:val="0"/>
          <w:numId w:val="44"/>
        </w:numPr>
        <w:tabs>
          <w:tab w:pos="1074" w:val="left" w:leader="none"/>
        </w:tabs>
        <w:spacing w:line="364" w:lineRule="auto" w:before="140" w:after="0"/>
        <w:ind w:left="713" w:right="3701" w:firstLine="0"/>
        <w:jc w:val="left"/>
        <w:rPr>
          <w:sz w:val="21"/>
        </w:rPr>
      </w:pPr>
      <w:r>
        <w:rPr>
          <w:spacing w:val="-1"/>
          <w:sz w:val="21"/>
        </w:rPr>
        <w:t>有以下事由情形之一的，应当召开基金份额持有人大会： </w:t>
      </w:r>
      <w:r>
        <w:rPr>
          <w:sz w:val="21"/>
        </w:rPr>
        <w:t>1）</w:t>
      </w:r>
      <w:r>
        <w:rPr>
          <w:spacing w:val="-8"/>
          <w:sz w:val="21"/>
        </w:rPr>
        <w:t> 提前终止基金合同；</w:t>
      </w:r>
    </w:p>
    <w:p>
      <w:pPr>
        <w:pStyle w:val="ListParagraph"/>
        <w:numPr>
          <w:ilvl w:val="0"/>
          <w:numId w:val="45"/>
        </w:numPr>
        <w:tabs>
          <w:tab w:pos="1074" w:val="left" w:leader="none"/>
        </w:tabs>
        <w:spacing w:line="268" w:lineRule="exact" w:before="0" w:after="0"/>
        <w:ind w:left="1074" w:right="0" w:hanging="361"/>
        <w:jc w:val="left"/>
        <w:rPr>
          <w:sz w:val="21"/>
        </w:rPr>
      </w:pPr>
      <w:r>
        <w:rPr>
          <w:sz w:val="21"/>
        </w:rPr>
        <w:t>更换基金托管人；</w:t>
      </w:r>
    </w:p>
    <w:p>
      <w:pPr>
        <w:spacing w:after="0" w:line="268" w:lineRule="exact"/>
        <w:jc w:val="left"/>
        <w:rPr>
          <w:sz w:val="21"/>
        </w:rPr>
        <w:sectPr>
          <w:pgSz w:w="11910" w:h="16840"/>
          <w:pgMar w:header="0" w:footer="1172" w:top="1580" w:bottom="1440" w:left="1520" w:right="360"/>
        </w:sectPr>
      </w:pPr>
    </w:p>
    <w:p>
      <w:pPr>
        <w:pStyle w:val="ListParagraph"/>
        <w:numPr>
          <w:ilvl w:val="0"/>
          <w:numId w:val="45"/>
        </w:numPr>
        <w:tabs>
          <w:tab w:pos="1074" w:val="left" w:leader="none"/>
        </w:tabs>
        <w:spacing w:line="240" w:lineRule="auto" w:before="106" w:after="0"/>
        <w:ind w:left="1074" w:right="0" w:hanging="361"/>
        <w:jc w:val="left"/>
        <w:rPr>
          <w:sz w:val="21"/>
        </w:rPr>
      </w:pPr>
      <w:r>
        <w:rPr>
          <w:sz w:val="21"/>
        </w:rPr>
        <w:t>更换基金管理人；</w:t>
      </w:r>
    </w:p>
    <w:p>
      <w:pPr>
        <w:pStyle w:val="ListParagraph"/>
        <w:numPr>
          <w:ilvl w:val="0"/>
          <w:numId w:val="45"/>
        </w:numPr>
        <w:tabs>
          <w:tab w:pos="1074" w:val="left" w:leader="none"/>
        </w:tabs>
        <w:spacing w:line="240" w:lineRule="auto" w:before="139" w:after="0"/>
        <w:ind w:left="1074" w:right="0" w:hanging="361"/>
        <w:jc w:val="left"/>
        <w:rPr>
          <w:sz w:val="21"/>
        </w:rPr>
      </w:pPr>
      <w:r>
        <w:rPr>
          <w:sz w:val="21"/>
        </w:rPr>
        <w:t>提高基金管理人、基金托管人的报酬标准；</w:t>
      </w:r>
    </w:p>
    <w:p>
      <w:pPr>
        <w:pStyle w:val="ListParagraph"/>
        <w:numPr>
          <w:ilvl w:val="0"/>
          <w:numId w:val="45"/>
        </w:numPr>
        <w:tabs>
          <w:tab w:pos="1074" w:val="left" w:leader="none"/>
        </w:tabs>
        <w:spacing w:line="240" w:lineRule="auto" w:before="140" w:after="0"/>
        <w:ind w:left="1074" w:right="0" w:hanging="361"/>
        <w:jc w:val="left"/>
        <w:rPr>
          <w:sz w:val="21"/>
        </w:rPr>
      </w:pPr>
      <w:r>
        <w:rPr>
          <w:sz w:val="21"/>
        </w:rPr>
        <w:t>转换基金运作方式；</w:t>
      </w:r>
    </w:p>
    <w:p>
      <w:pPr>
        <w:pStyle w:val="ListParagraph"/>
        <w:numPr>
          <w:ilvl w:val="0"/>
          <w:numId w:val="45"/>
        </w:numPr>
        <w:tabs>
          <w:tab w:pos="1074" w:val="left" w:leader="none"/>
        </w:tabs>
        <w:spacing w:line="240" w:lineRule="auto" w:before="139" w:after="0"/>
        <w:ind w:left="1074" w:right="0" w:hanging="361"/>
        <w:jc w:val="left"/>
        <w:rPr>
          <w:sz w:val="21"/>
        </w:rPr>
      </w:pPr>
      <w:r>
        <w:rPr>
          <w:sz w:val="21"/>
        </w:rPr>
        <w:t>基金管理人或基金托管人要求召开基金份额持有人大会；</w:t>
      </w:r>
    </w:p>
    <w:p>
      <w:pPr>
        <w:pStyle w:val="ListParagraph"/>
        <w:numPr>
          <w:ilvl w:val="0"/>
          <w:numId w:val="45"/>
        </w:numPr>
        <w:tabs>
          <w:tab w:pos="1078" w:val="left" w:leader="none"/>
        </w:tabs>
        <w:spacing w:line="364" w:lineRule="auto" w:before="140" w:after="0"/>
        <w:ind w:left="293" w:right="936" w:firstLine="420"/>
        <w:jc w:val="both"/>
        <w:rPr>
          <w:sz w:val="21"/>
        </w:rPr>
      </w:pPr>
      <w:r>
        <w:rPr>
          <w:spacing w:val="-2"/>
          <w:sz w:val="21"/>
        </w:rPr>
        <w:t>单独或合计持有本基金总份额 </w:t>
      </w:r>
      <w:r>
        <w:rPr>
          <w:sz w:val="21"/>
        </w:rPr>
        <w:t>10</w:t>
      </w:r>
      <w:r>
        <w:rPr>
          <w:spacing w:val="2"/>
          <w:sz w:val="21"/>
        </w:rPr>
        <w:t>％以上</w:t>
      </w:r>
      <w:r>
        <w:rPr>
          <w:spacing w:val="3"/>
          <w:sz w:val="21"/>
        </w:rPr>
        <w:t>（</w:t>
      </w:r>
      <w:r>
        <w:rPr>
          <w:spacing w:val="-22"/>
          <w:sz w:val="21"/>
        </w:rPr>
        <w:t>含 </w:t>
      </w:r>
      <w:r>
        <w:rPr>
          <w:sz w:val="21"/>
        </w:rPr>
        <w:t>10％）</w:t>
      </w:r>
      <w:r>
        <w:rPr>
          <w:spacing w:val="3"/>
          <w:sz w:val="21"/>
        </w:rPr>
        <w:t>的基金份额持有人（</w:t>
      </w:r>
      <w:r>
        <w:rPr>
          <w:spacing w:val="2"/>
          <w:sz w:val="21"/>
        </w:rPr>
        <w:t>以基金管理人</w:t>
      </w:r>
      <w:r>
        <w:rPr>
          <w:spacing w:val="4"/>
          <w:sz w:val="21"/>
        </w:rPr>
        <w:t>收到提议当日的基金份额计算，下同）</w:t>
      </w:r>
      <w:r>
        <w:rPr>
          <w:spacing w:val="3"/>
          <w:sz w:val="21"/>
        </w:rPr>
        <w:t>就涉及本基金的同一事项书面要求召开基金份额持有人大会；</w:t>
      </w:r>
    </w:p>
    <w:p>
      <w:pPr>
        <w:pStyle w:val="ListParagraph"/>
        <w:numPr>
          <w:ilvl w:val="0"/>
          <w:numId w:val="45"/>
        </w:numPr>
        <w:tabs>
          <w:tab w:pos="1074" w:val="left" w:leader="none"/>
        </w:tabs>
        <w:spacing w:line="268" w:lineRule="exact" w:before="0" w:after="0"/>
        <w:ind w:left="1074" w:right="0" w:hanging="361"/>
        <w:jc w:val="left"/>
        <w:rPr>
          <w:sz w:val="21"/>
        </w:rPr>
      </w:pPr>
      <w:r>
        <w:rPr>
          <w:sz w:val="21"/>
        </w:rPr>
        <w:t>法律法规和本基金合同规定的其他情形。</w:t>
      </w:r>
    </w:p>
    <w:p>
      <w:pPr>
        <w:pStyle w:val="ListParagraph"/>
        <w:numPr>
          <w:ilvl w:val="0"/>
          <w:numId w:val="44"/>
        </w:numPr>
        <w:tabs>
          <w:tab w:pos="1074" w:val="left" w:leader="none"/>
        </w:tabs>
        <w:spacing w:line="364" w:lineRule="auto" w:before="139" w:after="0"/>
        <w:ind w:left="713" w:right="3491" w:firstLine="0"/>
        <w:jc w:val="left"/>
        <w:rPr>
          <w:sz w:val="21"/>
        </w:rPr>
      </w:pPr>
      <w:r>
        <w:rPr>
          <w:spacing w:val="-1"/>
          <w:sz w:val="21"/>
        </w:rPr>
        <w:t>需要决定下列事项之一时，不需召开基金份额持有人大会： </w:t>
      </w:r>
      <w:r>
        <w:rPr>
          <w:sz w:val="21"/>
        </w:rPr>
        <w:t>1）</w:t>
      </w:r>
      <w:r>
        <w:rPr>
          <w:spacing w:val="-8"/>
          <w:sz w:val="21"/>
        </w:rPr>
        <w:t> 调低基金管理费、基金托管费或销售服务费率；</w:t>
      </w:r>
    </w:p>
    <w:p>
      <w:pPr>
        <w:pStyle w:val="ListParagraph"/>
        <w:numPr>
          <w:ilvl w:val="0"/>
          <w:numId w:val="46"/>
        </w:numPr>
        <w:tabs>
          <w:tab w:pos="1075" w:val="left" w:leader="none"/>
        </w:tabs>
        <w:spacing w:line="364" w:lineRule="auto" w:before="0" w:after="0"/>
        <w:ind w:left="293" w:right="936" w:firstLine="420"/>
        <w:jc w:val="left"/>
        <w:rPr>
          <w:sz w:val="21"/>
        </w:rPr>
      </w:pPr>
      <w:r>
        <w:rPr>
          <w:sz w:val="21"/>
        </w:rPr>
        <w:t>在本基金合同规定的范围内变更本基金的申购费率、赎回费率或收费方式、调整基金份额类别；</w:t>
      </w:r>
    </w:p>
    <w:p>
      <w:pPr>
        <w:pStyle w:val="ListParagraph"/>
        <w:numPr>
          <w:ilvl w:val="0"/>
          <w:numId w:val="46"/>
        </w:numPr>
        <w:tabs>
          <w:tab w:pos="1074" w:val="left" w:leader="none"/>
        </w:tabs>
        <w:spacing w:line="268" w:lineRule="exact" w:before="0" w:after="0"/>
        <w:ind w:left="1074" w:right="0" w:hanging="361"/>
        <w:jc w:val="left"/>
        <w:rPr>
          <w:sz w:val="21"/>
        </w:rPr>
      </w:pPr>
      <w:r>
        <w:rPr>
          <w:sz w:val="21"/>
        </w:rPr>
        <w:t>因相应的法律、法规发生变动必须对基金合同进行修改；</w:t>
      </w:r>
    </w:p>
    <w:p>
      <w:pPr>
        <w:pStyle w:val="ListParagraph"/>
        <w:numPr>
          <w:ilvl w:val="0"/>
          <w:numId w:val="46"/>
        </w:numPr>
        <w:tabs>
          <w:tab w:pos="1074" w:val="left" w:leader="none"/>
        </w:tabs>
        <w:spacing w:line="240" w:lineRule="auto" w:before="139" w:after="0"/>
        <w:ind w:left="1074" w:right="0" w:hanging="361"/>
        <w:jc w:val="left"/>
        <w:rPr>
          <w:sz w:val="21"/>
        </w:rPr>
      </w:pPr>
      <w:r>
        <w:rPr>
          <w:sz w:val="21"/>
        </w:rPr>
        <w:t>基金合同的修改对基金份额持有人利益无实质性不利影响；</w:t>
      </w:r>
    </w:p>
    <w:p>
      <w:pPr>
        <w:pStyle w:val="ListParagraph"/>
        <w:numPr>
          <w:ilvl w:val="0"/>
          <w:numId w:val="46"/>
        </w:numPr>
        <w:tabs>
          <w:tab w:pos="1074" w:val="left" w:leader="none"/>
        </w:tabs>
        <w:spacing w:line="240" w:lineRule="auto" w:before="139" w:after="0"/>
        <w:ind w:left="1074" w:right="0" w:hanging="361"/>
        <w:jc w:val="left"/>
        <w:rPr>
          <w:sz w:val="21"/>
        </w:rPr>
      </w:pPr>
      <w:r>
        <w:rPr>
          <w:sz w:val="21"/>
        </w:rPr>
        <w:t>按照法律法规或本基金合同规定不需召开基金份额持有人大会的其它情形。</w:t>
      </w:r>
    </w:p>
    <w:p>
      <w:pPr>
        <w:pStyle w:val="BodyText"/>
        <w:spacing w:before="140"/>
      </w:pPr>
      <w:r>
        <w:rPr/>
        <w:t>3、召集</w:t>
      </w:r>
    </w:p>
    <w:p>
      <w:pPr>
        <w:pStyle w:val="BodyText"/>
        <w:spacing w:line="364" w:lineRule="auto" w:before="139"/>
        <w:ind w:left="293" w:right="936" w:firstLine="420"/>
      </w:pPr>
      <w:r>
        <w:rPr/>
        <w:t>在正常情况下，基金份额持有人大会由基金管理人召集，开会时间及地点由基金管理人选择确定。</w:t>
      </w:r>
    </w:p>
    <w:p>
      <w:pPr>
        <w:pStyle w:val="BodyText"/>
        <w:spacing w:line="364" w:lineRule="auto"/>
        <w:ind w:left="293" w:right="936" w:firstLine="420"/>
        <w:jc w:val="both"/>
      </w:pPr>
      <w:r>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pPr>
        <w:pStyle w:val="BodyText"/>
        <w:spacing w:line="364" w:lineRule="auto"/>
        <w:ind w:left="293" w:right="936" w:firstLine="420"/>
        <w:jc w:val="both"/>
      </w:pPr>
      <w:r>
        <w:rPr>
          <w:spacing w:val="-4"/>
        </w:rPr>
        <w:t>代表基金份额 </w:t>
      </w:r>
      <w:r>
        <w:rPr/>
        <w:t>10％（</w:t>
      </w:r>
      <w:r>
        <w:rPr>
          <w:spacing w:val="-11"/>
        </w:rPr>
        <w:t>含 </w:t>
      </w:r>
      <w:r>
        <w:rPr/>
        <w:t>10％）以上的基金份额持有人认为有必要召开基金份额持有人大会</w:t>
      </w:r>
      <w:r>
        <w:rPr>
          <w:spacing w:val="3"/>
        </w:rPr>
        <w:t>的，应当向基金管理人提出书面提议。基金管理人应当自收到书面提议之日起十日内决定是否召集，并书面告知提出提议的基金份额持有人代表和基金托管人。</w:t>
      </w:r>
    </w:p>
    <w:p>
      <w:pPr>
        <w:pStyle w:val="BodyText"/>
        <w:spacing w:line="364" w:lineRule="auto"/>
        <w:ind w:left="293" w:right="936" w:firstLine="420"/>
        <w:jc w:val="both"/>
      </w:pPr>
      <w:r>
        <w:rPr>
          <w:spacing w:val="3"/>
        </w:rPr>
        <w:t>基金管理人决定召集的，应当自出具书面决定之日起六十日内召开；基金管理人决定不召</w:t>
      </w:r>
      <w:r>
        <w:rPr/>
        <w:t>集，代表基金份额 10％（</w:t>
      </w:r>
      <w:r>
        <w:rPr>
          <w:spacing w:val="-11"/>
        </w:rPr>
        <w:t>含 </w:t>
      </w:r>
      <w:r>
        <w:rPr/>
        <w:t>10％）以上的基金份额持有人仍认为有必要召开的，应当向基金托管人提出书面提议。</w:t>
      </w:r>
    </w:p>
    <w:p>
      <w:pPr>
        <w:pStyle w:val="BodyText"/>
        <w:spacing w:line="364" w:lineRule="auto"/>
        <w:ind w:left="293" w:right="936" w:firstLine="420"/>
        <w:jc w:val="both"/>
      </w:pPr>
      <w:r>
        <w:rPr/>
        <w:t>基金托管人应当自收到书面提议之日起十日内决定是否召集，并书面告知提出提议的基金份额持有人代表和基金管理人；基金托管人决定召集的，应当自出具书面决定之日起六十日内召开。</w:t>
      </w:r>
    </w:p>
    <w:p>
      <w:pPr>
        <w:pStyle w:val="BodyText"/>
        <w:spacing w:line="364" w:lineRule="auto"/>
        <w:ind w:left="293" w:right="936" w:firstLine="420"/>
        <w:jc w:val="both"/>
      </w:pPr>
      <w:r>
        <w:rPr>
          <w:spacing w:val="-3"/>
        </w:rPr>
        <w:t>代表基金总份额 </w:t>
      </w:r>
      <w:r>
        <w:rPr/>
        <w:t>10％以上（</w:t>
      </w:r>
      <w:r>
        <w:rPr>
          <w:spacing w:val="-11"/>
        </w:rPr>
        <w:t>含 </w:t>
      </w:r>
      <w:r>
        <w:rPr/>
        <w:t>10％）的基金份额持有人就同一事项要求召开基金份额持有人大会，而基金管理人、基金托管人都不召集或均无法行使召集权的，代表基金总份额 10％以</w:t>
      </w:r>
    </w:p>
    <w:p>
      <w:pPr>
        <w:spacing w:after="0" w:line="364" w:lineRule="auto"/>
        <w:jc w:val="both"/>
        <w:sectPr>
          <w:pgSz w:w="11910" w:h="16840"/>
          <w:pgMar w:header="0" w:footer="1172" w:top="1580" w:bottom="1440" w:left="1520" w:right="360"/>
        </w:sectPr>
      </w:pPr>
    </w:p>
    <w:p>
      <w:pPr>
        <w:pStyle w:val="BodyText"/>
        <w:spacing w:line="364" w:lineRule="auto" w:before="106"/>
        <w:ind w:left="293" w:right="936"/>
        <w:jc w:val="both"/>
      </w:pPr>
      <w:r>
        <w:rPr/>
        <w:t>上（含 10％）的基金份额持有人有权自行召集。基金份额持有人自行召集基金份额持有人大会的，应当至少提前三十日向中国证监会备案。基金份额持有人依法自行召集基金份额持有人大会的，基金管理人、基金托管人应当配合，不得阻碍、干扰。</w:t>
      </w:r>
    </w:p>
    <w:p>
      <w:pPr>
        <w:pStyle w:val="BodyText"/>
        <w:spacing w:line="268" w:lineRule="exact"/>
      </w:pPr>
      <w:r>
        <w:rPr/>
        <w:t>4、通知</w:t>
      </w:r>
    </w:p>
    <w:p>
      <w:pPr>
        <w:pStyle w:val="BodyText"/>
        <w:spacing w:line="364" w:lineRule="auto" w:before="139"/>
        <w:ind w:right="1541"/>
      </w:pPr>
      <w:r>
        <w:rPr/>
        <w:t>召开基金份额持有人大会，召集人应当至少提前三十日通过指定媒介公告会议通知。基金份额持有人大会通知将至少载明以下内容：</w:t>
      </w:r>
    </w:p>
    <w:p>
      <w:pPr>
        <w:pStyle w:val="ListParagraph"/>
        <w:numPr>
          <w:ilvl w:val="0"/>
          <w:numId w:val="47"/>
        </w:numPr>
        <w:tabs>
          <w:tab w:pos="1240" w:val="left" w:leader="none"/>
        </w:tabs>
        <w:spacing w:line="268" w:lineRule="exact" w:before="0" w:after="0"/>
        <w:ind w:left="1240" w:right="0" w:hanging="527"/>
        <w:jc w:val="left"/>
        <w:rPr>
          <w:sz w:val="21"/>
        </w:rPr>
      </w:pPr>
      <w:r>
        <w:rPr>
          <w:sz w:val="21"/>
        </w:rPr>
        <w:t>会议召开的时间、地点、方式；</w:t>
      </w:r>
    </w:p>
    <w:p>
      <w:pPr>
        <w:pStyle w:val="ListParagraph"/>
        <w:numPr>
          <w:ilvl w:val="0"/>
          <w:numId w:val="47"/>
        </w:numPr>
        <w:tabs>
          <w:tab w:pos="1240" w:val="left" w:leader="none"/>
        </w:tabs>
        <w:spacing w:line="240" w:lineRule="auto" w:before="140" w:after="0"/>
        <w:ind w:left="1240" w:right="0" w:hanging="527"/>
        <w:jc w:val="left"/>
        <w:rPr>
          <w:sz w:val="21"/>
        </w:rPr>
      </w:pPr>
      <w:r>
        <w:rPr>
          <w:sz w:val="21"/>
        </w:rPr>
        <w:t>会议拟审议的主要事项、议事程序、表决方式；</w:t>
      </w:r>
    </w:p>
    <w:p>
      <w:pPr>
        <w:pStyle w:val="ListParagraph"/>
        <w:numPr>
          <w:ilvl w:val="0"/>
          <w:numId w:val="47"/>
        </w:numPr>
        <w:tabs>
          <w:tab w:pos="1240" w:val="left" w:leader="none"/>
        </w:tabs>
        <w:spacing w:line="240" w:lineRule="auto" w:before="139" w:after="0"/>
        <w:ind w:left="1240" w:right="0" w:hanging="527"/>
        <w:jc w:val="left"/>
        <w:rPr>
          <w:sz w:val="21"/>
        </w:rPr>
      </w:pPr>
      <w:r>
        <w:rPr>
          <w:sz w:val="21"/>
        </w:rPr>
        <w:t>权益登记日；</w:t>
      </w:r>
    </w:p>
    <w:p>
      <w:pPr>
        <w:pStyle w:val="ListParagraph"/>
        <w:numPr>
          <w:ilvl w:val="0"/>
          <w:numId w:val="47"/>
        </w:numPr>
        <w:tabs>
          <w:tab w:pos="1240" w:val="left" w:leader="none"/>
        </w:tabs>
        <w:spacing w:line="240" w:lineRule="auto" w:before="140" w:after="0"/>
        <w:ind w:left="1240" w:right="0" w:hanging="527"/>
        <w:jc w:val="left"/>
        <w:rPr>
          <w:sz w:val="21"/>
        </w:rPr>
      </w:pPr>
      <w:r>
        <w:rPr>
          <w:sz w:val="21"/>
        </w:rPr>
        <w:t>投票委托书送达时间和地点；</w:t>
      </w:r>
    </w:p>
    <w:p>
      <w:pPr>
        <w:pStyle w:val="ListParagraph"/>
        <w:numPr>
          <w:ilvl w:val="0"/>
          <w:numId w:val="47"/>
        </w:numPr>
        <w:tabs>
          <w:tab w:pos="1240" w:val="left" w:leader="none"/>
        </w:tabs>
        <w:spacing w:line="240" w:lineRule="auto" w:before="139" w:after="0"/>
        <w:ind w:left="1240" w:right="0" w:hanging="527"/>
        <w:jc w:val="left"/>
        <w:rPr>
          <w:sz w:val="21"/>
        </w:rPr>
      </w:pPr>
      <w:r>
        <w:rPr>
          <w:sz w:val="21"/>
        </w:rPr>
        <w:t>会务常设联系人姓名、电话；</w:t>
      </w:r>
    </w:p>
    <w:p>
      <w:pPr>
        <w:pStyle w:val="ListParagraph"/>
        <w:numPr>
          <w:ilvl w:val="0"/>
          <w:numId w:val="47"/>
        </w:numPr>
        <w:tabs>
          <w:tab w:pos="1240" w:val="left" w:leader="none"/>
        </w:tabs>
        <w:spacing w:line="240" w:lineRule="auto" w:before="140" w:after="0"/>
        <w:ind w:left="1240" w:right="0" w:hanging="527"/>
        <w:jc w:val="left"/>
        <w:rPr>
          <w:sz w:val="21"/>
        </w:rPr>
      </w:pPr>
      <w:r>
        <w:rPr>
          <w:sz w:val="21"/>
        </w:rPr>
        <w:t>其他注意事项。</w:t>
      </w:r>
    </w:p>
    <w:p>
      <w:pPr>
        <w:pStyle w:val="BodyText"/>
        <w:spacing w:line="364" w:lineRule="auto" w:before="139"/>
        <w:ind w:left="293" w:right="936" w:firstLine="420"/>
        <w:jc w:val="both"/>
      </w:pPr>
      <w:r>
        <w:rPr/>
        <w:t>如采用通讯方式开会并进行表决的情况下，会议通知应报中国证监会备案，且除上述内容外还要在会议通知中说明具体通讯方式、委托的公证机关及其联系方式和联系人、书面表决意见的寄交和收取的方式等。</w:t>
      </w:r>
    </w:p>
    <w:p>
      <w:pPr>
        <w:pStyle w:val="BodyText"/>
        <w:spacing w:line="268" w:lineRule="exact"/>
      </w:pPr>
      <w:r>
        <w:rPr/>
        <w:t>5、召开方式</w:t>
      </w:r>
    </w:p>
    <w:p>
      <w:pPr>
        <w:pStyle w:val="BodyText"/>
        <w:spacing w:line="364" w:lineRule="auto" w:before="139"/>
        <w:ind w:left="293" w:right="936" w:firstLine="420"/>
      </w:pPr>
      <w:r>
        <w:rPr/>
        <w:t>基金份额持有人大会的召开方式包括现场开会和通讯方式开会，具体由召集人确定，但更换基金管理人和基金托管人必须采取现场开会方式。</w:t>
      </w:r>
    </w:p>
    <w:p>
      <w:pPr>
        <w:pStyle w:val="ListParagraph"/>
        <w:numPr>
          <w:ilvl w:val="0"/>
          <w:numId w:val="48"/>
        </w:numPr>
        <w:tabs>
          <w:tab w:pos="1240" w:val="left" w:leader="none"/>
        </w:tabs>
        <w:spacing w:line="268" w:lineRule="exact" w:before="0" w:after="0"/>
        <w:ind w:left="1240" w:right="0" w:hanging="527"/>
        <w:jc w:val="left"/>
        <w:rPr>
          <w:sz w:val="21"/>
        </w:rPr>
      </w:pPr>
      <w:r>
        <w:rPr>
          <w:sz w:val="21"/>
        </w:rPr>
        <w:t>现场开会</w:t>
      </w:r>
    </w:p>
    <w:p>
      <w:pPr>
        <w:pStyle w:val="ListParagraph"/>
        <w:numPr>
          <w:ilvl w:val="0"/>
          <w:numId w:val="49"/>
        </w:numPr>
        <w:tabs>
          <w:tab w:pos="1032" w:val="left" w:leader="none"/>
        </w:tabs>
        <w:spacing w:line="364" w:lineRule="auto" w:before="140" w:after="0"/>
        <w:ind w:left="293" w:right="936" w:firstLine="420"/>
        <w:jc w:val="both"/>
        <w:rPr>
          <w:sz w:val="21"/>
        </w:rPr>
      </w:pPr>
      <w:r>
        <w:rPr>
          <w:sz w:val="21"/>
        </w:rPr>
        <w:t>本《基金合同》所指现场开会系指由基金份额持有人本人出席或出具授权委托书委派其</w:t>
      </w:r>
      <w:r>
        <w:rPr>
          <w:spacing w:val="3"/>
          <w:sz w:val="21"/>
        </w:rPr>
        <w:t>代理人出席参加基金份额持有人大会。现场开会时基金管理人和基金托管人的授权代表应当出席。</w:t>
      </w:r>
    </w:p>
    <w:p>
      <w:pPr>
        <w:pStyle w:val="ListParagraph"/>
        <w:numPr>
          <w:ilvl w:val="0"/>
          <w:numId w:val="49"/>
        </w:numPr>
        <w:tabs>
          <w:tab w:pos="1032" w:val="left" w:leader="none"/>
        </w:tabs>
        <w:spacing w:line="364" w:lineRule="auto" w:before="0" w:after="0"/>
        <w:ind w:left="293" w:right="936" w:firstLine="420"/>
        <w:jc w:val="both"/>
        <w:rPr>
          <w:sz w:val="21"/>
        </w:rPr>
      </w:pPr>
      <w:r>
        <w:rPr>
          <w:sz w:val="21"/>
        </w:rPr>
        <w:t>基金份额持有人本人在出席基金份额持有人大会时，应向召集人出具符合法律、法规和</w:t>
      </w:r>
      <w:r>
        <w:rPr>
          <w:spacing w:val="3"/>
          <w:sz w:val="21"/>
        </w:rPr>
        <w:t>规章、本《基金合同》及会议通知规定的有关证明文件。基金份额持有人的代理人在出席基金份额持有人大会时，除应向召集人提交上述证明文件外，还应提交有关基金份额持有人出具的有效书面授权书。</w:t>
      </w:r>
    </w:p>
    <w:p>
      <w:pPr>
        <w:pStyle w:val="ListParagraph"/>
        <w:numPr>
          <w:ilvl w:val="0"/>
          <w:numId w:val="49"/>
        </w:numPr>
        <w:tabs>
          <w:tab w:pos="1032" w:val="left" w:leader="none"/>
        </w:tabs>
        <w:spacing w:line="364" w:lineRule="auto" w:before="0" w:after="0"/>
        <w:ind w:left="293" w:right="936" w:firstLine="420"/>
        <w:jc w:val="both"/>
        <w:rPr>
          <w:sz w:val="21"/>
        </w:rPr>
      </w:pPr>
      <w:r>
        <w:rPr>
          <w:sz w:val="21"/>
        </w:rPr>
        <w:t>现场开会须符合以下条件时，方可进行基金份额持有人大会议程：经核对，汇总到会者</w:t>
      </w:r>
      <w:r>
        <w:rPr>
          <w:spacing w:val="3"/>
          <w:sz w:val="21"/>
        </w:rPr>
        <w:t>出示的在权益登记日持有基金份额的凭证显示，到会的基金份额持有人代表的基金份额不少于</w:t>
      </w:r>
      <w:r>
        <w:rPr>
          <w:spacing w:val="-7"/>
          <w:sz w:val="21"/>
        </w:rPr>
        <w:t>基金总份额 </w:t>
      </w:r>
      <w:r>
        <w:rPr>
          <w:sz w:val="21"/>
        </w:rPr>
        <w:t>50％。</w:t>
      </w:r>
    </w:p>
    <w:p>
      <w:pPr>
        <w:pStyle w:val="BodyText"/>
        <w:spacing w:line="364" w:lineRule="auto"/>
        <w:ind w:left="293" w:right="936" w:firstLine="420"/>
        <w:jc w:val="both"/>
      </w:pPr>
      <w:r>
        <w:rPr>
          <w:spacing w:val="-1"/>
        </w:rPr>
        <w:t>如上述条件未能满足，则召集人应当将会议至少推迟 </w:t>
      </w:r>
      <w:r>
        <w:rPr/>
        <w:t>15</w:t>
      </w:r>
      <w:r>
        <w:rPr>
          <w:spacing w:val="-6"/>
        </w:rPr>
        <w:t> 个工作日后重新召集，并公告重新</w:t>
      </w:r>
      <w:r>
        <w:rPr>
          <w:spacing w:val="-2"/>
        </w:rPr>
        <w:t>开会的时间和地点，再次开会日期的提前通知期限为 </w:t>
      </w:r>
      <w:r>
        <w:rPr/>
        <w:t>10</w:t>
      </w:r>
      <w:r>
        <w:rPr>
          <w:spacing w:val="-6"/>
        </w:rPr>
        <w:t> 天，但确定有权出席会议的基金份额持</w:t>
      </w:r>
      <w:r>
        <w:rPr>
          <w:spacing w:val="3"/>
        </w:rPr>
        <w:t>有人资格的权益登记日不变。重新以现场开会方式再次召集基金份额持有人大会的，仍应满足上述条件。</w:t>
      </w:r>
    </w:p>
    <w:p>
      <w:pPr>
        <w:spacing w:after="0" w:line="364" w:lineRule="auto"/>
        <w:jc w:val="both"/>
        <w:sectPr>
          <w:pgSz w:w="11910" w:h="16840"/>
          <w:pgMar w:header="0" w:footer="1172" w:top="1580" w:bottom="1440" w:left="1520" w:right="360"/>
        </w:sectPr>
      </w:pPr>
    </w:p>
    <w:p>
      <w:pPr>
        <w:pStyle w:val="ListParagraph"/>
        <w:numPr>
          <w:ilvl w:val="0"/>
          <w:numId w:val="48"/>
        </w:numPr>
        <w:tabs>
          <w:tab w:pos="1240" w:val="left" w:leader="none"/>
        </w:tabs>
        <w:spacing w:line="240" w:lineRule="auto" w:before="106" w:after="0"/>
        <w:ind w:left="1240" w:right="0" w:hanging="527"/>
        <w:jc w:val="left"/>
        <w:rPr>
          <w:sz w:val="21"/>
        </w:rPr>
      </w:pPr>
      <w:r>
        <w:rPr>
          <w:sz w:val="21"/>
        </w:rPr>
        <w:t>通讯方式开会</w:t>
      </w:r>
    </w:p>
    <w:p>
      <w:pPr>
        <w:pStyle w:val="ListParagraph"/>
        <w:numPr>
          <w:ilvl w:val="0"/>
          <w:numId w:val="50"/>
        </w:numPr>
        <w:tabs>
          <w:tab w:pos="1032" w:val="left" w:leader="none"/>
        </w:tabs>
        <w:spacing w:line="364" w:lineRule="auto" w:before="139" w:after="0"/>
        <w:ind w:left="293" w:right="936" w:firstLine="420"/>
        <w:jc w:val="left"/>
        <w:rPr>
          <w:sz w:val="21"/>
        </w:rPr>
      </w:pPr>
      <w:r>
        <w:rPr>
          <w:sz w:val="21"/>
        </w:rPr>
        <w:t>本《基金合同》所指通讯方式开会系指基金份额持有人将其对表决事项的投票以书面形式在表决截至日以前送达至召集人指定的地址。</w:t>
      </w:r>
    </w:p>
    <w:p>
      <w:pPr>
        <w:pStyle w:val="ListParagraph"/>
        <w:numPr>
          <w:ilvl w:val="0"/>
          <w:numId w:val="50"/>
        </w:numPr>
        <w:tabs>
          <w:tab w:pos="1032" w:val="left" w:leader="none"/>
        </w:tabs>
        <w:spacing w:line="364" w:lineRule="auto" w:before="0" w:after="0"/>
        <w:ind w:left="293" w:right="936" w:firstLine="420"/>
        <w:jc w:val="left"/>
        <w:rPr>
          <w:sz w:val="21"/>
        </w:rPr>
      </w:pPr>
      <w:r>
        <w:rPr>
          <w:spacing w:val="-1"/>
          <w:sz w:val="21"/>
        </w:rPr>
        <w:t>召集人按本《基金合同》规定公布会议通知后，在 </w:t>
      </w:r>
      <w:r>
        <w:rPr>
          <w:sz w:val="21"/>
        </w:rPr>
        <w:t>2</w:t>
      </w:r>
      <w:r>
        <w:rPr>
          <w:spacing w:val="-6"/>
          <w:sz w:val="21"/>
        </w:rPr>
        <w:t> 个工作日内连续公布相关提示性公</w:t>
      </w:r>
      <w:r>
        <w:rPr>
          <w:sz w:val="21"/>
        </w:rPr>
        <w:t>告。</w:t>
      </w:r>
    </w:p>
    <w:p>
      <w:pPr>
        <w:pStyle w:val="ListParagraph"/>
        <w:numPr>
          <w:ilvl w:val="0"/>
          <w:numId w:val="50"/>
        </w:numPr>
        <w:tabs>
          <w:tab w:pos="1032" w:val="left" w:leader="none"/>
        </w:tabs>
        <w:spacing w:line="364" w:lineRule="auto" w:before="0" w:after="0"/>
        <w:ind w:left="293" w:right="936" w:firstLine="420"/>
        <w:jc w:val="both"/>
        <w:rPr>
          <w:sz w:val="21"/>
        </w:rPr>
      </w:pPr>
      <w:r>
        <w:rPr>
          <w:sz w:val="21"/>
        </w:rPr>
        <w:t>基金份额持有人本人在以书面通讯方式进行表决时，应向召集人以书面方式提交符合法</w:t>
      </w:r>
      <w:r>
        <w:rPr>
          <w:spacing w:val="3"/>
          <w:sz w:val="21"/>
        </w:rPr>
        <w:t>律、法规和规章、本《基金合同》及会议通知规定的有关证明文件。基金份额持有人的代理人在以书面通讯方式进行表决时，应向召集人以书面方式提交有关基金份额持有人出具的有效的书面授权委托书和基金份额持有人应当提交的上述有关证明文件。不能满足上述要求的基金份额持有人或基金份额持有人的代理人所提交的书面表决意见被视为无效，其代表的基金份额不计入参加表决的总份额。</w:t>
      </w:r>
    </w:p>
    <w:p>
      <w:pPr>
        <w:pStyle w:val="BodyText"/>
        <w:spacing w:line="364" w:lineRule="auto"/>
        <w:ind w:left="293" w:right="936" w:firstLine="420"/>
        <w:jc w:val="both"/>
      </w:pPr>
      <w:r>
        <w:rPr/>
        <w:t>召集人在公证机关的监督下按照会议通知规定的方式收取基金份额持有人的书面表决意见；在表决截止日以前实际送达召集人指定的地址的投票视为有效投票，本条款不适用本《基金合同》中有关“视为送达”的规定。</w:t>
      </w:r>
    </w:p>
    <w:p>
      <w:pPr>
        <w:pStyle w:val="ListParagraph"/>
        <w:numPr>
          <w:ilvl w:val="0"/>
          <w:numId w:val="50"/>
        </w:numPr>
        <w:tabs>
          <w:tab w:pos="1032" w:val="left" w:leader="none"/>
        </w:tabs>
        <w:spacing w:line="364" w:lineRule="auto" w:before="0" w:after="0"/>
        <w:ind w:left="293" w:right="936" w:firstLine="420"/>
        <w:jc w:val="both"/>
        <w:rPr>
          <w:sz w:val="21"/>
        </w:rPr>
      </w:pPr>
      <w:r>
        <w:rPr>
          <w:sz w:val="21"/>
        </w:rPr>
        <w:t>以通讯方式开会须符合下列条件方视为有效：本人直接或委托授权代表出具有效书面意</w:t>
      </w:r>
      <w:r>
        <w:rPr>
          <w:spacing w:val="-2"/>
          <w:sz w:val="21"/>
        </w:rPr>
        <w:t>见的基金份额持有人所持有的基金份额不少于基金份额总数的 </w:t>
      </w:r>
      <w:r>
        <w:rPr>
          <w:sz w:val="21"/>
        </w:rPr>
        <w:t>50％。</w:t>
      </w:r>
    </w:p>
    <w:p>
      <w:pPr>
        <w:pStyle w:val="BodyText"/>
        <w:spacing w:line="364" w:lineRule="auto"/>
        <w:ind w:left="293" w:right="936" w:firstLine="420"/>
        <w:jc w:val="both"/>
      </w:pPr>
      <w:r>
        <w:rPr>
          <w:spacing w:val="-1"/>
        </w:rPr>
        <w:t>如上述条件未能满足，则召集人应当将会议至少推迟 </w:t>
      </w:r>
      <w:r>
        <w:rPr/>
        <w:t>15</w:t>
      </w:r>
      <w:r>
        <w:rPr>
          <w:spacing w:val="-6"/>
        </w:rPr>
        <w:t> 个工作日后重新召集，并公告重新</w:t>
      </w:r>
      <w:r>
        <w:rPr>
          <w:spacing w:val="-2"/>
        </w:rPr>
        <w:t>开会的时间和地点，再次开会日期的提前通知期限为 </w:t>
      </w:r>
      <w:r>
        <w:rPr/>
        <w:t>10</w:t>
      </w:r>
      <w:r>
        <w:rPr>
          <w:spacing w:val="-6"/>
        </w:rPr>
        <w:t> 天，但确定有权出席会议的基金份额持</w:t>
      </w:r>
      <w:r>
        <w:rPr>
          <w:spacing w:val="3"/>
        </w:rPr>
        <w:t>有人资格的权益登记日不变。重新以通讯方式再次召集基金份额持有人大会的，仍应满足上述条件。</w:t>
      </w:r>
    </w:p>
    <w:p>
      <w:pPr>
        <w:pStyle w:val="BodyText"/>
        <w:spacing w:line="267" w:lineRule="exact"/>
      </w:pPr>
      <w:r>
        <w:rPr/>
        <w:t>6、内容与程序</w:t>
      </w:r>
    </w:p>
    <w:p>
      <w:pPr>
        <w:pStyle w:val="ListParagraph"/>
        <w:numPr>
          <w:ilvl w:val="0"/>
          <w:numId w:val="51"/>
        </w:numPr>
        <w:tabs>
          <w:tab w:pos="1240" w:val="left" w:leader="none"/>
        </w:tabs>
        <w:spacing w:line="240" w:lineRule="auto" w:before="133" w:after="0"/>
        <w:ind w:left="1240" w:right="0" w:hanging="527"/>
        <w:jc w:val="left"/>
        <w:rPr>
          <w:sz w:val="21"/>
        </w:rPr>
      </w:pPr>
      <w:r>
        <w:rPr>
          <w:sz w:val="21"/>
        </w:rPr>
        <w:t>议事内容：</w:t>
      </w:r>
    </w:p>
    <w:p>
      <w:pPr>
        <w:pStyle w:val="ListParagraph"/>
        <w:numPr>
          <w:ilvl w:val="0"/>
          <w:numId w:val="52"/>
        </w:numPr>
        <w:tabs>
          <w:tab w:pos="1030" w:val="left" w:leader="none"/>
        </w:tabs>
        <w:spacing w:line="240" w:lineRule="auto" w:before="139" w:after="0"/>
        <w:ind w:left="1030" w:right="0" w:hanging="317"/>
        <w:jc w:val="left"/>
        <w:rPr>
          <w:sz w:val="21"/>
        </w:rPr>
      </w:pPr>
      <w:r>
        <w:rPr>
          <w:sz w:val="21"/>
        </w:rPr>
        <w:t>议事内容包括“召开事由”所规定的事项；</w:t>
      </w:r>
    </w:p>
    <w:p>
      <w:pPr>
        <w:pStyle w:val="ListParagraph"/>
        <w:numPr>
          <w:ilvl w:val="0"/>
          <w:numId w:val="52"/>
        </w:numPr>
        <w:tabs>
          <w:tab w:pos="1035" w:val="left" w:leader="none"/>
        </w:tabs>
        <w:spacing w:line="364" w:lineRule="auto" w:before="140" w:after="0"/>
        <w:ind w:left="293" w:right="936" w:firstLine="420"/>
        <w:jc w:val="both"/>
        <w:rPr>
          <w:sz w:val="21"/>
        </w:rPr>
      </w:pPr>
      <w:r>
        <w:rPr>
          <w:spacing w:val="1"/>
          <w:sz w:val="21"/>
        </w:rPr>
        <w:t>基金管理人、基金托管人、单独或合计持有本基金 </w:t>
      </w:r>
      <w:r>
        <w:rPr>
          <w:sz w:val="21"/>
        </w:rPr>
        <w:t>10%</w:t>
      </w:r>
      <w:r>
        <w:rPr>
          <w:spacing w:val="-8"/>
          <w:sz w:val="21"/>
        </w:rPr>
        <w:t>以上(含 </w:t>
      </w:r>
      <w:r>
        <w:rPr>
          <w:sz w:val="21"/>
        </w:rPr>
        <w:t>10%)</w:t>
      </w:r>
      <w:r>
        <w:rPr>
          <w:spacing w:val="4"/>
          <w:sz w:val="21"/>
        </w:rPr>
        <w:t>基金总份额的基金</w:t>
      </w:r>
      <w:r>
        <w:rPr>
          <w:spacing w:val="3"/>
          <w:sz w:val="21"/>
        </w:rPr>
        <w:t>份额持有人可以在基金份额持有人大会召集人发出会议通知前向大会召集人提交需审议表决的议案；也可以在会议通知发出后向大会召集人提交临时提案。临时提案最迟应当在大会召开日</w:t>
      </w:r>
      <w:r>
        <w:rPr>
          <w:spacing w:val="-23"/>
          <w:sz w:val="21"/>
        </w:rPr>
        <w:t>前 </w:t>
      </w:r>
      <w:r>
        <w:rPr>
          <w:sz w:val="21"/>
        </w:rPr>
        <w:t>15</w:t>
      </w:r>
      <w:r>
        <w:rPr>
          <w:spacing w:val="-5"/>
          <w:sz w:val="21"/>
        </w:rPr>
        <w:t> 日提交召集人；召集人对于临时提案应当最迟在大会召开日前 </w:t>
      </w:r>
      <w:r>
        <w:rPr>
          <w:sz w:val="21"/>
        </w:rPr>
        <w:t>10</w:t>
      </w:r>
      <w:r>
        <w:rPr>
          <w:spacing w:val="-3"/>
          <w:sz w:val="21"/>
        </w:rPr>
        <w:t> 日公告，否则会议的召</w:t>
      </w:r>
      <w:r>
        <w:rPr>
          <w:spacing w:val="-7"/>
          <w:sz w:val="21"/>
        </w:rPr>
        <w:t>开日期应当顺延并保证至少有 </w:t>
      </w:r>
      <w:r>
        <w:rPr>
          <w:sz w:val="21"/>
        </w:rPr>
        <w:t>10</w:t>
      </w:r>
      <w:r>
        <w:rPr>
          <w:spacing w:val="-9"/>
          <w:sz w:val="21"/>
        </w:rPr>
        <w:t> 天的间隔期。</w:t>
      </w:r>
    </w:p>
    <w:p>
      <w:pPr>
        <w:pStyle w:val="ListParagraph"/>
        <w:numPr>
          <w:ilvl w:val="0"/>
          <w:numId w:val="52"/>
        </w:numPr>
        <w:tabs>
          <w:tab w:pos="1032" w:val="left" w:leader="none"/>
        </w:tabs>
        <w:spacing w:line="364" w:lineRule="auto" w:before="0" w:after="0"/>
        <w:ind w:left="293" w:right="936" w:firstLine="420"/>
        <w:jc w:val="both"/>
        <w:rPr>
          <w:sz w:val="21"/>
        </w:rPr>
      </w:pPr>
      <w:r>
        <w:rPr>
          <w:sz w:val="21"/>
        </w:rPr>
        <w:t>基金份额持有人大会的召集人发出召集会议的通知后，对原有提案的修改应当在基金份</w:t>
      </w:r>
      <w:r>
        <w:rPr>
          <w:spacing w:val="4"/>
          <w:sz w:val="21"/>
        </w:rPr>
        <w:t>额持有人大会召开日前 </w:t>
      </w:r>
      <w:r>
        <w:rPr>
          <w:sz w:val="21"/>
        </w:rPr>
        <w:t>10</w:t>
      </w:r>
      <w:r>
        <w:rPr>
          <w:spacing w:val="-2"/>
          <w:sz w:val="21"/>
        </w:rPr>
        <w:t> 天公告，否则会议的召开日期应当顺延并保证至少有 </w:t>
      </w:r>
      <w:r>
        <w:rPr>
          <w:sz w:val="21"/>
        </w:rPr>
        <w:t>10</w:t>
      </w:r>
      <w:r>
        <w:rPr>
          <w:spacing w:val="-6"/>
          <w:sz w:val="21"/>
        </w:rPr>
        <w:t> 天的间隔期。</w:t>
      </w:r>
    </w:p>
    <w:p>
      <w:pPr>
        <w:pStyle w:val="ListParagraph"/>
        <w:numPr>
          <w:ilvl w:val="0"/>
          <w:numId w:val="52"/>
        </w:numPr>
        <w:tabs>
          <w:tab w:pos="1030" w:val="left" w:leader="none"/>
        </w:tabs>
        <w:spacing w:line="268" w:lineRule="exact" w:before="0" w:after="0"/>
        <w:ind w:left="1030" w:right="0" w:hanging="317"/>
        <w:jc w:val="left"/>
        <w:rPr>
          <w:sz w:val="21"/>
        </w:rPr>
      </w:pPr>
      <w:r>
        <w:rPr>
          <w:sz w:val="21"/>
        </w:rPr>
        <w:t>基金份额持有人大会不得对未事先公告的议事内容进行表决。</w:t>
      </w:r>
    </w:p>
    <w:p>
      <w:pPr>
        <w:pStyle w:val="ListParagraph"/>
        <w:numPr>
          <w:ilvl w:val="0"/>
          <w:numId w:val="51"/>
        </w:numPr>
        <w:tabs>
          <w:tab w:pos="1240" w:val="left" w:leader="none"/>
        </w:tabs>
        <w:spacing w:line="240" w:lineRule="auto" w:before="137" w:after="0"/>
        <w:ind w:left="1240" w:right="0" w:hanging="527"/>
        <w:jc w:val="left"/>
        <w:rPr>
          <w:sz w:val="21"/>
        </w:rPr>
      </w:pPr>
      <w:r>
        <w:rPr>
          <w:sz w:val="21"/>
        </w:rPr>
        <w:t>议事程序</w:t>
      </w:r>
    </w:p>
    <w:p>
      <w:pPr>
        <w:spacing w:after="0" w:line="240" w:lineRule="auto"/>
        <w:jc w:val="left"/>
        <w:rPr>
          <w:sz w:val="21"/>
        </w:rPr>
        <w:sectPr>
          <w:pgSz w:w="11910" w:h="16840"/>
          <w:pgMar w:header="0" w:footer="1172" w:top="1580" w:bottom="1440" w:left="1520" w:right="360"/>
        </w:sectPr>
      </w:pPr>
    </w:p>
    <w:p>
      <w:pPr>
        <w:pStyle w:val="BodyText"/>
        <w:spacing w:before="106"/>
      </w:pPr>
      <w:r>
        <w:rPr/>
        <w:t>1)现场开会</w:t>
      </w:r>
    </w:p>
    <w:p>
      <w:pPr>
        <w:pStyle w:val="BodyText"/>
        <w:spacing w:line="364" w:lineRule="auto" w:before="139"/>
        <w:ind w:left="293" w:right="936" w:firstLine="420"/>
        <w:jc w:val="both"/>
      </w:pPr>
      <w:r>
        <w:rPr/>
        <w:t>在现场开会的方式下,首先由大会主持人按照规定程序宣布会议议事程序及注意事项,确定和公布监票人,然后由大会主持人宣读提案,经讨论后进行表决,经律师或公证员见证后形成大会决议。</w:t>
      </w:r>
    </w:p>
    <w:p>
      <w:pPr>
        <w:pStyle w:val="BodyText"/>
        <w:spacing w:line="364" w:lineRule="auto"/>
        <w:ind w:left="293" w:right="936" w:firstLine="420"/>
        <w:jc w:val="both"/>
      </w:pPr>
      <w:r>
        <w:rPr/>
        <w:t>基金份额持有人大会由基金管理人授权代表主持。在基金管理人授权代表未能主持大会的情况下,由基金托管人授权代表主持；如果基金管理人和基金托管人授权代表均未能主持大会， 则由出席大会的基金份额持有人或其代理人以所代表的基金份额 50%以上多数(不含 50%)选举产生一名代表作为该次基金份额持有人大会的主持人。</w:t>
      </w:r>
    </w:p>
    <w:p>
      <w:pPr>
        <w:pStyle w:val="BodyText"/>
        <w:spacing w:line="364" w:lineRule="auto"/>
        <w:ind w:left="293" w:right="936" w:firstLine="420"/>
      </w:pPr>
      <w:r>
        <w:rPr/>
        <w:t>召集人应当制作出席会议人员的签名册。签名册载明参加会议人员姓名(或单位名称)、身份证号码、住所地址、持有或者代表有表决权的基金份额、委托人姓名(或单位名称)等事项。</w:t>
      </w:r>
    </w:p>
    <w:p>
      <w:pPr>
        <w:pStyle w:val="BodyText"/>
        <w:spacing w:line="268" w:lineRule="exact"/>
      </w:pPr>
      <w:r>
        <w:rPr/>
        <w:t>2）通讯方式开会</w:t>
      </w:r>
    </w:p>
    <w:p>
      <w:pPr>
        <w:pStyle w:val="BodyText"/>
        <w:spacing w:line="364" w:lineRule="auto" w:before="137"/>
        <w:ind w:left="293" w:right="936" w:firstLine="420"/>
      </w:pPr>
      <w:r>
        <w:rPr/>
        <w:t>在通讯方式开会的情况下，公告会议通知时应当同时公布提案；在通知载明的表决截止日期后第二天在公证机构监督下统计全部有效表决，形成决议，报中国证监会备案。</w:t>
      </w:r>
    </w:p>
    <w:p>
      <w:pPr>
        <w:pStyle w:val="BodyText"/>
        <w:spacing w:line="268" w:lineRule="exact"/>
      </w:pPr>
      <w:r>
        <w:rPr/>
        <w:t>7、表决</w:t>
      </w:r>
    </w:p>
    <w:p>
      <w:pPr>
        <w:pStyle w:val="ListParagraph"/>
        <w:numPr>
          <w:ilvl w:val="0"/>
          <w:numId w:val="53"/>
        </w:numPr>
        <w:tabs>
          <w:tab w:pos="1244" w:val="left" w:leader="none"/>
        </w:tabs>
        <w:spacing w:line="364" w:lineRule="auto" w:before="139" w:after="0"/>
        <w:ind w:left="293" w:right="936" w:firstLine="420"/>
        <w:jc w:val="left"/>
        <w:rPr>
          <w:sz w:val="21"/>
        </w:rPr>
      </w:pPr>
      <w:r>
        <w:rPr>
          <w:sz w:val="21"/>
        </w:rPr>
        <w:t>基金份额持有人所持每一份基金份额具有一票表决权，基金份额持有人可以委托代理人出席基金份额持有人大会并行使表决权；</w:t>
      </w:r>
    </w:p>
    <w:p>
      <w:pPr>
        <w:pStyle w:val="ListParagraph"/>
        <w:numPr>
          <w:ilvl w:val="0"/>
          <w:numId w:val="53"/>
        </w:numPr>
        <w:tabs>
          <w:tab w:pos="1240" w:val="left" w:leader="none"/>
        </w:tabs>
        <w:spacing w:line="268" w:lineRule="exact" w:before="0" w:after="0"/>
        <w:ind w:left="1240" w:right="0" w:hanging="527"/>
        <w:jc w:val="left"/>
        <w:rPr>
          <w:sz w:val="21"/>
        </w:rPr>
      </w:pPr>
      <w:r>
        <w:rPr>
          <w:sz w:val="21"/>
        </w:rPr>
        <w:t>基金份额持有人大会决议分为一般决议和特别决议。</w:t>
      </w:r>
    </w:p>
    <w:p>
      <w:pPr>
        <w:pStyle w:val="ListParagraph"/>
        <w:numPr>
          <w:ilvl w:val="0"/>
          <w:numId w:val="54"/>
        </w:numPr>
        <w:tabs>
          <w:tab w:pos="1030" w:val="left" w:leader="none"/>
        </w:tabs>
        <w:spacing w:line="240" w:lineRule="auto" w:before="139" w:after="0"/>
        <w:ind w:left="1030" w:right="0" w:hanging="317"/>
        <w:jc w:val="left"/>
        <w:rPr>
          <w:sz w:val="21"/>
        </w:rPr>
      </w:pPr>
      <w:r>
        <w:rPr>
          <w:sz w:val="21"/>
        </w:rPr>
        <w:t>一般决议</w:t>
      </w:r>
    </w:p>
    <w:p>
      <w:pPr>
        <w:pStyle w:val="BodyText"/>
        <w:spacing w:line="364" w:lineRule="auto" w:before="140"/>
        <w:ind w:left="293" w:right="936" w:firstLine="420"/>
      </w:pPr>
      <w:r>
        <w:rPr/>
        <w:t>一般决议须经参加会议的基金份额持有人或其代理人所持表决权的 50％以上通过方为有效。</w:t>
      </w:r>
    </w:p>
    <w:p>
      <w:pPr>
        <w:pStyle w:val="BodyText"/>
        <w:spacing w:line="364" w:lineRule="auto"/>
        <w:ind w:left="293" w:right="886" w:firstLine="420"/>
      </w:pPr>
      <w:r>
        <w:rPr/>
        <w:t>除下列 2）所规定的须以特别决议通过的事项以外的其他事项均应以一般决议的方式通过。法律法规另有规定时从其规定。</w:t>
      </w:r>
    </w:p>
    <w:p>
      <w:pPr>
        <w:pStyle w:val="ListParagraph"/>
        <w:numPr>
          <w:ilvl w:val="0"/>
          <w:numId w:val="54"/>
        </w:numPr>
        <w:tabs>
          <w:tab w:pos="1030" w:val="left" w:leader="none"/>
        </w:tabs>
        <w:spacing w:line="268" w:lineRule="exact" w:before="0" w:after="0"/>
        <w:ind w:left="1030" w:right="0" w:hanging="317"/>
        <w:jc w:val="left"/>
        <w:rPr>
          <w:sz w:val="21"/>
        </w:rPr>
      </w:pPr>
      <w:r>
        <w:rPr>
          <w:sz w:val="21"/>
        </w:rPr>
        <w:t>特别决议</w:t>
      </w:r>
    </w:p>
    <w:p>
      <w:pPr>
        <w:pStyle w:val="BodyText"/>
        <w:spacing w:line="364" w:lineRule="auto" w:before="138"/>
        <w:ind w:left="293" w:right="936" w:firstLine="420"/>
        <w:jc w:val="both"/>
      </w:pPr>
      <w:r>
        <w:rPr/>
        <w:t>须经基金份额持有人大会通过的特别决议应当经参加会议的基金份额持有人或其代理人所持表决权的三分之二以上通过方为有效。涉及转换本基金运作方式、本基金的终止、更换基金管理人、更换基金托管人等事由必须以特别决议通过方为有效。</w:t>
      </w:r>
    </w:p>
    <w:p>
      <w:pPr>
        <w:pStyle w:val="ListParagraph"/>
        <w:numPr>
          <w:ilvl w:val="0"/>
          <w:numId w:val="53"/>
        </w:numPr>
        <w:tabs>
          <w:tab w:pos="1244" w:val="left" w:leader="none"/>
        </w:tabs>
        <w:spacing w:line="364" w:lineRule="auto" w:before="0" w:after="0"/>
        <w:ind w:left="293" w:right="936" w:firstLine="420"/>
        <w:jc w:val="both"/>
        <w:rPr>
          <w:sz w:val="21"/>
        </w:rPr>
      </w:pPr>
      <w:r>
        <w:rPr>
          <w:sz w:val="21"/>
        </w:rPr>
        <w:t>与某一表决事项有利害关系的基金份额持有人不得就该事项行使表决权；该基金份额</w:t>
      </w:r>
      <w:r>
        <w:rPr>
          <w:spacing w:val="3"/>
          <w:sz w:val="21"/>
        </w:rPr>
        <w:t>持有人持有的基金份额所代表的表决权份额不计入有效的表决权总额；但是，上述有利害关系的基金份额持有人所代表的基金份额仍应计算入出席基金份额持有人大会之基金份额持有人及代理人所代表的基金份额总数。</w:t>
      </w:r>
    </w:p>
    <w:p>
      <w:pPr>
        <w:pStyle w:val="ListParagraph"/>
        <w:numPr>
          <w:ilvl w:val="0"/>
          <w:numId w:val="53"/>
        </w:numPr>
        <w:tabs>
          <w:tab w:pos="1240" w:val="left" w:leader="none"/>
        </w:tabs>
        <w:spacing w:line="267" w:lineRule="exact" w:before="0" w:after="0"/>
        <w:ind w:left="1240" w:right="0" w:hanging="527"/>
        <w:jc w:val="left"/>
        <w:rPr>
          <w:sz w:val="21"/>
        </w:rPr>
      </w:pPr>
      <w:r>
        <w:rPr>
          <w:sz w:val="21"/>
        </w:rPr>
        <w:t>基金份额持有人大会采取记名方式进行投票表决。</w:t>
      </w:r>
    </w:p>
    <w:p>
      <w:pPr>
        <w:pStyle w:val="ListParagraph"/>
        <w:numPr>
          <w:ilvl w:val="0"/>
          <w:numId w:val="53"/>
        </w:numPr>
        <w:tabs>
          <w:tab w:pos="1244" w:val="left" w:leader="none"/>
        </w:tabs>
        <w:spacing w:line="364" w:lineRule="auto" w:before="138" w:after="0"/>
        <w:ind w:left="293" w:right="936" w:firstLine="420"/>
        <w:jc w:val="left"/>
        <w:rPr>
          <w:sz w:val="21"/>
        </w:rPr>
      </w:pPr>
      <w:r>
        <w:rPr>
          <w:sz w:val="21"/>
        </w:rPr>
        <w:t>采取书面通讯方式进行表决时，除非在计票时有充分的相反证据证明，否则表面符合</w:t>
      </w:r>
      <w:r>
        <w:rPr>
          <w:spacing w:val="3"/>
          <w:sz w:val="21"/>
        </w:rPr>
        <w:t>法律、法规和会议通知规定的书面表决意见即视为有效的表决；表决意见模糊不清或相互矛盾</w:t>
      </w:r>
    </w:p>
    <w:p>
      <w:pPr>
        <w:spacing w:after="0" w:line="364" w:lineRule="auto"/>
        <w:jc w:val="left"/>
        <w:rPr>
          <w:sz w:val="21"/>
        </w:rPr>
        <w:sectPr>
          <w:pgSz w:w="11910" w:h="16840"/>
          <w:pgMar w:header="0" w:footer="1172" w:top="1580" w:bottom="1440" w:left="1520" w:right="360"/>
        </w:sectPr>
      </w:pPr>
    </w:p>
    <w:p>
      <w:pPr>
        <w:pStyle w:val="BodyText"/>
        <w:spacing w:before="106"/>
        <w:ind w:left="293"/>
      </w:pPr>
      <w:r>
        <w:rPr/>
        <w:t>的视为无效表决。</w:t>
      </w:r>
    </w:p>
    <w:p>
      <w:pPr>
        <w:pStyle w:val="ListParagraph"/>
        <w:numPr>
          <w:ilvl w:val="0"/>
          <w:numId w:val="53"/>
        </w:numPr>
        <w:tabs>
          <w:tab w:pos="1244" w:val="left" w:leader="none"/>
        </w:tabs>
        <w:spacing w:line="364" w:lineRule="auto" w:before="139" w:after="0"/>
        <w:ind w:left="293" w:right="936" w:firstLine="420"/>
        <w:jc w:val="left"/>
        <w:rPr>
          <w:sz w:val="21"/>
        </w:rPr>
      </w:pPr>
      <w:r>
        <w:rPr>
          <w:sz w:val="21"/>
        </w:rPr>
        <w:t>基金份额持有人大会的各项提案或同一项提案内并列的各项议题应当分开审议、逐项表决。</w:t>
      </w:r>
    </w:p>
    <w:p>
      <w:pPr>
        <w:pStyle w:val="BodyText"/>
        <w:spacing w:line="268" w:lineRule="exact"/>
      </w:pPr>
      <w:r>
        <w:rPr/>
        <w:t>8、计票</w:t>
      </w:r>
    </w:p>
    <w:p>
      <w:pPr>
        <w:pStyle w:val="ListParagraph"/>
        <w:numPr>
          <w:ilvl w:val="0"/>
          <w:numId w:val="55"/>
        </w:numPr>
        <w:tabs>
          <w:tab w:pos="1240" w:val="left" w:leader="none"/>
        </w:tabs>
        <w:spacing w:line="240" w:lineRule="auto" w:before="140" w:after="0"/>
        <w:ind w:left="1240" w:right="0" w:hanging="527"/>
        <w:jc w:val="left"/>
        <w:rPr>
          <w:sz w:val="21"/>
        </w:rPr>
      </w:pPr>
      <w:r>
        <w:rPr>
          <w:sz w:val="21"/>
        </w:rPr>
        <w:t>现场开会</w:t>
      </w:r>
    </w:p>
    <w:p>
      <w:pPr>
        <w:pStyle w:val="ListParagraph"/>
        <w:numPr>
          <w:ilvl w:val="0"/>
          <w:numId w:val="56"/>
        </w:numPr>
        <w:tabs>
          <w:tab w:pos="925" w:val="left" w:leader="none"/>
        </w:tabs>
        <w:spacing w:line="364" w:lineRule="auto" w:before="139" w:after="0"/>
        <w:ind w:left="293" w:right="936" w:firstLine="420"/>
        <w:jc w:val="both"/>
        <w:rPr>
          <w:sz w:val="21"/>
        </w:rPr>
      </w:pPr>
      <w:r>
        <w:rPr>
          <w:spacing w:val="-1"/>
          <w:sz w:val="21"/>
        </w:rPr>
        <w:t>如基金份额持有人大会由基金管理人或基金托管人召集,则基金份额持有人大会的主持人</w:t>
      </w:r>
      <w:r>
        <w:rPr>
          <w:spacing w:val="3"/>
          <w:sz w:val="21"/>
        </w:rPr>
        <w:t>应当在会议开始后宣布在出席会议的基金份额持有人和代理人中选举两名代表与大会召集人授权的一名监督员共同担任监票人；如大会由基金份额持有人自行召集,基金份额持有人大会的主</w:t>
      </w:r>
      <w:r>
        <w:rPr>
          <w:spacing w:val="9"/>
          <w:sz w:val="21"/>
        </w:rPr>
        <w:t>持人应当在会议开始后宣布在出席会议的基金份额持有人和代理人中选举三名代表担任监票</w:t>
      </w:r>
      <w:r>
        <w:rPr>
          <w:sz w:val="21"/>
        </w:rPr>
        <w:t>人。</w:t>
      </w:r>
    </w:p>
    <w:p>
      <w:pPr>
        <w:pStyle w:val="ListParagraph"/>
        <w:numPr>
          <w:ilvl w:val="0"/>
          <w:numId w:val="56"/>
        </w:numPr>
        <w:tabs>
          <w:tab w:pos="925" w:val="left" w:leader="none"/>
        </w:tabs>
        <w:spacing w:line="267" w:lineRule="exact" w:before="0" w:after="0"/>
        <w:ind w:left="925" w:right="0" w:hanging="212"/>
        <w:jc w:val="left"/>
        <w:rPr>
          <w:sz w:val="21"/>
        </w:rPr>
      </w:pPr>
      <w:r>
        <w:rPr>
          <w:sz w:val="21"/>
        </w:rPr>
        <w:t>监票人应当在基金份额持有人表决后立即进行清点并由大会主持人当场公布计票结果。</w:t>
      </w:r>
    </w:p>
    <w:p>
      <w:pPr>
        <w:pStyle w:val="ListParagraph"/>
        <w:numPr>
          <w:ilvl w:val="0"/>
          <w:numId w:val="56"/>
        </w:numPr>
        <w:tabs>
          <w:tab w:pos="925" w:val="left" w:leader="none"/>
        </w:tabs>
        <w:spacing w:line="364" w:lineRule="auto" w:before="140" w:after="0"/>
        <w:ind w:left="293" w:right="936" w:firstLine="420"/>
        <w:jc w:val="both"/>
        <w:rPr>
          <w:sz w:val="21"/>
        </w:rPr>
      </w:pPr>
      <w:r>
        <w:rPr>
          <w:spacing w:val="-1"/>
          <w:sz w:val="21"/>
        </w:rPr>
        <w:t>如果大会主持人对于提交的表决结果有怀疑,可以对所投票数进行重新清点；如果大会主</w:t>
      </w:r>
      <w:r>
        <w:rPr>
          <w:sz w:val="21"/>
        </w:rPr>
        <w:t>持人未进行重新清点,而出席会议的基金份额持有人或者代理人对大会主持人宣布的表决结果有异议,有权在宣布表决结果后立即要求重新清点,大会主持人应当立即重新清点并公布重新清点结果。</w:t>
      </w:r>
    </w:p>
    <w:p>
      <w:pPr>
        <w:pStyle w:val="ListParagraph"/>
        <w:numPr>
          <w:ilvl w:val="0"/>
          <w:numId w:val="55"/>
        </w:numPr>
        <w:tabs>
          <w:tab w:pos="1240" w:val="left" w:leader="none"/>
        </w:tabs>
        <w:spacing w:line="267" w:lineRule="exact" w:before="0" w:after="0"/>
        <w:ind w:left="1240" w:right="0" w:hanging="527"/>
        <w:jc w:val="left"/>
        <w:rPr>
          <w:sz w:val="21"/>
        </w:rPr>
      </w:pPr>
      <w:r>
        <w:rPr>
          <w:sz w:val="21"/>
        </w:rPr>
        <w:t>通讯方式开会</w:t>
      </w:r>
    </w:p>
    <w:p>
      <w:pPr>
        <w:pStyle w:val="BodyText"/>
        <w:spacing w:line="364" w:lineRule="auto" w:before="139"/>
        <w:ind w:left="293" w:right="936" w:firstLine="420"/>
      </w:pPr>
      <w:r>
        <w:rPr/>
        <w:t>在通讯方式开会的情况下,计票方式为：由大会召集人授权的两名监督员在基金托管人授权代表的监督下进行计票,并由公证机关对其计票过程予以公证。</w:t>
      </w:r>
    </w:p>
    <w:p>
      <w:pPr>
        <w:pStyle w:val="BodyText"/>
        <w:spacing w:line="268" w:lineRule="exact"/>
      </w:pPr>
      <w:r>
        <w:rPr/>
        <w:t>9、生效与公告</w:t>
      </w:r>
    </w:p>
    <w:p>
      <w:pPr>
        <w:pStyle w:val="BodyText"/>
        <w:spacing w:line="364" w:lineRule="auto" w:before="140"/>
        <w:ind w:left="293" w:right="936" w:firstLine="420"/>
      </w:pPr>
      <w:r>
        <w:rPr/>
        <w:t>基金份额持有人大会的召集人自决议事项通过之日起五日内报中国证监会核准或备案，经中国证监会依法核准或者出具无异议意见之日起生效。</w:t>
      </w:r>
    </w:p>
    <w:p>
      <w:pPr>
        <w:pStyle w:val="BodyText"/>
        <w:spacing w:line="364" w:lineRule="auto"/>
        <w:ind w:left="293" w:right="936" w:firstLine="420"/>
      </w:pPr>
      <w:r>
        <w:rPr/>
        <w:t>基金管理人、基金托管人和基金份额持有人应当执行生效的基金份额持有人大会的决定。基金份额持有人大会决议自生效之日起 2 日内在指定媒介上公告。</w:t>
      </w:r>
    </w:p>
    <w:p>
      <w:pPr>
        <w:pStyle w:val="Heading2"/>
      </w:pPr>
      <w:bookmarkStart w:name="_bookmark87" w:id="88"/>
      <w:bookmarkEnd w:id="88"/>
      <w:r>
        <w:rPr/>
      </w:r>
      <w:r>
        <w:rPr/>
        <w:t>（五）基金合同的终止</w:t>
      </w:r>
    </w:p>
    <w:p>
      <w:pPr>
        <w:pStyle w:val="BodyText"/>
        <w:spacing w:before="184"/>
      </w:pPr>
      <w:r>
        <w:rPr/>
        <w:t>本基金出现下列情形之一的，经中国证监会批准后将终止：</w:t>
      </w:r>
    </w:p>
    <w:p>
      <w:pPr>
        <w:pStyle w:val="BodyText"/>
        <w:spacing w:line="364" w:lineRule="auto" w:before="139"/>
        <w:ind w:left="293" w:right="936" w:firstLine="420"/>
      </w:pPr>
      <w:r>
        <w:rPr/>
        <w:t>1、存续期间内，基金份额持有人数量连续60个工作日达不到100人，或连续60个工作日基金资产净值低于人民币5000万元，基金管理人将宣布本基金终止；</w:t>
      </w:r>
    </w:p>
    <w:p>
      <w:pPr>
        <w:pStyle w:val="BodyText"/>
        <w:spacing w:line="268" w:lineRule="exact"/>
      </w:pPr>
      <w:r>
        <w:rPr/>
        <w:t>2、经基金份额持有人大会表决终止的；</w:t>
      </w:r>
    </w:p>
    <w:p>
      <w:pPr>
        <w:pStyle w:val="BodyText"/>
        <w:spacing w:before="140"/>
      </w:pPr>
      <w:r>
        <w:rPr/>
        <w:t>3、因重大违法、违规行为，被中国证监会责令终止的；</w:t>
      </w:r>
    </w:p>
    <w:p>
      <w:pPr>
        <w:pStyle w:val="BodyText"/>
        <w:spacing w:line="364" w:lineRule="auto" w:before="139"/>
        <w:ind w:left="293" w:right="936" w:firstLine="420"/>
      </w:pPr>
      <w:r>
        <w:rPr/>
        <w:t>4、基金管理人因解散、破产、撤销、丧失基金管理资格、停止营业等事由，不能继续担任本基金管理人的职务，而无其它基金管理公司承受其原有权利及义务；</w:t>
      </w:r>
    </w:p>
    <w:p>
      <w:pPr>
        <w:pStyle w:val="BodyText"/>
        <w:spacing w:line="268" w:lineRule="exact"/>
      </w:pPr>
      <w:r>
        <w:rPr/>
        <w:t>5、基金托管人因解散、破产、撤销、丧失基金托管资格、停止营业等事由，不能继续担任</w:t>
      </w:r>
    </w:p>
    <w:p>
      <w:pPr>
        <w:spacing w:after="0" w:line="268" w:lineRule="exact"/>
        <w:sectPr>
          <w:pgSz w:w="11910" w:h="16840"/>
          <w:pgMar w:header="0" w:footer="1172" w:top="1580" w:bottom="1440" w:left="1520" w:right="360"/>
        </w:sectPr>
      </w:pPr>
    </w:p>
    <w:p>
      <w:pPr>
        <w:pStyle w:val="BodyText"/>
        <w:spacing w:before="106"/>
        <w:ind w:left="293"/>
      </w:pPr>
      <w:r>
        <w:rPr/>
        <w:t>本基金托管人的职务，而无其它托管机构承受其原有权利及义务；</w:t>
      </w:r>
    </w:p>
    <w:p>
      <w:pPr>
        <w:pStyle w:val="BodyText"/>
        <w:spacing w:before="139"/>
      </w:pPr>
      <w:r>
        <w:rPr/>
        <w:t>6、中国证监会允许的其他情况。</w:t>
      </w:r>
    </w:p>
    <w:p>
      <w:pPr>
        <w:pStyle w:val="BodyText"/>
        <w:spacing w:line="364" w:lineRule="auto" w:before="140"/>
        <w:ind w:left="293" w:right="936" w:firstLine="420"/>
        <w:jc w:val="both"/>
      </w:pPr>
      <w:r>
        <w:rPr>
          <w:spacing w:val="-12"/>
        </w:rPr>
        <w:t>基金终止后，基金管理人和基金托管人依照《信托法》、《试点办法》、《基金合同》及其他</w:t>
      </w:r>
      <w:r>
        <w:rPr>
          <w:spacing w:val="3"/>
        </w:rPr>
        <w:t>有关规定，行使请求给付报酬、从基金资产中获得补偿的权利时，可以留置基金资产或者对基金资产的权利归属人提出请求。</w:t>
      </w:r>
    </w:p>
    <w:p>
      <w:pPr>
        <w:pStyle w:val="Heading2"/>
        <w:spacing w:line="358" w:lineRule="exact"/>
      </w:pPr>
      <w:bookmarkStart w:name="_bookmark88" w:id="89"/>
      <w:bookmarkEnd w:id="89"/>
      <w:r>
        <w:rPr/>
      </w:r>
      <w:r>
        <w:rPr/>
        <w:t>（六）争议的处理</w:t>
      </w:r>
    </w:p>
    <w:p>
      <w:pPr>
        <w:pStyle w:val="BodyText"/>
        <w:spacing w:line="364" w:lineRule="auto" w:before="185"/>
        <w:ind w:left="293" w:right="936" w:firstLine="420"/>
        <w:jc w:val="both"/>
      </w:pPr>
      <w:r>
        <w:rPr/>
        <w:t>基金发起人、基金管理人、基金托管人之间因本《基金合同》产生的或与本《基金合同》有关的争议可首先通过友好协商解决，自一方书面要求协商解决争议之日起 60 日内如果争议未能以协商方式解决，则任何一方有权将争议提交中国国际经济贸易仲裁委员会根据提交仲裁时该会的仲裁规则进行仲裁。仲裁裁决是终局的，对仲裁各方当事人均具有约束力。除提交仲裁的争议之外，各方当事人仍应履行本《基金合同》的其他规定。</w:t>
      </w:r>
    </w:p>
    <w:p>
      <w:pPr>
        <w:pStyle w:val="BodyText"/>
        <w:spacing w:line="364" w:lineRule="auto"/>
        <w:ind w:left="293" w:right="936" w:firstLine="420"/>
        <w:jc w:val="both"/>
      </w:pPr>
      <w:r>
        <w:rPr>
          <w:spacing w:val="3"/>
        </w:rPr>
        <w:t>基金份额持有人或基金投资者作为一方当事人与基金发起人、基金管理人、基金托管人的一方或数方作为另一方当事人之间发生争议，首先通过友好协商解决，自一方书面要求协商解</w:t>
      </w:r>
      <w:r>
        <w:rPr>
          <w:spacing w:val="-2"/>
        </w:rPr>
        <w:t>决争议之日起 </w:t>
      </w:r>
      <w:r>
        <w:rPr/>
        <w:t>60</w:t>
      </w:r>
      <w:r>
        <w:rPr>
          <w:spacing w:val="-6"/>
        </w:rPr>
        <w:t> 日内如果争议未能以协商方式解决，则任何一方有权向有管辖权的人民法院起诉，也可将事后达成的仲裁协议向仲裁机构申请仲裁。</w:t>
      </w:r>
    </w:p>
    <w:p>
      <w:pPr>
        <w:pStyle w:val="Heading2"/>
        <w:spacing w:line="358" w:lineRule="exact"/>
      </w:pPr>
      <w:bookmarkStart w:name="_bookmark89" w:id="90"/>
      <w:bookmarkEnd w:id="90"/>
      <w:r>
        <w:rPr/>
      </w:r>
      <w:r>
        <w:rPr/>
        <w:t>（七）基金合同存放地和投资者取得基金合同的方式</w:t>
      </w:r>
    </w:p>
    <w:p>
      <w:pPr>
        <w:pStyle w:val="BodyText"/>
        <w:spacing w:line="364" w:lineRule="auto" w:before="182"/>
        <w:ind w:left="293" w:right="936" w:firstLine="420"/>
        <w:jc w:val="both"/>
      </w:pPr>
      <w:r>
        <w:rPr>
          <w:spacing w:val="-12"/>
        </w:rPr>
        <w:t>《基金合同》、《招募说明书》和更新的招募说明书等文本存放在基金管理人、基金托管人</w:t>
      </w:r>
      <w:r>
        <w:rPr>
          <w:spacing w:val="3"/>
        </w:rPr>
        <w:t>和基金代销机构处，投资者可免费查阅。在支付工本费后，可在合理时间内取得上述文件复印件。对投资者按此种方式所获得的文件及其复印件，基金管理人和基金托管人应保证其所提供的文本与所公告文本的内容完全一致。</w:t>
      </w:r>
    </w:p>
    <w:p>
      <w:pPr>
        <w:spacing w:after="0" w:line="364" w:lineRule="auto"/>
        <w:jc w:val="both"/>
        <w:sectPr>
          <w:pgSz w:w="11910" w:h="16840"/>
          <w:pgMar w:header="0" w:footer="1172" w:top="1580" w:bottom="1440" w:left="1520" w:right="36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5"/>
        </w:rPr>
      </w:pPr>
    </w:p>
    <w:p>
      <w:pPr>
        <w:pStyle w:val="Heading1"/>
        <w:spacing w:line="488" w:lineRule="exact" w:before="0"/>
        <w:ind w:left="2723"/>
      </w:pPr>
      <w:bookmarkStart w:name="_bookmark90" w:id="91"/>
      <w:bookmarkEnd w:id="91"/>
      <w:r>
        <w:rPr>
          <w:b w:val="0"/>
        </w:rPr>
      </w:r>
      <w:r>
        <w:rPr/>
        <w:t>十九、基金托管协议的内容摘要</w:t>
      </w:r>
    </w:p>
    <w:p>
      <w:pPr>
        <w:pStyle w:val="Heading2"/>
        <w:spacing w:before="118"/>
      </w:pPr>
      <w:bookmarkStart w:name="_bookmark91" w:id="92"/>
      <w:bookmarkEnd w:id="92"/>
      <w:r>
        <w:rPr/>
      </w:r>
      <w:r>
        <w:rPr/>
        <w:t>（一）托管协议当事人</w:t>
      </w:r>
    </w:p>
    <w:p>
      <w:pPr>
        <w:pStyle w:val="BodyText"/>
        <w:spacing w:line="364" w:lineRule="auto" w:before="185"/>
        <w:ind w:right="5951"/>
      </w:pPr>
      <w:r>
        <w:rPr/>
        <w:t>1、基金管理人（</w:t>
      </w:r>
      <w:r>
        <w:rPr>
          <w:spacing w:val="-15"/>
        </w:rPr>
        <w:t>或简称“管理人”</w:t>
      </w:r>
      <w:r>
        <w:rPr>
          <w:spacing w:val="-9"/>
        </w:rPr>
        <w:t>）</w:t>
      </w:r>
      <w:r>
        <w:rPr/>
        <w:t>名称：易方达基金管理有限公司</w:t>
      </w:r>
    </w:p>
    <w:p>
      <w:pPr>
        <w:pStyle w:val="BodyText"/>
        <w:spacing w:line="364" w:lineRule="auto"/>
        <w:ind w:right="2381"/>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268" w:lineRule="exact"/>
      </w:pPr>
      <w:r>
        <w:rPr/>
        <w:t>法定代表人：刘晓艳</w:t>
      </w:r>
    </w:p>
    <w:p>
      <w:pPr>
        <w:pStyle w:val="BodyText"/>
        <w:spacing w:before="138"/>
      </w:pPr>
      <w:r>
        <w:rPr/>
        <w:t>注册资本：13,244.2 万元人民币</w:t>
      </w:r>
    </w:p>
    <w:p>
      <w:pPr>
        <w:pStyle w:val="BodyText"/>
        <w:spacing w:line="364" w:lineRule="auto" w:before="140"/>
        <w:ind w:right="2801"/>
      </w:pPr>
      <w:r>
        <w:rPr/>
        <w:t>经营范围：公开募集证券投资基金管理、基金销售、特定客户资产管理组织形式：有限责任公司</w:t>
      </w:r>
    </w:p>
    <w:p>
      <w:pPr>
        <w:pStyle w:val="BodyText"/>
        <w:spacing w:line="268" w:lineRule="exact"/>
      </w:pPr>
      <w:r>
        <w:rPr/>
        <w:t>营业期限：持续经营</w:t>
      </w:r>
    </w:p>
    <w:p>
      <w:pPr>
        <w:pStyle w:val="BodyText"/>
        <w:spacing w:line="364" w:lineRule="auto" w:before="139"/>
        <w:ind w:right="5951"/>
      </w:pPr>
      <w:r>
        <w:rPr/>
        <w:t>2、基金托管人（</w:t>
      </w:r>
      <w:r>
        <w:rPr>
          <w:spacing w:val="-15"/>
        </w:rPr>
        <w:t>或简称“托管人”</w:t>
      </w:r>
      <w:r>
        <w:rPr>
          <w:spacing w:val="-9"/>
        </w:rPr>
        <w:t>）</w:t>
      </w:r>
      <w:r>
        <w:rPr/>
        <w:t>名称：交通银行</w:t>
      </w:r>
    </w:p>
    <w:p>
      <w:pPr>
        <w:pStyle w:val="BodyText"/>
        <w:spacing w:line="364" w:lineRule="auto"/>
        <w:ind w:right="5846"/>
      </w:pPr>
      <w:r>
        <w:rPr>
          <w:spacing w:val="-4"/>
        </w:rPr>
        <w:t>办公地址：上海市长宁区仙霞路 </w:t>
      </w:r>
      <w:r>
        <w:rPr/>
        <w:t>18</w:t>
      </w:r>
      <w:r>
        <w:rPr>
          <w:spacing w:val="-35"/>
        </w:rPr>
        <w:t> 号</w:t>
      </w:r>
      <w:r>
        <w:rPr/>
        <w:t>法定代表人:任德奇</w:t>
      </w:r>
    </w:p>
    <w:p>
      <w:pPr>
        <w:pStyle w:val="BodyText"/>
        <w:spacing w:line="268" w:lineRule="exact"/>
      </w:pPr>
      <w:r>
        <w:rPr/>
        <w:t>注册资本：742.63 亿元</w:t>
      </w:r>
    </w:p>
    <w:p>
      <w:pPr>
        <w:pStyle w:val="BodyText"/>
        <w:spacing w:line="364" w:lineRule="auto" w:before="139"/>
        <w:ind w:left="293" w:right="962" w:firstLine="420"/>
        <w:jc w:val="both"/>
      </w:pPr>
      <w:r>
        <w:rPr/>
        <w:t>经营范围：人民币存款、贷款、结算业务；居民储蓄业务；信托贷款、投资业务；金融租赁业务；外汇存款；外汇汇款；外汇投资；在境内、外发行或代理发行外币有价证券；贸易、非贸易结算；外币票据贴现；外汇放款；买卖或代理买卖外汇及外币有价证券；境内、外外汇借款；外汇及外币票据兑换；外汇担保；保管箱业务；征信调查、咨询服务；基金托管业务。</w:t>
      </w:r>
    </w:p>
    <w:p>
      <w:pPr>
        <w:pStyle w:val="BodyText"/>
        <w:spacing w:line="364" w:lineRule="auto"/>
        <w:ind w:right="7001"/>
      </w:pPr>
      <w:r>
        <w:rPr/>
        <w:t>组织形式：股份有限公司营业期限：持续经营</w:t>
      </w:r>
    </w:p>
    <w:p>
      <w:pPr>
        <w:pStyle w:val="Heading2"/>
      </w:pPr>
      <w:bookmarkStart w:name="_bookmark92" w:id="93"/>
      <w:bookmarkEnd w:id="93"/>
      <w:r>
        <w:rPr/>
      </w:r>
      <w:r>
        <w:rPr/>
        <w:t>（二）基金托管人与基金管理人之间的业务监督、核查</w:t>
      </w:r>
    </w:p>
    <w:p>
      <w:pPr>
        <w:pStyle w:val="BodyText"/>
        <w:spacing w:before="183"/>
      </w:pPr>
      <w:r>
        <w:rPr/>
        <w:t>1、基金托管人对基金管理人的业务监督、核查</w:t>
      </w:r>
    </w:p>
    <w:p>
      <w:pPr>
        <w:pStyle w:val="BodyText"/>
        <w:spacing w:line="364" w:lineRule="auto" w:before="139"/>
        <w:ind w:left="293" w:right="936" w:firstLine="420"/>
      </w:pPr>
      <w:r>
        <w:rPr>
          <w:spacing w:val="-12"/>
        </w:rPr>
        <w:t>根据《试点办法》、《基金合同》和有关证券法规的规定，托管人应对基金管理人就基金资</w:t>
      </w:r>
      <w:r>
        <w:rPr>
          <w:spacing w:val="3"/>
        </w:rPr>
        <w:t>产的投资对象、基金资产的投资组合比例、基金资产的核算、基金资产净值的计算、基金管理</w:t>
      </w:r>
    </w:p>
    <w:p>
      <w:pPr>
        <w:spacing w:after="0" w:line="364" w:lineRule="auto"/>
        <w:sectPr>
          <w:pgSz w:w="11910" w:h="16840"/>
          <w:pgMar w:header="0" w:footer="1172" w:top="1580" w:bottom="1440" w:left="1520" w:right="360"/>
        </w:sectPr>
      </w:pPr>
    </w:p>
    <w:p>
      <w:pPr>
        <w:pStyle w:val="BodyText"/>
        <w:spacing w:line="364" w:lineRule="auto" w:before="106"/>
        <w:ind w:left="293" w:right="936"/>
      </w:pPr>
      <w:r>
        <w:rPr>
          <w:spacing w:val="3"/>
        </w:rPr>
        <w:t>人报酬的计提和支付、基金托管人报酬的计提和支付、基金的申购赎回、基金收益分配等行为的合法性、合规性进行监督和核查。</w:t>
      </w:r>
    </w:p>
    <w:p>
      <w:pPr>
        <w:pStyle w:val="ListParagraph"/>
        <w:numPr>
          <w:ilvl w:val="0"/>
          <w:numId w:val="57"/>
        </w:numPr>
        <w:tabs>
          <w:tab w:pos="1242" w:val="left" w:leader="none"/>
        </w:tabs>
        <w:spacing w:line="364" w:lineRule="auto" w:before="0" w:after="0"/>
        <w:ind w:left="293" w:right="962" w:firstLine="420"/>
        <w:jc w:val="both"/>
        <w:rPr>
          <w:sz w:val="21"/>
        </w:rPr>
      </w:pPr>
      <w:r>
        <w:rPr>
          <w:spacing w:val="-10"/>
          <w:sz w:val="21"/>
        </w:rPr>
        <w:t>基金托管人发现基金管理人有违反《试点办法》、《基金合同》和有关法律、法规规定</w:t>
      </w:r>
      <w:r>
        <w:rPr>
          <w:spacing w:val="2"/>
          <w:sz w:val="21"/>
        </w:rPr>
        <w:t>的行为，应及时以书面形式通知基金管理人限期纠正并通知担保人，基金管理人收到通知后应及时核对确认并以书面形式对基金托管人发出回函。</w:t>
      </w:r>
    </w:p>
    <w:p>
      <w:pPr>
        <w:pStyle w:val="BodyText"/>
        <w:spacing w:line="364" w:lineRule="auto"/>
        <w:ind w:left="293" w:right="936" w:firstLine="420"/>
      </w:pPr>
      <w:r>
        <w:rPr/>
        <w:t>在限期内，基金托管人有权随时对通知事项进行复查，督促基金管理人改正。基金管理人对基金托管人通知的违规事项未能在限期内纠正的，基金托管人应报告中国证监会。</w:t>
      </w:r>
    </w:p>
    <w:p>
      <w:pPr>
        <w:pStyle w:val="ListParagraph"/>
        <w:numPr>
          <w:ilvl w:val="0"/>
          <w:numId w:val="57"/>
        </w:numPr>
        <w:tabs>
          <w:tab w:pos="1249" w:val="left" w:leader="none"/>
        </w:tabs>
        <w:spacing w:line="364" w:lineRule="auto" w:before="0" w:after="0"/>
        <w:ind w:left="293" w:right="936" w:firstLine="420"/>
        <w:jc w:val="both"/>
        <w:rPr>
          <w:sz w:val="21"/>
        </w:rPr>
      </w:pPr>
      <w:r>
        <w:rPr>
          <w:sz w:val="21"/>
        </w:rPr>
        <w:t>如基金托管人认为基金管理人的作为或不作为违反了法律法规、《基金合同》或本托</w:t>
      </w:r>
      <w:r>
        <w:rPr>
          <w:spacing w:val="-3"/>
          <w:sz w:val="21"/>
        </w:rPr>
        <w:t>管协议，基金托管人应呈报中国证监会和其他监管部门，有权利并有义务行使法律法规、《基金</w:t>
      </w:r>
      <w:r>
        <w:rPr>
          <w:spacing w:val="3"/>
          <w:sz w:val="21"/>
        </w:rPr>
        <w:t>合同》或本托管协议赋予、给予、规定的基金托管人的任何及所有权利和救济措施，以保护基金资产的安全和基金投资者的利益，包括但不限于就更换基金管理人事宜召集基金份额持有人大会、代表基金对因基金管理人的过错造成的基金资产的损失向基金管理人索赔。</w:t>
      </w:r>
    </w:p>
    <w:p>
      <w:pPr>
        <w:pStyle w:val="BodyText"/>
        <w:spacing w:line="267" w:lineRule="exact"/>
      </w:pPr>
      <w:r>
        <w:rPr/>
        <w:t>2、基金管理人对基金托管人的业务监督、核查</w:t>
      </w:r>
    </w:p>
    <w:p>
      <w:pPr>
        <w:pStyle w:val="BodyText"/>
        <w:spacing w:line="364" w:lineRule="auto" w:before="136"/>
        <w:ind w:left="293" w:right="936" w:firstLine="420"/>
        <w:jc w:val="both"/>
      </w:pPr>
      <w:r>
        <w:rPr>
          <w:spacing w:val="-12"/>
        </w:rPr>
        <w:t>根据《试点办法》、《基金合同》及其他有关规定，基金管理人就基金托管人是否及时执行</w:t>
      </w:r>
      <w:r>
        <w:rPr>
          <w:spacing w:val="3"/>
        </w:rPr>
        <w:t>基金管理人的指令、是否将基金资产和自有资产分账管理、是否擅自动用基金资产、是否按时将分配给基金份额持有人的收益划入分红派息账户等事项，对基金托管人进行监督和核查。</w:t>
      </w:r>
    </w:p>
    <w:p>
      <w:pPr>
        <w:pStyle w:val="ListParagraph"/>
        <w:numPr>
          <w:ilvl w:val="0"/>
          <w:numId w:val="58"/>
        </w:numPr>
        <w:tabs>
          <w:tab w:pos="1244" w:val="left" w:leader="none"/>
        </w:tabs>
        <w:spacing w:line="364" w:lineRule="auto" w:before="0" w:after="0"/>
        <w:ind w:left="293" w:right="936" w:firstLine="420"/>
        <w:jc w:val="both"/>
        <w:rPr>
          <w:sz w:val="21"/>
        </w:rPr>
      </w:pPr>
      <w:r>
        <w:rPr>
          <w:sz w:val="21"/>
        </w:rPr>
        <w:t>基金管理人定期对基金托管人保管的基金资产进行核查。基金管理人发现基金托管人</w:t>
      </w:r>
      <w:r>
        <w:rPr>
          <w:spacing w:val="3"/>
          <w:sz w:val="21"/>
        </w:rPr>
        <w:t>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w:t>
      </w:r>
    </w:p>
    <w:p>
      <w:pPr>
        <w:pStyle w:val="ListParagraph"/>
        <w:numPr>
          <w:ilvl w:val="0"/>
          <w:numId w:val="58"/>
        </w:numPr>
        <w:tabs>
          <w:tab w:pos="1244" w:val="left" w:leader="none"/>
        </w:tabs>
        <w:spacing w:line="364" w:lineRule="auto" w:before="0" w:after="0"/>
        <w:ind w:left="293" w:right="936" w:firstLine="420"/>
        <w:jc w:val="both"/>
        <w:rPr>
          <w:sz w:val="21"/>
        </w:rPr>
      </w:pPr>
      <w:r>
        <w:rPr>
          <w:spacing w:val="-10"/>
          <w:sz w:val="21"/>
        </w:rPr>
        <w:t>基金管理人发现基金托管人的行为违反《试点办法》、《基金合同》和有关法律、法规</w:t>
      </w:r>
      <w:r>
        <w:rPr>
          <w:spacing w:val="3"/>
          <w:sz w:val="21"/>
        </w:rPr>
        <w:t>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pPr>
        <w:pStyle w:val="ListParagraph"/>
        <w:numPr>
          <w:ilvl w:val="0"/>
          <w:numId w:val="58"/>
        </w:numPr>
        <w:tabs>
          <w:tab w:pos="1249" w:val="left" w:leader="none"/>
        </w:tabs>
        <w:spacing w:line="364" w:lineRule="auto" w:before="0" w:after="0"/>
        <w:ind w:left="293" w:right="936" w:firstLine="420"/>
        <w:jc w:val="both"/>
        <w:rPr>
          <w:sz w:val="21"/>
        </w:rPr>
      </w:pPr>
      <w:r>
        <w:rPr>
          <w:sz w:val="21"/>
        </w:rPr>
        <w:t>如基金管理人认为基金托管人的作为或不作为违反了法律法规、《基金合同》或本托</w:t>
      </w:r>
      <w:r>
        <w:rPr>
          <w:spacing w:val="-3"/>
          <w:sz w:val="21"/>
        </w:rPr>
        <w:t>管协议，基金管理人应呈报中国证监会和其他监管部门，有权利并有义务行使法律法规、《基金</w:t>
      </w:r>
      <w:r>
        <w:rPr>
          <w:spacing w:val="3"/>
          <w:sz w:val="21"/>
        </w:rPr>
        <w:t>合同》或本托管协议赋予、给予、规定的基金管理人的任何及所有权利和救济措施，以保护基金资产的安全和基金投资者的利益，包括但不限于就更换基金托管人事宜召集基金份额持有人大会、代表基金对因基金托管人的过错造成的基金资产的损失向基金托管人索赔。</w:t>
      </w:r>
    </w:p>
    <w:p>
      <w:pPr>
        <w:pStyle w:val="ListParagraph"/>
        <w:numPr>
          <w:ilvl w:val="0"/>
          <w:numId w:val="58"/>
        </w:numPr>
        <w:tabs>
          <w:tab w:pos="1244" w:val="left" w:leader="none"/>
        </w:tabs>
        <w:spacing w:line="364" w:lineRule="auto" w:before="0" w:after="0"/>
        <w:ind w:left="293" w:right="936" w:firstLine="420"/>
        <w:jc w:val="both"/>
        <w:rPr>
          <w:sz w:val="21"/>
        </w:rPr>
      </w:pPr>
      <w:r>
        <w:rPr>
          <w:sz w:val="21"/>
        </w:rPr>
        <w:t>基金管理人和基金托管人有义务配合和协助对方依照本协议对基金业务执行监督、核</w:t>
      </w:r>
      <w:r>
        <w:rPr>
          <w:spacing w:val="3"/>
          <w:sz w:val="21"/>
        </w:rPr>
        <w:t>查。基金管理人或基金托管人无正当理由，拒绝、阻挠对方根据本协议规定行使监督权，或采取拖延、欺诈等手段妨碍对方进行有效监督，情节严重或经监督方提出警告仍不改正的，监督</w:t>
      </w:r>
    </w:p>
    <w:p>
      <w:pPr>
        <w:spacing w:after="0" w:line="364" w:lineRule="auto"/>
        <w:jc w:val="both"/>
        <w:rPr>
          <w:sz w:val="21"/>
        </w:rPr>
        <w:sectPr>
          <w:pgSz w:w="11910" w:h="16840"/>
          <w:pgMar w:header="0" w:footer="1172" w:top="1580" w:bottom="1440" w:left="1520" w:right="360"/>
        </w:sectPr>
      </w:pPr>
    </w:p>
    <w:p>
      <w:pPr>
        <w:pStyle w:val="BodyText"/>
        <w:spacing w:before="106"/>
        <w:ind w:left="293"/>
      </w:pPr>
      <w:r>
        <w:rPr/>
        <w:t>方应报告中国证监会。</w:t>
      </w:r>
    </w:p>
    <w:p>
      <w:pPr>
        <w:pStyle w:val="Heading2"/>
        <w:spacing w:before="140"/>
      </w:pPr>
      <w:bookmarkStart w:name="_bookmark93" w:id="94"/>
      <w:bookmarkEnd w:id="94"/>
      <w:r>
        <w:rPr/>
      </w:r>
      <w:r>
        <w:rPr/>
        <w:t>（三）基金财产的保管</w:t>
      </w:r>
    </w:p>
    <w:p>
      <w:pPr>
        <w:pStyle w:val="BodyText"/>
        <w:spacing w:before="185"/>
      </w:pPr>
      <w:r>
        <w:rPr/>
        <w:t>1、基金资产保管的原则</w:t>
      </w:r>
    </w:p>
    <w:p>
      <w:pPr>
        <w:pStyle w:val="ListParagraph"/>
        <w:numPr>
          <w:ilvl w:val="0"/>
          <w:numId w:val="59"/>
        </w:numPr>
        <w:tabs>
          <w:tab w:pos="1250" w:val="left" w:leader="none"/>
        </w:tabs>
        <w:spacing w:line="364" w:lineRule="auto" w:before="140" w:after="0"/>
        <w:ind w:left="293" w:right="936" w:firstLine="420"/>
        <w:jc w:val="both"/>
        <w:rPr>
          <w:sz w:val="21"/>
        </w:rPr>
      </w:pPr>
      <w:r>
        <w:rPr>
          <w:spacing w:val="-10"/>
          <w:sz w:val="21"/>
        </w:rPr>
        <w:t>易方达 </w:t>
      </w:r>
      <w:r>
        <w:rPr>
          <w:sz w:val="21"/>
        </w:rPr>
        <w:t>50</w:t>
      </w:r>
      <w:r>
        <w:rPr>
          <w:spacing w:val="-4"/>
          <w:sz w:val="21"/>
        </w:rPr>
        <w:t> 指数证券投资基金所有资产的保管责任，由基金托管人承担。基金托管人</w:t>
      </w:r>
      <w:r>
        <w:rPr>
          <w:spacing w:val="-19"/>
          <w:sz w:val="21"/>
        </w:rPr>
        <w:t>将遵守《信托法》、《试点办法》、《基金合同》及其他有关规定，为基金份额持有人的最大利益</w:t>
      </w:r>
      <w:r>
        <w:rPr>
          <w:spacing w:val="3"/>
          <w:sz w:val="21"/>
        </w:rPr>
        <w:t>处理基金事务。基金托管人保证恪尽职守，依照诚实信用、勤勉尽责的原则，谨慎、有效的持有并保管基金资产。</w:t>
      </w:r>
    </w:p>
    <w:p>
      <w:pPr>
        <w:pStyle w:val="ListParagraph"/>
        <w:numPr>
          <w:ilvl w:val="0"/>
          <w:numId w:val="59"/>
        </w:numPr>
        <w:tabs>
          <w:tab w:pos="1244" w:val="left" w:leader="none"/>
        </w:tabs>
        <w:spacing w:line="364" w:lineRule="auto" w:before="0" w:after="0"/>
        <w:ind w:left="293" w:right="936" w:firstLine="420"/>
        <w:jc w:val="both"/>
        <w:rPr>
          <w:sz w:val="21"/>
        </w:rPr>
      </w:pPr>
      <w:r>
        <w:rPr>
          <w:sz w:val="21"/>
        </w:rPr>
        <w:t>基金托管人应当设立专门的基金托管部，具有符合要求的营业场所，配备足够的、合</w:t>
      </w:r>
      <w:r>
        <w:rPr>
          <w:spacing w:val="3"/>
          <w:sz w:val="21"/>
        </w:rPr>
        <w:t>格的熟悉基金托管业务的专职人员，负责基金资产托管事宜；建立健全内部风险监控制度，对负责基金资产托管的部门和人员的行为进行事先控制和事后监督，防范和减少风险。</w:t>
      </w:r>
    </w:p>
    <w:p>
      <w:pPr>
        <w:pStyle w:val="ListParagraph"/>
        <w:numPr>
          <w:ilvl w:val="0"/>
          <w:numId w:val="59"/>
        </w:numPr>
        <w:tabs>
          <w:tab w:pos="1244" w:val="left" w:leader="none"/>
        </w:tabs>
        <w:spacing w:line="364" w:lineRule="auto" w:before="0" w:after="0"/>
        <w:ind w:left="293" w:right="936" w:firstLine="420"/>
        <w:jc w:val="left"/>
        <w:rPr>
          <w:sz w:val="21"/>
        </w:rPr>
      </w:pPr>
      <w:r>
        <w:rPr>
          <w:sz w:val="21"/>
        </w:rPr>
        <w:t>基金托管人应当购置并保持对于基金资产的托管所必要的设备和设施（包括硬件和软件</w:t>
      </w:r>
      <w:r>
        <w:rPr>
          <w:spacing w:val="-105"/>
          <w:sz w:val="21"/>
        </w:rPr>
        <w:t>）</w:t>
      </w:r>
      <w:r>
        <w:rPr>
          <w:sz w:val="21"/>
        </w:rPr>
        <w:t>，并对设备和设施进行维修、维护和更换，以保持设备和设施的正常运行。</w:t>
      </w:r>
    </w:p>
    <w:p>
      <w:pPr>
        <w:pStyle w:val="ListParagraph"/>
        <w:numPr>
          <w:ilvl w:val="0"/>
          <w:numId w:val="59"/>
        </w:numPr>
        <w:tabs>
          <w:tab w:pos="1249" w:val="left" w:leader="none"/>
        </w:tabs>
        <w:spacing w:line="364" w:lineRule="auto" w:before="0" w:after="0"/>
        <w:ind w:left="293" w:right="936" w:firstLine="420"/>
        <w:jc w:val="both"/>
        <w:rPr>
          <w:sz w:val="21"/>
        </w:rPr>
      </w:pPr>
      <w:r>
        <w:rPr>
          <w:spacing w:val="-15"/>
          <w:sz w:val="21"/>
        </w:rPr>
        <w:t>除依据《信托法》、《试点办法》、本《基金合同》及其他有关规定外，不为自己及任</w:t>
      </w:r>
      <w:r>
        <w:rPr>
          <w:spacing w:val="3"/>
          <w:sz w:val="21"/>
        </w:rPr>
        <w:t>何第三人谋取利益，基金托管人违反此义务，利用基金资产为自己及任何第三方谋取利益，所得利益归于基金资产；基金托管人不得将基金资产转为其固有财产，不得将固有资产与基金资产进行交易，或将不同基金资产进行相互交易；违背此款规定的，将承担相应的责任，包括但不限于恢复基金资产的原状、承担赔偿责任。</w:t>
      </w:r>
    </w:p>
    <w:p>
      <w:pPr>
        <w:pStyle w:val="ListParagraph"/>
        <w:numPr>
          <w:ilvl w:val="0"/>
          <w:numId w:val="59"/>
        </w:numPr>
        <w:tabs>
          <w:tab w:pos="1244" w:val="left" w:leader="none"/>
        </w:tabs>
        <w:spacing w:line="364" w:lineRule="auto" w:before="0" w:after="0"/>
        <w:ind w:left="293" w:right="936" w:firstLine="420"/>
        <w:jc w:val="both"/>
        <w:rPr>
          <w:sz w:val="21"/>
        </w:rPr>
      </w:pPr>
      <w:r>
        <w:rPr>
          <w:sz w:val="21"/>
        </w:rPr>
        <w:t>基金托管人必须将基金资产与自有资产严格分开，并与其托管的其他基金资产严格分</w:t>
      </w:r>
      <w:r>
        <w:rPr>
          <w:spacing w:val="3"/>
          <w:sz w:val="21"/>
        </w:rPr>
        <w:t>开；基金托管人应当为基金设立独立的账户，建立独立的账簿，与基金托管人的其他业务和其</w:t>
      </w:r>
      <w:r>
        <w:rPr>
          <w:spacing w:val="9"/>
          <w:sz w:val="21"/>
        </w:rPr>
        <w:t>他基金的托管业务实行严格的分账管理，保证不同基金之间在名册登记、账户设置、资金划</w:t>
      </w:r>
      <w:r>
        <w:rPr>
          <w:sz w:val="21"/>
        </w:rPr>
        <w:t>拨、账册记录等方面具有实质的独立性。</w:t>
      </w:r>
    </w:p>
    <w:p>
      <w:pPr>
        <w:pStyle w:val="ListParagraph"/>
        <w:numPr>
          <w:ilvl w:val="0"/>
          <w:numId w:val="59"/>
        </w:numPr>
        <w:tabs>
          <w:tab w:pos="1249" w:val="left" w:leader="none"/>
        </w:tabs>
        <w:spacing w:line="364" w:lineRule="auto" w:before="0" w:after="0"/>
        <w:ind w:left="293" w:right="936" w:firstLine="420"/>
        <w:jc w:val="left"/>
        <w:rPr>
          <w:sz w:val="21"/>
        </w:rPr>
      </w:pPr>
      <w:r>
        <w:rPr>
          <w:spacing w:val="-15"/>
          <w:sz w:val="21"/>
        </w:rPr>
        <w:t>除依据《信托法》、《试点办法》、本《基金合同》及其他有关规定外，基金托管人不得委托第三人托管基金资产；</w:t>
      </w:r>
    </w:p>
    <w:p>
      <w:pPr>
        <w:pStyle w:val="ListParagraph"/>
        <w:numPr>
          <w:ilvl w:val="0"/>
          <w:numId w:val="59"/>
        </w:numPr>
        <w:tabs>
          <w:tab w:pos="1244" w:val="left" w:leader="none"/>
        </w:tabs>
        <w:spacing w:line="364" w:lineRule="auto" w:before="0" w:after="0"/>
        <w:ind w:left="293" w:right="936" w:firstLine="420"/>
        <w:jc w:val="left"/>
        <w:rPr>
          <w:sz w:val="21"/>
        </w:rPr>
      </w:pPr>
      <w:r>
        <w:rPr>
          <w:sz w:val="21"/>
        </w:rPr>
        <w:t>基金托管人应安全、完整地保管基金资产；未经基金管理人的正当指令，不得自行运用、处分、分配基金的任何资产。</w:t>
      </w:r>
    </w:p>
    <w:p>
      <w:pPr>
        <w:pStyle w:val="BodyText"/>
        <w:spacing w:line="268" w:lineRule="exact"/>
      </w:pPr>
      <w:r>
        <w:rPr/>
        <w:t>2、基金成立时募集资金的验证</w:t>
      </w:r>
    </w:p>
    <w:p>
      <w:pPr>
        <w:pStyle w:val="BodyText"/>
        <w:spacing w:line="364" w:lineRule="auto" w:before="130"/>
        <w:ind w:left="293" w:right="936" w:firstLine="420"/>
        <w:jc w:val="both"/>
      </w:pPr>
      <w:r>
        <w:rPr>
          <w:spacing w:val="3"/>
        </w:rPr>
        <w:t>基金设立募集期满或基金发起人宣布停止募集时，基金发起人应将设立募集的全部资金存入其指定的验资专户；由基金发起人聘请具有从事相关业务资格的会计师事务所进行验资，出</w:t>
      </w:r>
      <w:r>
        <w:rPr/>
        <w:t>具验资报告，出具的验资报告应由参加验资的 2</w:t>
      </w:r>
      <w:r>
        <w:rPr>
          <w:spacing w:val="-14"/>
        </w:rPr>
        <w:t> 名以上</w:t>
      </w:r>
      <w:r>
        <w:rPr/>
        <w:t>（</w:t>
      </w:r>
      <w:r>
        <w:rPr>
          <w:spacing w:val="-27"/>
        </w:rPr>
        <w:t>含 </w:t>
      </w:r>
      <w:r>
        <w:rPr/>
        <w:t>2</w:t>
      </w:r>
      <w:r>
        <w:rPr>
          <w:spacing w:val="-27"/>
        </w:rPr>
        <w:t> 名</w:t>
      </w:r>
      <w:r>
        <w:rPr/>
        <w:t>）中国注册会计师签字有效。</w:t>
      </w:r>
    </w:p>
    <w:p>
      <w:pPr>
        <w:pStyle w:val="BodyText"/>
        <w:spacing w:line="268" w:lineRule="exact"/>
      </w:pPr>
      <w:r>
        <w:rPr/>
        <w:t>3、基金的银行账户的开设和管理</w:t>
      </w:r>
    </w:p>
    <w:p>
      <w:pPr>
        <w:pStyle w:val="ListParagraph"/>
        <w:numPr>
          <w:ilvl w:val="0"/>
          <w:numId w:val="60"/>
        </w:numPr>
        <w:tabs>
          <w:tab w:pos="1240" w:val="left" w:leader="none"/>
        </w:tabs>
        <w:spacing w:line="240" w:lineRule="auto" w:before="139" w:after="0"/>
        <w:ind w:left="1240" w:right="0" w:hanging="527"/>
        <w:jc w:val="left"/>
        <w:rPr>
          <w:sz w:val="21"/>
        </w:rPr>
      </w:pPr>
      <w:r>
        <w:rPr>
          <w:spacing w:val="-5"/>
          <w:sz w:val="21"/>
        </w:rPr>
        <w:t>基金托管人应负责易方达 </w:t>
      </w:r>
      <w:r>
        <w:rPr>
          <w:sz w:val="21"/>
        </w:rPr>
        <w:t>50</w:t>
      </w:r>
      <w:r>
        <w:rPr>
          <w:spacing w:val="-8"/>
          <w:sz w:val="21"/>
        </w:rPr>
        <w:t> 指数证券投资基金银行账户的开设和管理。</w:t>
      </w:r>
    </w:p>
    <w:p>
      <w:pPr>
        <w:pStyle w:val="ListParagraph"/>
        <w:numPr>
          <w:ilvl w:val="0"/>
          <w:numId w:val="60"/>
        </w:numPr>
        <w:tabs>
          <w:tab w:pos="1244" w:val="left" w:leader="none"/>
        </w:tabs>
        <w:spacing w:line="240" w:lineRule="auto" w:before="140" w:after="0"/>
        <w:ind w:left="1243" w:right="0" w:hanging="531"/>
        <w:jc w:val="left"/>
        <w:rPr>
          <w:sz w:val="21"/>
        </w:rPr>
      </w:pPr>
      <w:r>
        <w:rPr>
          <w:sz w:val="21"/>
        </w:rPr>
        <w:t>基金托管人以本基金的名义在其营业机构开设基金的银行账户。本基金的银行预留印</w:t>
      </w:r>
    </w:p>
    <w:p>
      <w:pPr>
        <w:spacing w:after="0" w:line="240" w:lineRule="auto"/>
        <w:jc w:val="left"/>
        <w:rPr>
          <w:sz w:val="21"/>
        </w:rPr>
        <w:sectPr>
          <w:pgSz w:w="11910" w:h="16840"/>
          <w:pgMar w:header="0" w:footer="1172" w:top="1580" w:bottom="1440" w:left="1520" w:right="360"/>
        </w:sectPr>
      </w:pPr>
    </w:p>
    <w:p>
      <w:pPr>
        <w:pStyle w:val="BodyText"/>
        <w:spacing w:line="364" w:lineRule="auto" w:before="106"/>
        <w:ind w:left="293" w:right="936"/>
      </w:pPr>
      <w:r>
        <w:rPr/>
        <w:t>鉴，由基金托管人保管和使用。本基金的一切货币收支活动，包括但不限于投资、支付赎回金额、支付基金收益，均需通过本基金的银行账户进行。</w:t>
      </w:r>
    </w:p>
    <w:p>
      <w:pPr>
        <w:pStyle w:val="ListParagraph"/>
        <w:numPr>
          <w:ilvl w:val="0"/>
          <w:numId w:val="60"/>
        </w:numPr>
        <w:tabs>
          <w:tab w:pos="1244" w:val="left" w:leader="none"/>
        </w:tabs>
        <w:spacing w:line="364" w:lineRule="auto" w:before="0" w:after="0"/>
        <w:ind w:left="293" w:right="936" w:firstLine="420"/>
        <w:jc w:val="both"/>
        <w:rPr>
          <w:sz w:val="21"/>
        </w:rPr>
      </w:pPr>
      <w:r>
        <w:rPr>
          <w:sz w:val="21"/>
        </w:rPr>
        <w:t>本基金银行账户的开立和使用，限于满足开展本基金业务的需要。基金托管人和基金</w:t>
      </w:r>
      <w:r>
        <w:rPr>
          <w:spacing w:val="3"/>
          <w:sz w:val="21"/>
        </w:rPr>
        <w:t>管理人不得假借基金的名义开立其他任何银行账户；亦不得使用基金的任何银行账户进行基金业务以外的活动。</w:t>
      </w:r>
    </w:p>
    <w:p>
      <w:pPr>
        <w:pStyle w:val="ListParagraph"/>
        <w:numPr>
          <w:ilvl w:val="0"/>
          <w:numId w:val="60"/>
        </w:numPr>
        <w:tabs>
          <w:tab w:pos="1244" w:val="left" w:leader="none"/>
        </w:tabs>
        <w:spacing w:line="364" w:lineRule="auto" w:before="0" w:after="0"/>
        <w:ind w:left="293" w:right="831" w:firstLine="420"/>
        <w:jc w:val="left"/>
        <w:rPr>
          <w:sz w:val="21"/>
        </w:rPr>
      </w:pPr>
      <w:r>
        <w:rPr>
          <w:spacing w:val="-9"/>
          <w:sz w:val="21"/>
        </w:rPr>
        <w:t>基金银行账户的管理应符合《中华人民共和国票据法》、《人民币银行账户结算管理办</w:t>
      </w:r>
      <w:r>
        <w:rPr>
          <w:spacing w:val="-27"/>
          <w:sz w:val="21"/>
        </w:rPr>
        <w:t>法》、《现金管理条例》、《中国银监会利率管理的有关规定》、《关于大额现金支付管理的通知》、</w:t>
      </w:r>
    </w:p>
    <w:p>
      <w:pPr>
        <w:pStyle w:val="BodyText"/>
        <w:spacing w:line="268" w:lineRule="exact"/>
        <w:ind w:left="293"/>
      </w:pPr>
      <w:r>
        <w:rPr/>
        <w:t>《支付结算办法》以及其他有关规定。</w:t>
      </w:r>
    </w:p>
    <w:p>
      <w:pPr>
        <w:pStyle w:val="BodyText"/>
        <w:spacing w:before="137"/>
      </w:pPr>
      <w:r>
        <w:rPr/>
        <w:t>4、基金证券账户的开设和管理</w:t>
      </w:r>
    </w:p>
    <w:p>
      <w:pPr>
        <w:pStyle w:val="ListParagraph"/>
        <w:numPr>
          <w:ilvl w:val="0"/>
          <w:numId w:val="61"/>
        </w:numPr>
        <w:tabs>
          <w:tab w:pos="1250" w:val="left" w:leader="none"/>
        </w:tabs>
        <w:spacing w:line="364" w:lineRule="auto" w:before="139" w:after="0"/>
        <w:ind w:left="293" w:right="936" w:firstLine="420"/>
        <w:jc w:val="both"/>
        <w:rPr>
          <w:sz w:val="21"/>
        </w:rPr>
      </w:pPr>
      <w:r>
        <w:rPr>
          <w:sz w:val="21"/>
        </w:rPr>
        <w:t>基金托管人应当代表易方达 50</w:t>
      </w:r>
      <w:r>
        <w:rPr>
          <w:spacing w:val="-4"/>
          <w:sz w:val="21"/>
        </w:rPr>
        <w:t> 指数证券投资基金，以托管人和本基金联名的方式在</w:t>
      </w:r>
      <w:r>
        <w:rPr>
          <w:sz w:val="21"/>
        </w:rPr>
        <w:t>中国证券登记结算有限责任公司开设证券账户。</w:t>
      </w:r>
    </w:p>
    <w:p>
      <w:pPr>
        <w:pStyle w:val="ListParagraph"/>
        <w:numPr>
          <w:ilvl w:val="0"/>
          <w:numId w:val="61"/>
        </w:numPr>
        <w:tabs>
          <w:tab w:pos="1244" w:val="left" w:leader="none"/>
        </w:tabs>
        <w:spacing w:line="364" w:lineRule="auto" w:before="0" w:after="0"/>
        <w:ind w:left="293" w:right="936" w:firstLine="420"/>
        <w:jc w:val="both"/>
        <w:rPr>
          <w:sz w:val="21"/>
        </w:rPr>
      </w:pPr>
      <w:r>
        <w:rPr>
          <w:sz w:val="21"/>
        </w:rPr>
        <w:t>本基金证券账户的开立和使用，限于满足开展基金业务的需要。基金托管人和基金管</w:t>
      </w:r>
      <w:r>
        <w:rPr>
          <w:spacing w:val="3"/>
          <w:sz w:val="21"/>
        </w:rPr>
        <w:t>理人不得出借和未经另一方同意擅自转让基金的任何证券账户；亦不得使用基金的任何证券账户进行本基金业务以外的活动。</w:t>
      </w:r>
    </w:p>
    <w:p>
      <w:pPr>
        <w:pStyle w:val="ListParagraph"/>
        <w:numPr>
          <w:ilvl w:val="0"/>
          <w:numId w:val="61"/>
        </w:numPr>
        <w:tabs>
          <w:tab w:pos="1244" w:val="left" w:leader="none"/>
        </w:tabs>
        <w:spacing w:line="364" w:lineRule="auto" w:before="0" w:after="0"/>
        <w:ind w:left="293" w:right="936" w:firstLine="420"/>
        <w:jc w:val="both"/>
        <w:rPr>
          <w:sz w:val="21"/>
        </w:rPr>
      </w:pPr>
      <w:r>
        <w:rPr>
          <w:sz w:val="21"/>
        </w:rPr>
        <w:t>若中国证监会或其他监管机构在本托管协议订立日之后允许基金从事其他投资品种的</w:t>
      </w:r>
      <w:r>
        <w:rPr>
          <w:spacing w:val="3"/>
          <w:sz w:val="21"/>
        </w:rPr>
        <w:t>投资业务，涉及相关账户的开设、使用的，若无相关规定，则基金托管人比照并遵守上述关于账户开设、使用的规定。</w:t>
      </w:r>
    </w:p>
    <w:p>
      <w:pPr>
        <w:pStyle w:val="BodyText"/>
        <w:spacing w:line="268" w:lineRule="exact"/>
      </w:pPr>
      <w:r>
        <w:rPr/>
        <w:t>5、国债托管专户的开设和管理</w:t>
      </w:r>
    </w:p>
    <w:p>
      <w:pPr>
        <w:pStyle w:val="ListParagraph"/>
        <w:numPr>
          <w:ilvl w:val="0"/>
          <w:numId w:val="62"/>
        </w:numPr>
        <w:tabs>
          <w:tab w:pos="1250" w:val="left" w:leader="none"/>
        </w:tabs>
        <w:spacing w:line="364" w:lineRule="auto" w:before="138" w:after="0"/>
        <w:ind w:left="293" w:right="936" w:firstLine="420"/>
        <w:jc w:val="both"/>
        <w:rPr>
          <w:sz w:val="21"/>
        </w:rPr>
      </w:pPr>
      <w:r>
        <w:rPr>
          <w:spacing w:val="1"/>
          <w:sz w:val="21"/>
        </w:rPr>
        <w:t>基金合同生效后，基金管理人负责以易方达 </w:t>
      </w:r>
      <w:r>
        <w:rPr>
          <w:sz w:val="21"/>
        </w:rPr>
        <w:t>50</w:t>
      </w:r>
      <w:r>
        <w:rPr>
          <w:spacing w:val="-4"/>
          <w:sz w:val="21"/>
        </w:rPr>
        <w:t> 指数证券投资基金的名义申请并取得</w:t>
      </w:r>
      <w:r>
        <w:rPr>
          <w:spacing w:val="3"/>
          <w:sz w:val="21"/>
        </w:rPr>
        <w:t>进入全国银行间同业拆借市场的交易资格，并代表基金进行交易；基金托管人负责以本基金的名义在中央国债登记结算有限责任公司开设债券托管帐户，并代表本基金进行债券和资金的清算。在上述手续办理完毕之后，由基金托管人负责向中国银监会进行报备。</w:t>
      </w:r>
    </w:p>
    <w:p>
      <w:pPr>
        <w:pStyle w:val="ListParagraph"/>
        <w:numPr>
          <w:ilvl w:val="0"/>
          <w:numId w:val="62"/>
        </w:numPr>
        <w:tabs>
          <w:tab w:pos="1244" w:val="left" w:leader="none"/>
        </w:tabs>
        <w:spacing w:line="364" w:lineRule="auto" w:before="0" w:after="0"/>
        <w:ind w:left="293" w:right="936" w:firstLine="420"/>
        <w:jc w:val="left"/>
        <w:rPr>
          <w:sz w:val="21"/>
        </w:rPr>
      </w:pPr>
      <w:r>
        <w:rPr>
          <w:sz w:val="21"/>
        </w:rPr>
        <w:t>基金管理人和基金托管人同时代表基金签订全国银行间债券市场债券回购主协议，协议正本由基金托管人保管，协议副本由基金管理人保存。</w:t>
      </w:r>
    </w:p>
    <w:p>
      <w:pPr>
        <w:pStyle w:val="BodyText"/>
        <w:spacing w:line="268" w:lineRule="exact"/>
      </w:pPr>
      <w:r>
        <w:rPr/>
        <w:t>6、基金资产投资的有关实物证券的保管</w:t>
      </w:r>
    </w:p>
    <w:p>
      <w:pPr>
        <w:pStyle w:val="BodyText"/>
        <w:spacing w:line="364" w:lineRule="auto" w:before="137"/>
        <w:ind w:left="293" w:right="936" w:firstLine="420"/>
        <w:jc w:val="both"/>
      </w:pPr>
      <w:r>
        <w:rPr/>
        <w:t>实物证券由基金托管人存放于托管银行的保管库，但要与非基金的其他实物证券分开保管；也可存入中央国债登记结算有限责任公司或中国证券登记结算有限责任公司的代保管库。保管凭证由基金托管人持有。实物证券的购买和转让，由基金托管人根据基金管理人的指令办理。</w:t>
      </w:r>
    </w:p>
    <w:p>
      <w:pPr>
        <w:pStyle w:val="BodyText"/>
        <w:spacing w:line="267" w:lineRule="exact"/>
      </w:pPr>
      <w:r>
        <w:rPr/>
        <w:t>7、与基金资产有关的重大合同的保管</w:t>
      </w:r>
    </w:p>
    <w:p>
      <w:pPr>
        <w:pStyle w:val="BodyText"/>
        <w:spacing w:line="364" w:lineRule="auto" w:before="140"/>
        <w:ind w:left="293" w:right="936" w:firstLine="420"/>
        <w:jc w:val="both"/>
      </w:pPr>
      <w:r>
        <w:rPr/>
        <w:t>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pPr>
        <w:spacing w:after="0" w:line="364" w:lineRule="auto"/>
        <w:jc w:val="both"/>
        <w:sectPr>
          <w:pgSz w:w="11910" w:h="16840"/>
          <w:pgMar w:header="0" w:footer="1172" w:top="1580" w:bottom="1440" w:left="1520" w:right="360"/>
        </w:sectPr>
      </w:pPr>
    </w:p>
    <w:p>
      <w:pPr>
        <w:pStyle w:val="Heading2"/>
        <w:spacing w:before="107"/>
      </w:pPr>
      <w:bookmarkStart w:name="_bookmark94" w:id="95"/>
      <w:bookmarkEnd w:id="95"/>
      <w:r>
        <w:rPr/>
      </w:r>
      <w:r>
        <w:rPr/>
        <w:t>（四）基金资产净值计算与复核</w:t>
      </w:r>
    </w:p>
    <w:p>
      <w:pPr>
        <w:pStyle w:val="BodyText"/>
        <w:spacing w:line="364" w:lineRule="auto" w:before="185"/>
        <w:ind w:left="293" w:right="936" w:firstLine="420"/>
        <w:jc w:val="both"/>
      </w:pPr>
      <w:r>
        <w:rPr/>
        <w:t>1、基金资产净值是指基金资产总值减去负债后的价值。基金份额资产净值是指计算日基金资产净值除以计算日基金份额总数后的价值。本基金各类基金份额将分分别计算基金单位资产净值。</w:t>
      </w:r>
    </w:p>
    <w:p>
      <w:pPr>
        <w:pStyle w:val="BodyText"/>
        <w:spacing w:line="364" w:lineRule="auto"/>
        <w:ind w:left="293" w:right="936" w:firstLine="420"/>
        <w:jc w:val="both"/>
      </w:pPr>
      <w:r>
        <w:rPr/>
        <w:t>2、基金管理人应每工作日对基金资产估值。估值原则应符合《基金合同》的规定。用于信息披露的基金资产净值和基金份额资产净值由基金管理人负责计算，基金托管人复核。基金管理人应于每个工作日结束后计算得出当日的基金份额资产净值，并在盖章后以加密传真方式发送给基金托管人。基金托管人应在收到上述传真后马上对净值计算结果进行复核，并在盖章后以加密传真方式将复核结果传送给基金管理人；如果基金托管人的复核结果与基金管理人的计算结果存在差异，且双方经协商未能达成一致，基金管理人有权按照其对基金净值的计算结果对外予以公布，基金托管人有权将相关情况报中国证监会备案。</w:t>
      </w:r>
    </w:p>
    <w:p>
      <w:pPr>
        <w:pStyle w:val="Heading2"/>
        <w:spacing w:line="357" w:lineRule="exact"/>
      </w:pPr>
      <w:bookmarkStart w:name="_bookmark95" w:id="96"/>
      <w:bookmarkEnd w:id="96"/>
      <w:r>
        <w:rPr/>
      </w:r>
      <w:r>
        <w:rPr/>
        <w:t>（五）基金份额持有人名册的登记与保管</w:t>
      </w:r>
    </w:p>
    <w:p>
      <w:pPr>
        <w:pStyle w:val="BodyText"/>
        <w:spacing w:line="364" w:lineRule="auto" w:before="183"/>
        <w:ind w:left="293" w:right="936" w:firstLine="420"/>
        <w:jc w:val="both"/>
      </w:pPr>
      <w:r>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管理人从注册与过户登记人处取得，并负责保管。</w:t>
      </w:r>
    </w:p>
    <w:p>
      <w:pPr>
        <w:pStyle w:val="Heading2"/>
        <w:spacing w:line="358" w:lineRule="exact"/>
      </w:pPr>
      <w:bookmarkStart w:name="_bookmark96" w:id="97"/>
      <w:bookmarkEnd w:id="97"/>
      <w:r>
        <w:rPr/>
      </w:r>
      <w:r>
        <w:rPr/>
        <w:t>（六）争议解决方式</w:t>
      </w:r>
    </w:p>
    <w:p>
      <w:pPr>
        <w:pStyle w:val="BodyText"/>
        <w:spacing w:line="364" w:lineRule="auto" w:before="185"/>
        <w:ind w:left="293" w:right="936" w:firstLine="420"/>
        <w:jc w:val="both"/>
      </w:pPr>
      <w:r>
        <w:rPr/>
        <w:t>基金管理人、基金托管人之间因本协议产生的或与本协议有关的争议可通过友好协商解决，但若自一方书面提出协商解决争议之日起60日内争议未能以协商方式解决的，则任何一方有权将争议提交中国国际经济贸易仲裁委员会，仲裁地点在上海，根据提交仲裁时该会的仲裁规则进行仲裁。仲裁裁决是终局的，对仲裁各方当事人均具有约束力。除提交仲裁的争议之外，各方当事人仍应履行本协议的其他规定。争议处理期间，双方当事人应恪守基金管理人和基金托管人职责，各自继续忠实、勤勉、尽责地履行《基金合同》和托管协议规定的义务，维护基金份额持有人的合法权益。</w:t>
      </w:r>
    </w:p>
    <w:p>
      <w:pPr>
        <w:pStyle w:val="Heading2"/>
        <w:spacing w:line="357" w:lineRule="exact"/>
      </w:pPr>
      <w:bookmarkStart w:name="_bookmark97" w:id="98"/>
      <w:bookmarkEnd w:id="98"/>
      <w:r>
        <w:rPr/>
      </w:r>
      <w:r>
        <w:rPr/>
        <w:t>（七）托管协议的修改与终止</w:t>
      </w:r>
    </w:p>
    <w:p>
      <w:pPr>
        <w:pStyle w:val="BodyText"/>
        <w:spacing w:before="185"/>
      </w:pPr>
      <w:r>
        <w:rPr/>
        <w:t>1、本协议双方当事人经协商一致，可以对协议进行修改。修改后的新协议，其内容不得与</w:t>
      </w:r>
    </w:p>
    <w:p>
      <w:pPr>
        <w:pStyle w:val="BodyText"/>
        <w:spacing w:line="364" w:lineRule="auto" w:before="139"/>
        <w:ind w:left="293" w:right="936"/>
        <w:jc w:val="both"/>
      </w:pPr>
      <w:r>
        <w:rPr/>
        <w:t>《基金合同》的规定有任何冲突并在报中国证监会批准后生效。因法律、法规及国家有权机关颁布之规定的变更和调整而导致本协议的部分条款与之不符的，则本协议自行适用法律、法规及国家有权机关颁布之新规定。</w:t>
      </w:r>
    </w:p>
    <w:p>
      <w:pPr>
        <w:pStyle w:val="BodyText"/>
        <w:spacing w:line="268" w:lineRule="exact"/>
      </w:pPr>
      <w:r>
        <w:rPr/>
        <w:t>2、发生以下情况，本托管协议终止：</w:t>
      </w:r>
    </w:p>
    <w:p>
      <w:pPr>
        <w:pStyle w:val="ListParagraph"/>
        <w:numPr>
          <w:ilvl w:val="0"/>
          <w:numId w:val="63"/>
        </w:numPr>
        <w:tabs>
          <w:tab w:pos="1030" w:val="left" w:leader="none"/>
        </w:tabs>
        <w:spacing w:line="240" w:lineRule="auto" w:before="140" w:after="0"/>
        <w:ind w:left="1030" w:right="0" w:hanging="317"/>
        <w:jc w:val="left"/>
        <w:rPr>
          <w:sz w:val="21"/>
        </w:rPr>
      </w:pPr>
      <w:r>
        <w:rPr>
          <w:spacing w:val="-14"/>
          <w:sz w:val="21"/>
        </w:rPr>
        <w:t>易方达 </w:t>
      </w:r>
      <w:r>
        <w:rPr>
          <w:sz w:val="21"/>
        </w:rPr>
        <w:t>50</w:t>
      </w:r>
      <w:r>
        <w:rPr>
          <w:spacing w:val="-8"/>
          <w:sz w:val="21"/>
        </w:rPr>
        <w:t> 指数证券投资基金合同终止；</w:t>
      </w:r>
    </w:p>
    <w:p>
      <w:pPr>
        <w:pStyle w:val="ListParagraph"/>
        <w:numPr>
          <w:ilvl w:val="0"/>
          <w:numId w:val="63"/>
        </w:numPr>
        <w:tabs>
          <w:tab w:pos="1035" w:val="left" w:leader="none"/>
        </w:tabs>
        <w:spacing w:line="240" w:lineRule="auto" w:before="139" w:after="0"/>
        <w:ind w:left="1034" w:right="0" w:hanging="322"/>
        <w:jc w:val="left"/>
        <w:rPr>
          <w:sz w:val="21"/>
        </w:rPr>
      </w:pPr>
      <w:r>
        <w:rPr>
          <w:spacing w:val="2"/>
          <w:sz w:val="21"/>
        </w:rPr>
        <w:t>因基金托管人解散、依法被撤销、破产或其他事由造成易方达 </w:t>
      </w:r>
      <w:r>
        <w:rPr>
          <w:sz w:val="21"/>
        </w:rPr>
        <w:t>50</w:t>
      </w:r>
      <w:r>
        <w:rPr>
          <w:spacing w:val="-3"/>
          <w:sz w:val="21"/>
        </w:rPr>
        <w:t> 指数证券投资基金更</w:t>
      </w:r>
    </w:p>
    <w:p>
      <w:pPr>
        <w:spacing w:after="0" w:line="240" w:lineRule="auto"/>
        <w:jc w:val="left"/>
        <w:rPr>
          <w:sz w:val="21"/>
        </w:rPr>
        <w:sectPr>
          <w:pgSz w:w="11910" w:h="16840"/>
          <w:pgMar w:header="0" w:footer="1172" w:top="1580" w:bottom="1440" w:left="1520" w:right="360"/>
        </w:sectPr>
      </w:pPr>
    </w:p>
    <w:p>
      <w:pPr>
        <w:pStyle w:val="BodyText"/>
        <w:spacing w:before="106"/>
        <w:ind w:left="293"/>
      </w:pPr>
      <w:r>
        <w:rPr/>
        <w:t>换基金托管人；</w:t>
      </w:r>
    </w:p>
    <w:p>
      <w:pPr>
        <w:pStyle w:val="ListParagraph"/>
        <w:numPr>
          <w:ilvl w:val="0"/>
          <w:numId w:val="63"/>
        </w:numPr>
        <w:tabs>
          <w:tab w:pos="1035" w:val="left" w:leader="none"/>
        </w:tabs>
        <w:spacing w:line="364" w:lineRule="auto" w:before="139" w:after="0"/>
        <w:ind w:left="293" w:right="936" w:firstLine="420"/>
        <w:jc w:val="left"/>
        <w:rPr>
          <w:sz w:val="21"/>
        </w:rPr>
      </w:pPr>
      <w:r>
        <w:rPr>
          <w:spacing w:val="2"/>
          <w:sz w:val="21"/>
        </w:rPr>
        <w:t>因基金管理人解散、依法被撤销、破产或其他事由造成易方达 </w:t>
      </w:r>
      <w:r>
        <w:rPr>
          <w:sz w:val="21"/>
        </w:rPr>
        <w:t>50</w:t>
      </w:r>
      <w:r>
        <w:rPr>
          <w:spacing w:val="-4"/>
          <w:sz w:val="21"/>
        </w:rPr>
        <w:t> 指数证券投资基金更</w:t>
      </w:r>
      <w:r>
        <w:rPr>
          <w:sz w:val="21"/>
        </w:rPr>
        <w:t>换基金管理人；</w:t>
      </w:r>
    </w:p>
    <w:p>
      <w:pPr>
        <w:pStyle w:val="ListParagraph"/>
        <w:numPr>
          <w:ilvl w:val="0"/>
          <w:numId w:val="63"/>
        </w:numPr>
        <w:tabs>
          <w:tab w:pos="1030" w:val="left" w:leader="none"/>
        </w:tabs>
        <w:spacing w:line="268" w:lineRule="exact" w:before="0" w:after="0"/>
        <w:ind w:left="1030" w:right="0" w:hanging="317"/>
        <w:jc w:val="left"/>
        <w:rPr>
          <w:sz w:val="21"/>
        </w:rPr>
      </w:pPr>
      <w:r>
        <w:rPr>
          <w:sz w:val="21"/>
        </w:rPr>
        <w:t>发生《试点办法》或其他法律法规规定的终止事项。</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6"/>
        </w:rPr>
      </w:pPr>
    </w:p>
    <w:p>
      <w:pPr>
        <w:pStyle w:val="Heading1"/>
        <w:spacing w:before="0"/>
        <w:ind w:left="2723"/>
      </w:pPr>
      <w:bookmarkStart w:name="_bookmark98" w:id="99"/>
      <w:bookmarkEnd w:id="99"/>
      <w:r>
        <w:rPr>
          <w:b w:val="0"/>
        </w:rPr>
      </w:r>
      <w:r>
        <w:rPr/>
        <w:t>二十、对基金份额持有人的服务</w:t>
      </w:r>
    </w:p>
    <w:p>
      <w:pPr>
        <w:pStyle w:val="BodyText"/>
        <w:spacing w:line="364" w:lineRule="auto" w:before="117"/>
        <w:ind w:left="293" w:right="936" w:firstLine="420"/>
      </w:pPr>
      <w:r>
        <w:rPr/>
        <w:t>基金管理人承诺为基金份额持有人提供一系列的服务。以下是主要的服务内容，基金管理人根据基金份额持有人的需要和市场的变化，有权增加、修改这些服务项目：</w:t>
      </w:r>
    </w:p>
    <w:p>
      <w:pPr>
        <w:pStyle w:val="Heading3"/>
      </w:pPr>
      <w:r>
        <w:rPr>
          <w:w w:val="110"/>
        </w:rPr>
        <w:t>(一) 基金份额持有人投资交易确认服务</w:t>
      </w:r>
    </w:p>
    <w:p>
      <w:pPr>
        <w:pStyle w:val="BodyText"/>
        <w:spacing w:before="101"/>
      </w:pPr>
      <w:r>
        <w:rPr/>
        <w:t>注册登记机构保留基金份额持有人名册上列明的所有基金份额持有人的基金交易记录。</w:t>
      </w:r>
    </w:p>
    <w:p>
      <w:pPr>
        <w:pStyle w:val="BodyText"/>
        <w:spacing w:line="364" w:lineRule="auto" w:before="140"/>
        <w:ind w:left="293" w:right="936" w:firstLine="420"/>
      </w:pPr>
      <w:r>
        <w:rPr/>
        <w:t>基金管理人直销网点应根据在基金管理人直销网点进行交易的投资者的要求提供成交确认单。基金非直销销售机构应根据在销售网点进行交易的投资者的要求提供成交确认单。</w:t>
      </w:r>
    </w:p>
    <w:p>
      <w:pPr>
        <w:pStyle w:val="Heading3"/>
      </w:pPr>
      <w:r>
        <w:rPr>
          <w:w w:val="110"/>
        </w:rPr>
        <w:t>(二) 基金份额持有人交易记录查询服务</w:t>
      </w:r>
    </w:p>
    <w:p>
      <w:pPr>
        <w:pStyle w:val="BodyText"/>
        <w:spacing w:before="100"/>
      </w:pPr>
      <w:r>
        <w:rPr/>
        <w:t>本基金份额持有人可通过基金管理人的客户服务中心查询历史交易记录。</w:t>
      </w:r>
    </w:p>
    <w:p>
      <w:pPr>
        <w:pStyle w:val="Heading3"/>
        <w:spacing w:line="240" w:lineRule="auto" w:before="64"/>
      </w:pPr>
      <w:r>
        <w:rPr>
          <w:w w:val="110"/>
        </w:rPr>
        <w:t>(三) 基金份额持有人的对账单服务</w:t>
      </w:r>
    </w:p>
    <w:p>
      <w:pPr>
        <w:pStyle w:val="BodyText"/>
        <w:spacing w:before="100"/>
      </w:pPr>
      <w:hyperlink r:id="rId8">
        <w:r>
          <w:rPr/>
          <w:t>1、基金份额持有人可登录本公司网站（http://www.efunds.com.cn</w:t>
        </w:r>
      </w:hyperlink>
      <w:r>
        <w:rPr/>
        <w:t>）查阅对账单。</w:t>
      </w:r>
    </w:p>
    <w:p>
      <w:pPr>
        <w:pStyle w:val="BodyText"/>
        <w:spacing w:line="364" w:lineRule="auto" w:before="140"/>
        <w:ind w:right="1436"/>
      </w:pPr>
      <w:r>
        <w:rPr/>
        <w:t>2、基金份额持有人也可向本公司定制纸质、电子或短信形式的定期或不定期对账单。具体查阅和定制账单的方法可参见本公司网站或拨打客服热线咨询。</w:t>
      </w:r>
    </w:p>
    <w:p>
      <w:pPr>
        <w:pStyle w:val="Heading3"/>
      </w:pPr>
      <w:r>
        <w:rPr>
          <w:w w:val="110"/>
        </w:rPr>
        <w:t>(四) 定期定额投资计划</w:t>
      </w:r>
    </w:p>
    <w:p>
      <w:pPr>
        <w:pStyle w:val="BodyText"/>
        <w:spacing w:line="364" w:lineRule="auto" w:before="101"/>
        <w:ind w:left="293" w:right="936" w:firstLine="420"/>
        <w:jc w:val="both"/>
      </w:pPr>
      <w:r>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pPr>
        <w:pStyle w:val="Heading3"/>
      </w:pPr>
      <w:r>
        <w:rPr>
          <w:w w:val="110"/>
        </w:rPr>
        <w:t>(五) 资讯服务</w:t>
      </w:r>
    </w:p>
    <w:p>
      <w:pPr>
        <w:pStyle w:val="Heading5"/>
        <w:spacing w:line="240" w:lineRule="auto" w:before="33"/>
      </w:pPr>
      <w:r>
        <w:rPr/>
        <w:t>1、客户服务电话</w:t>
      </w:r>
    </w:p>
    <w:p>
      <w:pPr>
        <w:pStyle w:val="BodyText"/>
        <w:spacing w:line="364" w:lineRule="auto" w:before="89"/>
        <w:ind w:left="293" w:right="936" w:firstLine="420"/>
        <w:jc w:val="both"/>
      </w:pPr>
      <w:r>
        <w:rPr>
          <w:spacing w:val="3"/>
        </w:rPr>
        <w:t>投资者如果想了解申购与赎回的交易情况、基金账户余额、基金产品与服务等信息，或反馈投资过程中需要投诉与建议的情况，可拨打如下电话：4008818088（免长途话费</w:t>
      </w:r>
      <w:r>
        <w:rPr>
          <w:spacing w:val="-103"/>
        </w:rPr>
        <w:t>）</w:t>
      </w:r>
      <w:r>
        <w:rPr>
          <w:spacing w:val="-2"/>
        </w:rPr>
        <w:t>。投资者如</w:t>
      </w:r>
      <w:r>
        <w:rPr>
          <w:spacing w:val="3"/>
        </w:rPr>
        <w:t>果认为自己不能准确理解本基金《招募说明书》、《基金合同》的具体内容，也可拨打上述电话详询。</w:t>
      </w:r>
    </w:p>
    <w:p>
      <w:pPr>
        <w:pStyle w:val="Heading5"/>
      </w:pPr>
      <w:r>
        <w:rPr/>
        <w:t>2、互联网站及电子信箱</w:t>
      </w:r>
    </w:p>
    <w:p>
      <w:pPr>
        <w:pStyle w:val="BodyText"/>
        <w:spacing w:before="88"/>
      </w:pPr>
      <w:hyperlink r:id="rId8">
        <w:r>
          <w:rPr/>
          <w:t>网址：http://www.efunds.com.cn</w:t>
        </w:r>
      </w:hyperlink>
    </w:p>
    <w:p>
      <w:pPr>
        <w:spacing w:after="0"/>
        <w:sectPr>
          <w:pgSz w:w="11910" w:h="16840"/>
          <w:pgMar w:header="0" w:footer="1172" w:top="1580" w:bottom="1440" w:left="1520" w:right="360"/>
        </w:sectPr>
      </w:pPr>
    </w:p>
    <w:p>
      <w:pPr>
        <w:pStyle w:val="BodyText"/>
        <w:spacing w:before="106"/>
      </w:pPr>
      <w:hyperlink r:id="rId253">
        <w:r>
          <w:rPr/>
          <w:t>电子信箱：service@efunds.com.cn</w:t>
        </w:r>
      </w:hyperlink>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Heading1"/>
        <w:spacing w:before="170"/>
        <w:ind w:left="3144"/>
      </w:pPr>
      <w:bookmarkStart w:name="_bookmark99" w:id="100"/>
      <w:bookmarkEnd w:id="100"/>
      <w:r>
        <w:rPr>
          <w:b w:val="0"/>
        </w:rPr>
      </w:r>
      <w:r>
        <w:rPr/>
        <w:t>二十一、其他应披露事项</w:t>
      </w:r>
    </w:p>
    <w:p>
      <w:pPr>
        <w:pStyle w:val="BodyText"/>
        <w:spacing w:before="3"/>
        <w:ind w:left="0"/>
        <w:rPr>
          <w:rFonts w:ascii="微软雅黑"/>
          <w:b/>
          <w:sz w:val="6"/>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7"/>
        <w:gridCol w:w="1460"/>
      </w:tblGrid>
      <w:tr>
        <w:trPr>
          <w:trHeight w:val="670" w:hRule="atLeast"/>
        </w:trPr>
        <w:tc>
          <w:tcPr>
            <w:tcW w:w="7457" w:type="dxa"/>
          </w:tcPr>
          <w:p>
            <w:pPr>
              <w:pStyle w:val="TableParagraph"/>
              <w:spacing w:before="18"/>
              <w:rPr>
                <w:rFonts w:ascii="微软雅黑"/>
                <w:b/>
                <w:sz w:val="10"/>
              </w:rPr>
            </w:pPr>
          </w:p>
          <w:p>
            <w:pPr>
              <w:pStyle w:val="TableParagraph"/>
              <w:ind w:left="3288" w:right="3279"/>
              <w:jc w:val="center"/>
              <w:rPr>
                <w:sz w:val="21"/>
              </w:rPr>
            </w:pPr>
            <w:r>
              <w:rPr>
                <w:sz w:val="21"/>
              </w:rPr>
              <w:t>公告事项</w:t>
            </w:r>
          </w:p>
        </w:tc>
        <w:tc>
          <w:tcPr>
            <w:tcW w:w="1460" w:type="dxa"/>
          </w:tcPr>
          <w:p>
            <w:pPr>
              <w:pStyle w:val="TableParagraph"/>
              <w:spacing w:before="18"/>
              <w:rPr>
                <w:rFonts w:ascii="微软雅黑"/>
                <w:b/>
                <w:sz w:val="10"/>
              </w:rPr>
            </w:pPr>
          </w:p>
          <w:p>
            <w:pPr>
              <w:pStyle w:val="TableParagraph"/>
              <w:ind w:left="146" w:right="214"/>
              <w:jc w:val="center"/>
              <w:rPr>
                <w:sz w:val="21"/>
              </w:rPr>
            </w:pPr>
            <w:r>
              <w:rPr>
                <w:sz w:val="21"/>
              </w:rPr>
              <w:t>披露日期</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易方达基金管理有限公司关于旗下部分开放式基金增加国盛证券为销售机构的</w:t>
            </w:r>
          </w:p>
          <w:p>
            <w:pPr>
              <w:pStyle w:val="TableParagraph"/>
              <w:spacing w:before="178"/>
              <w:ind w:left="108"/>
              <w:rPr>
                <w:sz w:val="21"/>
              </w:rPr>
            </w:pPr>
            <w:r>
              <w:rPr>
                <w:sz w:val="21"/>
              </w:rPr>
              <w:t>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2019-03-26</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易方达基金管理有限公司关于旗下部分开放式基金参加昆仑银行费率优惠活动</w:t>
            </w:r>
          </w:p>
          <w:p>
            <w:pPr>
              <w:pStyle w:val="TableParagraph"/>
              <w:spacing w:before="178"/>
              <w:ind w:left="108"/>
              <w:rPr>
                <w:sz w:val="21"/>
              </w:rPr>
            </w:pPr>
            <w:r>
              <w:rPr>
                <w:sz w:val="21"/>
              </w:rPr>
              <w:t>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2019-03-29</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易方达基金管理有限公司关于旗下部分开放式基金参加交通银行手机银行申购</w:t>
            </w:r>
          </w:p>
          <w:p>
            <w:pPr>
              <w:pStyle w:val="TableParagraph"/>
              <w:spacing w:before="178"/>
              <w:ind w:left="108"/>
              <w:rPr>
                <w:sz w:val="21"/>
              </w:rPr>
            </w:pPr>
            <w:r>
              <w:rPr>
                <w:sz w:val="21"/>
              </w:rPr>
              <w:t>及定期定额投资费率优惠活动的公告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2019-03-30</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易方达基金管理有限公司关于旗下部分开放式基金参加泉州银行费率优惠活动</w:t>
            </w:r>
          </w:p>
          <w:p>
            <w:pPr>
              <w:pStyle w:val="TableParagraph"/>
              <w:spacing w:before="178"/>
              <w:ind w:left="108"/>
              <w:rPr>
                <w:sz w:val="21"/>
              </w:rPr>
            </w:pPr>
            <w:r>
              <w:rPr>
                <w:sz w:val="21"/>
              </w:rPr>
              <w:t>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2019-04-01</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易方达基金管理有限公司关于旗下部分开放式基金参加中国工商银行申购费率</w:t>
            </w:r>
          </w:p>
          <w:p>
            <w:pPr>
              <w:pStyle w:val="TableParagraph"/>
              <w:spacing w:before="178"/>
              <w:ind w:left="108"/>
              <w:rPr>
                <w:sz w:val="21"/>
              </w:rPr>
            </w:pPr>
            <w:r>
              <w:rPr>
                <w:sz w:val="21"/>
              </w:rPr>
              <w:t>优惠活动的公告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2019-04-01</w:t>
            </w:r>
          </w:p>
        </w:tc>
      </w:tr>
      <w:tr>
        <w:trPr>
          <w:trHeight w:val="447" w:hRule="atLeast"/>
        </w:trPr>
        <w:tc>
          <w:tcPr>
            <w:tcW w:w="7457" w:type="dxa"/>
          </w:tcPr>
          <w:p>
            <w:pPr>
              <w:pStyle w:val="TableParagraph"/>
              <w:spacing w:before="90"/>
              <w:ind w:left="108"/>
              <w:rPr>
                <w:sz w:val="21"/>
              </w:rPr>
            </w:pPr>
            <w:r>
              <w:rPr>
                <w:sz w:val="21"/>
              </w:rPr>
              <w:t>易方达基金管理有限公司关于公司旗下部分基金估值调整情况的公告</w:t>
            </w:r>
          </w:p>
        </w:tc>
        <w:tc>
          <w:tcPr>
            <w:tcW w:w="1460" w:type="dxa"/>
          </w:tcPr>
          <w:p>
            <w:pPr>
              <w:pStyle w:val="TableParagraph"/>
              <w:spacing w:before="90"/>
              <w:ind w:left="146" w:right="214"/>
              <w:jc w:val="center"/>
              <w:rPr>
                <w:sz w:val="21"/>
              </w:rPr>
            </w:pPr>
            <w:r>
              <w:rPr>
                <w:sz w:val="21"/>
              </w:rPr>
              <w:t>2019-04-02</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易方达基金管理有限公司关于旗下部分开放式基金增加青岛银行为销售机构的</w:t>
            </w:r>
          </w:p>
          <w:p>
            <w:pPr>
              <w:pStyle w:val="TableParagraph"/>
              <w:spacing w:before="178"/>
              <w:ind w:left="108"/>
              <w:rPr>
                <w:sz w:val="21"/>
              </w:rPr>
            </w:pPr>
            <w:r>
              <w:rPr>
                <w:sz w:val="21"/>
              </w:rPr>
              <w:t>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2019-04-08</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易方达基金管理有限公司关于旗下部分开放式基金参加深圳农村商业银行手机</w:t>
            </w:r>
          </w:p>
          <w:p>
            <w:pPr>
              <w:pStyle w:val="TableParagraph"/>
              <w:spacing w:before="178"/>
              <w:ind w:left="108"/>
              <w:rPr>
                <w:sz w:val="21"/>
              </w:rPr>
            </w:pPr>
            <w:r>
              <w:rPr>
                <w:sz w:val="21"/>
              </w:rPr>
              <w:t>银行费率优惠活动的公告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2019-04-18</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易方达基金管理有限公司关于旗下部分开放式基金参加四川天府银行手机银行</w:t>
            </w:r>
          </w:p>
          <w:p>
            <w:pPr>
              <w:pStyle w:val="TableParagraph"/>
              <w:spacing w:before="178"/>
              <w:ind w:left="108"/>
              <w:rPr>
                <w:sz w:val="21"/>
              </w:rPr>
            </w:pPr>
            <w:r>
              <w:rPr>
                <w:sz w:val="21"/>
              </w:rPr>
              <w:t>费率优惠活动的公告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2019-04-30</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易方达基金管理有限公司关于旗下部分开放式基金参加齐商银行费率优惠活动</w:t>
            </w:r>
          </w:p>
          <w:p>
            <w:pPr>
              <w:pStyle w:val="TableParagraph"/>
              <w:spacing w:before="178"/>
              <w:ind w:left="108"/>
              <w:rPr>
                <w:sz w:val="21"/>
              </w:rPr>
            </w:pPr>
            <w:r>
              <w:rPr>
                <w:sz w:val="21"/>
              </w:rPr>
              <w:t>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2019-05-07</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易方达基金管理有限公司关于旗下部分开放式基金参加中国民生银行费率优惠</w:t>
            </w:r>
          </w:p>
          <w:p>
            <w:pPr>
              <w:pStyle w:val="TableParagraph"/>
              <w:spacing w:before="178"/>
              <w:ind w:left="108"/>
              <w:rPr>
                <w:sz w:val="21"/>
              </w:rPr>
            </w:pPr>
            <w:r>
              <w:rPr>
                <w:sz w:val="21"/>
              </w:rPr>
              <w:t>活动的公告</w:t>
            </w:r>
          </w:p>
        </w:tc>
        <w:tc>
          <w:tcPr>
            <w:tcW w:w="1460" w:type="dxa"/>
          </w:tcPr>
          <w:p>
            <w:pPr>
              <w:pStyle w:val="TableParagraph"/>
              <w:rPr>
                <w:rFonts w:ascii="微软雅黑"/>
                <w:b/>
                <w:sz w:val="17"/>
              </w:rPr>
            </w:pPr>
          </w:p>
          <w:p>
            <w:pPr>
              <w:pStyle w:val="TableParagraph"/>
              <w:ind w:left="146" w:right="214"/>
              <w:jc w:val="center"/>
              <w:rPr>
                <w:sz w:val="21"/>
              </w:rPr>
            </w:pPr>
            <w:r>
              <w:rPr>
                <w:sz w:val="21"/>
              </w:rPr>
              <w:t>2019-05-16</w:t>
            </w:r>
          </w:p>
        </w:tc>
      </w:tr>
      <w:tr>
        <w:trPr>
          <w:trHeight w:val="446" w:hRule="atLeast"/>
        </w:trPr>
        <w:tc>
          <w:tcPr>
            <w:tcW w:w="7457" w:type="dxa"/>
          </w:tcPr>
          <w:p>
            <w:pPr>
              <w:pStyle w:val="TableParagraph"/>
              <w:spacing w:before="90"/>
              <w:ind w:left="108"/>
              <w:rPr>
                <w:sz w:val="21"/>
              </w:rPr>
            </w:pPr>
            <w:r>
              <w:rPr>
                <w:sz w:val="21"/>
              </w:rPr>
              <w:t>易方达基金管理有限公司关于旗下部分开放式基金增加杭州银行为销售机构的</w:t>
            </w:r>
          </w:p>
        </w:tc>
        <w:tc>
          <w:tcPr>
            <w:tcW w:w="1460" w:type="dxa"/>
          </w:tcPr>
          <w:p>
            <w:pPr>
              <w:pStyle w:val="TableParagraph"/>
              <w:spacing w:before="90"/>
              <w:ind w:left="146" w:right="214"/>
              <w:jc w:val="center"/>
              <w:rPr>
                <w:sz w:val="21"/>
              </w:rPr>
            </w:pPr>
            <w:r>
              <w:rPr>
                <w:sz w:val="21"/>
              </w:rPr>
              <w:t>2019-05-20</w:t>
            </w:r>
          </w:p>
        </w:tc>
      </w:tr>
    </w:tbl>
    <w:p>
      <w:pPr>
        <w:spacing w:after="0"/>
        <w:jc w:val="center"/>
        <w:rPr>
          <w:sz w:val="21"/>
        </w:rPr>
        <w:sectPr>
          <w:pgSz w:w="11910" w:h="16840"/>
          <w:pgMar w:header="0" w:footer="1172" w:top="1580" w:bottom="1440" w:left="1520" w:right="360"/>
        </w:sectPr>
      </w:pPr>
    </w:p>
    <w:p>
      <w:pPr>
        <w:pStyle w:val="BodyText"/>
        <w:spacing w:before="11"/>
        <w:ind w:left="0"/>
        <w:rPr>
          <w:rFonts w:ascii="Times New Roman"/>
          <w:sz w:val="8"/>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7"/>
        <w:gridCol w:w="1460"/>
      </w:tblGrid>
      <w:tr>
        <w:trPr>
          <w:trHeight w:val="447" w:hRule="atLeast"/>
        </w:trPr>
        <w:tc>
          <w:tcPr>
            <w:tcW w:w="7457" w:type="dxa"/>
          </w:tcPr>
          <w:p>
            <w:pPr>
              <w:pStyle w:val="TableParagraph"/>
              <w:spacing w:before="90"/>
              <w:ind w:left="108"/>
              <w:rPr>
                <w:sz w:val="21"/>
              </w:rPr>
            </w:pPr>
            <w:r>
              <w:rPr>
                <w:sz w:val="21"/>
              </w:rPr>
              <w:t>公告</w:t>
            </w:r>
          </w:p>
        </w:tc>
        <w:tc>
          <w:tcPr>
            <w:tcW w:w="1460" w:type="dxa"/>
          </w:tcPr>
          <w:p>
            <w:pPr>
              <w:pStyle w:val="TableParagraph"/>
              <w:rPr>
                <w:rFonts w:ascii="Times New Roman"/>
                <w:sz w:val="20"/>
              </w:rPr>
            </w:pPr>
          </w:p>
        </w:tc>
      </w:tr>
      <w:tr>
        <w:trPr>
          <w:trHeight w:val="894" w:hRule="atLeast"/>
        </w:trPr>
        <w:tc>
          <w:tcPr>
            <w:tcW w:w="7457" w:type="dxa"/>
          </w:tcPr>
          <w:p>
            <w:pPr>
              <w:pStyle w:val="TableParagraph"/>
              <w:spacing w:before="90"/>
              <w:ind w:left="108"/>
              <w:rPr>
                <w:sz w:val="21"/>
              </w:rPr>
            </w:pPr>
            <w:r>
              <w:rPr>
                <w:sz w:val="21"/>
              </w:rPr>
              <w:t>易方达基金管理有限公司关于民族证券并入方正证券期间基金业务安排的提示</w:t>
            </w:r>
          </w:p>
          <w:p>
            <w:pPr>
              <w:pStyle w:val="TableParagraph"/>
              <w:spacing w:before="178"/>
              <w:ind w:left="108"/>
              <w:rPr>
                <w:sz w:val="21"/>
              </w:rPr>
            </w:pPr>
            <w:r>
              <w:rPr>
                <w:sz w:val="21"/>
              </w:rPr>
              <w:t>性公告</w:t>
            </w:r>
          </w:p>
        </w:tc>
        <w:tc>
          <w:tcPr>
            <w:tcW w:w="1460" w:type="dxa"/>
          </w:tcPr>
          <w:p>
            <w:pPr>
              <w:pStyle w:val="TableParagraph"/>
              <w:spacing w:before="90"/>
              <w:ind w:left="165"/>
              <w:rPr>
                <w:sz w:val="21"/>
              </w:rPr>
            </w:pPr>
            <w:r>
              <w:rPr>
                <w:sz w:val="21"/>
              </w:rPr>
              <w:t>2019-05-22</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易方达基金管理有限公司关于旗下部分开放式基金增加重庆银行为销售机构的</w:t>
            </w:r>
          </w:p>
          <w:p>
            <w:pPr>
              <w:pStyle w:val="TableParagraph"/>
              <w:spacing w:before="178"/>
              <w:ind w:left="108"/>
              <w:rPr>
                <w:sz w:val="21"/>
              </w:rPr>
            </w:pPr>
            <w:r>
              <w:rPr>
                <w:sz w:val="21"/>
              </w:rPr>
              <w:t>公告</w:t>
            </w:r>
          </w:p>
        </w:tc>
        <w:tc>
          <w:tcPr>
            <w:tcW w:w="1460" w:type="dxa"/>
          </w:tcPr>
          <w:p>
            <w:pPr>
              <w:pStyle w:val="TableParagraph"/>
              <w:spacing w:before="3"/>
              <w:rPr>
                <w:rFonts w:ascii="Times New Roman"/>
                <w:sz w:val="27"/>
              </w:rPr>
            </w:pPr>
          </w:p>
          <w:p>
            <w:pPr>
              <w:pStyle w:val="TableParagraph"/>
              <w:ind w:left="165"/>
              <w:rPr>
                <w:sz w:val="21"/>
              </w:rPr>
            </w:pPr>
            <w:r>
              <w:rPr>
                <w:sz w:val="21"/>
              </w:rPr>
              <w:t>2019-05-24</w:t>
            </w:r>
          </w:p>
        </w:tc>
      </w:tr>
      <w:tr>
        <w:trPr>
          <w:trHeight w:val="893" w:hRule="atLeast"/>
        </w:trPr>
        <w:tc>
          <w:tcPr>
            <w:tcW w:w="7457" w:type="dxa"/>
          </w:tcPr>
          <w:p>
            <w:pPr>
              <w:pStyle w:val="TableParagraph"/>
              <w:spacing w:before="90"/>
              <w:ind w:left="108"/>
              <w:rPr>
                <w:sz w:val="21"/>
              </w:rPr>
            </w:pPr>
            <w:r>
              <w:rPr>
                <w:sz w:val="21"/>
              </w:rPr>
              <w:t>易方达基金管理有限公司关于提醒网上直销个人投资者及时上传身份证件照片</w:t>
            </w:r>
          </w:p>
          <w:p>
            <w:pPr>
              <w:pStyle w:val="TableParagraph"/>
              <w:spacing w:before="178"/>
              <w:ind w:left="108"/>
              <w:rPr>
                <w:sz w:val="21"/>
              </w:rPr>
            </w:pPr>
            <w:r>
              <w:rPr>
                <w:sz w:val="21"/>
              </w:rPr>
              <w:t>并完善、更新身份信息以免影响日常交易的公告</w:t>
            </w:r>
          </w:p>
        </w:tc>
        <w:tc>
          <w:tcPr>
            <w:tcW w:w="1460" w:type="dxa"/>
          </w:tcPr>
          <w:p>
            <w:pPr>
              <w:pStyle w:val="TableParagraph"/>
              <w:spacing w:before="3"/>
              <w:rPr>
                <w:rFonts w:ascii="Times New Roman"/>
                <w:sz w:val="27"/>
              </w:rPr>
            </w:pPr>
          </w:p>
          <w:p>
            <w:pPr>
              <w:pStyle w:val="TableParagraph"/>
              <w:ind w:left="165"/>
              <w:rPr>
                <w:sz w:val="21"/>
              </w:rPr>
            </w:pPr>
            <w:r>
              <w:rPr>
                <w:sz w:val="21"/>
              </w:rPr>
              <w:t>2019-05-28</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易方达基金管理有限公司关于旗下部分开放式基金增加汇成基金为销售机构、</w:t>
            </w:r>
          </w:p>
          <w:p>
            <w:pPr>
              <w:pStyle w:val="TableParagraph"/>
              <w:spacing w:before="178"/>
              <w:ind w:left="108"/>
              <w:rPr>
                <w:sz w:val="21"/>
              </w:rPr>
            </w:pPr>
            <w:r>
              <w:rPr>
                <w:sz w:val="21"/>
              </w:rPr>
              <w:t>参加汇成基金费率优惠活动的公告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2019-06-14</w:t>
            </w:r>
          </w:p>
        </w:tc>
      </w:tr>
      <w:tr>
        <w:trPr>
          <w:trHeight w:val="893" w:hRule="atLeast"/>
        </w:trPr>
        <w:tc>
          <w:tcPr>
            <w:tcW w:w="7457" w:type="dxa"/>
          </w:tcPr>
          <w:p>
            <w:pPr>
              <w:pStyle w:val="TableParagraph"/>
              <w:spacing w:before="90"/>
              <w:ind w:left="108"/>
              <w:rPr>
                <w:sz w:val="21"/>
              </w:rPr>
            </w:pPr>
            <w:r>
              <w:rPr>
                <w:sz w:val="21"/>
              </w:rPr>
              <w:t>易方达基金管理有限公司关于调整转换业务货币市场基金未付收益支付规则的</w:t>
            </w:r>
          </w:p>
          <w:p>
            <w:pPr>
              <w:pStyle w:val="TableParagraph"/>
              <w:spacing w:before="178"/>
              <w:ind w:left="108"/>
              <w:rPr>
                <w:sz w:val="21"/>
              </w:rPr>
            </w:pPr>
            <w:r>
              <w:rPr>
                <w:sz w:val="21"/>
              </w:rPr>
              <w:t>公告</w:t>
            </w:r>
          </w:p>
        </w:tc>
        <w:tc>
          <w:tcPr>
            <w:tcW w:w="1460" w:type="dxa"/>
          </w:tcPr>
          <w:p>
            <w:pPr>
              <w:pStyle w:val="TableParagraph"/>
              <w:spacing w:before="3"/>
              <w:rPr>
                <w:rFonts w:ascii="Times New Roman"/>
                <w:sz w:val="27"/>
              </w:rPr>
            </w:pPr>
          </w:p>
          <w:p>
            <w:pPr>
              <w:pStyle w:val="TableParagraph"/>
              <w:ind w:left="165"/>
              <w:rPr>
                <w:sz w:val="21"/>
              </w:rPr>
            </w:pPr>
            <w:r>
              <w:rPr>
                <w:sz w:val="21"/>
              </w:rPr>
              <w:t>2019-06-20</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易方达基金管理有限公司关于旗下部分开放式基金参加佛山农商银行费率优惠</w:t>
            </w:r>
          </w:p>
          <w:p>
            <w:pPr>
              <w:pStyle w:val="TableParagraph"/>
              <w:spacing w:before="178"/>
              <w:ind w:left="108"/>
              <w:rPr>
                <w:sz w:val="21"/>
              </w:rPr>
            </w:pPr>
            <w:r>
              <w:rPr>
                <w:sz w:val="21"/>
              </w:rPr>
              <w:t>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2019-06-21</w:t>
            </w:r>
          </w:p>
        </w:tc>
      </w:tr>
      <w:tr>
        <w:trPr>
          <w:trHeight w:val="894" w:hRule="atLeast"/>
        </w:trPr>
        <w:tc>
          <w:tcPr>
            <w:tcW w:w="7457" w:type="dxa"/>
          </w:tcPr>
          <w:p>
            <w:pPr>
              <w:pStyle w:val="TableParagraph"/>
              <w:spacing w:before="90"/>
              <w:ind w:left="108"/>
              <w:rPr>
                <w:sz w:val="21"/>
              </w:rPr>
            </w:pPr>
            <w:r>
              <w:rPr>
                <w:sz w:val="21"/>
              </w:rPr>
              <w:t>易方达基金管理有限公司关于旗下部分公开募集证券投资基金可投资于科创板</w:t>
            </w:r>
          </w:p>
          <w:p>
            <w:pPr>
              <w:pStyle w:val="TableParagraph"/>
              <w:spacing w:before="178"/>
              <w:ind w:left="108"/>
              <w:rPr>
                <w:sz w:val="21"/>
              </w:rPr>
            </w:pPr>
            <w:r>
              <w:rPr>
                <w:sz w:val="21"/>
              </w:rPr>
              <w:t>股票的公告</w:t>
            </w:r>
          </w:p>
        </w:tc>
        <w:tc>
          <w:tcPr>
            <w:tcW w:w="1460" w:type="dxa"/>
          </w:tcPr>
          <w:p>
            <w:pPr>
              <w:pStyle w:val="TableParagraph"/>
              <w:spacing w:before="3"/>
              <w:rPr>
                <w:rFonts w:ascii="Times New Roman"/>
                <w:sz w:val="27"/>
              </w:rPr>
            </w:pPr>
          </w:p>
          <w:p>
            <w:pPr>
              <w:pStyle w:val="TableParagraph"/>
              <w:ind w:left="165"/>
              <w:rPr>
                <w:sz w:val="21"/>
              </w:rPr>
            </w:pPr>
            <w:r>
              <w:rPr>
                <w:sz w:val="21"/>
              </w:rPr>
              <w:t>2019-06-22</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易方达基金管理有限公司关于旗下部分开放式基金参加德邦证券费率优惠活动</w:t>
            </w:r>
          </w:p>
          <w:p>
            <w:pPr>
              <w:pStyle w:val="TableParagraph"/>
              <w:spacing w:before="178"/>
              <w:ind w:left="108"/>
              <w:rPr>
                <w:sz w:val="21"/>
              </w:rPr>
            </w:pPr>
            <w:r>
              <w:rPr>
                <w:sz w:val="21"/>
              </w:rPr>
              <w:t>的公告</w:t>
            </w:r>
          </w:p>
        </w:tc>
        <w:tc>
          <w:tcPr>
            <w:tcW w:w="1460" w:type="dxa"/>
          </w:tcPr>
          <w:p>
            <w:pPr>
              <w:pStyle w:val="TableParagraph"/>
              <w:spacing w:before="3"/>
              <w:rPr>
                <w:rFonts w:ascii="Times New Roman"/>
                <w:sz w:val="27"/>
              </w:rPr>
            </w:pPr>
          </w:p>
          <w:p>
            <w:pPr>
              <w:pStyle w:val="TableParagraph"/>
              <w:ind w:left="165"/>
              <w:rPr>
                <w:sz w:val="21"/>
              </w:rPr>
            </w:pPr>
            <w:r>
              <w:rPr>
                <w:sz w:val="21"/>
              </w:rPr>
              <w:t>2019-06-24</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易方达基金管理有限公司关于旗下部分开放式基金参加长城国瑞证券费率优惠</w:t>
            </w:r>
          </w:p>
          <w:p>
            <w:pPr>
              <w:pStyle w:val="TableParagraph"/>
              <w:spacing w:before="178"/>
              <w:ind w:left="108"/>
              <w:rPr>
                <w:sz w:val="21"/>
              </w:rPr>
            </w:pPr>
            <w:r>
              <w:rPr>
                <w:sz w:val="21"/>
              </w:rPr>
              <w:t>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2019-06-28</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易方达基金管理有限公司关于旗下部分开放式基金参加云南红塔银行费率优惠</w:t>
            </w:r>
          </w:p>
          <w:p>
            <w:pPr>
              <w:pStyle w:val="TableParagraph"/>
              <w:spacing w:before="178"/>
              <w:ind w:left="108"/>
              <w:rPr>
                <w:sz w:val="21"/>
              </w:rPr>
            </w:pPr>
            <w:r>
              <w:rPr>
                <w:sz w:val="21"/>
              </w:rPr>
              <w:t>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2019-07-05</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易方达基金管理有限公司关于旗下部分开放式基金增加大智慧基金为销售机构</w:t>
            </w:r>
          </w:p>
          <w:p>
            <w:pPr>
              <w:pStyle w:val="TableParagraph"/>
              <w:spacing w:before="178"/>
              <w:ind w:left="108"/>
              <w:rPr>
                <w:sz w:val="21"/>
              </w:rPr>
            </w:pPr>
            <w:r>
              <w:rPr>
                <w:sz w:val="21"/>
              </w:rPr>
              <w:t>的公告</w:t>
            </w:r>
          </w:p>
        </w:tc>
        <w:tc>
          <w:tcPr>
            <w:tcW w:w="1460" w:type="dxa"/>
          </w:tcPr>
          <w:p>
            <w:pPr>
              <w:pStyle w:val="TableParagraph"/>
              <w:spacing w:before="3"/>
              <w:rPr>
                <w:rFonts w:ascii="Times New Roman"/>
                <w:sz w:val="27"/>
              </w:rPr>
            </w:pPr>
          </w:p>
          <w:p>
            <w:pPr>
              <w:pStyle w:val="TableParagraph"/>
              <w:ind w:left="165"/>
              <w:rPr>
                <w:sz w:val="21"/>
              </w:rPr>
            </w:pPr>
            <w:r>
              <w:rPr>
                <w:sz w:val="21"/>
              </w:rPr>
              <w:t>2019-07-05</w:t>
            </w:r>
          </w:p>
        </w:tc>
      </w:tr>
      <w:tr>
        <w:trPr>
          <w:trHeight w:val="894" w:hRule="atLeast"/>
        </w:trPr>
        <w:tc>
          <w:tcPr>
            <w:tcW w:w="7457" w:type="dxa"/>
          </w:tcPr>
          <w:p>
            <w:pPr>
              <w:pStyle w:val="TableParagraph"/>
              <w:spacing w:before="90"/>
              <w:ind w:left="108"/>
              <w:rPr>
                <w:sz w:val="21"/>
              </w:rPr>
            </w:pPr>
            <w:r>
              <w:rPr>
                <w:sz w:val="21"/>
              </w:rPr>
              <w:t>易方达基金管理有限公司关于易方达 50 指数证券投资基金 C 类基金份额增加</w:t>
            </w:r>
          </w:p>
          <w:p>
            <w:pPr>
              <w:pStyle w:val="TableParagraph"/>
              <w:spacing w:before="178"/>
              <w:ind w:left="108"/>
              <w:rPr>
                <w:sz w:val="21"/>
              </w:rPr>
            </w:pPr>
            <w:r>
              <w:rPr>
                <w:sz w:val="21"/>
              </w:rPr>
              <w:t>安信证券为销售机构的公告</w:t>
            </w:r>
          </w:p>
        </w:tc>
        <w:tc>
          <w:tcPr>
            <w:tcW w:w="1460" w:type="dxa"/>
          </w:tcPr>
          <w:p>
            <w:pPr>
              <w:pStyle w:val="TableParagraph"/>
              <w:spacing w:before="3"/>
              <w:rPr>
                <w:rFonts w:ascii="Times New Roman"/>
                <w:sz w:val="27"/>
              </w:rPr>
            </w:pPr>
          </w:p>
          <w:p>
            <w:pPr>
              <w:pStyle w:val="TableParagraph"/>
              <w:ind w:left="165"/>
              <w:rPr>
                <w:sz w:val="21"/>
              </w:rPr>
            </w:pPr>
            <w:r>
              <w:rPr>
                <w:sz w:val="21"/>
              </w:rPr>
              <w:t>2019-07-09</w:t>
            </w:r>
          </w:p>
        </w:tc>
      </w:tr>
      <w:tr>
        <w:trPr>
          <w:trHeight w:val="894" w:hRule="atLeast"/>
        </w:trPr>
        <w:tc>
          <w:tcPr>
            <w:tcW w:w="7457" w:type="dxa"/>
          </w:tcPr>
          <w:p>
            <w:pPr>
              <w:pStyle w:val="TableParagraph"/>
              <w:spacing w:before="90"/>
              <w:ind w:left="108"/>
              <w:rPr>
                <w:sz w:val="21"/>
              </w:rPr>
            </w:pPr>
            <w:r>
              <w:rPr>
                <w:sz w:val="21"/>
              </w:rPr>
              <w:t>易方达基金管理有限公司关于易方达 50 指数证券投资基金 C 类基金份额增加</w:t>
            </w:r>
          </w:p>
          <w:p>
            <w:pPr>
              <w:pStyle w:val="TableParagraph"/>
              <w:spacing w:before="178"/>
              <w:ind w:left="108"/>
              <w:rPr>
                <w:sz w:val="21"/>
              </w:rPr>
            </w:pPr>
            <w:r>
              <w:rPr>
                <w:sz w:val="21"/>
              </w:rPr>
              <w:t>大同证券为销售机构的公告</w:t>
            </w:r>
          </w:p>
        </w:tc>
        <w:tc>
          <w:tcPr>
            <w:tcW w:w="1460" w:type="dxa"/>
          </w:tcPr>
          <w:p>
            <w:pPr>
              <w:pStyle w:val="TableParagraph"/>
              <w:spacing w:before="3"/>
              <w:rPr>
                <w:rFonts w:ascii="Times New Roman"/>
                <w:sz w:val="27"/>
              </w:rPr>
            </w:pPr>
          </w:p>
          <w:p>
            <w:pPr>
              <w:pStyle w:val="TableParagraph"/>
              <w:ind w:left="165"/>
              <w:rPr>
                <w:sz w:val="21"/>
              </w:rPr>
            </w:pPr>
            <w:r>
              <w:rPr>
                <w:sz w:val="21"/>
              </w:rPr>
              <w:t>2019-07-11</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易方达基金管理有限公司关于旗下部分开放式基金参加安信证券定期定额投资</w:t>
            </w:r>
          </w:p>
          <w:p>
            <w:pPr>
              <w:pStyle w:val="TableParagraph"/>
              <w:spacing w:before="178"/>
              <w:ind w:left="108"/>
              <w:rPr>
                <w:sz w:val="21"/>
              </w:rPr>
            </w:pPr>
            <w:r>
              <w:rPr>
                <w:sz w:val="21"/>
              </w:rPr>
              <w:t>费率优惠活动的公告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2019-07-15</w:t>
            </w:r>
          </w:p>
        </w:tc>
      </w:tr>
    </w:tbl>
    <w:p>
      <w:pPr>
        <w:spacing w:after="0"/>
        <w:rPr>
          <w:sz w:val="21"/>
        </w:rPr>
        <w:sectPr>
          <w:pgSz w:w="11910" w:h="16840"/>
          <w:pgMar w:header="0" w:footer="1172" w:top="1580" w:bottom="1360" w:left="1520" w:right="360"/>
        </w:sectPr>
      </w:pPr>
    </w:p>
    <w:p>
      <w:pPr>
        <w:pStyle w:val="BodyText"/>
        <w:spacing w:before="11"/>
        <w:ind w:left="0"/>
        <w:rPr>
          <w:rFonts w:ascii="Times New Roman"/>
          <w:sz w:val="8"/>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7"/>
        <w:gridCol w:w="1460"/>
      </w:tblGrid>
      <w:tr>
        <w:trPr>
          <w:trHeight w:val="894" w:hRule="atLeast"/>
        </w:trPr>
        <w:tc>
          <w:tcPr>
            <w:tcW w:w="7457" w:type="dxa"/>
          </w:tcPr>
          <w:p>
            <w:pPr>
              <w:pStyle w:val="TableParagraph"/>
              <w:spacing w:before="90"/>
              <w:ind w:left="108"/>
              <w:rPr>
                <w:sz w:val="21"/>
              </w:rPr>
            </w:pPr>
            <w:r>
              <w:rPr>
                <w:sz w:val="21"/>
              </w:rPr>
              <w:t>易方达基金管理有限公司关于旗下部分开放式基金参加红塔证券费率优惠活动</w:t>
            </w:r>
          </w:p>
          <w:p>
            <w:pPr>
              <w:pStyle w:val="TableParagraph"/>
              <w:spacing w:before="178"/>
              <w:ind w:left="108"/>
              <w:rPr>
                <w:sz w:val="21"/>
              </w:rPr>
            </w:pPr>
            <w:r>
              <w:rPr>
                <w:sz w:val="21"/>
              </w:rPr>
              <w:t>的公告</w:t>
            </w:r>
          </w:p>
        </w:tc>
        <w:tc>
          <w:tcPr>
            <w:tcW w:w="1460" w:type="dxa"/>
          </w:tcPr>
          <w:p>
            <w:pPr>
              <w:pStyle w:val="TableParagraph"/>
              <w:spacing w:before="3"/>
              <w:rPr>
                <w:rFonts w:ascii="Times New Roman"/>
                <w:sz w:val="27"/>
              </w:rPr>
            </w:pPr>
          </w:p>
          <w:p>
            <w:pPr>
              <w:pStyle w:val="TableParagraph"/>
              <w:ind w:left="165"/>
              <w:rPr>
                <w:sz w:val="21"/>
              </w:rPr>
            </w:pPr>
            <w:r>
              <w:rPr>
                <w:sz w:val="21"/>
              </w:rPr>
              <w:t>2019-07-15</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易方达基金管理有限公司关于旗下部分开放式基金增加苏宁基金为销售机构、</w:t>
            </w:r>
          </w:p>
          <w:p>
            <w:pPr>
              <w:pStyle w:val="TableParagraph"/>
              <w:spacing w:before="178"/>
              <w:ind w:left="108"/>
              <w:rPr>
                <w:sz w:val="21"/>
              </w:rPr>
            </w:pPr>
            <w:r>
              <w:rPr>
                <w:sz w:val="21"/>
              </w:rPr>
              <w:t>参加苏宁基金费率优惠活动的公告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2019-07-17</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易方达基金管理有限公司关于旗下部分开放式基金增加同花顺为销售机构的公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2019-07-17</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易方达基金管理有限公司关于旗下部分开放式基金增加陆基金为销售机构的公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2019-07-22</w:t>
            </w:r>
          </w:p>
        </w:tc>
      </w:tr>
      <w:tr>
        <w:trPr>
          <w:trHeight w:val="893" w:hRule="atLeast"/>
        </w:trPr>
        <w:tc>
          <w:tcPr>
            <w:tcW w:w="7457" w:type="dxa"/>
          </w:tcPr>
          <w:p>
            <w:pPr>
              <w:pStyle w:val="TableParagraph"/>
              <w:spacing w:before="90"/>
              <w:ind w:left="108"/>
              <w:rPr>
                <w:sz w:val="21"/>
              </w:rPr>
            </w:pPr>
            <w:r>
              <w:rPr>
                <w:sz w:val="21"/>
              </w:rPr>
              <w:t>易方达基金管理有限公司关于旗下部分开放式基金参加光大证券费率优惠活动</w:t>
            </w:r>
          </w:p>
          <w:p>
            <w:pPr>
              <w:pStyle w:val="TableParagraph"/>
              <w:spacing w:before="178"/>
              <w:ind w:left="108"/>
              <w:rPr>
                <w:sz w:val="21"/>
              </w:rPr>
            </w:pPr>
            <w:r>
              <w:rPr>
                <w:sz w:val="21"/>
              </w:rPr>
              <w:t>的公告</w:t>
            </w:r>
          </w:p>
        </w:tc>
        <w:tc>
          <w:tcPr>
            <w:tcW w:w="1460" w:type="dxa"/>
          </w:tcPr>
          <w:p>
            <w:pPr>
              <w:pStyle w:val="TableParagraph"/>
              <w:spacing w:before="3"/>
              <w:rPr>
                <w:rFonts w:ascii="Times New Roman"/>
                <w:sz w:val="27"/>
              </w:rPr>
            </w:pPr>
          </w:p>
          <w:p>
            <w:pPr>
              <w:pStyle w:val="TableParagraph"/>
              <w:ind w:left="165"/>
              <w:rPr>
                <w:sz w:val="21"/>
              </w:rPr>
            </w:pPr>
            <w:r>
              <w:rPr>
                <w:sz w:val="21"/>
              </w:rPr>
              <w:t>2019-08-05</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易方达基金管理有限公司关于旗下部分开放式基金参加海通证券费率优惠活动</w:t>
            </w:r>
          </w:p>
          <w:p>
            <w:pPr>
              <w:pStyle w:val="TableParagraph"/>
              <w:spacing w:before="178"/>
              <w:ind w:left="108"/>
              <w:rPr>
                <w:sz w:val="21"/>
              </w:rPr>
            </w:pPr>
            <w:r>
              <w:rPr>
                <w:sz w:val="21"/>
              </w:rPr>
              <w:t>的公告</w:t>
            </w:r>
          </w:p>
        </w:tc>
        <w:tc>
          <w:tcPr>
            <w:tcW w:w="1460" w:type="dxa"/>
          </w:tcPr>
          <w:p>
            <w:pPr>
              <w:pStyle w:val="TableParagraph"/>
              <w:spacing w:before="3"/>
              <w:rPr>
                <w:rFonts w:ascii="Times New Roman"/>
                <w:sz w:val="27"/>
              </w:rPr>
            </w:pPr>
          </w:p>
          <w:p>
            <w:pPr>
              <w:pStyle w:val="TableParagraph"/>
              <w:ind w:left="165"/>
              <w:rPr>
                <w:sz w:val="21"/>
              </w:rPr>
            </w:pPr>
            <w:r>
              <w:rPr>
                <w:sz w:val="21"/>
              </w:rPr>
              <w:t>2019-08-12</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易方达基金管理有限公司关于旗下部分开放式基金参加销售机构申购费率优惠</w:t>
            </w:r>
          </w:p>
          <w:p>
            <w:pPr>
              <w:pStyle w:val="TableParagraph"/>
              <w:spacing w:before="178"/>
              <w:ind w:left="108"/>
              <w:rPr>
                <w:sz w:val="21"/>
              </w:rPr>
            </w:pPr>
            <w:r>
              <w:rPr>
                <w:sz w:val="21"/>
              </w:rPr>
              <w:t>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2019-08-13</w:t>
            </w:r>
          </w:p>
        </w:tc>
      </w:tr>
      <w:tr>
        <w:trPr>
          <w:trHeight w:val="894" w:hRule="atLeast"/>
        </w:trPr>
        <w:tc>
          <w:tcPr>
            <w:tcW w:w="7457" w:type="dxa"/>
          </w:tcPr>
          <w:p>
            <w:pPr>
              <w:pStyle w:val="TableParagraph"/>
              <w:spacing w:before="90"/>
              <w:ind w:left="108"/>
              <w:rPr>
                <w:sz w:val="21"/>
              </w:rPr>
            </w:pPr>
            <w:r>
              <w:rPr>
                <w:sz w:val="21"/>
              </w:rPr>
              <w:t>易方达基金管理有限公司关于暂停北京中期时代基金销售有限公司办理旗下基</w:t>
            </w:r>
          </w:p>
          <w:p>
            <w:pPr>
              <w:pStyle w:val="TableParagraph"/>
              <w:spacing w:before="178"/>
              <w:ind w:left="108"/>
              <w:rPr>
                <w:sz w:val="21"/>
              </w:rPr>
            </w:pPr>
            <w:r>
              <w:rPr>
                <w:sz w:val="21"/>
              </w:rPr>
              <w:t>金相关销售业务的公告</w:t>
            </w:r>
          </w:p>
        </w:tc>
        <w:tc>
          <w:tcPr>
            <w:tcW w:w="1460" w:type="dxa"/>
          </w:tcPr>
          <w:p>
            <w:pPr>
              <w:pStyle w:val="TableParagraph"/>
              <w:spacing w:before="3"/>
              <w:rPr>
                <w:rFonts w:ascii="Times New Roman"/>
                <w:sz w:val="27"/>
              </w:rPr>
            </w:pPr>
          </w:p>
          <w:p>
            <w:pPr>
              <w:pStyle w:val="TableParagraph"/>
              <w:ind w:left="165"/>
              <w:rPr>
                <w:sz w:val="21"/>
              </w:rPr>
            </w:pPr>
            <w:r>
              <w:rPr>
                <w:sz w:val="21"/>
              </w:rPr>
              <w:t>2019-08-13</w:t>
            </w:r>
          </w:p>
        </w:tc>
      </w:tr>
      <w:tr>
        <w:trPr>
          <w:trHeight w:val="894" w:hRule="atLeast"/>
        </w:trPr>
        <w:tc>
          <w:tcPr>
            <w:tcW w:w="7457" w:type="dxa"/>
          </w:tcPr>
          <w:p>
            <w:pPr>
              <w:pStyle w:val="TableParagraph"/>
              <w:spacing w:before="90"/>
              <w:ind w:left="108"/>
              <w:rPr>
                <w:sz w:val="21"/>
              </w:rPr>
            </w:pPr>
            <w:r>
              <w:rPr>
                <w:sz w:val="21"/>
              </w:rPr>
              <w:t>易方达基金管理有限公司关于暂停北京加和基金销售有限公司办理旗下基金相</w:t>
            </w:r>
          </w:p>
          <w:p>
            <w:pPr>
              <w:pStyle w:val="TableParagraph"/>
              <w:spacing w:before="178"/>
              <w:ind w:left="108"/>
              <w:rPr>
                <w:sz w:val="21"/>
              </w:rPr>
            </w:pPr>
            <w:r>
              <w:rPr>
                <w:sz w:val="21"/>
              </w:rPr>
              <w:t>关销售业务的公告</w:t>
            </w:r>
          </w:p>
        </w:tc>
        <w:tc>
          <w:tcPr>
            <w:tcW w:w="1460" w:type="dxa"/>
          </w:tcPr>
          <w:p>
            <w:pPr>
              <w:pStyle w:val="TableParagraph"/>
              <w:spacing w:before="3"/>
              <w:rPr>
                <w:rFonts w:ascii="Times New Roman"/>
                <w:sz w:val="27"/>
              </w:rPr>
            </w:pPr>
          </w:p>
          <w:p>
            <w:pPr>
              <w:pStyle w:val="TableParagraph"/>
              <w:ind w:left="165"/>
              <w:rPr>
                <w:sz w:val="21"/>
              </w:rPr>
            </w:pPr>
            <w:r>
              <w:rPr>
                <w:sz w:val="21"/>
              </w:rPr>
              <w:t>2019-08-14</w:t>
            </w:r>
          </w:p>
        </w:tc>
      </w:tr>
      <w:tr>
        <w:trPr>
          <w:trHeight w:val="894" w:hRule="atLeast"/>
        </w:trPr>
        <w:tc>
          <w:tcPr>
            <w:tcW w:w="7457" w:type="dxa"/>
          </w:tcPr>
          <w:p>
            <w:pPr>
              <w:pStyle w:val="TableParagraph"/>
              <w:spacing w:before="90"/>
              <w:ind w:left="108"/>
              <w:rPr>
                <w:sz w:val="21"/>
              </w:rPr>
            </w:pPr>
            <w:r>
              <w:rPr>
                <w:sz w:val="21"/>
              </w:rPr>
              <w:t>易方达基金管理有限公司关于暂停上海凯石财富基金销售有限公司办理旗下基</w:t>
            </w:r>
          </w:p>
          <w:p>
            <w:pPr>
              <w:pStyle w:val="TableParagraph"/>
              <w:spacing w:before="178"/>
              <w:ind w:left="108"/>
              <w:rPr>
                <w:sz w:val="21"/>
              </w:rPr>
            </w:pPr>
            <w:r>
              <w:rPr>
                <w:sz w:val="21"/>
              </w:rPr>
              <w:t>金相关销售业务的公告</w:t>
            </w:r>
          </w:p>
        </w:tc>
        <w:tc>
          <w:tcPr>
            <w:tcW w:w="1460" w:type="dxa"/>
          </w:tcPr>
          <w:p>
            <w:pPr>
              <w:pStyle w:val="TableParagraph"/>
              <w:spacing w:before="3"/>
              <w:rPr>
                <w:rFonts w:ascii="Times New Roman"/>
                <w:sz w:val="27"/>
              </w:rPr>
            </w:pPr>
          </w:p>
          <w:p>
            <w:pPr>
              <w:pStyle w:val="TableParagraph"/>
              <w:ind w:left="165"/>
              <w:rPr>
                <w:sz w:val="21"/>
              </w:rPr>
            </w:pPr>
            <w:r>
              <w:rPr>
                <w:sz w:val="21"/>
              </w:rPr>
              <w:t>2019-08-14</w:t>
            </w:r>
          </w:p>
        </w:tc>
      </w:tr>
      <w:tr>
        <w:trPr>
          <w:trHeight w:val="894" w:hRule="atLeast"/>
        </w:trPr>
        <w:tc>
          <w:tcPr>
            <w:tcW w:w="7457" w:type="dxa"/>
          </w:tcPr>
          <w:p>
            <w:pPr>
              <w:pStyle w:val="TableParagraph"/>
              <w:spacing w:before="90"/>
              <w:ind w:left="108"/>
              <w:rPr>
                <w:sz w:val="21"/>
              </w:rPr>
            </w:pPr>
            <w:r>
              <w:rPr>
                <w:sz w:val="21"/>
              </w:rPr>
              <w:t>易方达基金管理有限公司关于暂停深圳宜投基金销售有限公司办理旗下基金相</w:t>
            </w:r>
          </w:p>
          <w:p>
            <w:pPr>
              <w:pStyle w:val="TableParagraph"/>
              <w:spacing w:before="178"/>
              <w:ind w:left="108"/>
              <w:rPr>
                <w:sz w:val="21"/>
              </w:rPr>
            </w:pPr>
            <w:r>
              <w:rPr>
                <w:sz w:val="21"/>
              </w:rPr>
              <w:t>关销售业务的公告</w:t>
            </w:r>
          </w:p>
        </w:tc>
        <w:tc>
          <w:tcPr>
            <w:tcW w:w="1460" w:type="dxa"/>
          </w:tcPr>
          <w:p>
            <w:pPr>
              <w:pStyle w:val="TableParagraph"/>
              <w:spacing w:before="3"/>
              <w:rPr>
                <w:rFonts w:ascii="Times New Roman"/>
                <w:sz w:val="27"/>
              </w:rPr>
            </w:pPr>
          </w:p>
          <w:p>
            <w:pPr>
              <w:pStyle w:val="TableParagraph"/>
              <w:ind w:left="165"/>
              <w:rPr>
                <w:sz w:val="21"/>
              </w:rPr>
            </w:pPr>
            <w:r>
              <w:rPr>
                <w:sz w:val="21"/>
              </w:rPr>
              <w:t>2019-08-14</w:t>
            </w:r>
          </w:p>
        </w:tc>
      </w:tr>
      <w:tr>
        <w:trPr>
          <w:trHeight w:val="894" w:hRule="atLeast"/>
        </w:trPr>
        <w:tc>
          <w:tcPr>
            <w:tcW w:w="7457" w:type="dxa"/>
          </w:tcPr>
          <w:p>
            <w:pPr>
              <w:pStyle w:val="TableParagraph"/>
              <w:spacing w:before="90"/>
              <w:ind w:left="108"/>
              <w:rPr>
                <w:sz w:val="21"/>
              </w:rPr>
            </w:pPr>
            <w:r>
              <w:rPr>
                <w:sz w:val="21"/>
              </w:rPr>
              <w:t>易方达基金管理有限公司关于暂停厦门市鑫鼎盛控股有限公司办理旗下基金相</w:t>
            </w:r>
          </w:p>
          <w:p>
            <w:pPr>
              <w:pStyle w:val="TableParagraph"/>
              <w:spacing w:before="178"/>
              <w:ind w:left="108"/>
              <w:rPr>
                <w:sz w:val="21"/>
              </w:rPr>
            </w:pPr>
            <w:r>
              <w:rPr>
                <w:sz w:val="21"/>
              </w:rPr>
              <w:t>关销售业务的公告</w:t>
            </w:r>
          </w:p>
        </w:tc>
        <w:tc>
          <w:tcPr>
            <w:tcW w:w="1460" w:type="dxa"/>
          </w:tcPr>
          <w:p>
            <w:pPr>
              <w:pStyle w:val="TableParagraph"/>
              <w:spacing w:before="3"/>
              <w:rPr>
                <w:rFonts w:ascii="Times New Roman"/>
                <w:sz w:val="27"/>
              </w:rPr>
            </w:pPr>
          </w:p>
          <w:p>
            <w:pPr>
              <w:pStyle w:val="TableParagraph"/>
              <w:ind w:left="165"/>
              <w:rPr>
                <w:sz w:val="21"/>
              </w:rPr>
            </w:pPr>
            <w:r>
              <w:rPr>
                <w:sz w:val="21"/>
              </w:rPr>
              <w:t>2019-08-14</w:t>
            </w:r>
          </w:p>
        </w:tc>
      </w:tr>
      <w:tr>
        <w:trPr>
          <w:trHeight w:val="894" w:hRule="atLeast"/>
        </w:trPr>
        <w:tc>
          <w:tcPr>
            <w:tcW w:w="7457" w:type="dxa"/>
          </w:tcPr>
          <w:p>
            <w:pPr>
              <w:pStyle w:val="TableParagraph"/>
              <w:spacing w:before="90"/>
              <w:ind w:left="108"/>
              <w:rPr>
                <w:sz w:val="21"/>
              </w:rPr>
            </w:pPr>
            <w:r>
              <w:rPr>
                <w:sz w:val="21"/>
              </w:rPr>
              <w:t>易方达基金管理有限公司关于易方达 50 指数证券投资基金 C 类基金份额增加</w:t>
            </w:r>
          </w:p>
          <w:p>
            <w:pPr>
              <w:pStyle w:val="TableParagraph"/>
              <w:spacing w:before="178"/>
              <w:ind w:left="108"/>
              <w:rPr>
                <w:sz w:val="21"/>
              </w:rPr>
            </w:pPr>
            <w:r>
              <w:rPr>
                <w:sz w:val="21"/>
              </w:rPr>
              <w:t>华泰证券为销售机构的公告</w:t>
            </w:r>
          </w:p>
        </w:tc>
        <w:tc>
          <w:tcPr>
            <w:tcW w:w="1460" w:type="dxa"/>
          </w:tcPr>
          <w:p>
            <w:pPr>
              <w:pStyle w:val="TableParagraph"/>
              <w:spacing w:before="3"/>
              <w:rPr>
                <w:rFonts w:ascii="Times New Roman"/>
                <w:sz w:val="27"/>
              </w:rPr>
            </w:pPr>
          </w:p>
          <w:p>
            <w:pPr>
              <w:pStyle w:val="TableParagraph"/>
              <w:ind w:left="165"/>
              <w:rPr>
                <w:sz w:val="21"/>
              </w:rPr>
            </w:pPr>
            <w:r>
              <w:rPr>
                <w:sz w:val="21"/>
              </w:rPr>
              <w:t>2019-08-20</w:t>
            </w:r>
          </w:p>
        </w:tc>
      </w:tr>
      <w:tr>
        <w:trPr>
          <w:trHeight w:val="894" w:hRule="atLeast"/>
        </w:trPr>
        <w:tc>
          <w:tcPr>
            <w:tcW w:w="7457" w:type="dxa"/>
          </w:tcPr>
          <w:p>
            <w:pPr>
              <w:pStyle w:val="TableParagraph"/>
              <w:spacing w:before="90"/>
              <w:ind w:left="108"/>
              <w:rPr>
                <w:sz w:val="21"/>
              </w:rPr>
            </w:pPr>
            <w:r>
              <w:rPr>
                <w:sz w:val="21"/>
              </w:rPr>
              <w:t>易方达基金管理有限公司关于旗下部分开放式基金参加潍坊银行费率优惠活动</w:t>
            </w:r>
          </w:p>
          <w:p>
            <w:pPr>
              <w:pStyle w:val="TableParagraph"/>
              <w:spacing w:before="178"/>
              <w:ind w:left="108"/>
              <w:rPr>
                <w:sz w:val="21"/>
              </w:rPr>
            </w:pPr>
            <w:r>
              <w:rPr>
                <w:sz w:val="21"/>
              </w:rPr>
              <w:t>的公告</w:t>
            </w:r>
          </w:p>
        </w:tc>
        <w:tc>
          <w:tcPr>
            <w:tcW w:w="1460" w:type="dxa"/>
          </w:tcPr>
          <w:p>
            <w:pPr>
              <w:pStyle w:val="TableParagraph"/>
              <w:spacing w:before="3"/>
              <w:rPr>
                <w:rFonts w:ascii="Times New Roman"/>
                <w:sz w:val="27"/>
              </w:rPr>
            </w:pPr>
          </w:p>
          <w:p>
            <w:pPr>
              <w:pStyle w:val="TableParagraph"/>
              <w:ind w:left="165"/>
              <w:rPr>
                <w:sz w:val="21"/>
              </w:rPr>
            </w:pPr>
            <w:r>
              <w:rPr>
                <w:sz w:val="21"/>
              </w:rPr>
              <w:t>2019-08-26</w:t>
            </w:r>
          </w:p>
        </w:tc>
      </w:tr>
      <w:tr>
        <w:trPr>
          <w:trHeight w:val="446" w:hRule="atLeast"/>
        </w:trPr>
        <w:tc>
          <w:tcPr>
            <w:tcW w:w="7457" w:type="dxa"/>
          </w:tcPr>
          <w:p>
            <w:pPr>
              <w:pStyle w:val="TableParagraph"/>
              <w:spacing w:before="90"/>
              <w:ind w:left="108"/>
              <w:rPr>
                <w:sz w:val="21"/>
              </w:rPr>
            </w:pPr>
            <w:r>
              <w:rPr>
                <w:sz w:val="21"/>
              </w:rPr>
              <w:t>易方达基金管理有限公司旗下部分开放式基金增加微众银行为销售机构、参加</w:t>
            </w:r>
          </w:p>
        </w:tc>
        <w:tc>
          <w:tcPr>
            <w:tcW w:w="1460" w:type="dxa"/>
          </w:tcPr>
          <w:p>
            <w:pPr>
              <w:pStyle w:val="TableParagraph"/>
              <w:spacing w:before="90"/>
              <w:ind w:left="165"/>
              <w:rPr>
                <w:sz w:val="21"/>
              </w:rPr>
            </w:pPr>
            <w:r>
              <w:rPr>
                <w:sz w:val="21"/>
              </w:rPr>
              <w:t>2019-09-11</w:t>
            </w:r>
          </w:p>
        </w:tc>
      </w:tr>
    </w:tbl>
    <w:p>
      <w:pPr>
        <w:spacing w:after="0"/>
        <w:rPr>
          <w:sz w:val="21"/>
        </w:rPr>
        <w:sectPr>
          <w:pgSz w:w="11910" w:h="16840"/>
          <w:pgMar w:header="0" w:footer="1172" w:top="1580" w:bottom="1360" w:left="1520" w:right="360"/>
        </w:sectPr>
      </w:pPr>
    </w:p>
    <w:p>
      <w:pPr>
        <w:pStyle w:val="BodyText"/>
        <w:spacing w:before="11"/>
        <w:ind w:left="0"/>
        <w:rPr>
          <w:rFonts w:ascii="Times New Roman"/>
          <w:sz w:val="8"/>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7"/>
        <w:gridCol w:w="1460"/>
      </w:tblGrid>
      <w:tr>
        <w:trPr>
          <w:trHeight w:val="447" w:hRule="atLeast"/>
        </w:trPr>
        <w:tc>
          <w:tcPr>
            <w:tcW w:w="7457" w:type="dxa"/>
          </w:tcPr>
          <w:p>
            <w:pPr>
              <w:pStyle w:val="TableParagraph"/>
              <w:spacing w:before="90"/>
              <w:ind w:left="108"/>
              <w:rPr>
                <w:sz w:val="21"/>
              </w:rPr>
            </w:pPr>
            <w:r>
              <w:rPr>
                <w:sz w:val="21"/>
              </w:rPr>
              <w:t>微众银行费率优惠活动的公告</w:t>
            </w:r>
          </w:p>
        </w:tc>
        <w:tc>
          <w:tcPr>
            <w:tcW w:w="1460" w:type="dxa"/>
          </w:tcPr>
          <w:p>
            <w:pPr>
              <w:pStyle w:val="TableParagraph"/>
              <w:rPr>
                <w:rFonts w:ascii="Times New Roman"/>
                <w:sz w:val="20"/>
              </w:rPr>
            </w:pP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易方达基金管理有限公司旗下部分开放式基金参加东莞农村商业银行费率优惠</w:t>
            </w:r>
          </w:p>
          <w:p>
            <w:pPr>
              <w:pStyle w:val="TableParagraph"/>
              <w:spacing w:before="178"/>
              <w:ind w:left="108"/>
              <w:rPr>
                <w:sz w:val="21"/>
              </w:rPr>
            </w:pPr>
            <w:r>
              <w:rPr>
                <w:sz w:val="21"/>
              </w:rPr>
              <w:t>活动的公告</w:t>
            </w:r>
          </w:p>
        </w:tc>
        <w:tc>
          <w:tcPr>
            <w:tcW w:w="1460" w:type="dxa"/>
          </w:tcPr>
          <w:p>
            <w:pPr>
              <w:pStyle w:val="TableParagraph"/>
              <w:spacing w:before="90"/>
              <w:ind w:left="165"/>
              <w:rPr>
                <w:sz w:val="21"/>
              </w:rPr>
            </w:pPr>
            <w:r>
              <w:rPr>
                <w:sz w:val="21"/>
              </w:rPr>
              <w:t>2019-09-17</w:t>
            </w:r>
          </w:p>
        </w:tc>
      </w:tr>
      <w:tr>
        <w:trPr>
          <w:trHeight w:val="446" w:hRule="atLeast"/>
        </w:trPr>
        <w:tc>
          <w:tcPr>
            <w:tcW w:w="7457" w:type="dxa"/>
          </w:tcPr>
          <w:p>
            <w:pPr>
              <w:pStyle w:val="TableParagraph"/>
              <w:spacing w:before="90"/>
              <w:ind w:left="108"/>
              <w:rPr>
                <w:sz w:val="21"/>
              </w:rPr>
            </w:pPr>
            <w:r>
              <w:rPr>
                <w:sz w:val="21"/>
              </w:rPr>
              <w:t>易方达基金管理有限公司旗下基金季度报告提示性公告</w:t>
            </w:r>
          </w:p>
        </w:tc>
        <w:tc>
          <w:tcPr>
            <w:tcW w:w="1460" w:type="dxa"/>
          </w:tcPr>
          <w:p>
            <w:pPr>
              <w:pStyle w:val="TableParagraph"/>
              <w:spacing w:before="90"/>
              <w:ind w:left="165"/>
              <w:rPr>
                <w:sz w:val="21"/>
              </w:rPr>
            </w:pPr>
            <w:r>
              <w:rPr>
                <w:sz w:val="21"/>
              </w:rPr>
              <w:t>2019-10-24</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易方达基金管理有限公司旗下部分开放式基金参加恒泰证券费率优惠活动的公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2019-11-01</w:t>
            </w:r>
          </w:p>
        </w:tc>
      </w:tr>
      <w:tr>
        <w:trPr>
          <w:trHeight w:val="893" w:hRule="atLeast"/>
        </w:trPr>
        <w:tc>
          <w:tcPr>
            <w:tcW w:w="7457" w:type="dxa"/>
          </w:tcPr>
          <w:p>
            <w:pPr>
              <w:pStyle w:val="TableParagraph"/>
              <w:spacing w:before="90"/>
              <w:ind w:left="108"/>
              <w:rPr>
                <w:sz w:val="21"/>
              </w:rPr>
            </w:pPr>
            <w:r>
              <w:rPr>
                <w:sz w:val="21"/>
              </w:rPr>
              <w:t>易方达基金管理有限公司旗下部分开放式基金参加方正证券费率优惠活动的公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2019-11-08</w:t>
            </w:r>
          </w:p>
        </w:tc>
      </w:tr>
      <w:tr>
        <w:trPr>
          <w:trHeight w:val="893" w:hRule="atLeast"/>
        </w:trPr>
        <w:tc>
          <w:tcPr>
            <w:tcW w:w="7457" w:type="dxa"/>
          </w:tcPr>
          <w:p>
            <w:pPr>
              <w:pStyle w:val="TableParagraph"/>
              <w:spacing w:before="90"/>
              <w:ind w:left="108"/>
              <w:rPr>
                <w:sz w:val="21"/>
              </w:rPr>
            </w:pPr>
            <w:r>
              <w:rPr>
                <w:sz w:val="21"/>
              </w:rPr>
              <w:t>易方达基金管理有限公司旗下部分开放式基金增加中信建投证券为销售机构的</w:t>
            </w:r>
          </w:p>
          <w:p>
            <w:pPr>
              <w:pStyle w:val="TableParagraph"/>
              <w:spacing w:before="178"/>
              <w:ind w:left="108"/>
              <w:rPr>
                <w:sz w:val="21"/>
              </w:rPr>
            </w:pPr>
            <w:r>
              <w:rPr>
                <w:sz w:val="21"/>
              </w:rPr>
              <w:t>公告</w:t>
            </w:r>
          </w:p>
        </w:tc>
        <w:tc>
          <w:tcPr>
            <w:tcW w:w="1460" w:type="dxa"/>
          </w:tcPr>
          <w:p>
            <w:pPr>
              <w:pStyle w:val="TableParagraph"/>
              <w:spacing w:before="3"/>
              <w:rPr>
                <w:rFonts w:ascii="Times New Roman"/>
                <w:sz w:val="27"/>
              </w:rPr>
            </w:pPr>
          </w:p>
          <w:p>
            <w:pPr>
              <w:pStyle w:val="TableParagraph"/>
              <w:ind w:left="165"/>
              <w:rPr>
                <w:sz w:val="21"/>
              </w:rPr>
            </w:pPr>
            <w:r>
              <w:rPr>
                <w:sz w:val="21"/>
              </w:rPr>
              <w:t>2019-11-18</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易方达基金管理有限公司旗下部分开放式基金参加恒泰证券费率优惠活动的公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2019-12-10</w:t>
            </w:r>
          </w:p>
        </w:tc>
      </w:tr>
      <w:tr>
        <w:trPr>
          <w:trHeight w:val="447" w:hRule="atLeast"/>
        </w:trPr>
        <w:tc>
          <w:tcPr>
            <w:tcW w:w="7457" w:type="dxa"/>
          </w:tcPr>
          <w:p>
            <w:pPr>
              <w:pStyle w:val="TableParagraph"/>
              <w:spacing w:before="90"/>
              <w:ind w:left="108"/>
              <w:rPr>
                <w:sz w:val="21"/>
              </w:rPr>
            </w:pPr>
            <w:r>
              <w:rPr>
                <w:sz w:val="21"/>
              </w:rPr>
              <w:t>易方达基金管理有限公司旗下部分开放式基金增加中邮证券为销售机构的公告</w:t>
            </w:r>
          </w:p>
        </w:tc>
        <w:tc>
          <w:tcPr>
            <w:tcW w:w="1460" w:type="dxa"/>
          </w:tcPr>
          <w:p>
            <w:pPr>
              <w:pStyle w:val="TableParagraph"/>
              <w:spacing w:before="90"/>
              <w:ind w:left="165"/>
              <w:rPr>
                <w:sz w:val="21"/>
              </w:rPr>
            </w:pPr>
            <w:r>
              <w:rPr>
                <w:sz w:val="21"/>
              </w:rPr>
              <w:t>2019-12-13</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易方达基金管理有限公司旗下部分开放式基金参加中信银行费率优惠活动的公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2019-12-16</w:t>
            </w:r>
          </w:p>
        </w:tc>
      </w:tr>
      <w:tr>
        <w:trPr>
          <w:trHeight w:val="894" w:hRule="atLeast"/>
        </w:trPr>
        <w:tc>
          <w:tcPr>
            <w:tcW w:w="7457" w:type="dxa"/>
          </w:tcPr>
          <w:p>
            <w:pPr>
              <w:pStyle w:val="TableParagraph"/>
              <w:spacing w:before="90"/>
              <w:ind w:left="108"/>
              <w:rPr>
                <w:sz w:val="21"/>
              </w:rPr>
            </w:pPr>
            <w:r>
              <w:rPr>
                <w:sz w:val="21"/>
              </w:rPr>
              <w:t>易方达 50 指数证券投资基金暂停机构客户申购、转换转入及定期定额投资业</w:t>
            </w:r>
          </w:p>
          <w:p>
            <w:pPr>
              <w:pStyle w:val="TableParagraph"/>
              <w:spacing w:before="178"/>
              <w:ind w:left="108"/>
              <w:rPr>
                <w:sz w:val="21"/>
              </w:rPr>
            </w:pPr>
            <w:r>
              <w:rPr>
                <w:sz w:val="21"/>
              </w:rPr>
              <w:t>务的公告</w:t>
            </w:r>
          </w:p>
        </w:tc>
        <w:tc>
          <w:tcPr>
            <w:tcW w:w="1460" w:type="dxa"/>
          </w:tcPr>
          <w:p>
            <w:pPr>
              <w:pStyle w:val="TableParagraph"/>
              <w:spacing w:before="3"/>
              <w:rPr>
                <w:rFonts w:ascii="Times New Roman"/>
                <w:sz w:val="27"/>
              </w:rPr>
            </w:pPr>
          </w:p>
          <w:p>
            <w:pPr>
              <w:pStyle w:val="TableParagraph"/>
              <w:ind w:left="165"/>
              <w:rPr>
                <w:sz w:val="21"/>
              </w:rPr>
            </w:pPr>
            <w:r>
              <w:rPr>
                <w:sz w:val="21"/>
              </w:rPr>
              <w:t>2019-12-19</w:t>
            </w:r>
          </w:p>
        </w:tc>
      </w:tr>
      <w:tr>
        <w:trPr>
          <w:trHeight w:val="447" w:hRule="atLeast"/>
        </w:trPr>
        <w:tc>
          <w:tcPr>
            <w:tcW w:w="7457" w:type="dxa"/>
          </w:tcPr>
          <w:p>
            <w:pPr>
              <w:pStyle w:val="TableParagraph"/>
              <w:spacing w:before="90"/>
              <w:ind w:left="108"/>
              <w:rPr>
                <w:sz w:val="21"/>
              </w:rPr>
            </w:pPr>
            <w:r>
              <w:rPr>
                <w:sz w:val="21"/>
              </w:rPr>
              <w:t>易方达 50 指数证券投资基金分红公告</w:t>
            </w:r>
          </w:p>
        </w:tc>
        <w:tc>
          <w:tcPr>
            <w:tcW w:w="1460" w:type="dxa"/>
          </w:tcPr>
          <w:p>
            <w:pPr>
              <w:pStyle w:val="TableParagraph"/>
              <w:spacing w:before="90"/>
              <w:ind w:left="165"/>
              <w:rPr>
                <w:sz w:val="21"/>
              </w:rPr>
            </w:pPr>
            <w:r>
              <w:rPr>
                <w:sz w:val="21"/>
              </w:rPr>
              <w:t>2019-12-24</w:t>
            </w:r>
          </w:p>
        </w:tc>
      </w:tr>
      <w:tr>
        <w:trPr>
          <w:trHeight w:val="894" w:hRule="atLeast"/>
        </w:trPr>
        <w:tc>
          <w:tcPr>
            <w:tcW w:w="7457" w:type="dxa"/>
          </w:tcPr>
          <w:p>
            <w:pPr>
              <w:pStyle w:val="TableParagraph"/>
              <w:spacing w:before="90"/>
              <w:ind w:left="108"/>
              <w:rPr>
                <w:sz w:val="21"/>
              </w:rPr>
            </w:pPr>
            <w:r>
              <w:rPr>
                <w:sz w:val="21"/>
              </w:rPr>
              <w:t>易方达 50 指数证券投资基金恢复机构客户申购、转换转入及定期定额投资业</w:t>
            </w:r>
          </w:p>
          <w:p>
            <w:pPr>
              <w:pStyle w:val="TableParagraph"/>
              <w:spacing w:before="178"/>
              <w:ind w:left="108"/>
              <w:rPr>
                <w:sz w:val="21"/>
              </w:rPr>
            </w:pPr>
            <w:r>
              <w:rPr>
                <w:sz w:val="21"/>
              </w:rPr>
              <w:t>务的公告</w:t>
            </w:r>
          </w:p>
        </w:tc>
        <w:tc>
          <w:tcPr>
            <w:tcW w:w="1460" w:type="dxa"/>
          </w:tcPr>
          <w:p>
            <w:pPr>
              <w:pStyle w:val="TableParagraph"/>
              <w:spacing w:before="3"/>
              <w:rPr>
                <w:rFonts w:ascii="Times New Roman"/>
                <w:sz w:val="27"/>
              </w:rPr>
            </w:pPr>
          </w:p>
          <w:p>
            <w:pPr>
              <w:pStyle w:val="TableParagraph"/>
              <w:ind w:left="165"/>
              <w:rPr>
                <w:sz w:val="21"/>
              </w:rPr>
            </w:pPr>
            <w:r>
              <w:rPr>
                <w:sz w:val="21"/>
              </w:rPr>
              <w:t>2019-12-24</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易方达基金管理有限公司旗下部分开放式基金参加中国邮政储蓄银行个人网上</w:t>
            </w:r>
          </w:p>
          <w:p>
            <w:pPr>
              <w:pStyle w:val="TableParagraph"/>
              <w:spacing w:before="178"/>
              <w:ind w:left="108"/>
              <w:rPr>
                <w:sz w:val="21"/>
              </w:rPr>
            </w:pPr>
            <w:r>
              <w:rPr>
                <w:sz w:val="21"/>
              </w:rPr>
              <w:t>银行和手机银行申购费率优惠活动的公告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2019-12-30</w:t>
            </w:r>
          </w:p>
        </w:tc>
      </w:tr>
      <w:tr>
        <w:trPr>
          <w:trHeight w:val="446" w:hRule="atLeast"/>
        </w:trPr>
        <w:tc>
          <w:tcPr>
            <w:tcW w:w="7457" w:type="dxa"/>
          </w:tcPr>
          <w:p>
            <w:pPr>
              <w:pStyle w:val="TableParagraph"/>
              <w:spacing w:before="90"/>
              <w:ind w:left="108"/>
              <w:rPr>
                <w:sz w:val="21"/>
              </w:rPr>
            </w:pPr>
            <w:r>
              <w:rPr>
                <w:sz w:val="21"/>
              </w:rPr>
              <w:t>易方达基金管理有限公司关于公司股权变更的公告</w:t>
            </w:r>
          </w:p>
        </w:tc>
        <w:tc>
          <w:tcPr>
            <w:tcW w:w="1460" w:type="dxa"/>
          </w:tcPr>
          <w:p>
            <w:pPr>
              <w:pStyle w:val="TableParagraph"/>
              <w:spacing w:before="90"/>
              <w:ind w:left="165"/>
              <w:rPr>
                <w:sz w:val="21"/>
              </w:rPr>
            </w:pPr>
            <w:r>
              <w:rPr>
                <w:sz w:val="21"/>
              </w:rPr>
              <w:t>2019-12-31</w:t>
            </w:r>
          </w:p>
        </w:tc>
      </w:tr>
      <w:tr>
        <w:trPr>
          <w:trHeight w:val="894" w:hRule="atLeast"/>
        </w:trPr>
        <w:tc>
          <w:tcPr>
            <w:tcW w:w="7457" w:type="dxa"/>
          </w:tcPr>
          <w:p>
            <w:pPr>
              <w:pStyle w:val="TableParagraph"/>
              <w:spacing w:before="90"/>
              <w:ind w:left="108"/>
              <w:rPr>
                <w:sz w:val="21"/>
              </w:rPr>
            </w:pPr>
            <w:r>
              <w:rPr>
                <w:sz w:val="21"/>
              </w:rPr>
              <w:t>易方达基金管理有限公司关于易方达 50 指数证券投资基金根据《公开募集证</w:t>
            </w:r>
          </w:p>
          <w:p>
            <w:pPr>
              <w:pStyle w:val="TableParagraph"/>
              <w:spacing w:before="178"/>
              <w:ind w:left="108"/>
              <w:rPr>
                <w:sz w:val="21"/>
              </w:rPr>
            </w:pPr>
            <w:r>
              <w:rPr>
                <w:sz w:val="21"/>
              </w:rPr>
              <w:t>券投资基金信息披露管理办法》修订基金合同、托管协议部分条款的公告</w:t>
            </w:r>
          </w:p>
        </w:tc>
        <w:tc>
          <w:tcPr>
            <w:tcW w:w="1460" w:type="dxa"/>
          </w:tcPr>
          <w:p>
            <w:pPr>
              <w:pStyle w:val="TableParagraph"/>
              <w:spacing w:before="3"/>
              <w:rPr>
                <w:rFonts w:ascii="Times New Roman"/>
                <w:sz w:val="27"/>
              </w:rPr>
            </w:pPr>
          </w:p>
          <w:p>
            <w:pPr>
              <w:pStyle w:val="TableParagraph"/>
              <w:ind w:left="165"/>
              <w:rPr>
                <w:sz w:val="21"/>
              </w:rPr>
            </w:pPr>
            <w:r>
              <w:rPr>
                <w:sz w:val="21"/>
              </w:rPr>
              <w:t>2019-12-31</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易方达基金管理有限公司旗下部分开放式基金参加交通银行手机银行费率优惠</w:t>
            </w:r>
          </w:p>
          <w:p>
            <w:pPr>
              <w:pStyle w:val="TableParagraph"/>
              <w:spacing w:before="178"/>
              <w:ind w:left="108"/>
              <w:rPr>
                <w:sz w:val="21"/>
              </w:rPr>
            </w:pPr>
            <w:r>
              <w:rPr>
                <w:sz w:val="21"/>
              </w:rPr>
              <w:t>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2019-12-31</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易方达基金管理有限公司旗下部分开放式基金参加昆仑银行费率优惠活动的公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2019-12-31</w:t>
            </w:r>
          </w:p>
        </w:tc>
      </w:tr>
    </w:tbl>
    <w:p>
      <w:pPr>
        <w:spacing w:after="0"/>
        <w:rPr>
          <w:sz w:val="21"/>
        </w:rPr>
        <w:sectPr>
          <w:pgSz w:w="11910" w:h="16840"/>
          <w:pgMar w:header="0" w:footer="1172" w:top="1580" w:bottom="1360" w:left="1520" w:right="360"/>
        </w:sectPr>
      </w:pPr>
    </w:p>
    <w:p>
      <w:pPr>
        <w:pStyle w:val="BodyText"/>
        <w:spacing w:before="11"/>
        <w:ind w:left="0"/>
        <w:rPr>
          <w:rFonts w:ascii="Times New Roman"/>
          <w:sz w:val="8"/>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7"/>
        <w:gridCol w:w="1460"/>
      </w:tblGrid>
      <w:tr>
        <w:trPr>
          <w:trHeight w:val="894" w:hRule="atLeast"/>
        </w:trPr>
        <w:tc>
          <w:tcPr>
            <w:tcW w:w="7457" w:type="dxa"/>
          </w:tcPr>
          <w:p>
            <w:pPr>
              <w:pStyle w:val="TableParagraph"/>
              <w:spacing w:before="90"/>
              <w:ind w:left="108"/>
              <w:rPr>
                <w:sz w:val="21"/>
              </w:rPr>
            </w:pPr>
            <w:r>
              <w:rPr>
                <w:sz w:val="21"/>
              </w:rPr>
              <w:t>易方达基金管理有限公司旗下部分开放式基金参加苏州银行费率优惠活动的公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2019-12-31</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易方达基金管理有限公司旗下部分开放式基金参加烟台银行定期定额投资费率</w:t>
            </w:r>
          </w:p>
          <w:p>
            <w:pPr>
              <w:pStyle w:val="TableParagraph"/>
              <w:spacing w:before="178"/>
              <w:ind w:left="108"/>
              <w:rPr>
                <w:sz w:val="21"/>
              </w:rPr>
            </w:pPr>
            <w:r>
              <w:rPr>
                <w:sz w:val="21"/>
              </w:rPr>
              <w:t>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2019-12-31</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易方达基金管理有限公司旗下部分开放式基金参加中国工商银行“2020 倾心回</w:t>
            </w:r>
          </w:p>
          <w:p>
            <w:pPr>
              <w:pStyle w:val="TableParagraph"/>
              <w:spacing w:before="178"/>
              <w:ind w:left="108"/>
              <w:rPr>
                <w:sz w:val="21"/>
              </w:rPr>
            </w:pPr>
            <w:r>
              <w:rPr>
                <w:sz w:val="21"/>
              </w:rPr>
              <w:t>馈”基金定期定额投资费率优惠活动的公告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2019-12-31</w:t>
            </w:r>
          </w:p>
        </w:tc>
      </w:tr>
      <w:tr>
        <w:trPr>
          <w:trHeight w:val="893" w:hRule="atLeast"/>
        </w:trPr>
        <w:tc>
          <w:tcPr>
            <w:tcW w:w="7457" w:type="dxa"/>
          </w:tcPr>
          <w:p>
            <w:pPr>
              <w:pStyle w:val="TableParagraph"/>
              <w:spacing w:before="90"/>
              <w:ind w:left="108"/>
              <w:rPr>
                <w:sz w:val="21"/>
              </w:rPr>
            </w:pPr>
            <w:r>
              <w:rPr>
                <w:sz w:val="21"/>
              </w:rPr>
              <w:t>易方达基金管理有限公司旗下部分开放式基金参加中国工商银行个人电子银行</w:t>
            </w:r>
          </w:p>
          <w:p>
            <w:pPr>
              <w:pStyle w:val="TableParagraph"/>
              <w:spacing w:before="178"/>
              <w:ind w:left="108"/>
              <w:rPr>
                <w:sz w:val="21"/>
              </w:rPr>
            </w:pPr>
            <w:r>
              <w:rPr>
                <w:sz w:val="21"/>
              </w:rPr>
              <w:t>渠道申购费率优惠活动的公告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2019-12-31</w:t>
            </w:r>
          </w:p>
        </w:tc>
      </w:tr>
      <w:tr>
        <w:trPr>
          <w:trHeight w:val="893" w:hRule="atLeast"/>
        </w:trPr>
        <w:tc>
          <w:tcPr>
            <w:tcW w:w="7457" w:type="dxa"/>
          </w:tcPr>
          <w:p>
            <w:pPr>
              <w:pStyle w:val="TableParagraph"/>
              <w:spacing w:before="90"/>
              <w:ind w:left="108"/>
              <w:rPr>
                <w:sz w:val="21"/>
              </w:rPr>
            </w:pPr>
            <w:r>
              <w:rPr>
                <w:sz w:val="21"/>
              </w:rPr>
              <w:t>易方达基金管理有限公司旗下部分开放式基金参加中国农业银行费率优惠活动</w:t>
            </w:r>
          </w:p>
          <w:p>
            <w:pPr>
              <w:pStyle w:val="TableParagraph"/>
              <w:spacing w:before="178"/>
              <w:ind w:left="108"/>
              <w:rPr>
                <w:sz w:val="21"/>
              </w:rPr>
            </w:pPr>
            <w:r>
              <w:rPr>
                <w:sz w:val="21"/>
              </w:rPr>
              <w:t>的公告</w:t>
            </w:r>
          </w:p>
        </w:tc>
        <w:tc>
          <w:tcPr>
            <w:tcW w:w="1460" w:type="dxa"/>
          </w:tcPr>
          <w:p>
            <w:pPr>
              <w:pStyle w:val="TableParagraph"/>
              <w:spacing w:before="3"/>
              <w:rPr>
                <w:rFonts w:ascii="Times New Roman"/>
                <w:sz w:val="27"/>
              </w:rPr>
            </w:pPr>
          </w:p>
          <w:p>
            <w:pPr>
              <w:pStyle w:val="TableParagraph"/>
              <w:ind w:left="165"/>
              <w:rPr>
                <w:sz w:val="21"/>
              </w:rPr>
            </w:pPr>
            <w:r>
              <w:rPr>
                <w:sz w:val="21"/>
              </w:rPr>
              <w:t>2020-01-06</w:t>
            </w:r>
          </w:p>
        </w:tc>
      </w:tr>
      <w:tr>
        <w:trPr>
          <w:trHeight w:val="447" w:hRule="atLeast"/>
        </w:trPr>
        <w:tc>
          <w:tcPr>
            <w:tcW w:w="7457" w:type="dxa"/>
          </w:tcPr>
          <w:p>
            <w:pPr>
              <w:pStyle w:val="TableParagraph"/>
              <w:spacing w:before="90"/>
              <w:ind w:left="108"/>
              <w:rPr>
                <w:sz w:val="21"/>
              </w:rPr>
            </w:pPr>
            <w:r>
              <w:rPr>
                <w:sz w:val="21"/>
              </w:rPr>
              <w:t>易方达基金管理有限公司旗下基金2019年第4季度报告提示性公告</w:t>
            </w:r>
          </w:p>
        </w:tc>
        <w:tc>
          <w:tcPr>
            <w:tcW w:w="1460" w:type="dxa"/>
          </w:tcPr>
          <w:p>
            <w:pPr>
              <w:pStyle w:val="TableParagraph"/>
              <w:spacing w:before="90"/>
              <w:ind w:left="165"/>
              <w:rPr>
                <w:sz w:val="21"/>
              </w:rPr>
            </w:pPr>
            <w:r>
              <w:rPr>
                <w:sz w:val="21"/>
              </w:rPr>
              <w:t>2020-01-18</w:t>
            </w:r>
          </w:p>
        </w:tc>
      </w:tr>
      <w:tr>
        <w:trPr>
          <w:trHeight w:val="447" w:hRule="atLeast"/>
        </w:trPr>
        <w:tc>
          <w:tcPr>
            <w:tcW w:w="7457" w:type="dxa"/>
          </w:tcPr>
          <w:p>
            <w:pPr>
              <w:pStyle w:val="TableParagraph"/>
              <w:spacing w:before="90"/>
              <w:ind w:left="108"/>
              <w:rPr>
                <w:sz w:val="21"/>
              </w:rPr>
            </w:pPr>
            <w:r>
              <w:rPr>
                <w:sz w:val="21"/>
              </w:rPr>
              <w:t>易方达基金管理有限公司旗下部分开放式基金增加华金证券为销售机构的公告</w:t>
            </w:r>
          </w:p>
        </w:tc>
        <w:tc>
          <w:tcPr>
            <w:tcW w:w="1460" w:type="dxa"/>
          </w:tcPr>
          <w:p>
            <w:pPr>
              <w:pStyle w:val="TableParagraph"/>
              <w:spacing w:before="90"/>
              <w:ind w:left="165"/>
              <w:rPr>
                <w:sz w:val="21"/>
              </w:rPr>
            </w:pPr>
            <w:r>
              <w:rPr>
                <w:sz w:val="21"/>
              </w:rPr>
              <w:t>2020-01-20</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易方达基金管理有限公司旗下部分开放式基金参加泉州银行费率优惠活动的公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2020-01-23</w:t>
            </w:r>
          </w:p>
        </w:tc>
      </w:tr>
      <w:tr>
        <w:trPr>
          <w:trHeight w:val="894" w:hRule="atLeast"/>
        </w:trPr>
        <w:tc>
          <w:tcPr>
            <w:tcW w:w="7457" w:type="dxa"/>
          </w:tcPr>
          <w:p>
            <w:pPr>
              <w:pStyle w:val="TableParagraph"/>
              <w:spacing w:before="90"/>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日不开放申购、赎回、</w:t>
            </w:r>
          </w:p>
          <w:p>
            <w:pPr>
              <w:pStyle w:val="TableParagraph"/>
              <w:spacing w:before="178"/>
              <w:ind w:left="108"/>
              <w:rPr>
                <w:sz w:val="21"/>
              </w:rPr>
            </w:pPr>
            <w:r>
              <w:rPr>
                <w:sz w:val="21"/>
              </w:rPr>
              <w:t>转换、定期定额投资等业务的提示性公告</w:t>
            </w:r>
          </w:p>
        </w:tc>
        <w:tc>
          <w:tcPr>
            <w:tcW w:w="1460" w:type="dxa"/>
          </w:tcPr>
          <w:p>
            <w:pPr>
              <w:pStyle w:val="TableParagraph"/>
              <w:spacing w:before="3"/>
              <w:rPr>
                <w:rFonts w:ascii="Times New Roman"/>
                <w:sz w:val="27"/>
              </w:rPr>
            </w:pPr>
          </w:p>
          <w:p>
            <w:pPr>
              <w:pStyle w:val="TableParagraph"/>
              <w:ind w:left="165"/>
              <w:rPr>
                <w:sz w:val="21"/>
              </w:rPr>
            </w:pPr>
            <w:r>
              <w:rPr>
                <w:sz w:val="21"/>
              </w:rPr>
              <w:t>2020-01-30</w:t>
            </w:r>
          </w:p>
        </w:tc>
      </w:tr>
      <w:tr>
        <w:trPr>
          <w:trHeight w:val="447" w:hRule="atLeast"/>
        </w:trPr>
        <w:tc>
          <w:tcPr>
            <w:tcW w:w="7457" w:type="dxa"/>
          </w:tcPr>
          <w:p>
            <w:pPr>
              <w:pStyle w:val="TableParagraph"/>
              <w:spacing w:before="90"/>
              <w:ind w:left="108"/>
              <w:rPr>
                <w:sz w:val="21"/>
              </w:rPr>
            </w:pPr>
            <w:r>
              <w:rPr>
                <w:sz w:val="21"/>
              </w:rPr>
              <w:t>易方达基金管理有限公司及全资子公司投资旗下基金相关事宜的公告</w:t>
            </w:r>
          </w:p>
        </w:tc>
        <w:tc>
          <w:tcPr>
            <w:tcW w:w="1460" w:type="dxa"/>
          </w:tcPr>
          <w:p>
            <w:pPr>
              <w:pStyle w:val="TableParagraph"/>
              <w:spacing w:before="90"/>
              <w:ind w:left="165"/>
              <w:rPr>
                <w:sz w:val="21"/>
              </w:rPr>
            </w:pPr>
            <w:r>
              <w:rPr>
                <w:sz w:val="21"/>
              </w:rPr>
              <w:t>2020-02-04</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易方达基金管理有限公司旗下部分开放式基金参加中金公司费率优惠活动的公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2020-03-05</w:t>
            </w:r>
          </w:p>
        </w:tc>
      </w:tr>
      <w:tr>
        <w:trPr>
          <w:trHeight w:val="894" w:hRule="atLeast"/>
        </w:trPr>
        <w:tc>
          <w:tcPr>
            <w:tcW w:w="7457" w:type="dxa"/>
          </w:tcPr>
          <w:p>
            <w:pPr>
              <w:pStyle w:val="TableParagraph"/>
              <w:spacing w:before="90"/>
              <w:ind w:left="108"/>
              <w:rPr>
                <w:sz w:val="21"/>
              </w:rPr>
            </w:pPr>
            <w:r>
              <w:rPr>
                <w:sz w:val="21"/>
              </w:rPr>
              <w:t>易方达基金管理有限公司旗下部分开放式基金参加百度百盈费率优惠活动的公</w:t>
            </w:r>
          </w:p>
          <w:p>
            <w:pPr>
              <w:pStyle w:val="TableParagraph"/>
              <w:spacing w:before="178"/>
              <w:ind w:left="108"/>
              <w:rPr>
                <w:sz w:val="21"/>
              </w:rPr>
            </w:pPr>
            <w:r>
              <w:rPr>
                <w:sz w:val="21"/>
              </w:rPr>
              <w:t>告</w:t>
            </w:r>
          </w:p>
        </w:tc>
        <w:tc>
          <w:tcPr>
            <w:tcW w:w="1460" w:type="dxa"/>
          </w:tcPr>
          <w:p>
            <w:pPr>
              <w:pStyle w:val="TableParagraph"/>
              <w:spacing w:before="3"/>
              <w:rPr>
                <w:rFonts w:ascii="Times New Roman"/>
                <w:sz w:val="27"/>
              </w:rPr>
            </w:pPr>
          </w:p>
          <w:p>
            <w:pPr>
              <w:pStyle w:val="TableParagraph"/>
              <w:ind w:left="165"/>
              <w:rPr>
                <w:sz w:val="21"/>
              </w:rPr>
            </w:pPr>
            <w:r>
              <w:rPr>
                <w:sz w:val="21"/>
              </w:rPr>
              <w:t>2020-03-10</w:t>
            </w:r>
          </w:p>
        </w:tc>
      </w:tr>
      <w:tr>
        <w:trPr>
          <w:trHeight w:val="893" w:hRule="atLeast"/>
        </w:trPr>
        <w:tc>
          <w:tcPr>
            <w:tcW w:w="7457" w:type="dxa"/>
          </w:tcPr>
          <w:p>
            <w:pPr>
              <w:pStyle w:val="TableParagraph"/>
              <w:spacing w:before="90"/>
              <w:ind w:left="108"/>
              <w:rPr>
                <w:sz w:val="21"/>
              </w:rPr>
            </w:pPr>
            <w:r>
              <w:rPr>
                <w:sz w:val="21"/>
              </w:rPr>
              <w:t>易方达基金管理有限公司旗下部分开放式基金增加创金启富为销售机构、参加</w:t>
            </w:r>
          </w:p>
          <w:p>
            <w:pPr>
              <w:pStyle w:val="TableParagraph"/>
              <w:spacing w:before="178"/>
              <w:ind w:left="108"/>
              <w:rPr>
                <w:sz w:val="21"/>
              </w:rPr>
            </w:pPr>
            <w:r>
              <w:rPr>
                <w:sz w:val="21"/>
              </w:rPr>
              <w:t>创金启富费率优惠活动的公告</w:t>
            </w:r>
          </w:p>
        </w:tc>
        <w:tc>
          <w:tcPr>
            <w:tcW w:w="1460" w:type="dxa"/>
          </w:tcPr>
          <w:p>
            <w:pPr>
              <w:pStyle w:val="TableParagraph"/>
              <w:spacing w:before="3"/>
              <w:rPr>
                <w:rFonts w:ascii="Times New Roman"/>
                <w:sz w:val="27"/>
              </w:rPr>
            </w:pPr>
          </w:p>
          <w:p>
            <w:pPr>
              <w:pStyle w:val="TableParagraph"/>
              <w:ind w:left="165"/>
              <w:rPr>
                <w:sz w:val="21"/>
              </w:rPr>
            </w:pPr>
            <w:r>
              <w:rPr>
                <w:sz w:val="21"/>
              </w:rPr>
              <w:t>2020-03-10</w:t>
            </w:r>
          </w:p>
        </w:tc>
      </w:tr>
    </w:tbl>
    <w:p>
      <w:pPr>
        <w:pStyle w:val="BodyText"/>
        <w:spacing w:before="3"/>
        <w:ind w:left="293"/>
      </w:pPr>
      <w:r>
        <w:rPr/>
        <w:t>注：以上公告事项披露在指定媒介及基金管理人网站上。</w:t>
      </w:r>
    </w:p>
    <w:p>
      <w:pPr>
        <w:spacing w:after="0"/>
        <w:sectPr>
          <w:pgSz w:w="11910" w:h="16840"/>
          <w:pgMar w:header="0" w:footer="1172" w:top="1580" w:bottom="1360" w:left="1520" w:right="360"/>
        </w:sectPr>
      </w:pPr>
    </w:p>
    <w:p>
      <w:pPr>
        <w:pStyle w:val="Heading1"/>
        <w:ind w:left="2301"/>
      </w:pPr>
      <w:bookmarkStart w:name="_bookmark100" w:id="101"/>
      <w:bookmarkEnd w:id="101"/>
      <w:r>
        <w:rPr>
          <w:b w:val="0"/>
        </w:rPr>
      </w:r>
      <w:r>
        <w:rPr/>
        <w:t>二十二、招募说明书的存放及查阅方式</w:t>
      </w:r>
    </w:p>
    <w:p>
      <w:pPr>
        <w:pStyle w:val="BodyText"/>
        <w:spacing w:before="9"/>
        <w:ind w:left="0"/>
        <w:rPr>
          <w:rFonts w:ascii="微软雅黑"/>
          <w:b/>
          <w:sz w:val="28"/>
        </w:rPr>
      </w:pPr>
    </w:p>
    <w:p>
      <w:pPr>
        <w:pStyle w:val="BodyText"/>
        <w:spacing w:line="364" w:lineRule="auto"/>
        <w:ind w:left="293" w:right="936" w:firstLine="420"/>
      </w:pPr>
      <w:r>
        <w:rPr/>
        <w:t>本招募说明书存放在基金管理人、基金托管人及基金销售机构处，投资者可在营业时间免费查阅，也可按工本费购买复印件。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1172" w:top="1580" w:bottom="1440" w:left="1520" w:right="360"/>
        </w:sectPr>
      </w:pPr>
    </w:p>
    <w:p>
      <w:pPr>
        <w:pStyle w:val="Heading1"/>
        <w:ind w:right="920"/>
        <w:jc w:val="center"/>
      </w:pPr>
      <w:bookmarkStart w:name="_bookmark101" w:id="102"/>
      <w:bookmarkEnd w:id="102"/>
      <w:r>
        <w:rPr>
          <w:b w:val="0"/>
        </w:rPr>
      </w:r>
      <w:r>
        <w:rPr/>
        <w:t>二十三、备查文件</w:t>
      </w:r>
    </w:p>
    <w:p>
      <w:pPr>
        <w:pStyle w:val="BodyText"/>
        <w:spacing w:before="117"/>
      </w:pPr>
      <w:r>
        <w:rPr/>
        <w:t>1、中国证监会批准易方达 50 指数证券投资基金设立的文件；</w:t>
      </w:r>
    </w:p>
    <w:p>
      <w:pPr>
        <w:pStyle w:val="BodyText"/>
        <w:spacing w:before="139"/>
      </w:pPr>
      <w:r>
        <w:rPr/>
        <w:t>2、《易方达 50 指数证券投资基金基金合同》；</w:t>
      </w:r>
    </w:p>
    <w:p>
      <w:pPr>
        <w:pStyle w:val="BodyText"/>
        <w:spacing w:before="139"/>
      </w:pPr>
      <w:r>
        <w:rPr/>
        <w:t>3、《易方达 50 指数证券投资基金托管协议》</w:t>
      </w:r>
    </w:p>
    <w:p>
      <w:pPr>
        <w:pStyle w:val="BodyText"/>
        <w:spacing w:before="140"/>
      </w:pPr>
      <w:r>
        <w:rPr/>
        <w:t>4、《易方达基金管理有限公司开放式基金业务规则》；</w:t>
      </w:r>
    </w:p>
    <w:p>
      <w:pPr>
        <w:pStyle w:val="BodyText"/>
        <w:spacing w:before="139"/>
      </w:pPr>
      <w:r>
        <w:rPr/>
        <w:t>5、法律意见书；</w:t>
      </w:r>
    </w:p>
    <w:p>
      <w:pPr>
        <w:pStyle w:val="BodyText"/>
        <w:spacing w:before="140"/>
      </w:pPr>
      <w:r>
        <w:rPr/>
        <w:t>6、基金管理人业务资格批件、营业执照；</w:t>
      </w:r>
    </w:p>
    <w:p>
      <w:pPr>
        <w:pStyle w:val="BodyText"/>
        <w:spacing w:line="364" w:lineRule="auto" w:before="139"/>
        <w:ind w:right="5426"/>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760" w:right="920"/>
        <w:jc w:val="center"/>
      </w:pPr>
      <w:r>
        <w:rPr/>
        <w:t>易方达基金管理有限公司</w:t>
      </w:r>
    </w:p>
    <w:p>
      <w:pPr>
        <w:pStyle w:val="BodyText"/>
        <w:spacing w:before="140"/>
        <w:ind w:left="6760" w:right="868"/>
        <w:jc w:val="center"/>
      </w:pPr>
      <w:r>
        <w:rPr/>
        <w:t>2020 年 4 月 29 日</w:t>
      </w:r>
    </w:p>
    <w:sectPr>
      <w:pgSz w:w="11910" w:h="16840"/>
      <w:pgMar w:header="0" w:footer="1172" w:top="1580" w:bottom="1440" w:left="15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0.799988pt;margin-top:768.284607pt;width:17.5pt;height:11pt;mso-position-horizontal-relative:page;mso-position-vertical-relative:page;z-index:-259348480" type="#_x0000_t202" filled="false" stroked="false">
          <v:textbox inset="0,0,0,0">
            <w:txbxContent>
              <w:p>
                <w:pPr>
                  <w:spacing w:line="220" w:lineRule="exact" w:before="0"/>
                  <w:ind w:left="40" w:right="0" w:firstLine="0"/>
                  <w:jc w:val="left"/>
                  <w:rPr>
                    <w:sz w:val="18"/>
                  </w:rPr>
                </w:pPr>
                <w:r>
                  <w:rPr/>
                  <w:fldChar w:fldCharType="begin"/>
                </w:r>
                <w:r>
                  <w:rPr>
                    <w:sz w:val="18"/>
                  </w:rPr>
                  <w:instrText> PAGE  \* ROMAN </w:instrText>
                </w:r>
                <w:r>
                  <w:rPr/>
                  <w:fldChar w:fldCharType="separate"/>
                </w:r>
                <w:r>
                  <w:rPr/>
                  <w:t>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310.799988pt;margin-top:768.284607pt;width:17.5pt;height:11pt;mso-position-horizontal-relative:page;mso-position-vertical-relative:page;z-index:-259347456"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029" w:hanging="535"/>
        <w:jc w:val="left"/>
      </w:pPr>
      <w:rPr>
        <w:rFonts w:hint="default" w:ascii="宋体" w:hAnsi="宋体" w:eastAsia="宋体" w:cs="宋体"/>
        <w:w w:val="100"/>
        <w:sz w:val="19"/>
        <w:szCs w:val="19"/>
        <w:lang w:val="zh-CN" w:eastAsia="zh-CN" w:bidi="zh-CN"/>
      </w:rPr>
    </w:lvl>
    <w:lvl w:ilvl="1">
      <w:start w:val="1"/>
      <w:numFmt w:val="decimal"/>
      <w:lvlText w:val="（%2）"/>
      <w:lvlJc w:val="left"/>
      <w:pPr>
        <w:ind w:left="1281" w:hanging="567"/>
        <w:jc w:val="left"/>
      </w:pPr>
      <w:rPr>
        <w:rFonts w:hint="default" w:ascii="宋体" w:hAnsi="宋体" w:eastAsia="宋体" w:cs="宋体"/>
        <w:w w:val="100"/>
        <w:sz w:val="21"/>
        <w:szCs w:val="21"/>
        <w:lang w:val="zh-CN" w:eastAsia="zh-CN" w:bidi="zh-CN"/>
      </w:rPr>
    </w:lvl>
    <w:lvl w:ilvl="2">
      <w:start w:val="0"/>
      <w:numFmt w:val="bullet"/>
      <w:lvlText w:val="•"/>
      <w:lvlJc w:val="left"/>
      <w:pPr>
        <w:ind w:left="2251" w:hanging="567"/>
      </w:pPr>
      <w:rPr>
        <w:rFonts w:hint="default"/>
        <w:lang w:val="zh-CN" w:eastAsia="zh-CN" w:bidi="zh-CN"/>
      </w:rPr>
    </w:lvl>
    <w:lvl w:ilvl="3">
      <w:start w:val="0"/>
      <w:numFmt w:val="bullet"/>
      <w:lvlText w:val="•"/>
      <w:lvlJc w:val="left"/>
      <w:pPr>
        <w:ind w:left="3223" w:hanging="567"/>
      </w:pPr>
      <w:rPr>
        <w:rFonts w:hint="default"/>
        <w:lang w:val="zh-CN" w:eastAsia="zh-CN" w:bidi="zh-CN"/>
      </w:rPr>
    </w:lvl>
    <w:lvl w:ilvl="4">
      <w:start w:val="0"/>
      <w:numFmt w:val="bullet"/>
      <w:lvlText w:val="•"/>
      <w:lvlJc w:val="left"/>
      <w:pPr>
        <w:ind w:left="4195" w:hanging="567"/>
      </w:pPr>
      <w:rPr>
        <w:rFonts w:hint="default"/>
        <w:lang w:val="zh-CN" w:eastAsia="zh-CN" w:bidi="zh-CN"/>
      </w:rPr>
    </w:lvl>
    <w:lvl w:ilvl="5">
      <w:start w:val="0"/>
      <w:numFmt w:val="bullet"/>
      <w:lvlText w:val="•"/>
      <w:lvlJc w:val="left"/>
      <w:pPr>
        <w:ind w:left="5167" w:hanging="567"/>
      </w:pPr>
      <w:rPr>
        <w:rFonts w:hint="default"/>
        <w:lang w:val="zh-CN" w:eastAsia="zh-CN" w:bidi="zh-CN"/>
      </w:rPr>
    </w:lvl>
    <w:lvl w:ilvl="6">
      <w:start w:val="0"/>
      <w:numFmt w:val="bullet"/>
      <w:lvlText w:val="•"/>
      <w:lvlJc w:val="left"/>
      <w:pPr>
        <w:ind w:left="6138" w:hanging="567"/>
      </w:pPr>
      <w:rPr>
        <w:rFonts w:hint="default"/>
        <w:lang w:val="zh-CN" w:eastAsia="zh-CN" w:bidi="zh-CN"/>
      </w:rPr>
    </w:lvl>
    <w:lvl w:ilvl="7">
      <w:start w:val="0"/>
      <w:numFmt w:val="bullet"/>
      <w:lvlText w:val="•"/>
      <w:lvlJc w:val="left"/>
      <w:pPr>
        <w:ind w:left="7110" w:hanging="567"/>
      </w:pPr>
      <w:rPr>
        <w:rFonts w:hint="default"/>
        <w:lang w:val="zh-CN" w:eastAsia="zh-CN" w:bidi="zh-CN"/>
      </w:rPr>
    </w:lvl>
    <w:lvl w:ilvl="8">
      <w:start w:val="0"/>
      <w:numFmt w:val="bullet"/>
      <w:lvlText w:val="•"/>
      <w:lvlJc w:val="left"/>
      <w:pPr>
        <w:ind w:left="8082" w:hanging="567"/>
      </w:pPr>
      <w:rPr>
        <w:rFonts w:hint="default"/>
        <w:lang w:val="zh-CN" w:eastAsia="zh-CN" w:bidi="zh-CN"/>
      </w:rPr>
    </w:lvl>
  </w:abstractNum>
  <w:abstractNum w:abstractNumId="62">
    <w:multiLevelType w:val="hybridMultilevel"/>
    <w:lvl w:ilvl="0">
      <w:start w:val="1"/>
      <w:numFmt w:val="decimal"/>
      <w:lvlText w:val="%1）"/>
      <w:lvlJc w:val="left"/>
      <w:pPr>
        <w:ind w:left="103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20" w:hanging="316"/>
      </w:pPr>
      <w:rPr>
        <w:rFonts w:hint="default"/>
        <w:lang w:val="zh-CN" w:eastAsia="zh-CN" w:bidi="zh-CN"/>
      </w:rPr>
    </w:lvl>
    <w:lvl w:ilvl="2">
      <w:start w:val="0"/>
      <w:numFmt w:val="bullet"/>
      <w:lvlText w:val="•"/>
      <w:lvlJc w:val="left"/>
      <w:pPr>
        <w:ind w:left="2821" w:hanging="316"/>
      </w:pPr>
      <w:rPr>
        <w:rFonts w:hint="default"/>
        <w:lang w:val="zh-CN" w:eastAsia="zh-CN" w:bidi="zh-CN"/>
      </w:rPr>
    </w:lvl>
    <w:lvl w:ilvl="3">
      <w:start w:val="0"/>
      <w:numFmt w:val="bullet"/>
      <w:lvlText w:val="•"/>
      <w:lvlJc w:val="left"/>
      <w:pPr>
        <w:ind w:left="3721" w:hanging="316"/>
      </w:pPr>
      <w:rPr>
        <w:rFonts w:hint="default"/>
        <w:lang w:val="zh-CN" w:eastAsia="zh-CN" w:bidi="zh-CN"/>
      </w:rPr>
    </w:lvl>
    <w:lvl w:ilvl="4">
      <w:start w:val="0"/>
      <w:numFmt w:val="bullet"/>
      <w:lvlText w:val="•"/>
      <w:lvlJc w:val="left"/>
      <w:pPr>
        <w:ind w:left="4622" w:hanging="316"/>
      </w:pPr>
      <w:rPr>
        <w:rFonts w:hint="default"/>
        <w:lang w:val="zh-CN" w:eastAsia="zh-CN" w:bidi="zh-CN"/>
      </w:rPr>
    </w:lvl>
    <w:lvl w:ilvl="5">
      <w:start w:val="0"/>
      <w:numFmt w:val="bullet"/>
      <w:lvlText w:val="•"/>
      <w:lvlJc w:val="left"/>
      <w:pPr>
        <w:ind w:left="5523" w:hanging="316"/>
      </w:pPr>
      <w:rPr>
        <w:rFonts w:hint="default"/>
        <w:lang w:val="zh-CN" w:eastAsia="zh-CN" w:bidi="zh-CN"/>
      </w:rPr>
    </w:lvl>
    <w:lvl w:ilvl="6">
      <w:start w:val="0"/>
      <w:numFmt w:val="bullet"/>
      <w:lvlText w:val="•"/>
      <w:lvlJc w:val="left"/>
      <w:pPr>
        <w:ind w:left="6423" w:hanging="316"/>
      </w:pPr>
      <w:rPr>
        <w:rFonts w:hint="default"/>
        <w:lang w:val="zh-CN" w:eastAsia="zh-CN" w:bidi="zh-CN"/>
      </w:rPr>
    </w:lvl>
    <w:lvl w:ilvl="7">
      <w:start w:val="0"/>
      <w:numFmt w:val="bullet"/>
      <w:lvlText w:val="•"/>
      <w:lvlJc w:val="left"/>
      <w:pPr>
        <w:ind w:left="7324" w:hanging="316"/>
      </w:pPr>
      <w:rPr>
        <w:rFonts w:hint="default"/>
        <w:lang w:val="zh-CN" w:eastAsia="zh-CN" w:bidi="zh-CN"/>
      </w:rPr>
    </w:lvl>
    <w:lvl w:ilvl="8">
      <w:start w:val="0"/>
      <w:numFmt w:val="bullet"/>
      <w:lvlText w:val="•"/>
      <w:lvlJc w:val="left"/>
      <w:pPr>
        <w:ind w:left="8224" w:hanging="316"/>
      </w:pPr>
      <w:rPr>
        <w:rFonts w:hint="default"/>
        <w:lang w:val="zh-CN" w:eastAsia="zh-CN" w:bidi="zh-CN"/>
      </w:rPr>
    </w:lvl>
  </w:abstractNum>
  <w:abstractNum w:abstractNumId="61">
    <w:multiLevelType w:val="hybridMultilevel"/>
    <w:lvl w:ilvl="0">
      <w:start w:val="1"/>
      <w:numFmt w:val="decimal"/>
      <w:lvlText w:val="（%1）"/>
      <w:lvlJc w:val="left"/>
      <w:pPr>
        <w:ind w:left="294" w:hanging="536"/>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6"/>
      </w:pPr>
      <w:rPr>
        <w:rFonts w:hint="default"/>
        <w:lang w:val="zh-CN" w:eastAsia="zh-CN" w:bidi="zh-CN"/>
      </w:rPr>
    </w:lvl>
    <w:lvl w:ilvl="2">
      <w:start w:val="0"/>
      <w:numFmt w:val="bullet"/>
      <w:lvlText w:val="•"/>
      <w:lvlJc w:val="left"/>
      <w:pPr>
        <w:ind w:left="2245" w:hanging="536"/>
      </w:pPr>
      <w:rPr>
        <w:rFonts w:hint="default"/>
        <w:lang w:val="zh-CN" w:eastAsia="zh-CN" w:bidi="zh-CN"/>
      </w:rPr>
    </w:lvl>
    <w:lvl w:ilvl="3">
      <w:start w:val="0"/>
      <w:numFmt w:val="bullet"/>
      <w:lvlText w:val="•"/>
      <w:lvlJc w:val="left"/>
      <w:pPr>
        <w:ind w:left="3217" w:hanging="536"/>
      </w:pPr>
      <w:rPr>
        <w:rFonts w:hint="default"/>
        <w:lang w:val="zh-CN" w:eastAsia="zh-CN" w:bidi="zh-CN"/>
      </w:rPr>
    </w:lvl>
    <w:lvl w:ilvl="4">
      <w:start w:val="0"/>
      <w:numFmt w:val="bullet"/>
      <w:lvlText w:val="•"/>
      <w:lvlJc w:val="left"/>
      <w:pPr>
        <w:ind w:left="4190" w:hanging="536"/>
      </w:pPr>
      <w:rPr>
        <w:rFonts w:hint="default"/>
        <w:lang w:val="zh-CN" w:eastAsia="zh-CN" w:bidi="zh-CN"/>
      </w:rPr>
    </w:lvl>
    <w:lvl w:ilvl="5">
      <w:start w:val="0"/>
      <w:numFmt w:val="bullet"/>
      <w:lvlText w:val="•"/>
      <w:lvlJc w:val="left"/>
      <w:pPr>
        <w:ind w:left="5163" w:hanging="536"/>
      </w:pPr>
      <w:rPr>
        <w:rFonts w:hint="default"/>
        <w:lang w:val="zh-CN" w:eastAsia="zh-CN" w:bidi="zh-CN"/>
      </w:rPr>
    </w:lvl>
    <w:lvl w:ilvl="6">
      <w:start w:val="0"/>
      <w:numFmt w:val="bullet"/>
      <w:lvlText w:val="•"/>
      <w:lvlJc w:val="left"/>
      <w:pPr>
        <w:ind w:left="6135" w:hanging="536"/>
      </w:pPr>
      <w:rPr>
        <w:rFonts w:hint="default"/>
        <w:lang w:val="zh-CN" w:eastAsia="zh-CN" w:bidi="zh-CN"/>
      </w:rPr>
    </w:lvl>
    <w:lvl w:ilvl="7">
      <w:start w:val="0"/>
      <w:numFmt w:val="bullet"/>
      <w:lvlText w:val="•"/>
      <w:lvlJc w:val="left"/>
      <w:pPr>
        <w:ind w:left="7108" w:hanging="536"/>
      </w:pPr>
      <w:rPr>
        <w:rFonts w:hint="default"/>
        <w:lang w:val="zh-CN" w:eastAsia="zh-CN" w:bidi="zh-CN"/>
      </w:rPr>
    </w:lvl>
    <w:lvl w:ilvl="8">
      <w:start w:val="0"/>
      <w:numFmt w:val="bullet"/>
      <w:lvlText w:val="•"/>
      <w:lvlJc w:val="left"/>
      <w:pPr>
        <w:ind w:left="8080" w:hanging="536"/>
      </w:pPr>
      <w:rPr>
        <w:rFonts w:hint="default"/>
        <w:lang w:val="zh-CN" w:eastAsia="zh-CN" w:bidi="zh-CN"/>
      </w:rPr>
    </w:lvl>
  </w:abstractNum>
  <w:abstractNum w:abstractNumId="60">
    <w:multiLevelType w:val="hybridMultilevel"/>
    <w:lvl w:ilvl="0">
      <w:start w:val="1"/>
      <w:numFmt w:val="decimal"/>
      <w:lvlText w:val="（%1）"/>
      <w:lvlJc w:val="left"/>
      <w:pPr>
        <w:ind w:left="294" w:hanging="536"/>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6"/>
      </w:pPr>
      <w:rPr>
        <w:rFonts w:hint="default"/>
        <w:lang w:val="zh-CN" w:eastAsia="zh-CN" w:bidi="zh-CN"/>
      </w:rPr>
    </w:lvl>
    <w:lvl w:ilvl="2">
      <w:start w:val="0"/>
      <w:numFmt w:val="bullet"/>
      <w:lvlText w:val="•"/>
      <w:lvlJc w:val="left"/>
      <w:pPr>
        <w:ind w:left="2245" w:hanging="536"/>
      </w:pPr>
      <w:rPr>
        <w:rFonts w:hint="default"/>
        <w:lang w:val="zh-CN" w:eastAsia="zh-CN" w:bidi="zh-CN"/>
      </w:rPr>
    </w:lvl>
    <w:lvl w:ilvl="3">
      <w:start w:val="0"/>
      <w:numFmt w:val="bullet"/>
      <w:lvlText w:val="•"/>
      <w:lvlJc w:val="left"/>
      <w:pPr>
        <w:ind w:left="3217" w:hanging="536"/>
      </w:pPr>
      <w:rPr>
        <w:rFonts w:hint="default"/>
        <w:lang w:val="zh-CN" w:eastAsia="zh-CN" w:bidi="zh-CN"/>
      </w:rPr>
    </w:lvl>
    <w:lvl w:ilvl="4">
      <w:start w:val="0"/>
      <w:numFmt w:val="bullet"/>
      <w:lvlText w:val="•"/>
      <w:lvlJc w:val="left"/>
      <w:pPr>
        <w:ind w:left="4190" w:hanging="536"/>
      </w:pPr>
      <w:rPr>
        <w:rFonts w:hint="default"/>
        <w:lang w:val="zh-CN" w:eastAsia="zh-CN" w:bidi="zh-CN"/>
      </w:rPr>
    </w:lvl>
    <w:lvl w:ilvl="5">
      <w:start w:val="0"/>
      <w:numFmt w:val="bullet"/>
      <w:lvlText w:val="•"/>
      <w:lvlJc w:val="left"/>
      <w:pPr>
        <w:ind w:left="5163" w:hanging="536"/>
      </w:pPr>
      <w:rPr>
        <w:rFonts w:hint="default"/>
        <w:lang w:val="zh-CN" w:eastAsia="zh-CN" w:bidi="zh-CN"/>
      </w:rPr>
    </w:lvl>
    <w:lvl w:ilvl="6">
      <w:start w:val="0"/>
      <w:numFmt w:val="bullet"/>
      <w:lvlText w:val="•"/>
      <w:lvlJc w:val="left"/>
      <w:pPr>
        <w:ind w:left="6135" w:hanging="536"/>
      </w:pPr>
      <w:rPr>
        <w:rFonts w:hint="default"/>
        <w:lang w:val="zh-CN" w:eastAsia="zh-CN" w:bidi="zh-CN"/>
      </w:rPr>
    </w:lvl>
    <w:lvl w:ilvl="7">
      <w:start w:val="0"/>
      <w:numFmt w:val="bullet"/>
      <w:lvlText w:val="•"/>
      <w:lvlJc w:val="left"/>
      <w:pPr>
        <w:ind w:left="7108" w:hanging="536"/>
      </w:pPr>
      <w:rPr>
        <w:rFonts w:hint="default"/>
        <w:lang w:val="zh-CN" w:eastAsia="zh-CN" w:bidi="zh-CN"/>
      </w:rPr>
    </w:lvl>
    <w:lvl w:ilvl="8">
      <w:start w:val="0"/>
      <w:numFmt w:val="bullet"/>
      <w:lvlText w:val="•"/>
      <w:lvlJc w:val="left"/>
      <w:pPr>
        <w:ind w:left="8080" w:hanging="536"/>
      </w:pPr>
      <w:rPr>
        <w:rFonts w:hint="default"/>
        <w:lang w:val="zh-CN" w:eastAsia="zh-CN" w:bidi="zh-CN"/>
      </w:rPr>
    </w:lvl>
  </w:abstractNum>
  <w:abstractNum w:abstractNumId="59">
    <w:multiLevelType w:val="hybridMultilevel"/>
    <w:lvl w:ilvl="0">
      <w:start w:val="1"/>
      <w:numFmt w:val="decimal"/>
      <w:lvlText w:val="（%1）"/>
      <w:lvlJc w:val="left"/>
      <w:pPr>
        <w:ind w:left="124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58">
    <w:multiLevelType w:val="hybridMultilevel"/>
    <w:lvl w:ilvl="0">
      <w:start w:val="1"/>
      <w:numFmt w:val="decimal"/>
      <w:lvlText w:val="（%1）"/>
      <w:lvlJc w:val="left"/>
      <w:pPr>
        <w:ind w:left="294" w:hanging="536"/>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6"/>
      </w:pPr>
      <w:rPr>
        <w:rFonts w:hint="default"/>
        <w:lang w:val="zh-CN" w:eastAsia="zh-CN" w:bidi="zh-CN"/>
      </w:rPr>
    </w:lvl>
    <w:lvl w:ilvl="2">
      <w:start w:val="0"/>
      <w:numFmt w:val="bullet"/>
      <w:lvlText w:val="•"/>
      <w:lvlJc w:val="left"/>
      <w:pPr>
        <w:ind w:left="2245" w:hanging="536"/>
      </w:pPr>
      <w:rPr>
        <w:rFonts w:hint="default"/>
        <w:lang w:val="zh-CN" w:eastAsia="zh-CN" w:bidi="zh-CN"/>
      </w:rPr>
    </w:lvl>
    <w:lvl w:ilvl="3">
      <w:start w:val="0"/>
      <w:numFmt w:val="bullet"/>
      <w:lvlText w:val="•"/>
      <w:lvlJc w:val="left"/>
      <w:pPr>
        <w:ind w:left="3217" w:hanging="536"/>
      </w:pPr>
      <w:rPr>
        <w:rFonts w:hint="default"/>
        <w:lang w:val="zh-CN" w:eastAsia="zh-CN" w:bidi="zh-CN"/>
      </w:rPr>
    </w:lvl>
    <w:lvl w:ilvl="4">
      <w:start w:val="0"/>
      <w:numFmt w:val="bullet"/>
      <w:lvlText w:val="•"/>
      <w:lvlJc w:val="left"/>
      <w:pPr>
        <w:ind w:left="4190" w:hanging="536"/>
      </w:pPr>
      <w:rPr>
        <w:rFonts w:hint="default"/>
        <w:lang w:val="zh-CN" w:eastAsia="zh-CN" w:bidi="zh-CN"/>
      </w:rPr>
    </w:lvl>
    <w:lvl w:ilvl="5">
      <w:start w:val="0"/>
      <w:numFmt w:val="bullet"/>
      <w:lvlText w:val="•"/>
      <w:lvlJc w:val="left"/>
      <w:pPr>
        <w:ind w:left="5163" w:hanging="536"/>
      </w:pPr>
      <w:rPr>
        <w:rFonts w:hint="default"/>
        <w:lang w:val="zh-CN" w:eastAsia="zh-CN" w:bidi="zh-CN"/>
      </w:rPr>
    </w:lvl>
    <w:lvl w:ilvl="6">
      <w:start w:val="0"/>
      <w:numFmt w:val="bullet"/>
      <w:lvlText w:val="•"/>
      <w:lvlJc w:val="left"/>
      <w:pPr>
        <w:ind w:left="6135" w:hanging="536"/>
      </w:pPr>
      <w:rPr>
        <w:rFonts w:hint="default"/>
        <w:lang w:val="zh-CN" w:eastAsia="zh-CN" w:bidi="zh-CN"/>
      </w:rPr>
    </w:lvl>
    <w:lvl w:ilvl="7">
      <w:start w:val="0"/>
      <w:numFmt w:val="bullet"/>
      <w:lvlText w:val="•"/>
      <w:lvlJc w:val="left"/>
      <w:pPr>
        <w:ind w:left="7108" w:hanging="536"/>
      </w:pPr>
      <w:rPr>
        <w:rFonts w:hint="default"/>
        <w:lang w:val="zh-CN" w:eastAsia="zh-CN" w:bidi="zh-CN"/>
      </w:rPr>
    </w:lvl>
    <w:lvl w:ilvl="8">
      <w:start w:val="0"/>
      <w:numFmt w:val="bullet"/>
      <w:lvlText w:val="•"/>
      <w:lvlJc w:val="left"/>
      <w:pPr>
        <w:ind w:left="8080" w:hanging="536"/>
      </w:pPr>
      <w:rPr>
        <w:rFonts w:hint="default"/>
        <w:lang w:val="zh-CN" w:eastAsia="zh-CN" w:bidi="zh-CN"/>
      </w:rPr>
    </w:lvl>
  </w:abstractNum>
  <w:abstractNum w:abstractNumId="57">
    <w:multiLevelType w:val="hybridMultilevel"/>
    <w:lvl w:ilvl="0">
      <w:start w:val="1"/>
      <w:numFmt w:val="decimal"/>
      <w:lvlText w:val="（%1）"/>
      <w:lvlJc w:val="left"/>
      <w:pPr>
        <w:ind w:left="294" w:hanging="530"/>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0"/>
      </w:pPr>
      <w:rPr>
        <w:rFonts w:hint="default"/>
        <w:lang w:val="zh-CN" w:eastAsia="zh-CN" w:bidi="zh-CN"/>
      </w:rPr>
    </w:lvl>
    <w:lvl w:ilvl="2">
      <w:start w:val="0"/>
      <w:numFmt w:val="bullet"/>
      <w:lvlText w:val="•"/>
      <w:lvlJc w:val="left"/>
      <w:pPr>
        <w:ind w:left="2245" w:hanging="530"/>
      </w:pPr>
      <w:rPr>
        <w:rFonts w:hint="default"/>
        <w:lang w:val="zh-CN" w:eastAsia="zh-CN" w:bidi="zh-CN"/>
      </w:rPr>
    </w:lvl>
    <w:lvl w:ilvl="3">
      <w:start w:val="0"/>
      <w:numFmt w:val="bullet"/>
      <w:lvlText w:val="•"/>
      <w:lvlJc w:val="left"/>
      <w:pPr>
        <w:ind w:left="3217" w:hanging="530"/>
      </w:pPr>
      <w:rPr>
        <w:rFonts w:hint="default"/>
        <w:lang w:val="zh-CN" w:eastAsia="zh-CN" w:bidi="zh-CN"/>
      </w:rPr>
    </w:lvl>
    <w:lvl w:ilvl="4">
      <w:start w:val="0"/>
      <w:numFmt w:val="bullet"/>
      <w:lvlText w:val="•"/>
      <w:lvlJc w:val="left"/>
      <w:pPr>
        <w:ind w:left="4190" w:hanging="530"/>
      </w:pPr>
      <w:rPr>
        <w:rFonts w:hint="default"/>
        <w:lang w:val="zh-CN" w:eastAsia="zh-CN" w:bidi="zh-CN"/>
      </w:rPr>
    </w:lvl>
    <w:lvl w:ilvl="5">
      <w:start w:val="0"/>
      <w:numFmt w:val="bullet"/>
      <w:lvlText w:val="•"/>
      <w:lvlJc w:val="left"/>
      <w:pPr>
        <w:ind w:left="5163" w:hanging="530"/>
      </w:pPr>
      <w:rPr>
        <w:rFonts w:hint="default"/>
        <w:lang w:val="zh-CN" w:eastAsia="zh-CN" w:bidi="zh-CN"/>
      </w:rPr>
    </w:lvl>
    <w:lvl w:ilvl="6">
      <w:start w:val="0"/>
      <w:numFmt w:val="bullet"/>
      <w:lvlText w:val="•"/>
      <w:lvlJc w:val="left"/>
      <w:pPr>
        <w:ind w:left="6135" w:hanging="530"/>
      </w:pPr>
      <w:rPr>
        <w:rFonts w:hint="default"/>
        <w:lang w:val="zh-CN" w:eastAsia="zh-CN" w:bidi="zh-CN"/>
      </w:rPr>
    </w:lvl>
    <w:lvl w:ilvl="7">
      <w:start w:val="0"/>
      <w:numFmt w:val="bullet"/>
      <w:lvlText w:val="•"/>
      <w:lvlJc w:val="left"/>
      <w:pPr>
        <w:ind w:left="7108" w:hanging="530"/>
      </w:pPr>
      <w:rPr>
        <w:rFonts w:hint="default"/>
        <w:lang w:val="zh-CN" w:eastAsia="zh-CN" w:bidi="zh-CN"/>
      </w:rPr>
    </w:lvl>
    <w:lvl w:ilvl="8">
      <w:start w:val="0"/>
      <w:numFmt w:val="bullet"/>
      <w:lvlText w:val="•"/>
      <w:lvlJc w:val="left"/>
      <w:pPr>
        <w:ind w:left="8080" w:hanging="530"/>
      </w:pPr>
      <w:rPr>
        <w:rFonts w:hint="default"/>
        <w:lang w:val="zh-CN" w:eastAsia="zh-CN" w:bidi="zh-CN"/>
      </w:rPr>
    </w:lvl>
  </w:abstractNum>
  <w:abstractNum w:abstractNumId="56">
    <w:multiLevelType w:val="hybridMultilevel"/>
    <w:lvl w:ilvl="0">
      <w:start w:val="1"/>
      <w:numFmt w:val="decimal"/>
      <w:lvlText w:val="（%1）"/>
      <w:lvlJc w:val="left"/>
      <w:pPr>
        <w:ind w:left="294" w:hanging="528"/>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28"/>
      </w:pPr>
      <w:rPr>
        <w:rFonts w:hint="default"/>
        <w:lang w:val="zh-CN" w:eastAsia="zh-CN" w:bidi="zh-CN"/>
      </w:rPr>
    </w:lvl>
    <w:lvl w:ilvl="2">
      <w:start w:val="0"/>
      <w:numFmt w:val="bullet"/>
      <w:lvlText w:val="•"/>
      <w:lvlJc w:val="left"/>
      <w:pPr>
        <w:ind w:left="2245" w:hanging="528"/>
      </w:pPr>
      <w:rPr>
        <w:rFonts w:hint="default"/>
        <w:lang w:val="zh-CN" w:eastAsia="zh-CN" w:bidi="zh-CN"/>
      </w:rPr>
    </w:lvl>
    <w:lvl w:ilvl="3">
      <w:start w:val="0"/>
      <w:numFmt w:val="bullet"/>
      <w:lvlText w:val="•"/>
      <w:lvlJc w:val="left"/>
      <w:pPr>
        <w:ind w:left="3217" w:hanging="528"/>
      </w:pPr>
      <w:rPr>
        <w:rFonts w:hint="default"/>
        <w:lang w:val="zh-CN" w:eastAsia="zh-CN" w:bidi="zh-CN"/>
      </w:rPr>
    </w:lvl>
    <w:lvl w:ilvl="4">
      <w:start w:val="0"/>
      <w:numFmt w:val="bullet"/>
      <w:lvlText w:val="•"/>
      <w:lvlJc w:val="left"/>
      <w:pPr>
        <w:ind w:left="4190" w:hanging="528"/>
      </w:pPr>
      <w:rPr>
        <w:rFonts w:hint="default"/>
        <w:lang w:val="zh-CN" w:eastAsia="zh-CN" w:bidi="zh-CN"/>
      </w:rPr>
    </w:lvl>
    <w:lvl w:ilvl="5">
      <w:start w:val="0"/>
      <w:numFmt w:val="bullet"/>
      <w:lvlText w:val="•"/>
      <w:lvlJc w:val="left"/>
      <w:pPr>
        <w:ind w:left="5163" w:hanging="528"/>
      </w:pPr>
      <w:rPr>
        <w:rFonts w:hint="default"/>
        <w:lang w:val="zh-CN" w:eastAsia="zh-CN" w:bidi="zh-CN"/>
      </w:rPr>
    </w:lvl>
    <w:lvl w:ilvl="6">
      <w:start w:val="0"/>
      <w:numFmt w:val="bullet"/>
      <w:lvlText w:val="•"/>
      <w:lvlJc w:val="left"/>
      <w:pPr>
        <w:ind w:left="6135" w:hanging="528"/>
      </w:pPr>
      <w:rPr>
        <w:rFonts w:hint="default"/>
        <w:lang w:val="zh-CN" w:eastAsia="zh-CN" w:bidi="zh-CN"/>
      </w:rPr>
    </w:lvl>
    <w:lvl w:ilvl="7">
      <w:start w:val="0"/>
      <w:numFmt w:val="bullet"/>
      <w:lvlText w:val="•"/>
      <w:lvlJc w:val="left"/>
      <w:pPr>
        <w:ind w:left="7108" w:hanging="528"/>
      </w:pPr>
      <w:rPr>
        <w:rFonts w:hint="default"/>
        <w:lang w:val="zh-CN" w:eastAsia="zh-CN" w:bidi="zh-CN"/>
      </w:rPr>
    </w:lvl>
    <w:lvl w:ilvl="8">
      <w:start w:val="0"/>
      <w:numFmt w:val="bullet"/>
      <w:lvlText w:val="•"/>
      <w:lvlJc w:val="left"/>
      <w:pPr>
        <w:ind w:left="8080" w:hanging="528"/>
      </w:pPr>
      <w:rPr>
        <w:rFonts w:hint="default"/>
        <w:lang w:val="zh-CN" w:eastAsia="zh-CN" w:bidi="zh-CN"/>
      </w:rPr>
    </w:lvl>
  </w:abstractNum>
  <w:abstractNum w:abstractNumId="55">
    <w:multiLevelType w:val="hybridMultilevel"/>
    <w:lvl w:ilvl="0">
      <w:start w:val="1"/>
      <w:numFmt w:val="decimal"/>
      <w:lvlText w:val="%1)"/>
      <w:lvlJc w:val="left"/>
      <w:pPr>
        <w:ind w:left="294"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211"/>
      </w:pPr>
      <w:rPr>
        <w:rFonts w:hint="default"/>
        <w:lang w:val="zh-CN" w:eastAsia="zh-CN" w:bidi="zh-CN"/>
      </w:rPr>
    </w:lvl>
    <w:lvl w:ilvl="2">
      <w:start w:val="0"/>
      <w:numFmt w:val="bullet"/>
      <w:lvlText w:val="•"/>
      <w:lvlJc w:val="left"/>
      <w:pPr>
        <w:ind w:left="2245" w:hanging="211"/>
      </w:pPr>
      <w:rPr>
        <w:rFonts w:hint="default"/>
        <w:lang w:val="zh-CN" w:eastAsia="zh-CN" w:bidi="zh-CN"/>
      </w:rPr>
    </w:lvl>
    <w:lvl w:ilvl="3">
      <w:start w:val="0"/>
      <w:numFmt w:val="bullet"/>
      <w:lvlText w:val="•"/>
      <w:lvlJc w:val="left"/>
      <w:pPr>
        <w:ind w:left="3217" w:hanging="211"/>
      </w:pPr>
      <w:rPr>
        <w:rFonts w:hint="default"/>
        <w:lang w:val="zh-CN" w:eastAsia="zh-CN" w:bidi="zh-CN"/>
      </w:rPr>
    </w:lvl>
    <w:lvl w:ilvl="4">
      <w:start w:val="0"/>
      <w:numFmt w:val="bullet"/>
      <w:lvlText w:val="•"/>
      <w:lvlJc w:val="left"/>
      <w:pPr>
        <w:ind w:left="4190" w:hanging="211"/>
      </w:pPr>
      <w:rPr>
        <w:rFonts w:hint="default"/>
        <w:lang w:val="zh-CN" w:eastAsia="zh-CN" w:bidi="zh-CN"/>
      </w:rPr>
    </w:lvl>
    <w:lvl w:ilvl="5">
      <w:start w:val="0"/>
      <w:numFmt w:val="bullet"/>
      <w:lvlText w:val="•"/>
      <w:lvlJc w:val="left"/>
      <w:pPr>
        <w:ind w:left="5163" w:hanging="211"/>
      </w:pPr>
      <w:rPr>
        <w:rFonts w:hint="default"/>
        <w:lang w:val="zh-CN" w:eastAsia="zh-CN" w:bidi="zh-CN"/>
      </w:rPr>
    </w:lvl>
    <w:lvl w:ilvl="6">
      <w:start w:val="0"/>
      <w:numFmt w:val="bullet"/>
      <w:lvlText w:val="•"/>
      <w:lvlJc w:val="left"/>
      <w:pPr>
        <w:ind w:left="6135" w:hanging="211"/>
      </w:pPr>
      <w:rPr>
        <w:rFonts w:hint="default"/>
        <w:lang w:val="zh-CN" w:eastAsia="zh-CN" w:bidi="zh-CN"/>
      </w:rPr>
    </w:lvl>
    <w:lvl w:ilvl="7">
      <w:start w:val="0"/>
      <w:numFmt w:val="bullet"/>
      <w:lvlText w:val="•"/>
      <w:lvlJc w:val="left"/>
      <w:pPr>
        <w:ind w:left="7108" w:hanging="211"/>
      </w:pPr>
      <w:rPr>
        <w:rFonts w:hint="default"/>
        <w:lang w:val="zh-CN" w:eastAsia="zh-CN" w:bidi="zh-CN"/>
      </w:rPr>
    </w:lvl>
    <w:lvl w:ilvl="8">
      <w:start w:val="0"/>
      <w:numFmt w:val="bullet"/>
      <w:lvlText w:val="•"/>
      <w:lvlJc w:val="left"/>
      <w:pPr>
        <w:ind w:left="8080" w:hanging="211"/>
      </w:pPr>
      <w:rPr>
        <w:rFonts w:hint="default"/>
        <w:lang w:val="zh-CN" w:eastAsia="zh-CN" w:bidi="zh-CN"/>
      </w:rPr>
    </w:lvl>
  </w:abstractNum>
  <w:abstractNum w:abstractNumId="54">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53">
    <w:multiLevelType w:val="hybridMultilevel"/>
    <w:lvl w:ilvl="0">
      <w:start w:val="1"/>
      <w:numFmt w:val="decimal"/>
      <w:lvlText w:val="%1）"/>
      <w:lvlJc w:val="left"/>
      <w:pPr>
        <w:ind w:left="10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20" w:hanging="316"/>
      </w:pPr>
      <w:rPr>
        <w:rFonts w:hint="default"/>
        <w:lang w:val="zh-CN" w:eastAsia="zh-CN" w:bidi="zh-CN"/>
      </w:rPr>
    </w:lvl>
    <w:lvl w:ilvl="2">
      <w:start w:val="0"/>
      <w:numFmt w:val="bullet"/>
      <w:lvlText w:val="•"/>
      <w:lvlJc w:val="left"/>
      <w:pPr>
        <w:ind w:left="2821" w:hanging="316"/>
      </w:pPr>
      <w:rPr>
        <w:rFonts w:hint="default"/>
        <w:lang w:val="zh-CN" w:eastAsia="zh-CN" w:bidi="zh-CN"/>
      </w:rPr>
    </w:lvl>
    <w:lvl w:ilvl="3">
      <w:start w:val="0"/>
      <w:numFmt w:val="bullet"/>
      <w:lvlText w:val="•"/>
      <w:lvlJc w:val="left"/>
      <w:pPr>
        <w:ind w:left="3721" w:hanging="316"/>
      </w:pPr>
      <w:rPr>
        <w:rFonts w:hint="default"/>
        <w:lang w:val="zh-CN" w:eastAsia="zh-CN" w:bidi="zh-CN"/>
      </w:rPr>
    </w:lvl>
    <w:lvl w:ilvl="4">
      <w:start w:val="0"/>
      <w:numFmt w:val="bullet"/>
      <w:lvlText w:val="•"/>
      <w:lvlJc w:val="left"/>
      <w:pPr>
        <w:ind w:left="4622" w:hanging="316"/>
      </w:pPr>
      <w:rPr>
        <w:rFonts w:hint="default"/>
        <w:lang w:val="zh-CN" w:eastAsia="zh-CN" w:bidi="zh-CN"/>
      </w:rPr>
    </w:lvl>
    <w:lvl w:ilvl="5">
      <w:start w:val="0"/>
      <w:numFmt w:val="bullet"/>
      <w:lvlText w:val="•"/>
      <w:lvlJc w:val="left"/>
      <w:pPr>
        <w:ind w:left="5523" w:hanging="316"/>
      </w:pPr>
      <w:rPr>
        <w:rFonts w:hint="default"/>
        <w:lang w:val="zh-CN" w:eastAsia="zh-CN" w:bidi="zh-CN"/>
      </w:rPr>
    </w:lvl>
    <w:lvl w:ilvl="6">
      <w:start w:val="0"/>
      <w:numFmt w:val="bullet"/>
      <w:lvlText w:val="•"/>
      <w:lvlJc w:val="left"/>
      <w:pPr>
        <w:ind w:left="6423" w:hanging="316"/>
      </w:pPr>
      <w:rPr>
        <w:rFonts w:hint="default"/>
        <w:lang w:val="zh-CN" w:eastAsia="zh-CN" w:bidi="zh-CN"/>
      </w:rPr>
    </w:lvl>
    <w:lvl w:ilvl="7">
      <w:start w:val="0"/>
      <w:numFmt w:val="bullet"/>
      <w:lvlText w:val="•"/>
      <w:lvlJc w:val="left"/>
      <w:pPr>
        <w:ind w:left="7324" w:hanging="316"/>
      </w:pPr>
      <w:rPr>
        <w:rFonts w:hint="default"/>
        <w:lang w:val="zh-CN" w:eastAsia="zh-CN" w:bidi="zh-CN"/>
      </w:rPr>
    </w:lvl>
    <w:lvl w:ilvl="8">
      <w:start w:val="0"/>
      <w:numFmt w:val="bullet"/>
      <w:lvlText w:val="•"/>
      <w:lvlJc w:val="left"/>
      <w:pPr>
        <w:ind w:left="8224" w:hanging="316"/>
      </w:pPr>
      <w:rPr>
        <w:rFonts w:hint="default"/>
        <w:lang w:val="zh-CN" w:eastAsia="zh-CN" w:bidi="zh-CN"/>
      </w:rPr>
    </w:lvl>
  </w:abstractNum>
  <w:abstractNum w:abstractNumId="52">
    <w:multiLevelType w:val="hybridMultilevel"/>
    <w:lvl w:ilvl="0">
      <w:start w:val="1"/>
      <w:numFmt w:val="decimal"/>
      <w:lvlText w:val="（%1）"/>
      <w:lvlJc w:val="left"/>
      <w:pPr>
        <w:ind w:left="294" w:hanging="530"/>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0"/>
      </w:pPr>
      <w:rPr>
        <w:rFonts w:hint="default"/>
        <w:lang w:val="zh-CN" w:eastAsia="zh-CN" w:bidi="zh-CN"/>
      </w:rPr>
    </w:lvl>
    <w:lvl w:ilvl="2">
      <w:start w:val="0"/>
      <w:numFmt w:val="bullet"/>
      <w:lvlText w:val="•"/>
      <w:lvlJc w:val="left"/>
      <w:pPr>
        <w:ind w:left="2245" w:hanging="530"/>
      </w:pPr>
      <w:rPr>
        <w:rFonts w:hint="default"/>
        <w:lang w:val="zh-CN" w:eastAsia="zh-CN" w:bidi="zh-CN"/>
      </w:rPr>
    </w:lvl>
    <w:lvl w:ilvl="3">
      <w:start w:val="0"/>
      <w:numFmt w:val="bullet"/>
      <w:lvlText w:val="•"/>
      <w:lvlJc w:val="left"/>
      <w:pPr>
        <w:ind w:left="3217" w:hanging="530"/>
      </w:pPr>
      <w:rPr>
        <w:rFonts w:hint="default"/>
        <w:lang w:val="zh-CN" w:eastAsia="zh-CN" w:bidi="zh-CN"/>
      </w:rPr>
    </w:lvl>
    <w:lvl w:ilvl="4">
      <w:start w:val="0"/>
      <w:numFmt w:val="bullet"/>
      <w:lvlText w:val="•"/>
      <w:lvlJc w:val="left"/>
      <w:pPr>
        <w:ind w:left="4190" w:hanging="530"/>
      </w:pPr>
      <w:rPr>
        <w:rFonts w:hint="default"/>
        <w:lang w:val="zh-CN" w:eastAsia="zh-CN" w:bidi="zh-CN"/>
      </w:rPr>
    </w:lvl>
    <w:lvl w:ilvl="5">
      <w:start w:val="0"/>
      <w:numFmt w:val="bullet"/>
      <w:lvlText w:val="•"/>
      <w:lvlJc w:val="left"/>
      <w:pPr>
        <w:ind w:left="5163" w:hanging="530"/>
      </w:pPr>
      <w:rPr>
        <w:rFonts w:hint="default"/>
        <w:lang w:val="zh-CN" w:eastAsia="zh-CN" w:bidi="zh-CN"/>
      </w:rPr>
    </w:lvl>
    <w:lvl w:ilvl="6">
      <w:start w:val="0"/>
      <w:numFmt w:val="bullet"/>
      <w:lvlText w:val="•"/>
      <w:lvlJc w:val="left"/>
      <w:pPr>
        <w:ind w:left="6135" w:hanging="530"/>
      </w:pPr>
      <w:rPr>
        <w:rFonts w:hint="default"/>
        <w:lang w:val="zh-CN" w:eastAsia="zh-CN" w:bidi="zh-CN"/>
      </w:rPr>
    </w:lvl>
    <w:lvl w:ilvl="7">
      <w:start w:val="0"/>
      <w:numFmt w:val="bullet"/>
      <w:lvlText w:val="•"/>
      <w:lvlJc w:val="left"/>
      <w:pPr>
        <w:ind w:left="7108" w:hanging="530"/>
      </w:pPr>
      <w:rPr>
        <w:rFonts w:hint="default"/>
        <w:lang w:val="zh-CN" w:eastAsia="zh-CN" w:bidi="zh-CN"/>
      </w:rPr>
    </w:lvl>
    <w:lvl w:ilvl="8">
      <w:start w:val="0"/>
      <w:numFmt w:val="bullet"/>
      <w:lvlText w:val="•"/>
      <w:lvlJc w:val="left"/>
      <w:pPr>
        <w:ind w:left="8080" w:hanging="530"/>
      </w:pPr>
      <w:rPr>
        <w:rFonts w:hint="default"/>
        <w:lang w:val="zh-CN" w:eastAsia="zh-CN" w:bidi="zh-CN"/>
      </w:rPr>
    </w:lvl>
  </w:abstractNum>
  <w:abstractNum w:abstractNumId="51">
    <w:multiLevelType w:val="hybridMultilevel"/>
    <w:lvl w:ilvl="0">
      <w:start w:val="1"/>
      <w:numFmt w:val="decimal"/>
      <w:lvlText w:val="%1）"/>
      <w:lvlJc w:val="left"/>
      <w:pPr>
        <w:ind w:left="10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20" w:hanging="316"/>
      </w:pPr>
      <w:rPr>
        <w:rFonts w:hint="default"/>
        <w:lang w:val="zh-CN" w:eastAsia="zh-CN" w:bidi="zh-CN"/>
      </w:rPr>
    </w:lvl>
    <w:lvl w:ilvl="2">
      <w:start w:val="0"/>
      <w:numFmt w:val="bullet"/>
      <w:lvlText w:val="•"/>
      <w:lvlJc w:val="left"/>
      <w:pPr>
        <w:ind w:left="2821" w:hanging="316"/>
      </w:pPr>
      <w:rPr>
        <w:rFonts w:hint="default"/>
        <w:lang w:val="zh-CN" w:eastAsia="zh-CN" w:bidi="zh-CN"/>
      </w:rPr>
    </w:lvl>
    <w:lvl w:ilvl="3">
      <w:start w:val="0"/>
      <w:numFmt w:val="bullet"/>
      <w:lvlText w:val="•"/>
      <w:lvlJc w:val="left"/>
      <w:pPr>
        <w:ind w:left="3721" w:hanging="316"/>
      </w:pPr>
      <w:rPr>
        <w:rFonts w:hint="default"/>
        <w:lang w:val="zh-CN" w:eastAsia="zh-CN" w:bidi="zh-CN"/>
      </w:rPr>
    </w:lvl>
    <w:lvl w:ilvl="4">
      <w:start w:val="0"/>
      <w:numFmt w:val="bullet"/>
      <w:lvlText w:val="•"/>
      <w:lvlJc w:val="left"/>
      <w:pPr>
        <w:ind w:left="4622" w:hanging="316"/>
      </w:pPr>
      <w:rPr>
        <w:rFonts w:hint="default"/>
        <w:lang w:val="zh-CN" w:eastAsia="zh-CN" w:bidi="zh-CN"/>
      </w:rPr>
    </w:lvl>
    <w:lvl w:ilvl="5">
      <w:start w:val="0"/>
      <w:numFmt w:val="bullet"/>
      <w:lvlText w:val="•"/>
      <w:lvlJc w:val="left"/>
      <w:pPr>
        <w:ind w:left="5523" w:hanging="316"/>
      </w:pPr>
      <w:rPr>
        <w:rFonts w:hint="default"/>
        <w:lang w:val="zh-CN" w:eastAsia="zh-CN" w:bidi="zh-CN"/>
      </w:rPr>
    </w:lvl>
    <w:lvl w:ilvl="6">
      <w:start w:val="0"/>
      <w:numFmt w:val="bullet"/>
      <w:lvlText w:val="•"/>
      <w:lvlJc w:val="left"/>
      <w:pPr>
        <w:ind w:left="6423" w:hanging="316"/>
      </w:pPr>
      <w:rPr>
        <w:rFonts w:hint="default"/>
        <w:lang w:val="zh-CN" w:eastAsia="zh-CN" w:bidi="zh-CN"/>
      </w:rPr>
    </w:lvl>
    <w:lvl w:ilvl="7">
      <w:start w:val="0"/>
      <w:numFmt w:val="bullet"/>
      <w:lvlText w:val="•"/>
      <w:lvlJc w:val="left"/>
      <w:pPr>
        <w:ind w:left="7324" w:hanging="316"/>
      </w:pPr>
      <w:rPr>
        <w:rFonts w:hint="default"/>
        <w:lang w:val="zh-CN" w:eastAsia="zh-CN" w:bidi="zh-CN"/>
      </w:rPr>
    </w:lvl>
    <w:lvl w:ilvl="8">
      <w:start w:val="0"/>
      <w:numFmt w:val="bullet"/>
      <w:lvlText w:val="•"/>
      <w:lvlJc w:val="left"/>
      <w:pPr>
        <w:ind w:left="8224" w:hanging="316"/>
      </w:pPr>
      <w:rPr>
        <w:rFonts w:hint="default"/>
        <w:lang w:val="zh-CN" w:eastAsia="zh-CN" w:bidi="zh-CN"/>
      </w:rPr>
    </w:lvl>
  </w:abstractNum>
  <w:abstractNum w:abstractNumId="50">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9">
    <w:multiLevelType w:val="hybridMultilevel"/>
    <w:lvl w:ilvl="0">
      <w:start w:val="1"/>
      <w:numFmt w:val="decimal"/>
      <w:lvlText w:val="%1）"/>
      <w:lvlJc w:val="left"/>
      <w:pPr>
        <w:ind w:left="294"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8"/>
      </w:pPr>
      <w:rPr>
        <w:rFonts w:hint="default"/>
        <w:lang w:val="zh-CN" w:eastAsia="zh-CN" w:bidi="zh-CN"/>
      </w:rPr>
    </w:lvl>
    <w:lvl w:ilvl="2">
      <w:start w:val="0"/>
      <w:numFmt w:val="bullet"/>
      <w:lvlText w:val="•"/>
      <w:lvlJc w:val="left"/>
      <w:pPr>
        <w:ind w:left="2245" w:hanging="318"/>
      </w:pPr>
      <w:rPr>
        <w:rFonts w:hint="default"/>
        <w:lang w:val="zh-CN" w:eastAsia="zh-CN" w:bidi="zh-CN"/>
      </w:rPr>
    </w:lvl>
    <w:lvl w:ilvl="3">
      <w:start w:val="0"/>
      <w:numFmt w:val="bullet"/>
      <w:lvlText w:val="•"/>
      <w:lvlJc w:val="left"/>
      <w:pPr>
        <w:ind w:left="3217" w:hanging="318"/>
      </w:pPr>
      <w:rPr>
        <w:rFonts w:hint="default"/>
        <w:lang w:val="zh-CN" w:eastAsia="zh-CN" w:bidi="zh-CN"/>
      </w:rPr>
    </w:lvl>
    <w:lvl w:ilvl="4">
      <w:start w:val="0"/>
      <w:numFmt w:val="bullet"/>
      <w:lvlText w:val="•"/>
      <w:lvlJc w:val="left"/>
      <w:pPr>
        <w:ind w:left="4190" w:hanging="318"/>
      </w:pPr>
      <w:rPr>
        <w:rFonts w:hint="default"/>
        <w:lang w:val="zh-CN" w:eastAsia="zh-CN" w:bidi="zh-CN"/>
      </w:rPr>
    </w:lvl>
    <w:lvl w:ilvl="5">
      <w:start w:val="0"/>
      <w:numFmt w:val="bullet"/>
      <w:lvlText w:val="•"/>
      <w:lvlJc w:val="left"/>
      <w:pPr>
        <w:ind w:left="5163" w:hanging="318"/>
      </w:pPr>
      <w:rPr>
        <w:rFonts w:hint="default"/>
        <w:lang w:val="zh-CN" w:eastAsia="zh-CN" w:bidi="zh-CN"/>
      </w:rPr>
    </w:lvl>
    <w:lvl w:ilvl="6">
      <w:start w:val="0"/>
      <w:numFmt w:val="bullet"/>
      <w:lvlText w:val="•"/>
      <w:lvlJc w:val="left"/>
      <w:pPr>
        <w:ind w:left="6135" w:hanging="318"/>
      </w:pPr>
      <w:rPr>
        <w:rFonts w:hint="default"/>
        <w:lang w:val="zh-CN" w:eastAsia="zh-CN" w:bidi="zh-CN"/>
      </w:rPr>
    </w:lvl>
    <w:lvl w:ilvl="7">
      <w:start w:val="0"/>
      <w:numFmt w:val="bullet"/>
      <w:lvlText w:val="•"/>
      <w:lvlJc w:val="left"/>
      <w:pPr>
        <w:ind w:left="7108" w:hanging="318"/>
      </w:pPr>
      <w:rPr>
        <w:rFonts w:hint="default"/>
        <w:lang w:val="zh-CN" w:eastAsia="zh-CN" w:bidi="zh-CN"/>
      </w:rPr>
    </w:lvl>
    <w:lvl w:ilvl="8">
      <w:start w:val="0"/>
      <w:numFmt w:val="bullet"/>
      <w:lvlText w:val="•"/>
      <w:lvlJc w:val="left"/>
      <w:pPr>
        <w:ind w:left="8080" w:hanging="318"/>
      </w:pPr>
      <w:rPr>
        <w:rFonts w:hint="default"/>
        <w:lang w:val="zh-CN" w:eastAsia="zh-CN" w:bidi="zh-CN"/>
      </w:rPr>
    </w:lvl>
  </w:abstractNum>
  <w:abstractNum w:abstractNumId="48">
    <w:multiLevelType w:val="hybridMultilevel"/>
    <w:lvl w:ilvl="0">
      <w:start w:val="1"/>
      <w:numFmt w:val="decimal"/>
      <w:lvlText w:val="%1）"/>
      <w:lvlJc w:val="left"/>
      <w:pPr>
        <w:ind w:left="294"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8"/>
      </w:pPr>
      <w:rPr>
        <w:rFonts w:hint="default"/>
        <w:lang w:val="zh-CN" w:eastAsia="zh-CN" w:bidi="zh-CN"/>
      </w:rPr>
    </w:lvl>
    <w:lvl w:ilvl="2">
      <w:start w:val="0"/>
      <w:numFmt w:val="bullet"/>
      <w:lvlText w:val="•"/>
      <w:lvlJc w:val="left"/>
      <w:pPr>
        <w:ind w:left="2245" w:hanging="318"/>
      </w:pPr>
      <w:rPr>
        <w:rFonts w:hint="default"/>
        <w:lang w:val="zh-CN" w:eastAsia="zh-CN" w:bidi="zh-CN"/>
      </w:rPr>
    </w:lvl>
    <w:lvl w:ilvl="3">
      <w:start w:val="0"/>
      <w:numFmt w:val="bullet"/>
      <w:lvlText w:val="•"/>
      <w:lvlJc w:val="left"/>
      <w:pPr>
        <w:ind w:left="3217" w:hanging="318"/>
      </w:pPr>
      <w:rPr>
        <w:rFonts w:hint="default"/>
        <w:lang w:val="zh-CN" w:eastAsia="zh-CN" w:bidi="zh-CN"/>
      </w:rPr>
    </w:lvl>
    <w:lvl w:ilvl="4">
      <w:start w:val="0"/>
      <w:numFmt w:val="bullet"/>
      <w:lvlText w:val="•"/>
      <w:lvlJc w:val="left"/>
      <w:pPr>
        <w:ind w:left="4190" w:hanging="318"/>
      </w:pPr>
      <w:rPr>
        <w:rFonts w:hint="default"/>
        <w:lang w:val="zh-CN" w:eastAsia="zh-CN" w:bidi="zh-CN"/>
      </w:rPr>
    </w:lvl>
    <w:lvl w:ilvl="5">
      <w:start w:val="0"/>
      <w:numFmt w:val="bullet"/>
      <w:lvlText w:val="•"/>
      <w:lvlJc w:val="left"/>
      <w:pPr>
        <w:ind w:left="5163" w:hanging="318"/>
      </w:pPr>
      <w:rPr>
        <w:rFonts w:hint="default"/>
        <w:lang w:val="zh-CN" w:eastAsia="zh-CN" w:bidi="zh-CN"/>
      </w:rPr>
    </w:lvl>
    <w:lvl w:ilvl="6">
      <w:start w:val="0"/>
      <w:numFmt w:val="bullet"/>
      <w:lvlText w:val="•"/>
      <w:lvlJc w:val="left"/>
      <w:pPr>
        <w:ind w:left="6135" w:hanging="318"/>
      </w:pPr>
      <w:rPr>
        <w:rFonts w:hint="default"/>
        <w:lang w:val="zh-CN" w:eastAsia="zh-CN" w:bidi="zh-CN"/>
      </w:rPr>
    </w:lvl>
    <w:lvl w:ilvl="7">
      <w:start w:val="0"/>
      <w:numFmt w:val="bullet"/>
      <w:lvlText w:val="•"/>
      <w:lvlJc w:val="left"/>
      <w:pPr>
        <w:ind w:left="7108" w:hanging="318"/>
      </w:pPr>
      <w:rPr>
        <w:rFonts w:hint="default"/>
        <w:lang w:val="zh-CN" w:eastAsia="zh-CN" w:bidi="zh-CN"/>
      </w:rPr>
    </w:lvl>
    <w:lvl w:ilvl="8">
      <w:start w:val="0"/>
      <w:numFmt w:val="bullet"/>
      <w:lvlText w:val="•"/>
      <w:lvlJc w:val="left"/>
      <w:pPr>
        <w:ind w:left="8080" w:hanging="318"/>
      </w:pPr>
      <w:rPr>
        <w:rFonts w:hint="default"/>
        <w:lang w:val="zh-CN" w:eastAsia="zh-CN" w:bidi="zh-CN"/>
      </w:rPr>
    </w:lvl>
  </w:abstractNum>
  <w:abstractNum w:abstractNumId="47">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6">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5">
    <w:multiLevelType w:val="hybridMultilevel"/>
    <w:lvl w:ilvl="0">
      <w:start w:val="2"/>
      <w:numFmt w:val="decimal"/>
      <w:lvlText w:val="%1）"/>
      <w:lvlJc w:val="left"/>
      <w:pPr>
        <w:ind w:left="294" w:hanging="361"/>
        <w:jc w:val="left"/>
      </w:pPr>
      <w:rPr>
        <w:rFonts w:hint="default" w:ascii="宋体" w:hAnsi="宋体" w:eastAsia="宋体" w:cs="宋体"/>
        <w:w w:val="100"/>
        <w:sz w:val="21"/>
        <w:szCs w:val="21"/>
        <w:lang w:val="zh-CN" w:eastAsia="zh-CN" w:bidi="zh-CN"/>
      </w:rPr>
    </w:lvl>
    <w:lvl w:ilvl="1">
      <w:start w:val="0"/>
      <w:numFmt w:val="bullet"/>
      <w:lvlText w:val="•"/>
      <w:lvlJc w:val="left"/>
      <w:pPr>
        <w:ind w:left="1272" w:hanging="361"/>
      </w:pPr>
      <w:rPr>
        <w:rFonts w:hint="default"/>
        <w:lang w:val="zh-CN" w:eastAsia="zh-CN" w:bidi="zh-CN"/>
      </w:rPr>
    </w:lvl>
    <w:lvl w:ilvl="2">
      <w:start w:val="0"/>
      <w:numFmt w:val="bullet"/>
      <w:lvlText w:val="•"/>
      <w:lvlJc w:val="left"/>
      <w:pPr>
        <w:ind w:left="2245" w:hanging="361"/>
      </w:pPr>
      <w:rPr>
        <w:rFonts w:hint="default"/>
        <w:lang w:val="zh-CN" w:eastAsia="zh-CN" w:bidi="zh-CN"/>
      </w:rPr>
    </w:lvl>
    <w:lvl w:ilvl="3">
      <w:start w:val="0"/>
      <w:numFmt w:val="bullet"/>
      <w:lvlText w:val="•"/>
      <w:lvlJc w:val="left"/>
      <w:pPr>
        <w:ind w:left="3217" w:hanging="361"/>
      </w:pPr>
      <w:rPr>
        <w:rFonts w:hint="default"/>
        <w:lang w:val="zh-CN" w:eastAsia="zh-CN" w:bidi="zh-CN"/>
      </w:rPr>
    </w:lvl>
    <w:lvl w:ilvl="4">
      <w:start w:val="0"/>
      <w:numFmt w:val="bullet"/>
      <w:lvlText w:val="•"/>
      <w:lvlJc w:val="left"/>
      <w:pPr>
        <w:ind w:left="4190" w:hanging="361"/>
      </w:pPr>
      <w:rPr>
        <w:rFonts w:hint="default"/>
        <w:lang w:val="zh-CN" w:eastAsia="zh-CN" w:bidi="zh-CN"/>
      </w:rPr>
    </w:lvl>
    <w:lvl w:ilvl="5">
      <w:start w:val="0"/>
      <w:numFmt w:val="bullet"/>
      <w:lvlText w:val="•"/>
      <w:lvlJc w:val="left"/>
      <w:pPr>
        <w:ind w:left="5163" w:hanging="361"/>
      </w:pPr>
      <w:rPr>
        <w:rFonts w:hint="default"/>
        <w:lang w:val="zh-CN" w:eastAsia="zh-CN" w:bidi="zh-CN"/>
      </w:rPr>
    </w:lvl>
    <w:lvl w:ilvl="6">
      <w:start w:val="0"/>
      <w:numFmt w:val="bullet"/>
      <w:lvlText w:val="•"/>
      <w:lvlJc w:val="left"/>
      <w:pPr>
        <w:ind w:left="6135" w:hanging="361"/>
      </w:pPr>
      <w:rPr>
        <w:rFonts w:hint="default"/>
        <w:lang w:val="zh-CN" w:eastAsia="zh-CN" w:bidi="zh-CN"/>
      </w:rPr>
    </w:lvl>
    <w:lvl w:ilvl="7">
      <w:start w:val="0"/>
      <w:numFmt w:val="bullet"/>
      <w:lvlText w:val="•"/>
      <w:lvlJc w:val="left"/>
      <w:pPr>
        <w:ind w:left="7108" w:hanging="361"/>
      </w:pPr>
      <w:rPr>
        <w:rFonts w:hint="default"/>
        <w:lang w:val="zh-CN" w:eastAsia="zh-CN" w:bidi="zh-CN"/>
      </w:rPr>
    </w:lvl>
    <w:lvl w:ilvl="8">
      <w:start w:val="0"/>
      <w:numFmt w:val="bullet"/>
      <w:lvlText w:val="•"/>
      <w:lvlJc w:val="left"/>
      <w:pPr>
        <w:ind w:left="8080" w:hanging="361"/>
      </w:pPr>
      <w:rPr>
        <w:rFonts w:hint="default"/>
        <w:lang w:val="zh-CN" w:eastAsia="zh-CN" w:bidi="zh-CN"/>
      </w:rPr>
    </w:lvl>
  </w:abstractNum>
  <w:abstractNum w:abstractNumId="44">
    <w:multiLevelType w:val="hybridMultilevel"/>
    <w:lvl w:ilvl="0">
      <w:start w:val="2"/>
      <w:numFmt w:val="decimal"/>
      <w:lvlText w:val="%1）"/>
      <w:lvlJc w:val="left"/>
      <w:pPr>
        <w:ind w:left="107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974" w:hanging="360"/>
      </w:pPr>
      <w:rPr>
        <w:rFonts w:hint="default"/>
        <w:lang w:val="zh-CN" w:eastAsia="zh-CN" w:bidi="zh-CN"/>
      </w:rPr>
    </w:lvl>
    <w:lvl w:ilvl="2">
      <w:start w:val="0"/>
      <w:numFmt w:val="bullet"/>
      <w:lvlText w:val="•"/>
      <w:lvlJc w:val="left"/>
      <w:pPr>
        <w:ind w:left="2869" w:hanging="360"/>
      </w:pPr>
      <w:rPr>
        <w:rFonts w:hint="default"/>
        <w:lang w:val="zh-CN" w:eastAsia="zh-CN" w:bidi="zh-CN"/>
      </w:rPr>
    </w:lvl>
    <w:lvl w:ilvl="3">
      <w:start w:val="0"/>
      <w:numFmt w:val="bullet"/>
      <w:lvlText w:val="•"/>
      <w:lvlJc w:val="left"/>
      <w:pPr>
        <w:ind w:left="3763" w:hanging="360"/>
      </w:pPr>
      <w:rPr>
        <w:rFonts w:hint="default"/>
        <w:lang w:val="zh-CN" w:eastAsia="zh-CN" w:bidi="zh-CN"/>
      </w:rPr>
    </w:lvl>
    <w:lvl w:ilvl="4">
      <w:start w:val="0"/>
      <w:numFmt w:val="bullet"/>
      <w:lvlText w:val="•"/>
      <w:lvlJc w:val="left"/>
      <w:pPr>
        <w:ind w:left="4658" w:hanging="360"/>
      </w:pPr>
      <w:rPr>
        <w:rFonts w:hint="default"/>
        <w:lang w:val="zh-CN" w:eastAsia="zh-CN" w:bidi="zh-CN"/>
      </w:rPr>
    </w:lvl>
    <w:lvl w:ilvl="5">
      <w:start w:val="0"/>
      <w:numFmt w:val="bullet"/>
      <w:lvlText w:val="•"/>
      <w:lvlJc w:val="left"/>
      <w:pPr>
        <w:ind w:left="5553" w:hanging="360"/>
      </w:pPr>
      <w:rPr>
        <w:rFonts w:hint="default"/>
        <w:lang w:val="zh-CN" w:eastAsia="zh-CN" w:bidi="zh-CN"/>
      </w:rPr>
    </w:lvl>
    <w:lvl w:ilvl="6">
      <w:start w:val="0"/>
      <w:numFmt w:val="bullet"/>
      <w:lvlText w:val="•"/>
      <w:lvlJc w:val="left"/>
      <w:pPr>
        <w:ind w:left="6447" w:hanging="360"/>
      </w:pPr>
      <w:rPr>
        <w:rFonts w:hint="default"/>
        <w:lang w:val="zh-CN" w:eastAsia="zh-CN" w:bidi="zh-CN"/>
      </w:rPr>
    </w:lvl>
    <w:lvl w:ilvl="7">
      <w:start w:val="0"/>
      <w:numFmt w:val="bullet"/>
      <w:lvlText w:val="•"/>
      <w:lvlJc w:val="left"/>
      <w:pPr>
        <w:ind w:left="7342" w:hanging="360"/>
      </w:pPr>
      <w:rPr>
        <w:rFonts w:hint="default"/>
        <w:lang w:val="zh-CN" w:eastAsia="zh-CN" w:bidi="zh-CN"/>
      </w:rPr>
    </w:lvl>
    <w:lvl w:ilvl="8">
      <w:start w:val="0"/>
      <w:numFmt w:val="bullet"/>
      <w:lvlText w:val="•"/>
      <w:lvlJc w:val="left"/>
      <w:pPr>
        <w:ind w:left="8236" w:hanging="360"/>
      </w:pPr>
      <w:rPr>
        <w:rFonts w:hint="default"/>
        <w:lang w:val="zh-CN" w:eastAsia="zh-CN" w:bidi="zh-CN"/>
      </w:rPr>
    </w:lvl>
  </w:abstractNum>
  <w:abstractNum w:abstractNumId="43">
    <w:multiLevelType w:val="hybridMultilevel"/>
    <w:lvl w:ilvl="0">
      <w:start w:val="1"/>
      <w:numFmt w:val="decimal"/>
      <w:lvlText w:val="(%1)"/>
      <w:lvlJc w:val="left"/>
      <w:pPr>
        <w:ind w:left="714"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1650" w:hanging="360"/>
      </w:pPr>
      <w:rPr>
        <w:rFonts w:hint="default"/>
        <w:lang w:val="zh-CN" w:eastAsia="zh-CN" w:bidi="zh-CN"/>
      </w:rPr>
    </w:lvl>
    <w:lvl w:ilvl="2">
      <w:start w:val="0"/>
      <w:numFmt w:val="bullet"/>
      <w:lvlText w:val="•"/>
      <w:lvlJc w:val="left"/>
      <w:pPr>
        <w:ind w:left="2581" w:hanging="360"/>
      </w:pPr>
      <w:rPr>
        <w:rFonts w:hint="default"/>
        <w:lang w:val="zh-CN" w:eastAsia="zh-CN" w:bidi="zh-CN"/>
      </w:rPr>
    </w:lvl>
    <w:lvl w:ilvl="3">
      <w:start w:val="0"/>
      <w:numFmt w:val="bullet"/>
      <w:lvlText w:val="•"/>
      <w:lvlJc w:val="left"/>
      <w:pPr>
        <w:ind w:left="3511" w:hanging="360"/>
      </w:pPr>
      <w:rPr>
        <w:rFonts w:hint="default"/>
        <w:lang w:val="zh-CN" w:eastAsia="zh-CN" w:bidi="zh-CN"/>
      </w:rPr>
    </w:lvl>
    <w:lvl w:ilvl="4">
      <w:start w:val="0"/>
      <w:numFmt w:val="bullet"/>
      <w:lvlText w:val="•"/>
      <w:lvlJc w:val="left"/>
      <w:pPr>
        <w:ind w:left="4442" w:hanging="360"/>
      </w:pPr>
      <w:rPr>
        <w:rFonts w:hint="default"/>
        <w:lang w:val="zh-CN" w:eastAsia="zh-CN" w:bidi="zh-CN"/>
      </w:rPr>
    </w:lvl>
    <w:lvl w:ilvl="5">
      <w:start w:val="0"/>
      <w:numFmt w:val="bullet"/>
      <w:lvlText w:val="•"/>
      <w:lvlJc w:val="left"/>
      <w:pPr>
        <w:ind w:left="5373" w:hanging="360"/>
      </w:pPr>
      <w:rPr>
        <w:rFonts w:hint="default"/>
        <w:lang w:val="zh-CN" w:eastAsia="zh-CN" w:bidi="zh-CN"/>
      </w:rPr>
    </w:lvl>
    <w:lvl w:ilvl="6">
      <w:start w:val="0"/>
      <w:numFmt w:val="bullet"/>
      <w:lvlText w:val="•"/>
      <w:lvlJc w:val="left"/>
      <w:pPr>
        <w:ind w:left="6303" w:hanging="360"/>
      </w:pPr>
      <w:rPr>
        <w:rFonts w:hint="default"/>
        <w:lang w:val="zh-CN" w:eastAsia="zh-CN" w:bidi="zh-CN"/>
      </w:rPr>
    </w:lvl>
    <w:lvl w:ilvl="7">
      <w:start w:val="0"/>
      <w:numFmt w:val="bullet"/>
      <w:lvlText w:val="•"/>
      <w:lvlJc w:val="left"/>
      <w:pPr>
        <w:ind w:left="7234" w:hanging="360"/>
      </w:pPr>
      <w:rPr>
        <w:rFonts w:hint="default"/>
        <w:lang w:val="zh-CN" w:eastAsia="zh-CN" w:bidi="zh-CN"/>
      </w:rPr>
    </w:lvl>
    <w:lvl w:ilvl="8">
      <w:start w:val="0"/>
      <w:numFmt w:val="bullet"/>
      <w:lvlText w:val="•"/>
      <w:lvlJc w:val="left"/>
      <w:pPr>
        <w:ind w:left="8164" w:hanging="360"/>
      </w:pPr>
      <w:rPr>
        <w:rFonts w:hint="default"/>
        <w:lang w:val="zh-CN" w:eastAsia="zh-CN" w:bidi="zh-CN"/>
      </w:rPr>
    </w:lvl>
  </w:abstractNum>
  <w:abstractNum w:abstractNumId="42">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1">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0">
    <w:multiLevelType w:val="hybridMultilevel"/>
    <w:lvl w:ilvl="0">
      <w:start w:val="1"/>
      <w:numFmt w:val="decimal"/>
      <w:lvlText w:val="（%1）"/>
      <w:lvlJc w:val="left"/>
      <w:pPr>
        <w:ind w:left="294" w:hanging="529"/>
        <w:jc w:val="righ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29"/>
      </w:pPr>
      <w:rPr>
        <w:rFonts w:hint="default"/>
        <w:lang w:val="zh-CN" w:eastAsia="zh-CN" w:bidi="zh-CN"/>
      </w:rPr>
    </w:lvl>
    <w:lvl w:ilvl="2">
      <w:start w:val="0"/>
      <w:numFmt w:val="bullet"/>
      <w:lvlText w:val="•"/>
      <w:lvlJc w:val="left"/>
      <w:pPr>
        <w:ind w:left="2245" w:hanging="529"/>
      </w:pPr>
      <w:rPr>
        <w:rFonts w:hint="default"/>
        <w:lang w:val="zh-CN" w:eastAsia="zh-CN" w:bidi="zh-CN"/>
      </w:rPr>
    </w:lvl>
    <w:lvl w:ilvl="3">
      <w:start w:val="0"/>
      <w:numFmt w:val="bullet"/>
      <w:lvlText w:val="•"/>
      <w:lvlJc w:val="left"/>
      <w:pPr>
        <w:ind w:left="3217" w:hanging="529"/>
      </w:pPr>
      <w:rPr>
        <w:rFonts w:hint="default"/>
        <w:lang w:val="zh-CN" w:eastAsia="zh-CN" w:bidi="zh-CN"/>
      </w:rPr>
    </w:lvl>
    <w:lvl w:ilvl="4">
      <w:start w:val="0"/>
      <w:numFmt w:val="bullet"/>
      <w:lvlText w:val="•"/>
      <w:lvlJc w:val="left"/>
      <w:pPr>
        <w:ind w:left="4190" w:hanging="529"/>
      </w:pPr>
      <w:rPr>
        <w:rFonts w:hint="default"/>
        <w:lang w:val="zh-CN" w:eastAsia="zh-CN" w:bidi="zh-CN"/>
      </w:rPr>
    </w:lvl>
    <w:lvl w:ilvl="5">
      <w:start w:val="0"/>
      <w:numFmt w:val="bullet"/>
      <w:lvlText w:val="•"/>
      <w:lvlJc w:val="left"/>
      <w:pPr>
        <w:ind w:left="516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108" w:hanging="529"/>
      </w:pPr>
      <w:rPr>
        <w:rFonts w:hint="default"/>
        <w:lang w:val="zh-CN" w:eastAsia="zh-CN" w:bidi="zh-CN"/>
      </w:rPr>
    </w:lvl>
    <w:lvl w:ilvl="8">
      <w:start w:val="0"/>
      <w:numFmt w:val="bullet"/>
      <w:lvlText w:val="•"/>
      <w:lvlJc w:val="left"/>
      <w:pPr>
        <w:ind w:left="8080" w:hanging="529"/>
      </w:pPr>
      <w:rPr>
        <w:rFonts w:hint="default"/>
        <w:lang w:val="zh-CN" w:eastAsia="zh-CN" w:bidi="zh-CN"/>
      </w:rPr>
    </w:lvl>
  </w:abstractNum>
  <w:abstractNum w:abstractNumId="39">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38">
    <w:multiLevelType w:val="hybridMultilevel"/>
    <w:lvl w:ilvl="0">
      <w:start w:val="1"/>
      <w:numFmt w:val="decimal"/>
      <w:lvlText w:val="(%1)"/>
      <w:lvlJc w:val="left"/>
      <w:pPr>
        <w:ind w:left="924" w:hanging="735"/>
        <w:jc w:val="left"/>
      </w:pPr>
      <w:rPr>
        <w:rFonts w:hint="default" w:ascii="宋体" w:hAnsi="宋体" w:eastAsia="宋体" w:cs="宋体"/>
        <w:spacing w:val="-100"/>
        <w:w w:val="100"/>
        <w:sz w:val="21"/>
        <w:szCs w:val="21"/>
        <w:lang w:val="zh-CN" w:eastAsia="zh-CN" w:bidi="zh-CN"/>
      </w:rPr>
    </w:lvl>
    <w:lvl w:ilvl="1">
      <w:start w:val="0"/>
      <w:numFmt w:val="bullet"/>
      <w:lvlText w:val="•"/>
      <w:lvlJc w:val="left"/>
      <w:pPr>
        <w:ind w:left="1830" w:hanging="735"/>
      </w:pPr>
      <w:rPr>
        <w:rFonts w:hint="default"/>
        <w:lang w:val="zh-CN" w:eastAsia="zh-CN" w:bidi="zh-CN"/>
      </w:rPr>
    </w:lvl>
    <w:lvl w:ilvl="2">
      <w:start w:val="0"/>
      <w:numFmt w:val="bullet"/>
      <w:lvlText w:val="•"/>
      <w:lvlJc w:val="left"/>
      <w:pPr>
        <w:ind w:left="2741" w:hanging="735"/>
      </w:pPr>
      <w:rPr>
        <w:rFonts w:hint="default"/>
        <w:lang w:val="zh-CN" w:eastAsia="zh-CN" w:bidi="zh-CN"/>
      </w:rPr>
    </w:lvl>
    <w:lvl w:ilvl="3">
      <w:start w:val="0"/>
      <w:numFmt w:val="bullet"/>
      <w:lvlText w:val="•"/>
      <w:lvlJc w:val="left"/>
      <w:pPr>
        <w:ind w:left="3651" w:hanging="735"/>
      </w:pPr>
      <w:rPr>
        <w:rFonts w:hint="default"/>
        <w:lang w:val="zh-CN" w:eastAsia="zh-CN" w:bidi="zh-CN"/>
      </w:rPr>
    </w:lvl>
    <w:lvl w:ilvl="4">
      <w:start w:val="0"/>
      <w:numFmt w:val="bullet"/>
      <w:lvlText w:val="•"/>
      <w:lvlJc w:val="left"/>
      <w:pPr>
        <w:ind w:left="4562" w:hanging="735"/>
      </w:pPr>
      <w:rPr>
        <w:rFonts w:hint="default"/>
        <w:lang w:val="zh-CN" w:eastAsia="zh-CN" w:bidi="zh-CN"/>
      </w:rPr>
    </w:lvl>
    <w:lvl w:ilvl="5">
      <w:start w:val="0"/>
      <w:numFmt w:val="bullet"/>
      <w:lvlText w:val="•"/>
      <w:lvlJc w:val="left"/>
      <w:pPr>
        <w:ind w:left="5473" w:hanging="735"/>
      </w:pPr>
      <w:rPr>
        <w:rFonts w:hint="default"/>
        <w:lang w:val="zh-CN" w:eastAsia="zh-CN" w:bidi="zh-CN"/>
      </w:rPr>
    </w:lvl>
    <w:lvl w:ilvl="6">
      <w:start w:val="0"/>
      <w:numFmt w:val="bullet"/>
      <w:lvlText w:val="•"/>
      <w:lvlJc w:val="left"/>
      <w:pPr>
        <w:ind w:left="6383" w:hanging="735"/>
      </w:pPr>
      <w:rPr>
        <w:rFonts w:hint="default"/>
        <w:lang w:val="zh-CN" w:eastAsia="zh-CN" w:bidi="zh-CN"/>
      </w:rPr>
    </w:lvl>
    <w:lvl w:ilvl="7">
      <w:start w:val="0"/>
      <w:numFmt w:val="bullet"/>
      <w:lvlText w:val="•"/>
      <w:lvlJc w:val="left"/>
      <w:pPr>
        <w:ind w:left="7294" w:hanging="735"/>
      </w:pPr>
      <w:rPr>
        <w:rFonts w:hint="default"/>
        <w:lang w:val="zh-CN" w:eastAsia="zh-CN" w:bidi="zh-CN"/>
      </w:rPr>
    </w:lvl>
    <w:lvl w:ilvl="8">
      <w:start w:val="0"/>
      <w:numFmt w:val="bullet"/>
      <w:lvlText w:val="•"/>
      <w:lvlJc w:val="left"/>
      <w:pPr>
        <w:ind w:left="8204" w:hanging="735"/>
      </w:pPr>
      <w:rPr>
        <w:rFonts w:hint="default"/>
        <w:lang w:val="zh-CN" w:eastAsia="zh-CN" w:bidi="zh-CN"/>
      </w:rPr>
    </w:lvl>
  </w:abstractNum>
  <w:abstractNum w:abstractNumId="37">
    <w:multiLevelType w:val="hybridMultilevel"/>
    <w:lvl w:ilvl="0">
      <w:start w:val="1"/>
      <w:numFmt w:val="decimal"/>
      <w:lvlText w:val="(%1)"/>
      <w:lvlJc w:val="left"/>
      <w:pPr>
        <w:ind w:left="1074" w:hanging="360"/>
        <w:jc w:val="left"/>
      </w:pPr>
      <w:rPr>
        <w:rFonts w:hint="default" w:ascii="宋体" w:hAnsi="宋体" w:eastAsia="宋体" w:cs="宋体"/>
        <w:w w:val="100"/>
        <w:sz w:val="21"/>
        <w:szCs w:val="21"/>
        <w:lang w:val="zh-CN" w:eastAsia="zh-CN" w:bidi="zh-CN"/>
      </w:rPr>
    </w:lvl>
    <w:lvl w:ilvl="1">
      <w:start w:val="1"/>
      <w:numFmt w:val="decimal"/>
      <w:lvlText w:val="(%2)"/>
      <w:lvlJc w:val="left"/>
      <w:pPr>
        <w:ind w:left="924" w:hanging="420"/>
        <w:jc w:val="left"/>
      </w:pPr>
      <w:rPr>
        <w:rFonts w:hint="default" w:ascii="宋体" w:hAnsi="宋体" w:eastAsia="宋体" w:cs="宋体"/>
        <w:w w:val="100"/>
        <w:sz w:val="21"/>
        <w:szCs w:val="21"/>
        <w:lang w:val="zh-CN" w:eastAsia="zh-CN" w:bidi="zh-CN"/>
      </w:rPr>
    </w:lvl>
    <w:lvl w:ilvl="2">
      <w:start w:val="0"/>
      <w:numFmt w:val="bullet"/>
      <w:lvlText w:val="•"/>
      <w:lvlJc w:val="left"/>
      <w:pPr>
        <w:ind w:left="2074" w:hanging="420"/>
      </w:pPr>
      <w:rPr>
        <w:rFonts w:hint="default"/>
        <w:lang w:val="zh-CN" w:eastAsia="zh-CN" w:bidi="zh-CN"/>
      </w:rPr>
    </w:lvl>
    <w:lvl w:ilvl="3">
      <w:start w:val="0"/>
      <w:numFmt w:val="bullet"/>
      <w:lvlText w:val="•"/>
      <w:lvlJc w:val="left"/>
      <w:pPr>
        <w:ind w:left="3068" w:hanging="420"/>
      </w:pPr>
      <w:rPr>
        <w:rFonts w:hint="default"/>
        <w:lang w:val="zh-CN" w:eastAsia="zh-CN" w:bidi="zh-CN"/>
      </w:rPr>
    </w:lvl>
    <w:lvl w:ilvl="4">
      <w:start w:val="0"/>
      <w:numFmt w:val="bullet"/>
      <w:lvlText w:val="•"/>
      <w:lvlJc w:val="left"/>
      <w:pPr>
        <w:ind w:left="4062" w:hanging="420"/>
      </w:pPr>
      <w:rPr>
        <w:rFonts w:hint="default"/>
        <w:lang w:val="zh-CN" w:eastAsia="zh-CN" w:bidi="zh-CN"/>
      </w:rPr>
    </w:lvl>
    <w:lvl w:ilvl="5">
      <w:start w:val="0"/>
      <w:numFmt w:val="bullet"/>
      <w:lvlText w:val="•"/>
      <w:lvlJc w:val="left"/>
      <w:pPr>
        <w:ind w:left="5056" w:hanging="420"/>
      </w:pPr>
      <w:rPr>
        <w:rFonts w:hint="default"/>
        <w:lang w:val="zh-CN" w:eastAsia="zh-CN" w:bidi="zh-CN"/>
      </w:rPr>
    </w:lvl>
    <w:lvl w:ilvl="6">
      <w:start w:val="0"/>
      <w:numFmt w:val="bullet"/>
      <w:lvlText w:val="•"/>
      <w:lvlJc w:val="left"/>
      <w:pPr>
        <w:ind w:left="6050" w:hanging="420"/>
      </w:pPr>
      <w:rPr>
        <w:rFonts w:hint="default"/>
        <w:lang w:val="zh-CN" w:eastAsia="zh-CN" w:bidi="zh-CN"/>
      </w:rPr>
    </w:lvl>
    <w:lvl w:ilvl="7">
      <w:start w:val="0"/>
      <w:numFmt w:val="bullet"/>
      <w:lvlText w:val="•"/>
      <w:lvlJc w:val="left"/>
      <w:pPr>
        <w:ind w:left="7044" w:hanging="420"/>
      </w:pPr>
      <w:rPr>
        <w:rFonts w:hint="default"/>
        <w:lang w:val="zh-CN" w:eastAsia="zh-CN" w:bidi="zh-CN"/>
      </w:rPr>
    </w:lvl>
    <w:lvl w:ilvl="8">
      <w:start w:val="0"/>
      <w:numFmt w:val="bullet"/>
      <w:lvlText w:val="•"/>
      <w:lvlJc w:val="left"/>
      <w:pPr>
        <w:ind w:left="8038" w:hanging="420"/>
      </w:pPr>
      <w:rPr>
        <w:rFonts w:hint="default"/>
        <w:lang w:val="zh-CN" w:eastAsia="zh-CN" w:bidi="zh-CN"/>
      </w:rPr>
    </w:lvl>
  </w:abstractNum>
  <w:abstractNum w:abstractNumId="36">
    <w:multiLevelType w:val="hybridMultilevel"/>
    <w:lvl w:ilvl="0">
      <w:start w:val="1"/>
      <w:numFmt w:val="decimal"/>
      <w:lvlText w:val="(%1)"/>
      <w:lvlJc w:val="left"/>
      <w:pPr>
        <w:ind w:left="113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917" w:hanging="420"/>
      </w:pPr>
      <w:rPr>
        <w:rFonts w:hint="default"/>
        <w:lang w:val="zh-CN" w:eastAsia="zh-CN" w:bidi="zh-CN"/>
      </w:rPr>
    </w:lvl>
    <w:lvl w:ilvl="3">
      <w:start w:val="0"/>
      <w:numFmt w:val="bullet"/>
      <w:lvlText w:val="•"/>
      <w:lvlJc w:val="left"/>
      <w:pPr>
        <w:ind w:left="3805" w:hanging="420"/>
      </w:pPr>
      <w:rPr>
        <w:rFonts w:hint="default"/>
        <w:lang w:val="zh-CN" w:eastAsia="zh-CN" w:bidi="zh-CN"/>
      </w:rPr>
    </w:lvl>
    <w:lvl w:ilvl="4">
      <w:start w:val="0"/>
      <w:numFmt w:val="bullet"/>
      <w:lvlText w:val="•"/>
      <w:lvlJc w:val="left"/>
      <w:pPr>
        <w:ind w:left="4694" w:hanging="420"/>
      </w:pPr>
      <w:rPr>
        <w:rFonts w:hint="default"/>
        <w:lang w:val="zh-CN" w:eastAsia="zh-CN" w:bidi="zh-CN"/>
      </w:rPr>
    </w:lvl>
    <w:lvl w:ilvl="5">
      <w:start w:val="0"/>
      <w:numFmt w:val="bullet"/>
      <w:lvlText w:val="•"/>
      <w:lvlJc w:val="left"/>
      <w:pPr>
        <w:ind w:left="5583" w:hanging="420"/>
      </w:pPr>
      <w:rPr>
        <w:rFonts w:hint="default"/>
        <w:lang w:val="zh-CN" w:eastAsia="zh-CN" w:bidi="zh-CN"/>
      </w:rPr>
    </w:lvl>
    <w:lvl w:ilvl="6">
      <w:start w:val="0"/>
      <w:numFmt w:val="bullet"/>
      <w:lvlText w:val="•"/>
      <w:lvlJc w:val="left"/>
      <w:pPr>
        <w:ind w:left="6471" w:hanging="420"/>
      </w:pPr>
      <w:rPr>
        <w:rFonts w:hint="default"/>
        <w:lang w:val="zh-CN" w:eastAsia="zh-CN" w:bidi="zh-CN"/>
      </w:rPr>
    </w:lvl>
    <w:lvl w:ilvl="7">
      <w:start w:val="0"/>
      <w:numFmt w:val="bullet"/>
      <w:lvlText w:val="•"/>
      <w:lvlJc w:val="left"/>
      <w:pPr>
        <w:ind w:left="7360" w:hanging="420"/>
      </w:pPr>
      <w:rPr>
        <w:rFonts w:hint="default"/>
        <w:lang w:val="zh-CN" w:eastAsia="zh-CN" w:bidi="zh-CN"/>
      </w:rPr>
    </w:lvl>
    <w:lvl w:ilvl="8">
      <w:start w:val="0"/>
      <w:numFmt w:val="bullet"/>
      <w:lvlText w:val="•"/>
      <w:lvlJc w:val="left"/>
      <w:pPr>
        <w:ind w:left="8248" w:hanging="420"/>
      </w:pPr>
      <w:rPr>
        <w:rFonts w:hint="default"/>
        <w:lang w:val="zh-CN" w:eastAsia="zh-CN" w:bidi="zh-CN"/>
      </w:rPr>
    </w:lvl>
  </w:abstractNum>
  <w:abstractNum w:abstractNumId="35">
    <w:multiLevelType w:val="hybridMultilevel"/>
    <w:lvl w:ilvl="0">
      <w:start w:val="1"/>
      <w:numFmt w:val="decimal"/>
      <w:lvlText w:val="（%1）"/>
      <w:lvlJc w:val="left"/>
      <w:pPr>
        <w:ind w:left="294" w:hanging="530"/>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0"/>
      </w:pPr>
      <w:rPr>
        <w:rFonts w:hint="default"/>
        <w:lang w:val="zh-CN" w:eastAsia="zh-CN" w:bidi="zh-CN"/>
      </w:rPr>
    </w:lvl>
    <w:lvl w:ilvl="2">
      <w:start w:val="0"/>
      <w:numFmt w:val="bullet"/>
      <w:lvlText w:val="•"/>
      <w:lvlJc w:val="left"/>
      <w:pPr>
        <w:ind w:left="2245" w:hanging="530"/>
      </w:pPr>
      <w:rPr>
        <w:rFonts w:hint="default"/>
        <w:lang w:val="zh-CN" w:eastAsia="zh-CN" w:bidi="zh-CN"/>
      </w:rPr>
    </w:lvl>
    <w:lvl w:ilvl="3">
      <w:start w:val="0"/>
      <w:numFmt w:val="bullet"/>
      <w:lvlText w:val="•"/>
      <w:lvlJc w:val="left"/>
      <w:pPr>
        <w:ind w:left="3217" w:hanging="530"/>
      </w:pPr>
      <w:rPr>
        <w:rFonts w:hint="default"/>
        <w:lang w:val="zh-CN" w:eastAsia="zh-CN" w:bidi="zh-CN"/>
      </w:rPr>
    </w:lvl>
    <w:lvl w:ilvl="4">
      <w:start w:val="0"/>
      <w:numFmt w:val="bullet"/>
      <w:lvlText w:val="•"/>
      <w:lvlJc w:val="left"/>
      <w:pPr>
        <w:ind w:left="4190" w:hanging="530"/>
      </w:pPr>
      <w:rPr>
        <w:rFonts w:hint="default"/>
        <w:lang w:val="zh-CN" w:eastAsia="zh-CN" w:bidi="zh-CN"/>
      </w:rPr>
    </w:lvl>
    <w:lvl w:ilvl="5">
      <w:start w:val="0"/>
      <w:numFmt w:val="bullet"/>
      <w:lvlText w:val="•"/>
      <w:lvlJc w:val="left"/>
      <w:pPr>
        <w:ind w:left="5163" w:hanging="530"/>
      </w:pPr>
      <w:rPr>
        <w:rFonts w:hint="default"/>
        <w:lang w:val="zh-CN" w:eastAsia="zh-CN" w:bidi="zh-CN"/>
      </w:rPr>
    </w:lvl>
    <w:lvl w:ilvl="6">
      <w:start w:val="0"/>
      <w:numFmt w:val="bullet"/>
      <w:lvlText w:val="•"/>
      <w:lvlJc w:val="left"/>
      <w:pPr>
        <w:ind w:left="6135" w:hanging="530"/>
      </w:pPr>
      <w:rPr>
        <w:rFonts w:hint="default"/>
        <w:lang w:val="zh-CN" w:eastAsia="zh-CN" w:bidi="zh-CN"/>
      </w:rPr>
    </w:lvl>
    <w:lvl w:ilvl="7">
      <w:start w:val="0"/>
      <w:numFmt w:val="bullet"/>
      <w:lvlText w:val="•"/>
      <w:lvlJc w:val="left"/>
      <w:pPr>
        <w:ind w:left="7108" w:hanging="530"/>
      </w:pPr>
      <w:rPr>
        <w:rFonts w:hint="default"/>
        <w:lang w:val="zh-CN" w:eastAsia="zh-CN" w:bidi="zh-CN"/>
      </w:rPr>
    </w:lvl>
    <w:lvl w:ilvl="8">
      <w:start w:val="0"/>
      <w:numFmt w:val="bullet"/>
      <w:lvlText w:val="•"/>
      <w:lvlJc w:val="left"/>
      <w:pPr>
        <w:ind w:left="8080" w:hanging="530"/>
      </w:pPr>
      <w:rPr>
        <w:rFonts w:hint="default"/>
        <w:lang w:val="zh-CN" w:eastAsia="zh-CN" w:bidi="zh-CN"/>
      </w:rPr>
    </w:lvl>
  </w:abstractNum>
  <w:abstractNum w:abstractNumId="34">
    <w:multiLevelType w:val="hybridMultilevel"/>
    <w:lvl w:ilvl="0">
      <w:start w:val="1"/>
      <w:numFmt w:val="decimal"/>
      <w:lvlText w:val="（%1）"/>
      <w:lvlJc w:val="left"/>
      <w:pPr>
        <w:ind w:left="1277"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54" w:hanging="526"/>
      </w:pPr>
      <w:rPr>
        <w:rFonts w:hint="default"/>
        <w:lang w:val="zh-CN" w:eastAsia="zh-CN" w:bidi="zh-CN"/>
      </w:rPr>
    </w:lvl>
    <w:lvl w:ilvl="2">
      <w:start w:val="0"/>
      <w:numFmt w:val="bullet"/>
      <w:lvlText w:val="•"/>
      <w:lvlJc w:val="left"/>
      <w:pPr>
        <w:ind w:left="3029" w:hanging="526"/>
      </w:pPr>
      <w:rPr>
        <w:rFonts w:hint="default"/>
        <w:lang w:val="zh-CN" w:eastAsia="zh-CN" w:bidi="zh-CN"/>
      </w:rPr>
    </w:lvl>
    <w:lvl w:ilvl="3">
      <w:start w:val="0"/>
      <w:numFmt w:val="bullet"/>
      <w:lvlText w:val="•"/>
      <w:lvlJc w:val="left"/>
      <w:pPr>
        <w:ind w:left="3903" w:hanging="526"/>
      </w:pPr>
      <w:rPr>
        <w:rFonts w:hint="default"/>
        <w:lang w:val="zh-CN" w:eastAsia="zh-CN" w:bidi="zh-CN"/>
      </w:rPr>
    </w:lvl>
    <w:lvl w:ilvl="4">
      <w:start w:val="0"/>
      <w:numFmt w:val="bullet"/>
      <w:lvlText w:val="•"/>
      <w:lvlJc w:val="left"/>
      <w:pPr>
        <w:ind w:left="477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527" w:hanging="526"/>
      </w:pPr>
      <w:rPr>
        <w:rFonts w:hint="default"/>
        <w:lang w:val="zh-CN" w:eastAsia="zh-CN" w:bidi="zh-CN"/>
      </w:rPr>
    </w:lvl>
    <w:lvl w:ilvl="7">
      <w:start w:val="0"/>
      <w:numFmt w:val="bullet"/>
      <w:lvlText w:val="•"/>
      <w:lvlJc w:val="left"/>
      <w:pPr>
        <w:ind w:left="7402" w:hanging="526"/>
      </w:pPr>
      <w:rPr>
        <w:rFonts w:hint="default"/>
        <w:lang w:val="zh-CN" w:eastAsia="zh-CN" w:bidi="zh-CN"/>
      </w:rPr>
    </w:lvl>
    <w:lvl w:ilvl="8">
      <w:start w:val="0"/>
      <w:numFmt w:val="bullet"/>
      <w:lvlText w:val="•"/>
      <w:lvlJc w:val="left"/>
      <w:pPr>
        <w:ind w:left="8276" w:hanging="526"/>
      </w:pPr>
      <w:rPr>
        <w:rFonts w:hint="default"/>
        <w:lang w:val="zh-CN" w:eastAsia="zh-CN" w:bidi="zh-CN"/>
      </w:rPr>
    </w:lvl>
  </w:abstractNum>
  <w:abstractNum w:abstractNumId="33">
    <w:multiLevelType w:val="hybridMultilevel"/>
    <w:lvl w:ilvl="0">
      <w:start w:val="1"/>
      <w:numFmt w:val="decimal"/>
      <w:lvlText w:val="%1）"/>
      <w:lvlJc w:val="left"/>
      <w:pPr>
        <w:ind w:left="294" w:hanging="31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245" w:hanging="316"/>
      </w:pPr>
      <w:rPr>
        <w:rFonts w:hint="default"/>
        <w:lang w:val="zh-CN" w:eastAsia="zh-CN" w:bidi="zh-CN"/>
      </w:rPr>
    </w:lvl>
    <w:lvl w:ilvl="3">
      <w:start w:val="0"/>
      <w:numFmt w:val="bullet"/>
      <w:lvlText w:val="•"/>
      <w:lvlJc w:val="left"/>
      <w:pPr>
        <w:ind w:left="3217" w:hanging="316"/>
      </w:pPr>
      <w:rPr>
        <w:rFonts w:hint="default"/>
        <w:lang w:val="zh-CN" w:eastAsia="zh-CN" w:bidi="zh-CN"/>
      </w:rPr>
    </w:lvl>
    <w:lvl w:ilvl="4">
      <w:start w:val="0"/>
      <w:numFmt w:val="bullet"/>
      <w:lvlText w:val="•"/>
      <w:lvlJc w:val="left"/>
      <w:pPr>
        <w:ind w:left="4190" w:hanging="316"/>
      </w:pPr>
      <w:rPr>
        <w:rFonts w:hint="default"/>
        <w:lang w:val="zh-CN" w:eastAsia="zh-CN" w:bidi="zh-CN"/>
      </w:rPr>
    </w:lvl>
    <w:lvl w:ilvl="5">
      <w:start w:val="0"/>
      <w:numFmt w:val="bullet"/>
      <w:lvlText w:val="•"/>
      <w:lvlJc w:val="left"/>
      <w:pPr>
        <w:ind w:left="5163" w:hanging="316"/>
      </w:pPr>
      <w:rPr>
        <w:rFonts w:hint="default"/>
        <w:lang w:val="zh-CN" w:eastAsia="zh-CN" w:bidi="zh-CN"/>
      </w:rPr>
    </w:lvl>
    <w:lvl w:ilvl="6">
      <w:start w:val="0"/>
      <w:numFmt w:val="bullet"/>
      <w:lvlText w:val="•"/>
      <w:lvlJc w:val="left"/>
      <w:pPr>
        <w:ind w:left="6135" w:hanging="316"/>
      </w:pPr>
      <w:rPr>
        <w:rFonts w:hint="default"/>
        <w:lang w:val="zh-CN" w:eastAsia="zh-CN" w:bidi="zh-CN"/>
      </w:rPr>
    </w:lvl>
    <w:lvl w:ilvl="7">
      <w:start w:val="0"/>
      <w:numFmt w:val="bullet"/>
      <w:lvlText w:val="•"/>
      <w:lvlJc w:val="left"/>
      <w:pPr>
        <w:ind w:left="7108" w:hanging="316"/>
      </w:pPr>
      <w:rPr>
        <w:rFonts w:hint="default"/>
        <w:lang w:val="zh-CN" w:eastAsia="zh-CN" w:bidi="zh-CN"/>
      </w:rPr>
    </w:lvl>
    <w:lvl w:ilvl="8">
      <w:start w:val="0"/>
      <w:numFmt w:val="bullet"/>
      <w:lvlText w:val="•"/>
      <w:lvlJc w:val="left"/>
      <w:pPr>
        <w:ind w:left="8080" w:hanging="316"/>
      </w:pPr>
      <w:rPr>
        <w:rFonts w:hint="default"/>
        <w:lang w:val="zh-CN" w:eastAsia="zh-CN" w:bidi="zh-CN"/>
      </w:rPr>
    </w:lvl>
  </w:abstractNum>
  <w:abstractNum w:abstractNumId="32">
    <w:multiLevelType w:val="hybridMultilevel"/>
    <w:lvl w:ilvl="0">
      <w:start w:val="1"/>
      <w:numFmt w:val="decimal"/>
      <w:lvlText w:val="（%1）"/>
      <w:lvlJc w:val="left"/>
      <w:pPr>
        <w:ind w:left="294"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245" w:hanging="526"/>
      </w:pPr>
      <w:rPr>
        <w:rFonts w:hint="default"/>
        <w:lang w:val="zh-CN" w:eastAsia="zh-CN" w:bidi="zh-CN"/>
      </w:rPr>
    </w:lvl>
    <w:lvl w:ilvl="3">
      <w:start w:val="0"/>
      <w:numFmt w:val="bullet"/>
      <w:lvlText w:val="•"/>
      <w:lvlJc w:val="left"/>
      <w:pPr>
        <w:ind w:left="3217" w:hanging="526"/>
      </w:pPr>
      <w:rPr>
        <w:rFonts w:hint="default"/>
        <w:lang w:val="zh-CN" w:eastAsia="zh-CN" w:bidi="zh-CN"/>
      </w:rPr>
    </w:lvl>
    <w:lvl w:ilvl="4">
      <w:start w:val="0"/>
      <w:numFmt w:val="bullet"/>
      <w:lvlText w:val="•"/>
      <w:lvlJc w:val="left"/>
      <w:pPr>
        <w:ind w:left="4190" w:hanging="526"/>
      </w:pPr>
      <w:rPr>
        <w:rFonts w:hint="default"/>
        <w:lang w:val="zh-CN" w:eastAsia="zh-CN" w:bidi="zh-CN"/>
      </w:rPr>
    </w:lvl>
    <w:lvl w:ilvl="5">
      <w:start w:val="0"/>
      <w:numFmt w:val="bullet"/>
      <w:lvlText w:val="•"/>
      <w:lvlJc w:val="left"/>
      <w:pPr>
        <w:ind w:left="5163" w:hanging="526"/>
      </w:pPr>
      <w:rPr>
        <w:rFonts w:hint="default"/>
        <w:lang w:val="zh-CN" w:eastAsia="zh-CN" w:bidi="zh-CN"/>
      </w:rPr>
    </w:lvl>
    <w:lvl w:ilvl="6">
      <w:start w:val="0"/>
      <w:numFmt w:val="bullet"/>
      <w:lvlText w:val="•"/>
      <w:lvlJc w:val="left"/>
      <w:pPr>
        <w:ind w:left="6135" w:hanging="526"/>
      </w:pPr>
      <w:rPr>
        <w:rFonts w:hint="default"/>
        <w:lang w:val="zh-CN" w:eastAsia="zh-CN" w:bidi="zh-CN"/>
      </w:rPr>
    </w:lvl>
    <w:lvl w:ilvl="7">
      <w:start w:val="0"/>
      <w:numFmt w:val="bullet"/>
      <w:lvlText w:val="•"/>
      <w:lvlJc w:val="left"/>
      <w:pPr>
        <w:ind w:left="7108" w:hanging="526"/>
      </w:pPr>
      <w:rPr>
        <w:rFonts w:hint="default"/>
        <w:lang w:val="zh-CN" w:eastAsia="zh-CN" w:bidi="zh-CN"/>
      </w:rPr>
    </w:lvl>
    <w:lvl w:ilvl="8">
      <w:start w:val="0"/>
      <w:numFmt w:val="bullet"/>
      <w:lvlText w:val="•"/>
      <w:lvlJc w:val="left"/>
      <w:pPr>
        <w:ind w:left="8080" w:hanging="526"/>
      </w:pPr>
      <w:rPr>
        <w:rFonts w:hint="default"/>
        <w:lang w:val="zh-CN" w:eastAsia="zh-CN" w:bidi="zh-CN"/>
      </w:rPr>
    </w:lvl>
  </w:abstractNum>
  <w:abstractNum w:abstractNumId="31">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30">
    <w:multiLevelType w:val="hybridMultilevel"/>
    <w:lvl w:ilvl="0">
      <w:start w:val="1"/>
      <w:numFmt w:val="decimal"/>
      <w:lvlText w:val="（%1）"/>
      <w:lvlJc w:val="left"/>
      <w:pPr>
        <w:ind w:left="1434" w:hanging="720"/>
        <w:jc w:val="left"/>
      </w:pPr>
      <w:rPr>
        <w:rFonts w:hint="default" w:ascii="宋体" w:hAnsi="宋体" w:eastAsia="宋体" w:cs="宋体"/>
        <w:spacing w:val="-15"/>
        <w:w w:val="100"/>
        <w:sz w:val="21"/>
        <w:szCs w:val="21"/>
        <w:lang w:val="zh-CN" w:eastAsia="zh-CN" w:bidi="zh-CN"/>
      </w:rPr>
    </w:lvl>
    <w:lvl w:ilvl="1">
      <w:start w:val="1"/>
      <w:numFmt w:val="decimal"/>
      <w:lvlText w:val="（%2）"/>
      <w:lvlJc w:val="left"/>
      <w:pPr>
        <w:ind w:left="1581" w:hanging="720"/>
        <w:jc w:val="left"/>
      </w:pPr>
      <w:rPr>
        <w:rFonts w:hint="default" w:ascii="宋体" w:hAnsi="宋体" w:eastAsia="宋体" w:cs="宋体"/>
        <w:spacing w:val="-15"/>
        <w:w w:val="100"/>
        <w:sz w:val="21"/>
        <w:szCs w:val="21"/>
        <w:lang w:val="zh-CN" w:eastAsia="zh-CN" w:bidi="zh-CN"/>
      </w:rPr>
    </w:lvl>
    <w:lvl w:ilvl="2">
      <w:start w:val="0"/>
      <w:numFmt w:val="bullet"/>
      <w:lvlText w:val="•"/>
      <w:lvlJc w:val="left"/>
      <w:pPr>
        <w:ind w:left="2518" w:hanging="720"/>
      </w:pPr>
      <w:rPr>
        <w:rFonts w:hint="default"/>
        <w:lang w:val="zh-CN" w:eastAsia="zh-CN" w:bidi="zh-CN"/>
      </w:rPr>
    </w:lvl>
    <w:lvl w:ilvl="3">
      <w:start w:val="0"/>
      <w:numFmt w:val="bullet"/>
      <w:lvlText w:val="•"/>
      <w:lvlJc w:val="left"/>
      <w:pPr>
        <w:ind w:left="3456" w:hanging="720"/>
      </w:pPr>
      <w:rPr>
        <w:rFonts w:hint="default"/>
        <w:lang w:val="zh-CN" w:eastAsia="zh-CN" w:bidi="zh-CN"/>
      </w:rPr>
    </w:lvl>
    <w:lvl w:ilvl="4">
      <w:start w:val="0"/>
      <w:numFmt w:val="bullet"/>
      <w:lvlText w:val="•"/>
      <w:lvlJc w:val="left"/>
      <w:pPr>
        <w:ind w:left="4395" w:hanging="720"/>
      </w:pPr>
      <w:rPr>
        <w:rFonts w:hint="default"/>
        <w:lang w:val="zh-CN" w:eastAsia="zh-CN" w:bidi="zh-CN"/>
      </w:rPr>
    </w:lvl>
    <w:lvl w:ilvl="5">
      <w:start w:val="0"/>
      <w:numFmt w:val="bullet"/>
      <w:lvlText w:val="•"/>
      <w:lvlJc w:val="left"/>
      <w:pPr>
        <w:ind w:left="5333" w:hanging="720"/>
      </w:pPr>
      <w:rPr>
        <w:rFonts w:hint="default"/>
        <w:lang w:val="zh-CN" w:eastAsia="zh-CN" w:bidi="zh-CN"/>
      </w:rPr>
    </w:lvl>
    <w:lvl w:ilvl="6">
      <w:start w:val="0"/>
      <w:numFmt w:val="bullet"/>
      <w:lvlText w:val="•"/>
      <w:lvlJc w:val="left"/>
      <w:pPr>
        <w:ind w:left="6272" w:hanging="720"/>
      </w:pPr>
      <w:rPr>
        <w:rFonts w:hint="default"/>
        <w:lang w:val="zh-CN" w:eastAsia="zh-CN" w:bidi="zh-CN"/>
      </w:rPr>
    </w:lvl>
    <w:lvl w:ilvl="7">
      <w:start w:val="0"/>
      <w:numFmt w:val="bullet"/>
      <w:lvlText w:val="•"/>
      <w:lvlJc w:val="left"/>
      <w:pPr>
        <w:ind w:left="7210" w:hanging="720"/>
      </w:pPr>
      <w:rPr>
        <w:rFonts w:hint="default"/>
        <w:lang w:val="zh-CN" w:eastAsia="zh-CN" w:bidi="zh-CN"/>
      </w:rPr>
    </w:lvl>
    <w:lvl w:ilvl="8">
      <w:start w:val="0"/>
      <w:numFmt w:val="bullet"/>
      <w:lvlText w:val="•"/>
      <w:lvlJc w:val="left"/>
      <w:pPr>
        <w:ind w:left="8149" w:hanging="720"/>
      </w:pPr>
      <w:rPr>
        <w:rFonts w:hint="default"/>
        <w:lang w:val="zh-CN" w:eastAsia="zh-CN" w:bidi="zh-CN"/>
      </w:rPr>
    </w:lvl>
  </w:abstractNum>
  <w:abstractNum w:abstractNumId="29">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8">
    <w:multiLevelType w:val="hybridMultilevel"/>
    <w:lvl w:ilvl="0">
      <w:start w:val="1"/>
      <w:numFmt w:val="decimal"/>
      <w:lvlText w:val="（%1）"/>
      <w:lvlJc w:val="left"/>
      <w:pPr>
        <w:ind w:left="294" w:hanging="530"/>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0"/>
      </w:pPr>
      <w:rPr>
        <w:rFonts w:hint="default"/>
        <w:lang w:val="zh-CN" w:eastAsia="zh-CN" w:bidi="zh-CN"/>
      </w:rPr>
    </w:lvl>
    <w:lvl w:ilvl="2">
      <w:start w:val="0"/>
      <w:numFmt w:val="bullet"/>
      <w:lvlText w:val="•"/>
      <w:lvlJc w:val="left"/>
      <w:pPr>
        <w:ind w:left="2245" w:hanging="530"/>
      </w:pPr>
      <w:rPr>
        <w:rFonts w:hint="default"/>
        <w:lang w:val="zh-CN" w:eastAsia="zh-CN" w:bidi="zh-CN"/>
      </w:rPr>
    </w:lvl>
    <w:lvl w:ilvl="3">
      <w:start w:val="0"/>
      <w:numFmt w:val="bullet"/>
      <w:lvlText w:val="•"/>
      <w:lvlJc w:val="left"/>
      <w:pPr>
        <w:ind w:left="3217" w:hanging="530"/>
      </w:pPr>
      <w:rPr>
        <w:rFonts w:hint="default"/>
        <w:lang w:val="zh-CN" w:eastAsia="zh-CN" w:bidi="zh-CN"/>
      </w:rPr>
    </w:lvl>
    <w:lvl w:ilvl="4">
      <w:start w:val="0"/>
      <w:numFmt w:val="bullet"/>
      <w:lvlText w:val="•"/>
      <w:lvlJc w:val="left"/>
      <w:pPr>
        <w:ind w:left="4190" w:hanging="530"/>
      </w:pPr>
      <w:rPr>
        <w:rFonts w:hint="default"/>
        <w:lang w:val="zh-CN" w:eastAsia="zh-CN" w:bidi="zh-CN"/>
      </w:rPr>
    </w:lvl>
    <w:lvl w:ilvl="5">
      <w:start w:val="0"/>
      <w:numFmt w:val="bullet"/>
      <w:lvlText w:val="•"/>
      <w:lvlJc w:val="left"/>
      <w:pPr>
        <w:ind w:left="5163" w:hanging="530"/>
      </w:pPr>
      <w:rPr>
        <w:rFonts w:hint="default"/>
        <w:lang w:val="zh-CN" w:eastAsia="zh-CN" w:bidi="zh-CN"/>
      </w:rPr>
    </w:lvl>
    <w:lvl w:ilvl="6">
      <w:start w:val="0"/>
      <w:numFmt w:val="bullet"/>
      <w:lvlText w:val="•"/>
      <w:lvlJc w:val="left"/>
      <w:pPr>
        <w:ind w:left="6135" w:hanging="530"/>
      </w:pPr>
      <w:rPr>
        <w:rFonts w:hint="default"/>
        <w:lang w:val="zh-CN" w:eastAsia="zh-CN" w:bidi="zh-CN"/>
      </w:rPr>
    </w:lvl>
    <w:lvl w:ilvl="7">
      <w:start w:val="0"/>
      <w:numFmt w:val="bullet"/>
      <w:lvlText w:val="•"/>
      <w:lvlJc w:val="left"/>
      <w:pPr>
        <w:ind w:left="7108" w:hanging="530"/>
      </w:pPr>
      <w:rPr>
        <w:rFonts w:hint="default"/>
        <w:lang w:val="zh-CN" w:eastAsia="zh-CN" w:bidi="zh-CN"/>
      </w:rPr>
    </w:lvl>
    <w:lvl w:ilvl="8">
      <w:start w:val="0"/>
      <w:numFmt w:val="bullet"/>
      <w:lvlText w:val="•"/>
      <w:lvlJc w:val="left"/>
      <w:pPr>
        <w:ind w:left="8080" w:hanging="530"/>
      </w:pPr>
      <w:rPr>
        <w:rFonts w:hint="default"/>
        <w:lang w:val="zh-CN" w:eastAsia="zh-CN" w:bidi="zh-CN"/>
      </w:rPr>
    </w:lvl>
  </w:abstractNum>
  <w:abstractNum w:abstractNumId="27">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6">
    <w:multiLevelType w:val="hybridMultilevel"/>
    <w:lvl w:ilvl="0">
      <w:start w:val="1"/>
      <w:numFmt w:val="decimal"/>
      <w:lvlText w:val="%1）"/>
      <w:lvlJc w:val="left"/>
      <w:pPr>
        <w:ind w:left="10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20" w:hanging="316"/>
      </w:pPr>
      <w:rPr>
        <w:rFonts w:hint="default"/>
        <w:lang w:val="zh-CN" w:eastAsia="zh-CN" w:bidi="zh-CN"/>
      </w:rPr>
    </w:lvl>
    <w:lvl w:ilvl="2">
      <w:start w:val="0"/>
      <w:numFmt w:val="bullet"/>
      <w:lvlText w:val="•"/>
      <w:lvlJc w:val="left"/>
      <w:pPr>
        <w:ind w:left="2821" w:hanging="316"/>
      </w:pPr>
      <w:rPr>
        <w:rFonts w:hint="default"/>
        <w:lang w:val="zh-CN" w:eastAsia="zh-CN" w:bidi="zh-CN"/>
      </w:rPr>
    </w:lvl>
    <w:lvl w:ilvl="3">
      <w:start w:val="0"/>
      <w:numFmt w:val="bullet"/>
      <w:lvlText w:val="•"/>
      <w:lvlJc w:val="left"/>
      <w:pPr>
        <w:ind w:left="3721" w:hanging="316"/>
      </w:pPr>
      <w:rPr>
        <w:rFonts w:hint="default"/>
        <w:lang w:val="zh-CN" w:eastAsia="zh-CN" w:bidi="zh-CN"/>
      </w:rPr>
    </w:lvl>
    <w:lvl w:ilvl="4">
      <w:start w:val="0"/>
      <w:numFmt w:val="bullet"/>
      <w:lvlText w:val="•"/>
      <w:lvlJc w:val="left"/>
      <w:pPr>
        <w:ind w:left="4622" w:hanging="316"/>
      </w:pPr>
      <w:rPr>
        <w:rFonts w:hint="default"/>
        <w:lang w:val="zh-CN" w:eastAsia="zh-CN" w:bidi="zh-CN"/>
      </w:rPr>
    </w:lvl>
    <w:lvl w:ilvl="5">
      <w:start w:val="0"/>
      <w:numFmt w:val="bullet"/>
      <w:lvlText w:val="•"/>
      <w:lvlJc w:val="left"/>
      <w:pPr>
        <w:ind w:left="5523" w:hanging="316"/>
      </w:pPr>
      <w:rPr>
        <w:rFonts w:hint="default"/>
        <w:lang w:val="zh-CN" w:eastAsia="zh-CN" w:bidi="zh-CN"/>
      </w:rPr>
    </w:lvl>
    <w:lvl w:ilvl="6">
      <w:start w:val="0"/>
      <w:numFmt w:val="bullet"/>
      <w:lvlText w:val="•"/>
      <w:lvlJc w:val="left"/>
      <w:pPr>
        <w:ind w:left="6423" w:hanging="316"/>
      </w:pPr>
      <w:rPr>
        <w:rFonts w:hint="default"/>
        <w:lang w:val="zh-CN" w:eastAsia="zh-CN" w:bidi="zh-CN"/>
      </w:rPr>
    </w:lvl>
    <w:lvl w:ilvl="7">
      <w:start w:val="0"/>
      <w:numFmt w:val="bullet"/>
      <w:lvlText w:val="•"/>
      <w:lvlJc w:val="left"/>
      <w:pPr>
        <w:ind w:left="7324" w:hanging="316"/>
      </w:pPr>
      <w:rPr>
        <w:rFonts w:hint="default"/>
        <w:lang w:val="zh-CN" w:eastAsia="zh-CN" w:bidi="zh-CN"/>
      </w:rPr>
    </w:lvl>
    <w:lvl w:ilvl="8">
      <w:start w:val="0"/>
      <w:numFmt w:val="bullet"/>
      <w:lvlText w:val="•"/>
      <w:lvlJc w:val="left"/>
      <w:pPr>
        <w:ind w:left="8224" w:hanging="316"/>
      </w:pPr>
      <w:rPr>
        <w:rFonts w:hint="default"/>
        <w:lang w:val="zh-CN" w:eastAsia="zh-CN" w:bidi="zh-CN"/>
      </w:rPr>
    </w:lvl>
  </w:abstractNum>
  <w:abstractNum w:abstractNumId="25">
    <w:multiLevelType w:val="hybridMultilevel"/>
    <w:lvl w:ilvl="0">
      <w:start w:val="2"/>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4">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23">
    <w:multiLevelType w:val="hybridMultilevel"/>
    <w:lvl w:ilvl="0">
      <w:start w:val="1"/>
      <w:numFmt w:val="decimal"/>
      <w:lvlText w:val="%1）"/>
      <w:lvlJc w:val="left"/>
      <w:pPr>
        <w:ind w:left="10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20" w:hanging="316"/>
      </w:pPr>
      <w:rPr>
        <w:rFonts w:hint="default"/>
        <w:lang w:val="zh-CN" w:eastAsia="zh-CN" w:bidi="zh-CN"/>
      </w:rPr>
    </w:lvl>
    <w:lvl w:ilvl="2">
      <w:start w:val="0"/>
      <w:numFmt w:val="bullet"/>
      <w:lvlText w:val="•"/>
      <w:lvlJc w:val="left"/>
      <w:pPr>
        <w:ind w:left="2821" w:hanging="316"/>
      </w:pPr>
      <w:rPr>
        <w:rFonts w:hint="default"/>
        <w:lang w:val="zh-CN" w:eastAsia="zh-CN" w:bidi="zh-CN"/>
      </w:rPr>
    </w:lvl>
    <w:lvl w:ilvl="3">
      <w:start w:val="0"/>
      <w:numFmt w:val="bullet"/>
      <w:lvlText w:val="•"/>
      <w:lvlJc w:val="left"/>
      <w:pPr>
        <w:ind w:left="3721" w:hanging="316"/>
      </w:pPr>
      <w:rPr>
        <w:rFonts w:hint="default"/>
        <w:lang w:val="zh-CN" w:eastAsia="zh-CN" w:bidi="zh-CN"/>
      </w:rPr>
    </w:lvl>
    <w:lvl w:ilvl="4">
      <w:start w:val="0"/>
      <w:numFmt w:val="bullet"/>
      <w:lvlText w:val="•"/>
      <w:lvlJc w:val="left"/>
      <w:pPr>
        <w:ind w:left="4622" w:hanging="316"/>
      </w:pPr>
      <w:rPr>
        <w:rFonts w:hint="default"/>
        <w:lang w:val="zh-CN" w:eastAsia="zh-CN" w:bidi="zh-CN"/>
      </w:rPr>
    </w:lvl>
    <w:lvl w:ilvl="5">
      <w:start w:val="0"/>
      <w:numFmt w:val="bullet"/>
      <w:lvlText w:val="•"/>
      <w:lvlJc w:val="left"/>
      <w:pPr>
        <w:ind w:left="5523" w:hanging="316"/>
      </w:pPr>
      <w:rPr>
        <w:rFonts w:hint="default"/>
        <w:lang w:val="zh-CN" w:eastAsia="zh-CN" w:bidi="zh-CN"/>
      </w:rPr>
    </w:lvl>
    <w:lvl w:ilvl="6">
      <w:start w:val="0"/>
      <w:numFmt w:val="bullet"/>
      <w:lvlText w:val="•"/>
      <w:lvlJc w:val="left"/>
      <w:pPr>
        <w:ind w:left="6423" w:hanging="316"/>
      </w:pPr>
      <w:rPr>
        <w:rFonts w:hint="default"/>
        <w:lang w:val="zh-CN" w:eastAsia="zh-CN" w:bidi="zh-CN"/>
      </w:rPr>
    </w:lvl>
    <w:lvl w:ilvl="7">
      <w:start w:val="0"/>
      <w:numFmt w:val="bullet"/>
      <w:lvlText w:val="•"/>
      <w:lvlJc w:val="left"/>
      <w:pPr>
        <w:ind w:left="7324" w:hanging="316"/>
      </w:pPr>
      <w:rPr>
        <w:rFonts w:hint="default"/>
        <w:lang w:val="zh-CN" w:eastAsia="zh-CN" w:bidi="zh-CN"/>
      </w:rPr>
    </w:lvl>
    <w:lvl w:ilvl="8">
      <w:start w:val="0"/>
      <w:numFmt w:val="bullet"/>
      <w:lvlText w:val="•"/>
      <w:lvlJc w:val="left"/>
      <w:pPr>
        <w:ind w:left="8224" w:hanging="316"/>
      </w:pPr>
      <w:rPr>
        <w:rFonts w:hint="default"/>
        <w:lang w:val="zh-CN" w:eastAsia="zh-CN" w:bidi="zh-CN"/>
      </w:rPr>
    </w:lvl>
  </w:abstractNum>
  <w:abstractNum w:abstractNumId="22">
    <w:multiLevelType w:val="hybridMultilevel"/>
    <w:lvl w:ilvl="0">
      <w:start w:val="1"/>
      <w:numFmt w:val="decimal"/>
      <w:lvlText w:val="（%1）"/>
      <w:lvlJc w:val="left"/>
      <w:pPr>
        <w:ind w:left="294" w:hanging="530"/>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0"/>
      </w:pPr>
      <w:rPr>
        <w:rFonts w:hint="default"/>
        <w:lang w:val="zh-CN" w:eastAsia="zh-CN" w:bidi="zh-CN"/>
      </w:rPr>
    </w:lvl>
    <w:lvl w:ilvl="2">
      <w:start w:val="0"/>
      <w:numFmt w:val="bullet"/>
      <w:lvlText w:val="•"/>
      <w:lvlJc w:val="left"/>
      <w:pPr>
        <w:ind w:left="2245" w:hanging="530"/>
      </w:pPr>
      <w:rPr>
        <w:rFonts w:hint="default"/>
        <w:lang w:val="zh-CN" w:eastAsia="zh-CN" w:bidi="zh-CN"/>
      </w:rPr>
    </w:lvl>
    <w:lvl w:ilvl="3">
      <w:start w:val="0"/>
      <w:numFmt w:val="bullet"/>
      <w:lvlText w:val="•"/>
      <w:lvlJc w:val="left"/>
      <w:pPr>
        <w:ind w:left="3217" w:hanging="530"/>
      </w:pPr>
      <w:rPr>
        <w:rFonts w:hint="default"/>
        <w:lang w:val="zh-CN" w:eastAsia="zh-CN" w:bidi="zh-CN"/>
      </w:rPr>
    </w:lvl>
    <w:lvl w:ilvl="4">
      <w:start w:val="0"/>
      <w:numFmt w:val="bullet"/>
      <w:lvlText w:val="•"/>
      <w:lvlJc w:val="left"/>
      <w:pPr>
        <w:ind w:left="4190" w:hanging="530"/>
      </w:pPr>
      <w:rPr>
        <w:rFonts w:hint="default"/>
        <w:lang w:val="zh-CN" w:eastAsia="zh-CN" w:bidi="zh-CN"/>
      </w:rPr>
    </w:lvl>
    <w:lvl w:ilvl="5">
      <w:start w:val="0"/>
      <w:numFmt w:val="bullet"/>
      <w:lvlText w:val="•"/>
      <w:lvlJc w:val="left"/>
      <w:pPr>
        <w:ind w:left="5163" w:hanging="530"/>
      </w:pPr>
      <w:rPr>
        <w:rFonts w:hint="default"/>
        <w:lang w:val="zh-CN" w:eastAsia="zh-CN" w:bidi="zh-CN"/>
      </w:rPr>
    </w:lvl>
    <w:lvl w:ilvl="6">
      <w:start w:val="0"/>
      <w:numFmt w:val="bullet"/>
      <w:lvlText w:val="•"/>
      <w:lvlJc w:val="left"/>
      <w:pPr>
        <w:ind w:left="6135" w:hanging="530"/>
      </w:pPr>
      <w:rPr>
        <w:rFonts w:hint="default"/>
        <w:lang w:val="zh-CN" w:eastAsia="zh-CN" w:bidi="zh-CN"/>
      </w:rPr>
    </w:lvl>
    <w:lvl w:ilvl="7">
      <w:start w:val="0"/>
      <w:numFmt w:val="bullet"/>
      <w:lvlText w:val="•"/>
      <w:lvlJc w:val="left"/>
      <w:pPr>
        <w:ind w:left="7108" w:hanging="530"/>
      </w:pPr>
      <w:rPr>
        <w:rFonts w:hint="default"/>
        <w:lang w:val="zh-CN" w:eastAsia="zh-CN" w:bidi="zh-CN"/>
      </w:rPr>
    </w:lvl>
    <w:lvl w:ilvl="8">
      <w:start w:val="0"/>
      <w:numFmt w:val="bullet"/>
      <w:lvlText w:val="•"/>
      <w:lvlJc w:val="left"/>
      <w:pPr>
        <w:ind w:left="8080" w:hanging="530"/>
      </w:pPr>
      <w:rPr>
        <w:rFonts w:hint="default"/>
        <w:lang w:val="zh-CN" w:eastAsia="zh-CN" w:bidi="zh-CN"/>
      </w:rPr>
    </w:lvl>
  </w:abstractNum>
  <w:abstractNum w:abstractNumId="21">
    <w:multiLevelType w:val="hybridMultilevel"/>
    <w:lvl w:ilvl="0">
      <w:start w:val="1"/>
      <w:numFmt w:val="decimal"/>
      <w:lvlText w:val="%1）"/>
      <w:lvlJc w:val="left"/>
      <w:pPr>
        <w:ind w:left="109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4" w:hanging="316"/>
      </w:pPr>
      <w:rPr>
        <w:rFonts w:hint="default"/>
        <w:lang w:val="zh-CN" w:eastAsia="zh-CN" w:bidi="zh-CN"/>
      </w:rPr>
    </w:lvl>
    <w:lvl w:ilvl="2">
      <w:start w:val="0"/>
      <w:numFmt w:val="bullet"/>
      <w:lvlText w:val="•"/>
      <w:lvlJc w:val="left"/>
      <w:pPr>
        <w:ind w:left="2869" w:hanging="316"/>
      </w:pPr>
      <w:rPr>
        <w:rFonts w:hint="default"/>
        <w:lang w:val="zh-CN" w:eastAsia="zh-CN" w:bidi="zh-CN"/>
      </w:rPr>
    </w:lvl>
    <w:lvl w:ilvl="3">
      <w:start w:val="0"/>
      <w:numFmt w:val="bullet"/>
      <w:lvlText w:val="•"/>
      <w:lvlJc w:val="left"/>
      <w:pPr>
        <w:ind w:left="3763" w:hanging="316"/>
      </w:pPr>
      <w:rPr>
        <w:rFonts w:hint="default"/>
        <w:lang w:val="zh-CN" w:eastAsia="zh-CN" w:bidi="zh-CN"/>
      </w:rPr>
    </w:lvl>
    <w:lvl w:ilvl="4">
      <w:start w:val="0"/>
      <w:numFmt w:val="bullet"/>
      <w:lvlText w:val="•"/>
      <w:lvlJc w:val="left"/>
      <w:pPr>
        <w:ind w:left="4658" w:hanging="316"/>
      </w:pPr>
      <w:rPr>
        <w:rFonts w:hint="default"/>
        <w:lang w:val="zh-CN" w:eastAsia="zh-CN" w:bidi="zh-CN"/>
      </w:rPr>
    </w:lvl>
    <w:lvl w:ilvl="5">
      <w:start w:val="0"/>
      <w:numFmt w:val="bullet"/>
      <w:lvlText w:val="•"/>
      <w:lvlJc w:val="left"/>
      <w:pPr>
        <w:ind w:left="5553" w:hanging="316"/>
      </w:pPr>
      <w:rPr>
        <w:rFonts w:hint="default"/>
        <w:lang w:val="zh-CN" w:eastAsia="zh-CN" w:bidi="zh-CN"/>
      </w:rPr>
    </w:lvl>
    <w:lvl w:ilvl="6">
      <w:start w:val="0"/>
      <w:numFmt w:val="bullet"/>
      <w:lvlText w:val="•"/>
      <w:lvlJc w:val="left"/>
      <w:pPr>
        <w:ind w:left="6447" w:hanging="316"/>
      </w:pPr>
      <w:rPr>
        <w:rFonts w:hint="default"/>
        <w:lang w:val="zh-CN" w:eastAsia="zh-CN" w:bidi="zh-CN"/>
      </w:rPr>
    </w:lvl>
    <w:lvl w:ilvl="7">
      <w:start w:val="0"/>
      <w:numFmt w:val="bullet"/>
      <w:lvlText w:val="•"/>
      <w:lvlJc w:val="left"/>
      <w:pPr>
        <w:ind w:left="7342" w:hanging="316"/>
      </w:pPr>
      <w:rPr>
        <w:rFonts w:hint="default"/>
        <w:lang w:val="zh-CN" w:eastAsia="zh-CN" w:bidi="zh-CN"/>
      </w:rPr>
    </w:lvl>
    <w:lvl w:ilvl="8">
      <w:start w:val="0"/>
      <w:numFmt w:val="bullet"/>
      <w:lvlText w:val="•"/>
      <w:lvlJc w:val="left"/>
      <w:pPr>
        <w:ind w:left="8236" w:hanging="316"/>
      </w:pPr>
      <w:rPr>
        <w:rFonts w:hint="default"/>
        <w:lang w:val="zh-CN" w:eastAsia="zh-CN" w:bidi="zh-CN"/>
      </w:rPr>
    </w:lvl>
  </w:abstractNum>
  <w:abstractNum w:abstractNumId="20">
    <w:multiLevelType w:val="hybridMultilevel"/>
    <w:lvl w:ilvl="0">
      <w:start w:val="1"/>
      <w:numFmt w:val="decimal"/>
      <w:lvlText w:val="%1）"/>
      <w:lvlJc w:val="left"/>
      <w:pPr>
        <w:ind w:left="109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4" w:hanging="316"/>
      </w:pPr>
      <w:rPr>
        <w:rFonts w:hint="default"/>
        <w:lang w:val="zh-CN" w:eastAsia="zh-CN" w:bidi="zh-CN"/>
      </w:rPr>
    </w:lvl>
    <w:lvl w:ilvl="2">
      <w:start w:val="0"/>
      <w:numFmt w:val="bullet"/>
      <w:lvlText w:val="•"/>
      <w:lvlJc w:val="left"/>
      <w:pPr>
        <w:ind w:left="2869" w:hanging="316"/>
      </w:pPr>
      <w:rPr>
        <w:rFonts w:hint="default"/>
        <w:lang w:val="zh-CN" w:eastAsia="zh-CN" w:bidi="zh-CN"/>
      </w:rPr>
    </w:lvl>
    <w:lvl w:ilvl="3">
      <w:start w:val="0"/>
      <w:numFmt w:val="bullet"/>
      <w:lvlText w:val="•"/>
      <w:lvlJc w:val="left"/>
      <w:pPr>
        <w:ind w:left="3763" w:hanging="316"/>
      </w:pPr>
      <w:rPr>
        <w:rFonts w:hint="default"/>
        <w:lang w:val="zh-CN" w:eastAsia="zh-CN" w:bidi="zh-CN"/>
      </w:rPr>
    </w:lvl>
    <w:lvl w:ilvl="4">
      <w:start w:val="0"/>
      <w:numFmt w:val="bullet"/>
      <w:lvlText w:val="•"/>
      <w:lvlJc w:val="left"/>
      <w:pPr>
        <w:ind w:left="4658" w:hanging="316"/>
      </w:pPr>
      <w:rPr>
        <w:rFonts w:hint="default"/>
        <w:lang w:val="zh-CN" w:eastAsia="zh-CN" w:bidi="zh-CN"/>
      </w:rPr>
    </w:lvl>
    <w:lvl w:ilvl="5">
      <w:start w:val="0"/>
      <w:numFmt w:val="bullet"/>
      <w:lvlText w:val="•"/>
      <w:lvlJc w:val="left"/>
      <w:pPr>
        <w:ind w:left="5553" w:hanging="316"/>
      </w:pPr>
      <w:rPr>
        <w:rFonts w:hint="default"/>
        <w:lang w:val="zh-CN" w:eastAsia="zh-CN" w:bidi="zh-CN"/>
      </w:rPr>
    </w:lvl>
    <w:lvl w:ilvl="6">
      <w:start w:val="0"/>
      <w:numFmt w:val="bullet"/>
      <w:lvlText w:val="•"/>
      <w:lvlJc w:val="left"/>
      <w:pPr>
        <w:ind w:left="6447" w:hanging="316"/>
      </w:pPr>
      <w:rPr>
        <w:rFonts w:hint="default"/>
        <w:lang w:val="zh-CN" w:eastAsia="zh-CN" w:bidi="zh-CN"/>
      </w:rPr>
    </w:lvl>
    <w:lvl w:ilvl="7">
      <w:start w:val="0"/>
      <w:numFmt w:val="bullet"/>
      <w:lvlText w:val="•"/>
      <w:lvlJc w:val="left"/>
      <w:pPr>
        <w:ind w:left="7342" w:hanging="316"/>
      </w:pPr>
      <w:rPr>
        <w:rFonts w:hint="default"/>
        <w:lang w:val="zh-CN" w:eastAsia="zh-CN" w:bidi="zh-CN"/>
      </w:rPr>
    </w:lvl>
    <w:lvl w:ilvl="8">
      <w:start w:val="0"/>
      <w:numFmt w:val="bullet"/>
      <w:lvlText w:val="•"/>
      <w:lvlJc w:val="left"/>
      <w:pPr>
        <w:ind w:left="8236" w:hanging="316"/>
      </w:pPr>
      <w:rPr>
        <w:rFonts w:hint="default"/>
        <w:lang w:val="zh-CN" w:eastAsia="zh-CN" w:bidi="zh-CN"/>
      </w:rPr>
    </w:lvl>
  </w:abstractNum>
  <w:abstractNum w:abstractNumId="19">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18">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17">
    <w:multiLevelType w:val="hybridMultilevel"/>
    <w:lvl w:ilvl="0">
      <w:start w:val="1"/>
      <w:numFmt w:val="decimal"/>
      <w:lvlText w:val="%1）"/>
      <w:lvlJc w:val="left"/>
      <w:pPr>
        <w:ind w:left="294" w:hanging="321"/>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21"/>
      </w:pPr>
      <w:rPr>
        <w:rFonts w:hint="default"/>
        <w:lang w:val="zh-CN" w:eastAsia="zh-CN" w:bidi="zh-CN"/>
      </w:rPr>
    </w:lvl>
    <w:lvl w:ilvl="2">
      <w:start w:val="0"/>
      <w:numFmt w:val="bullet"/>
      <w:lvlText w:val="•"/>
      <w:lvlJc w:val="left"/>
      <w:pPr>
        <w:ind w:left="2245" w:hanging="321"/>
      </w:pPr>
      <w:rPr>
        <w:rFonts w:hint="default"/>
        <w:lang w:val="zh-CN" w:eastAsia="zh-CN" w:bidi="zh-CN"/>
      </w:rPr>
    </w:lvl>
    <w:lvl w:ilvl="3">
      <w:start w:val="0"/>
      <w:numFmt w:val="bullet"/>
      <w:lvlText w:val="•"/>
      <w:lvlJc w:val="left"/>
      <w:pPr>
        <w:ind w:left="3217" w:hanging="321"/>
      </w:pPr>
      <w:rPr>
        <w:rFonts w:hint="default"/>
        <w:lang w:val="zh-CN" w:eastAsia="zh-CN" w:bidi="zh-CN"/>
      </w:rPr>
    </w:lvl>
    <w:lvl w:ilvl="4">
      <w:start w:val="0"/>
      <w:numFmt w:val="bullet"/>
      <w:lvlText w:val="•"/>
      <w:lvlJc w:val="left"/>
      <w:pPr>
        <w:ind w:left="4190" w:hanging="321"/>
      </w:pPr>
      <w:rPr>
        <w:rFonts w:hint="default"/>
        <w:lang w:val="zh-CN" w:eastAsia="zh-CN" w:bidi="zh-CN"/>
      </w:rPr>
    </w:lvl>
    <w:lvl w:ilvl="5">
      <w:start w:val="0"/>
      <w:numFmt w:val="bullet"/>
      <w:lvlText w:val="•"/>
      <w:lvlJc w:val="left"/>
      <w:pPr>
        <w:ind w:left="5163" w:hanging="321"/>
      </w:pPr>
      <w:rPr>
        <w:rFonts w:hint="default"/>
        <w:lang w:val="zh-CN" w:eastAsia="zh-CN" w:bidi="zh-CN"/>
      </w:rPr>
    </w:lvl>
    <w:lvl w:ilvl="6">
      <w:start w:val="0"/>
      <w:numFmt w:val="bullet"/>
      <w:lvlText w:val="•"/>
      <w:lvlJc w:val="left"/>
      <w:pPr>
        <w:ind w:left="6135" w:hanging="321"/>
      </w:pPr>
      <w:rPr>
        <w:rFonts w:hint="default"/>
        <w:lang w:val="zh-CN" w:eastAsia="zh-CN" w:bidi="zh-CN"/>
      </w:rPr>
    </w:lvl>
    <w:lvl w:ilvl="7">
      <w:start w:val="0"/>
      <w:numFmt w:val="bullet"/>
      <w:lvlText w:val="•"/>
      <w:lvlJc w:val="left"/>
      <w:pPr>
        <w:ind w:left="7108" w:hanging="321"/>
      </w:pPr>
      <w:rPr>
        <w:rFonts w:hint="default"/>
        <w:lang w:val="zh-CN" w:eastAsia="zh-CN" w:bidi="zh-CN"/>
      </w:rPr>
    </w:lvl>
    <w:lvl w:ilvl="8">
      <w:start w:val="0"/>
      <w:numFmt w:val="bullet"/>
      <w:lvlText w:val="•"/>
      <w:lvlJc w:val="left"/>
      <w:pPr>
        <w:ind w:left="8080" w:hanging="321"/>
      </w:pPr>
      <w:rPr>
        <w:rFonts w:hint="default"/>
        <w:lang w:val="zh-CN" w:eastAsia="zh-CN" w:bidi="zh-CN"/>
      </w:rPr>
    </w:lvl>
  </w:abstractNum>
  <w:abstractNum w:abstractNumId="16">
    <w:multiLevelType w:val="hybridMultilevel"/>
    <w:lvl w:ilvl="0">
      <w:start w:val="1"/>
      <w:numFmt w:val="decimal"/>
      <w:lvlText w:val="%1）"/>
      <w:lvlJc w:val="left"/>
      <w:pPr>
        <w:ind w:left="294"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8"/>
      </w:pPr>
      <w:rPr>
        <w:rFonts w:hint="default"/>
        <w:lang w:val="zh-CN" w:eastAsia="zh-CN" w:bidi="zh-CN"/>
      </w:rPr>
    </w:lvl>
    <w:lvl w:ilvl="2">
      <w:start w:val="0"/>
      <w:numFmt w:val="bullet"/>
      <w:lvlText w:val="•"/>
      <w:lvlJc w:val="left"/>
      <w:pPr>
        <w:ind w:left="2245" w:hanging="318"/>
      </w:pPr>
      <w:rPr>
        <w:rFonts w:hint="default"/>
        <w:lang w:val="zh-CN" w:eastAsia="zh-CN" w:bidi="zh-CN"/>
      </w:rPr>
    </w:lvl>
    <w:lvl w:ilvl="3">
      <w:start w:val="0"/>
      <w:numFmt w:val="bullet"/>
      <w:lvlText w:val="•"/>
      <w:lvlJc w:val="left"/>
      <w:pPr>
        <w:ind w:left="3217" w:hanging="318"/>
      </w:pPr>
      <w:rPr>
        <w:rFonts w:hint="default"/>
        <w:lang w:val="zh-CN" w:eastAsia="zh-CN" w:bidi="zh-CN"/>
      </w:rPr>
    </w:lvl>
    <w:lvl w:ilvl="4">
      <w:start w:val="0"/>
      <w:numFmt w:val="bullet"/>
      <w:lvlText w:val="•"/>
      <w:lvlJc w:val="left"/>
      <w:pPr>
        <w:ind w:left="4190" w:hanging="318"/>
      </w:pPr>
      <w:rPr>
        <w:rFonts w:hint="default"/>
        <w:lang w:val="zh-CN" w:eastAsia="zh-CN" w:bidi="zh-CN"/>
      </w:rPr>
    </w:lvl>
    <w:lvl w:ilvl="5">
      <w:start w:val="0"/>
      <w:numFmt w:val="bullet"/>
      <w:lvlText w:val="•"/>
      <w:lvlJc w:val="left"/>
      <w:pPr>
        <w:ind w:left="5163" w:hanging="318"/>
      </w:pPr>
      <w:rPr>
        <w:rFonts w:hint="default"/>
        <w:lang w:val="zh-CN" w:eastAsia="zh-CN" w:bidi="zh-CN"/>
      </w:rPr>
    </w:lvl>
    <w:lvl w:ilvl="6">
      <w:start w:val="0"/>
      <w:numFmt w:val="bullet"/>
      <w:lvlText w:val="•"/>
      <w:lvlJc w:val="left"/>
      <w:pPr>
        <w:ind w:left="6135" w:hanging="318"/>
      </w:pPr>
      <w:rPr>
        <w:rFonts w:hint="default"/>
        <w:lang w:val="zh-CN" w:eastAsia="zh-CN" w:bidi="zh-CN"/>
      </w:rPr>
    </w:lvl>
    <w:lvl w:ilvl="7">
      <w:start w:val="0"/>
      <w:numFmt w:val="bullet"/>
      <w:lvlText w:val="•"/>
      <w:lvlJc w:val="left"/>
      <w:pPr>
        <w:ind w:left="7108" w:hanging="318"/>
      </w:pPr>
      <w:rPr>
        <w:rFonts w:hint="default"/>
        <w:lang w:val="zh-CN" w:eastAsia="zh-CN" w:bidi="zh-CN"/>
      </w:rPr>
    </w:lvl>
    <w:lvl w:ilvl="8">
      <w:start w:val="0"/>
      <w:numFmt w:val="bullet"/>
      <w:lvlText w:val="•"/>
      <w:lvlJc w:val="left"/>
      <w:pPr>
        <w:ind w:left="8080" w:hanging="318"/>
      </w:pPr>
      <w:rPr>
        <w:rFonts w:hint="default"/>
        <w:lang w:val="zh-CN" w:eastAsia="zh-CN" w:bidi="zh-CN"/>
      </w:rPr>
    </w:lvl>
  </w:abstractNum>
  <w:abstractNum w:abstractNumId="15">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14">
    <w:multiLevelType w:val="hybridMultilevel"/>
    <w:lvl w:ilvl="0">
      <w:start w:val="1"/>
      <w:numFmt w:val="decimal"/>
      <w:lvlText w:val="（%1）"/>
      <w:lvlJc w:val="left"/>
      <w:pPr>
        <w:ind w:left="1281"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154" w:hanging="567"/>
      </w:pPr>
      <w:rPr>
        <w:rFonts w:hint="default"/>
        <w:lang w:val="zh-CN" w:eastAsia="zh-CN" w:bidi="zh-CN"/>
      </w:rPr>
    </w:lvl>
    <w:lvl w:ilvl="2">
      <w:start w:val="0"/>
      <w:numFmt w:val="bullet"/>
      <w:lvlText w:val="•"/>
      <w:lvlJc w:val="left"/>
      <w:pPr>
        <w:ind w:left="3029" w:hanging="567"/>
      </w:pPr>
      <w:rPr>
        <w:rFonts w:hint="default"/>
        <w:lang w:val="zh-CN" w:eastAsia="zh-CN" w:bidi="zh-CN"/>
      </w:rPr>
    </w:lvl>
    <w:lvl w:ilvl="3">
      <w:start w:val="0"/>
      <w:numFmt w:val="bullet"/>
      <w:lvlText w:val="•"/>
      <w:lvlJc w:val="left"/>
      <w:pPr>
        <w:ind w:left="3903" w:hanging="567"/>
      </w:pPr>
      <w:rPr>
        <w:rFonts w:hint="default"/>
        <w:lang w:val="zh-CN" w:eastAsia="zh-CN" w:bidi="zh-CN"/>
      </w:rPr>
    </w:lvl>
    <w:lvl w:ilvl="4">
      <w:start w:val="0"/>
      <w:numFmt w:val="bullet"/>
      <w:lvlText w:val="•"/>
      <w:lvlJc w:val="left"/>
      <w:pPr>
        <w:ind w:left="4778" w:hanging="567"/>
      </w:pPr>
      <w:rPr>
        <w:rFonts w:hint="default"/>
        <w:lang w:val="zh-CN" w:eastAsia="zh-CN" w:bidi="zh-CN"/>
      </w:rPr>
    </w:lvl>
    <w:lvl w:ilvl="5">
      <w:start w:val="0"/>
      <w:numFmt w:val="bullet"/>
      <w:lvlText w:val="•"/>
      <w:lvlJc w:val="left"/>
      <w:pPr>
        <w:ind w:left="5653" w:hanging="567"/>
      </w:pPr>
      <w:rPr>
        <w:rFonts w:hint="default"/>
        <w:lang w:val="zh-CN" w:eastAsia="zh-CN" w:bidi="zh-CN"/>
      </w:rPr>
    </w:lvl>
    <w:lvl w:ilvl="6">
      <w:start w:val="0"/>
      <w:numFmt w:val="bullet"/>
      <w:lvlText w:val="•"/>
      <w:lvlJc w:val="left"/>
      <w:pPr>
        <w:ind w:left="6527" w:hanging="567"/>
      </w:pPr>
      <w:rPr>
        <w:rFonts w:hint="default"/>
        <w:lang w:val="zh-CN" w:eastAsia="zh-CN" w:bidi="zh-CN"/>
      </w:rPr>
    </w:lvl>
    <w:lvl w:ilvl="7">
      <w:start w:val="0"/>
      <w:numFmt w:val="bullet"/>
      <w:lvlText w:val="•"/>
      <w:lvlJc w:val="left"/>
      <w:pPr>
        <w:ind w:left="7402" w:hanging="567"/>
      </w:pPr>
      <w:rPr>
        <w:rFonts w:hint="default"/>
        <w:lang w:val="zh-CN" w:eastAsia="zh-CN" w:bidi="zh-CN"/>
      </w:rPr>
    </w:lvl>
    <w:lvl w:ilvl="8">
      <w:start w:val="0"/>
      <w:numFmt w:val="bullet"/>
      <w:lvlText w:val="•"/>
      <w:lvlJc w:val="left"/>
      <w:pPr>
        <w:ind w:left="8276" w:hanging="567"/>
      </w:pPr>
      <w:rPr>
        <w:rFonts w:hint="default"/>
        <w:lang w:val="zh-CN" w:eastAsia="zh-CN" w:bidi="zh-CN"/>
      </w:rPr>
    </w:lvl>
  </w:abstractNum>
  <w:abstractNum w:abstractNumId="13">
    <w:multiLevelType w:val="hybridMultilevel"/>
    <w:lvl w:ilvl="0">
      <w:start w:val="1"/>
      <w:numFmt w:val="decimal"/>
      <w:lvlText w:val="（%1）"/>
      <w:lvlJc w:val="left"/>
      <w:pPr>
        <w:ind w:left="1281"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154" w:hanging="567"/>
      </w:pPr>
      <w:rPr>
        <w:rFonts w:hint="default"/>
        <w:lang w:val="zh-CN" w:eastAsia="zh-CN" w:bidi="zh-CN"/>
      </w:rPr>
    </w:lvl>
    <w:lvl w:ilvl="2">
      <w:start w:val="0"/>
      <w:numFmt w:val="bullet"/>
      <w:lvlText w:val="•"/>
      <w:lvlJc w:val="left"/>
      <w:pPr>
        <w:ind w:left="3029" w:hanging="567"/>
      </w:pPr>
      <w:rPr>
        <w:rFonts w:hint="default"/>
        <w:lang w:val="zh-CN" w:eastAsia="zh-CN" w:bidi="zh-CN"/>
      </w:rPr>
    </w:lvl>
    <w:lvl w:ilvl="3">
      <w:start w:val="0"/>
      <w:numFmt w:val="bullet"/>
      <w:lvlText w:val="•"/>
      <w:lvlJc w:val="left"/>
      <w:pPr>
        <w:ind w:left="3903" w:hanging="567"/>
      </w:pPr>
      <w:rPr>
        <w:rFonts w:hint="default"/>
        <w:lang w:val="zh-CN" w:eastAsia="zh-CN" w:bidi="zh-CN"/>
      </w:rPr>
    </w:lvl>
    <w:lvl w:ilvl="4">
      <w:start w:val="0"/>
      <w:numFmt w:val="bullet"/>
      <w:lvlText w:val="•"/>
      <w:lvlJc w:val="left"/>
      <w:pPr>
        <w:ind w:left="4778" w:hanging="567"/>
      </w:pPr>
      <w:rPr>
        <w:rFonts w:hint="default"/>
        <w:lang w:val="zh-CN" w:eastAsia="zh-CN" w:bidi="zh-CN"/>
      </w:rPr>
    </w:lvl>
    <w:lvl w:ilvl="5">
      <w:start w:val="0"/>
      <w:numFmt w:val="bullet"/>
      <w:lvlText w:val="•"/>
      <w:lvlJc w:val="left"/>
      <w:pPr>
        <w:ind w:left="5653" w:hanging="567"/>
      </w:pPr>
      <w:rPr>
        <w:rFonts w:hint="default"/>
        <w:lang w:val="zh-CN" w:eastAsia="zh-CN" w:bidi="zh-CN"/>
      </w:rPr>
    </w:lvl>
    <w:lvl w:ilvl="6">
      <w:start w:val="0"/>
      <w:numFmt w:val="bullet"/>
      <w:lvlText w:val="•"/>
      <w:lvlJc w:val="left"/>
      <w:pPr>
        <w:ind w:left="6527" w:hanging="567"/>
      </w:pPr>
      <w:rPr>
        <w:rFonts w:hint="default"/>
        <w:lang w:val="zh-CN" w:eastAsia="zh-CN" w:bidi="zh-CN"/>
      </w:rPr>
    </w:lvl>
    <w:lvl w:ilvl="7">
      <w:start w:val="0"/>
      <w:numFmt w:val="bullet"/>
      <w:lvlText w:val="•"/>
      <w:lvlJc w:val="left"/>
      <w:pPr>
        <w:ind w:left="7402" w:hanging="567"/>
      </w:pPr>
      <w:rPr>
        <w:rFonts w:hint="default"/>
        <w:lang w:val="zh-CN" w:eastAsia="zh-CN" w:bidi="zh-CN"/>
      </w:rPr>
    </w:lvl>
    <w:lvl w:ilvl="8">
      <w:start w:val="0"/>
      <w:numFmt w:val="bullet"/>
      <w:lvlText w:val="•"/>
      <w:lvlJc w:val="left"/>
      <w:pPr>
        <w:ind w:left="8276" w:hanging="567"/>
      </w:pPr>
      <w:rPr>
        <w:rFonts w:hint="default"/>
        <w:lang w:val="zh-CN" w:eastAsia="zh-CN" w:bidi="zh-CN"/>
      </w:rPr>
    </w:lvl>
  </w:abstractNum>
  <w:abstractNum w:abstractNumId="12">
    <w:multiLevelType w:val="hybridMultilevel"/>
    <w:lvl w:ilvl="0">
      <w:start w:val="1"/>
      <w:numFmt w:val="decimal"/>
      <w:lvlText w:val="（%1）"/>
      <w:lvlJc w:val="left"/>
      <w:pPr>
        <w:ind w:left="1281"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154" w:hanging="567"/>
      </w:pPr>
      <w:rPr>
        <w:rFonts w:hint="default"/>
        <w:lang w:val="zh-CN" w:eastAsia="zh-CN" w:bidi="zh-CN"/>
      </w:rPr>
    </w:lvl>
    <w:lvl w:ilvl="2">
      <w:start w:val="0"/>
      <w:numFmt w:val="bullet"/>
      <w:lvlText w:val="•"/>
      <w:lvlJc w:val="left"/>
      <w:pPr>
        <w:ind w:left="3029" w:hanging="567"/>
      </w:pPr>
      <w:rPr>
        <w:rFonts w:hint="default"/>
        <w:lang w:val="zh-CN" w:eastAsia="zh-CN" w:bidi="zh-CN"/>
      </w:rPr>
    </w:lvl>
    <w:lvl w:ilvl="3">
      <w:start w:val="0"/>
      <w:numFmt w:val="bullet"/>
      <w:lvlText w:val="•"/>
      <w:lvlJc w:val="left"/>
      <w:pPr>
        <w:ind w:left="3903" w:hanging="567"/>
      </w:pPr>
      <w:rPr>
        <w:rFonts w:hint="default"/>
        <w:lang w:val="zh-CN" w:eastAsia="zh-CN" w:bidi="zh-CN"/>
      </w:rPr>
    </w:lvl>
    <w:lvl w:ilvl="4">
      <w:start w:val="0"/>
      <w:numFmt w:val="bullet"/>
      <w:lvlText w:val="•"/>
      <w:lvlJc w:val="left"/>
      <w:pPr>
        <w:ind w:left="4778" w:hanging="567"/>
      </w:pPr>
      <w:rPr>
        <w:rFonts w:hint="default"/>
        <w:lang w:val="zh-CN" w:eastAsia="zh-CN" w:bidi="zh-CN"/>
      </w:rPr>
    </w:lvl>
    <w:lvl w:ilvl="5">
      <w:start w:val="0"/>
      <w:numFmt w:val="bullet"/>
      <w:lvlText w:val="•"/>
      <w:lvlJc w:val="left"/>
      <w:pPr>
        <w:ind w:left="5653" w:hanging="567"/>
      </w:pPr>
      <w:rPr>
        <w:rFonts w:hint="default"/>
        <w:lang w:val="zh-CN" w:eastAsia="zh-CN" w:bidi="zh-CN"/>
      </w:rPr>
    </w:lvl>
    <w:lvl w:ilvl="6">
      <w:start w:val="0"/>
      <w:numFmt w:val="bullet"/>
      <w:lvlText w:val="•"/>
      <w:lvlJc w:val="left"/>
      <w:pPr>
        <w:ind w:left="6527" w:hanging="567"/>
      </w:pPr>
      <w:rPr>
        <w:rFonts w:hint="default"/>
        <w:lang w:val="zh-CN" w:eastAsia="zh-CN" w:bidi="zh-CN"/>
      </w:rPr>
    </w:lvl>
    <w:lvl w:ilvl="7">
      <w:start w:val="0"/>
      <w:numFmt w:val="bullet"/>
      <w:lvlText w:val="•"/>
      <w:lvlJc w:val="left"/>
      <w:pPr>
        <w:ind w:left="7402" w:hanging="567"/>
      </w:pPr>
      <w:rPr>
        <w:rFonts w:hint="default"/>
        <w:lang w:val="zh-CN" w:eastAsia="zh-CN" w:bidi="zh-CN"/>
      </w:rPr>
    </w:lvl>
    <w:lvl w:ilvl="8">
      <w:start w:val="0"/>
      <w:numFmt w:val="bullet"/>
      <w:lvlText w:val="•"/>
      <w:lvlJc w:val="left"/>
      <w:pPr>
        <w:ind w:left="8276" w:hanging="567"/>
      </w:pPr>
      <w:rPr>
        <w:rFonts w:hint="default"/>
        <w:lang w:val="zh-CN" w:eastAsia="zh-CN" w:bidi="zh-CN"/>
      </w:rPr>
    </w:lvl>
  </w:abstractNum>
  <w:abstractNum w:abstractNumId="10">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9">
    <w:multiLevelType w:val="hybridMultilevel"/>
    <w:lvl w:ilvl="0">
      <w:start w:val="1"/>
      <w:numFmt w:val="decimal"/>
      <w:lvlText w:val="%1)"/>
      <w:lvlJc w:val="left"/>
      <w:pPr>
        <w:ind w:left="1029"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20" w:hanging="315"/>
      </w:pPr>
      <w:rPr>
        <w:rFonts w:hint="default"/>
        <w:lang w:val="zh-CN" w:eastAsia="zh-CN" w:bidi="zh-CN"/>
      </w:rPr>
    </w:lvl>
    <w:lvl w:ilvl="2">
      <w:start w:val="0"/>
      <w:numFmt w:val="bullet"/>
      <w:lvlText w:val="•"/>
      <w:lvlJc w:val="left"/>
      <w:pPr>
        <w:ind w:left="2821" w:hanging="315"/>
      </w:pPr>
      <w:rPr>
        <w:rFonts w:hint="default"/>
        <w:lang w:val="zh-CN" w:eastAsia="zh-CN" w:bidi="zh-CN"/>
      </w:rPr>
    </w:lvl>
    <w:lvl w:ilvl="3">
      <w:start w:val="0"/>
      <w:numFmt w:val="bullet"/>
      <w:lvlText w:val="•"/>
      <w:lvlJc w:val="left"/>
      <w:pPr>
        <w:ind w:left="3721" w:hanging="315"/>
      </w:pPr>
      <w:rPr>
        <w:rFonts w:hint="default"/>
        <w:lang w:val="zh-CN" w:eastAsia="zh-CN" w:bidi="zh-CN"/>
      </w:rPr>
    </w:lvl>
    <w:lvl w:ilvl="4">
      <w:start w:val="0"/>
      <w:numFmt w:val="bullet"/>
      <w:lvlText w:val="•"/>
      <w:lvlJc w:val="left"/>
      <w:pPr>
        <w:ind w:left="4622" w:hanging="315"/>
      </w:pPr>
      <w:rPr>
        <w:rFonts w:hint="default"/>
        <w:lang w:val="zh-CN" w:eastAsia="zh-CN" w:bidi="zh-CN"/>
      </w:rPr>
    </w:lvl>
    <w:lvl w:ilvl="5">
      <w:start w:val="0"/>
      <w:numFmt w:val="bullet"/>
      <w:lvlText w:val="•"/>
      <w:lvlJc w:val="left"/>
      <w:pPr>
        <w:ind w:left="5523" w:hanging="315"/>
      </w:pPr>
      <w:rPr>
        <w:rFonts w:hint="default"/>
        <w:lang w:val="zh-CN" w:eastAsia="zh-CN" w:bidi="zh-CN"/>
      </w:rPr>
    </w:lvl>
    <w:lvl w:ilvl="6">
      <w:start w:val="0"/>
      <w:numFmt w:val="bullet"/>
      <w:lvlText w:val="•"/>
      <w:lvlJc w:val="left"/>
      <w:pPr>
        <w:ind w:left="6423" w:hanging="315"/>
      </w:pPr>
      <w:rPr>
        <w:rFonts w:hint="default"/>
        <w:lang w:val="zh-CN" w:eastAsia="zh-CN" w:bidi="zh-CN"/>
      </w:rPr>
    </w:lvl>
    <w:lvl w:ilvl="7">
      <w:start w:val="0"/>
      <w:numFmt w:val="bullet"/>
      <w:lvlText w:val="•"/>
      <w:lvlJc w:val="left"/>
      <w:pPr>
        <w:ind w:left="7324" w:hanging="315"/>
      </w:pPr>
      <w:rPr>
        <w:rFonts w:hint="default"/>
        <w:lang w:val="zh-CN" w:eastAsia="zh-CN" w:bidi="zh-CN"/>
      </w:rPr>
    </w:lvl>
    <w:lvl w:ilvl="8">
      <w:start w:val="0"/>
      <w:numFmt w:val="bullet"/>
      <w:lvlText w:val="•"/>
      <w:lvlJc w:val="left"/>
      <w:pPr>
        <w:ind w:left="8224" w:hanging="315"/>
      </w:pPr>
      <w:rPr>
        <w:rFonts w:hint="default"/>
        <w:lang w:val="zh-CN" w:eastAsia="zh-CN" w:bidi="zh-CN"/>
      </w:rPr>
    </w:lvl>
  </w:abstractNum>
  <w:abstractNum w:abstractNumId="8">
    <w:multiLevelType w:val="hybridMultilevel"/>
    <w:lvl w:ilvl="0">
      <w:start w:val="1"/>
      <w:numFmt w:val="decimal"/>
      <w:lvlText w:val="%1)"/>
      <w:lvlJc w:val="left"/>
      <w:pPr>
        <w:ind w:left="1029"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20" w:hanging="315"/>
      </w:pPr>
      <w:rPr>
        <w:rFonts w:hint="default"/>
        <w:lang w:val="zh-CN" w:eastAsia="zh-CN" w:bidi="zh-CN"/>
      </w:rPr>
    </w:lvl>
    <w:lvl w:ilvl="2">
      <w:start w:val="0"/>
      <w:numFmt w:val="bullet"/>
      <w:lvlText w:val="•"/>
      <w:lvlJc w:val="left"/>
      <w:pPr>
        <w:ind w:left="2821" w:hanging="315"/>
      </w:pPr>
      <w:rPr>
        <w:rFonts w:hint="default"/>
        <w:lang w:val="zh-CN" w:eastAsia="zh-CN" w:bidi="zh-CN"/>
      </w:rPr>
    </w:lvl>
    <w:lvl w:ilvl="3">
      <w:start w:val="0"/>
      <w:numFmt w:val="bullet"/>
      <w:lvlText w:val="•"/>
      <w:lvlJc w:val="left"/>
      <w:pPr>
        <w:ind w:left="3721" w:hanging="315"/>
      </w:pPr>
      <w:rPr>
        <w:rFonts w:hint="default"/>
        <w:lang w:val="zh-CN" w:eastAsia="zh-CN" w:bidi="zh-CN"/>
      </w:rPr>
    </w:lvl>
    <w:lvl w:ilvl="4">
      <w:start w:val="0"/>
      <w:numFmt w:val="bullet"/>
      <w:lvlText w:val="•"/>
      <w:lvlJc w:val="left"/>
      <w:pPr>
        <w:ind w:left="4622" w:hanging="315"/>
      </w:pPr>
      <w:rPr>
        <w:rFonts w:hint="default"/>
        <w:lang w:val="zh-CN" w:eastAsia="zh-CN" w:bidi="zh-CN"/>
      </w:rPr>
    </w:lvl>
    <w:lvl w:ilvl="5">
      <w:start w:val="0"/>
      <w:numFmt w:val="bullet"/>
      <w:lvlText w:val="•"/>
      <w:lvlJc w:val="left"/>
      <w:pPr>
        <w:ind w:left="5523" w:hanging="315"/>
      </w:pPr>
      <w:rPr>
        <w:rFonts w:hint="default"/>
        <w:lang w:val="zh-CN" w:eastAsia="zh-CN" w:bidi="zh-CN"/>
      </w:rPr>
    </w:lvl>
    <w:lvl w:ilvl="6">
      <w:start w:val="0"/>
      <w:numFmt w:val="bullet"/>
      <w:lvlText w:val="•"/>
      <w:lvlJc w:val="left"/>
      <w:pPr>
        <w:ind w:left="6423" w:hanging="315"/>
      </w:pPr>
      <w:rPr>
        <w:rFonts w:hint="default"/>
        <w:lang w:val="zh-CN" w:eastAsia="zh-CN" w:bidi="zh-CN"/>
      </w:rPr>
    </w:lvl>
    <w:lvl w:ilvl="7">
      <w:start w:val="0"/>
      <w:numFmt w:val="bullet"/>
      <w:lvlText w:val="•"/>
      <w:lvlJc w:val="left"/>
      <w:pPr>
        <w:ind w:left="7324" w:hanging="315"/>
      </w:pPr>
      <w:rPr>
        <w:rFonts w:hint="default"/>
        <w:lang w:val="zh-CN" w:eastAsia="zh-CN" w:bidi="zh-CN"/>
      </w:rPr>
    </w:lvl>
    <w:lvl w:ilvl="8">
      <w:start w:val="0"/>
      <w:numFmt w:val="bullet"/>
      <w:lvlText w:val="•"/>
      <w:lvlJc w:val="left"/>
      <w:pPr>
        <w:ind w:left="8224" w:hanging="315"/>
      </w:pPr>
      <w:rPr>
        <w:rFonts w:hint="default"/>
        <w:lang w:val="zh-CN" w:eastAsia="zh-CN" w:bidi="zh-CN"/>
      </w:rPr>
    </w:lvl>
  </w:abstractNum>
  <w:abstractNum w:abstractNumId="7">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6">
    <w:multiLevelType w:val="hybridMultilevel"/>
    <w:lvl w:ilvl="0">
      <w:start w:val="1"/>
      <w:numFmt w:val="decimal"/>
      <w:lvlText w:val="%1）"/>
      <w:lvlJc w:val="left"/>
      <w:pPr>
        <w:ind w:left="294"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8"/>
      </w:pPr>
      <w:rPr>
        <w:rFonts w:hint="default"/>
        <w:lang w:val="zh-CN" w:eastAsia="zh-CN" w:bidi="zh-CN"/>
      </w:rPr>
    </w:lvl>
    <w:lvl w:ilvl="2">
      <w:start w:val="0"/>
      <w:numFmt w:val="bullet"/>
      <w:lvlText w:val="•"/>
      <w:lvlJc w:val="left"/>
      <w:pPr>
        <w:ind w:left="2245" w:hanging="318"/>
      </w:pPr>
      <w:rPr>
        <w:rFonts w:hint="default"/>
        <w:lang w:val="zh-CN" w:eastAsia="zh-CN" w:bidi="zh-CN"/>
      </w:rPr>
    </w:lvl>
    <w:lvl w:ilvl="3">
      <w:start w:val="0"/>
      <w:numFmt w:val="bullet"/>
      <w:lvlText w:val="•"/>
      <w:lvlJc w:val="left"/>
      <w:pPr>
        <w:ind w:left="3217" w:hanging="318"/>
      </w:pPr>
      <w:rPr>
        <w:rFonts w:hint="default"/>
        <w:lang w:val="zh-CN" w:eastAsia="zh-CN" w:bidi="zh-CN"/>
      </w:rPr>
    </w:lvl>
    <w:lvl w:ilvl="4">
      <w:start w:val="0"/>
      <w:numFmt w:val="bullet"/>
      <w:lvlText w:val="•"/>
      <w:lvlJc w:val="left"/>
      <w:pPr>
        <w:ind w:left="4190" w:hanging="318"/>
      </w:pPr>
      <w:rPr>
        <w:rFonts w:hint="default"/>
        <w:lang w:val="zh-CN" w:eastAsia="zh-CN" w:bidi="zh-CN"/>
      </w:rPr>
    </w:lvl>
    <w:lvl w:ilvl="5">
      <w:start w:val="0"/>
      <w:numFmt w:val="bullet"/>
      <w:lvlText w:val="•"/>
      <w:lvlJc w:val="left"/>
      <w:pPr>
        <w:ind w:left="5163" w:hanging="318"/>
      </w:pPr>
      <w:rPr>
        <w:rFonts w:hint="default"/>
        <w:lang w:val="zh-CN" w:eastAsia="zh-CN" w:bidi="zh-CN"/>
      </w:rPr>
    </w:lvl>
    <w:lvl w:ilvl="6">
      <w:start w:val="0"/>
      <w:numFmt w:val="bullet"/>
      <w:lvlText w:val="•"/>
      <w:lvlJc w:val="left"/>
      <w:pPr>
        <w:ind w:left="6135" w:hanging="318"/>
      </w:pPr>
      <w:rPr>
        <w:rFonts w:hint="default"/>
        <w:lang w:val="zh-CN" w:eastAsia="zh-CN" w:bidi="zh-CN"/>
      </w:rPr>
    </w:lvl>
    <w:lvl w:ilvl="7">
      <w:start w:val="0"/>
      <w:numFmt w:val="bullet"/>
      <w:lvlText w:val="•"/>
      <w:lvlJc w:val="left"/>
      <w:pPr>
        <w:ind w:left="7108" w:hanging="318"/>
      </w:pPr>
      <w:rPr>
        <w:rFonts w:hint="default"/>
        <w:lang w:val="zh-CN" w:eastAsia="zh-CN" w:bidi="zh-CN"/>
      </w:rPr>
    </w:lvl>
    <w:lvl w:ilvl="8">
      <w:start w:val="0"/>
      <w:numFmt w:val="bullet"/>
      <w:lvlText w:val="•"/>
      <w:lvlJc w:val="left"/>
      <w:pPr>
        <w:ind w:left="8080" w:hanging="318"/>
      </w:pPr>
      <w:rPr>
        <w:rFonts w:hint="default"/>
        <w:lang w:val="zh-CN" w:eastAsia="zh-CN" w:bidi="zh-CN"/>
      </w:rPr>
    </w:lvl>
  </w:abstractNum>
  <w:abstractNum w:abstractNumId="5">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4">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3">
    <w:multiLevelType w:val="hybridMultilevel"/>
    <w:lvl w:ilvl="0">
      <w:start w:val="1"/>
      <w:numFmt w:val="decimal"/>
      <w:lvlText w:val="（%1）"/>
      <w:lvlJc w:val="left"/>
      <w:pPr>
        <w:ind w:left="294" w:hanging="530"/>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2" w:hanging="530"/>
      </w:pPr>
      <w:rPr>
        <w:rFonts w:hint="default"/>
        <w:lang w:val="zh-CN" w:eastAsia="zh-CN" w:bidi="zh-CN"/>
      </w:rPr>
    </w:lvl>
    <w:lvl w:ilvl="2">
      <w:start w:val="0"/>
      <w:numFmt w:val="bullet"/>
      <w:lvlText w:val="•"/>
      <w:lvlJc w:val="left"/>
      <w:pPr>
        <w:ind w:left="2245" w:hanging="530"/>
      </w:pPr>
      <w:rPr>
        <w:rFonts w:hint="default"/>
        <w:lang w:val="zh-CN" w:eastAsia="zh-CN" w:bidi="zh-CN"/>
      </w:rPr>
    </w:lvl>
    <w:lvl w:ilvl="3">
      <w:start w:val="0"/>
      <w:numFmt w:val="bullet"/>
      <w:lvlText w:val="•"/>
      <w:lvlJc w:val="left"/>
      <w:pPr>
        <w:ind w:left="3217" w:hanging="530"/>
      </w:pPr>
      <w:rPr>
        <w:rFonts w:hint="default"/>
        <w:lang w:val="zh-CN" w:eastAsia="zh-CN" w:bidi="zh-CN"/>
      </w:rPr>
    </w:lvl>
    <w:lvl w:ilvl="4">
      <w:start w:val="0"/>
      <w:numFmt w:val="bullet"/>
      <w:lvlText w:val="•"/>
      <w:lvlJc w:val="left"/>
      <w:pPr>
        <w:ind w:left="4190" w:hanging="530"/>
      </w:pPr>
      <w:rPr>
        <w:rFonts w:hint="default"/>
        <w:lang w:val="zh-CN" w:eastAsia="zh-CN" w:bidi="zh-CN"/>
      </w:rPr>
    </w:lvl>
    <w:lvl w:ilvl="5">
      <w:start w:val="0"/>
      <w:numFmt w:val="bullet"/>
      <w:lvlText w:val="•"/>
      <w:lvlJc w:val="left"/>
      <w:pPr>
        <w:ind w:left="5163" w:hanging="530"/>
      </w:pPr>
      <w:rPr>
        <w:rFonts w:hint="default"/>
        <w:lang w:val="zh-CN" w:eastAsia="zh-CN" w:bidi="zh-CN"/>
      </w:rPr>
    </w:lvl>
    <w:lvl w:ilvl="6">
      <w:start w:val="0"/>
      <w:numFmt w:val="bullet"/>
      <w:lvlText w:val="•"/>
      <w:lvlJc w:val="left"/>
      <w:pPr>
        <w:ind w:left="6135" w:hanging="530"/>
      </w:pPr>
      <w:rPr>
        <w:rFonts w:hint="default"/>
        <w:lang w:val="zh-CN" w:eastAsia="zh-CN" w:bidi="zh-CN"/>
      </w:rPr>
    </w:lvl>
    <w:lvl w:ilvl="7">
      <w:start w:val="0"/>
      <w:numFmt w:val="bullet"/>
      <w:lvlText w:val="•"/>
      <w:lvlJc w:val="left"/>
      <w:pPr>
        <w:ind w:left="7108" w:hanging="530"/>
      </w:pPr>
      <w:rPr>
        <w:rFonts w:hint="default"/>
        <w:lang w:val="zh-CN" w:eastAsia="zh-CN" w:bidi="zh-CN"/>
      </w:rPr>
    </w:lvl>
    <w:lvl w:ilvl="8">
      <w:start w:val="0"/>
      <w:numFmt w:val="bullet"/>
      <w:lvlText w:val="•"/>
      <w:lvlJc w:val="left"/>
      <w:pPr>
        <w:ind w:left="8080" w:hanging="530"/>
      </w:pPr>
      <w:rPr>
        <w:rFonts w:hint="default"/>
        <w:lang w:val="zh-CN" w:eastAsia="zh-CN" w:bidi="zh-CN"/>
      </w:rPr>
    </w:lvl>
  </w:abstractNum>
  <w:abstractNum w:abstractNumId="2">
    <w:multiLevelType w:val="hybridMultilevel"/>
    <w:lvl w:ilvl="0">
      <w:start w:val="1"/>
      <w:numFmt w:val="decimal"/>
      <w:lvlText w:val="（%1）"/>
      <w:lvlJc w:val="left"/>
      <w:pPr>
        <w:ind w:left="714" w:hanging="530"/>
        <w:jc w:val="left"/>
      </w:pPr>
      <w:rPr>
        <w:rFonts w:hint="default" w:ascii="宋体" w:hAnsi="宋体" w:eastAsia="宋体" w:cs="宋体"/>
        <w:spacing w:val="0"/>
        <w:w w:val="100"/>
        <w:sz w:val="19"/>
        <w:szCs w:val="19"/>
        <w:lang w:val="zh-CN" w:eastAsia="zh-CN" w:bidi="zh-CN"/>
      </w:rPr>
    </w:lvl>
    <w:lvl w:ilvl="1">
      <w:start w:val="1"/>
      <w:numFmt w:val="decimal"/>
      <w:lvlText w:val="（%2）"/>
      <w:lvlJc w:val="left"/>
      <w:pPr>
        <w:ind w:left="1701" w:hanging="567"/>
        <w:jc w:val="left"/>
      </w:pPr>
      <w:rPr>
        <w:rFonts w:hint="default" w:ascii="宋体" w:hAnsi="宋体" w:eastAsia="宋体" w:cs="宋体"/>
        <w:w w:val="100"/>
        <w:sz w:val="21"/>
        <w:szCs w:val="21"/>
        <w:lang w:val="zh-CN" w:eastAsia="zh-CN" w:bidi="zh-CN"/>
      </w:rPr>
    </w:lvl>
    <w:lvl w:ilvl="2">
      <w:start w:val="0"/>
      <w:numFmt w:val="bullet"/>
      <w:lvlText w:val="•"/>
      <w:lvlJc w:val="left"/>
      <w:pPr>
        <w:ind w:left="2625" w:hanging="567"/>
      </w:pPr>
      <w:rPr>
        <w:rFonts w:hint="default"/>
        <w:lang w:val="zh-CN" w:eastAsia="zh-CN" w:bidi="zh-CN"/>
      </w:rPr>
    </w:lvl>
    <w:lvl w:ilvl="3">
      <w:start w:val="0"/>
      <w:numFmt w:val="bullet"/>
      <w:lvlText w:val="•"/>
      <w:lvlJc w:val="left"/>
      <w:pPr>
        <w:ind w:left="3550" w:hanging="567"/>
      </w:pPr>
      <w:rPr>
        <w:rFonts w:hint="default"/>
        <w:lang w:val="zh-CN" w:eastAsia="zh-CN" w:bidi="zh-CN"/>
      </w:rPr>
    </w:lvl>
    <w:lvl w:ilvl="4">
      <w:start w:val="0"/>
      <w:numFmt w:val="bullet"/>
      <w:lvlText w:val="•"/>
      <w:lvlJc w:val="left"/>
      <w:pPr>
        <w:ind w:left="4475" w:hanging="567"/>
      </w:pPr>
      <w:rPr>
        <w:rFonts w:hint="default"/>
        <w:lang w:val="zh-CN" w:eastAsia="zh-CN" w:bidi="zh-CN"/>
      </w:rPr>
    </w:lvl>
    <w:lvl w:ilvl="5">
      <w:start w:val="0"/>
      <w:numFmt w:val="bullet"/>
      <w:lvlText w:val="•"/>
      <w:lvlJc w:val="left"/>
      <w:pPr>
        <w:ind w:left="5400" w:hanging="567"/>
      </w:pPr>
      <w:rPr>
        <w:rFonts w:hint="default"/>
        <w:lang w:val="zh-CN" w:eastAsia="zh-CN" w:bidi="zh-CN"/>
      </w:rPr>
    </w:lvl>
    <w:lvl w:ilvl="6">
      <w:start w:val="0"/>
      <w:numFmt w:val="bullet"/>
      <w:lvlText w:val="•"/>
      <w:lvlJc w:val="left"/>
      <w:pPr>
        <w:ind w:left="6325" w:hanging="567"/>
      </w:pPr>
      <w:rPr>
        <w:rFonts w:hint="default"/>
        <w:lang w:val="zh-CN" w:eastAsia="zh-CN" w:bidi="zh-CN"/>
      </w:rPr>
    </w:lvl>
    <w:lvl w:ilvl="7">
      <w:start w:val="0"/>
      <w:numFmt w:val="bullet"/>
      <w:lvlText w:val="•"/>
      <w:lvlJc w:val="left"/>
      <w:pPr>
        <w:ind w:left="7250" w:hanging="567"/>
      </w:pPr>
      <w:rPr>
        <w:rFonts w:hint="default"/>
        <w:lang w:val="zh-CN" w:eastAsia="zh-CN" w:bidi="zh-CN"/>
      </w:rPr>
    </w:lvl>
    <w:lvl w:ilvl="8">
      <w:start w:val="0"/>
      <w:numFmt w:val="bullet"/>
      <w:lvlText w:val="•"/>
      <w:lvlJc w:val="left"/>
      <w:pPr>
        <w:ind w:left="8175" w:hanging="567"/>
      </w:pPr>
      <w:rPr>
        <w:rFonts w:hint="default"/>
        <w:lang w:val="zh-CN" w:eastAsia="zh-CN" w:bidi="zh-CN"/>
      </w:rPr>
    </w:lvl>
  </w:abstractNum>
  <w:abstractNum w:abstractNumId="1">
    <w:multiLevelType w:val="hybridMultilevel"/>
    <w:lvl w:ilvl="0">
      <w:start w:val="1"/>
      <w:numFmt w:val="decimal"/>
      <w:lvlText w:val="（%1）"/>
      <w:lvlJc w:val="left"/>
      <w:pPr>
        <w:ind w:left="12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997" w:hanging="526"/>
      </w:pPr>
      <w:rPr>
        <w:rFonts w:hint="default"/>
        <w:lang w:val="zh-CN" w:eastAsia="zh-CN" w:bidi="zh-CN"/>
      </w:rPr>
    </w:lvl>
    <w:lvl w:ilvl="3">
      <w:start w:val="0"/>
      <w:numFmt w:val="bullet"/>
      <w:lvlText w:val="•"/>
      <w:lvlJc w:val="left"/>
      <w:pPr>
        <w:ind w:left="3875" w:hanging="526"/>
      </w:pPr>
      <w:rPr>
        <w:rFonts w:hint="default"/>
        <w:lang w:val="zh-CN" w:eastAsia="zh-CN" w:bidi="zh-CN"/>
      </w:rPr>
    </w:lvl>
    <w:lvl w:ilvl="4">
      <w:start w:val="0"/>
      <w:numFmt w:val="bullet"/>
      <w:lvlText w:val="•"/>
      <w:lvlJc w:val="left"/>
      <w:pPr>
        <w:ind w:left="4754" w:hanging="526"/>
      </w:pPr>
      <w:rPr>
        <w:rFonts w:hint="default"/>
        <w:lang w:val="zh-CN" w:eastAsia="zh-CN" w:bidi="zh-CN"/>
      </w:rPr>
    </w:lvl>
    <w:lvl w:ilvl="5">
      <w:start w:val="0"/>
      <w:numFmt w:val="bullet"/>
      <w:lvlText w:val="•"/>
      <w:lvlJc w:val="left"/>
      <w:pPr>
        <w:ind w:left="5633" w:hanging="526"/>
      </w:pPr>
      <w:rPr>
        <w:rFonts w:hint="default"/>
        <w:lang w:val="zh-CN" w:eastAsia="zh-CN" w:bidi="zh-CN"/>
      </w:rPr>
    </w:lvl>
    <w:lvl w:ilvl="6">
      <w:start w:val="0"/>
      <w:numFmt w:val="bullet"/>
      <w:lvlText w:val="•"/>
      <w:lvlJc w:val="left"/>
      <w:pPr>
        <w:ind w:left="6511" w:hanging="526"/>
      </w:pPr>
      <w:rPr>
        <w:rFonts w:hint="default"/>
        <w:lang w:val="zh-CN" w:eastAsia="zh-CN" w:bidi="zh-CN"/>
      </w:rPr>
    </w:lvl>
    <w:lvl w:ilvl="7">
      <w:start w:val="0"/>
      <w:numFmt w:val="bullet"/>
      <w:lvlText w:val="•"/>
      <w:lvlJc w:val="left"/>
      <w:pPr>
        <w:ind w:left="7390" w:hanging="526"/>
      </w:pPr>
      <w:rPr>
        <w:rFonts w:hint="default"/>
        <w:lang w:val="zh-CN" w:eastAsia="zh-CN" w:bidi="zh-CN"/>
      </w:rPr>
    </w:lvl>
    <w:lvl w:ilvl="8">
      <w:start w:val="0"/>
      <w:numFmt w:val="bullet"/>
      <w:lvlText w:val="•"/>
      <w:lvlJc w:val="left"/>
      <w:pPr>
        <w:ind w:left="8268" w:hanging="526"/>
      </w:pPr>
      <w:rPr>
        <w:rFonts w:hint="default"/>
        <w:lang w:val="zh-CN" w:eastAsia="zh-CN" w:bidi="zh-CN"/>
      </w:rPr>
    </w:lvl>
  </w:abstractNum>
  <w:abstractNum w:abstractNumId="0">
    <w:multiLevelType w:val="hybridMultilevel"/>
    <w:lvl w:ilvl="0">
      <w:start w:val="1"/>
      <w:numFmt w:val="decimal"/>
      <w:lvlText w:val="（%1）"/>
      <w:lvlJc w:val="left"/>
      <w:pPr>
        <w:ind w:left="1428" w:hanging="714"/>
        <w:jc w:val="left"/>
      </w:pPr>
      <w:rPr>
        <w:rFonts w:hint="default" w:ascii="宋体" w:hAnsi="宋体" w:eastAsia="宋体" w:cs="宋体"/>
        <w:spacing w:val="-21"/>
        <w:w w:val="100"/>
        <w:sz w:val="21"/>
        <w:szCs w:val="21"/>
        <w:lang w:val="zh-CN" w:eastAsia="zh-CN" w:bidi="zh-CN"/>
      </w:rPr>
    </w:lvl>
    <w:lvl w:ilvl="1">
      <w:start w:val="0"/>
      <w:numFmt w:val="bullet"/>
      <w:lvlText w:val="•"/>
      <w:lvlJc w:val="left"/>
      <w:pPr>
        <w:ind w:left="2280" w:hanging="714"/>
      </w:pPr>
      <w:rPr>
        <w:rFonts w:hint="default"/>
        <w:lang w:val="zh-CN" w:eastAsia="zh-CN" w:bidi="zh-CN"/>
      </w:rPr>
    </w:lvl>
    <w:lvl w:ilvl="2">
      <w:start w:val="0"/>
      <w:numFmt w:val="bullet"/>
      <w:lvlText w:val="•"/>
      <w:lvlJc w:val="left"/>
      <w:pPr>
        <w:ind w:left="3141" w:hanging="714"/>
      </w:pPr>
      <w:rPr>
        <w:rFonts w:hint="default"/>
        <w:lang w:val="zh-CN" w:eastAsia="zh-CN" w:bidi="zh-CN"/>
      </w:rPr>
    </w:lvl>
    <w:lvl w:ilvl="3">
      <w:start w:val="0"/>
      <w:numFmt w:val="bullet"/>
      <w:lvlText w:val="•"/>
      <w:lvlJc w:val="left"/>
      <w:pPr>
        <w:ind w:left="4001" w:hanging="714"/>
      </w:pPr>
      <w:rPr>
        <w:rFonts w:hint="default"/>
        <w:lang w:val="zh-CN" w:eastAsia="zh-CN" w:bidi="zh-CN"/>
      </w:rPr>
    </w:lvl>
    <w:lvl w:ilvl="4">
      <w:start w:val="0"/>
      <w:numFmt w:val="bullet"/>
      <w:lvlText w:val="•"/>
      <w:lvlJc w:val="left"/>
      <w:pPr>
        <w:ind w:left="4862" w:hanging="714"/>
      </w:pPr>
      <w:rPr>
        <w:rFonts w:hint="default"/>
        <w:lang w:val="zh-CN" w:eastAsia="zh-CN" w:bidi="zh-CN"/>
      </w:rPr>
    </w:lvl>
    <w:lvl w:ilvl="5">
      <w:start w:val="0"/>
      <w:numFmt w:val="bullet"/>
      <w:lvlText w:val="•"/>
      <w:lvlJc w:val="left"/>
      <w:pPr>
        <w:ind w:left="5723" w:hanging="714"/>
      </w:pPr>
      <w:rPr>
        <w:rFonts w:hint="default"/>
        <w:lang w:val="zh-CN" w:eastAsia="zh-CN" w:bidi="zh-CN"/>
      </w:rPr>
    </w:lvl>
    <w:lvl w:ilvl="6">
      <w:start w:val="0"/>
      <w:numFmt w:val="bullet"/>
      <w:lvlText w:val="•"/>
      <w:lvlJc w:val="left"/>
      <w:pPr>
        <w:ind w:left="6583" w:hanging="714"/>
      </w:pPr>
      <w:rPr>
        <w:rFonts w:hint="default"/>
        <w:lang w:val="zh-CN" w:eastAsia="zh-CN" w:bidi="zh-CN"/>
      </w:rPr>
    </w:lvl>
    <w:lvl w:ilvl="7">
      <w:start w:val="0"/>
      <w:numFmt w:val="bullet"/>
      <w:lvlText w:val="•"/>
      <w:lvlJc w:val="left"/>
      <w:pPr>
        <w:ind w:left="7444" w:hanging="714"/>
      </w:pPr>
      <w:rPr>
        <w:rFonts w:hint="default"/>
        <w:lang w:val="zh-CN" w:eastAsia="zh-CN" w:bidi="zh-CN"/>
      </w:rPr>
    </w:lvl>
    <w:lvl w:ilvl="8">
      <w:start w:val="0"/>
      <w:numFmt w:val="bullet"/>
      <w:lvlText w:val="•"/>
      <w:lvlJc w:val="left"/>
      <w:pPr>
        <w:ind w:left="8304" w:hanging="714"/>
      </w:pPr>
      <w:rPr>
        <w:rFonts w:hint="default"/>
        <w:lang w:val="zh-CN" w:eastAsia="zh-CN" w:bidi="zh-CN"/>
      </w:rPr>
    </w:lvl>
  </w:abstractNum>
  <w:num w:numId="12">
    <w:abstractNumId w:val="11"/>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82"/>
      <w:ind w:left="293"/>
    </w:pPr>
    <w:rPr>
      <w:rFonts w:ascii="微软雅黑" w:hAnsi="微软雅黑" w:eastAsia="微软雅黑" w:cs="微软雅黑"/>
      <w:b/>
      <w:bCs/>
      <w:sz w:val="24"/>
      <w:szCs w:val="24"/>
      <w:lang w:val="zh-CN" w:eastAsia="zh-CN" w:bidi="zh-CN"/>
    </w:rPr>
  </w:style>
  <w:style w:styleId="TOC2" w:type="paragraph">
    <w:name w:val="TOC 2"/>
    <w:basedOn w:val="Normal"/>
    <w:uiPriority w:val="1"/>
    <w:qFormat/>
    <w:pPr>
      <w:spacing w:before="82"/>
      <w:ind w:left="293"/>
    </w:pPr>
    <w:rPr>
      <w:rFonts w:ascii="微软雅黑" w:hAnsi="微软雅黑" w:eastAsia="微软雅黑" w:cs="微软雅黑"/>
      <w:b/>
      <w:bCs/>
      <w:i/>
      <w:lang w:val="zh-CN" w:eastAsia="zh-CN" w:bidi="zh-CN"/>
    </w:rPr>
  </w:style>
  <w:style w:styleId="TOC3" w:type="paragraph">
    <w:name w:val="TOC 3"/>
    <w:basedOn w:val="Normal"/>
    <w:uiPriority w:val="1"/>
    <w:qFormat/>
    <w:pPr>
      <w:spacing w:before="178"/>
      <w:ind w:left="1033"/>
    </w:pPr>
    <w:rPr>
      <w:rFonts w:ascii="宋体" w:hAnsi="宋体" w:eastAsia="宋体" w:cs="宋体"/>
      <w:sz w:val="21"/>
      <w:szCs w:val="21"/>
      <w:lang w:val="zh-CN" w:eastAsia="zh-CN" w:bidi="zh-CN"/>
    </w:rPr>
  </w:style>
  <w:style w:styleId="BodyText" w:type="paragraph">
    <w:name w:val="Body Text"/>
    <w:basedOn w:val="Normal"/>
    <w:uiPriority w:val="1"/>
    <w:qFormat/>
    <w:pPr>
      <w:ind w:left="713"/>
    </w:pPr>
    <w:rPr>
      <w:rFonts w:ascii="宋体" w:hAnsi="宋体" w:eastAsia="宋体" w:cs="宋体"/>
      <w:sz w:val="21"/>
      <w:szCs w:val="21"/>
      <w:lang w:val="zh-CN" w:eastAsia="zh-CN" w:bidi="zh-CN"/>
    </w:rPr>
  </w:style>
  <w:style w:styleId="Heading1" w:type="paragraph">
    <w:name w:val="Heading 1"/>
    <w:basedOn w:val="Normal"/>
    <w:uiPriority w:val="1"/>
    <w:qFormat/>
    <w:pPr>
      <w:spacing w:before="18"/>
      <w:ind w:left="277"/>
      <w:outlineLvl w:val="1"/>
    </w:pPr>
    <w:rPr>
      <w:rFonts w:ascii="微软雅黑" w:hAnsi="微软雅黑" w:eastAsia="微软雅黑" w:cs="微软雅黑"/>
      <w:b/>
      <w:bCs/>
      <w:sz w:val="28"/>
      <w:szCs w:val="28"/>
      <w:lang w:val="zh-CN" w:eastAsia="zh-CN" w:bidi="zh-CN"/>
    </w:rPr>
  </w:style>
  <w:style w:styleId="Heading2" w:type="paragraph">
    <w:name w:val="Heading 2"/>
    <w:basedOn w:val="Normal"/>
    <w:uiPriority w:val="1"/>
    <w:qFormat/>
    <w:pPr>
      <w:ind w:left="293"/>
      <w:outlineLvl w:val="2"/>
    </w:pPr>
    <w:rPr>
      <w:rFonts w:ascii="宋体" w:hAnsi="宋体" w:eastAsia="宋体" w:cs="宋体"/>
      <w:sz w:val="28"/>
      <w:szCs w:val="28"/>
      <w:lang w:val="zh-CN" w:eastAsia="zh-CN" w:bidi="zh-CN"/>
    </w:rPr>
  </w:style>
  <w:style w:styleId="Heading3" w:type="paragraph">
    <w:name w:val="Heading 3"/>
    <w:basedOn w:val="Normal"/>
    <w:uiPriority w:val="1"/>
    <w:qFormat/>
    <w:pPr>
      <w:spacing w:line="365" w:lineRule="exact"/>
      <w:ind w:left="909"/>
      <w:outlineLvl w:val="3"/>
    </w:pPr>
    <w:rPr>
      <w:rFonts w:ascii="微软雅黑" w:hAnsi="微软雅黑" w:eastAsia="微软雅黑" w:cs="微软雅黑"/>
      <w:b/>
      <w:bCs/>
      <w:sz w:val="24"/>
      <w:szCs w:val="24"/>
      <w:lang w:val="zh-CN" w:eastAsia="zh-CN" w:bidi="zh-CN"/>
    </w:rPr>
  </w:style>
  <w:style w:styleId="Heading4" w:type="paragraph">
    <w:name w:val="Heading 4"/>
    <w:basedOn w:val="Normal"/>
    <w:uiPriority w:val="1"/>
    <w:qFormat/>
    <w:pPr>
      <w:ind w:left="293" w:right="935" w:firstLine="480"/>
      <w:jc w:val="both"/>
      <w:outlineLvl w:val="4"/>
    </w:pPr>
    <w:rPr>
      <w:rFonts w:ascii="宋体" w:hAnsi="宋体" w:eastAsia="宋体" w:cs="宋体"/>
      <w:sz w:val="24"/>
      <w:szCs w:val="24"/>
      <w:lang w:val="zh-CN" w:eastAsia="zh-CN" w:bidi="zh-CN"/>
    </w:rPr>
  </w:style>
  <w:style w:styleId="Heading5" w:type="paragraph">
    <w:name w:val="Heading 5"/>
    <w:basedOn w:val="Normal"/>
    <w:uiPriority w:val="1"/>
    <w:qFormat/>
    <w:pPr>
      <w:spacing w:line="318" w:lineRule="exact"/>
      <w:ind w:left="713"/>
      <w:outlineLvl w:val="5"/>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1239" w:hanging="52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finance.sina.com.cn/realstock/company/sh601328/nc.shtml" TargetMode="External"/><Relationship Id="rId8" Type="http://schemas.openxmlformats.org/officeDocument/2006/relationships/hyperlink" Target="http://www.efunds.com.cn/" TargetMode="External"/><Relationship Id="rId9" Type="http://schemas.openxmlformats.org/officeDocument/2006/relationships/hyperlink" Target="http://www.bankcomm.com/" TargetMode="External"/><Relationship Id="rId10" Type="http://schemas.openxmlformats.org/officeDocument/2006/relationships/hyperlink" Target="http://www.cbhb.com.cn/" TargetMode="External"/><Relationship Id="rId11" Type="http://schemas.openxmlformats.org/officeDocument/2006/relationships/hyperlink" Target="http://www.cgbchina.com.cn/" TargetMode="External"/><Relationship Id="rId12" Type="http://schemas.openxmlformats.org/officeDocument/2006/relationships/hyperlink" Target="http://www.hxb.com.cn/"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icbc.com.cn/" TargetMode="External"/><Relationship Id="rId18" Type="http://schemas.openxmlformats.org/officeDocument/2006/relationships/hyperlink" Target="http://www.cebbank.com/" TargetMode="External"/><Relationship Id="rId19" Type="http://schemas.openxmlformats.org/officeDocument/2006/relationships/hyperlink" Target="http://www.ccb.com/" TargetMode="External"/><Relationship Id="rId20" Type="http://schemas.openxmlformats.org/officeDocument/2006/relationships/hyperlink" Target="http://www.cmbc.com.cn/" TargetMode="External"/><Relationship Id="rId21" Type="http://schemas.openxmlformats.org/officeDocument/2006/relationships/hyperlink" Target="http://www.abchina.com/" TargetMode="External"/><Relationship Id="rId22" Type="http://schemas.openxmlformats.org/officeDocument/2006/relationships/hyperlink" Target="http://www.boc.cn/" TargetMode="External"/><Relationship Id="rId23" Type="http://schemas.openxmlformats.org/officeDocument/2006/relationships/hyperlink" Target="http://www.psbc.com/" TargetMode="External"/><Relationship Id="rId24" Type="http://schemas.openxmlformats.org/officeDocument/2006/relationships/hyperlink" Target="http://www.bsb.com.cn/" TargetMode="External"/><Relationship Id="rId25" Type="http://schemas.openxmlformats.org/officeDocument/2006/relationships/hyperlink" Target="http://www.bjrcb.com/" TargetMode="External"/><Relationship Id="rId26" Type="http://schemas.openxmlformats.org/officeDocument/2006/relationships/hyperlink" Target="http://www.bankofbeijing.com.cn/" TargetMode="External"/><Relationship Id="rId27" Type="http://schemas.openxmlformats.org/officeDocument/2006/relationships/hyperlink" Target="http://www.ccabchina.com/" TargetMode="External"/><Relationship Id="rId28" Type="http://schemas.openxmlformats.org/officeDocument/2006/relationships/hyperlink" Target="http://www.gwbank.com.cn/" TargetMode="External"/><Relationship Id="rId29" Type="http://schemas.openxmlformats.org/officeDocument/2006/relationships/hyperlink" Target="http://www.cdrcb.com/" TargetMode="External"/><Relationship Id="rId30" Type="http://schemas.openxmlformats.org/officeDocument/2006/relationships/hyperlink" Target="http://www.bankofdl.com/" TargetMode="External"/><Relationship Id="rId31" Type="http://schemas.openxmlformats.org/officeDocument/2006/relationships/hyperlink" Target="http://www.dzbchina.com/" TargetMode="External"/><Relationship Id="rId32" Type="http://schemas.openxmlformats.org/officeDocument/2006/relationships/hyperlink" Target="http://www.drcbank.com/" TargetMode="External"/><Relationship Id="rId33" Type="http://schemas.openxmlformats.org/officeDocument/2006/relationships/hyperlink" Target="http://www.dongguanbank.cn/" TargetMode="External"/><Relationship Id="rId34" Type="http://schemas.openxmlformats.org/officeDocument/2006/relationships/hyperlink" Target="http://www.foshanbank.cn/" TargetMode="External"/><Relationship Id="rId35" Type="http://schemas.openxmlformats.org/officeDocument/2006/relationships/hyperlink" Target="http://www.fjhxbank.com/" TargetMode="External"/><Relationship Id="rId36" Type="http://schemas.openxmlformats.org/officeDocument/2006/relationships/hyperlink" Target="http://www.fudian-bank.com/" TargetMode="External"/><Relationship Id="rId37" Type="http://schemas.openxmlformats.org/officeDocument/2006/relationships/hyperlink" Target="http://www.fyrcbk.com/" TargetMode="External"/><Relationship Id="rId38" Type="http://schemas.openxmlformats.org/officeDocument/2006/relationships/hyperlink" Target="http://www.ghbank.com.cn/" TargetMode="External"/><Relationship Id="rId39" Type="http://schemas.openxmlformats.org/officeDocument/2006/relationships/hyperlink" Target="http://www.gdnybank.com/" TargetMode="External"/><Relationship Id="rId40" Type="http://schemas.openxmlformats.org/officeDocument/2006/relationships/hyperlink" Target="http://www.grcbank.com/" TargetMode="External"/><Relationship Id="rId41" Type="http://schemas.openxmlformats.org/officeDocument/2006/relationships/hyperlink" Target="http://www.gzcb.com.cn/" TargetMode="External"/><Relationship Id="rId42" Type="http://schemas.openxmlformats.org/officeDocument/2006/relationships/hyperlink" Target="http://www.96033.cn/" TargetMode="External"/><Relationship Id="rId43" Type="http://schemas.openxmlformats.org/officeDocument/2006/relationships/hyperlink" Target="http://www.hrbb.com.cn/" TargetMode="External"/><Relationship Id="rId44" Type="http://schemas.openxmlformats.org/officeDocument/2006/relationships/hyperlink" Target="http://www.urcb.com/" TargetMode="External"/><Relationship Id="rId45" Type="http://schemas.openxmlformats.org/officeDocument/2006/relationships/hyperlink" Target="http://www.hzbank.com.cn/" TargetMode="External"/><Relationship Id="rId46" Type="http://schemas.openxmlformats.org/officeDocument/2006/relationships/hyperlink" Target="http://www.hebbank.com/" TargetMode="External"/><Relationship Id="rId47" Type="http://schemas.openxmlformats.org/officeDocument/2006/relationships/hyperlink" Target="http://www.hrxjbank.com.cn/" TargetMode="External"/><Relationship Id="rId48" Type="http://schemas.openxmlformats.org/officeDocument/2006/relationships/hyperlink" Target="http://www.jlbank.com.cn/" TargetMode="External"/><Relationship Id="rId49" Type="http://schemas.openxmlformats.org/officeDocument/2006/relationships/hyperlink" Target="http://www.bojx.com/" TargetMode="External"/><Relationship Id="rId50" Type="http://schemas.openxmlformats.org/officeDocument/2006/relationships/hyperlink" Target="http://www.jnbank.com.cn/" TargetMode="External"/><Relationship Id="rId51" Type="http://schemas.openxmlformats.org/officeDocument/2006/relationships/hyperlink" Target="http://www.jsbchina.cn/" TargetMode="External"/><Relationship Id="rId52" Type="http://schemas.openxmlformats.org/officeDocument/2006/relationships/hyperlink" Target="http://www.jx-bank.com/" TargetMode="External"/><Relationship Id="rId53" Type="http://schemas.openxmlformats.org/officeDocument/2006/relationships/hyperlink" Target="http://www.jhccb.com.cn/" TargetMode="External"/><Relationship Id="rId54" Type="http://schemas.openxmlformats.org/officeDocument/2006/relationships/hyperlink" Target="http://www.jinzhoubank.com/" TargetMode="External"/><Relationship Id="rId55" Type="http://schemas.openxmlformats.org/officeDocument/2006/relationships/hyperlink" Target="http://www.jjccb.com/" TargetMode="External"/><Relationship Id="rId56" Type="http://schemas.openxmlformats.org/officeDocument/2006/relationships/hyperlink" Target="http://www.jtnsh.com/" TargetMode="External"/><Relationship Id="rId57" Type="http://schemas.openxmlformats.org/officeDocument/2006/relationships/hyperlink" Target="http://www.klb.cn/" TargetMode="External"/><Relationship Id="rId58" Type="http://schemas.openxmlformats.org/officeDocument/2006/relationships/hyperlink" Target="http://www.ksrcb.com/" TargetMode="External"/><Relationship Id="rId59" Type="http://schemas.openxmlformats.org/officeDocument/2006/relationships/hyperlink" Target="http://www.yqbank.com/" TargetMode="External"/><Relationship Id="rId60" Type="http://schemas.openxmlformats.org/officeDocument/2006/relationships/hyperlink" Target="http://www.lj-bank.com/" TargetMode="External"/><Relationship Id="rId61" Type="http://schemas.openxmlformats.org/officeDocument/2006/relationships/hyperlink" Target="http://www.lwrcb.com/" TargetMode="External"/><Relationship Id="rId62" Type="http://schemas.openxmlformats.org/officeDocument/2006/relationships/hyperlink" Target="http://www.lcrcbank.com/" TargetMode="External"/><Relationship Id="rId63" Type="http://schemas.openxmlformats.org/officeDocument/2006/relationships/hyperlink" Target="http://www.bankofluoyang.com.cn/" TargetMode="External"/><Relationship Id="rId64" Type="http://schemas.openxmlformats.org/officeDocument/2006/relationships/hyperlink" Target="http://www.nanhaibank.com/" TargetMode="External"/><Relationship Id="rId65" Type="http://schemas.openxmlformats.org/officeDocument/2006/relationships/hyperlink" Target="http://www.ncbchina.cn/cn/index.html" TargetMode="External"/><Relationship Id="rId66" Type="http://schemas.openxmlformats.org/officeDocument/2006/relationships/hyperlink" Target="http://www.nbcb.com.cn/" TargetMode="External"/><Relationship Id="rId67" Type="http://schemas.openxmlformats.org/officeDocument/2006/relationships/hyperlink" Target="http://www.qsbank.cc/" TargetMode="External"/><Relationship Id="rId68" Type="http://schemas.openxmlformats.org/officeDocument/2006/relationships/hyperlink" Target="http://www.qdccb.com/" TargetMode="External"/><Relationship Id="rId69" Type="http://schemas.openxmlformats.org/officeDocument/2006/relationships/hyperlink" Target="http://www.qzccbank.com/" TargetMode="External"/><Relationship Id="rId70" Type="http://schemas.openxmlformats.org/officeDocument/2006/relationships/hyperlink" Target="http://www.bankofrizhao.com.cn/" TargetMode="External"/><Relationship Id="rId71" Type="http://schemas.openxmlformats.org/officeDocument/2006/relationships/hyperlink" Target="http://www.rarcbank.com/" TargetMode="External"/><Relationship Id="rId72" Type="http://schemas.openxmlformats.org/officeDocument/2006/relationships/hyperlink" Target="http://www.borf.cn/" TargetMode="External"/><Relationship Id="rId73" Type="http://schemas.openxmlformats.org/officeDocument/2006/relationships/hyperlink" Target="http://www.srcb.com/" TargetMode="External"/><Relationship Id="rId74" Type="http://schemas.openxmlformats.org/officeDocument/2006/relationships/hyperlink" Target="http://www.bosc.cn/" TargetMode="External"/><Relationship Id="rId75" Type="http://schemas.openxmlformats.org/officeDocument/2006/relationships/hyperlink" Target="http://www.4001961200.com/" TargetMode="External"/><Relationship Id="rId76" Type="http://schemas.openxmlformats.org/officeDocument/2006/relationships/hyperlink" Target="http://www.sdebank.com/" TargetMode="External"/><Relationship Id="rId77" Type="http://schemas.openxmlformats.org/officeDocument/2006/relationships/hyperlink" Target="http://www.tf.cn/" TargetMode="External"/><Relationship Id="rId78" Type="http://schemas.openxmlformats.org/officeDocument/2006/relationships/hyperlink" Target="http://www.wjrcb.com/" TargetMode="External"/><Relationship Id="rId79" Type="http://schemas.openxmlformats.org/officeDocument/2006/relationships/hyperlink" Target="http://www.suzhoubank.com/" TargetMode="External"/><Relationship Id="rId80" Type="http://schemas.openxmlformats.org/officeDocument/2006/relationships/hyperlink" Target="http://www.bank-of-tianjin.com.cn/" TargetMode="External"/><Relationship Id="rId81" Type="http://schemas.openxmlformats.org/officeDocument/2006/relationships/hyperlink" Target="http://www.whccb.com/" TargetMode="External"/><Relationship Id="rId82" Type="http://schemas.openxmlformats.org/officeDocument/2006/relationships/hyperlink" Target="http://www.whccb.com.cn/" TargetMode="External"/><Relationship Id="rId83" Type="http://schemas.openxmlformats.org/officeDocument/2006/relationships/hyperlink" Target="http://www.webank.com/" TargetMode="External"/><Relationship Id="rId84" Type="http://schemas.openxmlformats.org/officeDocument/2006/relationships/hyperlink" Target="http://www.wfccb.com/" TargetMode="External"/><Relationship Id="rId85" Type="http://schemas.openxmlformats.org/officeDocument/2006/relationships/hyperlink" Target="http://www.uccb.com.cn/" TargetMode="External"/><Relationship Id="rId86" Type="http://schemas.openxmlformats.org/officeDocument/2006/relationships/hyperlink" Target="http://www.xmbankonline.com/" TargetMode="External"/><Relationship Id="rId87" Type="http://schemas.openxmlformats.org/officeDocument/2006/relationships/hyperlink" Target="http://www.xacbank.com/" TargetMode="External"/><Relationship Id="rId88" Type="http://schemas.openxmlformats.org/officeDocument/2006/relationships/hyperlink" Target="http://www.zjxsbank.com/" TargetMode="External"/><Relationship Id="rId89" Type="http://schemas.openxmlformats.org/officeDocument/2006/relationships/hyperlink" Target="http://xcbank.com/" TargetMode="External"/><Relationship Id="rId90" Type="http://schemas.openxmlformats.org/officeDocument/2006/relationships/hyperlink" Target="http://www.yantaibank.net/" TargetMode="External"/><Relationship Id="rId91" Type="http://schemas.openxmlformats.org/officeDocument/2006/relationships/hyperlink" Target="http://www.beeb.com.cn/" TargetMode="External"/><Relationship Id="rId92" Type="http://schemas.openxmlformats.org/officeDocument/2006/relationships/hyperlink" Target="http://www.yhrcb.com/" TargetMode="External"/><Relationship Id="rId93" Type="http://schemas.openxmlformats.org/officeDocument/2006/relationships/hyperlink" Target="http://www.ynhtbank.com/" TargetMode="External"/><Relationship Id="rId94" Type="http://schemas.openxmlformats.org/officeDocument/2006/relationships/hyperlink" Target="http://www.czcb.com.cn/" TargetMode="External"/><Relationship Id="rId95" Type="http://schemas.openxmlformats.org/officeDocument/2006/relationships/hyperlink" Target="http://www.zjtlcb.com/" TargetMode="External"/><Relationship Id="rId96" Type="http://schemas.openxmlformats.org/officeDocument/2006/relationships/hyperlink" Target="http://www.zybank.com.cn/" TargetMode="External"/><Relationship Id="rId97" Type="http://schemas.openxmlformats.org/officeDocument/2006/relationships/hyperlink" Target="http://www.cqrcb.com/" TargetMode="External"/><Relationship Id="rId98" Type="http://schemas.openxmlformats.org/officeDocument/2006/relationships/hyperlink" Target="http://www.cqcbank.com.cn/" TargetMode="External"/><Relationship Id="rId99" Type="http://schemas.openxmlformats.org/officeDocument/2006/relationships/hyperlink" Target="http://www.crbank.com.cn/" TargetMode="External"/><Relationship Id="rId100" Type="http://schemas.openxmlformats.org/officeDocument/2006/relationships/hyperlink" Target="http://www.essence.com.cn/" TargetMode="External"/><Relationship Id="rId101" Type="http://schemas.openxmlformats.org/officeDocument/2006/relationships/hyperlink" Target="http://www.ewww.com.cn/" TargetMode="External"/><Relationship Id="rId102" Type="http://schemas.openxmlformats.org/officeDocument/2006/relationships/hyperlink" Target="http://www.s10000.com/" TargetMode="External"/><Relationship Id="rId103" Type="http://schemas.openxmlformats.org/officeDocument/2006/relationships/hyperlink" Target="http://www.ctsec.com/" TargetMode="External"/><Relationship Id="rId104" Type="http://schemas.openxmlformats.org/officeDocument/2006/relationships/hyperlink" Target="http://www.cfzq.com/" TargetMode="External"/><Relationship Id="rId105" Type="http://schemas.openxmlformats.org/officeDocument/2006/relationships/hyperlink" Target="http://www.gwgsc.com/" TargetMode="External"/><Relationship Id="rId106" Type="http://schemas.openxmlformats.org/officeDocument/2006/relationships/hyperlink" Target="http://www.cgws.com/" TargetMode="External"/><Relationship Id="rId107" Type="http://schemas.openxmlformats.org/officeDocument/2006/relationships/hyperlink" Target="http://www.95579.com/" TargetMode="External"/><Relationship Id="rId108" Type="http://schemas.openxmlformats.org/officeDocument/2006/relationships/hyperlink" Target="http://www.cczq.com/" TargetMode="External"/><Relationship Id="rId109" Type="http://schemas.openxmlformats.org/officeDocument/2006/relationships/hyperlink" Target="http://www.daton.com.cn/" TargetMode="External"/><Relationship Id="rId110" Type="http://schemas.openxmlformats.org/officeDocument/2006/relationships/hyperlink" Target="http://www.dtsbc.com.cn/" TargetMode="External"/><Relationship Id="rId111" Type="http://schemas.openxmlformats.org/officeDocument/2006/relationships/hyperlink" Target="http://www.tebon.com.cn/" TargetMode="External"/><Relationship Id="rId112" Type="http://schemas.openxmlformats.org/officeDocument/2006/relationships/hyperlink" Target="http://www.firstcapital.com.cn/" TargetMode="External"/><Relationship Id="rId113" Type="http://schemas.openxmlformats.org/officeDocument/2006/relationships/hyperlink" Target="http://www.nesc.cn/" TargetMode="External"/><Relationship Id="rId114" Type="http://schemas.openxmlformats.org/officeDocument/2006/relationships/hyperlink" Target="http://www.dfzq.com.cn/" TargetMode="External"/><Relationship Id="rId115" Type="http://schemas.openxmlformats.org/officeDocument/2006/relationships/hyperlink" Target="http://www.dgzq.com.cn/" TargetMode="External"/><Relationship Id="rId116" Type="http://schemas.openxmlformats.org/officeDocument/2006/relationships/hyperlink" Target="http://www.longone.com.cn/" TargetMode="External"/><Relationship Id="rId117" Type="http://schemas.openxmlformats.org/officeDocument/2006/relationships/hyperlink" Target="http://www.dwzq.com.cn/" TargetMode="External"/><Relationship Id="rId118" Type="http://schemas.openxmlformats.org/officeDocument/2006/relationships/hyperlink" Target="http://www.dxzq.net/" TargetMode="External"/><Relationship Id="rId119" Type="http://schemas.openxmlformats.org/officeDocument/2006/relationships/hyperlink" Target="http://www.foundersc.com/" TargetMode="External"/><Relationship Id="rId120" Type="http://schemas.openxmlformats.org/officeDocument/2006/relationships/hyperlink" Target="http://www.ebscn.com/" TargetMode="External"/><Relationship Id="rId121" Type="http://schemas.openxmlformats.org/officeDocument/2006/relationships/hyperlink" Target="http://www.gf.com.cn/" TargetMode="External"/><Relationship Id="rId122" Type="http://schemas.openxmlformats.org/officeDocument/2006/relationships/hyperlink" Target="http://www.guodu.com/" TargetMode="External"/><Relationship Id="rId123" Type="http://schemas.openxmlformats.org/officeDocument/2006/relationships/hyperlink" Target="http://www.ghzq.com.cn/" TargetMode="External"/><Relationship Id="rId124" Type="http://schemas.openxmlformats.org/officeDocument/2006/relationships/hyperlink" Target="http://www.gjzq.com.cn/" TargetMode="External"/><Relationship Id="rId125" Type="http://schemas.openxmlformats.org/officeDocument/2006/relationships/hyperlink" Target="http://www.gkzq.com.cn/" TargetMode="External"/><Relationship Id="rId126" Type="http://schemas.openxmlformats.org/officeDocument/2006/relationships/hyperlink" Target="http://www.glsc.com.cn/" TargetMode="External"/><Relationship Id="rId127" Type="http://schemas.openxmlformats.org/officeDocument/2006/relationships/hyperlink" Target="http://www.grzq.com/" TargetMode="External"/><Relationship Id="rId128" Type="http://schemas.openxmlformats.org/officeDocument/2006/relationships/hyperlink" Target="http://www.gszq.com/" TargetMode="External"/><Relationship Id="rId129" Type="http://schemas.openxmlformats.org/officeDocument/2006/relationships/hyperlink" Target="http://www.gtja.com/" TargetMode="External"/><Relationship Id="rId130" Type="http://schemas.openxmlformats.org/officeDocument/2006/relationships/hyperlink" Target="http://www.guosen.com.cn/" TargetMode="External"/><Relationship Id="rId131" Type="http://schemas.openxmlformats.org/officeDocument/2006/relationships/hyperlink" Target="http://www.gyzq.com.cn/" TargetMode="External"/><Relationship Id="rId132" Type="http://schemas.openxmlformats.org/officeDocument/2006/relationships/hyperlink" Target="http://www.htsec.com/" TargetMode="External"/><Relationship Id="rId133" Type="http://schemas.openxmlformats.org/officeDocument/2006/relationships/hyperlink" Target="http://www.cnht.com.cn/" TargetMode="External"/><Relationship Id="rId134" Type="http://schemas.openxmlformats.org/officeDocument/2006/relationships/hyperlink" Target="http://www.hongtastock.com/" TargetMode="External"/><Relationship Id="rId135" Type="http://schemas.openxmlformats.org/officeDocument/2006/relationships/hyperlink" Target="http://www.hazq.com/" TargetMode="External"/><Relationship Id="rId136" Type="http://schemas.openxmlformats.org/officeDocument/2006/relationships/hyperlink" Target="http://www.cnhbstock.com/" TargetMode="External"/><Relationship Id="rId137" Type="http://schemas.openxmlformats.org/officeDocument/2006/relationships/hyperlink" Target="http://www.hfzq.com.cn/" TargetMode="External"/><Relationship Id="rId138" Type="http://schemas.openxmlformats.org/officeDocument/2006/relationships/hyperlink" Target="http://www.huajinsc.cn/" TargetMode="External"/><Relationship Id="rId139" Type="http://schemas.openxmlformats.org/officeDocument/2006/relationships/hyperlink" Target="http://www.chinalin.com/" TargetMode="External"/><Relationship Id="rId140" Type="http://schemas.openxmlformats.org/officeDocument/2006/relationships/hyperlink" Target="http://www.hlzq.com/" TargetMode="External"/><Relationship Id="rId141" Type="http://schemas.openxmlformats.org/officeDocument/2006/relationships/hyperlink" Target="http://www.hrsec.com.cn/" TargetMode="External"/><Relationship Id="rId142" Type="http://schemas.openxmlformats.org/officeDocument/2006/relationships/hyperlink" Target="http://www.htsc.com.cn/" TargetMode="External"/><Relationship Id="rId143" Type="http://schemas.openxmlformats.org/officeDocument/2006/relationships/hyperlink" Target="http://www.hx168.com.cn/" TargetMode="External"/><Relationship Id="rId144" Type="http://schemas.openxmlformats.org/officeDocument/2006/relationships/hyperlink" Target="http://www.cfsc.com.cn/" TargetMode="External"/><Relationship Id="rId145" Type="http://schemas.openxmlformats.org/officeDocument/2006/relationships/hyperlink" Target="http://www.shhxzq.com/" TargetMode="External"/><Relationship Id="rId146" Type="http://schemas.openxmlformats.org/officeDocument/2006/relationships/hyperlink" Target="http://www.jhzq.com.cn/" TargetMode="External"/><Relationship Id="rId147" Type="http://schemas.openxmlformats.org/officeDocument/2006/relationships/hyperlink" Target="http://www.jyzq.cn/" TargetMode="External"/><Relationship Id="rId148" Type="http://schemas.openxmlformats.org/officeDocument/2006/relationships/hyperlink" Target="http://www.jzsec.com/" TargetMode="External"/><Relationship Id="rId149" Type="http://schemas.openxmlformats.org/officeDocument/2006/relationships/hyperlink" Target="http://www.kysec.cn/" TargetMode="External"/><Relationship Id="rId150" Type="http://schemas.openxmlformats.org/officeDocument/2006/relationships/hyperlink" Target="http://www.lczq.com/" TargetMode="External"/><Relationship Id="rId151" Type="http://schemas.openxmlformats.org/officeDocument/2006/relationships/hyperlink" Target="http://www.njzq.com.cn/" TargetMode="External"/><Relationship Id="rId152" Type="http://schemas.openxmlformats.org/officeDocument/2006/relationships/hyperlink" Target="http://www.ubs.com/ubssecurities" TargetMode="External"/><Relationship Id="rId153" Type="http://schemas.openxmlformats.org/officeDocument/2006/relationships/hyperlink" Target="http://www.i618.com.cn/" TargetMode="External"/><Relationship Id="rId154" Type="http://schemas.openxmlformats.org/officeDocument/2006/relationships/hyperlink" Target="http://www.shzq.com/" TargetMode="External"/><Relationship Id="rId155" Type="http://schemas.openxmlformats.org/officeDocument/2006/relationships/hyperlink" Target="http://www.hysec.com/" TargetMode="External"/><Relationship Id="rId156" Type="http://schemas.openxmlformats.org/officeDocument/2006/relationships/hyperlink" Target="http://www.swhysc.com/" TargetMode="External"/><Relationship Id="rId157" Type="http://schemas.openxmlformats.org/officeDocument/2006/relationships/hyperlink" Target="http://www.csco.com.cn/" TargetMode="External"/><Relationship Id="rId158" Type="http://schemas.openxmlformats.org/officeDocument/2006/relationships/hyperlink" Target="http://www.sczq.com.cn/" TargetMode="External"/><Relationship Id="rId159" Type="http://schemas.openxmlformats.org/officeDocument/2006/relationships/hyperlink" Target="http://www.tfzq.com/" TargetMode="External"/><Relationship Id="rId160" Type="http://schemas.openxmlformats.org/officeDocument/2006/relationships/hyperlink" Target="http://www.wlzq.cn/" TargetMode="External"/><Relationship Id="rId161" Type="http://schemas.openxmlformats.org/officeDocument/2006/relationships/hyperlink" Target="http://www.wkzq.com.cn/" TargetMode="External"/><Relationship Id="rId162" Type="http://schemas.openxmlformats.org/officeDocument/2006/relationships/hyperlink" Target="http://www.westsecu.com/" TargetMode="External"/><Relationship Id="rId163" Type="http://schemas.openxmlformats.org/officeDocument/2006/relationships/hyperlink" Target="http://www.swsc.com.cn/" TargetMode="External"/><Relationship Id="rId164" Type="http://schemas.openxmlformats.org/officeDocument/2006/relationships/hyperlink" Target="http://www.xcsc.com/" TargetMode="External"/><Relationship Id="rId165" Type="http://schemas.openxmlformats.org/officeDocument/2006/relationships/hyperlink" Target="http://www.xsdzq.cn/" TargetMode="External"/><Relationship Id="rId166" Type="http://schemas.openxmlformats.org/officeDocument/2006/relationships/hyperlink" Target="http://www.cindasc.com/" TargetMode="External"/><Relationship Id="rId167" Type="http://schemas.openxmlformats.org/officeDocument/2006/relationships/hyperlink" Target="http://www.xyzq.com.cn/" TargetMode="External"/><Relationship Id="rId168" Type="http://schemas.openxmlformats.org/officeDocument/2006/relationships/hyperlink" Target="http://www.chinastock.com.cn/" TargetMode="External"/><Relationship Id="rId169" Type="http://schemas.openxmlformats.org/officeDocument/2006/relationships/hyperlink" Target="http://www.ykzq.com/" TargetMode="External"/><Relationship Id="rId170" Type="http://schemas.openxmlformats.org/officeDocument/2006/relationships/hyperlink" Target="http://www.newone.com.cn/" TargetMode="External"/><Relationship Id="rId171" Type="http://schemas.openxmlformats.org/officeDocument/2006/relationships/hyperlink" Target="http://www.stocke.com.cn/" TargetMode="External"/><Relationship Id="rId172" Type="http://schemas.openxmlformats.org/officeDocument/2006/relationships/hyperlink" Target="http://www.avicsec.com/" TargetMode="External"/><Relationship Id="rId173" Type="http://schemas.openxmlformats.org/officeDocument/2006/relationships/hyperlink" Target="http://www.ciccwm.com/" TargetMode="External"/><Relationship Id="rId174" Type="http://schemas.openxmlformats.org/officeDocument/2006/relationships/hyperlink" Target="http://www.cicc.com.cn/" TargetMode="External"/><Relationship Id="rId175" Type="http://schemas.openxmlformats.org/officeDocument/2006/relationships/hyperlink" Target="http://www.zszq.com/" TargetMode="External"/><Relationship Id="rId176" Type="http://schemas.openxmlformats.org/officeDocument/2006/relationships/hyperlink" Target="http://www.zts.com.cn/" TargetMode="External"/><Relationship Id="rId177" Type="http://schemas.openxmlformats.org/officeDocument/2006/relationships/hyperlink" Target="http://www.iztzq.com/" TargetMode="External"/><Relationship Id="rId178" Type="http://schemas.openxmlformats.org/officeDocument/2006/relationships/hyperlink" Target="http://www.csc108.com/" TargetMode="External"/><Relationship Id="rId179" Type="http://schemas.openxmlformats.org/officeDocument/2006/relationships/hyperlink" Target="http://www.cs.ecitic.com/" TargetMode="External"/><Relationship Id="rId180" Type="http://schemas.openxmlformats.org/officeDocument/2006/relationships/hyperlink" Target="http://www.gzs.com.cn/" TargetMode="External"/><Relationship Id="rId181" Type="http://schemas.openxmlformats.org/officeDocument/2006/relationships/hyperlink" Target="http://sd.citics.com/" TargetMode="External"/><Relationship Id="rId182" Type="http://schemas.openxmlformats.org/officeDocument/2006/relationships/hyperlink" Target="http://www.bocichina.com/" TargetMode="External"/><Relationship Id="rId183" Type="http://schemas.openxmlformats.org/officeDocument/2006/relationships/hyperlink" Target="http://www.cnpsec.com/" TargetMode="External"/><Relationship Id="rId184" Type="http://schemas.openxmlformats.org/officeDocument/2006/relationships/hyperlink" Target="http://www.ccnew.com/" TargetMode="External"/><Relationship Id="rId185" Type="http://schemas.openxmlformats.org/officeDocument/2006/relationships/hyperlink" Target="http://www.baiyingfund.com/" TargetMode="External"/><Relationship Id="rId186" Type="http://schemas.openxmlformats.org/officeDocument/2006/relationships/hyperlink" Target="http://www.erichfund.com/" TargetMode="External"/><Relationship Id="rId187" Type="http://schemas.openxmlformats.org/officeDocument/2006/relationships/hyperlink" Target="http://www.998fund.com/" TargetMode="External"/><Relationship Id="rId188" Type="http://schemas.openxmlformats.org/officeDocument/2006/relationships/hyperlink" Target="http://www.5irich.com/" TargetMode="External"/><Relationship Id="rId189" Type="http://schemas.openxmlformats.org/officeDocument/2006/relationships/hyperlink" Target="http://www.dtfunds.com/" TargetMode="External"/><Relationship Id="rId190" Type="http://schemas.openxmlformats.org/officeDocument/2006/relationships/hyperlink" Target="http://www.wg.com.cn/" TargetMode="External"/><Relationship Id="rId191" Type="http://schemas.openxmlformats.org/officeDocument/2006/relationships/hyperlink" Target="http://www.9ifund.com/" TargetMode="External"/><Relationship Id="rId192" Type="http://schemas.openxmlformats.org/officeDocument/2006/relationships/hyperlink" Target="http://www.dzqh.com.cn/" TargetMode="External"/><Relationship Id="rId193" Type="http://schemas.openxmlformats.org/officeDocument/2006/relationships/hyperlink" Target="http://www.puyifund.com/" TargetMode="External"/><Relationship Id="rId194" Type="http://schemas.openxmlformats.org/officeDocument/2006/relationships/hyperlink" Target="http://www.fujifund.cn/" TargetMode="External"/><Relationship Id="rId195" Type="http://schemas.openxmlformats.org/officeDocument/2006/relationships/hyperlink" Target="http://www.fundhaiyin.com/" TargetMode="External"/><Relationship Id="rId196" Type="http://schemas.openxmlformats.org/officeDocument/2006/relationships/hyperlink" Target="http://www.ehowbuy.com/" TargetMode="External"/><Relationship Id="rId197" Type="http://schemas.openxmlformats.org/officeDocument/2006/relationships/hyperlink" Target="http://licaike.hexun.com/" TargetMode="External"/><Relationship Id="rId198" Type="http://schemas.openxmlformats.org/officeDocument/2006/relationships/hyperlink" Target="http://www.chtwm.com/" TargetMode="External"/><Relationship Id="rId199" Type="http://schemas.openxmlformats.org/officeDocument/2006/relationships/hyperlink" Target="http://www.ftol.com.cn/" TargetMode="External"/><Relationship Id="rId200" Type="http://schemas.openxmlformats.org/officeDocument/2006/relationships/hyperlink" Target="http://www.hongdianfund.com/" TargetMode="External"/><Relationship Id="rId201" Type="http://schemas.openxmlformats.org/officeDocument/2006/relationships/hyperlink" Target="http://www.huaruisales.com/" TargetMode="External"/><Relationship Id="rId202" Type="http://schemas.openxmlformats.org/officeDocument/2006/relationships/hyperlink" Target="http://www.amcfortune.com/" TargetMode="External"/><Relationship Id="rId203" Type="http://schemas.openxmlformats.org/officeDocument/2006/relationships/hyperlink" Target="http://www.hsqh.net/" TargetMode="External"/><Relationship Id="rId204" Type="http://schemas.openxmlformats.org/officeDocument/2006/relationships/hyperlink" Target="http://www.hcjijin.com/" TargetMode="External"/><Relationship Id="rId205" Type="http://schemas.openxmlformats.org/officeDocument/2006/relationships/hyperlink" Target="http://www.hotjijin.com/" TargetMode="External"/><Relationship Id="rId206" Type="http://schemas.openxmlformats.org/officeDocument/2006/relationships/hyperlink" Target="http://www.jianfortune.com/" TargetMode="External"/><Relationship Id="rId207" Type="http://schemas.openxmlformats.org/officeDocument/2006/relationships/hyperlink" Target="http://www.bzfunds.com/" TargetMode="External"/><Relationship Id="rId208" Type="http://schemas.openxmlformats.org/officeDocument/2006/relationships/hyperlink" Target="http://www.harvestwm.cn/" TargetMode="External"/><Relationship Id="rId209" Type="http://schemas.openxmlformats.org/officeDocument/2006/relationships/hyperlink" Target="http://www.jsjbl.com/" TargetMode="External"/><Relationship Id="rId210" Type="http://schemas.openxmlformats.org/officeDocument/2006/relationships/hyperlink" Target="http://www.jincheng-fund.com/" TargetMode="External"/><Relationship Id="rId211" Type="http://schemas.openxmlformats.org/officeDocument/2006/relationships/hyperlink" Target="http://www.jfcta.com/" TargetMode="External"/><Relationship Id="rId212" Type="http://schemas.openxmlformats.org/officeDocument/2006/relationships/hyperlink" Target="http://www.vstonewealth.com/" TargetMode="External"/><Relationship Id="rId213" Type="http://schemas.openxmlformats.org/officeDocument/2006/relationships/hyperlink" Target="http://fund.jd.com/" TargetMode="External"/><Relationship Id="rId214" Type="http://schemas.openxmlformats.org/officeDocument/2006/relationships/hyperlink" Target="http://www.leadfund.com.cn/" TargetMode="External"/><Relationship Id="rId215" Type="http://schemas.openxmlformats.org/officeDocument/2006/relationships/hyperlink" Target="http://www.66zichan.com/" TargetMode="External"/><Relationship Id="rId216" Type="http://schemas.openxmlformats.org/officeDocument/2006/relationships/hyperlink" Target="http://www.lufunds.com/" TargetMode="External"/><Relationship Id="rId217" Type="http://schemas.openxmlformats.org/officeDocument/2006/relationships/hyperlink" Target="http://www.fund123.cn/" TargetMode="External"/><Relationship Id="rId218" Type="http://schemas.openxmlformats.org/officeDocument/2006/relationships/hyperlink" Target="http://www.msftec.com/" TargetMode="External"/><Relationship Id="rId219" Type="http://schemas.openxmlformats.org/officeDocument/2006/relationships/hyperlink" Target="http://www.noah-fund.com/" TargetMode="External"/><Relationship Id="rId220" Type="http://schemas.openxmlformats.org/officeDocument/2006/relationships/hyperlink" Target="http://www.zscffund.com/" TargetMode="External"/><Relationship Id="rId221" Type="http://schemas.openxmlformats.org/officeDocument/2006/relationships/hyperlink" Target="http://www.qianjing.com/" TargetMode="External"/><Relationship Id="rId222" Type="http://schemas.openxmlformats.org/officeDocument/2006/relationships/hyperlink" Target="http://8.jrj.com.cn/" TargetMode="External"/><Relationship Id="rId223" Type="http://schemas.openxmlformats.org/officeDocument/2006/relationships/hyperlink" Target="http://www.shengshiview.com/" TargetMode="External"/><Relationship Id="rId224" Type="http://schemas.openxmlformats.org/officeDocument/2006/relationships/hyperlink" Target="http://www.snjijin.com/" TargetMode="External"/><Relationship Id="rId225" Type="http://schemas.openxmlformats.org/officeDocument/2006/relationships/hyperlink" Target="http://www.txfund.com/" TargetMode="External"/><Relationship Id="rId226" Type="http://schemas.openxmlformats.org/officeDocument/2006/relationships/hyperlink" Target="http://www.1234567.com.cn/" TargetMode="External"/><Relationship Id="rId227" Type="http://schemas.openxmlformats.org/officeDocument/2006/relationships/hyperlink" Target="http://www.tonghuafund.com/" TargetMode="External"/><Relationship Id="rId228" Type="http://schemas.openxmlformats.org/officeDocument/2006/relationships/hyperlink" Target="http://www.5ifund.com/" TargetMode="External"/><Relationship Id="rId229" Type="http://schemas.openxmlformats.org/officeDocument/2006/relationships/hyperlink" Target="http://jr.tuniu.com/" TargetMode="External"/><Relationship Id="rId230" Type="http://schemas.openxmlformats.org/officeDocument/2006/relationships/hyperlink" Target="http://www.wacaijijin.com/" TargetMode="External"/><Relationship Id="rId231" Type="http://schemas.openxmlformats.org/officeDocument/2006/relationships/hyperlink" Target="http://www.520fund.com.cn/" TargetMode="External"/><Relationship Id="rId232" Type="http://schemas.openxmlformats.org/officeDocument/2006/relationships/hyperlink" Target="http://www.wanjiawealth.com/" TargetMode="External"/><Relationship Id="rId233" Type="http://schemas.openxmlformats.org/officeDocument/2006/relationships/hyperlink" Target="http://www.xincai.com/" TargetMode="External"/><Relationship Id="rId234" Type="http://schemas.openxmlformats.org/officeDocument/2006/relationships/hyperlink" Target="http://www.xds.com.cn/" TargetMode="External"/><Relationship Id="rId235" Type="http://schemas.openxmlformats.org/officeDocument/2006/relationships/hyperlink" Target="http://fund.sinosig.com/" TargetMode="External"/><Relationship Id="rId236" Type="http://schemas.openxmlformats.org/officeDocument/2006/relationships/hyperlink" Target="http://www.yilucaifu.com/" TargetMode="External"/><Relationship Id="rId237" Type="http://schemas.openxmlformats.org/officeDocument/2006/relationships/hyperlink" Target="http://www.yitfund.com/" TargetMode="External"/><Relationship Id="rId238" Type="http://schemas.openxmlformats.org/officeDocument/2006/relationships/hyperlink" Target="http://www.yixinfund.com/" TargetMode="External"/><Relationship Id="rId239" Type="http://schemas.openxmlformats.org/officeDocument/2006/relationships/hyperlink" Target="http://www.ifastps.com.cn/" TargetMode="External"/><Relationship Id="rId240" Type="http://schemas.openxmlformats.org/officeDocument/2006/relationships/hyperlink" Target="http://www.yingmi.cn/" TargetMode="External"/><Relationship Id="rId241" Type="http://schemas.openxmlformats.org/officeDocument/2006/relationships/hyperlink" Target="http://www.zhengtongfunds.com/" TargetMode="External"/><Relationship Id="rId242" Type="http://schemas.openxmlformats.org/officeDocument/2006/relationships/hyperlink" Target="http://www.zcvc.com.cn/" TargetMode="External"/><Relationship Id="rId243" Type="http://schemas.openxmlformats.org/officeDocument/2006/relationships/hyperlink" Target="http://www.myfund.com/" TargetMode="External"/><Relationship Id="rId244" Type="http://schemas.openxmlformats.org/officeDocument/2006/relationships/hyperlink" Target="http://www.cifco.net/" TargetMode="External"/><Relationship Id="rId245" Type="http://schemas.openxmlformats.org/officeDocument/2006/relationships/hyperlink" Target="http://www.qiangungun.com/" TargetMode="External"/><Relationship Id="rId246" Type="http://schemas.openxmlformats.org/officeDocument/2006/relationships/hyperlink" Target="http://www.jrtoo.com/" TargetMode="External"/><Relationship Id="rId247" Type="http://schemas.openxmlformats.org/officeDocument/2006/relationships/hyperlink" Target="http://www.cfc108.com/" TargetMode="External"/><Relationship Id="rId248" Type="http://schemas.openxmlformats.org/officeDocument/2006/relationships/hyperlink" Target="http://www.citicsf.com/" TargetMode="External"/><Relationship Id="rId249" Type="http://schemas.openxmlformats.org/officeDocument/2006/relationships/hyperlink" Target="http://www.zhongzhengfund.com/" TargetMode="External"/><Relationship Id="rId250" Type="http://schemas.openxmlformats.org/officeDocument/2006/relationships/hyperlink" Target="http://www.jnlc.com/" TargetMode="External"/><Relationship Id="rId251" Type="http://schemas.openxmlformats.org/officeDocument/2006/relationships/hyperlink" Target="http://www.zlfund.cn/" TargetMode="External"/><Relationship Id="rId252" Type="http://schemas.openxmlformats.org/officeDocument/2006/relationships/hyperlink" Target="http://www.jjmmw.com/" TargetMode="External"/><Relationship Id="rId253" Type="http://schemas.openxmlformats.org/officeDocument/2006/relationships/hyperlink" Target="mailto:service@efunds.com.cn" TargetMode="External"/><Relationship Id="rId2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2020-11-18T05:55:45Z</dcterms:created>
  <dcterms:modified xsi:type="dcterms:W3CDTF">2020-11-18T05:55:45Z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Aspose Ltd.</vt:lpwstr>
  </property>
  <property fmtid="{D5CDD505-2E9C-101B-9397-08002B2CF9AE}" pid="4" name="LastSaved">
    <vt:filetime>2020-11-18T00:00:00Z</vt:filetime>
  </property>
</Properties>
</file>