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5"/>
        <w:ind w:left="0" w:firstLine="0"/>
        <w:rPr>
          <w:rFonts w:ascii="Times New Roman"/>
          <w:sz w:val="23"/>
        </w:rPr>
      </w:pPr>
    </w:p>
    <w:p>
      <w:pPr>
        <w:spacing w:before="51"/>
        <w:ind w:left="4" w:right="262" w:firstLine="0"/>
        <w:jc w:val="center"/>
        <w:rPr>
          <w:rFonts w:ascii="黑体" w:eastAsia="黑体" w:hint="eastAsia"/>
          <w:b/>
          <w:sz w:val="44"/>
        </w:rPr>
      </w:pPr>
      <w:r>
        <w:rPr>
          <w:rFonts w:ascii="黑体" w:eastAsia="黑体" w:hint="eastAsia"/>
          <w:b/>
          <w:sz w:val="44"/>
        </w:rPr>
        <w:t>易方达黄金主题证券投资基金（</w:t>
      </w:r>
      <w:r>
        <w:rPr>
          <w:rFonts w:ascii="Times New Roman" w:eastAsia="Times New Roman"/>
          <w:b/>
          <w:sz w:val="44"/>
        </w:rPr>
        <w:t>LOF</w:t>
      </w:r>
      <w:r>
        <w:rPr>
          <w:rFonts w:ascii="黑体" w:eastAsia="黑体" w:hint="eastAsia"/>
          <w:b/>
          <w:sz w:val="44"/>
        </w:rPr>
        <w:t>）</w:t>
      </w:r>
    </w:p>
    <w:p>
      <w:pPr>
        <w:pStyle w:val="BodyText"/>
        <w:spacing w:before="2"/>
        <w:ind w:left="0" w:firstLine="0"/>
        <w:rPr>
          <w:rFonts w:ascii="黑体"/>
          <w:b/>
          <w:sz w:val="36"/>
        </w:rPr>
      </w:pPr>
    </w:p>
    <w:p>
      <w:pPr>
        <w:spacing w:before="0"/>
        <w:ind w:left="428" w:right="262" w:firstLine="0"/>
        <w:jc w:val="center"/>
        <w:rPr>
          <w:rFonts w:ascii="黑体" w:eastAsia="黑体" w:hint="eastAsia"/>
          <w:b/>
          <w:sz w:val="44"/>
        </w:rPr>
      </w:pPr>
      <w:r>
        <w:rPr>
          <w:rFonts w:ascii="黑体" w:eastAsia="黑体" w:hint="eastAsia"/>
          <w:b/>
          <w:w w:val="95"/>
          <w:sz w:val="44"/>
        </w:rPr>
        <w:t>基金合同</w:t>
      </w:r>
    </w:p>
    <w:p>
      <w:pPr>
        <w:pStyle w:val="BodyText"/>
        <w:spacing w:before="0"/>
        <w:ind w:left="0" w:firstLine="0"/>
        <w:rPr>
          <w:rFonts w:ascii="黑体"/>
          <w:b/>
          <w:sz w:val="44"/>
        </w:rPr>
      </w:pPr>
    </w:p>
    <w:p>
      <w:pPr>
        <w:pStyle w:val="BodyText"/>
        <w:spacing w:before="0"/>
        <w:ind w:left="0" w:firstLine="0"/>
        <w:rPr>
          <w:rFonts w:ascii="黑体"/>
          <w:b/>
          <w:sz w:val="44"/>
        </w:rPr>
      </w:pPr>
    </w:p>
    <w:p>
      <w:pPr>
        <w:pStyle w:val="BodyText"/>
        <w:spacing w:before="0"/>
        <w:ind w:left="0" w:firstLine="0"/>
        <w:rPr>
          <w:rFonts w:ascii="黑体"/>
          <w:b/>
          <w:sz w:val="44"/>
        </w:rPr>
      </w:pPr>
    </w:p>
    <w:p>
      <w:pPr>
        <w:pStyle w:val="BodyText"/>
        <w:spacing w:before="0"/>
        <w:ind w:left="0" w:firstLine="0"/>
        <w:rPr>
          <w:rFonts w:ascii="黑体"/>
          <w:b/>
          <w:sz w:val="44"/>
        </w:rPr>
      </w:pPr>
    </w:p>
    <w:p>
      <w:pPr>
        <w:pStyle w:val="BodyText"/>
        <w:spacing w:before="0"/>
        <w:ind w:left="0" w:firstLine="0"/>
        <w:rPr>
          <w:rFonts w:ascii="黑体"/>
          <w:b/>
          <w:sz w:val="44"/>
        </w:rPr>
      </w:pPr>
    </w:p>
    <w:p>
      <w:pPr>
        <w:pStyle w:val="BodyText"/>
        <w:spacing w:before="0"/>
        <w:ind w:left="0" w:firstLine="0"/>
        <w:rPr>
          <w:rFonts w:ascii="黑体"/>
          <w:b/>
          <w:sz w:val="44"/>
        </w:rPr>
      </w:pPr>
    </w:p>
    <w:p>
      <w:pPr>
        <w:pStyle w:val="BodyText"/>
        <w:spacing w:before="0"/>
        <w:ind w:left="0" w:firstLine="0"/>
        <w:rPr>
          <w:rFonts w:ascii="黑体"/>
          <w:b/>
          <w:sz w:val="44"/>
        </w:rPr>
      </w:pPr>
    </w:p>
    <w:p>
      <w:pPr>
        <w:pStyle w:val="BodyText"/>
        <w:spacing w:before="0"/>
        <w:ind w:left="0" w:firstLine="0"/>
        <w:rPr>
          <w:rFonts w:ascii="黑体"/>
          <w:b/>
          <w:sz w:val="44"/>
        </w:rPr>
      </w:pPr>
    </w:p>
    <w:p>
      <w:pPr>
        <w:pStyle w:val="BodyText"/>
        <w:spacing w:before="0"/>
        <w:ind w:left="0" w:firstLine="0"/>
        <w:rPr>
          <w:rFonts w:ascii="黑体"/>
          <w:b/>
          <w:sz w:val="44"/>
        </w:rPr>
      </w:pPr>
    </w:p>
    <w:p>
      <w:pPr>
        <w:pStyle w:val="BodyText"/>
        <w:spacing w:before="8"/>
        <w:ind w:left="0" w:firstLine="0"/>
        <w:rPr>
          <w:rFonts w:ascii="黑体"/>
          <w:b/>
          <w:sz w:val="34"/>
        </w:rPr>
      </w:pPr>
    </w:p>
    <w:p>
      <w:pPr>
        <w:spacing w:line="417" w:lineRule="auto" w:before="0"/>
        <w:ind w:left="1742" w:right="2002" w:firstLine="3"/>
        <w:jc w:val="center"/>
        <w:rPr>
          <w:b/>
          <w:sz w:val="28"/>
        </w:rPr>
      </w:pPr>
      <w:r>
        <w:rPr>
          <w:b/>
          <w:sz w:val="28"/>
        </w:rPr>
        <w:t>基金管理人：易方达基金管理有限公司 </w:t>
      </w:r>
      <w:r>
        <w:rPr>
          <w:b/>
          <w:spacing w:val="-1"/>
          <w:sz w:val="28"/>
        </w:rPr>
        <w:t>基金托管人：中国农业银行股份有限公司</w:t>
      </w:r>
      <w:r>
        <w:rPr>
          <w:b/>
          <w:sz w:val="28"/>
        </w:rPr>
        <w:t>二零一九年十二月</w:t>
      </w:r>
    </w:p>
    <w:p>
      <w:pPr>
        <w:spacing w:after="0" w:line="417" w:lineRule="auto"/>
        <w:jc w:val="center"/>
        <w:rPr>
          <w:sz w:val="28"/>
        </w:rPr>
        <w:sectPr>
          <w:type w:val="continuous"/>
          <w:pgSz w:w="11910" w:h="16840"/>
          <w:pgMar w:top="1580" w:bottom="280" w:left="1680" w:right="1420"/>
        </w:sectPr>
      </w:pPr>
    </w:p>
    <w:p>
      <w:pPr>
        <w:pStyle w:val="BodyText"/>
        <w:spacing w:before="11"/>
        <w:ind w:left="0" w:firstLine="0"/>
        <w:rPr>
          <w:b/>
          <w:sz w:val="28"/>
        </w:rPr>
      </w:pPr>
    </w:p>
    <w:p>
      <w:pPr>
        <w:tabs>
          <w:tab w:pos="900" w:val="left" w:leader="none"/>
        </w:tabs>
        <w:spacing w:before="58"/>
        <w:ind w:left="0" w:right="262" w:firstLine="0"/>
        <w:jc w:val="center"/>
        <w:rPr>
          <w:b/>
          <w:sz w:val="30"/>
        </w:rPr>
      </w:pPr>
      <w:r>
        <w:rPr>
          <w:b/>
          <w:sz w:val="30"/>
        </w:rPr>
        <w:t>目</w:t>
        <w:tab/>
        <w:t>录</w:t>
      </w:r>
    </w:p>
    <w:sdt>
      <w:sdtPr>
        <w:docPartObj>
          <w:docPartGallery w:val="Table of Contents"/>
          <w:docPartUnique/>
        </w:docPartObj>
      </w:sdtPr>
      <w:sdtEndPr/>
      <w:sdtContent>
        <w:p>
          <w:pPr>
            <w:pStyle w:val="TOC1"/>
            <w:tabs>
              <w:tab w:pos="8417" w:val="right" w:leader="dot"/>
            </w:tabs>
            <w:spacing w:before="226"/>
            <w:rPr>
              <w:rFonts w:ascii="Times New Roman" w:eastAsia="Times New Roman"/>
            </w:rPr>
          </w:pPr>
          <w:r>
            <w:fldChar w:fldCharType="begin"/>
          </w:r>
          <w:r>
            <w:instrText>TOC \o "1-1" \h \z \u </w:instrText>
          </w:r>
          <w:r>
            <w:fldChar w:fldCharType="separate"/>
          </w:r>
          <w:hyperlink w:history="true" w:anchor="_bookmark0">
            <w:r>
              <w:rPr/>
              <w:t>一、前言和释义</w:t>
              <w:tab/>
            </w:r>
            <w:r>
              <w:rPr>
                <w:rFonts w:ascii="Times New Roman" w:eastAsia="Times New Roman"/>
              </w:rPr>
              <w:t>1</w:t>
            </w:r>
          </w:hyperlink>
        </w:p>
        <w:p>
          <w:pPr>
            <w:pStyle w:val="TOC1"/>
            <w:tabs>
              <w:tab w:pos="8413" w:val="right" w:leader="dot"/>
            </w:tabs>
            <w:rPr>
              <w:rFonts w:ascii="Times New Roman" w:eastAsia="Times New Roman"/>
            </w:rPr>
          </w:pPr>
          <w:hyperlink w:history="true" w:anchor="_bookmark1">
            <w:r>
              <w:rPr/>
              <w:t>二、基金的基本情况</w:t>
              <w:tab/>
            </w:r>
            <w:r>
              <w:rPr>
                <w:rFonts w:ascii="Times New Roman" w:eastAsia="Times New Roman"/>
                <w:spacing w:val="-6"/>
              </w:rPr>
              <w:t>11</w:t>
            </w:r>
          </w:hyperlink>
        </w:p>
        <w:p>
          <w:pPr>
            <w:pStyle w:val="TOC1"/>
            <w:tabs>
              <w:tab w:pos="8421" w:val="right" w:leader="dot"/>
            </w:tabs>
            <w:rPr>
              <w:rFonts w:ascii="Times New Roman" w:eastAsia="Times New Roman"/>
            </w:rPr>
          </w:pPr>
          <w:hyperlink w:history="true" w:anchor="_bookmark2">
            <w:r>
              <w:rPr/>
              <w:t>三、基金份额的发售</w:t>
              <w:tab/>
            </w:r>
            <w:r>
              <w:rPr>
                <w:rFonts w:ascii="Times New Roman" w:eastAsia="Times New Roman"/>
              </w:rPr>
              <w:t>13</w:t>
            </w:r>
          </w:hyperlink>
        </w:p>
        <w:p>
          <w:pPr>
            <w:pStyle w:val="TOC1"/>
            <w:tabs>
              <w:tab w:pos="8421" w:val="right" w:leader="dot"/>
            </w:tabs>
            <w:rPr>
              <w:rFonts w:ascii="Times New Roman" w:eastAsia="Times New Roman"/>
            </w:rPr>
          </w:pPr>
          <w:hyperlink w:history="true" w:anchor="_bookmark3">
            <w:r>
              <w:rPr/>
              <w:t>四、基金备案</w:t>
              <w:tab/>
            </w:r>
            <w:r>
              <w:rPr>
                <w:rFonts w:ascii="Times New Roman" w:eastAsia="Times New Roman"/>
              </w:rPr>
              <w:t>15</w:t>
            </w:r>
          </w:hyperlink>
        </w:p>
        <w:p>
          <w:pPr>
            <w:pStyle w:val="TOC1"/>
            <w:tabs>
              <w:tab w:pos="8421" w:val="right" w:leader="dot"/>
            </w:tabs>
            <w:spacing w:before="211"/>
            <w:rPr>
              <w:rFonts w:ascii="Times New Roman" w:eastAsia="Times New Roman"/>
            </w:rPr>
          </w:pPr>
          <w:hyperlink w:history="true" w:anchor="_bookmark4">
            <w:r>
              <w:rPr/>
              <w:t>五、基金份额的上市交易</w:t>
              <w:tab/>
            </w:r>
            <w:r>
              <w:rPr>
                <w:rFonts w:ascii="Times New Roman" w:eastAsia="Times New Roman"/>
              </w:rPr>
              <w:t>16</w:t>
            </w:r>
          </w:hyperlink>
        </w:p>
        <w:p>
          <w:pPr>
            <w:pStyle w:val="TOC1"/>
            <w:tabs>
              <w:tab w:pos="8421" w:val="right" w:leader="dot"/>
            </w:tabs>
            <w:rPr>
              <w:rFonts w:ascii="Times New Roman" w:eastAsia="Times New Roman"/>
            </w:rPr>
          </w:pPr>
          <w:hyperlink w:history="true" w:anchor="_bookmark5">
            <w:r>
              <w:rPr/>
              <w:t>六、基金份额的申购和赎回</w:t>
              <w:tab/>
            </w:r>
            <w:r>
              <w:rPr>
                <w:rFonts w:ascii="Times New Roman" w:eastAsia="Times New Roman"/>
              </w:rPr>
              <w:t>19</w:t>
            </w:r>
          </w:hyperlink>
        </w:p>
        <w:p>
          <w:pPr>
            <w:pStyle w:val="TOC1"/>
            <w:tabs>
              <w:tab w:pos="8421" w:val="right" w:leader="dot"/>
            </w:tabs>
            <w:rPr>
              <w:rFonts w:ascii="Times New Roman" w:eastAsia="Times New Roman"/>
            </w:rPr>
          </w:pPr>
          <w:hyperlink w:history="true" w:anchor="_bookmark6">
            <w:r>
              <w:rPr/>
              <w:t>七、基金合同当事人及权利义务</w:t>
              <w:tab/>
            </w:r>
            <w:r>
              <w:rPr>
                <w:rFonts w:ascii="Times New Roman" w:eastAsia="Times New Roman"/>
              </w:rPr>
              <w:t>30</w:t>
            </w:r>
          </w:hyperlink>
        </w:p>
        <w:p>
          <w:pPr>
            <w:pStyle w:val="TOC1"/>
            <w:tabs>
              <w:tab w:pos="8421" w:val="right" w:leader="dot"/>
            </w:tabs>
            <w:rPr>
              <w:rFonts w:ascii="Times New Roman" w:eastAsia="Times New Roman"/>
            </w:rPr>
          </w:pPr>
          <w:hyperlink w:history="true" w:anchor="_bookmark7">
            <w:r>
              <w:rPr/>
              <w:t>八、基金份额持有人大会</w:t>
              <w:tab/>
            </w:r>
            <w:r>
              <w:rPr>
                <w:rFonts w:ascii="Times New Roman" w:eastAsia="Times New Roman"/>
              </w:rPr>
              <w:t>38</w:t>
            </w:r>
          </w:hyperlink>
        </w:p>
        <w:p>
          <w:pPr>
            <w:pStyle w:val="TOC1"/>
            <w:tabs>
              <w:tab w:pos="8421" w:val="right" w:leader="dot"/>
            </w:tabs>
            <w:rPr>
              <w:rFonts w:ascii="Times New Roman" w:eastAsia="Times New Roman"/>
            </w:rPr>
          </w:pPr>
          <w:hyperlink w:history="true" w:anchor="_bookmark8">
            <w:r>
              <w:rPr/>
              <w:t>九、基金管理人、基金托管人的更换条件和程序</w:t>
              <w:tab/>
            </w:r>
            <w:r>
              <w:rPr>
                <w:rFonts w:ascii="Times New Roman" w:eastAsia="Times New Roman"/>
              </w:rPr>
              <w:t>46</w:t>
            </w:r>
          </w:hyperlink>
        </w:p>
        <w:p>
          <w:pPr>
            <w:pStyle w:val="TOC1"/>
            <w:tabs>
              <w:tab w:pos="8421" w:val="right" w:leader="dot"/>
            </w:tabs>
            <w:rPr>
              <w:rFonts w:ascii="Times New Roman" w:eastAsia="Times New Roman"/>
            </w:rPr>
          </w:pPr>
          <w:hyperlink w:history="true" w:anchor="_bookmark9">
            <w:r>
              <w:rPr/>
              <w:t>十、基金的托管</w:t>
              <w:tab/>
            </w:r>
            <w:r>
              <w:rPr>
                <w:rFonts w:ascii="Times New Roman" w:eastAsia="Times New Roman"/>
              </w:rPr>
              <w:t>49</w:t>
            </w:r>
          </w:hyperlink>
        </w:p>
        <w:p>
          <w:pPr>
            <w:pStyle w:val="TOC1"/>
            <w:tabs>
              <w:tab w:pos="8421" w:val="right" w:leader="dot"/>
            </w:tabs>
            <w:spacing w:before="211"/>
            <w:rPr>
              <w:rFonts w:ascii="Times New Roman" w:eastAsia="Times New Roman"/>
            </w:rPr>
          </w:pPr>
          <w:hyperlink w:history="true" w:anchor="_bookmark10">
            <w:r>
              <w:rPr/>
              <w:t>十一、基金份额的登记</w:t>
              <w:tab/>
            </w:r>
            <w:r>
              <w:rPr>
                <w:rFonts w:ascii="Times New Roman" w:eastAsia="Times New Roman"/>
              </w:rPr>
              <w:t>50</w:t>
            </w:r>
          </w:hyperlink>
        </w:p>
        <w:p>
          <w:pPr>
            <w:pStyle w:val="TOC1"/>
            <w:tabs>
              <w:tab w:pos="8421" w:val="right" w:leader="dot"/>
            </w:tabs>
            <w:rPr>
              <w:rFonts w:ascii="Times New Roman" w:eastAsia="Times New Roman"/>
            </w:rPr>
          </w:pPr>
          <w:hyperlink w:history="true" w:anchor="_bookmark11">
            <w:r>
              <w:rPr/>
              <w:t>十二、基金的投资</w:t>
              <w:tab/>
            </w:r>
            <w:r>
              <w:rPr>
                <w:rFonts w:ascii="Times New Roman" w:eastAsia="Times New Roman"/>
              </w:rPr>
              <w:t>52</w:t>
            </w:r>
          </w:hyperlink>
        </w:p>
        <w:p>
          <w:pPr>
            <w:pStyle w:val="TOC1"/>
            <w:tabs>
              <w:tab w:pos="8421" w:val="right" w:leader="dot"/>
            </w:tabs>
            <w:rPr>
              <w:rFonts w:ascii="Times New Roman" w:eastAsia="Times New Roman"/>
            </w:rPr>
          </w:pPr>
          <w:hyperlink w:history="true" w:anchor="_bookmark12">
            <w:r>
              <w:rPr/>
              <w:t>十三、基金的财产</w:t>
              <w:tab/>
            </w:r>
            <w:r>
              <w:rPr>
                <w:rFonts w:ascii="Times New Roman" w:eastAsia="Times New Roman"/>
              </w:rPr>
              <w:t>63</w:t>
            </w:r>
          </w:hyperlink>
        </w:p>
        <w:p>
          <w:pPr>
            <w:pStyle w:val="TOC1"/>
            <w:tabs>
              <w:tab w:pos="8421" w:val="right" w:leader="dot"/>
            </w:tabs>
            <w:rPr>
              <w:rFonts w:ascii="Times New Roman" w:eastAsia="Times New Roman"/>
            </w:rPr>
          </w:pPr>
          <w:hyperlink w:history="true" w:anchor="_bookmark13">
            <w:r>
              <w:rPr/>
              <w:t>十四、基金资产估值</w:t>
              <w:tab/>
            </w:r>
            <w:r>
              <w:rPr>
                <w:rFonts w:ascii="Times New Roman" w:eastAsia="Times New Roman"/>
              </w:rPr>
              <w:t>65</w:t>
            </w:r>
          </w:hyperlink>
        </w:p>
        <w:p>
          <w:pPr>
            <w:pStyle w:val="TOC1"/>
            <w:tabs>
              <w:tab w:pos="8421" w:val="right" w:leader="dot"/>
            </w:tabs>
            <w:rPr>
              <w:rFonts w:ascii="Times New Roman" w:eastAsia="Times New Roman"/>
            </w:rPr>
          </w:pPr>
          <w:hyperlink w:history="true" w:anchor="_bookmark14">
            <w:r>
              <w:rPr/>
              <w:t>十五、基金的费用与税收</w:t>
              <w:tab/>
            </w:r>
            <w:r>
              <w:rPr>
                <w:rFonts w:ascii="Times New Roman" w:eastAsia="Times New Roman"/>
              </w:rPr>
              <w:t>72</w:t>
            </w:r>
          </w:hyperlink>
        </w:p>
        <w:p>
          <w:pPr>
            <w:pStyle w:val="TOC1"/>
            <w:tabs>
              <w:tab w:pos="8421" w:val="right" w:leader="dot"/>
            </w:tabs>
            <w:rPr>
              <w:rFonts w:ascii="Times New Roman" w:eastAsia="Times New Roman"/>
            </w:rPr>
          </w:pPr>
          <w:hyperlink w:history="true" w:anchor="_bookmark15">
            <w:r>
              <w:rPr/>
              <w:t>十六、基金的收益与分配</w:t>
              <w:tab/>
            </w:r>
            <w:r>
              <w:rPr>
                <w:rFonts w:ascii="Times New Roman" w:eastAsia="Times New Roman"/>
              </w:rPr>
              <w:t>75</w:t>
            </w:r>
          </w:hyperlink>
        </w:p>
        <w:p>
          <w:pPr>
            <w:pStyle w:val="TOC1"/>
            <w:tabs>
              <w:tab w:pos="8421" w:val="right" w:leader="dot"/>
            </w:tabs>
            <w:spacing w:before="211"/>
            <w:rPr>
              <w:rFonts w:ascii="Times New Roman" w:eastAsia="Times New Roman"/>
            </w:rPr>
          </w:pPr>
          <w:hyperlink w:history="true" w:anchor="_bookmark16">
            <w:r>
              <w:rPr/>
              <w:t>十七、基金的会计与审计</w:t>
              <w:tab/>
            </w:r>
            <w:r>
              <w:rPr>
                <w:rFonts w:ascii="Times New Roman" w:eastAsia="Times New Roman"/>
              </w:rPr>
              <w:t>77</w:t>
            </w:r>
          </w:hyperlink>
        </w:p>
        <w:p>
          <w:pPr>
            <w:pStyle w:val="TOC1"/>
            <w:tabs>
              <w:tab w:pos="8421" w:val="right" w:leader="dot"/>
            </w:tabs>
            <w:rPr>
              <w:rFonts w:ascii="Times New Roman" w:eastAsia="Times New Roman"/>
            </w:rPr>
          </w:pPr>
          <w:hyperlink w:history="true" w:anchor="_bookmark17">
            <w:r>
              <w:rPr/>
              <w:t>十八、基金的信息披露</w:t>
              <w:tab/>
            </w:r>
            <w:r>
              <w:rPr>
                <w:rFonts w:ascii="Times New Roman" w:eastAsia="Times New Roman"/>
              </w:rPr>
              <w:t>78</w:t>
            </w:r>
          </w:hyperlink>
        </w:p>
        <w:p>
          <w:pPr>
            <w:pStyle w:val="TOC1"/>
            <w:tabs>
              <w:tab w:pos="8421" w:val="right" w:leader="dot"/>
            </w:tabs>
            <w:rPr>
              <w:rFonts w:ascii="Times New Roman" w:eastAsia="Times New Roman"/>
            </w:rPr>
          </w:pPr>
          <w:hyperlink w:history="true" w:anchor="_bookmark18">
            <w:r>
              <w:rPr/>
              <w:t>十九、基金合同的变更、终止与基金财产的清算</w:t>
              <w:tab/>
            </w:r>
            <w:r>
              <w:rPr>
                <w:rFonts w:ascii="Times New Roman" w:eastAsia="Times New Roman"/>
              </w:rPr>
              <w:t>84</w:t>
            </w:r>
          </w:hyperlink>
        </w:p>
        <w:p>
          <w:pPr>
            <w:pStyle w:val="TOC1"/>
            <w:tabs>
              <w:tab w:pos="8421" w:val="right" w:leader="dot"/>
            </w:tabs>
            <w:rPr>
              <w:rFonts w:ascii="Times New Roman" w:eastAsia="Times New Roman"/>
            </w:rPr>
          </w:pPr>
          <w:hyperlink w:history="true" w:anchor="_bookmark19">
            <w:r>
              <w:rPr/>
              <w:t>二十、业务规则</w:t>
              <w:tab/>
            </w:r>
            <w:r>
              <w:rPr>
                <w:rFonts w:ascii="Times New Roman" w:eastAsia="Times New Roman"/>
              </w:rPr>
              <w:t>87</w:t>
            </w:r>
          </w:hyperlink>
        </w:p>
        <w:p>
          <w:pPr>
            <w:pStyle w:val="TOC1"/>
            <w:tabs>
              <w:tab w:pos="8421" w:val="right" w:leader="dot"/>
            </w:tabs>
            <w:spacing w:before="211"/>
            <w:rPr>
              <w:rFonts w:ascii="Times New Roman" w:eastAsia="Times New Roman"/>
            </w:rPr>
          </w:pPr>
          <w:hyperlink w:history="true" w:anchor="_bookmark20">
            <w:r>
              <w:rPr/>
              <w:t>二十一、违约责任</w:t>
              <w:tab/>
            </w:r>
            <w:r>
              <w:rPr>
                <w:rFonts w:ascii="Times New Roman" w:eastAsia="Times New Roman"/>
              </w:rPr>
              <w:t>88</w:t>
            </w:r>
          </w:hyperlink>
        </w:p>
        <w:p>
          <w:pPr>
            <w:pStyle w:val="TOC1"/>
            <w:tabs>
              <w:tab w:pos="8421" w:val="right" w:leader="dot"/>
            </w:tabs>
            <w:rPr>
              <w:rFonts w:ascii="Times New Roman" w:eastAsia="Times New Roman"/>
            </w:rPr>
          </w:pPr>
          <w:hyperlink w:history="true" w:anchor="_bookmark21">
            <w:r>
              <w:rPr/>
              <w:t>二十二、争议的处理和适用的法律</w:t>
              <w:tab/>
            </w:r>
            <w:r>
              <w:rPr>
                <w:rFonts w:ascii="Times New Roman" w:eastAsia="Times New Roman"/>
              </w:rPr>
              <w:t>90</w:t>
            </w:r>
          </w:hyperlink>
        </w:p>
        <w:p>
          <w:pPr>
            <w:pStyle w:val="TOC1"/>
            <w:tabs>
              <w:tab w:pos="8421" w:val="right" w:leader="dot"/>
            </w:tabs>
            <w:rPr>
              <w:rFonts w:ascii="Times New Roman" w:eastAsia="Times New Roman"/>
            </w:rPr>
          </w:pPr>
          <w:hyperlink w:history="true" w:anchor="_bookmark22">
            <w:r>
              <w:rPr/>
              <w:t>二十三、基金合同的效力</w:t>
              <w:tab/>
            </w:r>
            <w:r>
              <w:rPr>
                <w:rFonts w:ascii="Times New Roman" w:eastAsia="Times New Roman"/>
              </w:rPr>
              <w:t>91</w:t>
            </w:r>
          </w:hyperlink>
        </w:p>
        <w:p>
          <w:pPr>
            <w:pStyle w:val="TOC1"/>
            <w:tabs>
              <w:tab w:pos="8421" w:val="right" w:leader="dot"/>
            </w:tabs>
            <w:rPr>
              <w:rFonts w:ascii="Times New Roman" w:eastAsia="Times New Roman"/>
            </w:rPr>
          </w:pPr>
          <w:hyperlink w:history="true" w:anchor="_bookmark23">
            <w:r>
              <w:rPr/>
              <w:t>二十四、其他事项</w:t>
              <w:tab/>
            </w:r>
            <w:r>
              <w:rPr>
                <w:rFonts w:ascii="Times New Roman" w:eastAsia="Times New Roman"/>
              </w:rPr>
              <w:t>92</w:t>
            </w:r>
          </w:hyperlink>
        </w:p>
        <w:p>
          <w:pPr>
            <w:pStyle w:val="TOC1"/>
            <w:tabs>
              <w:tab w:pos="8421" w:val="right" w:leader="dot"/>
            </w:tabs>
            <w:rPr>
              <w:rFonts w:ascii="Times New Roman" w:eastAsia="Times New Roman"/>
            </w:rPr>
          </w:pPr>
          <w:hyperlink w:history="true" w:anchor="_bookmark24">
            <w:r>
              <w:rPr/>
              <w:t>二十五、基金合同摘要</w:t>
              <w:tab/>
            </w:r>
            <w:r>
              <w:rPr>
                <w:rFonts w:ascii="Times New Roman" w:eastAsia="Times New Roman"/>
              </w:rPr>
              <w:t>93</w:t>
            </w:r>
          </w:hyperlink>
        </w:p>
        <w:p>
          <w:pPr>
            <w:pStyle w:val="TOC1"/>
            <w:tabs>
              <w:tab w:pos="8421" w:val="right" w:leader="dot"/>
            </w:tabs>
            <w:rPr>
              <w:rFonts w:ascii="Times New Roman" w:eastAsia="Times New Roman"/>
            </w:rPr>
          </w:pPr>
          <w:hyperlink w:history="true" w:anchor="_bookmark25">
            <w:r>
              <w:rPr/>
              <w:t>二十六、合同当事人盖章及法定代表人签字、签约地、签订日</w:t>
              <w:tab/>
            </w:r>
            <w:r>
              <w:rPr>
                <w:rFonts w:ascii="Times New Roman" w:eastAsia="Times New Roman"/>
              </w:rPr>
              <w:t>120</w:t>
            </w:r>
          </w:hyperlink>
        </w:p>
        <w:p>
          <w:pPr/>
          <w:r>
            <w:fldChar w:fldCharType="end"/>
          </w:r>
        </w:p>
      </w:sdtContent>
    </w:sdt>
    <w:p>
      <w:pPr>
        <w:spacing w:after="0"/>
        <w:sectPr>
          <w:pgSz w:w="11910" w:h="16840"/>
          <w:pgMar w:top="1580" w:bottom="280" w:left="1680" w:right="1420"/>
        </w:sectPr>
      </w:pPr>
    </w:p>
    <w:p>
      <w:pPr>
        <w:pStyle w:val="BodyText"/>
        <w:spacing w:before="0"/>
        <w:ind w:left="0" w:firstLine="0"/>
        <w:rPr>
          <w:rFonts w:ascii="Times New Roman"/>
          <w:sz w:val="19"/>
        </w:rPr>
      </w:pPr>
    </w:p>
    <w:p>
      <w:pPr>
        <w:pStyle w:val="Heading1"/>
        <w:ind w:left="425" w:right="262"/>
        <w:jc w:val="center"/>
      </w:pPr>
      <w:bookmarkStart w:name="_bookmark0" w:id="1"/>
      <w:bookmarkEnd w:id="1"/>
      <w:r>
        <w:rPr>
          <w:b w:val="0"/>
        </w:rPr>
      </w:r>
      <w:r>
        <w:rPr/>
        <w:t>一、前言和释义</w:t>
      </w:r>
    </w:p>
    <w:p>
      <w:pPr>
        <w:pStyle w:val="BodyText"/>
        <w:spacing w:before="5"/>
        <w:ind w:left="0" w:firstLine="0"/>
        <w:rPr>
          <w:b/>
          <w:sz w:val="35"/>
        </w:rPr>
      </w:pPr>
    </w:p>
    <w:p>
      <w:pPr>
        <w:tabs>
          <w:tab w:pos="4395" w:val="left" w:leader="none"/>
        </w:tabs>
        <w:spacing w:before="0"/>
        <w:ind w:left="3912" w:right="0" w:firstLine="0"/>
        <w:jc w:val="left"/>
        <w:rPr>
          <w:b/>
          <w:sz w:val="24"/>
        </w:rPr>
      </w:pPr>
      <w:r>
        <w:rPr>
          <w:b/>
          <w:sz w:val="24"/>
        </w:rPr>
        <w:t>前</w:t>
        <w:tab/>
        <w:t>言</w:t>
      </w:r>
    </w:p>
    <w:p>
      <w:pPr>
        <w:pStyle w:val="BodyText"/>
        <w:spacing w:line="364" w:lineRule="auto" w:before="160"/>
        <w:ind w:right="395" w:firstLine="359"/>
      </w:pPr>
      <w:r>
        <w:rPr/>
        <w:t>（一</w:t>
      </w:r>
      <w:r>
        <w:rPr>
          <w:spacing w:val="-39"/>
        </w:rPr>
        <w:t>）</w:t>
      </w:r>
      <w:r>
        <w:rPr>
          <w:spacing w:val="-9"/>
        </w:rPr>
        <w:t>订立《易方达黄金主题证券投资基金（</w:t>
      </w:r>
      <w:r>
        <w:rPr>
          <w:rFonts w:ascii="Times New Roman" w:hAnsi="Times New Roman" w:eastAsia="Times New Roman"/>
          <w:spacing w:val="-9"/>
        </w:rPr>
        <w:t>LOF</w:t>
      </w:r>
      <w:r>
        <w:rPr>
          <w:spacing w:val="-9"/>
        </w:rPr>
        <w:t>）</w:t>
      </w:r>
      <w:r>
        <w:rPr/>
        <w:t>基金合同</w:t>
      </w:r>
      <w:r>
        <w:rPr>
          <w:spacing w:val="-159"/>
        </w:rPr>
        <w:t>》</w:t>
      </w:r>
      <w:r>
        <w:rPr/>
        <w:t>（以下简称</w:t>
      </w:r>
      <w:r>
        <w:rPr>
          <w:rFonts w:ascii="Times New Roman" w:hAnsi="Times New Roman" w:eastAsia="Times New Roman"/>
        </w:rPr>
        <w:t>“</w:t>
      </w:r>
      <w:r>
        <w:rPr>
          <w:spacing w:val="-11"/>
        </w:rPr>
        <w:t>本</w:t>
      </w:r>
      <w:r>
        <w:rPr/>
        <w:t>基金合同</w:t>
      </w:r>
      <w:r>
        <w:rPr>
          <w:rFonts w:ascii="Times New Roman" w:hAnsi="Times New Roman" w:eastAsia="Times New Roman"/>
        </w:rPr>
        <w:t>”</w:t>
      </w:r>
      <w:r>
        <w:rPr/>
        <w:t>或</w:t>
      </w:r>
      <w:r>
        <w:rPr>
          <w:rFonts w:ascii="Times New Roman" w:hAnsi="Times New Roman" w:eastAsia="Times New Roman"/>
        </w:rPr>
        <w:t>“</w:t>
      </w:r>
      <w:r>
        <w:rPr/>
        <w:t>《基金合同》</w:t>
      </w:r>
      <w:r>
        <w:rPr>
          <w:rFonts w:ascii="Times New Roman" w:hAnsi="Times New Roman" w:eastAsia="Times New Roman"/>
        </w:rPr>
        <w:t>”</w:t>
      </w:r>
      <w:r>
        <w:rPr/>
        <w:t>）的目的、依据和原则</w:t>
      </w:r>
    </w:p>
    <w:p>
      <w:pPr>
        <w:pStyle w:val="BodyText"/>
        <w:spacing w:before="2"/>
        <w:ind w:left="545" w:firstLine="0"/>
      </w:pPr>
      <w:r>
        <w:rPr>
          <w:rFonts w:ascii="Times New Roman" w:eastAsia="Times New Roman"/>
        </w:rPr>
        <w:t>1</w:t>
      </w:r>
      <w:r>
        <w:rPr/>
        <w:t>、 订立基金合同的目的</w:t>
      </w:r>
    </w:p>
    <w:p>
      <w:pPr>
        <w:pStyle w:val="BodyText"/>
        <w:spacing w:line="364" w:lineRule="auto" w:before="160"/>
        <w:ind w:right="377"/>
        <w:jc w:val="both"/>
      </w:pPr>
      <w:r>
        <w:rPr>
          <w:spacing w:val="-6"/>
        </w:rPr>
        <w:t>订立本基金合同的目的是为了保护投资者合法权益，明确基金合同当事人的</w:t>
      </w:r>
      <w:r>
        <w:rPr>
          <w:spacing w:val="-14"/>
        </w:rPr>
        <w:t>权利与义务，规范易方达黄金主题证券投资基金</w:t>
      </w:r>
      <w:r>
        <w:rPr>
          <w:spacing w:val="2"/>
        </w:rPr>
        <w:t>（</w:t>
      </w:r>
      <w:r>
        <w:rPr>
          <w:rFonts w:ascii="Times New Roman" w:hAnsi="Times New Roman" w:eastAsia="Times New Roman"/>
          <w:spacing w:val="-6"/>
        </w:rPr>
        <w:t>L</w:t>
      </w:r>
      <w:r>
        <w:rPr>
          <w:rFonts w:ascii="Times New Roman" w:hAnsi="Times New Roman" w:eastAsia="Times New Roman"/>
          <w:spacing w:val="1"/>
          <w:w w:val="99"/>
        </w:rPr>
        <w:t>O</w:t>
      </w:r>
      <w:r>
        <w:rPr>
          <w:rFonts w:ascii="Times New Roman" w:hAnsi="Times New Roman" w:eastAsia="Times New Roman"/>
          <w:spacing w:val="-2"/>
          <w:w w:val="99"/>
        </w:rPr>
        <w:t>F</w:t>
      </w:r>
      <w:r>
        <w:rPr>
          <w:spacing w:val="-209"/>
        </w:rPr>
        <w:t>）</w:t>
      </w:r>
      <w:r>
        <w:rPr/>
        <w:t>（以下简称</w:t>
      </w:r>
      <w:r>
        <w:rPr>
          <w:rFonts w:ascii="Times New Roman" w:hAnsi="Times New Roman" w:eastAsia="Times New Roman"/>
          <w:spacing w:val="-1"/>
        </w:rPr>
        <w:t>“</w:t>
      </w:r>
      <w:r>
        <w:rPr/>
        <w:t>本基金</w:t>
      </w:r>
      <w:r>
        <w:rPr>
          <w:rFonts w:ascii="Times New Roman" w:hAnsi="Times New Roman" w:eastAsia="Times New Roman"/>
          <w:spacing w:val="-1"/>
        </w:rPr>
        <w:t>”</w:t>
      </w:r>
      <w:r>
        <w:rPr/>
        <w:t>或</w:t>
      </w:r>
      <w:r>
        <w:rPr>
          <w:rFonts w:ascii="Times New Roman" w:hAnsi="Times New Roman" w:eastAsia="Times New Roman"/>
          <w:spacing w:val="-1"/>
        </w:rPr>
        <w:t>“</w:t>
      </w:r>
      <w:r>
        <w:rPr/>
        <w:t>基金</w:t>
      </w:r>
      <w:r>
        <w:rPr>
          <w:rFonts w:ascii="Times New Roman" w:hAnsi="Times New Roman" w:eastAsia="Times New Roman"/>
        </w:rPr>
        <w:t>”</w:t>
      </w:r>
      <w:r>
        <w:rPr/>
        <w:t>）运作。</w:t>
      </w:r>
    </w:p>
    <w:p>
      <w:pPr>
        <w:pStyle w:val="BodyText"/>
        <w:spacing w:before="2"/>
        <w:ind w:left="545" w:firstLine="0"/>
        <w:jc w:val="both"/>
      </w:pPr>
      <w:r>
        <w:rPr>
          <w:rFonts w:ascii="Times New Roman" w:eastAsia="Times New Roman"/>
        </w:rPr>
        <w:t>2</w:t>
      </w:r>
      <w:r>
        <w:rPr/>
        <w:t>、 订立本基金合同的依据</w:t>
      </w:r>
    </w:p>
    <w:p>
      <w:pPr>
        <w:pStyle w:val="BodyText"/>
        <w:spacing w:line="364" w:lineRule="auto"/>
        <w:ind w:right="258"/>
      </w:pPr>
      <w:r>
        <w:rPr>
          <w:spacing w:val="-5"/>
        </w:rPr>
        <w:t>订立《易方达黄金主题证券投资基金</w:t>
      </w:r>
      <w:r>
        <w:rPr>
          <w:spacing w:val="-3"/>
        </w:rPr>
        <w:t>（</w:t>
      </w:r>
      <w:r>
        <w:rPr>
          <w:rFonts w:ascii="Times New Roman" w:eastAsia="Times New Roman"/>
          <w:spacing w:val="-3"/>
        </w:rPr>
        <w:t>LOF</w:t>
      </w:r>
      <w:r>
        <w:rPr>
          <w:spacing w:val="-3"/>
        </w:rPr>
        <w:t>）</w:t>
      </w:r>
      <w:r>
        <w:rPr>
          <w:spacing w:val="-5"/>
        </w:rPr>
        <w:t>基金合同》的依据是《中华人</w:t>
      </w:r>
      <w:r>
        <w:rPr>
          <w:spacing w:val="-18"/>
        </w:rPr>
        <w:t>民共和国合同法》、《中华人民共和国证券投资基金法》</w:t>
      </w:r>
      <w:r>
        <w:rPr>
          <w:spacing w:val="4"/>
        </w:rPr>
        <w:t>（</w:t>
      </w:r>
      <w:r>
        <w:rPr>
          <w:spacing w:val="-13"/>
        </w:rPr>
        <w:t>以下简称《基金法》</w:t>
      </w:r>
      <w:r>
        <w:rPr>
          <w:spacing w:val="-116"/>
        </w:rPr>
        <w:t>）</w:t>
      </w:r>
      <w:r>
        <w:rPr/>
        <w:t>、</w:t>
      </w:r>
    </w:p>
    <w:p>
      <w:pPr>
        <w:pStyle w:val="BodyText"/>
        <w:spacing w:line="364" w:lineRule="auto" w:before="1"/>
        <w:ind w:right="259" w:firstLine="0"/>
      </w:pPr>
      <w:r>
        <w:rPr/>
        <w:t>《证券投资基金运作管理办法</w:t>
      </w:r>
      <w:r>
        <w:rPr>
          <w:spacing w:val="-152"/>
        </w:rPr>
        <w:t>》</w:t>
      </w:r>
      <w:r>
        <w:rPr/>
        <w:t>（</w:t>
      </w:r>
      <w:r>
        <w:rPr>
          <w:spacing w:val="-18"/>
        </w:rPr>
        <w:t>以下简称《运作办法》</w:t>
      </w:r>
      <w:r>
        <w:rPr>
          <w:spacing w:val="-120"/>
        </w:rPr>
        <w:t>）</w:t>
      </w:r>
      <w:r>
        <w:rPr>
          <w:spacing w:val="-17"/>
        </w:rPr>
        <w:t>、《证券投资基金销售管</w:t>
      </w:r>
      <w:r>
        <w:rPr>
          <w:spacing w:val="-43"/>
        </w:rPr>
        <w:t>理办法》</w:t>
      </w:r>
      <w:r>
        <w:rPr/>
        <w:t>（</w:t>
      </w:r>
      <w:r>
        <w:rPr>
          <w:spacing w:val="-12"/>
        </w:rPr>
        <w:t>以下简称《销售办法》</w:t>
      </w:r>
      <w:r>
        <w:rPr>
          <w:spacing w:val="-120"/>
        </w:rPr>
        <w:t>）</w:t>
      </w:r>
      <w:r>
        <w:rPr>
          <w:spacing w:val="-13"/>
        </w:rPr>
        <w:t>、《公开募集证券投资基金信息披露管理办法》</w:t>
      </w:r>
    </w:p>
    <w:p>
      <w:pPr>
        <w:pStyle w:val="BodyText"/>
        <w:spacing w:line="364" w:lineRule="auto" w:before="1"/>
        <w:ind w:right="257" w:firstLine="0"/>
      </w:pPr>
      <w:r>
        <w:rPr/>
        <w:t>（</w:t>
      </w:r>
      <w:r>
        <w:rPr>
          <w:spacing w:val="-18"/>
        </w:rPr>
        <w:t>以下简称《信息披露办法》</w:t>
      </w:r>
      <w:r>
        <w:rPr>
          <w:spacing w:val="-120"/>
        </w:rPr>
        <w:t>）</w:t>
      </w:r>
      <w:r>
        <w:rPr>
          <w:spacing w:val="-17"/>
        </w:rPr>
        <w:t>、《证券投资基金信息披露内容与格式准则第 </w:t>
      </w:r>
      <w:r>
        <w:rPr>
          <w:rFonts w:ascii="Times New Roman" w:eastAsia="Times New Roman"/>
        </w:rPr>
        <w:t>6 </w:t>
      </w:r>
      <w:r>
        <w:rPr/>
        <w:t>号</w:t>
      </w:r>
      <w:r>
        <w:rPr>
          <w:rFonts w:ascii="Times New Roman" w:eastAsia="Times New Roman"/>
        </w:rPr>
        <w:t>&lt; </w:t>
      </w:r>
      <w:r>
        <w:rPr/>
        <w:t>基金合同的内容与格式</w:t>
      </w:r>
      <w:r>
        <w:rPr>
          <w:rFonts w:ascii="Times New Roman" w:eastAsia="Times New Roman"/>
          <w:spacing w:val="3"/>
        </w:rPr>
        <w:t>&gt;</w:t>
      </w:r>
      <w:r>
        <w:rPr>
          <w:spacing w:val="-14"/>
        </w:rPr>
        <w:t>》、《合格境内机构投资者境外证券投资管理试行办法》</w:t>
      </w:r>
    </w:p>
    <w:p>
      <w:pPr>
        <w:pStyle w:val="BodyText"/>
        <w:spacing w:line="364" w:lineRule="auto" w:before="2"/>
        <w:ind w:right="377" w:firstLine="0"/>
        <w:jc w:val="both"/>
      </w:pPr>
      <w:r>
        <w:rPr/>
        <w:t>（</w:t>
      </w:r>
      <w:r>
        <w:rPr>
          <w:spacing w:val="-20"/>
        </w:rPr>
        <w:t>以下简称《试行办法》</w:t>
      </w:r>
      <w:r>
        <w:rPr>
          <w:spacing w:val="-120"/>
        </w:rPr>
        <w:t>）</w:t>
      </w:r>
      <w:r>
        <w:rPr>
          <w:spacing w:val="-30"/>
        </w:rPr>
        <w:t>、《关于实施</w:t>
      </w:r>
      <w:r>
        <w:rPr>
          <w:rFonts w:ascii="Times New Roman" w:hAnsi="Times New Roman" w:eastAsia="Times New Roman"/>
        </w:rPr>
        <w:t>&lt;</w:t>
      </w:r>
      <w:r>
        <w:rPr>
          <w:spacing w:val="-1"/>
        </w:rPr>
        <w:t>合格境内机构投资者境外证券投资管理试</w:t>
      </w:r>
      <w:r>
        <w:rPr/>
        <w:t>行办法</w:t>
      </w:r>
      <w:r>
        <w:rPr>
          <w:rFonts w:ascii="Times New Roman" w:hAnsi="Times New Roman" w:eastAsia="Times New Roman"/>
        </w:rPr>
        <w:t>&gt;</w:t>
      </w:r>
      <w:r>
        <w:rPr>
          <w:spacing w:val="-15"/>
        </w:rPr>
        <w:t>有关问题的通知》</w:t>
      </w:r>
      <w:r>
        <w:rPr/>
        <w:t>（</w:t>
      </w:r>
      <w:r>
        <w:rPr>
          <w:spacing w:val="-15"/>
        </w:rPr>
        <w:t>以下简称《通知》</w:t>
      </w:r>
      <w:r>
        <w:rPr>
          <w:spacing w:val="-120"/>
        </w:rPr>
        <w:t>）</w:t>
      </w:r>
      <w:r>
        <w:rPr>
          <w:spacing w:val="-13"/>
        </w:rPr>
        <w:t>、《公开募集开放式证券投资基金</w:t>
      </w:r>
      <w:r>
        <w:rPr>
          <w:spacing w:val="-12"/>
        </w:rPr>
        <w:t>流动性风险管理规定》</w:t>
      </w:r>
      <w:r>
        <w:rPr/>
        <w:t>（以下简称</w:t>
      </w:r>
      <w:r>
        <w:rPr>
          <w:rFonts w:ascii="Times New Roman" w:hAnsi="Times New Roman" w:eastAsia="Times New Roman"/>
        </w:rPr>
        <w:t>“</w:t>
      </w:r>
      <w:r>
        <w:rPr/>
        <w:t>《管理规定》</w:t>
      </w:r>
      <w:r>
        <w:rPr>
          <w:rFonts w:ascii="Times New Roman" w:hAnsi="Times New Roman" w:eastAsia="Times New Roman"/>
        </w:rPr>
        <w:t>”</w:t>
      </w:r>
      <w:r>
        <w:rPr/>
        <w:t>）及其他有关规定。</w:t>
      </w:r>
    </w:p>
    <w:p>
      <w:pPr>
        <w:pStyle w:val="BodyText"/>
        <w:spacing w:before="2"/>
        <w:ind w:left="545" w:firstLine="0"/>
      </w:pPr>
      <w:r>
        <w:rPr>
          <w:rFonts w:ascii="Times New Roman" w:eastAsia="Times New Roman"/>
        </w:rPr>
        <w:t>3</w:t>
      </w:r>
      <w:r>
        <w:rPr/>
        <w:t>、 订立本基金合同的原则</w:t>
      </w:r>
    </w:p>
    <w:p>
      <w:pPr>
        <w:pStyle w:val="BodyText"/>
        <w:spacing w:line="364" w:lineRule="auto" w:before="160"/>
        <w:ind w:right="381"/>
      </w:pPr>
      <w:r>
        <w:rPr>
          <w:spacing w:val="-7"/>
        </w:rPr>
        <w:t>订立本基金合同的原则是平等自愿、诚实信用、充分保护基金份额持有人的</w:t>
      </w:r>
      <w:r>
        <w:rPr/>
        <w:t>合法权益。</w:t>
      </w:r>
    </w:p>
    <w:p>
      <w:pPr>
        <w:pStyle w:val="BodyText"/>
        <w:spacing w:line="364" w:lineRule="auto" w:before="1"/>
        <w:ind w:right="376" w:firstLine="359"/>
        <w:jc w:val="both"/>
      </w:pPr>
      <w:r>
        <w:rPr/>
        <w:t>（二</w:t>
      </w:r>
      <w:r>
        <w:rPr>
          <w:spacing w:val="-152"/>
        </w:rPr>
        <w:t>）</w:t>
      </w:r>
      <w:r>
        <w:rPr>
          <w:spacing w:val="-8"/>
        </w:rPr>
        <w:t>《基金合同》是规定基金合同当事人之间权利义务的基本法律文件，其</w:t>
      </w:r>
      <w:r>
        <w:rPr>
          <w:spacing w:val="-4"/>
        </w:rPr>
        <w:t>他与本基金相关的涉及基金合同当事人之间权利义务关系的任何文件或表述，如</w:t>
      </w:r>
      <w:r>
        <w:rPr>
          <w:spacing w:val="-8"/>
        </w:rPr>
        <w:t>与本合同有冲突，均以本合同为准。基金合同的当事人包括基金管理人、基金托</w:t>
      </w:r>
      <w:r>
        <w:rPr>
          <w:spacing w:val="-10"/>
        </w:rPr>
        <w:t>管人和基金份额持有人。其中基金管理人和基金托管人自本基金合同签订生效之</w:t>
      </w:r>
      <w:r>
        <w:rPr>
          <w:spacing w:val="-7"/>
        </w:rPr>
        <w:t>日起即成为本基金合同当事人，投资者自依《基金合同》取得基金份额，即成为</w:t>
      </w:r>
      <w:r>
        <w:rPr/>
        <w:t>基金份额持有人和基金合同的当事人，其持有基金份额的行为本身即表明其对</w:t>
      </w:r>
    </w:p>
    <w:p>
      <w:pPr>
        <w:pStyle w:val="BodyText"/>
        <w:spacing w:before="5"/>
        <w:ind w:firstLine="0"/>
      </w:pPr>
      <w:r>
        <w:rPr/>
        <w:t>《基金合同》的承认和接受。《基金合同》的当事人按照法律法规和《基金合同》</w:t>
      </w:r>
    </w:p>
    <w:p>
      <w:pPr>
        <w:spacing w:after="0"/>
        <w:sectPr>
          <w:footerReference w:type="default" r:id="rId5"/>
          <w:pgSz w:w="11910" w:h="16840"/>
          <w:pgMar w:footer="914" w:header="0" w:top="1580" w:bottom="1100" w:left="1680" w:right="1420"/>
          <w:pgNumType w:start="1"/>
        </w:sectPr>
      </w:pPr>
    </w:p>
    <w:p>
      <w:pPr>
        <w:pStyle w:val="BodyText"/>
        <w:spacing w:before="41"/>
        <w:ind w:left="0" w:right="4123" w:firstLine="0"/>
        <w:jc w:val="right"/>
      </w:pPr>
      <w:r>
        <w:rPr/>
        <w:t>的规定享有权利，同时需承担相应的义务。</w:t>
      </w:r>
    </w:p>
    <w:p>
      <w:pPr>
        <w:pStyle w:val="BodyText"/>
        <w:spacing w:line="364" w:lineRule="auto" w:before="160"/>
        <w:ind w:right="377"/>
        <w:jc w:val="both"/>
      </w:pPr>
      <w:r>
        <w:rPr/>
        <w:t>（三</w:t>
      </w:r>
      <w:r>
        <w:rPr>
          <w:spacing w:val="-24"/>
        </w:rPr>
        <w:t>）</w:t>
      </w:r>
      <w:r>
        <w:rPr>
          <w:spacing w:val="-5"/>
        </w:rPr>
        <w:t>本基金由基金管理人按照法律法规和《基金合同》的规定募集，并经</w:t>
      </w:r>
      <w:r>
        <w:rPr>
          <w:spacing w:val="-11"/>
        </w:rPr>
        <w:t>中国证监会核准。中国证监会对基金募集的核准并不表明其对本基金的价值和收</w:t>
      </w:r>
      <w:r>
        <w:rPr>
          <w:spacing w:val="-7"/>
        </w:rPr>
        <w:t>益作出实质性判断或保证，也不表明投资于本基金没有风险。投资者投资于本基</w:t>
      </w:r>
      <w:r>
        <w:rPr/>
        <w:t>金，必须自担风险。</w:t>
      </w:r>
    </w:p>
    <w:p>
      <w:pPr>
        <w:pStyle w:val="BodyText"/>
        <w:spacing w:line="364" w:lineRule="auto" w:before="3"/>
        <w:ind w:right="257"/>
      </w:pPr>
      <w:r>
        <w:rPr>
          <w:spacing w:val="-16"/>
        </w:rPr>
        <w:t>基金管理人依照恪尽职守、诚实信用、谨慎勤勉的原则管理和运用基金财产， </w:t>
      </w:r>
      <w:r>
        <w:rPr/>
        <w:t>但不保证投资本基金一定盈利，也不保证基金份额持有人的最低收益。</w:t>
      </w:r>
    </w:p>
    <w:p>
      <w:pPr>
        <w:pStyle w:val="BodyText"/>
        <w:spacing w:line="364" w:lineRule="auto" w:before="1"/>
        <w:ind w:right="257"/>
      </w:pPr>
      <w:r>
        <w:rPr/>
        <w:t>（四</w:t>
      </w:r>
      <w:r>
        <w:rPr>
          <w:spacing w:val="-120"/>
        </w:rPr>
        <w:t>）</w:t>
      </w:r>
      <w:r>
        <w:rPr/>
        <w:t>《基金合同》应当适用《基金法》及相应法律法规之规定，若因法律</w:t>
      </w:r>
      <w:r>
        <w:rPr>
          <w:spacing w:val="-17"/>
        </w:rPr>
        <w:t>法规的修改或更新导致《基金合同》的内容与届时有效的法律法规的规定不一致， </w:t>
      </w:r>
      <w:r>
        <w:rPr>
          <w:spacing w:val="-5"/>
        </w:rPr>
        <w:t>应当以届时有效的法律法规的规定为准，及时作出相应的变更和调整，同时就该等变更或调整进行公告。</w:t>
      </w:r>
    </w:p>
    <w:p>
      <w:pPr>
        <w:pStyle w:val="BodyText"/>
        <w:spacing w:line="364" w:lineRule="auto" w:before="3"/>
        <w:ind w:right="381"/>
      </w:pPr>
      <w:r>
        <w:rPr/>
        <w:t>（五</w:t>
      </w:r>
      <w:r>
        <w:rPr>
          <w:spacing w:val="-24"/>
        </w:rPr>
        <w:t>）</w:t>
      </w:r>
      <w:r>
        <w:rPr>
          <w:spacing w:val="-5"/>
        </w:rPr>
        <w:t>本基金合同约定的基金产品资料概要编制、披露与更新要求，自《信</w:t>
      </w:r>
      <w:r>
        <w:rPr/>
        <w:t>息披露办法》实施之日起一年后开始执行。</w:t>
      </w:r>
    </w:p>
    <w:p>
      <w:pPr>
        <w:pStyle w:val="BodyText"/>
        <w:spacing w:before="0"/>
        <w:ind w:left="0" w:firstLine="0"/>
      </w:pPr>
    </w:p>
    <w:p>
      <w:pPr>
        <w:tabs>
          <w:tab w:pos="482" w:val="left" w:leader="none"/>
        </w:tabs>
        <w:spacing w:before="162"/>
        <w:ind w:left="0" w:right="4169" w:firstLine="0"/>
        <w:jc w:val="right"/>
        <w:rPr>
          <w:b/>
          <w:sz w:val="24"/>
        </w:rPr>
      </w:pPr>
      <w:r>
        <w:rPr>
          <w:b/>
          <w:sz w:val="24"/>
        </w:rPr>
        <w:t>释</w:t>
        <w:tab/>
      </w:r>
      <w:r>
        <w:rPr>
          <w:b/>
          <w:w w:val="95"/>
          <w:sz w:val="24"/>
        </w:rPr>
        <w:t>义</w:t>
      </w:r>
    </w:p>
    <w:p>
      <w:pPr>
        <w:pStyle w:val="BodyText"/>
        <w:spacing w:before="160"/>
        <w:ind w:left="600" w:firstLine="0"/>
      </w:pPr>
      <w:r>
        <w:rPr/>
        <w:t>《基金合同》中除非文意另有所指，下列词语具有如下含义：</w:t>
      </w:r>
    </w:p>
    <w:p>
      <w:pPr>
        <w:pStyle w:val="BodyText"/>
        <w:spacing w:before="8"/>
        <w:ind w:left="0" w:firstLine="0"/>
        <w:rPr>
          <w:sz w:val="14"/>
        </w:r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0"/>
        <w:gridCol w:w="5651"/>
      </w:tblGrid>
      <w:tr>
        <w:trPr>
          <w:trHeight w:val="829" w:hRule="atLeast"/>
        </w:trPr>
        <w:tc>
          <w:tcPr>
            <w:tcW w:w="2650" w:type="dxa"/>
          </w:tcPr>
          <w:p>
            <w:pPr>
              <w:pStyle w:val="TableParagraph"/>
              <w:spacing w:line="281" w:lineRule="exact" w:before="0"/>
              <w:rPr>
                <w:sz w:val="24"/>
              </w:rPr>
            </w:pPr>
            <w:r>
              <w:rPr>
                <w:sz w:val="24"/>
              </w:rPr>
              <w:t>本合同、《基金合同》</w:t>
            </w:r>
          </w:p>
        </w:tc>
        <w:tc>
          <w:tcPr>
            <w:tcW w:w="5651" w:type="dxa"/>
          </w:tcPr>
          <w:p>
            <w:pPr>
              <w:pStyle w:val="TableParagraph"/>
              <w:spacing w:line="281" w:lineRule="exact" w:before="0"/>
              <w:ind w:left="168"/>
              <w:rPr>
                <w:sz w:val="24"/>
              </w:rPr>
            </w:pPr>
            <w:r>
              <w:rPr>
                <w:sz w:val="24"/>
              </w:rPr>
              <w:t>指《易方达黄金主题证券投资基金（</w:t>
            </w:r>
            <w:r>
              <w:rPr>
                <w:rFonts w:ascii="Times New Roman" w:eastAsia="Times New Roman"/>
                <w:sz w:val="24"/>
              </w:rPr>
              <w:t>LOF</w:t>
            </w:r>
            <w:r>
              <w:rPr>
                <w:sz w:val="24"/>
              </w:rPr>
              <w:t>）基金合</w:t>
            </w:r>
          </w:p>
          <w:p>
            <w:pPr>
              <w:pStyle w:val="TableParagraph"/>
              <w:spacing w:before="160"/>
              <w:ind w:left="168"/>
              <w:rPr>
                <w:sz w:val="24"/>
              </w:rPr>
            </w:pPr>
            <w:r>
              <w:rPr>
                <w:sz w:val="24"/>
              </w:rPr>
              <w:t>同》及对本合同的任何有效的修订和补充</w:t>
            </w:r>
          </w:p>
        </w:tc>
      </w:tr>
      <w:tr>
        <w:trPr>
          <w:trHeight w:val="935" w:hRule="atLeast"/>
        </w:trPr>
        <w:tc>
          <w:tcPr>
            <w:tcW w:w="2650" w:type="dxa"/>
          </w:tcPr>
          <w:p>
            <w:pPr>
              <w:pStyle w:val="TableParagraph"/>
              <w:spacing w:before="80"/>
              <w:rPr>
                <w:sz w:val="24"/>
              </w:rPr>
            </w:pPr>
            <w:r>
              <w:rPr>
                <w:sz w:val="24"/>
              </w:rPr>
              <w:t>中国</w:t>
            </w:r>
          </w:p>
        </w:tc>
        <w:tc>
          <w:tcPr>
            <w:tcW w:w="5651" w:type="dxa"/>
          </w:tcPr>
          <w:p>
            <w:pPr>
              <w:pStyle w:val="TableParagraph"/>
              <w:spacing w:before="80"/>
              <w:ind w:left="168"/>
              <w:rPr>
                <w:sz w:val="24"/>
              </w:rPr>
            </w:pPr>
            <w:r>
              <w:rPr>
                <w:sz w:val="24"/>
              </w:rPr>
              <w:t>指中华人民共和国（仅为《基金合同》目的，不包</w:t>
            </w:r>
          </w:p>
          <w:p>
            <w:pPr>
              <w:pStyle w:val="TableParagraph"/>
              <w:spacing w:before="160"/>
              <w:ind w:left="168"/>
              <w:rPr>
                <w:sz w:val="24"/>
              </w:rPr>
            </w:pPr>
            <w:r>
              <w:rPr>
                <w:sz w:val="24"/>
              </w:rPr>
              <w:t>括香港特别行政区、澳门特别行政区及台湾地区）</w:t>
            </w:r>
          </w:p>
        </w:tc>
      </w:tr>
      <w:tr>
        <w:trPr>
          <w:trHeight w:val="1872" w:hRule="atLeast"/>
        </w:trPr>
        <w:tc>
          <w:tcPr>
            <w:tcW w:w="2650" w:type="dxa"/>
          </w:tcPr>
          <w:p>
            <w:pPr>
              <w:pStyle w:val="TableParagraph"/>
              <w:spacing w:before="80"/>
              <w:rPr>
                <w:sz w:val="24"/>
              </w:rPr>
            </w:pPr>
            <w:r>
              <w:rPr>
                <w:sz w:val="24"/>
              </w:rPr>
              <w:t>法律法规</w:t>
            </w:r>
          </w:p>
        </w:tc>
        <w:tc>
          <w:tcPr>
            <w:tcW w:w="5651" w:type="dxa"/>
          </w:tcPr>
          <w:p>
            <w:pPr>
              <w:pStyle w:val="TableParagraph"/>
              <w:spacing w:line="364" w:lineRule="auto" w:before="80"/>
              <w:ind w:left="168" w:right="307"/>
              <w:jc w:val="both"/>
              <w:rPr>
                <w:sz w:val="24"/>
              </w:rPr>
            </w:pPr>
            <w:r>
              <w:rPr>
                <w:spacing w:val="-7"/>
                <w:sz w:val="24"/>
              </w:rPr>
              <w:t>指中华人民共和国现时有效并公布实施的法律、行</w:t>
            </w:r>
            <w:r>
              <w:rPr>
                <w:spacing w:val="-12"/>
                <w:sz w:val="24"/>
              </w:rPr>
              <w:t>政法规、司法解释、地方法规、部门规章及其他规</w:t>
            </w:r>
            <w:r>
              <w:rPr>
                <w:spacing w:val="3"/>
                <w:sz w:val="24"/>
              </w:rPr>
              <w:t>范性文件以及对于该等法律法规的不时修改和补</w:t>
            </w:r>
          </w:p>
          <w:p>
            <w:pPr>
              <w:pStyle w:val="TableParagraph"/>
              <w:spacing w:before="2"/>
              <w:ind w:left="168"/>
              <w:rPr>
                <w:sz w:val="24"/>
              </w:rPr>
            </w:pPr>
            <w:r>
              <w:rPr>
                <w:sz w:val="24"/>
              </w:rPr>
              <w:t>充</w:t>
            </w:r>
          </w:p>
        </w:tc>
      </w:tr>
      <w:tr>
        <w:trPr>
          <w:trHeight w:val="468" w:hRule="atLeast"/>
        </w:trPr>
        <w:tc>
          <w:tcPr>
            <w:tcW w:w="2650" w:type="dxa"/>
          </w:tcPr>
          <w:p>
            <w:pPr>
              <w:pStyle w:val="TableParagraph"/>
              <w:spacing w:before="80"/>
              <w:rPr>
                <w:sz w:val="24"/>
              </w:rPr>
            </w:pPr>
            <w:r>
              <w:rPr>
                <w:sz w:val="24"/>
              </w:rPr>
              <w:t>《基金法》</w:t>
            </w:r>
          </w:p>
        </w:tc>
        <w:tc>
          <w:tcPr>
            <w:tcW w:w="5651" w:type="dxa"/>
          </w:tcPr>
          <w:p>
            <w:pPr>
              <w:pStyle w:val="TableParagraph"/>
              <w:spacing w:before="80"/>
              <w:ind w:left="168"/>
              <w:rPr>
                <w:sz w:val="24"/>
              </w:rPr>
            </w:pPr>
            <w:r>
              <w:rPr>
                <w:sz w:val="24"/>
              </w:rPr>
              <w:t>指《中华人民共和国证券投资基金法》</w:t>
            </w:r>
          </w:p>
        </w:tc>
      </w:tr>
      <w:tr>
        <w:trPr>
          <w:trHeight w:val="467" w:hRule="atLeast"/>
        </w:trPr>
        <w:tc>
          <w:tcPr>
            <w:tcW w:w="2650" w:type="dxa"/>
          </w:tcPr>
          <w:p>
            <w:pPr>
              <w:pStyle w:val="TableParagraph"/>
              <w:spacing w:before="80"/>
              <w:rPr>
                <w:sz w:val="24"/>
              </w:rPr>
            </w:pPr>
            <w:r>
              <w:rPr>
                <w:sz w:val="24"/>
              </w:rPr>
              <w:t>《销售办法》</w:t>
            </w:r>
          </w:p>
        </w:tc>
        <w:tc>
          <w:tcPr>
            <w:tcW w:w="5651" w:type="dxa"/>
          </w:tcPr>
          <w:p>
            <w:pPr>
              <w:pStyle w:val="TableParagraph"/>
              <w:spacing w:before="80"/>
              <w:ind w:left="168"/>
              <w:rPr>
                <w:sz w:val="24"/>
              </w:rPr>
            </w:pPr>
            <w:r>
              <w:rPr>
                <w:sz w:val="24"/>
              </w:rPr>
              <w:t>指《证券投资基金销售管理办法》</w:t>
            </w:r>
          </w:p>
        </w:tc>
      </w:tr>
      <w:tr>
        <w:trPr>
          <w:trHeight w:val="468" w:hRule="atLeast"/>
        </w:trPr>
        <w:tc>
          <w:tcPr>
            <w:tcW w:w="2650" w:type="dxa"/>
          </w:tcPr>
          <w:p>
            <w:pPr>
              <w:pStyle w:val="TableParagraph"/>
              <w:spacing w:before="80"/>
              <w:rPr>
                <w:sz w:val="24"/>
              </w:rPr>
            </w:pPr>
            <w:r>
              <w:rPr>
                <w:sz w:val="24"/>
              </w:rPr>
              <w:t>《运作办法》</w:t>
            </w:r>
          </w:p>
        </w:tc>
        <w:tc>
          <w:tcPr>
            <w:tcW w:w="5651" w:type="dxa"/>
          </w:tcPr>
          <w:p>
            <w:pPr>
              <w:pStyle w:val="TableParagraph"/>
              <w:spacing w:before="80"/>
              <w:ind w:left="168"/>
              <w:rPr>
                <w:sz w:val="24"/>
              </w:rPr>
            </w:pPr>
            <w:r>
              <w:rPr>
                <w:sz w:val="24"/>
              </w:rPr>
              <w:t>指《证券投资基金运作管理办法》</w:t>
            </w:r>
          </w:p>
        </w:tc>
      </w:tr>
      <w:tr>
        <w:trPr>
          <w:trHeight w:val="467" w:hRule="atLeast"/>
        </w:trPr>
        <w:tc>
          <w:tcPr>
            <w:tcW w:w="2650" w:type="dxa"/>
          </w:tcPr>
          <w:p>
            <w:pPr>
              <w:pStyle w:val="TableParagraph"/>
              <w:spacing w:before="80"/>
              <w:rPr>
                <w:sz w:val="24"/>
              </w:rPr>
            </w:pPr>
            <w:r>
              <w:rPr>
                <w:sz w:val="24"/>
              </w:rPr>
              <w:t>《信息披露办法》</w:t>
            </w:r>
          </w:p>
        </w:tc>
        <w:tc>
          <w:tcPr>
            <w:tcW w:w="5651" w:type="dxa"/>
          </w:tcPr>
          <w:p>
            <w:pPr>
              <w:pStyle w:val="TableParagraph"/>
              <w:spacing w:before="80"/>
              <w:ind w:left="168"/>
              <w:rPr>
                <w:sz w:val="24"/>
              </w:rPr>
            </w:pPr>
            <w:r>
              <w:rPr>
                <w:sz w:val="24"/>
              </w:rPr>
              <w:t>指《公开募集证券投资基金信息披露管理办法》</w:t>
            </w:r>
          </w:p>
        </w:tc>
      </w:tr>
      <w:tr>
        <w:trPr>
          <w:trHeight w:val="353" w:hRule="atLeast"/>
        </w:trPr>
        <w:tc>
          <w:tcPr>
            <w:tcW w:w="2650" w:type="dxa"/>
          </w:tcPr>
          <w:p>
            <w:pPr>
              <w:pStyle w:val="TableParagraph"/>
              <w:spacing w:line="254" w:lineRule="exact" w:before="80"/>
              <w:rPr>
                <w:sz w:val="24"/>
              </w:rPr>
            </w:pPr>
            <w:r>
              <w:rPr>
                <w:sz w:val="24"/>
              </w:rPr>
              <w:t>《试行办法》</w:t>
            </w:r>
          </w:p>
        </w:tc>
        <w:tc>
          <w:tcPr>
            <w:tcW w:w="5651" w:type="dxa"/>
          </w:tcPr>
          <w:p>
            <w:pPr>
              <w:pStyle w:val="TableParagraph"/>
              <w:spacing w:line="254" w:lineRule="exact" w:before="80"/>
              <w:ind w:left="168"/>
              <w:rPr>
                <w:sz w:val="24"/>
              </w:rPr>
            </w:pPr>
            <w:r>
              <w:rPr>
                <w:sz w:val="24"/>
              </w:rPr>
              <w:t>指《合格境内机构投资者境外证券投资管理试行办</w:t>
            </w:r>
          </w:p>
        </w:tc>
      </w:tr>
    </w:tbl>
    <w:p>
      <w:pPr>
        <w:spacing w:after="0" w:line="254" w:lineRule="exact"/>
        <w:rPr>
          <w:sz w:val="24"/>
        </w:rPr>
        <w:sectPr>
          <w:pgSz w:w="11910" w:h="16840"/>
          <w:pgMar w:header="0" w:footer="914" w:top="1460" w:bottom="1180" w:left="1680" w:right="1420"/>
        </w:sect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0"/>
        <w:gridCol w:w="5831"/>
      </w:tblGrid>
      <w:tr>
        <w:trPr>
          <w:trHeight w:val="350" w:hRule="atLeast"/>
        </w:trPr>
        <w:tc>
          <w:tcPr>
            <w:tcW w:w="2470" w:type="dxa"/>
          </w:tcPr>
          <w:p>
            <w:pPr>
              <w:pStyle w:val="TableParagraph"/>
              <w:spacing w:before="0"/>
              <w:ind w:left="0"/>
              <w:rPr>
                <w:rFonts w:ascii="Times New Roman"/>
                <w:sz w:val="24"/>
              </w:rPr>
            </w:pPr>
          </w:p>
        </w:tc>
        <w:tc>
          <w:tcPr>
            <w:tcW w:w="5831" w:type="dxa"/>
          </w:tcPr>
          <w:p>
            <w:pPr>
              <w:pStyle w:val="TableParagraph"/>
              <w:spacing w:line="269" w:lineRule="exact" w:before="0"/>
              <w:ind w:left="348"/>
              <w:rPr>
                <w:sz w:val="24"/>
              </w:rPr>
            </w:pPr>
            <w:r>
              <w:rPr>
                <w:sz w:val="24"/>
              </w:rPr>
              <w:t>法》</w:t>
            </w:r>
          </w:p>
        </w:tc>
      </w:tr>
      <w:tr>
        <w:trPr>
          <w:trHeight w:val="945" w:hRule="atLeast"/>
        </w:trPr>
        <w:tc>
          <w:tcPr>
            <w:tcW w:w="2470" w:type="dxa"/>
          </w:tcPr>
          <w:p>
            <w:pPr>
              <w:pStyle w:val="TableParagraph"/>
              <w:spacing w:before="79"/>
              <w:rPr>
                <w:sz w:val="24"/>
              </w:rPr>
            </w:pPr>
            <w:r>
              <w:rPr>
                <w:sz w:val="24"/>
              </w:rPr>
              <w:t>《通知》</w:t>
            </w:r>
          </w:p>
        </w:tc>
        <w:tc>
          <w:tcPr>
            <w:tcW w:w="5831" w:type="dxa"/>
          </w:tcPr>
          <w:p>
            <w:pPr>
              <w:pStyle w:val="TableParagraph"/>
              <w:spacing w:before="79"/>
              <w:ind w:left="348"/>
              <w:rPr>
                <w:sz w:val="24"/>
              </w:rPr>
            </w:pPr>
            <w:r>
              <w:rPr>
                <w:sz w:val="24"/>
              </w:rPr>
              <w:t>《关于实施</w:t>
            </w:r>
            <w:r>
              <w:rPr>
                <w:rFonts w:ascii="Times New Roman" w:eastAsia="Times New Roman"/>
                <w:sz w:val="24"/>
              </w:rPr>
              <w:t>&lt;</w:t>
            </w:r>
            <w:r>
              <w:rPr>
                <w:sz w:val="24"/>
              </w:rPr>
              <w:t>合格境内机构投资者境外证券投资</w:t>
            </w:r>
          </w:p>
          <w:p>
            <w:pPr>
              <w:pStyle w:val="TableParagraph"/>
              <w:spacing w:before="160"/>
              <w:ind w:left="348"/>
              <w:rPr>
                <w:sz w:val="24"/>
              </w:rPr>
            </w:pPr>
            <w:r>
              <w:rPr>
                <w:sz w:val="24"/>
              </w:rPr>
              <w:t>管理试行办法</w:t>
            </w:r>
            <w:r>
              <w:rPr>
                <w:rFonts w:ascii="Times New Roman" w:eastAsia="Times New Roman"/>
                <w:sz w:val="24"/>
              </w:rPr>
              <w:t>&gt;</w:t>
            </w:r>
            <w:r>
              <w:rPr>
                <w:sz w:val="24"/>
              </w:rPr>
              <w:t>有关问题的通知》</w:t>
            </w:r>
          </w:p>
        </w:tc>
      </w:tr>
      <w:tr>
        <w:trPr>
          <w:trHeight w:val="1866" w:hRule="atLeast"/>
        </w:trPr>
        <w:tc>
          <w:tcPr>
            <w:tcW w:w="2470" w:type="dxa"/>
          </w:tcPr>
          <w:p>
            <w:pPr>
              <w:pStyle w:val="TableParagraph"/>
              <w:spacing w:before="70"/>
              <w:rPr>
                <w:sz w:val="24"/>
              </w:rPr>
            </w:pPr>
            <w:r>
              <w:rPr>
                <w:sz w:val="24"/>
              </w:rPr>
              <w:t>《管理规定》</w:t>
            </w:r>
          </w:p>
          <w:p>
            <w:pPr>
              <w:pStyle w:val="TableParagraph"/>
              <w:spacing w:before="0"/>
              <w:ind w:left="0"/>
              <w:rPr>
                <w:sz w:val="24"/>
              </w:rPr>
            </w:pPr>
          </w:p>
          <w:p>
            <w:pPr>
              <w:pStyle w:val="TableParagraph"/>
              <w:spacing w:before="0"/>
              <w:ind w:left="0"/>
              <w:rPr>
                <w:sz w:val="24"/>
              </w:rPr>
            </w:pPr>
          </w:p>
          <w:p>
            <w:pPr>
              <w:pStyle w:val="TableParagraph"/>
              <w:spacing w:before="0"/>
              <w:ind w:left="0"/>
              <w:rPr>
                <w:sz w:val="24"/>
              </w:rPr>
            </w:pPr>
          </w:p>
          <w:p>
            <w:pPr>
              <w:pStyle w:val="TableParagraph"/>
              <w:spacing w:before="174"/>
              <w:rPr>
                <w:sz w:val="24"/>
              </w:rPr>
            </w:pPr>
            <w:r>
              <w:rPr>
                <w:sz w:val="24"/>
              </w:rPr>
              <w:t>元</w:t>
            </w:r>
          </w:p>
        </w:tc>
        <w:tc>
          <w:tcPr>
            <w:tcW w:w="5831" w:type="dxa"/>
          </w:tcPr>
          <w:p>
            <w:pPr>
              <w:pStyle w:val="TableParagraph"/>
              <w:spacing w:before="70"/>
              <w:ind w:left="348"/>
              <w:rPr>
                <w:sz w:val="24"/>
              </w:rPr>
            </w:pPr>
            <w:r>
              <w:rPr>
                <w:sz w:val="24"/>
              </w:rPr>
              <w:t>指中国证监会 </w:t>
            </w:r>
            <w:r>
              <w:rPr>
                <w:rFonts w:ascii="Times New Roman" w:eastAsia="Times New Roman"/>
                <w:sz w:val="24"/>
              </w:rPr>
              <w:t>2017 </w:t>
            </w:r>
            <w:r>
              <w:rPr>
                <w:sz w:val="24"/>
              </w:rPr>
              <w:t>年 </w:t>
            </w:r>
            <w:r>
              <w:rPr>
                <w:rFonts w:ascii="Times New Roman" w:eastAsia="Times New Roman"/>
                <w:sz w:val="24"/>
              </w:rPr>
              <w:t>8 </w:t>
            </w:r>
            <w:r>
              <w:rPr>
                <w:sz w:val="24"/>
              </w:rPr>
              <w:t>月 </w:t>
            </w:r>
            <w:r>
              <w:rPr>
                <w:rFonts w:ascii="Times New Roman" w:eastAsia="Times New Roman"/>
                <w:sz w:val="24"/>
              </w:rPr>
              <w:t>31 </w:t>
            </w:r>
            <w:r>
              <w:rPr>
                <w:sz w:val="24"/>
              </w:rPr>
              <w:t>日颁布、同年 </w:t>
            </w:r>
            <w:r>
              <w:rPr>
                <w:rFonts w:ascii="Times New Roman" w:eastAsia="Times New Roman"/>
                <w:sz w:val="24"/>
              </w:rPr>
              <w:t>10 </w:t>
            </w:r>
            <w:r>
              <w:rPr>
                <w:sz w:val="24"/>
              </w:rPr>
              <w:t>月</w:t>
            </w:r>
          </w:p>
          <w:p>
            <w:pPr>
              <w:pStyle w:val="TableParagraph"/>
              <w:spacing w:line="470" w:lineRule="atLeast" w:before="0"/>
              <w:ind w:left="348" w:right="245"/>
              <w:rPr>
                <w:sz w:val="24"/>
              </w:rPr>
            </w:pPr>
            <w:r>
              <w:rPr>
                <w:rFonts w:ascii="Times New Roman" w:eastAsia="Times New Roman"/>
                <w:sz w:val="24"/>
              </w:rPr>
              <w:t>1 </w:t>
            </w:r>
            <w:r>
              <w:rPr>
                <w:sz w:val="24"/>
              </w:rPr>
              <w:t>日实施的《公开募集开放式证券投资基金流动性风险管理规定》及颁布机关对其不时做出的修订如无特指，指中国法定货币人民币元</w:t>
            </w:r>
          </w:p>
        </w:tc>
      </w:tr>
      <w:tr>
        <w:trPr>
          <w:trHeight w:val="941" w:hRule="atLeast"/>
        </w:trPr>
        <w:tc>
          <w:tcPr>
            <w:tcW w:w="2470" w:type="dxa"/>
          </w:tcPr>
          <w:p>
            <w:pPr>
              <w:pStyle w:val="TableParagraph"/>
              <w:rPr>
                <w:sz w:val="24"/>
              </w:rPr>
            </w:pPr>
            <w:r>
              <w:rPr>
                <w:sz w:val="24"/>
              </w:rPr>
              <w:t>基金或本基金</w:t>
            </w:r>
          </w:p>
        </w:tc>
        <w:tc>
          <w:tcPr>
            <w:tcW w:w="5831" w:type="dxa"/>
          </w:tcPr>
          <w:p>
            <w:pPr>
              <w:pStyle w:val="TableParagraph"/>
              <w:ind w:left="348"/>
              <w:rPr>
                <w:sz w:val="24"/>
              </w:rPr>
            </w:pPr>
            <w:r>
              <w:rPr>
                <w:sz w:val="24"/>
              </w:rPr>
              <w:t>指依据《基金合同》所募集的易方达黄金主题证券</w:t>
            </w:r>
          </w:p>
          <w:p>
            <w:pPr>
              <w:pStyle w:val="TableParagraph"/>
              <w:spacing w:before="161"/>
              <w:ind w:left="348"/>
              <w:rPr>
                <w:sz w:val="24"/>
              </w:rPr>
            </w:pPr>
            <w:r>
              <w:rPr>
                <w:sz w:val="24"/>
              </w:rPr>
              <w:t>投资基金（</w:t>
            </w:r>
            <w:r>
              <w:rPr>
                <w:rFonts w:ascii="Times New Roman" w:eastAsia="Times New Roman"/>
                <w:sz w:val="24"/>
              </w:rPr>
              <w:t>LOF</w:t>
            </w:r>
            <w:r>
              <w:rPr>
                <w:sz w:val="24"/>
              </w:rPr>
              <w:t>）</w:t>
            </w:r>
          </w:p>
        </w:tc>
      </w:tr>
      <w:tr>
        <w:trPr>
          <w:trHeight w:val="1394" w:hRule="atLeast"/>
        </w:trPr>
        <w:tc>
          <w:tcPr>
            <w:tcW w:w="2470" w:type="dxa"/>
          </w:tcPr>
          <w:p>
            <w:pPr>
              <w:pStyle w:val="TableParagraph"/>
              <w:spacing w:before="70"/>
              <w:rPr>
                <w:sz w:val="24"/>
              </w:rPr>
            </w:pPr>
            <w:r>
              <w:rPr>
                <w:sz w:val="24"/>
              </w:rPr>
              <w:t>《招募说明书》</w:t>
            </w:r>
          </w:p>
        </w:tc>
        <w:tc>
          <w:tcPr>
            <w:tcW w:w="5831" w:type="dxa"/>
          </w:tcPr>
          <w:p>
            <w:pPr>
              <w:pStyle w:val="TableParagraph"/>
              <w:spacing w:before="70"/>
              <w:ind w:left="348"/>
              <w:rPr>
                <w:sz w:val="24"/>
              </w:rPr>
            </w:pPr>
            <w:r>
              <w:rPr>
                <w:sz w:val="24"/>
              </w:rPr>
              <w:t>指《易方达黄金主题证券投资基金（</w:t>
            </w:r>
            <w:r>
              <w:rPr>
                <w:rFonts w:ascii="Times New Roman" w:eastAsia="Times New Roman"/>
                <w:sz w:val="24"/>
              </w:rPr>
              <w:t>LOF</w:t>
            </w:r>
            <w:r>
              <w:rPr>
                <w:sz w:val="24"/>
              </w:rPr>
              <w:t>）招募说</w:t>
            </w:r>
          </w:p>
          <w:p>
            <w:pPr>
              <w:pStyle w:val="TableParagraph"/>
              <w:spacing w:line="460" w:lineRule="atLeast" w:before="8"/>
              <w:ind w:left="348" w:right="311"/>
              <w:rPr>
                <w:sz w:val="24"/>
              </w:rPr>
            </w:pPr>
            <w:r>
              <w:rPr>
                <w:spacing w:val="-13"/>
                <w:sz w:val="24"/>
              </w:rPr>
              <w:t>明书》，即供基金投资者选择并决定是否提出基金</w:t>
            </w:r>
            <w:r>
              <w:rPr>
                <w:sz w:val="24"/>
              </w:rPr>
              <w:t>认购或申购申请的要约邀请文件，及其更新</w:t>
            </w:r>
          </w:p>
        </w:tc>
      </w:tr>
      <w:tr>
        <w:trPr>
          <w:trHeight w:val="939" w:hRule="atLeast"/>
        </w:trPr>
        <w:tc>
          <w:tcPr>
            <w:tcW w:w="2470" w:type="dxa"/>
          </w:tcPr>
          <w:p>
            <w:pPr>
              <w:pStyle w:val="TableParagraph"/>
              <w:spacing w:before="79"/>
              <w:rPr>
                <w:sz w:val="24"/>
              </w:rPr>
            </w:pPr>
            <w:r>
              <w:rPr>
                <w:sz w:val="24"/>
              </w:rPr>
              <w:t>基金产品资料概要</w:t>
            </w:r>
          </w:p>
        </w:tc>
        <w:tc>
          <w:tcPr>
            <w:tcW w:w="5831" w:type="dxa"/>
          </w:tcPr>
          <w:p>
            <w:pPr>
              <w:pStyle w:val="TableParagraph"/>
              <w:spacing w:before="79"/>
              <w:ind w:left="348"/>
              <w:rPr>
                <w:sz w:val="24"/>
              </w:rPr>
            </w:pPr>
            <w:r>
              <w:rPr>
                <w:sz w:val="24"/>
              </w:rPr>
              <w:t>指《易方达黄金主题证券投资基金（</w:t>
            </w:r>
            <w:r>
              <w:rPr>
                <w:rFonts w:ascii="Times New Roman" w:eastAsia="Times New Roman"/>
                <w:sz w:val="24"/>
              </w:rPr>
              <w:t>LOF</w:t>
            </w:r>
            <w:r>
              <w:rPr>
                <w:sz w:val="24"/>
              </w:rPr>
              <w:t>）基金产</w:t>
            </w:r>
          </w:p>
          <w:p>
            <w:pPr>
              <w:pStyle w:val="TableParagraph"/>
              <w:spacing w:before="160"/>
              <w:ind w:left="348"/>
              <w:rPr>
                <w:sz w:val="24"/>
              </w:rPr>
            </w:pPr>
            <w:r>
              <w:rPr>
                <w:sz w:val="24"/>
              </w:rPr>
              <w:t>品资料概要》及其更新</w:t>
            </w:r>
          </w:p>
        </w:tc>
      </w:tr>
      <w:tr>
        <w:trPr>
          <w:trHeight w:val="1400" w:hRule="atLeast"/>
        </w:trPr>
        <w:tc>
          <w:tcPr>
            <w:tcW w:w="2470" w:type="dxa"/>
          </w:tcPr>
          <w:p>
            <w:pPr>
              <w:pStyle w:val="TableParagraph"/>
              <w:rPr>
                <w:sz w:val="24"/>
              </w:rPr>
            </w:pPr>
            <w:r>
              <w:rPr>
                <w:sz w:val="24"/>
              </w:rPr>
              <w:t>托管协议</w:t>
            </w:r>
          </w:p>
        </w:tc>
        <w:tc>
          <w:tcPr>
            <w:tcW w:w="5831" w:type="dxa"/>
          </w:tcPr>
          <w:p>
            <w:pPr>
              <w:pStyle w:val="TableParagraph"/>
              <w:spacing w:line="364" w:lineRule="auto"/>
              <w:ind w:left="348" w:right="307"/>
              <w:rPr>
                <w:sz w:val="24"/>
              </w:rPr>
            </w:pPr>
            <w:r>
              <w:rPr>
                <w:spacing w:val="-9"/>
                <w:sz w:val="24"/>
              </w:rPr>
              <w:t>指基金管理人与基金托管人签订的《易方达黄金主</w:t>
            </w:r>
            <w:r>
              <w:rPr>
                <w:spacing w:val="-4"/>
                <w:sz w:val="24"/>
              </w:rPr>
              <w:t>题证券投资基金</w:t>
            </w:r>
            <w:r>
              <w:rPr>
                <w:spacing w:val="-6"/>
                <w:sz w:val="24"/>
              </w:rPr>
              <w:t>（</w:t>
            </w:r>
            <w:r>
              <w:rPr>
                <w:rFonts w:ascii="Times New Roman" w:eastAsia="Times New Roman"/>
                <w:spacing w:val="-6"/>
                <w:sz w:val="24"/>
              </w:rPr>
              <w:t>LOF</w:t>
            </w:r>
            <w:r>
              <w:rPr>
                <w:spacing w:val="-6"/>
                <w:sz w:val="24"/>
              </w:rPr>
              <w:t>）托管协议》及其任何有效</w:t>
            </w:r>
          </w:p>
          <w:p>
            <w:pPr>
              <w:pStyle w:val="TableParagraph"/>
              <w:spacing w:before="2"/>
              <w:ind w:left="348"/>
              <w:rPr>
                <w:sz w:val="24"/>
              </w:rPr>
            </w:pPr>
            <w:r>
              <w:rPr>
                <w:sz w:val="24"/>
              </w:rPr>
              <w:t>修订和补充</w:t>
            </w:r>
          </w:p>
        </w:tc>
      </w:tr>
      <w:tr>
        <w:trPr>
          <w:trHeight w:val="939" w:hRule="atLeast"/>
        </w:trPr>
        <w:tc>
          <w:tcPr>
            <w:tcW w:w="2470" w:type="dxa"/>
          </w:tcPr>
          <w:p>
            <w:pPr>
              <w:pStyle w:val="TableParagraph"/>
              <w:spacing w:before="79"/>
              <w:rPr>
                <w:sz w:val="24"/>
              </w:rPr>
            </w:pPr>
            <w:r>
              <w:rPr>
                <w:sz w:val="24"/>
              </w:rPr>
              <w:t>《发售公告》</w:t>
            </w:r>
          </w:p>
        </w:tc>
        <w:tc>
          <w:tcPr>
            <w:tcW w:w="5831" w:type="dxa"/>
          </w:tcPr>
          <w:p>
            <w:pPr>
              <w:pStyle w:val="TableParagraph"/>
              <w:spacing w:before="79"/>
              <w:ind w:left="348"/>
              <w:rPr>
                <w:sz w:val="24"/>
              </w:rPr>
            </w:pPr>
            <w:r>
              <w:rPr>
                <w:sz w:val="24"/>
              </w:rPr>
              <w:t>指《易方达黄金主题证券投资基金（</w:t>
            </w:r>
            <w:r>
              <w:rPr>
                <w:rFonts w:ascii="Times New Roman" w:eastAsia="Times New Roman"/>
                <w:sz w:val="24"/>
              </w:rPr>
              <w:t>LOF</w:t>
            </w:r>
            <w:r>
              <w:rPr>
                <w:sz w:val="24"/>
              </w:rPr>
              <w:t>）基金份</w:t>
            </w:r>
          </w:p>
          <w:p>
            <w:pPr>
              <w:pStyle w:val="TableParagraph"/>
              <w:spacing w:before="160"/>
              <w:ind w:left="348"/>
              <w:rPr>
                <w:sz w:val="24"/>
              </w:rPr>
            </w:pPr>
            <w:r>
              <w:rPr>
                <w:sz w:val="24"/>
              </w:rPr>
              <w:t>额发售公告》</w:t>
            </w:r>
          </w:p>
        </w:tc>
      </w:tr>
      <w:tr>
        <w:trPr>
          <w:trHeight w:val="936" w:hRule="atLeast"/>
        </w:trPr>
        <w:tc>
          <w:tcPr>
            <w:tcW w:w="2470" w:type="dxa"/>
          </w:tcPr>
          <w:p>
            <w:pPr>
              <w:pStyle w:val="TableParagraph"/>
              <w:rPr>
                <w:sz w:val="24"/>
              </w:rPr>
            </w:pPr>
            <w:r>
              <w:rPr>
                <w:sz w:val="24"/>
              </w:rPr>
              <w:t>业务规则</w:t>
            </w:r>
          </w:p>
        </w:tc>
        <w:tc>
          <w:tcPr>
            <w:tcW w:w="5831" w:type="dxa"/>
          </w:tcPr>
          <w:p>
            <w:pPr>
              <w:pStyle w:val="TableParagraph"/>
              <w:ind w:left="348"/>
              <w:rPr>
                <w:sz w:val="24"/>
              </w:rPr>
            </w:pPr>
            <w:r>
              <w:rPr>
                <w:sz w:val="24"/>
              </w:rPr>
              <w:t>指易方达基金管理有限公司、深圳证券交易所和中</w:t>
            </w:r>
          </w:p>
          <w:p>
            <w:pPr>
              <w:pStyle w:val="TableParagraph"/>
              <w:spacing w:before="160"/>
              <w:ind w:left="348"/>
              <w:rPr>
                <w:sz w:val="24"/>
              </w:rPr>
            </w:pPr>
            <w:r>
              <w:rPr>
                <w:sz w:val="24"/>
              </w:rPr>
              <w:t>国证券登记结算有限责任公司的相关业务规则</w:t>
            </w:r>
          </w:p>
        </w:tc>
      </w:tr>
      <w:tr>
        <w:trPr>
          <w:trHeight w:val="467" w:hRule="atLeast"/>
        </w:trPr>
        <w:tc>
          <w:tcPr>
            <w:tcW w:w="2470" w:type="dxa"/>
          </w:tcPr>
          <w:p>
            <w:pPr>
              <w:pStyle w:val="TableParagraph"/>
              <w:rPr>
                <w:sz w:val="24"/>
              </w:rPr>
            </w:pPr>
            <w:r>
              <w:rPr>
                <w:sz w:val="24"/>
              </w:rPr>
              <w:t>中国证监会</w:t>
            </w:r>
          </w:p>
        </w:tc>
        <w:tc>
          <w:tcPr>
            <w:tcW w:w="5831" w:type="dxa"/>
          </w:tcPr>
          <w:p>
            <w:pPr>
              <w:pStyle w:val="TableParagraph"/>
              <w:ind w:left="348"/>
              <w:rPr>
                <w:sz w:val="24"/>
              </w:rPr>
            </w:pPr>
            <w:r>
              <w:rPr>
                <w:sz w:val="24"/>
              </w:rPr>
              <w:t>指中国证券监督管理委员会</w:t>
            </w:r>
          </w:p>
        </w:tc>
      </w:tr>
      <w:tr>
        <w:trPr>
          <w:trHeight w:val="936" w:hRule="atLeast"/>
        </w:trPr>
        <w:tc>
          <w:tcPr>
            <w:tcW w:w="2470" w:type="dxa"/>
          </w:tcPr>
          <w:p>
            <w:pPr>
              <w:pStyle w:val="TableParagraph"/>
              <w:rPr>
                <w:sz w:val="24"/>
              </w:rPr>
            </w:pPr>
            <w:r>
              <w:rPr>
                <w:sz w:val="24"/>
              </w:rPr>
              <w:t>银行监管机构</w:t>
            </w:r>
          </w:p>
        </w:tc>
        <w:tc>
          <w:tcPr>
            <w:tcW w:w="5831" w:type="dxa"/>
          </w:tcPr>
          <w:p>
            <w:pPr>
              <w:pStyle w:val="TableParagraph"/>
              <w:ind w:left="348"/>
              <w:rPr>
                <w:sz w:val="24"/>
              </w:rPr>
            </w:pPr>
            <w:r>
              <w:rPr>
                <w:sz w:val="24"/>
              </w:rPr>
              <w:t>指中国银行业监督管理委员会或其他经国务院授</w:t>
            </w:r>
          </w:p>
          <w:p>
            <w:pPr>
              <w:pStyle w:val="TableParagraph"/>
              <w:spacing w:before="160"/>
              <w:ind w:left="348"/>
              <w:rPr>
                <w:sz w:val="24"/>
              </w:rPr>
            </w:pPr>
            <w:r>
              <w:rPr>
                <w:sz w:val="24"/>
              </w:rPr>
              <w:t>权的机构</w:t>
            </w:r>
          </w:p>
        </w:tc>
      </w:tr>
      <w:tr>
        <w:trPr>
          <w:trHeight w:val="468" w:hRule="atLeast"/>
        </w:trPr>
        <w:tc>
          <w:tcPr>
            <w:tcW w:w="2470" w:type="dxa"/>
          </w:tcPr>
          <w:p>
            <w:pPr>
              <w:pStyle w:val="TableParagraph"/>
              <w:rPr>
                <w:sz w:val="24"/>
              </w:rPr>
            </w:pPr>
            <w:r>
              <w:rPr>
                <w:sz w:val="24"/>
              </w:rPr>
              <w:t>国家外汇局</w:t>
            </w:r>
          </w:p>
        </w:tc>
        <w:tc>
          <w:tcPr>
            <w:tcW w:w="5831" w:type="dxa"/>
          </w:tcPr>
          <w:p>
            <w:pPr>
              <w:pStyle w:val="TableParagraph"/>
              <w:ind w:left="348"/>
              <w:rPr>
                <w:sz w:val="24"/>
              </w:rPr>
            </w:pPr>
            <w:r>
              <w:rPr>
                <w:sz w:val="24"/>
              </w:rPr>
              <w:t>指国家外汇管理局或其授权的代表机构</w:t>
            </w:r>
          </w:p>
        </w:tc>
      </w:tr>
      <w:tr>
        <w:trPr>
          <w:trHeight w:val="467" w:hRule="atLeast"/>
        </w:trPr>
        <w:tc>
          <w:tcPr>
            <w:tcW w:w="2470" w:type="dxa"/>
          </w:tcPr>
          <w:p>
            <w:pPr>
              <w:pStyle w:val="TableParagraph"/>
              <w:rPr>
                <w:sz w:val="24"/>
              </w:rPr>
            </w:pPr>
            <w:r>
              <w:rPr>
                <w:sz w:val="24"/>
              </w:rPr>
              <w:t>基金管理人</w:t>
            </w:r>
          </w:p>
        </w:tc>
        <w:tc>
          <w:tcPr>
            <w:tcW w:w="5831" w:type="dxa"/>
          </w:tcPr>
          <w:p>
            <w:pPr>
              <w:pStyle w:val="TableParagraph"/>
              <w:ind w:left="348"/>
              <w:rPr>
                <w:sz w:val="24"/>
              </w:rPr>
            </w:pPr>
            <w:r>
              <w:rPr>
                <w:sz w:val="24"/>
              </w:rPr>
              <w:t>指易方达基金管理有限公司</w:t>
            </w:r>
          </w:p>
        </w:tc>
      </w:tr>
      <w:tr>
        <w:trPr>
          <w:trHeight w:val="468" w:hRule="atLeast"/>
        </w:trPr>
        <w:tc>
          <w:tcPr>
            <w:tcW w:w="2470" w:type="dxa"/>
          </w:tcPr>
          <w:p>
            <w:pPr>
              <w:pStyle w:val="TableParagraph"/>
              <w:rPr>
                <w:sz w:val="24"/>
              </w:rPr>
            </w:pPr>
            <w:r>
              <w:rPr>
                <w:sz w:val="24"/>
              </w:rPr>
              <w:t>基金托管人</w:t>
            </w:r>
          </w:p>
        </w:tc>
        <w:tc>
          <w:tcPr>
            <w:tcW w:w="5831" w:type="dxa"/>
          </w:tcPr>
          <w:p>
            <w:pPr>
              <w:pStyle w:val="TableParagraph"/>
              <w:ind w:left="348"/>
              <w:rPr>
                <w:sz w:val="24"/>
              </w:rPr>
            </w:pPr>
            <w:r>
              <w:rPr>
                <w:sz w:val="24"/>
              </w:rPr>
              <w:t>指中国农业银行股份有限公司</w:t>
            </w:r>
          </w:p>
        </w:tc>
      </w:tr>
      <w:tr>
        <w:trPr>
          <w:trHeight w:val="821" w:hRule="atLeast"/>
        </w:trPr>
        <w:tc>
          <w:tcPr>
            <w:tcW w:w="2470" w:type="dxa"/>
          </w:tcPr>
          <w:p>
            <w:pPr>
              <w:pStyle w:val="TableParagraph"/>
              <w:rPr>
                <w:sz w:val="24"/>
              </w:rPr>
            </w:pPr>
            <w:r>
              <w:rPr>
                <w:sz w:val="24"/>
              </w:rPr>
              <w:t>境外托管人</w:t>
            </w:r>
          </w:p>
        </w:tc>
        <w:tc>
          <w:tcPr>
            <w:tcW w:w="5831" w:type="dxa"/>
          </w:tcPr>
          <w:p>
            <w:pPr>
              <w:pStyle w:val="TableParagraph"/>
              <w:ind w:left="348"/>
              <w:rPr>
                <w:sz w:val="24"/>
              </w:rPr>
            </w:pPr>
            <w:r>
              <w:rPr>
                <w:sz w:val="24"/>
              </w:rPr>
              <w:t>指符合法律法规规定的条件，由基金托管人委托，</w:t>
            </w:r>
          </w:p>
          <w:p>
            <w:pPr>
              <w:pStyle w:val="TableParagraph"/>
              <w:spacing w:line="259" w:lineRule="exact" w:before="160"/>
              <w:ind w:left="348"/>
              <w:rPr>
                <w:sz w:val="24"/>
              </w:rPr>
            </w:pPr>
            <w:r>
              <w:rPr>
                <w:sz w:val="24"/>
              </w:rPr>
              <w:t>并根据基金托管人与其签订的合同，为本基金提供</w:t>
            </w:r>
          </w:p>
        </w:tc>
      </w:tr>
    </w:tbl>
    <w:p>
      <w:pPr>
        <w:spacing w:after="0" w:line="259" w:lineRule="exact"/>
        <w:rPr>
          <w:sz w:val="24"/>
        </w:rPr>
        <w:sectPr>
          <w:pgSz w:w="11910" w:h="16840"/>
          <w:pgMar w:header="0" w:footer="914" w:top="1540" w:bottom="1100" w:left="1680" w:right="1420"/>
        </w:sect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0"/>
        <w:gridCol w:w="5842"/>
      </w:tblGrid>
      <w:tr>
        <w:trPr>
          <w:trHeight w:val="354" w:hRule="atLeast"/>
        </w:trPr>
        <w:tc>
          <w:tcPr>
            <w:tcW w:w="2470" w:type="dxa"/>
          </w:tcPr>
          <w:p>
            <w:pPr>
              <w:pStyle w:val="TableParagraph"/>
              <w:spacing w:before="0"/>
              <w:ind w:left="0"/>
              <w:rPr>
                <w:rFonts w:ascii="Times New Roman"/>
                <w:sz w:val="24"/>
              </w:rPr>
            </w:pPr>
          </w:p>
        </w:tc>
        <w:tc>
          <w:tcPr>
            <w:tcW w:w="5842" w:type="dxa"/>
          </w:tcPr>
          <w:p>
            <w:pPr>
              <w:pStyle w:val="TableParagraph"/>
              <w:spacing w:line="269" w:lineRule="exact" w:before="0"/>
              <w:ind w:left="348"/>
              <w:rPr>
                <w:sz w:val="24"/>
              </w:rPr>
            </w:pPr>
            <w:r>
              <w:rPr>
                <w:sz w:val="24"/>
              </w:rPr>
              <w:t>境外资产托管服务的境外金融机构</w:t>
            </w:r>
          </w:p>
        </w:tc>
      </w:tr>
      <w:tr>
        <w:trPr>
          <w:trHeight w:val="2340" w:hRule="atLeast"/>
        </w:trPr>
        <w:tc>
          <w:tcPr>
            <w:tcW w:w="2470" w:type="dxa"/>
          </w:tcPr>
          <w:p>
            <w:pPr>
              <w:pStyle w:val="TableParagraph"/>
              <w:rPr>
                <w:sz w:val="24"/>
              </w:rPr>
            </w:pPr>
            <w:r>
              <w:rPr>
                <w:sz w:val="24"/>
              </w:rPr>
              <w:t>境外投资顾问</w:t>
            </w:r>
          </w:p>
        </w:tc>
        <w:tc>
          <w:tcPr>
            <w:tcW w:w="5842" w:type="dxa"/>
          </w:tcPr>
          <w:p>
            <w:pPr>
              <w:pStyle w:val="TableParagraph"/>
              <w:spacing w:line="364" w:lineRule="auto"/>
              <w:ind w:left="348" w:right="320"/>
              <w:jc w:val="both"/>
              <w:rPr>
                <w:sz w:val="24"/>
              </w:rPr>
            </w:pPr>
            <w:r>
              <w:rPr>
                <w:spacing w:val="-10"/>
                <w:sz w:val="24"/>
              </w:rPr>
              <w:t>指符合法律法规规定的条件，根据基金管理人与其</w:t>
            </w:r>
            <w:r>
              <w:rPr>
                <w:spacing w:val="-12"/>
                <w:sz w:val="24"/>
              </w:rPr>
              <w:t>签订的合同，为本基金境外证券投资提供证券买卖</w:t>
            </w:r>
            <w:r>
              <w:rPr>
                <w:spacing w:val="-7"/>
                <w:sz w:val="24"/>
              </w:rPr>
              <w:t>建议或投资组合管理等服务的境外金融机构。基金</w:t>
            </w:r>
            <w:r>
              <w:rPr>
                <w:spacing w:val="-8"/>
                <w:sz w:val="24"/>
              </w:rPr>
              <w:t>管理人有权根据基金运作情况选择、更换或撤销境</w:t>
            </w:r>
          </w:p>
          <w:p>
            <w:pPr>
              <w:pStyle w:val="TableParagraph"/>
              <w:spacing w:before="2"/>
              <w:ind w:left="348"/>
              <w:rPr>
                <w:sz w:val="24"/>
              </w:rPr>
            </w:pPr>
            <w:r>
              <w:rPr>
                <w:sz w:val="24"/>
              </w:rPr>
              <w:t>外投资顾问</w:t>
            </w:r>
          </w:p>
        </w:tc>
      </w:tr>
      <w:tr>
        <w:trPr>
          <w:trHeight w:val="936" w:hRule="atLeast"/>
        </w:trPr>
        <w:tc>
          <w:tcPr>
            <w:tcW w:w="2470" w:type="dxa"/>
          </w:tcPr>
          <w:p>
            <w:pPr>
              <w:pStyle w:val="TableParagraph"/>
              <w:rPr>
                <w:sz w:val="24"/>
              </w:rPr>
            </w:pPr>
            <w:r>
              <w:rPr>
                <w:sz w:val="24"/>
              </w:rPr>
              <w:t>基金份额持有人</w:t>
            </w:r>
          </w:p>
        </w:tc>
        <w:tc>
          <w:tcPr>
            <w:tcW w:w="5842" w:type="dxa"/>
          </w:tcPr>
          <w:p>
            <w:pPr>
              <w:pStyle w:val="TableParagraph"/>
              <w:ind w:left="348"/>
              <w:rPr>
                <w:sz w:val="24"/>
              </w:rPr>
            </w:pPr>
            <w:r>
              <w:rPr>
                <w:sz w:val="24"/>
              </w:rPr>
              <w:t>指根据《招募说明书》和《基金合同》及相关文件</w:t>
            </w:r>
          </w:p>
          <w:p>
            <w:pPr>
              <w:pStyle w:val="TableParagraph"/>
              <w:spacing w:before="160"/>
              <w:ind w:left="348"/>
              <w:rPr>
                <w:sz w:val="24"/>
              </w:rPr>
            </w:pPr>
            <w:r>
              <w:rPr>
                <w:sz w:val="24"/>
              </w:rPr>
              <w:t>合法取得本基金基金份额的投资者</w:t>
            </w:r>
          </w:p>
        </w:tc>
      </w:tr>
      <w:tr>
        <w:trPr>
          <w:trHeight w:val="1872" w:hRule="atLeast"/>
        </w:trPr>
        <w:tc>
          <w:tcPr>
            <w:tcW w:w="2470" w:type="dxa"/>
          </w:tcPr>
          <w:p>
            <w:pPr>
              <w:pStyle w:val="TableParagraph"/>
              <w:rPr>
                <w:sz w:val="24"/>
              </w:rPr>
            </w:pPr>
            <w:r>
              <w:rPr>
                <w:sz w:val="24"/>
              </w:rPr>
              <w:t>基金代销机构</w:t>
            </w:r>
          </w:p>
        </w:tc>
        <w:tc>
          <w:tcPr>
            <w:tcW w:w="5842" w:type="dxa"/>
          </w:tcPr>
          <w:p>
            <w:pPr>
              <w:pStyle w:val="TableParagraph"/>
              <w:spacing w:line="364" w:lineRule="auto"/>
              <w:ind w:left="348" w:right="199"/>
              <w:rPr>
                <w:sz w:val="24"/>
              </w:rPr>
            </w:pPr>
            <w:r>
              <w:rPr>
                <w:spacing w:val="-17"/>
                <w:sz w:val="24"/>
              </w:rPr>
              <w:t>指符合《销售办法》和中国证监会规定的其他条件， </w:t>
            </w:r>
            <w:r>
              <w:rPr>
                <w:spacing w:val="-10"/>
                <w:sz w:val="24"/>
              </w:rPr>
              <w:t>取得基金代销业务资格，并与基金管理人签订基金</w:t>
            </w:r>
            <w:r>
              <w:rPr>
                <w:spacing w:val="-20"/>
                <w:sz w:val="24"/>
              </w:rPr>
              <w:t>销售与服务代理协议，代为办理本基金发售、申购、</w:t>
            </w:r>
          </w:p>
          <w:p>
            <w:pPr>
              <w:pStyle w:val="TableParagraph"/>
              <w:spacing w:before="2"/>
              <w:ind w:left="348"/>
              <w:rPr>
                <w:sz w:val="24"/>
              </w:rPr>
            </w:pPr>
            <w:r>
              <w:rPr>
                <w:sz w:val="24"/>
              </w:rPr>
              <w:t>赎回和其他基金业务的代理机构</w:t>
            </w:r>
          </w:p>
        </w:tc>
      </w:tr>
      <w:tr>
        <w:trPr>
          <w:trHeight w:val="468" w:hRule="atLeast"/>
        </w:trPr>
        <w:tc>
          <w:tcPr>
            <w:tcW w:w="2470" w:type="dxa"/>
          </w:tcPr>
          <w:p>
            <w:pPr>
              <w:pStyle w:val="TableParagraph"/>
              <w:rPr>
                <w:sz w:val="24"/>
              </w:rPr>
            </w:pPr>
            <w:r>
              <w:rPr>
                <w:sz w:val="24"/>
              </w:rPr>
              <w:t>销售机构</w:t>
            </w:r>
          </w:p>
        </w:tc>
        <w:tc>
          <w:tcPr>
            <w:tcW w:w="5842" w:type="dxa"/>
          </w:tcPr>
          <w:p>
            <w:pPr>
              <w:pStyle w:val="TableParagraph"/>
              <w:ind w:left="348"/>
              <w:rPr>
                <w:sz w:val="24"/>
              </w:rPr>
            </w:pPr>
            <w:r>
              <w:rPr>
                <w:sz w:val="24"/>
              </w:rPr>
              <w:t>指基金管理人及基金代销机构</w:t>
            </w:r>
          </w:p>
        </w:tc>
      </w:tr>
      <w:tr>
        <w:trPr>
          <w:trHeight w:val="935" w:hRule="atLeast"/>
        </w:trPr>
        <w:tc>
          <w:tcPr>
            <w:tcW w:w="2470" w:type="dxa"/>
          </w:tcPr>
          <w:p>
            <w:pPr>
              <w:pStyle w:val="TableParagraph"/>
              <w:rPr>
                <w:sz w:val="24"/>
              </w:rPr>
            </w:pPr>
            <w:r>
              <w:rPr>
                <w:sz w:val="24"/>
              </w:rPr>
              <w:t>基金销售网点</w:t>
            </w:r>
          </w:p>
        </w:tc>
        <w:tc>
          <w:tcPr>
            <w:tcW w:w="5842" w:type="dxa"/>
          </w:tcPr>
          <w:p>
            <w:pPr>
              <w:pStyle w:val="TableParagraph"/>
              <w:ind w:left="348"/>
              <w:rPr>
                <w:sz w:val="24"/>
              </w:rPr>
            </w:pPr>
            <w:r>
              <w:rPr>
                <w:sz w:val="24"/>
              </w:rPr>
              <w:t>指基金管理人的直销网点及基金代销机构的代销</w:t>
            </w:r>
          </w:p>
          <w:p>
            <w:pPr>
              <w:pStyle w:val="TableParagraph"/>
              <w:spacing w:before="160"/>
              <w:ind w:left="348"/>
              <w:rPr>
                <w:sz w:val="24"/>
              </w:rPr>
            </w:pPr>
            <w:r>
              <w:rPr>
                <w:sz w:val="24"/>
              </w:rPr>
              <w:t>网点</w:t>
            </w:r>
          </w:p>
        </w:tc>
      </w:tr>
      <w:tr>
        <w:trPr>
          <w:trHeight w:val="1872" w:hRule="atLeast"/>
        </w:trPr>
        <w:tc>
          <w:tcPr>
            <w:tcW w:w="2470" w:type="dxa"/>
          </w:tcPr>
          <w:p>
            <w:pPr>
              <w:pStyle w:val="TableParagraph"/>
              <w:rPr>
                <w:sz w:val="24"/>
              </w:rPr>
            </w:pPr>
            <w:r>
              <w:rPr>
                <w:sz w:val="24"/>
              </w:rPr>
              <w:t>登记结算业务</w:t>
            </w:r>
          </w:p>
        </w:tc>
        <w:tc>
          <w:tcPr>
            <w:tcW w:w="5842" w:type="dxa"/>
          </w:tcPr>
          <w:p>
            <w:pPr>
              <w:pStyle w:val="TableParagraph"/>
              <w:spacing w:line="364" w:lineRule="auto"/>
              <w:ind w:left="348" w:right="320"/>
              <w:jc w:val="both"/>
              <w:rPr>
                <w:sz w:val="24"/>
              </w:rPr>
            </w:pPr>
            <w:r>
              <w:rPr>
                <w:spacing w:val="-12"/>
                <w:sz w:val="24"/>
              </w:rPr>
              <w:t>指基金登记、存管、清算和交收业务，具体内容包</w:t>
            </w:r>
            <w:r>
              <w:rPr>
                <w:spacing w:val="-10"/>
                <w:sz w:val="24"/>
              </w:rPr>
              <w:t>括投资者基金账户管理、基金份额登记结算、清算</w:t>
            </w:r>
            <w:r>
              <w:rPr>
                <w:spacing w:val="-12"/>
                <w:sz w:val="24"/>
              </w:rPr>
              <w:t>及基金交易确认、发放红利、建立并保管基金份额</w:t>
            </w:r>
          </w:p>
          <w:p>
            <w:pPr>
              <w:pStyle w:val="TableParagraph"/>
              <w:spacing w:before="2"/>
              <w:ind w:left="348"/>
              <w:rPr>
                <w:sz w:val="24"/>
              </w:rPr>
            </w:pPr>
            <w:r>
              <w:rPr>
                <w:sz w:val="24"/>
              </w:rPr>
              <w:t>持有人名册等</w:t>
            </w:r>
          </w:p>
        </w:tc>
      </w:tr>
      <w:tr>
        <w:trPr>
          <w:trHeight w:val="2808" w:hRule="atLeast"/>
        </w:trPr>
        <w:tc>
          <w:tcPr>
            <w:tcW w:w="2470" w:type="dxa"/>
          </w:tcPr>
          <w:p>
            <w:pPr>
              <w:pStyle w:val="TableParagraph"/>
              <w:rPr>
                <w:sz w:val="24"/>
              </w:rPr>
            </w:pPr>
            <w:r>
              <w:rPr>
                <w:sz w:val="24"/>
              </w:rPr>
              <w:t>基金登记结算机构</w:t>
            </w:r>
          </w:p>
        </w:tc>
        <w:tc>
          <w:tcPr>
            <w:tcW w:w="5842" w:type="dxa"/>
          </w:tcPr>
          <w:p>
            <w:pPr>
              <w:pStyle w:val="TableParagraph"/>
              <w:spacing w:line="364" w:lineRule="auto"/>
              <w:ind w:left="348" w:right="317"/>
              <w:jc w:val="both"/>
              <w:rPr>
                <w:sz w:val="24"/>
              </w:rPr>
            </w:pPr>
            <w:r>
              <w:rPr>
                <w:spacing w:val="3"/>
                <w:sz w:val="24"/>
              </w:rPr>
              <w:t>指易方达基金管理有限公司或其委托的其他符合</w:t>
            </w:r>
            <w:r>
              <w:rPr>
                <w:sz w:val="24"/>
              </w:rPr>
              <w:t>条件的办理基金登记结算业务的机构。本基金 </w:t>
            </w:r>
            <w:r>
              <w:rPr>
                <w:rFonts w:ascii="Times New Roman" w:eastAsia="Times New Roman"/>
                <w:sz w:val="24"/>
              </w:rPr>
              <w:t>A </w:t>
            </w:r>
            <w:r>
              <w:rPr>
                <w:spacing w:val="3"/>
                <w:sz w:val="24"/>
              </w:rPr>
              <w:t>类人民币份额的基金登记结算机构为中国证券登</w:t>
            </w:r>
            <w:r>
              <w:rPr>
                <w:sz w:val="24"/>
              </w:rPr>
              <w:t>记结算有限责任公司，</w:t>
            </w:r>
            <w:r>
              <w:rPr>
                <w:rFonts w:ascii="Times New Roman" w:eastAsia="Times New Roman"/>
                <w:spacing w:val="-21"/>
                <w:sz w:val="24"/>
              </w:rPr>
              <w:t>A </w:t>
            </w:r>
            <w:r>
              <w:rPr>
                <w:spacing w:val="-7"/>
                <w:sz w:val="24"/>
              </w:rPr>
              <w:t>类美元份额、</w:t>
            </w:r>
            <w:r>
              <w:rPr>
                <w:rFonts w:ascii="Times New Roman" w:eastAsia="Times New Roman"/>
                <w:sz w:val="24"/>
              </w:rPr>
              <w:t>C </w:t>
            </w:r>
            <w:r>
              <w:rPr>
                <w:spacing w:val="-4"/>
                <w:sz w:val="24"/>
              </w:rPr>
              <w:t>类美元份</w:t>
            </w:r>
            <w:r>
              <w:rPr>
                <w:spacing w:val="-45"/>
                <w:sz w:val="24"/>
              </w:rPr>
              <w:t>额、</w:t>
            </w:r>
            <w:r>
              <w:rPr>
                <w:rFonts w:ascii="Times New Roman" w:eastAsia="Times New Roman"/>
                <w:sz w:val="24"/>
              </w:rPr>
              <w:t>C </w:t>
            </w:r>
            <w:r>
              <w:rPr>
                <w:spacing w:val="-1"/>
                <w:sz w:val="24"/>
              </w:rPr>
              <w:t>类人民币份额的登记结算机构为易方达基金</w:t>
            </w:r>
          </w:p>
          <w:p>
            <w:pPr>
              <w:pStyle w:val="TableParagraph"/>
              <w:spacing w:before="4"/>
              <w:ind w:left="348"/>
              <w:rPr>
                <w:sz w:val="24"/>
              </w:rPr>
            </w:pPr>
            <w:r>
              <w:rPr>
                <w:sz w:val="24"/>
              </w:rPr>
              <w:t>管理有限公司</w:t>
            </w:r>
          </w:p>
        </w:tc>
      </w:tr>
      <w:tr>
        <w:trPr>
          <w:trHeight w:val="1403" w:hRule="atLeast"/>
        </w:trPr>
        <w:tc>
          <w:tcPr>
            <w:tcW w:w="2470" w:type="dxa"/>
          </w:tcPr>
          <w:p>
            <w:pPr>
              <w:pStyle w:val="TableParagraph"/>
              <w:rPr>
                <w:sz w:val="24"/>
              </w:rPr>
            </w:pPr>
            <w:r>
              <w:rPr>
                <w:sz w:val="24"/>
              </w:rPr>
              <w:t>基金合同当事人</w:t>
            </w:r>
          </w:p>
        </w:tc>
        <w:tc>
          <w:tcPr>
            <w:tcW w:w="5842" w:type="dxa"/>
          </w:tcPr>
          <w:p>
            <w:pPr>
              <w:pStyle w:val="TableParagraph"/>
              <w:spacing w:line="364" w:lineRule="auto"/>
              <w:ind w:left="348" w:right="320"/>
              <w:rPr>
                <w:sz w:val="24"/>
              </w:rPr>
            </w:pPr>
            <w:r>
              <w:rPr>
                <w:spacing w:val="-13"/>
                <w:sz w:val="24"/>
              </w:rPr>
              <w:t>指受《基金合同》约束，根据《基金合同》享受权</w:t>
            </w:r>
            <w:r>
              <w:rPr>
                <w:spacing w:val="-9"/>
                <w:sz w:val="24"/>
              </w:rPr>
              <w:t>利并承担义务的法律主体，包括基金管理人、基金</w:t>
            </w:r>
          </w:p>
          <w:p>
            <w:pPr>
              <w:pStyle w:val="TableParagraph"/>
              <w:spacing w:before="1"/>
              <w:ind w:left="348"/>
              <w:rPr>
                <w:sz w:val="24"/>
              </w:rPr>
            </w:pPr>
            <w:r>
              <w:rPr>
                <w:sz w:val="24"/>
              </w:rPr>
              <w:t>托管人和基金份额持有人</w:t>
            </w:r>
          </w:p>
        </w:tc>
      </w:tr>
      <w:tr>
        <w:trPr>
          <w:trHeight w:val="353" w:hRule="atLeast"/>
        </w:trPr>
        <w:tc>
          <w:tcPr>
            <w:tcW w:w="2470" w:type="dxa"/>
          </w:tcPr>
          <w:p>
            <w:pPr>
              <w:pStyle w:val="TableParagraph"/>
              <w:spacing w:line="259" w:lineRule="exact"/>
              <w:rPr>
                <w:sz w:val="24"/>
              </w:rPr>
            </w:pPr>
            <w:r>
              <w:rPr>
                <w:sz w:val="24"/>
              </w:rPr>
              <w:t>个人投资者</w:t>
            </w:r>
          </w:p>
        </w:tc>
        <w:tc>
          <w:tcPr>
            <w:tcW w:w="5842" w:type="dxa"/>
          </w:tcPr>
          <w:p>
            <w:pPr>
              <w:pStyle w:val="TableParagraph"/>
              <w:spacing w:line="259" w:lineRule="exact"/>
              <w:ind w:left="348"/>
              <w:rPr>
                <w:sz w:val="24"/>
              </w:rPr>
            </w:pPr>
            <w:r>
              <w:rPr>
                <w:sz w:val="24"/>
              </w:rPr>
              <w:t>指符合法律法规规定的条件可以投资开放式证券</w:t>
            </w:r>
          </w:p>
        </w:tc>
      </w:tr>
    </w:tbl>
    <w:p>
      <w:pPr>
        <w:spacing w:after="0" w:line="259" w:lineRule="exact"/>
        <w:rPr>
          <w:sz w:val="24"/>
        </w:rPr>
        <w:sectPr>
          <w:pgSz w:w="11910" w:h="16840"/>
          <w:pgMar w:header="0" w:footer="914" w:top="1540" w:bottom="1100" w:left="1680" w:right="1420"/>
        </w:sect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0"/>
        <w:gridCol w:w="5843"/>
      </w:tblGrid>
      <w:tr>
        <w:trPr>
          <w:trHeight w:val="354" w:hRule="atLeast"/>
        </w:trPr>
        <w:tc>
          <w:tcPr>
            <w:tcW w:w="2350" w:type="dxa"/>
          </w:tcPr>
          <w:p>
            <w:pPr>
              <w:pStyle w:val="TableParagraph"/>
              <w:spacing w:before="0"/>
              <w:ind w:left="0"/>
              <w:rPr>
                <w:rFonts w:ascii="Times New Roman"/>
                <w:sz w:val="24"/>
              </w:rPr>
            </w:pPr>
          </w:p>
        </w:tc>
        <w:tc>
          <w:tcPr>
            <w:tcW w:w="5843" w:type="dxa"/>
          </w:tcPr>
          <w:p>
            <w:pPr>
              <w:pStyle w:val="TableParagraph"/>
              <w:spacing w:line="269" w:lineRule="exact" w:before="0"/>
              <w:ind w:left="468"/>
              <w:rPr>
                <w:sz w:val="24"/>
              </w:rPr>
            </w:pPr>
            <w:r>
              <w:rPr>
                <w:sz w:val="24"/>
              </w:rPr>
              <w:t>投资基金的自然人</w:t>
            </w:r>
          </w:p>
        </w:tc>
      </w:tr>
      <w:tr>
        <w:trPr>
          <w:trHeight w:val="1871" w:hRule="atLeast"/>
        </w:trPr>
        <w:tc>
          <w:tcPr>
            <w:tcW w:w="2350" w:type="dxa"/>
          </w:tcPr>
          <w:p>
            <w:pPr>
              <w:pStyle w:val="TableParagraph"/>
              <w:rPr>
                <w:sz w:val="24"/>
              </w:rPr>
            </w:pPr>
            <w:r>
              <w:rPr>
                <w:sz w:val="24"/>
              </w:rPr>
              <w:t>机构投资者</w:t>
            </w:r>
          </w:p>
        </w:tc>
        <w:tc>
          <w:tcPr>
            <w:tcW w:w="5843" w:type="dxa"/>
          </w:tcPr>
          <w:p>
            <w:pPr>
              <w:pStyle w:val="TableParagraph"/>
              <w:spacing w:line="364" w:lineRule="auto"/>
              <w:ind w:left="468" w:right="198"/>
              <w:jc w:val="both"/>
              <w:rPr>
                <w:sz w:val="24"/>
              </w:rPr>
            </w:pPr>
            <w:r>
              <w:rPr>
                <w:spacing w:val="3"/>
                <w:sz w:val="24"/>
              </w:rPr>
              <w:t>指符合法律法规规定可以投资开放式证券投资基金的在中国合法登记结算并存续或经政府有关部</w:t>
            </w:r>
            <w:r>
              <w:rPr>
                <w:spacing w:val="-6"/>
                <w:sz w:val="24"/>
              </w:rPr>
              <w:t>门批准设立并存续的企业法人、事业法人、社会团</w:t>
            </w:r>
          </w:p>
          <w:p>
            <w:pPr>
              <w:pStyle w:val="TableParagraph"/>
              <w:spacing w:before="2"/>
              <w:ind w:left="468"/>
              <w:rPr>
                <w:sz w:val="24"/>
              </w:rPr>
            </w:pPr>
            <w:r>
              <w:rPr>
                <w:sz w:val="24"/>
              </w:rPr>
              <w:t>体和其他组织</w:t>
            </w:r>
          </w:p>
        </w:tc>
      </w:tr>
      <w:tr>
        <w:trPr>
          <w:trHeight w:val="1404" w:hRule="atLeast"/>
        </w:trPr>
        <w:tc>
          <w:tcPr>
            <w:tcW w:w="2350" w:type="dxa"/>
          </w:tcPr>
          <w:p>
            <w:pPr>
              <w:pStyle w:val="TableParagraph"/>
              <w:rPr>
                <w:sz w:val="24"/>
              </w:rPr>
            </w:pPr>
            <w:r>
              <w:rPr>
                <w:sz w:val="24"/>
              </w:rPr>
              <w:t>投资者</w:t>
            </w:r>
          </w:p>
        </w:tc>
        <w:tc>
          <w:tcPr>
            <w:tcW w:w="5843" w:type="dxa"/>
          </w:tcPr>
          <w:p>
            <w:pPr>
              <w:pStyle w:val="TableParagraph"/>
              <w:ind w:left="468"/>
              <w:rPr>
                <w:sz w:val="24"/>
              </w:rPr>
            </w:pPr>
            <w:r>
              <w:rPr>
                <w:sz w:val="24"/>
              </w:rPr>
              <w:t>指个人投资者、机构投资者和法律法规或中国证监</w:t>
            </w:r>
          </w:p>
          <w:p>
            <w:pPr>
              <w:pStyle w:val="TableParagraph"/>
              <w:spacing w:line="460" w:lineRule="atLeast" w:before="8"/>
              <w:ind w:left="468" w:right="202"/>
              <w:rPr>
                <w:sz w:val="24"/>
              </w:rPr>
            </w:pPr>
            <w:r>
              <w:rPr>
                <w:sz w:val="24"/>
              </w:rPr>
              <w:t>会允许购买开放式证券投资基金的其他投资者的总称</w:t>
            </w:r>
          </w:p>
        </w:tc>
      </w:tr>
      <w:tr>
        <w:trPr>
          <w:trHeight w:val="2340" w:hRule="atLeast"/>
        </w:trPr>
        <w:tc>
          <w:tcPr>
            <w:tcW w:w="2350" w:type="dxa"/>
          </w:tcPr>
          <w:p>
            <w:pPr>
              <w:pStyle w:val="TableParagraph"/>
              <w:rPr>
                <w:sz w:val="24"/>
              </w:rPr>
            </w:pPr>
            <w:r>
              <w:rPr>
                <w:sz w:val="24"/>
              </w:rPr>
              <w:t>基金合同生效日</w:t>
            </w:r>
          </w:p>
        </w:tc>
        <w:tc>
          <w:tcPr>
            <w:tcW w:w="5843" w:type="dxa"/>
          </w:tcPr>
          <w:p>
            <w:pPr>
              <w:pStyle w:val="TableParagraph"/>
              <w:spacing w:line="364" w:lineRule="auto"/>
              <w:ind w:left="468" w:right="201"/>
              <w:jc w:val="both"/>
              <w:rPr>
                <w:sz w:val="24"/>
              </w:rPr>
            </w:pPr>
            <w:r>
              <w:rPr>
                <w:spacing w:val="-11"/>
                <w:sz w:val="24"/>
              </w:rPr>
              <w:t>基金募集结束，基金募集的基金份额总额、募集金</w:t>
            </w:r>
            <w:r>
              <w:rPr>
                <w:spacing w:val="-8"/>
                <w:sz w:val="24"/>
              </w:rPr>
              <w:t>额和基金份额持有人人数达到法律规定及《基金合</w:t>
            </w:r>
            <w:r>
              <w:rPr>
                <w:spacing w:val="-12"/>
                <w:sz w:val="24"/>
              </w:rPr>
              <w:t>同》约定的条件，基金管理人聘请法定机构验资并</w:t>
            </w:r>
            <w:r>
              <w:rPr>
                <w:spacing w:val="-11"/>
                <w:sz w:val="24"/>
              </w:rPr>
              <w:t>办理完毕基金备案手续，获得中国证监会书面确认</w:t>
            </w:r>
          </w:p>
          <w:p>
            <w:pPr>
              <w:pStyle w:val="TableParagraph"/>
              <w:spacing w:before="3"/>
              <w:ind w:left="468"/>
              <w:rPr>
                <w:sz w:val="24"/>
              </w:rPr>
            </w:pPr>
            <w:r>
              <w:rPr>
                <w:sz w:val="24"/>
              </w:rPr>
              <w:t>之日</w:t>
            </w:r>
          </w:p>
        </w:tc>
      </w:tr>
      <w:tr>
        <w:trPr>
          <w:trHeight w:val="1413" w:hRule="atLeast"/>
        </w:trPr>
        <w:tc>
          <w:tcPr>
            <w:tcW w:w="2350" w:type="dxa"/>
          </w:tcPr>
          <w:p>
            <w:pPr>
              <w:pStyle w:val="TableParagraph"/>
              <w:rPr>
                <w:sz w:val="24"/>
              </w:rPr>
            </w:pPr>
            <w:r>
              <w:rPr>
                <w:sz w:val="24"/>
              </w:rPr>
              <w:t>基金募集期</w:t>
            </w:r>
          </w:p>
        </w:tc>
        <w:tc>
          <w:tcPr>
            <w:tcW w:w="5843" w:type="dxa"/>
          </w:tcPr>
          <w:p>
            <w:pPr>
              <w:pStyle w:val="TableParagraph"/>
              <w:spacing w:line="364" w:lineRule="auto"/>
              <w:ind w:left="468" w:right="199"/>
              <w:rPr>
                <w:sz w:val="24"/>
              </w:rPr>
            </w:pPr>
            <w:r>
              <w:rPr>
                <w:spacing w:val="-9"/>
                <w:sz w:val="24"/>
              </w:rPr>
              <w:t>指基金合同和招募说明书中载明，并经中国证监会</w:t>
            </w:r>
            <w:r>
              <w:rPr>
                <w:spacing w:val="-10"/>
                <w:sz w:val="24"/>
              </w:rPr>
              <w:t>核准的基金份额募集期限，自基金份额发售之日起</w:t>
            </w:r>
          </w:p>
          <w:p>
            <w:pPr>
              <w:pStyle w:val="TableParagraph"/>
              <w:spacing w:before="1"/>
              <w:ind w:left="468"/>
              <w:rPr>
                <w:sz w:val="24"/>
              </w:rPr>
            </w:pPr>
            <w:r>
              <w:rPr>
                <w:sz w:val="24"/>
              </w:rPr>
              <w:t>不超过 </w:t>
            </w:r>
            <w:r>
              <w:rPr>
                <w:rFonts w:ascii="Times New Roman" w:eastAsia="Times New Roman"/>
                <w:sz w:val="24"/>
              </w:rPr>
              <w:t>3 </w:t>
            </w:r>
            <w:r>
              <w:rPr>
                <w:sz w:val="24"/>
              </w:rPr>
              <w:t>个月的期限</w:t>
            </w:r>
          </w:p>
        </w:tc>
      </w:tr>
      <w:tr>
        <w:trPr>
          <w:trHeight w:val="455" w:hRule="atLeast"/>
        </w:trPr>
        <w:tc>
          <w:tcPr>
            <w:tcW w:w="2350" w:type="dxa"/>
          </w:tcPr>
          <w:p>
            <w:pPr>
              <w:pStyle w:val="TableParagraph"/>
              <w:spacing w:before="66"/>
              <w:rPr>
                <w:sz w:val="24"/>
              </w:rPr>
            </w:pPr>
            <w:r>
              <w:rPr>
                <w:sz w:val="24"/>
              </w:rPr>
              <w:t>基金存续期</w:t>
            </w:r>
          </w:p>
        </w:tc>
        <w:tc>
          <w:tcPr>
            <w:tcW w:w="5843" w:type="dxa"/>
          </w:tcPr>
          <w:p>
            <w:pPr>
              <w:pStyle w:val="TableParagraph"/>
              <w:spacing w:before="66"/>
              <w:ind w:left="468"/>
              <w:rPr>
                <w:sz w:val="24"/>
              </w:rPr>
            </w:pPr>
            <w:r>
              <w:rPr>
                <w:sz w:val="24"/>
              </w:rPr>
              <w:t>指《基金合同》生效后合法存续的不定期期限</w:t>
            </w:r>
          </w:p>
        </w:tc>
      </w:tr>
      <w:tr>
        <w:trPr>
          <w:trHeight w:val="480" w:hRule="atLeast"/>
        </w:trPr>
        <w:tc>
          <w:tcPr>
            <w:tcW w:w="2350" w:type="dxa"/>
          </w:tcPr>
          <w:p>
            <w:pPr>
              <w:pStyle w:val="TableParagraph"/>
              <w:spacing w:before="79"/>
              <w:rPr>
                <w:sz w:val="24"/>
              </w:rPr>
            </w:pPr>
            <w:r>
              <w:rPr>
                <w:sz w:val="24"/>
              </w:rPr>
              <w:t>日</w:t>
            </w:r>
            <w:r>
              <w:rPr>
                <w:rFonts w:ascii="Times New Roman" w:eastAsia="Times New Roman"/>
                <w:sz w:val="24"/>
              </w:rPr>
              <w:t>/</w:t>
            </w:r>
            <w:r>
              <w:rPr>
                <w:sz w:val="24"/>
              </w:rPr>
              <w:t>天</w:t>
            </w:r>
          </w:p>
        </w:tc>
        <w:tc>
          <w:tcPr>
            <w:tcW w:w="5843" w:type="dxa"/>
          </w:tcPr>
          <w:p>
            <w:pPr>
              <w:pStyle w:val="TableParagraph"/>
              <w:spacing w:before="79"/>
              <w:ind w:left="468"/>
              <w:rPr>
                <w:sz w:val="24"/>
              </w:rPr>
            </w:pPr>
            <w:r>
              <w:rPr>
                <w:sz w:val="24"/>
              </w:rPr>
              <w:t>指公历日</w:t>
            </w:r>
          </w:p>
        </w:tc>
      </w:tr>
      <w:tr>
        <w:trPr>
          <w:trHeight w:val="455" w:hRule="atLeast"/>
        </w:trPr>
        <w:tc>
          <w:tcPr>
            <w:tcW w:w="2350" w:type="dxa"/>
          </w:tcPr>
          <w:p>
            <w:pPr>
              <w:pStyle w:val="TableParagraph"/>
              <w:spacing w:before="66"/>
              <w:rPr>
                <w:sz w:val="24"/>
              </w:rPr>
            </w:pPr>
            <w:r>
              <w:rPr>
                <w:sz w:val="24"/>
              </w:rPr>
              <w:t>月</w:t>
            </w:r>
          </w:p>
        </w:tc>
        <w:tc>
          <w:tcPr>
            <w:tcW w:w="5843" w:type="dxa"/>
          </w:tcPr>
          <w:p>
            <w:pPr>
              <w:pStyle w:val="TableParagraph"/>
              <w:spacing w:before="66"/>
              <w:ind w:left="468"/>
              <w:rPr>
                <w:sz w:val="24"/>
              </w:rPr>
            </w:pPr>
            <w:r>
              <w:rPr>
                <w:sz w:val="24"/>
              </w:rPr>
              <w:t>指公历月</w:t>
            </w:r>
          </w:p>
        </w:tc>
      </w:tr>
      <w:tr>
        <w:trPr>
          <w:trHeight w:val="939" w:hRule="atLeast"/>
        </w:trPr>
        <w:tc>
          <w:tcPr>
            <w:tcW w:w="2350" w:type="dxa"/>
          </w:tcPr>
          <w:p>
            <w:pPr>
              <w:pStyle w:val="TableParagraph"/>
              <w:spacing w:before="79"/>
              <w:rPr>
                <w:sz w:val="24"/>
              </w:rPr>
            </w:pPr>
            <w:r>
              <w:rPr>
                <w:sz w:val="24"/>
              </w:rPr>
              <w:t>工作日</w:t>
            </w:r>
            <w:r>
              <w:rPr>
                <w:rFonts w:ascii="Times New Roman" w:eastAsia="Times New Roman"/>
                <w:sz w:val="24"/>
              </w:rPr>
              <w:t>/</w:t>
            </w:r>
            <w:r>
              <w:rPr>
                <w:sz w:val="24"/>
              </w:rPr>
              <w:t>交易日</w:t>
            </w:r>
          </w:p>
        </w:tc>
        <w:tc>
          <w:tcPr>
            <w:tcW w:w="5843" w:type="dxa"/>
          </w:tcPr>
          <w:p>
            <w:pPr>
              <w:pStyle w:val="TableParagraph"/>
              <w:spacing w:before="79"/>
              <w:ind w:left="468"/>
              <w:rPr>
                <w:sz w:val="24"/>
              </w:rPr>
            </w:pPr>
            <w:r>
              <w:rPr>
                <w:sz w:val="24"/>
              </w:rPr>
              <w:t>指上海证券交易所和深圳证券交易所的正常交易</w:t>
            </w:r>
          </w:p>
          <w:p>
            <w:pPr>
              <w:pStyle w:val="TableParagraph"/>
              <w:spacing w:before="160"/>
              <w:ind w:left="468"/>
              <w:rPr>
                <w:sz w:val="24"/>
              </w:rPr>
            </w:pPr>
            <w:r>
              <w:rPr>
                <w:sz w:val="24"/>
              </w:rPr>
              <w:t>日</w:t>
            </w:r>
          </w:p>
        </w:tc>
      </w:tr>
      <w:tr>
        <w:trPr>
          <w:trHeight w:val="932" w:hRule="atLeast"/>
        </w:trPr>
        <w:tc>
          <w:tcPr>
            <w:tcW w:w="2350" w:type="dxa"/>
          </w:tcPr>
          <w:p>
            <w:pPr>
              <w:pStyle w:val="TableParagraph"/>
              <w:rPr>
                <w:sz w:val="24"/>
              </w:rPr>
            </w:pPr>
            <w:r>
              <w:rPr>
                <w:sz w:val="24"/>
              </w:rPr>
              <w:t>开放日</w:t>
            </w:r>
          </w:p>
        </w:tc>
        <w:tc>
          <w:tcPr>
            <w:tcW w:w="5843" w:type="dxa"/>
          </w:tcPr>
          <w:p>
            <w:pPr>
              <w:pStyle w:val="TableParagraph"/>
              <w:ind w:left="468"/>
              <w:rPr>
                <w:sz w:val="24"/>
              </w:rPr>
            </w:pPr>
            <w:r>
              <w:rPr>
                <w:sz w:val="24"/>
              </w:rPr>
              <w:t>指销售机构为投资者办理本基金份额申购、赎回等</w:t>
            </w:r>
          </w:p>
          <w:p>
            <w:pPr>
              <w:pStyle w:val="TableParagraph"/>
              <w:spacing w:before="160"/>
              <w:ind w:left="468"/>
              <w:rPr>
                <w:sz w:val="24"/>
              </w:rPr>
            </w:pPr>
            <w:r>
              <w:rPr>
                <w:sz w:val="24"/>
              </w:rPr>
              <w:t>业务的工作日</w:t>
            </w:r>
          </w:p>
        </w:tc>
      </w:tr>
      <w:tr>
        <w:trPr>
          <w:trHeight w:val="477" w:hRule="atLeast"/>
        </w:trPr>
        <w:tc>
          <w:tcPr>
            <w:tcW w:w="2350" w:type="dxa"/>
          </w:tcPr>
          <w:p>
            <w:pPr>
              <w:pStyle w:val="TableParagraph"/>
              <w:spacing w:before="79"/>
              <w:rPr>
                <w:sz w:val="24"/>
              </w:rPr>
            </w:pPr>
            <w:r>
              <w:rPr>
                <w:rFonts w:ascii="Times New Roman" w:eastAsia="Times New Roman"/>
                <w:sz w:val="24"/>
              </w:rPr>
              <w:t>T </w:t>
            </w:r>
            <w:r>
              <w:rPr>
                <w:sz w:val="24"/>
              </w:rPr>
              <w:t>日</w:t>
            </w:r>
          </w:p>
        </w:tc>
        <w:tc>
          <w:tcPr>
            <w:tcW w:w="5843" w:type="dxa"/>
          </w:tcPr>
          <w:p>
            <w:pPr>
              <w:pStyle w:val="TableParagraph"/>
              <w:spacing w:before="79"/>
              <w:ind w:left="468"/>
              <w:rPr>
                <w:sz w:val="24"/>
              </w:rPr>
            </w:pPr>
            <w:r>
              <w:rPr>
                <w:sz w:val="24"/>
              </w:rPr>
              <w:t>指申购、赎回或办理其他基金业务的申请日</w:t>
            </w:r>
          </w:p>
        </w:tc>
      </w:tr>
      <w:tr>
        <w:trPr>
          <w:trHeight w:val="931" w:hRule="atLeast"/>
        </w:trPr>
        <w:tc>
          <w:tcPr>
            <w:tcW w:w="2350" w:type="dxa"/>
          </w:tcPr>
          <w:p>
            <w:pPr>
              <w:pStyle w:val="TableParagraph"/>
              <w:spacing w:before="70"/>
              <w:rPr>
                <w:sz w:val="24"/>
              </w:rPr>
            </w:pPr>
            <w:r>
              <w:rPr>
                <w:rFonts w:ascii="Times New Roman" w:eastAsia="Times New Roman"/>
                <w:sz w:val="24"/>
              </w:rPr>
              <w:t>T+n </w:t>
            </w:r>
            <w:r>
              <w:rPr>
                <w:sz w:val="24"/>
              </w:rPr>
              <w:t>日</w:t>
            </w:r>
          </w:p>
        </w:tc>
        <w:tc>
          <w:tcPr>
            <w:tcW w:w="5843" w:type="dxa"/>
          </w:tcPr>
          <w:p>
            <w:pPr>
              <w:pStyle w:val="TableParagraph"/>
              <w:spacing w:before="70"/>
              <w:ind w:left="468"/>
              <w:rPr>
                <w:sz w:val="24"/>
              </w:rPr>
            </w:pPr>
            <w:r>
              <w:rPr>
                <w:spacing w:val="-20"/>
                <w:sz w:val="24"/>
              </w:rPr>
              <w:t>指自 </w:t>
            </w:r>
            <w:r>
              <w:rPr>
                <w:rFonts w:ascii="Times New Roman" w:eastAsia="Times New Roman"/>
                <w:sz w:val="24"/>
              </w:rPr>
              <w:t>T</w:t>
            </w:r>
            <w:r>
              <w:rPr>
                <w:rFonts w:ascii="Times New Roman" w:eastAsia="Times New Roman"/>
                <w:spacing w:val="2"/>
                <w:sz w:val="24"/>
              </w:rPr>
              <w:t> </w:t>
            </w:r>
            <w:r>
              <w:rPr>
                <w:spacing w:val="-15"/>
                <w:sz w:val="24"/>
              </w:rPr>
              <w:t>日起第 </w:t>
            </w:r>
            <w:r>
              <w:rPr>
                <w:rFonts w:ascii="Times New Roman" w:eastAsia="Times New Roman"/>
                <w:sz w:val="24"/>
              </w:rPr>
              <w:t>n</w:t>
            </w:r>
            <w:r>
              <w:rPr>
                <w:rFonts w:ascii="Times New Roman" w:eastAsia="Times New Roman"/>
                <w:spacing w:val="2"/>
                <w:sz w:val="24"/>
              </w:rPr>
              <w:t> </w:t>
            </w:r>
            <w:r>
              <w:rPr>
                <w:sz w:val="24"/>
              </w:rPr>
              <w:t>个工作日（</w:t>
            </w:r>
            <w:r>
              <w:rPr>
                <w:spacing w:val="-15"/>
                <w:sz w:val="24"/>
              </w:rPr>
              <w:t>不包含 </w:t>
            </w:r>
            <w:r>
              <w:rPr>
                <w:rFonts w:ascii="Times New Roman" w:eastAsia="Times New Roman"/>
                <w:sz w:val="24"/>
              </w:rPr>
              <w:t>T</w:t>
            </w:r>
            <w:r>
              <w:rPr>
                <w:rFonts w:ascii="Times New Roman" w:eastAsia="Times New Roman"/>
                <w:spacing w:val="2"/>
                <w:sz w:val="24"/>
              </w:rPr>
              <w:t> </w:t>
            </w:r>
            <w:r>
              <w:rPr>
                <w:sz w:val="24"/>
              </w:rPr>
              <w:t>日</w:t>
            </w:r>
            <w:r>
              <w:rPr>
                <w:spacing w:val="-120"/>
                <w:sz w:val="24"/>
              </w:rPr>
              <w:t>）</w:t>
            </w:r>
            <w:r>
              <w:rPr>
                <w:sz w:val="24"/>
              </w:rPr>
              <w:t>，</w:t>
            </w:r>
            <w:r>
              <w:rPr>
                <w:rFonts w:ascii="Times New Roman" w:eastAsia="Times New Roman"/>
                <w:sz w:val="24"/>
              </w:rPr>
              <w:t>n</w:t>
            </w:r>
            <w:r>
              <w:rPr>
                <w:rFonts w:ascii="Times New Roman" w:eastAsia="Times New Roman"/>
                <w:spacing w:val="2"/>
                <w:sz w:val="24"/>
              </w:rPr>
              <w:t> </w:t>
            </w:r>
            <w:r>
              <w:rPr>
                <w:sz w:val="24"/>
              </w:rPr>
              <w:t>指自</w:t>
            </w:r>
          </w:p>
          <w:p>
            <w:pPr>
              <w:pStyle w:val="TableParagraph"/>
              <w:spacing w:before="160"/>
              <w:ind w:left="468"/>
              <w:rPr>
                <w:sz w:val="24"/>
              </w:rPr>
            </w:pPr>
            <w:r>
              <w:rPr>
                <w:sz w:val="24"/>
              </w:rPr>
              <w:t>然数</w:t>
            </w:r>
          </w:p>
        </w:tc>
      </w:tr>
      <w:tr>
        <w:trPr>
          <w:trHeight w:val="1289" w:hRule="atLeast"/>
        </w:trPr>
        <w:tc>
          <w:tcPr>
            <w:tcW w:w="2350" w:type="dxa"/>
          </w:tcPr>
          <w:p>
            <w:pPr>
              <w:pStyle w:val="TableParagraph"/>
              <w:rPr>
                <w:sz w:val="24"/>
              </w:rPr>
            </w:pPr>
            <w:r>
              <w:rPr>
                <w:sz w:val="24"/>
              </w:rPr>
              <w:t>认购</w:t>
            </w:r>
          </w:p>
        </w:tc>
        <w:tc>
          <w:tcPr>
            <w:tcW w:w="5843" w:type="dxa"/>
          </w:tcPr>
          <w:p>
            <w:pPr>
              <w:pStyle w:val="TableParagraph"/>
              <w:ind w:left="468"/>
              <w:rPr>
                <w:sz w:val="24"/>
              </w:rPr>
            </w:pPr>
            <w:r>
              <w:rPr>
                <w:sz w:val="24"/>
              </w:rPr>
              <w:t>指在本基金募集期内投资者按照本基金合同、招募</w:t>
            </w:r>
          </w:p>
          <w:p>
            <w:pPr>
              <w:pStyle w:val="TableParagraph"/>
              <w:spacing w:line="460" w:lineRule="atLeast" w:before="8"/>
              <w:ind w:left="468" w:right="202"/>
              <w:rPr>
                <w:sz w:val="24"/>
              </w:rPr>
            </w:pPr>
            <w:r>
              <w:rPr>
                <w:spacing w:val="-12"/>
                <w:sz w:val="24"/>
              </w:rPr>
              <w:t>说明书、业务规则和其他相关规定，申请购买本基</w:t>
            </w:r>
            <w:r>
              <w:rPr>
                <w:sz w:val="24"/>
              </w:rPr>
              <w:t>金基金份额的行为</w:t>
            </w:r>
          </w:p>
        </w:tc>
      </w:tr>
    </w:tbl>
    <w:p>
      <w:pPr>
        <w:spacing w:after="0" w:line="460" w:lineRule="atLeast"/>
        <w:rPr>
          <w:sz w:val="24"/>
        </w:rPr>
        <w:sectPr>
          <w:pgSz w:w="11910" w:h="16840"/>
          <w:pgMar w:header="0" w:footer="914" w:top="1540" w:bottom="1100" w:left="1680" w:right="1420"/>
        </w:sect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0"/>
        <w:gridCol w:w="6310"/>
      </w:tblGrid>
      <w:tr>
        <w:trPr>
          <w:trHeight w:val="822" w:hRule="atLeast"/>
        </w:trPr>
        <w:tc>
          <w:tcPr>
            <w:tcW w:w="1990" w:type="dxa"/>
          </w:tcPr>
          <w:p>
            <w:pPr>
              <w:pStyle w:val="TableParagraph"/>
              <w:spacing w:line="269" w:lineRule="exact" w:before="0"/>
              <w:rPr>
                <w:sz w:val="24"/>
              </w:rPr>
            </w:pPr>
            <w:r>
              <w:rPr>
                <w:sz w:val="24"/>
              </w:rPr>
              <w:t>发售</w:t>
            </w:r>
          </w:p>
        </w:tc>
        <w:tc>
          <w:tcPr>
            <w:tcW w:w="6310" w:type="dxa"/>
          </w:tcPr>
          <w:p>
            <w:pPr>
              <w:pStyle w:val="TableParagraph"/>
              <w:spacing w:line="269" w:lineRule="exact" w:before="0"/>
              <w:ind w:left="828"/>
              <w:rPr>
                <w:sz w:val="24"/>
              </w:rPr>
            </w:pPr>
            <w:r>
              <w:rPr>
                <w:sz w:val="24"/>
              </w:rPr>
              <w:t>指在本基金募集期内，销售机构向投资者销售本基</w:t>
            </w:r>
          </w:p>
          <w:p>
            <w:pPr>
              <w:pStyle w:val="TableParagraph"/>
              <w:spacing w:before="160"/>
              <w:ind w:left="828"/>
              <w:rPr>
                <w:sz w:val="24"/>
              </w:rPr>
            </w:pPr>
            <w:r>
              <w:rPr>
                <w:sz w:val="24"/>
              </w:rPr>
              <w:t>金基金份额的行为</w:t>
            </w:r>
          </w:p>
        </w:tc>
      </w:tr>
      <w:tr>
        <w:trPr>
          <w:trHeight w:val="2349" w:hRule="atLeast"/>
        </w:trPr>
        <w:tc>
          <w:tcPr>
            <w:tcW w:w="1990" w:type="dxa"/>
          </w:tcPr>
          <w:p>
            <w:pPr>
              <w:pStyle w:val="TableParagraph"/>
              <w:rPr>
                <w:sz w:val="24"/>
              </w:rPr>
            </w:pPr>
            <w:r>
              <w:rPr>
                <w:sz w:val="24"/>
              </w:rPr>
              <w:t>申购</w:t>
            </w:r>
          </w:p>
        </w:tc>
        <w:tc>
          <w:tcPr>
            <w:tcW w:w="6310" w:type="dxa"/>
          </w:tcPr>
          <w:p>
            <w:pPr>
              <w:pStyle w:val="TableParagraph"/>
              <w:spacing w:line="364" w:lineRule="auto"/>
              <w:ind w:left="828" w:right="200"/>
              <w:rPr>
                <w:sz w:val="24"/>
              </w:rPr>
            </w:pPr>
            <w:r>
              <w:rPr>
                <w:spacing w:val="-1"/>
                <w:sz w:val="24"/>
              </w:rPr>
              <w:t>指《基金合同》生效后，投资者按照本基金合同、</w:t>
            </w:r>
            <w:r>
              <w:rPr>
                <w:spacing w:val="-11"/>
                <w:sz w:val="24"/>
              </w:rPr>
              <w:t>招募说明书、业务规则以及基金销售网点规定的手</w:t>
            </w:r>
            <w:r>
              <w:rPr>
                <w:spacing w:val="3"/>
                <w:sz w:val="24"/>
              </w:rPr>
              <w:t>续，向基金管理人申请购买本基金基金份额的行</w:t>
            </w:r>
            <w:r>
              <w:rPr>
                <w:spacing w:val="-11"/>
                <w:sz w:val="24"/>
              </w:rPr>
              <w:t>为。本基金的日常申购自《基金合同》生效后不超</w:t>
            </w:r>
          </w:p>
          <w:p>
            <w:pPr>
              <w:pStyle w:val="TableParagraph"/>
              <w:spacing w:before="2"/>
              <w:ind w:left="828"/>
              <w:rPr>
                <w:sz w:val="24"/>
              </w:rPr>
            </w:pPr>
            <w:r>
              <w:rPr>
                <w:sz w:val="24"/>
              </w:rPr>
              <w:t>过 </w:t>
            </w:r>
            <w:r>
              <w:rPr>
                <w:rFonts w:ascii="Times New Roman" w:eastAsia="Times New Roman"/>
                <w:sz w:val="24"/>
              </w:rPr>
              <w:t>3 </w:t>
            </w:r>
            <w:r>
              <w:rPr>
                <w:sz w:val="24"/>
              </w:rPr>
              <w:t>个月的时间开始办理</w:t>
            </w:r>
          </w:p>
        </w:tc>
      </w:tr>
      <w:tr>
        <w:trPr>
          <w:trHeight w:val="2331" w:hRule="atLeast"/>
        </w:trPr>
        <w:tc>
          <w:tcPr>
            <w:tcW w:w="1990" w:type="dxa"/>
          </w:tcPr>
          <w:p>
            <w:pPr>
              <w:pStyle w:val="TableParagraph"/>
              <w:spacing w:before="66"/>
              <w:rPr>
                <w:sz w:val="24"/>
              </w:rPr>
            </w:pPr>
            <w:r>
              <w:rPr>
                <w:sz w:val="24"/>
              </w:rPr>
              <w:t>赎回</w:t>
            </w:r>
          </w:p>
        </w:tc>
        <w:tc>
          <w:tcPr>
            <w:tcW w:w="6310" w:type="dxa"/>
          </w:tcPr>
          <w:p>
            <w:pPr>
              <w:pStyle w:val="TableParagraph"/>
              <w:spacing w:line="364" w:lineRule="auto" w:before="66"/>
              <w:ind w:left="828" w:right="303"/>
              <w:jc w:val="both"/>
              <w:rPr>
                <w:rFonts w:ascii="Times New Roman" w:eastAsia="Times New Roman"/>
                <w:sz w:val="24"/>
              </w:rPr>
            </w:pPr>
            <w:r>
              <w:rPr>
                <w:spacing w:val="-12"/>
                <w:sz w:val="24"/>
              </w:rPr>
              <w:t>指《基金合同》生效后，基金份额持有人根据基金合同、招募说明书和业务规则以及基金销售网点规</w:t>
            </w:r>
            <w:r>
              <w:rPr>
                <w:spacing w:val="-11"/>
                <w:sz w:val="24"/>
              </w:rPr>
              <w:t>定的手续，向基金管理人卖出基金份额的行为。本</w:t>
            </w:r>
            <w:r>
              <w:rPr>
                <w:spacing w:val="3"/>
                <w:sz w:val="24"/>
              </w:rPr>
              <w:t>基金的日常赎回自《基金合同》生效后不超过 </w:t>
            </w:r>
            <w:r>
              <w:rPr>
                <w:rFonts w:ascii="Times New Roman" w:eastAsia="Times New Roman"/>
                <w:sz w:val="24"/>
              </w:rPr>
              <w:t>3</w:t>
            </w:r>
          </w:p>
          <w:p>
            <w:pPr>
              <w:pStyle w:val="TableParagraph"/>
              <w:spacing w:before="3"/>
              <w:ind w:left="828"/>
              <w:rPr>
                <w:sz w:val="24"/>
              </w:rPr>
            </w:pPr>
            <w:r>
              <w:rPr>
                <w:sz w:val="24"/>
              </w:rPr>
              <w:t>个月的时间开始办理</w:t>
            </w:r>
          </w:p>
        </w:tc>
      </w:tr>
      <w:tr>
        <w:trPr>
          <w:trHeight w:val="2340" w:hRule="atLeast"/>
        </w:trPr>
        <w:tc>
          <w:tcPr>
            <w:tcW w:w="1990" w:type="dxa"/>
          </w:tcPr>
          <w:p>
            <w:pPr>
              <w:pStyle w:val="TableParagraph"/>
              <w:rPr>
                <w:sz w:val="24"/>
              </w:rPr>
            </w:pPr>
            <w:r>
              <w:rPr>
                <w:sz w:val="24"/>
              </w:rPr>
              <w:t>巨额赎回</w:t>
            </w:r>
          </w:p>
        </w:tc>
        <w:tc>
          <w:tcPr>
            <w:tcW w:w="6310" w:type="dxa"/>
          </w:tcPr>
          <w:p>
            <w:pPr>
              <w:pStyle w:val="TableParagraph"/>
              <w:ind w:left="828"/>
              <w:rPr>
                <w:sz w:val="24"/>
              </w:rPr>
            </w:pPr>
            <w:r>
              <w:rPr>
                <w:spacing w:val="3"/>
                <w:sz w:val="24"/>
              </w:rPr>
              <w:t>指在单个开放日，本基金的基金份额净赎回申请</w:t>
            </w:r>
          </w:p>
          <w:p>
            <w:pPr>
              <w:pStyle w:val="TableParagraph"/>
              <w:spacing w:line="364" w:lineRule="auto" w:before="160"/>
              <w:ind w:left="828" w:right="307"/>
              <w:jc w:val="both"/>
              <w:rPr>
                <w:rFonts w:ascii="Times New Roman" w:eastAsia="Times New Roman"/>
                <w:sz w:val="24"/>
              </w:rPr>
            </w:pPr>
            <w:r>
              <w:rPr>
                <w:spacing w:val="6"/>
                <w:sz w:val="24"/>
              </w:rPr>
              <w:t>（</w:t>
            </w:r>
            <w:r>
              <w:rPr>
                <w:spacing w:val="3"/>
                <w:sz w:val="24"/>
              </w:rPr>
              <w:t>赎回申请总数加上基金转换中转出申请份额总数后扣除申购申请总数及基金转换中转入申请份额总数后的余额</w:t>
            </w:r>
            <w:r>
              <w:rPr>
                <w:spacing w:val="-120"/>
                <w:sz w:val="24"/>
              </w:rPr>
              <w:t>）</w:t>
            </w:r>
            <w:r>
              <w:rPr>
                <w:spacing w:val="-6"/>
                <w:sz w:val="24"/>
              </w:rPr>
              <w:t>超过上一日本基金总份额的 </w:t>
            </w:r>
            <w:r>
              <w:rPr>
                <w:rFonts w:ascii="Times New Roman" w:eastAsia="Times New Roman"/>
                <w:spacing w:val="-6"/>
                <w:sz w:val="24"/>
              </w:rPr>
              <w:t>10%</w:t>
            </w:r>
          </w:p>
          <w:p>
            <w:pPr>
              <w:pStyle w:val="TableParagraph"/>
              <w:spacing w:before="3"/>
              <w:ind w:left="828"/>
              <w:rPr>
                <w:sz w:val="24"/>
              </w:rPr>
            </w:pPr>
            <w:r>
              <w:rPr>
                <w:sz w:val="24"/>
              </w:rPr>
              <w:t>时的情形</w:t>
            </w:r>
          </w:p>
        </w:tc>
      </w:tr>
      <w:tr>
        <w:trPr>
          <w:trHeight w:val="1403" w:hRule="atLeast"/>
        </w:trPr>
        <w:tc>
          <w:tcPr>
            <w:tcW w:w="1990" w:type="dxa"/>
          </w:tcPr>
          <w:p>
            <w:pPr>
              <w:pStyle w:val="TableParagraph"/>
              <w:rPr>
                <w:sz w:val="24"/>
              </w:rPr>
            </w:pPr>
            <w:r>
              <w:rPr>
                <w:sz w:val="24"/>
              </w:rPr>
              <w:t>上市交易</w:t>
            </w:r>
          </w:p>
        </w:tc>
        <w:tc>
          <w:tcPr>
            <w:tcW w:w="6310" w:type="dxa"/>
          </w:tcPr>
          <w:p>
            <w:pPr>
              <w:pStyle w:val="TableParagraph"/>
              <w:spacing w:line="364" w:lineRule="auto"/>
              <w:ind w:left="828" w:right="306"/>
              <w:rPr>
                <w:sz w:val="24"/>
              </w:rPr>
            </w:pPr>
            <w:r>
              <w:rPr>
                <w:sz w:val="24"/>
              </w:rPr>
              <w:t>基金合同生效后投资者通过深圳证券交易所会员单位以集中竞价的方式买卖 </w:t>
            </w:r>
            <w:r>
              <w:rPr>
                <w:rFonts w:ascii="Times New Roman" w:eastAsia="Times New Roman"/>
                <w:sz w:val="24"/>
              </w:rPr>
              <w:t>A </w:t>
            </w:r>
            <w:r>
              <w:rPr>
                <w:sz w:val="24"/>
              </w:rPr>
              <w:t>类人民币份额的行</w:t>
            </w:r>
          </w:p>
          <w:p>
            <w:pPr>
              <w:pStyle w:val="TableParagraph"/>
              <w:spacing w:before="1"/>
              <w:ind w:left="828"/>
              <w:rPr>
                <w:sz w:val="24"/>
              </w:rPr>
            </w:pPr>
            <w:r>
              <w:rPr>
                <w:sz w:val="24"/>
              </w:rPr>
              <w:t>为</w:t>
            </w:r>
          </w:p>
        </w:tc>
      </w:tr>
      <w:tr>
        <w:trPr>
          <w:trHeight w:val="1872" w:hRule="atLeast"/>
        </w:trPr>
        <w:tc>
          <w:tcPr>
            <w:tcW w:w="1990" w:type="dxa"/>
          </w:tcPr>
          <w:p>
            <w:pPr>
              <w:pStyle w:val="TableParagraph"/>
              <w:rPr>
                <w:sz w:val="24"/>
              </w:rPr>
            </w:pPr>
            <w:r>
              <w:rPr>
                <w:sz w:val="24"/>
              </w:rPr>
              <w:t>场外</w:t>
            </w:r>
          </w:p>
        </w:tc>
        <w:tc>
          <w:tcPr>
            <w:tcW w:w="6310" w:type="dxa"/>
          </w:tcPr>
          <w:p>
            <w:pPr>
              <w:pStyle w:val="TableParagraph"/>
              <w:spacing w:line="364" w:lineRule="auto"/>
              <w:ind w:left="828" w:right="308"/>
              <w:jc w:val="both"/>
              <w:rPr>
                <w:sz w:val="24"/>
              </w:rPr>
            </w:pPr>
            <w:r>
              <w:rPr>
                <w:spacing w:val="3"/>
                <w:sz w:val="24"/>
              </w:rPr>
              <w:t>通过深圳证券交易所外的销售机构办理基金份额</w:t>
            </w:r>
            <w:r>
              <w:rPr>
                <w:spacing w:val="-13"/>
                <w:sz w:val="24"/>
              </w:rPr>
              <w:t>认购、申购和赎回的场所。通过该等场所办理基金</w:t>
            </w:r>
            <w:r>
              <w:rPr>
                <w:spacing w:val="-12"/>
                <w:sz w:val="24"/>
              </w:rPr>
              <w:t>份额的认购、申购、赎回也称为场外认购、场外申</w:t>
            </w:r>
          </w:p>
          <w:p>
            <w:pPr>
              <w:pStyle w:val="TableParagraph"/>
              <w:spacing w:before="2"/>
              <w:ind w:left="828"/>
              <w:rPr>
                <w:sz w:val="24"/>
              </w:rPr>
            </w:pPr>
            <w:r>
              <w:rPr>
                <w:sz w:val="24"/>
              </w:rPr>
              <w:t>购、场外赎回</w:t>
            </w:r>
          </w:p>
        </w:tc>
      </w:tr>
      <w:tr>
        <w:trPr>
          <w:trHeight w:val="2226" w:hRule="atLeast"/>
        </w:trPr>
        <w:tc>
          <w:tcPr>
            <w:tcW w:w="1990" w:type="dxa"/>
          </w:tcPr>
          <w:p>
            <w:pPr>
              <w:pStyle w:val="TableParagraph"/>
              <w:rPr>
                <w:sz w:val="24"/>
              </w:rPr>
            </w:pPr>
            <w:r>
              <w:rPr>
                <w:sz w:val="24"/>
              </w:rPr>
              <w:t>场内</w:t>
            </w:r>
          </w:p>
        </w:tc>
        <w:tc>
          <w:tcPr>
            <w:tcW w:w="6310" w:type="dxa"/>
          </w:tcPr>
          <w:p>
            <w:pPr>
              <w:pStyle w:val="TableParagraph"/>
              <w:spacing w:line="364" w:lineRule="auto"/>
              <w:ind w:left="828" w:right="306"/>
              <w:jc w:val="both"/>
              <w:rPr>
                <w:sz w:val="24"/>
              </w:rPr>
            </w:pPr>
            <w:r>
              <w:rPr>
                <w:spacing w:val="3"/>
                <w:sz w:val="24"/>
              </w:rPr>
              <w:t>通过深圳证券交易所内具有相应业务资格的会员</w:t>
            </w:r>
            <w:r>
              <w:rPr>
                <w:spacing w:val="1"/>
                <w:sz w:val="24"/>
              </w:rPr>
              <w:t>单位利用交易所交易系统办理 </w:t>
            </w:r>
            <w:r>
              <w:rPr>
                <w:rFonts w:ascii="Times New Roman" w:eastAsia="Times New Roman"/>
                <w:sz w:val="24"/>
              </w:rPr>
              <w:t>A </w:t>
            </w:r>
            <w:r>
              <w:rPr>
                <w:spacing w:val="-3"/>
                <w:sz w:val="24"/>
              </w:rPr>
              <w:t>类人民币基金份</w:t>
            </w:r>
            <w:r>
              <w:rPr>
                <w:spacing w:val="-12"/>
                <w:sz w:val="24"/>
              </w:rPr>
              <w:t>额认购、申购、赎回和上市交易的场所。通过该等</w:t>
            </w:r>
            <w:r>
              <w:rPr>
                <w:spacing w:val="-5"/>
                <w:sz w:val="24"/>
              </w:rPr>
              <w:t>场所办理 </w:t>
            </w:r>
            <w:r>
              <w:rPr>
                <w:rFonts w:ascii="Times New Roman" w:eastAsia="Times New Roman"/>
                <w:sz w:val="24"/>
              </w:rPr>
              <w:t>A </w:t>
            </w:r>
            <w:r>
              <w:rPr>
                <w:spacing w:val="-1"/>
                <w:sz w:val="24"/>
              </w:rPr>
              <w:t>类人民币基金份额的认购、申购、赎</w:t>
            </w:r>
          </w:p>
          <w:p>
            <w:pPr>
              <w:pStyle w:val="TableParagraph"/>
              <w:spacing w:line="259" w:lineRule="exact" w:before="3"/>
              <w:ind w:left="809" w:right="1140"/>
              <w:jc w:val="center"/>
              <w:rPr>
                <w:sz w:val="24"/>
              </w:rPr>
            </w:pPr>
            <w:r>
              <w:rPr>
                <w:sz w:val="24"/>
              </w:rPr>
              <w:t>回也称为场内认购、场内申购、场内赎回</w:t>
            </w:r>
          </w:p>
        </w:tc>
      </w:tr>
    </w:tbl>
    <w:p>
      <w:pPr>
        <w:spacing w:after="0" w:line="259" w:lineRule="exact"/>
        <w:jc w:val="center"/>
        <w:rPr>
          <w:sz w:val="24"/>
        </w:rPr>
        <w:sectPr>
          <w:pgSz w:w="11910" w:h="16840"/>
          <w:pgMar w:header="0" w:footer="914" w:top="1540" w:bottom="1100" w:left="1680" w:right="1420"/>
        </w:sect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0"/>
        <w:gridCol w:w="5843"/>
      </w:tblGrid>
      <w:tr>
        <w:trPr>
          <w:trHeight w:val="4098" w:hRule="atLeast"/>
        </w:trPr>
        <w:tc>
          <w:tcPr>
            <w:tcW w:w="2350" w:type="dxa"/>
          </w:tcPr>
          <w:p>
            <w:pPr>
              <w:pStyle w:val="TableParagraph"/>
              <w:spacing w:line="269" w:lineRule="exact" w:before="0"/>
              <w:rPr>
                <w:sz w:val="24"/>
              </w:rPr>
            </w:pPr>
            <w:r>
              <w:rPr>
                <w:sz w:val="24"/>
              </w:rPr>
              <w:t>开放式基金账户</w:t>
            </w:r>
          </w:p>
        </w:tc>
        <w:tc>
          <w:tcPr>
            <w:tcW w:w="5843" w:type="dxa"/>
          </w:tcPr>
          <w:p>
            <w:pPr>
              <w:pStyle w:val="TableParagraph"/>
              <w:spacing w:line="269" w:lineRule="exact" w:before="0"/>
              <w:ind w:left="468"/>
              <w:rPr>
                <w:sz w:val="24"/>
              </w:rPr>
            </w:pPr>
            <w:r>
              <w:rPr>
                <w:spacing w:val="3"/>
                <w:sz w:val="24"/>
              </w:rPr>
              <w:t>指投资者通过场外销售机构在登记结算机构注册</w:t>
            </w:r>
          </w:p>
          <w:p>
            <w:pPr>
              <w:pStyle w:val="TableParagraph"/>
              <w:spacing w:line="364" w:lineRule="auto" w:before="160"/>
              <w:ind w:left="468" w:right="200"/>
              <w:jc w:val="both"/>
              <w:rPr>
                <w:sz w:val="24"/>
              </w:rPr>
            </w:pPr>
            <w:r>
              <w:rPr>
                <w:spacing w:val="-11"/>
                <w:sz w:val="24"/>
              </w:rPr>
              <w:t>的开放式基金账户，用于记录其持有的、基金管理</w:t>
            </w:r>
            <w:r>
              <w:rPr>
                <w:spacing w:val="-7"/>
                <w:sz w:val="24"/>
              </w:rPr>
              <w:t>人所管理的场外基金份额余额及其变动情况。其中</w:t>
            </w:r>
            <w:r>
              <w:rPr>
                <w:spacing w:val="-8"/>
                <w:sz w:val="24"/>
              </w:rPr>
              <w:t>场外 </w:t>
            </w:r>
            <w:r>
              <w:rPr>
                <w:rFonts w:ascii="Times New Roman" w:eastAsia="Times New Roman"/>
                <w:sz w:val="24"/>
              </w:rPr>
              <w:t>A</w:t>
            </w:r>
            <w:r>
              <w:rPr>
                <w:rFonts w:ascii="Times New Roman" w:eastAsia="Times New Roman"/>
                <w:spacing w:val="38"/>
                <w:sz w:val="24"/>
              </w:rPr>
              <w:t> </w:t>
            </w:r>
            <w:r>
              <w:rPr>
                <w:spacing w:val="-1"/>
                <w:sz w:val="24"/>
              </w:rPr>
              <w:t>类人民币份额记录在中国证券登记结算有</w:t>
            </w:r>
            <w:r>
              <w:rPr>
                <w:spacing w:val="3"/>
                <w:sz w:val="24"/>
              </w:rPr>
              <w:t>限责任公司开立的基金账户并登记在登记结算系</w:t>
            </w:r>
            <w:r>
              <w:rPr>
                <w:spacing w:val="-4"/>
                <w:sz w:val="24"/>
              </w:rPr>
              <w:t>统，</w:t>
            </w:r>
            <w:r>
              <w:rPr>
                <w:rFonts w:ascii="Times New Roman" w:eastAsia="Times New Roman"/>
                <w:spacing w:val="-11"/>
                <w:sz w:val="24"/>
              </w:rPr>
              <w:t>A</w:t>
            </w:r>
            <w:r>
              <w:rPr>
                <w:rFonts w:ascii="Times New Roman" w:eastAsia="Times New Roman"/>
                <w:spacing w:val="-1"/>
                <w:sz w:val="24"/>
              </w:rPr>
              <w:t> </w:t>
            </w:r>
            <w:r>
              <w:rPr>
                <w:spacing w:val="-4"/>
                <w:sz w:val="24"/>
              </w:rPr>
              <w:t>类美元份额、</w:t>
            </w:r>
            <w:r>
              <w:rPr>
                <w:rFonts w:ascii="Times New Roman" w:eastAsia="Times New Roman"/>
                <w:sz w:val="24"/>
              </w:rPr>
              <w:t>C</w:t>
            </w:r>
            <w:r>
              <w:rPr>
                <w:rFonts w:ascii="Times New Roman" w:eastAsia="Times New Roman"/>
                <w:spacing w:val="3"/>
                <w:sz w:val="24"/>
              </w:rPr>
              <w:t> </w:t>
            </w:r>
            <w:r>
              <w:rPr>
                <w:spacing w:val="-4"/>
                <w:sz w:val="24"/>
              </w:rPr>
              <w:t>类美元份额、</w:t>
            </w:r>
            <w:r>
              <w:rPr>
                <w:rFonts w:ascii="Times New Roman" w:eastAsia="Times New Roman"/>
                <w:sz w:val="24"/>
              </w:rPr>
              <w:t>C </w:t>
            </w:r>
            <w:r>
              <w:rPr>
                <w:spacing w:val="-4"/>
                <w:sz w:val="24"/>
              </w:rPr>
              <w:t>类人民币份</w:t>
            </w:r>
            <w:r>
              <w:rPr>
                <w:spacing w:val="3"/>
                <w:sz w:val="24"/>
              </w:rPr>
              <w:t>额记录在易方达基金管理有限公司开立的基金账户并登记在易方达基金管理有限公司的注册登记</w:t>
            </w:r>
          </w:p>
          <w:p>
            <w:pPr>
              <w:pStyle w:val="TableParagraph"/>
              <w:spacing w:before="5"/>
              <w:ind w:left="468"/>
              <w:rPr>
                <w:sz w:val="24"/>
              </w:rPr>
            </w:pPr>
            <w:r>
              <w:rPr>
                <w:sz w:val="24"/>
              </w:rPr>
              <w:t>系统</w:t>
            </w:r>
          </w:p>
        </w:tc>
      </w:tr>
      <w:tr>
        <w:trPr>
          <w:trHeight w:val="3978" w:hRule="atLeast"/>
        </w:trPr>
        <w:tc>
          <w:tcPr>
            <w:tcW w:w="2350" w:type="dxa"/>
          </w:tcPr>
          <w:p>
            <w:pPr>
              <w:pStyle w:val="TableParagraph"/>
              <w:rPr>
                <w:sz w:val="24"/>
              </w:rPr>
            </w:pPr>
            <w:r>
              <w:rPr>
                <w:sz w:val="24"/>
              </w:rPr>
              <w:t>深圳证券账户</w:t>
            </w:r>
          </w:p>
          <w:p>
            <w:pPr>
              <w:pStyle w:val="TableParagraph"/>
              <w:spacing w:before="0"/>
              <w:ind w:left="0"/>
              <w:rPr>
                <w:sz w:val="24"/>
              </w:rPr>
            </w:pPr>
          </w:p>
          <w:p>
            <w:pPr>
              <w:pStyle w:val="TableParagraph"/>
              <w:spacing w:before="0"/>
              <w:ind w:left="0"/>
              <w:rPr>
                <w:sz w:val="24"/>
              </w:rPr>
            </w:pPr>
          </w:p>
          <w:p>
            <w:pPr>
              <w:pStyle w:val="TableParagraph"/>
              <w:spacing w:before="0"/>
              <w:ind w:left="0"/>
              <w:rPr>
                <w:sz w:val="24"/>
              </w:rPr>
            </w:pPr>
          </w:p>
          <w:p>
            <w:pPr>
              <w:pStyle w:val="TableParagraph"/>
              <w:spacing w:before="0"/>
              <w:ind w:left="0"/>
              <w:rPr>
                <w:sz w:val="24"/>
              </w:rPr>
            </w:pPr>
          </w:p>
          <w:p>
            <w:pPr>
              <w:pStyle w:val="TableParagraph"/>
              <w:spacing w:before="0"/>
              <w:ind w:left="0"/>
              <w:rPr>
                <w:sz w:val="24"/>
              </w:rPr>
            </w:pPr>
          </w:p>
          <w:p>
            <w:pPr>
              <w:pStyle w:val="TableParagraph"/>
              <w:spacing w:before="0"/>
              <w:ind w:left="0"/>
              <w:rPr>
                <w:sz w:val="24"/>
              </w:rPr>
            </w:pPr>
          </w:p>
          <w:p>
            <w:pPr>
              <w:pStyle w:val="TableParagraph"/>
              <w:spacing w:before="187"/>
              <w:rPr>
                <w:sz w:val="24"/>
              </w:rPr>
            </w:pPr>
            <w:r>
              <w:rPr>
                <w:sz w:val="24"/>
              </w:rPr>
              <w:t>交易账户</w:t>
            </w:r>
          </w:p>
        </w:tc>
        <w:tc>
          <w:tcPr>
            <w:tcW w:w="5843" w:type="dxa"/>
          </w:tcPr>
          <w:p>
            <w:pPr>
              <w:pStyle w:val="TableParagraph"/>
              <w:spacing w:line="364" w:lineRule="auto"/>
              <w:ind w:left="468" w:right="198"/>
              <w:jc w:val="both"/>
              <w:rPr>
                <w:sz w:val="24"/>
              </w:rPr>
            </w:pPr>
            <w:r>
              <w:rPr>
                <w:spacing w:val="3"/>
                <w:sz w:val="24"/>
              </w:rPr>
              <w:t>指在中国证券登记结算有限责任公司深圳分公司</w:t>
            </w:r>
            <w:r>
              <w:rPr>
                <w:spacing w:val="-3"/>
                <w:sz w:val="24"/>
              </w:rPr>
              <w:t>开设的深圳证券交易所人民币普通股票账户</w:t>
            </w:r>
            <w:r>
              <w:rPr>
                <w:sz w:val="24"/>
              </w:rPr>
              <w:t>（</w:t>
            </w:r>
            <w:r>
              <w:rPr>
                <w:spacing w:val="-30"/>
                <w:sz w:val="24"/>
              </w:rPr>
              <w:t>即 </w:t>
            </w:r>
            <w:r>
              <w:rPr>
                <w:rFonts w:ascii="Times New Roman" w:eastAsia="Times New Roman"/>
                <w:spacing w:val="-14"/>
                <w:sz w:val="24"/>
              </w:rPr>
              <w:t>A </w:t>
            </w:r>
            <w:r>
              <w:rPr>
                <w:spacing w:val="4"/>
                <w:sz w:val="24"/>
              </w:rPr>
              <w:t>股账户</w:t>
            </w:r>
            <w:r>
              <w:rPr>
                <w:sz w:val="24"/>
              </w:rPr>
              <w:t>）</w:t>
            </w:r>
            <w:r>
              <w:rPr>
                <w:spacing w:val="1"/>
                <w:sz w:val="24"/>
              </w:rPr>
              <w:t>或证券投资基金账户，本基金的场内 </w:t>
            </w:r>
            <w:r>
              <w:rPr>
                <w:rFonts w:ascii="Times New Roman" w:eastAsia="Times New Roman"/>
                <w:sz w:val="24"/>
              </w:rPr>
              <w:t>A </w:t>
            </w:r>
            <w:r>
              <w:rPr>
                <w:spacing w:val="3"/>
                <w:sz w:val="24"/>
              </w:rPr>
              <w:t>类人民币份额记录在该账户并登记在证券登记系统</w:t>
            </w:r>
          </w:p>
          <w:p>
            <w:pPr>
              <w:pStyle w:val="TableParagraph"/>
              <w:spacing w:line="364" w:lineRule="auto" w:before="3"/>
              <w:ind w:left="468" w:right="201"/>
              <w:jc w:val="both"/>
              <w:rPr>
                <w:sz w:val="24"/>
              </w:rPr>
            </w:pPr>
            <w:r>
              <w:rPr>
                <w:spacing w:val="3"/>
                <w:sz w:val="24"/>
              </w:rPr>
              <w:t>指各销售机构为投资者开立的记录投资者通过该</w:t>
            </w:r>
            <w:r>
              <w:rPr>
                <w:spacing w:val="-9"/>
                <w:sz w:val="24"/>
              </w:rPr>
              <w:t>销售机构办理认购、申购、赎回、转换及转托管等</w:t>
            </w:r>
            <w:r>
              <w:rPr>
                <w:sz w:val="24"/>
              </w:rPr>
              <w:t>业务而引起的基金份额的变动及结余情况的账户</w:t>
            </w:r>
          </w:p>
        </w:tc>
      </w:tr>
      <w:tr>
        <w:trPr>
          <w:trHeight w:val="1170" w:hRule="atLeast"/>
        </w:trPr>
        <w:tc>
          <w:tcPr>
            <w:tcW w:w="2350" w:type="dxa"/>
          </w:tcPr>
          <w:p>
            <w:pPr>
              <w:pStyle w:val="TableParagraph"/>
              <w:spacing w:before="1"/>
              <w:ind w:left="0"/>
              <w:rPr>
                <w:sz w:val="24"/>
              </w:rPr>
            </w:pPr>
          </w:p>
          <w:p>
            <w:pPr>
              <w:pStyle w:val="TableParagraph"/>
              <w:spacing w:before="0"/>
              <w:rPr>
                <w:sz w:val="24"/>
              </w:rPr>
            </w:pPr>
            <w:r>
              <w:rPr>
                <w:sz w:val="24"/>
              </w:rPr>
              <w:t>登记结算系统</w:t>
            </w:r>
          </w:p>
        </w:tc>
        <w:tc>
          <w:tcPr>
            <w:tcW w:w="5843" w:type="dxa"/>
          </w:tcPr>
          <w:p>
            <w:pPr>
              <w:pStyle w:val="TableParagraph"/>
              <w:spacing w:line="460" w:lineRule="atLeast" w:before="156"/>
              <w:ind w:left="468" w:right="202"/>
              <w:rPr>
                <w:sz w:val="24"/>
              </w:rPr>
            </w:pPr>
            <w:r>
              <w:rPr>
                <w:sz w:val="24"/>
              </w:rPr>
              <w:t>指中国证券登记结算有限责任公司开放式基金注册登记系统</w:t>
            </w:r>
          </w:p>
        </w:tc>
      </w:tr>
      <w:tr>
        <w:trPr>
          <w:trHeight w:val="932" w:hRule="atLeast"/>
        </w:trPr>
        <w:tc>
          <w:tcPr>
            <w:tcW w:w="2350" w:type="dxa"/>
          </w:tcPr>
          <w:p>
            <w:pPr>
              <w:pStyle w:val="TableParagraph"/>
              <w:rPr>
                <w:sz w:val="24"/>
              </w:rPr>
            </w:pPr>
            <w:r>
              <w:rPr>
                <w:sz w:val="24"/>
              </w:rPr>
              <w:t>证券登记系统</w:t>
            </w:r>
          </w:p>
        </w:tc>
        <w:tc>
          <w:tcPr>
            <w:tcW w:w="5843" w:type="dxa"/>
          </w:tcPr>
          <w:p>
            <w:pPr>
              <w:pStyle w:val="TableParagraph"/>
              <w:ind w:left="468"/>
              <w:rPr>
                <w:sz w:val="24"/>
              </w:rPr>
            </w:pPr>
            <w:r>
              <w:rPr>
                <w:sz w:val="24"/>
              </w:rPr>
              <w:t>指中国证券登记结算有限责任公司深圳分公司证</w:t>
            </w:r>
          </w:p>
          <w:p>
            <w:pPr>
              <w:pStyle w:val="TableParagraph"/>
              <w:spacing w:before="160"/>
              <w:ind w:left="468"/>
              <w:rPr>
                <w:sz w:val="24"/>
              </w:rPr>
            </w:pPr>
            <w:r>
              <w:rPr>
                <w:sz w:val="24"/>
              </w:rPr>
              <w:t>券登记结算系统</w:t>
            </w:r>
          </w:p>
        </w:tc>
      </w:tr>
      <w:tr>
        <w:trPr>
          <w:trHeight w:val="1413" w:hRule="atLeast"/>
        </w:trPr>
        <w:tc>
          <w:tcPr>
            <w:tcW w:w="2350" w:type="dxa"/>
          </w:tcPr>
          <w:p>
            <w:pPr>
              <w:pStyle w:val="TableParagraph"/>
              <w:spacing w:before="79"/>
              <w:rPr>
                <w:sz w:val="24"/>
              </w:rPr>
            </w:pPr>
            <w:r>
              <w:rPr>
                <w:sz w:val="24"/>
              </w:rPr>
              <w:t>场外份额</w:t>
            </w:r>
          </w:p>
        </w:tc>
        <w:tc>
          <w:tcPr>
            <w:tcW w:w="5843" w:type="dxa"/>
          </w:tcPr>
          <w:p>
            <w:pPr>
              <w:pStyle w:val="TableParagraph"/>
              <w:spacing w:line="364" w:lineRule="auto" w:before="79"/>
              <w:ind w:left="468" w:right="199"/>
              <w:rPr>
                <w:rFonts w:ascii="Times New Roman" w:eastAsia="Times New Roman"/>
                <w:sz w:val="24"/>
              </w:rPr>
            </w:pPr>
            <w:r>
              <w:rPr>
                <w:sz w:val="24"/>
              </w:rPr>
              <w:t>登记在登记结算系统下的 </w:t>
            </w:r>
            <w:r>
              <w:rPr>
                <w:rFonts w:ascii="Times New Roman" w:eastAsia="Times New Roman"/>
                <w:sz w:val="24"/>
              </w:rPr>
              <w:t>A </w:t>
            </w:r>
            <w:r>
              <w:rPr>
                <w:sz w:val="24"/>
              </w:rPr>
              <w:t>类人民币份额，登记在易方达基金管理有限公司的 </w:t>
            </w:r>
            <w:r>
              <w:rPr>
                <w:rFonts w:ascii="Times New Roman" w:eastAsia="Times New Roman"/>
                <w:sz w:val="24"/>
              </w:rPr>
              <w:t>A </w:t>
            </w:r>
            <w:r>
              <w:rPr>
                <w:sz w:val="24"/>
              </w:rPr>
              <w:t>类美元份额、</w:t>
            </w:r>
            <w:r>
              <w:rPr>
                <w:rFonts w:ascii="Times New Roman" w:eastAsia="Times New Roman"/>
                <w:sz w:val="24"/>
              </w:rPr>
              <w:t>C</w:t>
            </w:r>
          </w:p>
          <w:p>
            <w:pPr>
              <w:pStyle w:val="TableParagraph"/>
              <w:spacing w:before="2"/>
              <w:ind w:left="468"/>
              <w:rPr>
                <w:sz w:val="24"/>
              </w:rPr>
            </w:pPr>
            <w:r>
              <w:rPr>
                <w:sz w:val="24"/>
              </w:rPr>
              <w:t>类美元份额、</w:t>
            </w:r>
            <w:r>
              <w:rPr>
                <w:rFonts w:ascii="Times New Roman" w:eastAsia="Times New Roman"/>
                <w:sz w:val="24"/>
              </w:rPr>
              <w:t>C </w:t>
            </w:r>
            <w:r>
              <w:rPr>
                <w:sz w:val="24"/>
              </w:rPr>
              <w:t>类人民币份额</w:t>
            </w:r>
          </w:p>
        </w:tc>
      </w:tr>
      <w:tr>
        <w:trPr>
          <w:trHeight w:val="467" w:hRule="atLeast"/>
        </w:trPr>
        <w:tc>
          <w:tcPr>
            <w:tcW w:w="2350" w:type="dxa"/>
          </w:tcPr>
          <w:p>
            <w:pPr>
              <w:pStyle w:val="TableParagraph"/>
              <w:spacing w:before="70"/>
              <w:rPr>
                <w:sz w:val="24"/>
              </w:rPr>
            </w:pPr>
            <w:r>
              <w:rPr>
                <w:sz w:val="24"/>
              </w:rPr>
              <w:t>场内份额</w:t>
            </w:r>
          </w:p>
        </w:tc>
        <w:tc>
          <w:tcPr>
            <w:tcW w:w="5843" w:type="dxa"/>
          </w:tcPr>
          <w:p>
            <w:pPr>
              <w:pStyle w:val="TableParagraph"/>
              <w:spacing w:before="70"/>
              <w:ind w:left="468"/>
              <w:rPr>
                <w:sz w:val="24"/>
              </w:rPr>
            </w:pPr>
            <w:r>
              <w:rPr>
                <w:sz w:val="24"/>
              </w:rPr>
              <w:t>登记在证券登记系统下的 </w:t>
            </w:r>
            <w:r>
              <w:rPr>
                <w:rFonts w:ascii="Times New Roman" w:eastAsia="Times New Roman"/>
                <w:sz w:val="24"/>
              </w:rPr>
              <w:t>A </w:t>
            </w:r>
            <w:r>
              <w:rPr>
                <w:sz w:val="24"/>
              </w:rPr>
              <w:t>类人民币份额</w:t>
            </w:r>
          </w:p>
        </w:tc>
      </w:tr>
      <w:tr>
        <w:trPr>
          <w:trHeight w:val="1284" w:hRule="atLeast"/>
        </w:trPr>
        <w:tc>
          <w:tcPr>
            <w:tcW w:w="2350" w:type="dxa"/>
          </w:tcPr>
          <w:p>
            <w:pPr>
              <w:pStyle w:val="TableParagraph"/>
              <w:spacing w:before="70"/>
              <w:rPr>
                <w:sz w:val="24"/>
              </w:rPr>
            </w:pPr>
            <w:r>
              <w:rPr>
                <w:sz w:val="24"/>
              </w:rPr>
              <w:t>系统内转托管</w:t>
            </w:r>
          </w:p>
        </w:tc>
        <w:tc>
          <w:tcPr>
            <w:tcW w:w="5843" w:type="dxa"/>
          </w:tcPr>
          <w:p>
            <w:pPr>
              <w:pStyle w:val="TableParagraph"/>
              <w:spacing w:before="70"/>
              <w:ind w:left="468"/>
              <w:rPr>
                <w:sz w:val="24"/>
              </w:rPr>
            </w:pPr>
            <w:r>
              <w:rPr>
                <w:spacing w:val="-2"/>
                <w:sz w:val="24"/>
              </w:rPr>
              <w:t>指基金份额持有人将其持有的 </w:t>
            </w:r>
            <w:r>
              <w:rPr>
                <w:rFonts w:ascii="Times New Roman" w:eastAsia="Times New Roman"/>
                <w:sz w:val="24"/>
              </w:rPr>
              <w:t>A</w:t>
            </w:r>
            <w:r>
              <w:rPr>
                <w:rFonts w:ascii="Times New Roman" w:eastAsia="Times New Roman"/>
                <w:spacing w:val="38"/>
                <w:sz w:val="24"/>
              </w:rPr>
              <w:t> </w:t>
            </w:r>
            <w:r>
              <w:rPr>
                <w:sz w:val="24"/>
              </w:rPr>
              <w:t>类人民币份额在</w:t>
            </w:r>
          </w:p>
          <w:p>
            <w:pPr>
              <w:pStyle w:val="TableParagraph"/>
              <w:spacing w:line="460" w:lineRule="atLeast" w:before="8"/>
              <w:ind w:left="468" w:right="200"/>
              <w:rPr>
                <w:sz w:val="24"/>
              </w:rPr>
            </w:pPr>
            <w:r>
              <w:rPr>
                <w:spacing w:val="-5"/>
                <w:sz w:val="24"/>
              </w:rPr>
              <w:t>登记结算系统内不同销售机构</w:t>
            </w:r>
            <w:r>
              <w:rPr>
                <w:sz w:val="24"/>
              </w:rPr>
              <w:t>（网点</w:t>
            </w:r>
            <w:r>
              <w:rPr>
                <w:spacing w:val="-56"/>
                <w:sz w:val="24"/>
              </w:rPr>
              <w:t>）</w:t>
            </w:r>
            <w:r>
              <w:rPr>
                <w:spacing w:val="-4"/>
                <w:sz w:val="24"/>
              </w:rPr>
              <w:t>之间或证券</w:t>
            </w:r>
            <w:r>
              <w:rPr>
                <w:spacing w:val="-6"/>
                <w:sz w:val="24"/>
              </w:rPr>
              <w:t>登记系统内不同会员单位</w:t>
            </w:r>
            <w:r>
              <w:rPr>
                <w:sz w:val="24"/>
              </w:rPr>
              <w:t>（席位</w:t>
            </w:r>
            <w:r>
              <w:rPr>
                <w:spacing w:val="-56"/>
                <w:sz w:val="24"/>
              </w:rPr>
              <w:t>）</w:t>
            </w:r>
            <w:r>
              <w:rPr>
                <w:spacing w:val="-3"/>
                <w:sz w:val="24"/>
              </w:rPr>
              <w:t>之间进行转托管</w:t>
            </w:r>
          </w:p>
        </w:tc>
      </w:tr>
    </w:tbl>
    <w:p>
      <w:pPr>
        <w:spacing w:after="0" w:line="460" w:lineRule="atLeast"/>
        <w:rPr>
          <w:sz w:val="24"/>
        </w:rPr>
        <w:sectPr>
          <w:pgSz w:w="11910" w:h="16840"/>
          <w:pgMar w:header="0" w:footer="914" w:top="1540" w:bottom="1100" w:left="1680" w:right="1420"/>
        </w:sect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0"/>
        <w:gridCol w:w="5723"/>
      </w:tblGrid>
      <w:tr>
        <w:trPr>
          <w:trHeight w:val="1761" w:hRule="atLeast"/>
        </w:trPr>
        <w:tc>
          <w:tcPr>
            <w:tcW w:w="2470" w:type="dxa"/>
          </w:tcPr>
          <w:p>
            <w:pPr>
              <w:pStyle w:val="TableParagraph"/>
              <w:spacing w:before="0"/>
              <w:ind w:left="0"/>
              <w:rPr>
                <w:rFonts w:ascii="Times New Roman"/>
                <w:sz w:val="24"/>
              </w:rPr>
            </w:pPr>
          </w:p>
        </w:tc>
        <w:tc>
          <w:tcPr>
            <w:tcW w:w="5723" w:type="dxa"/>
          </w:tcPr>
          <w:p>
            <w:pPr>
              <w:pStyle w:val="TableParagraph"/>
              <w:spacing w:line="281" w:lineRule="exact" w:before="0"/>
              <w:ind w:left="348"/>
              <w:jc w:val="both"/>
              <w:rPr>
                <w:sz w:val="24"/>
              </w:rPr>
            </w:pPr>
            <w:r>
              <w:rPr>
                <w:sz w:val="24"/>
              </w:rPr>
              <w:t>的行为，或者基金份额持有人将持有的 </w:t>
            </w:r>
            <w:r>
              <w:rPr>
                <w:rFonts w:ascii="Times New Roman" w:eastAsia="Times New Roman"/>
                <w:sz w:val="24"/>
              </w:rPr>
              <w:t>A </w:t>
            </w:r>
            <w:r>
              <w:rPr>
                <w:sz w:val="24"/>
              </w:rPr>
              <w:t>类美元</w:t>
            </w:r>
          </w:p>
          <w:p>
            <w:pPr>
              <w:pStyle w:val="TableParagraph"/>
              <w:spacing w:line="460" w:lineRule="atLeast" w:before="8"/>
              <w:ind w:left="348" w:right="200"/>
              <w:jc w:val="both"/>
              <w:rPr>
                <w:sz w:val="24"/>
              </w:rPr>
            </w:pPr>
            <w:r>
              <w:rPr>
                <w:sz w:val="24"/>
              </w:rPr>
              <w:t>份额、</w:t>
            </w:r>
            <w:r>
              <w:rPr>
                <w:rFonts w:ascii="Times New Roman" w:eastAsia="Times New Roman"/>
                <w:sz w:val="24"/>
              </w:rPr>
              <w:t>C </w:t>
            </w:r>
            <w:r>
              <w:rPr>
                <w:sz w:val="24"/>
              </w:rPr>
              <w:t>类美元份额和 </w:t>
            </w:r>
            <w:r>
              <w:rPr>
                <w:rFonts w:ascii="Times New Roman" w:eastAsia="Times New Roman"/>
                <w:sz w:val="24"/>
              </w:rPr>
              <w:t>C </w:t>
            </w:r>
            <w:r>
              <w:rPr>
                <w:sz w:val="24"/>
              </w:rPr>
              <w:t>类人民币份额在易方达基金管理有限公司注册登记系统内销售机构之间进行转托管的行为</w:t>
            </w:r>
          </w:p>
        </w:tc>
      </w:tr>
      <w:tr>
        <w:trPr>
          <w:trHeight w:val="939" w:hRule="atLeast"/>
        </w:trPr>
        <w:tc>
          <w:tcPr>
            <w:tcW w:w="2470" w:type="dxa"/>
          </w:tcPr>
          <w:p>
            <w:pPr>
              <w:pStyle w:val="TableParagraph"/>
              <w:spacing w:before="84"/>
              <w:rPr>
                <w:sz w:val="24"/>
              </w:rPr>
            </w:pPr>
            <w:r>
              <w:rPr>
                <w:sz w:val="24"/>
              </w:rPr>
              <w:t>跨系统转托管</w:t>
            </w:r>
          </w:p>
        </w:tc>
        <w:tc>
          <w:tcPr>
            <w:tcW w:w="5723" w:type="dxa"/>
          </w:tcPr>
          <w:p>
            <w:pPr>
              <w:pStyle w:val="TableParagraph"/>
              <w:spacing w:before="84"/>
              <w:ind w:left="348"/>
              <w:rPr>
                <w:sz w:val="24"/>
              </w:rPr>
            </w:pPr>
            <w:r>
              <w:rPr>
                <w:sz w:val="24"/>
              </w:rPr>
              <w:t>指持有人将其持有的 </w:t>
            </w:r>
            <w:r>
              <w:rPr>
                <w:rFonts w:ascii="Times New Roman" w:eastAsia="Times New Roman"/>
                <w:sz w:val="24"/>
              </w:rPr>
              <w:t>A </w:t>
            </w:r>
            <w:r>
              <w:rPr>
                <w:sz w:val="24"/>
              </w:rPr>
              <w:t>类人民币份额在登记结算</w:t>
            </w:r>
          </w:p>
          <w:p>
            <w:pPr>
              <w:pStyle w:val="TableParagraph"/>
              <w:spacing w:before="160"/>
              <w:ind w:left="348"/>
              <w:rPr>
                <w:sz w:val="24"/>
              </w:rPr>
            </w:pPr>
            <w:r>
              <w:rPr>
                <w:sz w:val="24"/>
              </w:rPr>
              <w:t>系统和证券登记系统之间进行转托管的行为</w:t>
            </w:r>
          </w:p>
        </w:tc>
      </w:tr>
      <w:tr>
        <w:trPr>
          <w:trHeight w:val="2340" w:hRule="atLeast"/>
        </w:trPr>
        <w:tc>
          <w:tcPr>
            <w:tcW w:w="2470" w:type="dxa"/>
          </w:tcPr>
          <w:p>
            <w:pPr>
              <w:pStyle w:val="TableParagraph"/>
              <w:spacing w:before="80"/>
              <w:rPr>
                <w:sz w:val="24"/>
              </w:rPr>
            </w:pPr>
            <w:r>
              <w:rPr>
                <w:sz w:val="24"/>
              </w:rPr>
              <w:t>基金转换</w:t>
            </w:r>
          </w:p>
        </w:tc>
        <w:tc>
          <w:tcPr>
            <w:tcW w:w="5723" w:type="dxa"/>
          </w:tcPr>
          <w:p>
            <w:pPr>
              <w:pStyle w:val="TableParagraph"/>
              <w:spacing w:line="364" w:lineRule="auto" w:before="80"/>
              <w:ind w:left="348" w:right="201"/>
              <w:jc w:val="both"/>
              <w:rPr>
                <w:sz w:val="24"/>
              </w:rPr>
            </w:pPr>
            <w:r>
              <w:rPr>
                <w:spacing w:val="3"/>
                <w:sz w:val="24"/>
              </w:rPr>
              <w:t>指基金份额持有人按基金管理人规定的条件提出</w:t>
            </w:r>
            <w:r>
              <w:rPr>
                <w:spacing w:val="-12"/>
                <w:sz w:val="24"/>
              </w:rPr>
              <w:t>申请，将其所持有的基金管理人管理的某一开放式</w:t>
            </w:r>
            <w:r>
              <w:rPr>
                <w:spacing w:val="-28"/>
                <w:sz w:val="24"/>
              </w:rPr>
              <w:t>基金</w:t>
            </w:r>
            <w:r>
              <w:rPr>
                <w:sz w:val="24"/>
              </w:rPr>
              <w:t>（转出基金</w:t>
            </w:r>
            <w:r>
              <w:rPr>
                <w:spacing w:val="-56"/>
                <w:sz w:val="24"/>
              </w:rPr>
              <w:t>）</w:t>
            </w:r>
            <w:r>
              <w:rPr>
                <w:spacing w:val="-2"/>
                <w:sz w:val="24"/>
              </w:rPr>
              <w:t>的全部或部分基金份额转换为同</w:t>
            </w:r>
            <w:r>
              <w:rPr>
                <w:spacing w:val="-4"/>
                <w:sz w:val="24"/>
              </w:rPr>
              <w:t>一基金管理人管理的某一其他基金</w:t>
            </w:r>
            <w:r>
              <w:rPr>
                <w:sz w:val="24"/>
              </w:rPr>
              <w:t>（转入基金</w:t>
            </w:r>
            <w:r>
              <w:rPr>
                <w:spacing w:val="-56"/>
                <w:sz w:val="24"/>
              </w:rPr>
              <w:t>）</w:t>
            </w:r>
            <w:r>
              <w:rPr>
                <w:spacing w:val="-14"/>
                <w:sz w:val="24"/>
              </w:rPr>
              <w:t>的</w:t>
            </w:r>
          </w:p>
          <w:p>
            <w:pPr>
              <w:pStyle w:val="TableParagraph"/>
              <w:spacing w:before="3"/>
              <w:ind w:left="348"/>
              <w:rPr>
                <w:sz w:val="24"/>
              </w:rPr>
            </w:pPr>
            <w:r>
              <w:rPr>
                <w:sz w:val="24"/>
              </w:rPr>
              <w:t>基金份额的行为</w:t>
            </w:r>
          </w:p>
        </w:tc>
      </w:tr>
      <w:tr>
        <w:trPr>
          <w:trHeight w:val="1872" w:hRule="atLeast"/>
        </w:trPr>
        <w:tc>
          <w:tcPr>
            <w:tcW w:w="2470" w:type="dxa"/>
          </w:tcPr>
          <w:p>
            <w:pPr>
              <w:pStyle w:val="TableParagraph"/>
              <w:spacing w:before="80"/>
              <w:rPr>
                <w:sz w:val="24"/>
              </w:rPr>
            </w:pPr>
            <w:r>
              <w:rPr>
                <w:sz w:val="24"/>
              </w:rPr>
              <w:t>定期定额投资计划</w:t>
            </w:r>
          </w:p>
        </w:tc>
        <w:tc>
          <w:tcPr>
            <w:tcW w:w="5723" w:type="dxa"/>
          </w:tcPr>
          <w:p>
            <w:pPr>
              <w:pStyle w:val="TableParagraph"/>
              <w:spacing w:line="364" w:lineRule="auto" w:before="80"/>
              <w:ind w:left="348" w:right="201"/>
              <w:jc w:val="both"/>
              <w:rPr>
                <w:sz w:val="24"/>
              </w:rPr>
            </w:pPr>
            <w:r>
              <w:rPr>
                <w:spacing w:val="-8"/>
                <w:sz w:val="24"/>
              </w:rPr>
              <w:t>指投资者通过有关销售机构提出申请，约定每期扣</w:t>
            </w:r>
            <w:r>
              <w:rPr>
                <w:spacing w:val="-13"/>
                <w:sz w:val="24"/>
              </w:rPr>
              <w:t>款日、扣款金额及扣款方式，由销售机构于每期约</w:t>
            </w:r>
            <w:r>
              <w:rPr>
                <w:spacing w:val="3"/>
                <w:sz w:val="24"/>
              </w:rPr>
              <w:t>定扣款日在投资者指定银行账户内自动完成扣款</w:t>
            </w:r>
          </w:p>
          <w:p>
            <w:pPr>
              <w:pStyle w:val="TableParagraph"/>
              <w:spacing w:before="2"/>
              <w:ind w:left="348"/>
              <w:rPr>
                <w:sz w:val="24"/>
              </w:rPr>
            </w:pPr>
            <w:r>
              <w:rPr>
                <w:sz w:val="24"/>
              </w:rPr>
              <w:t>及基金申购申请的一种投资方式</w:t>
            </w:r>
          </w:p>
        </w:tc>
      </w:tr>
      <w:tr>
        <w:trPr>
          <w:trHeight w:val="936" w:hRule="atLeast"/>
        </w:trPr>
        <w:tc>
          <w:tcPr>
            <w:tcW w:w="2470" w:type="dxa"/>
          </w:tcPr>
          <w:p>
            <w:pPr>
              <w:pStyle w:val="TableParagraph"/>
              <w:spacing w:before="80"/>
              <w:rPr>
                <w:sz w:val="24"/>
              </w:rPr>
            </w:pPr>
            <w:r>
              <w:rPr>
                <w:sz w:val="24"/>
              </w:rPr>
              <w:t>基金利润</w:t>
            </w:r>
          </w:p>
        </w:tc>
        <w:tc>
          <w:tcPr>
            <w:tcW w:w="5723" w:type="dxa"/>
          </w:tcPr>
          <w:p>
            <w:pPr>
              <w:pStyle w:val="TableParagraph"/>
              <w:spacing w:before="80"/>
              <w:ind w:left="348"/>
              <w:rPr>
                <w:sz w:val="24"/>
              </w:rPr>
            </w:pPr>
            <w:r>
              <w:rPr>
                <w:sz w:val="24"/>
              </w:rPr>
              <w:t>指基金利息收入、投资收益、公允价值变动收益和</w:t>
            </w:r>
          </w:p>
          <w:p>
            <w:pPr>
              <w:pStyle w:val="TableParagraph"/>
              <w:spacing w:before="161"/>
              <w:ind w:left="348"/>
              <w:rPr>
                <w:sz w:val="24"/>
              </w:rPr>
            </w:pPr>
            <w:r>
              <w:rPr>
                <w:sz w:val="24"/>
              </w:rPr>
              <w:t>其他收入扣除相关费用后的余额</w:t>
            </w:r>
          </w:p>
        </w:tc>
      </w:tr>
      <w:tr>
        <w:trPr>
          <w:trHeight w:val="1403" w:hRule="atLeast"/>
        </w:trPr>
        <w:tc>
          <w:tcPr>
            <w:tcW w:w="2470" w:type="dxa"/>
          </w:tcPr>
          <w:p>
            <w:pPr>
              <w:pStyle w:val="TableParagraph"/>
              <w:spacing w:before="80"/>
              <w:rPr>
                <w:sz w:val="24"/>
              </w:rPr>
            </w:pPr>
            <w:r>
              <w:rPr>
                <w:sz w:val="24"/>
              </w:rPr>
              <w:t>基金资产总值</w:t>
            </w:r>
          </w:p>
        </w:tc>
        <w:tc>
          <w:tcPr>
            <w:tcW w:w="5723" w:type="dxa"/>
          </w:tcPr>
          <w:p>
            <w:pPr>
              <w:pStyle w:val="TableParagraph"/>
              <w:spacing w:line="364" w:lineRule="auto" w:before="80"/>
              <w:ind w:left="348" w:right="201"/>
              <w:rPr>
                <w:sz w:val="24"/>
              </w:rPr>
            </w:pPr>
            <w:r>
              <w:rPr>
                <w:spacing w:val="-8"/>
                <w:sz w:val="24"/>
              </w:rPr>
              <w:t>指基金所拥有的各类证券及票据价值、银行存款本</w:t>
            </w:r>
            <w:r>
              <w:rPr>
                <w:spacing w:val="3"/>
                <w:sz w:val="24"/>
              </w:rPr>
              <w:t>息和本基金应收的款项以及其他投资所形成的价</w:t>
            </w:r>
          </w:p>
          <w:p>
            <w:pPr>
              <w:pStyle w:val="TableParagraph"/>
              <w:spacing w:before="1"/>
              <w:ind w:left="348"/>
              <w:rPr>
                <w:sz w:val="24"/>
              </w:rPr>
            </w:pPr>
            <w:r>
              <w:rPr>
                <w:sz w:val="24"/>
              </w:rPr>
              <w:t>值总和</w:t>
            </w:r>
          </w:p>
        </w:tc>
      </w:tr>
      <w:tr>
        <w:trPr>
          <w:trHeight w:val="464" w:hRule="atLeast"/>
        </w:trPr>
        <w:tc>
          <w:tcPr>
            <w:tcW w:w="2470" w:type="dxa"/>
          </w:tcPr>
          <w:p>
            <w:pPr>
              <w:pStyle w:val="TableParagraph"/>
              <w:spacing w:before="80"/>
              <w:rPr>
                <w:sz w:val="24"/>
              </w:rPr>
            </w:pPr>
            <w:r>
              <w:rPr>
                <w:sz w:val="24"/>
              </w:rPr>
              <w:t>基金资产净值</w:t>
            </w:r>
          </w:p>
        </w:tc>
        <w:tc>
          <w:tcPr>
            <w:tcW w:w="5723" w:type="dxa"/>
          </w:tcPr>
          <w:p>
            <w:pPr>
              <w:pStyle w:val="TableParagraph"/>
              <w:spacing w:before="80"/>
              <w:ind w:left="348"/>
              <w:rPr>
                <w:sz w:val="24"/>
              </w:rPr>
            </w:pPr>
            <w:r>
              <w:rPr>
                <w:sz w:val="24"/>
              </w:rPr>
              <w:t>指基金资产总值扣除负债后的净资产值</w:t>
            </w:r>
          </w:p>
        </w:tc>
      </w:tr>
      <w:tr>
        <w:trPr>
          <w:trHeight w:val="3652" w:hRule="atLeast"/>
        </w:trPr>
        <w:tc>
          <w:tcPr>
            <w:tcW w:w="2470" w:type="dxa"/>
          </w:tcPr>
          <w:p>
            <w:pPr>
              <w:pStyle w:val="TableParagraph"/>
              <w:spacing w:before="84"/>
              <w:rPr>
                <w:sz w:val="24"/>
              </w:rPr>
            </w:pPr>
            <w:r>
              <w:rPr>
                <w:sz w:val="24"/>
              </w:rPr>
              <w:t>基金份额净值</w:t>
            </w:r>
          </w:p>
        </w:tc>
        <w:tc>
          <w:tcPr>
            <w:tcW w:w="5723" w:type="dxa"/>
          </w:tcPr>
          <w:p>
            <w:pPr>
              <w:pStyle w:val="TableParagraph"/>
              <w:spacing w:line="364" w:lineRule="auto" w:before="84"/>
              <w:ind w:left="348" w:right="200"/>
              <w:jc w:val="both"/>
              <w:rPr>
                <w:sz w:val="24"/>
              </w:rPr>
            </w:pPr>
            <w:r>
              <w:rPr>
                <w:rFonts w:ascii="Times New Roman" w:eastAsia="Times New Roman"/>
                <w:sz w:val="24"/>
              </w:rPr>
              <w:t>A</w:t>
            </w:r>
            <w:r>
              <w:rPr>
                <w:rFonts w:ascii="Times New Roman" w:eastAsia="Times New Roman"/>
                <w:spacing w:val="16"/>
                <w:sz w:val="24"/>
              </w:rPr>
              <w:t> </w:t>
            </w:r>
            <w:r>
              <w:rPr>
                <w:sz w:val="24"/>
              </w:rPr>
              <w:t>类人民币基金份额的基金份额净值指以估值日</w:t>
            </w:r>
            <w:r>
              <w:rPr>
                <w:rFonts w:ascii="Times New Roman" w:eastAsia="Times New Roman"/>
                <w:sz w:val="24"/>
              </w:rPr>
              <w:t>A</w:t>
            </w:r>
            <w:r>
              <w:rPr>
                <w:rFonts w:ascii="Times New Roman" w:eastAsia="Times New Roman"/>
                <w:spacing w:val="28"/>
                <w:sz w:val="24"/>
              </w:rPr>
              <w:t> </w:t>
            </w:r>
            <w:r>
              <w:rPr>
                <w:spacing w:val="-3"/>
                <w:sz w:val="24"/>
              </w:rPr>
              <w:t>类基金资产净值除以估值日 </w:t>
            </w:r>
            <w:r>
              <w:rPr>
                <w:rFonts w:ascii="Times New Roman" w:eastAsia="Times New Roman"/>
                <w:sz w:val="24"/>
              </w:rPr>
              <w:t>A</w:t>
            </w:r>
            <w:r>
              <w:rPr>
                <w:rFonts w:ascii="Times New Roman" w:eastAsia="Times New Roman"/>
                <w:spacing w:val="28"/>
                <w:sz w:val="24"/>
              </w:rPr>
              <w:t> </w:t>
            </w:r>
            <w:r>
              <w:rPr>
                <w:spacing w:val="-3"/>
                <w:sz w:val="24"/>
              </w:rPr>
              <w:t>类基金份额余额</w:t>
            </w:r>
            <w:r>
              <w:rPr>
                <w:spacing w:val="-2"/>
                <w:sz w:val="24"/>
              </w:rPr>
              <w:t>后得出的单位基金份额的价值，估值日 </w:t>
            </w:r>
            <w:r>
              <w:rPr>
                <w:rFonts w:ascii="Times New Roman" w:eastAsia="Times New Roman"/>
                <w:sz w:val="24"/>
              </w:rPr>
              <w:t>A</w:t>
            </w:r>
            <w:r>
              <w:rPr>
                <w:rFonts w:ascii="Times New Roman" w:eastAsia="Times New Roman"/>
                <w:spacing w:val="38"/>
                <w:sz w:val="24"/>
              </w:rPr>
              <w:t> </w:t>
            </w:r>
            <w:r>
              <w:rPr>
                <w:spacing w:val="-6"/>
                <w:sz w:val="24"/>
              </w:rPr>
              <w:t>类基金</w:t>
            </w:r>
            <w:r>
              <w:rPr>
                <w:spacing w:val="-3"/>
                <w:sz w:val="24"/>
              </w:rPr>
              <w:t>份额余额为估值日 </w:t>
            </w:r>
            <w:r>
              <w:rPr>
                <w:rFonts w:ascii="Times New Roman" w:eastAsia="Times New Roman"/>
                <w:sz w:val="24"/>
              </w:rPr>
              <w:t>A</w:t>
            </w:r>
            <w:r>
              <w:rPr>
                <w:rFonts w:ascii="Times New Roman" w:eastAsia="Times New Roman"/>
                <w:spacing w:val="40"/>
                <w:sz w:val="24"/>
              </w:rPr>
              <w:t> </w:t>
            </w:r>
            <w:r>
              <w:rPr>
                <w:spacing w:val="-2"/>
                <w:sz w:val="24"/>
              </w:rPr>
              <w:t>类各币种基金份额余额的合</w:t>
            </w:r>
            <w:r>
              <w:rPr>
                <w:sz w:val="24"/>
              </w:rPr>
              <w:t>计数；</w:t>
            </w:r>
            <w:r>
              <w:rPr>
                <w:rFonts w:ascii="Times New Roman" w:eastAsia="Times New Roman"/>
                <w:sz w:val="24"/>
              </w:rPr>
              <w:t>A</w:t>
            </w:r>
            <w:r>
              <w:rPr>
                <w:rFonts w:ascii="Times New Roman" w:eastAsia="Times New Roman"/>
                <w:spacing w:val="28"/>
                <w:sz w:val="24"/>
              </w:rPr>
              <w:t> </w:t>
            </w:r>
            <w:r>
              <w:rPr>
                <w:spacing w:val="-2"/>
                <w:sz w:val="24"/>
              </w:rPr>
              <w:t>类美元基金份额的基金份额净值以 </w:t>
            </w:r>
            <w:r>
              <w:rPr>
                <w:rFonts w:ascii="Times New Roman" w:eastAsia="Times New Roman"/>
                <w:sz w:val="24"/>
              </w:rPr>
              <w:t>A</w:t>
            </w:r>
            <w:r>
              <w:rPr>
                <w:rFonts w:ascii="Times New Roman" w:eastAsia="Times New Roman"/>
                <w:spacing w:val="28"/>
                <w:sz w:val="24"/>
              </w:rPr>
              <w:t> </w:t>
            </w:r>
            <w:r>
              <w:rPr>
                <w:spacing w:val="-17"/>
                <w:sz w:val="24"/>
              </w:rPr>
              <w:t>类</w:t>
            </w:r>
            <w:r>
              <w:rPr>
                <w:spacing w:val="-8"/>
                <w:sz w:val="24"/>
              </w:rPr>
              <w:t>人民币基金份额的基金份额净值为基础，按照估值</w:t>
            </w:r>
            <w:r>
              <w:rPr>
                <w:spacing w:val="-5"/>
                <w:sz w:val="24"/>
              </w:rPr>
              <w:t>日的估值汇率进行折算；</w:t>
            </w:r>
            <w:r>
              <w:rPr>
                <w:rFonts w:ascii="Times New Roman" w:eastAsia="Times New Roman"/>
                <w:spacing w:val="-45"/>
                <w:sz w:val="24"/>
              </w:rPr>
              <w:t>C    </w:t>
            </w:r>
            <w:r>
              <w:rPr>
                <w:spacing w:val="-2"/>
                <w:sz w:val="24"/>
              </w:rPr>
              <w:t>类人民币基金份额的基</w:t>
            </w:r>
          </w:p>
          <w:p>
            <w:pPr>
              <w:pStyle w:val="TableParagraph"/>
              <w:spacing w:line="272" w:lineRule="exact" w:before="4"/>
              <w:ind w:left="348"/>
              <w:jc w:val="both"/>
              <w:rPr>
                <w:sz w:val="24"/>
              </w:rPr>
            </w:pPr>
            <w:r>
              <w:rPr>
                <w:spacing w:val="-2"/>
                <w:sz w:val="24"/>
              </w:rPr>
              <w:t>金份额净值指以估值日 </w:t>
            </w:r>
            <w:r>
              <w:rPr>
                <w:rFonts w:ascii="Times New Roman" w:eastAsia="Times New Roman"/>
                <w:sz w:val="24"/>
              </w:rPr>
              <w:t>C</w:t>
            </w:r>
            <w:r>
              <w:rPr>
                <w:rFonts w:ascii="Times New Roman" w:eastAsia="Times New Roman"/>
                <w:spacing w:val="46"/>
                <w:sz w:val="24"/>
              </w:rPr>
              <w:t> </w:t>
            </w:r>
            <w:r>
              <w:rPr>
                <w:sz w:val="24"/>
              </w:rPr>
              <w:t>类基金份额的基金资产</w:t>
            </w:r>
          </w:p>
        </w:tc>
      </w:tr>
    </w:tbl>
    <w:p>
      <w:pPr>
        <w:spacing w:after="0" w:line="272" w:lineRule="exact"/>
        <w:jc w:val="both"/>
        <w:rPr>
          <w:sz w:val="24"/>
        </w:rPr>
        <w:sectPr>
          <w:pgSz w:w="11910" w:h="16840"/>
          <w:pgMar w:header="0" w:footer="914" w:top="1520" w:bottom="1100" w:left="1680" w:right="1420"/>
        </w:sect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0"/>
        <w:gridCol w:w="6070"/>
      </w:tblGrid>
      <w:tr>
        <w:trPr>
          <w:trHeight w:val="2701" w:hRule="atLeast"/>
        </w:trPr>
        <w:tc>
          <w:tcPr>
            <w:tcW w:w="2230" w:type="dxa"/>
          </w:tcPr>
          <w:p>
            <w:pPr>
              <w:pStyle w:val="TableParagraph"/>
              <w:spacing w:before="0"/>
              <w:ind w:left="0"/>
              <w:rPr>
                <w:rFonts w:ascii="Times New Roman"/>
                <w:sz w:val="24"/>
              </w:rPr>
            </w:pPr>
          </w:p>
        </w:tc>
        <w:tc>
          <w:tcPr>
            <w:tcW w:w="6070" w:type="dxa"/>
          </w:tcPr>
          <w:p>
            <w:pPr>
              <w:pStyle w:val="TableParagraph"/>
              <w:spacing w:line="281" w:lineRule="exact" w:before="0"/>
              <w:ind w:left="588"/>
              <w:jc w:val="both"/>
              <w:rPr>
                <w:sz w:val="24"/>
              </w:rPr>
            </w:pPr>
            <w:r>
              <w:rPr>
                <w:sz w:val="24"/>
              </w:rPr>
              <w:t>净值除以估值日 </w:t>
            </w:r>
            <w:r>
              <w:rPr>
                <w:rFonts w:ascii="Times New Roman" w:eastAsia="Times New Roman"/>
                <w:sz w:val="24"/>
              </w:rPr>
              <w:t>C </w:t>
            </w:r>
            <w:r>
              <w:rPr>
                <w:sz w:val="24"/>
              </w:rPr>
              <w:t>类基金份额余额后得出的单位</w:t>
            </w:r>
          </w:p>
          <w:p>
            <w:pPr>
              <w:pStyle w:val="TableParagraph"/>
              <w:spacing w:line="460" w:lineRule="atLeast" w:before="8"/>
              <w:ind w:left="588" w:right="307"/>
              <w:jc w:val="both"/>
              <w:rPr>
                <w:sz w:val="24"/>
              </w:rPr>
            </w:pPr>
            <w:r>
              <w:rPr>
                <w:spacing w:val="-2"/>
                <w:sz w:val="24"/>
              </w:rPr>
              <w:t>基金份额的价值；估值日 </w:t>
            </w:r>
            <w:r>
              <w:rPr>
                <w:rFonts w:ascii="Times New Roman" w:eastAsia="Times New Roman"/>
                <w:sz w:val="24"/>
              </w:rPr>
              <w:t>C </w:t>
            </w:r>
            <w:r>
              <w:rPr>
                <w:spacing w:val="-2"/>
                <w:sz w:val="24"/>
              </w:rPr>
              <w:t>类基金份额余额为估</w:t>
            </w:r>
            <w:r>
              <w:rPr>
                <w:spacing w:val="-8"/>
                <w:sz w:val="24"/>
              </w:rPr>
              <w:t>值日 </w:t>
            </w:r>
            <w:r>
              <w:rPr>
                <w:rFonts w:ascii="Times New Roman" w:eastAsia="Times New Roman"/>
                <w:sz w:val="24"/>
              </w:rPr>
              <w:t>C </w:t>
            </w:r>
            <w:r>
              <w:rPr>
                <w:sz w:val="24"/>
              </w:rPr>
              <w:t>类各币种基金份额余额的合计数；</w:t>
            </w:r>
            <w:r>
              <w:rPr>
                <w:rFonts w:ascii="Times New Roman" w:eastAsia="Times New Roman"/>
                <w:sz w:val="24"/>
              </w:rPr>
              <w:t>C </w:t>
            </w:r>
            <w:r>
              <w:rPr>
                <w:spacing w:val="-9"/>
                <w:sz w:val="24"/>
              </w:rPr>
              <w:t>类美</w:t>
            </w:r>
            <w:r>
              <w:rPr>
                <w:spacing w:val="-1"/>
                <w:sz w:val="24"/>
              </w:rPr>
              <w:t>元基金份额的基金份额净值以 </w:t>
            </w:r>
            <w:r>
              <w:rPr>
                <w:rFonts w:ascii="Times New Roman" w:eastAsia="Times New Roman"/>
                <w:sz w:val="24"/>
              </w:rPr>
              <w:t>C </w:t>
            </w:r>
            <w:r>
              <w:rPr>
                <w:spacing w:val="-3"/>
                <w:sz w:val="24"/>
              </w:rPr>
              <w:t>类人民币基金份</w:t>
            </w:r>
            <w:r>
              <w:rPr>
                <w:spacing w:val="-10"/>
                <w:sz w:val="24"/>
              </w:rPr>
              <w:t>额的基金份额净值为基础，按照估值日的估值汇率</w:t>
            </w:r>
            <w:r>
              <w:rPr>
                <w:sz w:val="24"/>
              </w:rPr>
              <w:t>进行折算</w:t>
            </w:r>
          </w:p>
        </w:tc>
      </w:tr>
      <w:tr>
        <w:trPr>
          <w:trHeight w:val="936" w:hRule="atLeast"/>
        </w:trPr>
        <w:tc>
          <w:tcPr>
            <w:tcW w:w="2230" w:type="dxa"/>
          </w:tcPr>
          <w:p>
            <w:pPr>
              <w:pStyle w:val="TableParagraph"/>
              <w:spacing w:before="80"/>
              <w:rPr>
                <w:sz w:val="24"/>
              </w:rPr>
            </w:pPr>
            <w:r>
              <w:rPr>
                <w:sz w:val="24"/>
              </w:rPr>
              <w:t>基金资产估值</w:t>
            </w:r>
          </w:p>
        </w:tc>
        <w:tc>
          <w:tcPr>
            <w:tcW w:w="6070" w:type="dxa"/>
          </w:tcPr>
          <w:p>
            <w:pPr>
              <w:pStyle w:val="TableParagraph"/>
              <w:spacing w:before="80"/>
              <w:ind w:left="588"/>
              <w:rPr>
                <w:sz w:val="24"/>
              </w:rPr>
            </w:pPr>
            <w:r>
              <w:rPr>
                <w:sz w:val="24"/>
              </w:rPr>
              <w:t>指计算、评估基金资产和负债的价值，以确定基金</w:t>
            </w:r>
          </w:p>
          <w:p>
            <w:pPr>
              <w:pStyle w:val="TableParagraph"/>
              <w:spacing w:before="160"/>
              <w:ind w:left="588"/>
              <w:rPr>
                <w:sz w:val="24"/>
              </w:rPr>
            </w:pPr>
            <w:r>
              <w:rPr>
                <w:sz w:val="24"/>
              </w:rPr>
              <w:t>资产净值和基金份额净值的过程</w:t>
            </w:r>
          </w:p>
        </w:tc>
      </w:tr>
      <w:tr>
        <w:trPr>
          <w:trHeight w:val="1868" w:hRule="atLeast"/>
        </w:trPr>
        <w:tc>
          <w:tcPr>
            <w:tcW w:w="2230" w:type="dxa"/>
          </w:tcPr>
          <w:p>
            <w:pPr>
              <w:pStyle w:val="TableParagraph"/>
              <w:spacing w:before="80"/>
              <w:rPr>
                <w:sz w:val="24"/>
              </w:rPr>
            </w:pPr>
            <w:r>
              <w:rPr>
                <w:sz w:val="24"/>
              </w:rPr>
              <w:t>货币市场工具</w:t>
            </w:r>
          </w:p>
        </w:tc>
        <w:tc>
          <w:tcPr>
            <w:tcW w:w="6070" w:type="dxa"/>
          </w:tcPr>
          <w:p>
            <w:pPr>
              <w:pStyle w:val="TableParagraph"/>
              <w:spacing w:line="364" w:lineRule="auto" w:before="80"/>
              <w:ind w:left="588" w:right="308"/>
              <w:jc w:val="both"/>
              <w:rPr>
                <w:sz w:val="24"/>
              </w:rPr>
            </w:pPr>
            <w:r>
              <w:rPr>
                <w:spacing w:val="-12"/>
                <w:sz w:val="24"/>
              </w:rPr>
              <w:t>指银行存款、可转让存单、银行承兑汇票、银行票</w:t>
            </w:r>
            <w:r>
              <w:rPr>
                <w:spacing w:val="-13"/>
                <w:sz w:val="24"/>
              </w:rPr>
              <w:t>据、商业票据、回购协议、短期政府债券等中国证</w:t>
            </w:r>
            <w:r>
              <w:rPr>
                <w:spacing w:val="-12"/>
                <w:sz w:val="24"/>
              </w:rPr>
              <w:t>监会、中国人民银行认可的具有良好流动性的金融</w:t>
            </w:r>
          </w:p>
          <w:p>
            <w:pPr>
              <w:pStyle w:val="TableParagraph"/>
              <w:spacing w:before="2"/>
              <w:ind w:left="588"/>
              <w:rPr>
                <w:sz w:val="24"/>
              </w:rPr>
            </w:pPr>
            <w:r>
              <w:rPr>
                <w:sz w:val="24"/>
              </w:rPr>
              <w:t>工具</w:t>
            </w:r>
          </w:p>
        </w:tc>
      </w:tr>
      <w:tr>
        <w:trPr>
          <w:trHeight w:val="1876" w:hRule="atLeast"/>
        </w:trPr>
        <w:tc>
          <w:tcPr>
            <w:tcW w:w="2230" w:type="dxa"/>
          </w:tcPr>
          <w:p>
            <w:pPr>
              <w:pStyle w:val="TableParagraph"/>
              <w:spacing w:before="84"/>
              <w:rPr>
                <w:sz w:val="24"/>
              </w:rPr>
            </w:pPr>
            <w:r>
              <w:rPr>
                <w:sz w:val="24"/>
              </w:rPr>
              <w:t>黄金基金</w:t>
            </w:r>
          </w:p>
        </w:tc>
        <w:tc>
          <w:tcPr>
            <w:tcW w:w="6070" w:type="dxa"/>
          </w:tcPr>
          <w:p>
            <w:pPr>
              <w:pStyle w:val="TableParagraph"/>
              <w:spacing w:line="364" w:lineRule="auto" w:before="84"/>
              <w:ind w:left="588" w:right="306"/>
              <w:jc w:val="both"/>
              <w:rPr>
                <w:sz w:val="24"/>
              </w:rPr>
            </w:pPr>
            <w:r>
              <w:rPr>
                <w:spacing w:val="6"/>
                <w:sz w:val="24"/>
              </w:rPr>
              <w:t>指黄金 </w:t>
            </w:r>
            <w:r>
              <w:rPr>
                <w:rFonts w:ascii="Times New Roman" w:eastAsia="Times New Roman"/>
                <w:sz w:val="24"/>
              </w:rPr>
              <w:t>ETF</w:t>
            </w:r>
            <w:r>
              <w:rPr>
                <w:sz w:val="24"/>
              </w:rPr>
              <w:t>（即跟踪黄金价格或黄金价格指数的</w:t>
            </w:r>
            <w:r>
              <w:rPr>
                <w:rFonts w:ascii="Times New Roman" w:eastAsia="Times New Roman"/>
                <w:spacing w:val="-9"/>
                <w:sz w:val="24"/>
              </w:rPr>
              <w:t>ETF</w:t>
            </w:r>
            <w:r>
              <w:rPr>
                <w:spacing w:val="-9"/>
                <w:sz w:val="24"/>
              </w:rPr>
              <w:t>）</w:t>
            </w:r>
            <w:r>
              <w:rPr>
                <w:spacing w:val="-4"/>
                <w:sz w:val="24"/>
              </w:rPr>
              <w:t>及黄金股票基金</w:t>
            </w:r>
            <w:r>
              <w:rPr>
                <w:sz w:val="24"/>
              </w:rPr>
              <w:t>（</w:t>
            </w:r>
            <w:r>
              <w:rPr>
                <w:spacing w:val="-1"/>
                <w:sz w:val="24"/>
              </w:rPr>
              <w:t>包括跟踪黄金股票指数的</w:t>
            </w:r>
            <w:r>
              <w:rPr>
                <w:spacing w:val="-2"/>
                <w:sz w:val="24"/>
              </w:rPr>
              <w:t>指数基金和 </w:t>
            </w:r>
            <w:r>
              <w:rPr>
                <w:rFonts w:ascii="Times New Roman" w:eastAsia="Times New Roman"/>
                <w:sz w:val="24"/>
              </w:rPr>
              <w:t>ETF</w:t>
            </w:r>
            <w:r>
              <w:rPr>
                <w:spacing w:val="-2"/>
                <w:sz w:val="24"/>
              </w:rPr>
              <w:t>，以及 </w:t>
            </w:r>
            <w:r>
              <w:rPr>
                <w:rFonts w:ascii="Times New Roman" w:eastAsia="Times New Roman"/>
                <w:sz w:val="24"/>
              </w:rPr>
              <w:t>80%</w:t>
            </w:r>
            <w:r>
              <w:rPr>
                <w:spacing w:val="-2"/>
                <w:sz w:val="24"/>
              </w:rPr>
              <w:t>以上基金资产投资于</w:t>
            </w:r>
          </w:p>
          <w:p>
            <w:pPr>
              <w:pStyle w:val="TableParagraph"/>
              <w:spacing w:before="2"/>
              <w:ind w:left="588"/>
              <w:rPr>
                <w:sz w:val="24"/>
              </w:rPr>
            </w:pPr>
            <w:r>
              <w:rPr>
                <w:sz w:val="24"/>
              </w:rPr>
              <w:t>黄金采掘公司股票的主动基金）</w:t>
            </w:r>
          </w:p>
        </w:tc>
      </w:tr>
      <w:tr>
        <w:trPr>
          <w:trHeight w:val="1872" w:hRule="atLeast"/>
        </w:trPr>
        <w:tc>
          <w:tcPr>
            <w:tcW w:w="2230" w:type="dxa"/>
          </w:tcPr>
          <w:p>
            <w:pPr>
              <w:pStyle w:val="TableParagraph"/>
              <w:spacing w:before="80"/>
              <w:rPr>
                <w:sz w:val="24"/>
              </w:rPr>
            </w:pPr>
            <w:r>
              <w:rPr>
                <w:sz w:val="24"/>
              </w:rPr>
              <w:t>指定媒介</w:t>
            </w:r>
          </w:p>
        </w:tc>
        <w:tc>
          <w:tcPr>
            <w:tcW w:w="6070" w:type="dxa"/>
          </w:tcPr>
          <w:p>
            <w:pPr>
              <w:pStyle w:val="TableParagraph"/>
              <w:spacing w:line="364" w:lineRule="auto" w:before="80"/>
              <w:ind w:left="588" w:right="309"/>
              <w:jc w:val="both"/>
              <w:rPr>
                <w:sz w:val="24"/>
              </w:rPr>
            </w:pPr>
            <w:r>
              <w:rPr>
                <w:spacing w:val="3"/>
                <w:sz w:val="24"/>
              </w:rPr>
              <w:t>指中国证监会指定的用以进行信息披露的全国性</w:t>
            </w:r>
            <w:r>
              <w:rPr>
                <w:spacing w:val="-3"/>
                <w:sz w:val="24"/>
              </w:rPr>
              <w:t>报刊及指定互联网网站</w:t>
            </w:r>
            <w:r>
              <w:rPr>
                <w:sz w:val="24"/>
              </w:rPr>
              <w:t>（</w:t>
            </w:r>
            <w:r>
              <w:rPr>
                <w:spacing w:val="-7"/>
                <w:sz w:val="24"/>
              </w:rPr>
              <w:t>包括基金管理人网站、基金托管人网站、中国证监会基金电子披露网站</w:t>
            </w:r>
            <w:r>
              <w:rPr>
                <w:spacing w:val="-56"/>
                <w:sz w:val="24"/>
              </w:rPr>
              <w:t>）</w:t>
            </w:r>
            <w:r>
              <w:rPr>
                <w:spacing w:val="-15"/>
                <w:sz w:val="24"/>
              </w:rPr>
              <w:t>等</w:t>
            </w:r>
          </w:p>
          <w:p>
            <w:pPr>
              <w:pStyle w:val="TableParagraph"/>
              <w:spacing w:before="2"/>
              <w:ind w:left="588"/>
              <w:rPr>
                <w:sz w:val="24"/>
              </w:rPr>
            </w:pPr>
            <w:r>
              <w:rPr>
                <w:sz w:val="24"/>
              </w:rPr>
              <w:t>媒介</w:t>
            </w:r>
          </w:p>
        </w:tc>
      </w:tr>
      <w:tr>
        <w:trPr>
          <w:trHeight w:val="936" w:hRule="atLeast"/>
        </w:trPr>
        <w:tc>
          <w:tcPr>
            <w:tcW w:w="2230" w:type="dxa"/>
          </w:tcPr>
          <w:p>
            <w:pPr>
              <w:pStyle w:val="TableParagraph"/>
              <w:spacing w:before="80"/>
              <w:rPr>
                <w:sz w:val="24"/>
              </w:rPr>
            </w:pPr>
            <w:r>
              <w:rPr>
                <w:sz w:val="24"/>
              </w:rPr>
              <w:t>销售服务费</w:t>
            </w:r>
          </w:p>
        </w:tc>
        <w:tc>
          <w:tcPr>
            <w:tcW w:w="6070" w:type="dxa"/>
          </w:tcPr>
          <w:p>
            <w:pPr>
              <w:pStyle w:val="TableParagraph"/>
              <w:spacing w:before="80"/>
              <w:ind w:left="588"/>
              <w:rPr>
                <w:sz w:val="24"/>
              </w:rPr>
            </w:pPr>
            <w:r>
              <w:rPr>
                <w:sz w:val="24"/>
              </w:rPr>
              <w:t>指从基金财产中计提的，用于本基金市场推广、销</w:t>
            </w:r>
          </w:p>
          <w:p>
            <w:pPr>
              <w:pStyle w:val="TableParagraph"/>
              <w:spacing w:before="160"/>
              <w:ind w:left="588"/>
              <w:rPr>
                <w:sz w:val="24"/>
              </w:rPr>
            </w:pPr>
            <w:r>
              <w:rPr>
                <w:sz w:val="24"/>
              </w:rPr>
              <w:t>售以及基金份额持有人服务的费用</w:t>
            </w:r>
          </w:p>
        </w:tc>
      </w:tr>
      <w:tr>
        <w:trPr>
          <w:trHeight w:val="2694" w:hRule="atLeast"/>
        </w:trPr>
        <w:tc>
          <w:tcPr>
            <w:tcW w:w="2230" w:type="dxa"/>
          </w:tcPr>
          <w:p>
            <w:pPr>
              <w:pStyle w:val="TableParagraph"/>
              <w:spacing w:before="80"/>
              <w:rPr>
                <w:sz w:val="24"/>
              </w:rPr>
            </w:pPr>
            <w:r>
              <w:rPr>
                <w:sz w:val="24"/>
              </w:rPr>
              <w:t>不可抗力</w:t>
            </w:r>
          </w:p>
        </w:tc>
        <w:tc>
          <w:tcPr>
            <w:tcW w:w="6070" w:type="dxa"/>
          </w:tcPr>
          <w:p>
            <w:pPr>
              <w:pStyle w:val="TableParagraph"/>
              <w:spacing w:line="364" w:lineRule="auto" w:before="80"/>
              <w:ind w:left="588" w:right="200"/>
              <w:rPr>
                <w:sz w:val="24"/>
              </w:rPr>
            </w:pPr>
            <w:r>
              <w:rPr>
                <w:spacing w:val="-9"/>
                <w:sz w:val="24"/>
              </w:rPr>
              <w:t>指本合同当事人不能预见、不能避免且不能克服的</w:t>
            </w:r>
            <w:r>
              <w:rPr>
                <w:spacing w:val="-14"/>
                <w:sz w:val="24"/>
              </w:rPr>
              <w:t>客观事件或因素，包括但不限于洪水、地震及其他</w:t>
            </w:r>
            <w:r>
              <w:rPr>
                <w:spacing w:val="-15"/>
                <w:sz w:val="24"/>
              </w:rPr>
              <w:t>自然灾害、战争、疫情、骚乱、火灾、政府征用、</w:t>
            </w:r>
            <w:r>
              <w:rPr>
                <w:spacing w:val="-11"/>
                <w:sz w:val="24"/>
              </w:rPr>
              <w:t>没收、恐怖袭击、传染病传播、法律法规变化、突</w:t>
            </w:r>
            <w:r>
              <w:rPr>
                <w:spacing w:val="-15"/>
                <w:sz w:val="24"/>
              </w:rPr>
              <w:t>发停电或其他突发事件、证券交易场所非正常暂停</w:t>
            </w:r>
          </w:p>
          <w:p>
            <w:pPr>
              <w:pStyle w:val="TableParagraph"/>
              <w:spacing w:line="254" w:lineRule="exact" w:before="4"/>
              <w:ind w:left="588"/>
              <w:rPr>
                <w:sz w:val="24"/>
              </w:rPr>
            </w:pPr>
            <w:r>
              <w:rPr>
                <w:sz w:val="24"/>
              </w:rPr>
              <w:t>或停止交易等</w:t>
            </w:r>
          </w:p>
        </w:tc>
      </w:tr>
    </w:tbl>
    <w:p>
      <w:pPr>
        <w:pStyle w:val="BodyText"/>
        <w:spacing w:before="7"/>
        <w:ind w:left="0" w:firstLine="0"/>
        <w:rPr>
          <w:sz w:val="10"/>
        </w:rPr>
      </w:pPr>
    </w:p>
    <w:p>
      <w:pPr>
        <w:pStyle w:val="BodyText"/>
        <w:tabs>
          <w:tab w:pos="3180" w:val="left" w:leader="none"/>
        </w:tabs>
        <w:spacing w:before="66"/>
        <w:ind w:left="540" w:firstLine="0"/>
      </w:pPr>
      <w:r>
        <w:rPr/>
        <w:t>流动性受限资产</w:t>
        <w:tab/>
        <w:t>指由于法律法规</w:t>
      </w:r>
      <w:r>
        <w:rPr>
          <w:spacing w:val="-17"/>
        </w:rPr>
        <w:t>、</w:t>
      </w:r>
      <w:r>
        <w:rPr/>
        <w:t>监管</w:t>
      </w:r>
      <w:r>
        <w:rPr>
          <w:spacing w:val="-17"/>
        </w:rPr>
        <w:t>、</w:t>
      </w:r>
      <w:r>
        <w:rPr/>
        <w:t>合同或操作障碍等原因无</w:t>
      </w:r>
    </w:p>
    <w:p>
      <w:pPr>
        <w:spacing w:after="0"/>
        <w:sectPr>
          <w:pgSz w:w="11910" w:h="16840"/>
          <w:pgMar w:header="0" w:footer="914" w:top="1520" w:bottom="1100" w:left="1680" w:right="1420"/>
        </w:sectPr>
      </w:pPr>
    </w:p>
    <w:p>
      <w:pPr>
        <w:pStyle w:val="BodyText"/>
        <w:spacing w:line="364" w:lineRule="auto" w:before="41"/>
        <w:ind w:left="3181" w:right="378" w:firstLine="0"/>
        <w:jc w:val="both"/>
      </w:pPr>
      <w:r>
        <w:rPr>
          <w:spacing w:val="-4"/>
        </w:rPr>
        <w:t>法以合理价格予以变现的资产，包括但不限于到期</w:t>
      </w:r>
      <w:r>
        <w:rPr>
          <w:spacing w:val="7"/>
        </w:rPr>
        <w:t>日在 </w:t>
      </w:r>
      <w:r>
        <w:rPr>
          <w:rFonts w:ascii="Times New Roman" w:eastAsia="Times New Roman"/>
        </w:rPr>
        <w:t>10 </w:t>
      </w:r>
      <w:r>
        <w:rPr>
          <w:spacing w:val="8"/>
        </w:rPr>
        <w:t>个交易日以上的逆回购与银行定期存款</w:t>
      </w:r>
    </w:p>
    <w:p>
      <w:pPr>
        <w:pStyle w:val="BodyText"/>
        <w:spacing w:line="364" w:lineRule="auto" w:before="1"/>
        <w:ind w:left="3181" w:right="378" w:firstLine="0"/>
        <w:jc w:val="both"/>
      </w:pPr>
      <w:r>
        <w:rPr>
          <w:spacing w:val="4"/>
        </w:rPr>
        <w:t>（</w:t>
      </w:r>
      <w:r>
        <w:rPr/>
        <w:t>含协议约定有条件提前支取的银行存款</w:t>
      </w:r>
      <w:r>
        <w:rPr>
          <w:spacing w:val="-116"/>
        </w:rPr>
        <w:t>）</w:t>
      </w:r>
      <w:r>
        <w:rPr>
          <w:spacing w:val="1"/>
        </w:rPr>
        <w:t>、停牌</w:t>
      </w:r>
      <w:r>
        <w:rPr>
          <w:spacing w:val="-6"/>
        </w:rPr>
        <w:t>股票、流通受限的新股及非公开发行股票、资产支</w:t>
      </w:r>
      <w:r>
        <w:rPr>
          <w:spacing w:val="-7"/>
        </w:rPr>
        <w:t>持证券、因发行人债务违约无法进行转让或交易的</w:t>
      </w:r>
      <w:r>
        <w:rPr/>
        <w:t>债券等</w:t>
      </w:r>
    </w:p>
    <w:p>
      <w:pPr>
        <w:spacing w:after="0" w:line="364" w:lineRule="auto"/>
        <w:jc w:val="both"/>
        <w:sectPr>
          <w:pgSz w:w="11910" w:h="16840"/>
          <w:pgMar w:header="0" w:footer="914" w:top="1460" w:bottom="1180" w:left="1680" w:right="1420"/>
        </w:sectPr>
      </w:pPr>
    </w:p>
    <w:p>
      <w:pPr>
        <w:pStyle w:val="BodyText"/>
        <w:spacing w:before="2"/>
        <w:ind w:left="0" w:firstLine="0"/>
        <w:rPr>
          <w:sz w:val="28"/>
        </w:rPr>
      </w:pPr>
    </w:p>
    <w:p>
      <w:pPr>
        <w:pStyle w:val="Heading1"/>
        <w:spacing w:before="67"/>
        <w:ind w:left="427" w:right="262"/>
        <w:jc w:val="center"/>
      </w:pPr>
      <w:bookmarkStart w:name="_bookmark1" w:id="2"/>
      <w:bookmarkEnd w:id="2"/>
      <w:r>
        <w:rPr>
          <w:b w:val="0"/>
        </w:rPr>
      </w:r>
      <w:r>
        <w:rPr/>
        <w:t>二、基金的基本情况</w:t>
      </w:r>
    </w:p>
    <w:p>
      <w:pPr>
        <w:pStyle w:val="BodyText"/>
        <w:spacing w:before="2"/>
        <w:ind w:left="0" w:firstLine="0"/>
        <w:rPr>
          <w:b/>
          <w:sz w:val="29"/>
        </w:rPr>
      </w:pPr>
    </w:p>
    <w:p>
      <w:pPr>
        <w:spacing w:before="0"/>
        <w:ind w:left="602" w:right="0" w:firstLine="0"/>
        <w:jc w:val="left"/>
        <w:rPr>
          <w:b/>
          <w:sz w:val="24"/>
        </w:rPr>
      </w:pPr>
      <w:r>
        <w:rPr>
          <w:b/>
          <w:sz w:val="24"/>
        </w:rPr>
        <w:t>（一）基金名称</w:t>
      </w:r>
    </w:p>
    <w:p>
      <w:pPr>
        <w:pStyle w:val="BodyText"/>
        <w:ind w:left="600" w:firstLine="0"/>
      </w:pPr>
      <w:r>
        <w:rPr/>
        <w:t>易方达黄金主题证券投资基金（</w:t>
      </w:r>
      <w:r>
        <w:rPr>
          <w:rFonts w:ascii="Times New Roman" w:eastAsia="Times New Roman"/>
        </w:rPr>
        <w:t>LOF</w:t>
      </w:r>
      <w:r>
        <w:rPr/>
        <w:t>）</w:t>
      </w:r>
    </w:p>
    <w:p>
      <w:pPr>
        <w:pStyle w:val="BodyText"/>
        <w:spacing w:before="0"/>
        <w:ind w:left="0" w:firstLine="0"/>
        <w:rPr>
          <w:sz w:val="26"/>
        </w:rPr>
      </w:pPr>
    </w:p>
    <w:p>
      <w:pPr>
        <w:pStyle w:val="BodyText"/>
        <w:spacing w:before="9"/>
        <w:ind w:left="0" w:firstLine="0"/>
        <w:rPr>
          <w:sz w:val="18"/>
        </w:rPr>
      </w:pPr>
    </w:p>
    <w:p>
      <w:pPr>
        <w:spacing w:before="0"/>
        <w:ind w:left="602" w:right="0" w:firstLine="0"/>
        <w:jc w:val="left"/>
        <w:rPr>
          <w:b/>
          <w:sz w:val="24"/>
        </w:rPr>
      </w:pPr>
      <w:r>
        <w:rPr>
          <w:b/>
          <w:sz w:val="24"/>
        </w:rPr>
        <w:t>（二）基金的类别</w:t>
      </w:r>
    </w:p>
    <w:p>
      <w:pPr>
        <w:pStyle w:val="BodyText"/>
        <w:spacing w:before="158"/>
        <w:ind w:left="600" w:firstLine="0"/>
      </w:pPr>
      <w:r>
        <w:rPr/>
        <w:t>境外投资基金中基金（</w:t>
      </w:r>
      <w:r>
        <w:rPr>
          <w:rFonts w:ascii="Times New Roman" w:eastAsia="Times New Roman"/>
        </w:rPr>
        <w:t>FOF</w:t>
      </w:r>
      <w:r>
        <w:rPr/>
        <w:t>）</w:t>
      </w:r>
    </w:p>
    <w:p>
      <w:pPr>
        <w:pStyle w:val="BodyText"/>
        <w:spacing w:before="0"/>
        <w:ind w:left="0" w:firstLine="0"/>
        <w:rPr>
          <w:sz w:val="26"/>
        </w:rPr>
      </w:pPr>
    </w:p>
    <w:p>
      <w:pPr>
        <w:pStyle w:val="BodyText"/>
        <w:spacing w:before="10"/>
        <w:ind w:left="0" w:firstLine="0"/>
        <w:rPr>
          <w:sz w:val="18"/>
        </w:rPr>
      </w:pPr>
    </w:p>
    <w:p>
      <w:pPr>
        <w:spacing w:line="364" w:lineRule="auto" w:before="0"/>
        <w:ind w:left="600" w:right="5792" w:firstLine="2"/>
        <w:jc w:val="left"/>
        <w:rPr>
          <w:sz w:val="24"/>
        </w:rPr>
      </w:pPr>
      <w:r>
        <w:rPr>
          <w:b/>
          <w:sz w:val="24"/>
        </w:rPr>
        <w:t>（三）基金的运作方式</w:t>
      </w:r>
      <w:r>
        <w:rPr>
          <w:sz w:val="24"/>
        </w:rPr>
        <w:t>契约型、上市开放式</w:t>
      </w:r>
    </w:p>
    <w:p>
      <w:pPr>
        <w:pStyle w:val="BodyText"/>
        <w:spacing w:before="4"/>
        <w:ind w:left="0" w:firstLine="0"/>
        <w:rPr>
          <w:sz w:val="32"/>
        </w:rPr>
      </w:pPr>
    </w:p>
    <w:p>
      <w:pPr>
        <w:spacing w:before="0"/>
        <w:ind w:left="602" w:right="0" w:firstLine="0"/>
        <w:jc w:val="left"/>
        <w:rPr>
          <w:b/>
          <w:sz w:val="24"/>
        </w:rPr>
      </w:pPr>
      <w:r>
        <w:rPr>
          <w:b/>
          <w:sz w:val="24"/>
        </w:rPr>
        <w:t>（四）基金的投资目标</w:t>
      </w:r>
    </w:p>
    <w:p>
      <w:pPr>
        <w:pStyle w:val="BodyText"/>
        <w:spacing w:before="7"/>
        <w:ind w:left="0" w:firstLine="0"/>
        <w:rPr>
          <w:b/>
          <w:sz w:val="18"/>
        </w:rPr>
      </w:pPr>
    </w:p>
    <w:p>
      <w:pPr>
        <w:pStyle w:val="BodyText"/>
        <w:spacing w:before="0"/>
        <w:ind w:left="600" w:firstLine="0"/>
      </w:pPr>
      <w:r>
        <w:rPr/>
        <w:t>追求基金资产的长期稳定增值。</w:t>
      </w:r>
    </w:p>
    <w:p>
      <w:pPr>
        <w:pStyle w:val="BodyText"/>
        <w:spacing w:before="0"/>
        <w:ind w:left="0" w:firstLine="0"/>
      </w:pPr>
    </w:p>
    <w:p>
      <w:pPr>
        <w:pStyle w:val="BodyText"/>
        <w:spacing w:before="11"/>
        <w:ind w:left="0" w:firstLine="0"/>
        <w:rPr>
          <w:sz w:val="18"/>
        </w:rPr>
      </w:pPr>
    </w:p>
    <w:p>
      <w:pPr>
        <w:spacing w:before="0"/>
        <w:ind w:left="602" w:right="0" w:firstLine="0"/>
        <w:jc w:val="left"/>
        <w:rPr>
          <w:b/>
          <w:sz w:val="24"/>
        </w:rPr>
      </w:pPr>
      <w:r>
        <w:rPr>
          <w:b/>
          <w:sz w:val="24"/>
        </w:rPr>
        <w:t>（五）基金的最低募集份额总额和最低募集金额</w:t>
      </w:r>
    </w:p>
    <w:p>
      <w:pPr>
        <w:pStyle w:val="BodyText"/>
        <w:ind w:left="600" w:firstLine="0"/>
      </w:pPr>
      <w:r>
        <w:rPr/>
        <w:t>本基金的最低募集份额总额为 </w:t>
      </w:r>
      <w:r>
        <w:rPr>
          <w:rFonts w:ascii="Times New Roman" w:eastAsia="Times New Roman"/>
        </w:rPr>
        <w:t>2 </w:t>
      </w:r>
      <w:r>
        <w:rPr/>
        <w:t>亿份，基金募集金额不少于 </w:t>
      </w:r>
      <w:r>
        <w:rPr>
          <w:rFonts w:ascii="Times New Roman" w:eastAsia="Times New Roman"/>
        </w:rPr>
        <w:t>2 </w:t>
      </w:r>
      <w:r>
        <w:rPr/>
        <w:t>亿元人民币。</w:t>
      </w:r>
    </w:p>
    <w:p>
      <w:pPr>
        <w:pStyle w:val="BodyText"/>
        <w:spacing w:before="0"/>
        <w:ind w:left="0" w:firstLine="0"/>
        <w:rPr>
          <w:sz w:val="26"/>
        </w:rPr>
      </w:pPr>
    </w:p>
    <w:p>
      <w:pPr>
        <w:pStyle w:val="BodyText"/>
        <w:spacing w:before="9"/>
        <w:ind w:left="0" w:firstLine="0"/>
        <w:rPr>
          <w:sz w:val="18"/>
        </w:rPr>
      </w:pPr>
    </w:p>
    <w:p>
      <w:pPr>
        <w:spacing w:line="424" w:lineRule="auto" w:before="1"/>
        <w:ind w:left="600" w:right="4348" w:firstLine="2"/>
        <w:jc w:val="left"/>
        <w:rPr>
          <w:sz w:val="24"/>
        </w:rPr>
      </w:pPr>
      <w:r>
        <w:rPr>
          <w:b/>
          <w:sz w:val="24"/>
        </w:rPr>
        <w:t>（六）基金份额初始面值和认购费用</w:t>
      </w:r>
      <w:r>
        <w:rPr>
          <w:sz w:val="24"/>
        </w:rPr>
        <w:t>本基金以人民币募集。</w:t>
      </w:r>
    </w:p>
    <w:p>
      <w:pPr>
        <w:pStyle w:val="BodyText"/>
        <w:spacing w:line="232" w:lineRule="exact" w:before="0"/>
        <w:ind w:left="600" w:firstLine="0"/>
      </w:pPr>
      <w:r>
        <w:rPr/>
        <w:t>基金份额初始面值为人民币 </w:t>
      </w:r>
      <w:r>
        <w:rPr>
          <w:rFonts w:ascii="Times New Roman" w:eastAsia="Times New Roman"/>
        </w:rPr>
        <w:t>1.00 </w:t>
      </w:r>
      <w:r>
        <w:rPr/>
        <w:t>元。</w:t>
      </w:r>
    </w:p>
    <w:p>
      <w:pPr>
        <w:pStyle w:val="BodyText"/>
        <w:spacing w:before="160"/>
        <w:ind w:left="600" w:firstLine="0"/>
      </w:pPr>
      <w:r>
        <w:rPr/>
        <w:t>本基金认购费率最高不超过 </w:t>
      </w:r>
      <w:r>
        <w:rPr>
          <w:rFonts w:ascii="Times New Roman" w:eastAsia="Times New Roman"/>
        </w:rPr>
        <w:t>5%</w:t>
      </w:r>
      <w:r>
        <w:rPr/>
        <w:t>，具体费率按《招募说明书》的规定执行。</w:t>
      </w:r>
    </w:p>
    <w:p>
      <w:pPr>
        <w:pStyle w:val="BodyText"/>
        <w:spacing w:before="0"/>
        <w:ind w:left="0" w:firstLine="0"/>
        <w:rPr>
          <w:sz w:val="26"/>
        </w:rPr>
      </w:pPr>
    </w:p>
    <w:p>
      <w:pPr>
        <w:spacing w:line="364" w:lineRule="auto" w:before="216"/>
        <w:ind w:left="600" w:right="6032" w:firstLine="2"/>
        <w:jc w:val="left"/>
        <w:rPr>
          <w:sz w:val="24"/>
        </w:rPr>
      </w:pPr>
      <w:r>
        <w:rPr>
          <w:b/>
          <w:sz w:val="24"/>
        </w:rPr>
        <w:t>（七）基金存续期限</w:t>
      </w:r>
      <w:r>
        <w:rPr>
          <w:sz w:val="24"/>
        </w:rPr>
        <w:t>不定期。</w:t>
      </w:r>
    </w:p>
    <w:p>
      <w:pPr>
        <w:pStyle w:val="BodyText"/>
        <w:spacing w:before="5"/>
        <w:ind w:left="0" w:firstLine="0"/>
        <w:rPr>
          <w:sz w:val="32"/>
        </w:rPr>
      </w:pPr>
    </w:p>
    <w:p>
      <w:pPr>
        <w:spacing w:before="0"/>
        <w:ind w:left="602" w:right="0" w:firstLine="0"/>
        <w:jc w:val="left"/>
        <w:rPr>
          <w:b/>
          <w:sz w:val="24"/>
        </w:rPr>
      </w:pPr>
      <w:r>
        <w:rPr>
          <w:b/>
          <w:sz w:val="24"/>
        </w:rPr>
        <w:t>（八）基金份额类别及销售币种</w:t>
      </w:r>
    </w:p>
    <w:p>
      <w:pPr>
        <w:pStyle w:val="BodyText"/>
        <w:spacing w:before="6"/>
        <w:ind w:left="0" w:firstLine="0"/>
        <w:rPr>
          <w:b/>
          <w:sz w:val="18"/>
        </w:rPr>
      </w:pPr>
    </w:p>
    <w:p>
      <w:pPr>
        <w:pStyle w:val="BodyText"/>
        <w:spacing w:line="364" w:lineRule="auto" w:before="1"/>
        <w:ind w:right="376"/>
        <w:jc w:val="both"/>
      </w:pPr>
      <w:r>
        <w:rPr>
          <w:spacing w:val="-6"/>
        </w:rPr>
        <w:t>本基金将基金份额分为不同的类别。在投资人申购基金时收取申购费用，并</w:t>
      </w:r>
      <w:r>
        <w:rPr>
          <w:spacing w:val="-1"/>
        </w:rPr>
        <w:t>不再从本类别基金资产中计提销售服务费的基金份额，称为 </w:t>
      </w:r>
      <w:r>
        <w:rPr>
          <w:rFonts w:ascii="Times New Roman" w:eastAsia="Times New Roman"/>
        </w:rPr>
        <w:t>A </w:t>
      </w:r>
      <w:r>
        <w:rPr>
          <w:spacing w:val="-3"/>
        </w:rPr>
        <w:t>类基金份额；从</w:t>
      </w:r>
      <w:r>
        <w:rPr>
          <w:spacing w:val="-1"/>
        </w:rPr>
        <w:t>本类别基金资产中计提销售服务费，并不收取申购费用的基金份额，称为 </w:t>
      </w:r>
      <w:r>
        <w:rPr>
          <w:rFonts w:ascii="Times New Roman" w:eastAsia="Times New Roman"/>
        </w:rPr>
        <w:t>C</w:t>
      </w:r>
      <w:r>
        <w:rPr>
          <w:rFonts w:ascii="Times New Roman" w:eastAsia="Times New Roman"/>
          <w:spacing w:val="53"/>
        </w:rPr>
        <w:t> </w:t>
      </w:r>
      <w:r>
        <w:rPr>
          <w:spacing w:val="-16"/>
        </w:rPr>
        <w:t>类</w:t>
      </w:r>
    </w:p>
    <w:p>
      <w:pPr>
        <w:spacing w:after="0" w:line="364" w:lineRule="auto"/>
        <w:jc w:val="both"/>
        <w:sectPr>
          <w:pgSz w:w="11910" w:h="16840"/>
          <w:pgMar w:header="0" w:footer="914" w:top="1580" w:bottom="1180" w:left="1680" w:right="1420"/>
        </w:sectPr>
      </w:pPr>
    </w:p>
    <w:p>
      <w:pPr>
        <w:pStyle w:val="BodyText"/>
        <w:spacing w:line="364" w:lineRule="auto" w:before="41"/>
        <w:ind w:right="378" w:firstLine="0"/>
      </w:pPr>
      <w:r>
        <w:rPr>
          <w:spacing w:val="-10"/>
        </w:rPr>
        <w:t>基金份额。在每一份额类别内，根据申购、赎回计价币种的不同，分为人民币份</w:t>
      </w:r>
      <w:r>
        <w:rPr/>
        <w:t>额和美元份额（特指美元现汇基金份额，下同</w:t>
      </w:r>
      <w:r>
        <w:rPr>
          <w:spacing w:val="-119"/>
        </w:rPr>
        <w:t>）</w:t>
      </w:r>
      <w:r>
        <w:rPr/>
        <w:t>。</w:t>
      </w:r>
    </w:p>
    <w:p>
      <w:pPr>
        <w:pStyle w:val="BodyText"/>
        <w:spacing w:line="364" w:lineRule="auto" w:before="1"/>
        <w:ind w:right="376"/>
        <w:jc w:val="both"/>
      </w:pPr>
      <w:r>
        <w:rPr>
          <w:spacing w:val="-12"/>
        </w:rPr>
        <w:t>本基金对 </w:t>
      </w:r>
      <w:r>
        <w:rPr>
          <w:rFonts w:ascii="Times New Roman" w:eastAsia="Times New Roman"/>
        </w:rPr>
        <w:t>A </w:t>
      </w:r>
      <w:r>
        <w:rPr>
          <w:spacing w:val="-5"/>
        </w:rPr>
        <w:t>类人民币份额、</w:t>
      </w:r>
      <w:r>
        <w:rPr>
          <w:rFonts w:ascii="Times New Roman" w:eastAsia="Times New Roman"/>
        </w:rPr>
        <w:t>A </w:t>
      </w:r>
      <w:r>
        <w:rPr>
          <w:spacing w:val="-6"/>
        </w:rPr>
        <w:t>类美元份额、</w:t>
      </w:r>
      <w:r>
        <w:rPr>
          <w:rFonts w:ascii="Times New Roman" w:eastAsia="Times New Roman"/>
        </w:rPr>
        <w:t>C </w:t>
      </w:r>
      <w:r>
        <w:rPr>
          <w:spacing w:val="-5"/>
        </w:rPr>
        <w:t>类人民币份额、</w:t>
      </w:r>
      <w:r>
        <w:rPr>
          <w:rFonts w:ascii="Times New Roman" w:eastAsia="Times New Roman"/>
        </w:rPr>
        <w:t>C </w:t>
      </w:r>
      <w:r>
        <w:rPr>
          <w:spacing w:val="-3"/>
        </w:rPr>
        <w:t>类美元份额</w:t>
      </w:r>
      <w:r>
        <w:rPr>
          <w:spacing w:val="-10"/>
        </w:rPr>
        <w:t>分别设置代码，分别计算并公布基金份额净值和基金份额累计净值。同类别的人</w:t>
      </w:r>
      <w:r>
        <w:rPr>
          <w:spacing w:val="-6"/>
        </w:rPr>
        <w:t>民币份额和美元份额合并投资运作，共同承担投资换汇产生的费用。投资者在认</w:t>
      </w:r>
      <w:r>
        <w:rPr/>
        <w:t>购、申购基金份额时可自行选择基金份额类别，并交付相应币种的款项。</w:t>
      </w:r>
    </w:p>
    <w:p>
      <w:pPr>
        <w:pStyle w:val="BodyText"/>
        <w:spacing w:line="364" w:lineRule="auto" w:before="3"/>
        <w:ind w:right="376"/>
        <w:jc w:val="both"/>
      </w:pPr>
      <w:r>
        <w:rPr>
          <w:spacing w:val="-7"/>
        </w:rPr>
        <w:t>有关基金份额类别的具体设置、费率水平等由基金管理人确定，并在招募说</w:t>
      </w:r>
      <w:r>
        <w:rPr>
          <w:spacing w:val="-11"/>
        </w:rPr>
        <w:t>明书中公告。根据基金销售情况，基金管理人可在不违反法律法规以及对基金份</w:t>
      </w:r>
      <w:r>
        <w:rPr>
          <w:spacing w:val="-6"/>
        </w:rPr>
        <w:t>额持有人利益无实质性不利影响的情况下，增加新的基金份额类别、或者调整现</w:t>
      </w:r>
      <w:r>
        <w:rPr>
          <w:spacing w:val="-7"/>
        </w:rPr>
        <w:t>有基金份额类别的费率水平、或者停止现有基金份额类别的销售、或者增加新的</w:t>
      </w:r>
      <w:r>
        <w:rPr>
          <w:spacing w:val="-10"/>
        </w:rPr>
        <w:t>销售币种、或者调整现有基金销售币种设置、或者停止现有币种的销售等，调整</w:t>
      </w:r>
      <w:r>
        <w:rPr>
          <w:spacing w:val="-6"/>
        </w:rPr>
        <w:t>前基金管理人需及时公告并报中国证监会备案，无须召开基金份额持有人大会审</w:t>
      </w:r>
      <w:r>
        <w:rPr/>
        <w:t>议批准。</w:t>
      </w:r>
    </w:p>
    <w:p>
      <w:pPr>
        <w:pStyle w:val="BodyText"/>
        <w:spacing w:line="233" w:lineRule="exact" w:before="0"/>
        <w:ind w:left="600" w:firstLine="0"/>
      </w:pPr>
      <w:r>
        <w:rPr/>
        <w:t>除非基金管理人在未来条件成熟后另行公告开通相关业务，本基金不同基金</w:t>
      </w:r>
    </w:p>
    <w:p>
      <w:pPr>
        <w:pStyle w:val="BodyText"/>
        <w:spacing w:before="158"/>
        <w:ind w:firstLine="0"/>
      </w:pPr>
      <w:r>
        <w:rPr/>
        <w:t>份额类别之间不得互相转换。</w:t>
      </w:r>
    </w:p>
    <w:p>
      <w:pPr>
        <w:spacing w:after="0"/>
        <w:sectPr>
          <w:pgSz w:w="11910" w:h="16840"/>
          <w:pgMar w:header="0" w:footer="914" w:top="1460" w:bottom="1180" w:left="1680" w:right="1420"/>
        </w:sectPr>
      </w:pPr>
    </w:p>
    <w:p>
      <w:pPr>
        <w:pStyle w:val="BodyText"/>
        <w:spacing w:before="0"/>
        <w:ind w:left="0" w:firstLine="0"/>
        <w:rPr>
          <w:sz w:val="20"/>
        </w:rPr>
      </w:pPr>
    </w:p>
    <w:p>
      <w:pPr>
        <w:pStyle w:val="BodyText"/>
        <w:spacing w:before="1"/>
        <w:ind w:left="0" w:firstLine="0"/>
      </w:pPr>
    </w:p>
    <w:p>
      <w:pPr>
        <w:pStyle w:val="Heading1"/>
        <w:spacing w:before="67"/>
        <w:ind w:left="429" w:right="262"/>
        <w:jc w:val="center"/>
      </w:pPr>
      <w:bookmarkStart w:name="_bookmark2" w:id="3"/>
      <w:bookmarkEnd w:id="3"/>
      <w:r>
        <w:rPr>
          <w:b w:val="0"/>
        </w:rPr>
      </w:r>
      <w:r>
        <w:rPr/>
        <w:t>三、基金份额的发售</w:t>
      </w:r>
    </w:p>
    <w:p>
      <w:pPr>
        <w:pStyle w:val="BodyText"/>
        <w:spacing w:before="4"/>
        <w:ind w:left="0" w:firstLine="0"/>
        <w:rPr>
          <w:b/>
          <w:sz w:val="29"/>
        </w:rPr>
      </w:pPr>
    </w:p>
    <w:p>
      <w:pPr>
        <w:pStyle w:val="BodyText"/>
        <w:spacing w:before="0"/>
        <w:ind w:left="600" w:firstLine="0"/>
      </w:pPr>
      <w:r>
        <w:rPr/>
        <w:t>本基金 </w:t>
      </w:r>
      <w:r>
        <w:rPr>
          <w:rFonts w:ascii="Times New Roman" w:eastAsia="Times New Roman"/>
        </w:rPr>
        <w:t>A </w:t>
      </w:r>
      <w:r>
        <w:rPr/>
        <w:t>类人民币份额初始发售面值为人民币 </w:t>
      </w:r>
      <w:r>
        <w:rPr>
          <w:rFonts w:ascii="Times New Roman" w:eastAsia="Times New Roman"/>
        </w:rPr>
        <w:t>1.00 </w:t>
      </w:r>
      <w:r>
        <w:rPr/>
        <w:t>元，具体如下：</w:t>
      </w:r>
    </w:p>
    <w:p>
      <w:pPr>
        <w:spacing w:before="159"/>
        <w:ind w:left="602" w:right="0" w:firstLine="0"/>
        <w:jc w:val="left"/>
        <w:rPr>
          <w:b/>
          <w:sz w:val="24"/>
        </w:rPr>
      </w:pPr>
      <w:r>
        <w:rPr>
          <w:b/>
          <w:sz w:val="24"/>
        </w:rPr>
        <w:t>（一）募集期</w:t>
      </w:r>
    </w:p>
    <w:p>
      <w:pPr>
        <w:pStyle w:val="BodyText"/>
        <w:spacing w:line="364" w:lineRule="auto" w:before="160"/>
        <w:ind w:right="378"/>
      </w:pPr>
      <w:r>
        <w:rPr>
          <w:spacing w:val="-5"/>
        </w:rPr>
        <w:t>自基金份额发售之日起不超过 </w:t>
      </w:r>
      <w:r>
        <w:rPr>
          <w:rFonts w:ascii="Times New Roman" w:eastAsia="Times New Roman"/>
        </w:rPr>
        <w:t>3 </w:t>
      </w:r>
      <w:r>
        <w:rPr>
          <w:spacing w:val="-22"/>
        </w:rPr>
        <w:t>个月。具体发售时间见《招募说明书》及《发</w:t>
      </w:r>
      <w:r>
        <w:rPr>
          <w:spacing w:val="-24"/>
        </w:rPr>
        <w:t>售公告》。</w:t>
      </w:r>
    </w:p>
    <w:p>
      <w:pPr>
        <w:spacing w:line="306" w:lineRule="exact" w:before="0"/>
        <w:ind w:left="602" w:right="0" w:firstLine="0"/>
        <w:jc w:val="left"/>
        <w:rPr>
          <w:b/>
          <w:sz w:val="24"/>
        </w:rPr>
      </w:pPr>
      <w:r>
        <w:rPr>
          <w:b/>
          <w:sz w:val="24"/>
        </w:rPr>
        <w:t>（二）发售对象</w:t>
      </w:r>
    </w:p>
    <w:p>
      <w:pPr>
        <w:pStyle w:val="BodyText"/>
        <w:spacing w:line="362" w:lineRule="auto"/>
        <w:ind w:right="381"/>
      </w:pPr>
      <w:r>
        <w:rPr>
          <w:spacing w:val="-8"/>
        </w:rPr>
        <w:t>符合法律法规规定的个人投资者、机构投资者，以及法律法规或中国证监会</w:t>
      </w:r>
      <w:r>
        <w:rPr/>
        <w:t>允许购买开放式证券投资基金的其他投资者。</w:t>
      </w:r>
    </w:p>
    <w:p>
      <w:pPr>
        <w:spacing w:before="5"/>
        <w:ind w:left="602" w:right="0" w:firstLine="0"/>
        <w:jc w:val="left"/>
        <w:rPr>
          <w:b/>
          <w:sz w:val="24"/>
        </w:rPr>
      </w:pPr>
      <w:r>
        <w:rPr>
          <w:b/>
          <w:w w:val="95"/>
          <w:sz w:val="24"/>
        </w:rPr>
        <w:t>（三）募集目标</w:t>
      </w:r>
    </w:p>
    <w:p>
      <w:pPr>
        <w:pStyle w:val="BodyText"/>
        <w:spacing w:line="364" w:lineRule="auto" w:before="158"/>
        <w:ind w:right="377"/>
        <w:jc w:val="both"/>
      </w:pPr>
      <w:r>
        <w:rPr>
          <w:spacing w:val="-3"/>
        </w:rPr>
        <w:t>本基金将按照国家外汇局批准的额度</w:t>
      </w:r>
      <w:r>
        <w:rPr/>
        <w:t>（美元额度需折算为人民币</w:t>
      </w:r>
      <w:r>
        <w:rPr>
          <w:spacing w:val="-47"/>
        </w:rPr>
        <w:t>）</w:t>
      </w:r>
      <w:r>
        <w:rPr>
          <w:spacing w:val="-4"/>
        </w:rPr>
        <w:t>设定基金</w:t>
      </w:r>
      <w:r>
        <w:rPr>
          <w:spacing w:val="-11"/>
        </w:rPr>
        <w:t>募集规模上限，具体限售措施详见《发售公告》</w:t>
      </w:r>
      <w:r>
        <w:rPr>
          <w:spacing w:val="-15"/>
        </w:rPr>
        <w:t>。《基金合同》生效后，基金的资</w:t>
      </w:r>
      <w:r>
        <w:rPr>
          <w:spacing w:val="-17"/>
        </w:rPr>
        <w:t>产规模不受上述限制，但基金管理人有权根据基金的外汇额度控制基金申购规模</w:t>
      </w:r>
      <w:r>
        <w:rPr/>
        <w:t>并暂停基金的申购。</w:t>
      </w:r>
    </w:p>
    <w:p>
      <w:pPr>
        <w:spacing w:line="305" w:lineRule="exact" w:before="0"/>
        <w:ind w:left="602" w:right="0" w:firstLine="0"/>
        <w:jc w:val="left"/>
        <w:rPr>
          <w:b/>
          <w:sz w:val="24"/>
        </w:rPr>
      </w:pPr>
      <w:r>
        <w:rPr>
          <w:b/>
          <w:sz w:val="24"/>
        </w:rPr>
        <w:t>（四）发售方式和销售渠道</w:t>
      </w:r>
    </w:p>
    <w:p>
      <w:pPr>
        <w:pStyle w:val="BodyText"/>
        <w:ind w:left="600" w:firstLine="0"/>
      </w:pPr>
      <w:r>
        <w:rPr/>
        <w:t>本基金将通过场内和场外两种方式公开发售。</w:t>
      </w:r>
    </w:p>
    <w:p>
      <w:pPr>
        <w:pStyle w:val="ListParagraph"/>
        <w:numPr>
          <w:ilvl w:val="0"/>
          <w:numId w:val="1"/>
        </w:numPr>
        <w:tabs>
          <w:tab w:pos="1202" w:val="left" w:leader="none"/>
        </w:tabs>
        <w:spacing w:line="240" w:lineRule="auto" w:before="158" w:after="0"/>
        <w:ind w:left="1201" w:right="0" w:hanging="602"/>
        <w:jc w:val="left"/>
        <w:rPr>
          <w:sz w:val="24"/>
        </w:rPr>
      </w:pPr>
      <w:r>
        <w:rPr>
          <w:sz w:val="24"/>
        </w:rPr>
        <w:t>场内发售</w:t>
      </w:r>
    </w:p>
    <w:p>
      <w:pPr>
        <w:pStyle w:val="BodyText"/>
        <w:spacing w:line="364" w:lineRule="auto"/>
        <w:ind w:right="370"/>
        <w:jc w:val="both"/>
      </w:pPr>
      <w:r>
        <w:rPr>
          <w:spacing w:val="4"/>
        </w:rPr>
        <w:t>场内发售是指本基金募集期结束前获得基金代销资格的深圳交易所会员单</w:t>
      </w:r>
      <w:r>
        <w:rPr>
          <w:spacing w:val="-6"/>
        </w:rPr>
        <w:t>位通过场内代理发售基金份额的行为</w:t>
      </w:r>
      <w:r>
        <w:rPr/>
        <w:t>（具体名单见基金份额发售公告或相关业务公告</w:t>
      </w:r>
      <w:r>
        <w:rPr>
          <w:spacing w:val="-24"/>
        </w:rPr>
        <w:t>）</w:t>
      </w:r>
      <w:r>
        <w:rPr>
          <w:spacing w:val="-8"/>
        </w:rPr>
        <w:t>。尚未取得基金代销资格，但属于深圳证券交易所会员的其他机构，可在</w:t>
      </w:r>
      <w:r>
        <w:rPr/>
        <w:t>本基金上市后通过深圳证券交易所交易系统为投资者提供本基金的上市交易服务。</w:t>
      </w:r>
    </w:p>
    <w:p>
      <w:pPr>
        <w:pStyle w:val="ListParagraph"/>
        <w:numPr>
          <w:ilvl w:val="0"/>
          <w:numId w:val="1"/>
        </w:numPr>
        <w:tabs>
          <w:tab w:pos="1202" w:val="left" w:leader="none"/>
        </w:tabs>
        <w:spacing w:line="306" w:lineRule="exact" w:before="0" w:after="0"/>
        <w:ind w:left="1201" w:right="0" w:hanging="602"/>
        <w:jc w:val="left"/>
        <w:rPr>
          <w:sz w:val="24"/>
        </w:rPr>
      </w:pPr>
      <w:r>
        <w:rPr>
          <w:sz w:val="24"/>
        </w:rPr>
        <w:t>场外发售</w:t>
      </w:r>
    </w:p>
    <w:p>
      <w:pPr>
        <w:pStyle w:val="BodyText"/>
        <w:spacing w:line="364" w:lineRule="auto" w:before="158"/>
        <w:ind w:right="377"/>
      </w:pPr>
      <w:r>
        <w:rPr>
          <w:spacing w:val="-4"/>
        </w:rPr>
        <w:t>场外发售是指通过基金管理人的直销网点及基金代销机构的代销网点</w:t>
      </w:r>
      <w:r>
        <w:rPr/>
        <w:t>（</w:t>
      </w:r>
      <w:r>
        <w:rPr>
          <w:spacing w:val="-8"/>
        </w:rPr>
        <w:t>具体</w:t>
      </w:r>
      <w:r>
        <w:rPr/>
        <w:t>名单见基金份额发售公告）通过场外公开发售基金份额的行为。</w:t>
      </w:r>
    </w:p>
    <w:p>
      <w:pPr>
        <w:pStyle w:val="ListParagraph"/>
        <w:numPr>
          <w:ilvl w:val="0"/>
          <w:numId w:val="1"/>
        </w:numPr>
        <w:tabs>
          <w:tab w:pos="1202" w:val="left" w:leader="none"/>
        </w:tabs>
        <w:spacing w:line="364" w:lineRule="auto" w:before="0" w:after="0"/>
        <w:ind w:left="120" w:right="376" w:firstLine="479"/>
        <w:jc w:val="both"/>
        <w:rPr>
          <w:sz w:val="24"/>
        </w:rPr>
      </w:pPr>
      <w:r>
        <w:rPr>
          <w:sz w:val="24"/>
        </w:rPr>
        <w:t>通过场内认购的基金份额登记在证券登记系统基金份额持有人证券账</w:t>
      </w:r>
      <w:r>
        <w:rPr>
          <w:spacing w:val="-12"/>
          <w:sz w:val="24"/>
        </w:rPr>
        <w:t>户下，通过场外认购的基金份额登记在登记结算系统基金份额持有人开放式基金</w:t>
      </w:r>
      <w:r>
        <w:rPr>
          <w:sz w:val="24"/>
        </w:rPr>
        <w:t>账户下。</w:t>
      </w:r>
    </w:p>
    <w:p>
      <w:pPr>
        <w:pStyle w:val="BodyText"/>
        <w:spacing w:line="307" w:lineRule="exact" w:before="0"/>
        <w:ind w:left="600" w:firstLine="0"/>
      </w:pPr>
      <w:r>
        <w:rPr/>
        <w:t>登记在证券登记系统中的基金份额既可以在深圳证券交易所上市交易，也可</w:t>
      </w:r>
    </w:p>
    <w:p>
      <w:pPr>
        <w:spacing w:after="0" w:line="307" w:lineRule="exact"/>
        <w:sectPr>
          <w:pgSz w:w="11910" w:h="16840"/>
          <w:pgMar w:header="0" w:footer="914" w:top="1580" w:bottom="1180" w:left="1680" w:right="1420"/>
        </w:sectPr>
      </w:pPr>
    </w:p>
    <w:p>
      <w:pPr>
        <w:pStyle w:val="BodyText"/>
        <w:spacing w:line="364" w:lineRule="auto" w:before="41"/>
        <w:ind w:right="376" w:firstLine="0"/>
        <w:jc w:val="both"/>
      </w:pPr>
      <w:r>
        <w:rPr>
          <w:spacing w:val="-8"/>
        </w:rPr>
        <w:t>以直接申请场内赎回；登记在证券登记系统中的基金份额如需办理场外赎回，应当办理跨系统转托管后方能实施。登记在登记结算系统中的基金份额可申请场外</w:t>
      </w:r>
      <w:r>
        <w:rPr>
          <w:spacing w:val="-10"/>
        </w:rPr>
        <w:t>赎回；登记在登记结算系统中的基金份额如需办理场内赎回，应当办理跨系统转</w:t>
      </w:r>
      <w:r>
        <w:rPr/>
        <w:t>托管后方能实施。</w:t>
      </w:r>
    </w:p>
    <w:p>
      <w:pPr>
        <w:pStyle w:val="ListParagraph"/>
        <w:numPr>
          <w:ilvl w:val="0"/>
          <w:numId w:val="1"/>
        </w:numPr>
        <w:tabs>
          <w:tab w:pos="1202" w:val="left" w:leader="none"/>
        </w:tabs>
        <w:spacing w:line="364" w:lineRule="auto" w:before="0" w:after="0"/>
        <w:ind w:left="120" w:right="377" w:firstLine="479"/>
        <w:jc w:val="both"/>
        <w:rPr>
          <w:sz w:val="24"/>
        </w:rPr>
      </w:pPr>
      <w:r>
        <w:rPr>
          <w:spacing w:val="-1"/>
          <w:sz w:val="24"/>
        </w:rPr>
        <w:t>基金销售机构对认购申请的受理并不代表该申请一定成功，而仅代表</w:t>
      </w:r>
      <w:r>
        <w:rPr>
          <w:spacing w:val="-8"/>
          <w:sz w:val="24"/>
        </w:rPr>
        <w:t>销售机构确实接收到认购申请。认购的确认以基金登记结算机构或基金管理人的</w:t>
      </w:r>
      <w:r>
        <w:rPr>
          <w:sz w:val="24"/>
        </w:rPr>
        <w:t>确认结果为准。</w:t>
      </w:r>
    </w:p>
    <w:p>
      <w:pPr>
        <w:pStyle w:val="ListParagraph"/>
        <w:numPr>
          <w:ilvl w:val="0"/>
          <w:numId w:val="1"/>
        </w:numPr>
        <w:tabs>
          <w:tab w:pos="1202" w:val="left" w:leader="none"/>
        </w:tabs>
        <w:spacing w:line="362" w:lineRule="auto" w:before="0" w:after="0"/>
        <w:ind w:left="120" w:right="384" w:firstLine="479"/>
        <w:jc w:val="left"/>
        <w:rPr>
          <w:sz w:val="24"/>
        </w:rPr>
      </w:pPr>
      <w:r>
        <w:rPr>
          <w:spacing w:val="-1"/>
          <w:sz w:val="24"/>
        </w:rPr>
        <w:t>本基金认购采取全额缴款认购的方式。基金投资者在募集期内可多次</w:t>
      </w:r>
      <w:r>
        <w:rPr>
          <w:sz w:val="24"/>
        </w:rPr>
        <w:t>认购，认购一经受理不得撤销。</w:t>
      </w:r>
    </w:p>
    <w:p>
      <w:pPr>
        <w:spacing w:before="3"/>
        <w:ind w:left="602" w:right="0" w:firstLine="0"/>
        <w:jc w:val="left"/>
        <w:rPr>
          <w:b/>
          <w:sz w:val="24"/>
        </w:rPr>
      </w:pPr>
      <w:r>
        <w:rPr>
          <w:b/>
          <w:sz w:val="24"/>
        </w:rPr>
        <w:t>（五）认购费用</w:t>
      </w:r>
    </w:p>
    <w:p>
      <w:pPr>
        <w:pStyle w:val="BodyText"/>
        <w:spacing w:before="158"/>
        <w:ind w:left="600" w:firstLine="0"/>
      </w:pPr>
      <w:r>
        <w:rPr/>
        <w:t>本基金在认购时收取认购费用。</w:t>
      </w:r>
    </w:p>
    <w:p>
      <w:pPr>
        <w:pStyle w:val="BodyText"/>
        <w:spacing w:line="364" w:lineRule="auto"/>
        <w:ind w:right="284"/>
        <w:jc w:val="both"/>
      </w:pPr>
      <w:r>
        <w:rPr>
          <w:spacing w:val="-4"/>
        </w:rPr>
        <w:t>本基金以净认购金额为基数采用比例费率计算认购费用，认购费率最高不超过净认购金额的</w:t>
      </w:r>
      <w:r>
        <w:rPr>
          <w:rFonts w:ascii="Times New Roman" w:eastAsia="Times New Roman"/>
          <w:spacing w:val="-4"/>
        </w:rPr>
        <w:t>5%</w:t>
      </w:r>
      <w:r>
        <w:rPr>
          <w:spacing w:val="-4"/>
        </w:rPr>
        <w:t>，具体在《招募说明书》中列示。基金认购费用不列入基金</w:t>
      </w:r>
      <w:r>
        <w:rPr>
          <w:spacing w:val="-5"/>
        </w:rPr>
        <w:t>财产，主要用于基金的市场推广、销售、登记结算等募集期间发生的各项费用。</w:t>
      </w:r>
    </w:p>
    <w:p>
      <w:pPr>
        <w:spacing w:line="305" w:lineRule="exact" w:before="0"/>
        <w:ind w:left="602" w:right="0" w:firstLine="0"/>
        <w:jc w:val="left"/>
        <w:rPr>
          <w:b/>
          <w:sz w:val="24"/>
        </w:rPr>
      </w:pPr>
      <w:r>
        <w:rPr>
          <w:b/>
          <w:sz w:val="24"/>
        </w:rPr>
        <w:t>（六）募集期利息的处理方式</w:t>
      </w:r>
    </w:p>
    <w:p>
      <w:pPr>
        <w:pStyle w:val="BodyText"/>
        <w:spacing w:line="364" w:lineRule="auto" w:before="160"/>
        <w:ind w:right="376"/>
      </w:pPr>
      <w:r>
        <w:rPr>
          <w:spacing w:val="-5"/>
        </w:rPr>
        <w:t>有效认购款项在募集期间产生的利息将折算为基金份额，归基金份额持有人</w:t>
      </w:r>
      <w:r>
        <w:rPr/>
        <w:t>所有，其中利息转份额以基金登记结算机构的记录为准。</w:t>
      </w:r>
    </w:p>
    <w:p>
      <w:pPr>
        <w:spacing w:line="307" w:lineRule="exact" w:before="0"/>
        <w:ind w:left="602" w:right="0" w:firstLine="0"/>
        <w:jc w:val="left"/>
        <w:rPr>
          <w:b/>
          <w:sz w:val="24"/>
        </w:rPr>
      </w:pPr>
      <w:r>
        <w:rPr>
          <w:b/>
          <w:sz w:val="24"/>
        </w:rPr>
        <w:t>（七）基金认购份额的计算</w:t>
      </w:r>
    </w:p>
    <w:p>
      <w:pPr>
        <w:pStyle w:val="BodyText"/>
        <w:ind w:left="600" w:firstLine="0"/>
      </w:pPr>
      <w:r>
        <w:rPr/>
        <w:t>基金认购份额具体的计算方法在《招募说明书》中列示。</w:t>
      </w:r>
    </w:p>
    <w:p>
      <w:pPr>
        <w:spacing w:before="158"/>
        <w:ind w:left="602" w:right="0" w:firstLine="0"/>
        <w:jc w:val="left"/>
        <w:rPr>
          <w:b/>
          <w:sz w:val="24"/>
        </w:rPr>
      </w:pPr>
      <w:r>
        <w:rPr>
          <w:b/>
          <w:sz w:val="24"/>
        </w:rPr>
        <w:t>（八）基金认购金额的具体规定</w:t>
      </w:r>
    </w:p>
    <w:p>
      <w:pPr>
        <w:pStyle w:val="BodyText"/>
        <w:spacing w:before="9"/>
        <w:ind w:left="0" w:firstLine="0"/>
        <w:rPr>
          <w:b/>
          <w:sz w:val="18"/>
        </w:rPr>
      </w:pPr>
    </w:p>
    <w:p>
      <w:pPr>
        <w:pStyle w:val="BodyText"/>
        <w:spacing w:line="364" w:lineRule="auto" w:before="0"/>
        <w:ind w:right="377"/>
        <w:jc w:val="both"/>
      </w:pPr>
      <w:r>
        <w:rPr>
          <w:spacing w:val="-8"/>
        </w:rPr>
        <w:t>投资者认购原则、认购限额、认购份额的计算公式、认购时间安排、投资者</w:t>
      </w:r>
      <w:r>
        <w:rPr>
          <w:spacing w:val="-7"/>
        </w:rPr>
        <w:t>认购应提交的文件和办理的手续等事项，由基金管理人根据相关法律法规以及本</w:t>
      </w:r>
      <w:r>
        <w:rPr/>
        <w:t>基金合同的规定确定，并在《招募说明书》和《发售公告》中披露。</w:t>
      </w:r>
    </w:p>
    <w:p>
      <w:pPr>
        <w:spacing w:after="0" w:line="364" w:lineRule="auto"/>
        <w:jc w:val="both"/>
        <w:sectPr>
          <w:pgSz w:w="11910" w:h="16840"/>
          <w:pgMar w:header="0" w:footer="914" w:top="1380" w:bottom="1180" w:left="1680" w:right="1420"/>
        </w:sectPr>
      </w:pPr>
    </w:p>
    <w:p>
      <w:pPr>
        <w:pStyle w:val="BodyText"/>
        <w:spacing w:before="0"/>
        <w:ind w:left="0" w:firstLine="0"/>
        <w:rPr>
          <w:sz w:val="20"/>
        </w:rPr>
      </w:pPr>
    </w:p>
    <w:p>
      <w:pPr>
        <w:pStyle w:val="BodyText"/>
        <w:spacing w:before="5"/>
        <w:ind w:left="0" w:firstLine="0"/>
        <w:rPr>
          <w:sz w:val="28"/>
        </w:rPr>
      </w:pPr>
    </w:p>
    <w:p>
      <w:pPr>
        <w:pStyle w:val="Heading1"/>
        <w:spacing w:before="67"/>
        <w:ind w:left="428" w:right="262"/>
        <w:jc w:val="center"/>
      </w:pPr>
      <w:bookmarkStart w:name="_bookmark3" w:id="4"/>
      <w:bookmarkEnd w:id="4"/>
      <w:r>
        <w:rPr>
          <w:b w:val="0"/>
        </w:rPr>
      </w:r>
      <w:r>
        <w:rPr/>
        <w:t>四、基金备案</w:t>
      </w:r>
    </w:p>
    <w:p>
      <w:pPr>
        <w:pStyle w:val="BodyText"/>
        <w:spacing w:before="4"/>
        <w:ind w:left="0" w:firstLine="0"/>
        <w:rPr>
          <w:b/>
          <w:sz w:val="35"/>
        </w:rPr>
      </w:pPr>
    </w:p>
    <w:p>
      <w:pPr>
        <w:spacing w:before="0"/>
        <w:ind w:left="602" w:right="0" w:firstLine="0"/>
        <w:jc w:val="left"/>
        <w:rPr>
          <w:b/>
          <w:sz w:val="24"/>
        </w:rPr>
      </w:pPr>
      <w:r>
        <w:rPr>
          <w:b/>
          <w:sz w:val="24"/>
        </w:rPr>
        <w:t>（一）基金备案的条件</w:t>
      </w:r>
    </w:p>
    <w:p>
      <w:pPr>
        <w:pStyle w:val="BodyText"/>
        <w:ind w:left="600" w:firstLine="0"/>
        <w:jc w:val="both"/>
        <w:rPr>
          <w:rFonts w:ascii="Times New Roman" w:eastAsia="Times New Roman"/>
        </w:rPr>
      </w:pPr>
      <w:r>
        <w:rPr/>
        <w:t>本基金自基金份额开始发售之日起 </w:t>
      </w:r>
      <w:r>
        <w:rPr>
          <w:rFonts w:ascii="Times New Roman" w:eastAsia="Times New Roman"/>
        </w:rPr>
        <w:t>3 </w:t>
      </w:r>
      <w:r>
        <w:rPr/>
        <w:t>个月内，在基金募集份额总额不少于 </w:t>
      </w:r>
      <w:r>
        <w:rPr>
          <w:rFonts w:ascii="Times New Roman" w:eastAsia="Times New Roman"/>
        </w:rPr>
        <w:t>2</w:t>
      </w:r>
    </w:p>
    <w:p>
      <w:pPr>
        <w:pStyle w:val="BodyText"/>
        <w:spacing w:line="364" w:lineRule="auto" w:before="160"/>
        <w:ind w:right="375" w:firstLine="0"/>
        <w:jc w:val="both"/>
      </w:pPr>
      <w:r>
        <w:rPr>
          <w:spacing w:val="-15"/>
        </w:rPr>
        <w:t>亿份，基金募集金额不少于 </w:t>
      </w:r>
      <w:r>
        <w:rPr>
          <w:rFonts w:ascii="Times New Roman" w:eastAsia="Times New Roman"/>
        </w:rPr>
        <w:t>2 </w:t>
      </w:r>
      <w:r>
        <w:rPr>
          <w:spacing w:val="-4"/>
        </w:rPr>
        <w:t>亿元人民币且基金份额持有人不少于 </w:t>
      </w:r>
      <w:r>
        <w:rPr>
          <w:rFonts w:ascii="Times New Roman" w:eastAsia="Times New Roman"/>
        </w:rPr>
        <w:t>200 </w:t>
      </w:r>
      <w:r>
        <w:rPr>
          <w:spacing w:val="-4"/>
        </w:rPr>
        <w:t>人的条件</w:t>
      </w:r>
      <w:r>
        <w:rPr/>
        <w:t>下，基金管理人依据法律法规及《招募说明书》可以决定停止基金发售，并在</w:t>
      </w:r>
      <w:r>
        <w:rPr>
          <w:rFonts w:ascii="Times New Roman" w:eastAsia="Times New Roman"/>
        </w:rPr>
        <w:t>10 </w:t>
      </w:r>
      <w:r>
        <w:rPr>
          <w:spacing w:val="-5"/>
        </w:rPr>
        <w:t>日内聘请法定验资机构验资，自收到验资报告之日起 </w:t>
      </w:r>
      <w:r>
        <w:rPr>
          <w:rFonts w:ascii="Times New Roman" w:eastAsia="Times New Roman"/>
        </w:rPr>
        <w:t>10 </w:t>
      </w:r>
      <w:r>
        <w:rPr>
          <w:spacing w:val="-6"/>
        </w:rPr>
        <w:t>日内，向中国证监会</w:t>
      </w:r>
      <w:r>
        <w:rPr/>
        <w:t>办理基金备案手续。</w:t>
      </w:r>
    </w:p>
    <w:p>
      <w:pPr>
        <w:pStyle w:val="BodyText"/>
        <w:spacing w:line="364" w:lineRule="auto" w:before="3"/>
        <w:ind w:right="376"/>
        <w:jc w:val="both"/>
      </w:pPr>
      <w:r>
        <w:rPr>
          <w:spacing w:val="-8"/>
        </w:rPr>
        <w:t>基金募集达到基金备案条件的，自基金管理人办理完毕基金备案手续并取得</w:t>
      </w:r>
      <w:r>
        <w:rPr>
          <w:spacing w:val="-10"/>
        </w:rPr>
        <w:t>中国证监会书面确认之日起，《基金合同》生效。否则《基金合同》不生效。基</w:t>
      </w:r>
      <w:r>
        <w:rPr>
          <w:spacing w:val="-15"/>
        </w:rPr>
        <w:t>金管理人在收到中国证监会确认文件的次日对《基金合同》生效事宜通过指定媒</w:t>
      </w:r>
      <w:r>
        <w:rPr>
          <w:spacing w:val="-10"/>
        </w:rPr>
        <w:t>介予以公告。基金管理人应将基金募集期间募集的资金存入专门账户，在基金募</w:t>
      </w:r>
      <w:r>
        <w:rPr/>
        <w:t>集行为结束前，任何人不得动用。</w:t>
      </w:r>
    </w:p>
    <w:p>
      <w:pPr>
        <w:pStyle w:val="BodyText"/>
        <w:spacing w:before="0"/>
        <w:ind w:left="0" w:firstLine="0"/>
      </w:pPr>
    </w:p>
    <w:p>
      <w:pPr>
        <w:spacing w:before="164"/>
        <w:ind w:left="602" w:right="0" w:firstLine="0"/>
        <w:jc w:val="left"/>
        <w:rPr>
          <w:b/>
          <w:sz w:val="24"/>
        </w:rPr>
      </w:pPr>
      <w:r>
        <w:rPr>
          <w:b/>
          <w:sz w:val="24"/>
        </w:rPr>
        <w:t>（二）基金合同不能生效时募集资金的处理方式</w:t>
      </w:r>
    </w:p>
    <w:p>
      <w:pPr>
        <w:pStyle w:val="BodyText"/>
        <w:ind w:left="600" w:firstLine="0"/>
      </w:pPr>
      <w:r>
        <w:rPr/>
        <w:t>如果《基金合同》不能生效，基金管理人应当承担下列责任：</w:t>
      </w:r>
    </w:p>
    <w:p>
      <w:pPr>
        <w:pStyle w:val="BodyText"/>
        <w:spacing w:before="160"/>
        <w:ind w:left="600" w:firstLine="0"/>
      </w:pPr>
      <w:r>
        <w:rPr>
          <w:rFonts w:ascii="Times New Roman" w:eastAsia="Times New Roman"/>
        </w:rPr>
        <w:t>1</w:t>
      </w:r>
      <w:r>
        <w:rPr/>
        <w:t>、以其固有财产承担因募集行为而产生的债务和费用；</w:t>
      </w:r>
    </w:p>
    <w:p>
      <w:pPr>
        <w:pStyle w:val="BodyText"/>
        <w:spacing w:line="364" w:lineRule="auto"/>
        <w:ind w:right="379"/>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期活期存款利息。</w:t>
      </w:r>
    </w:p>
    <w:p>
      <w:pPr>
        <w:pStyle w:val="BodyText"/>
        <w:spacing w:before="0"/>
        <w:ind w:left="0" w:firstLine="0"/>
      </w:pPr>
    </w:p>
    <w:p>
      <w:pPr>
        <w:spacing w:before="161"/>
        <w:ind w:left="602" w:right="0" w:firstLine="0"/>
        <w:jc w:val="left"/>
        <w:rPr>
          <w:b/>
          <w:sz w:val="24"/>
        </w:rPr>
      </w:pPr>
      <w:r>
        <w:rPr>
          <w:b/>
          <w:sz w:val="24"/>
        </w:rPr>
        <w:t>（三）基金存续期内的基金份额持有人数量和资产规模</w:t>
      </w:r>
    </w:p>
    <w:p>
      <w:pPr>
        <w:pStyle w:val="BodyText"/>
        <w:ind w:left="600" w:firstLine="0"/>
        <w:jc w:val="both"/>
      </w:pPr>
      <w:r>
        <w:rPr/>
        <w:t>《基金合同》生效后，基金份额持有人数量不满 </w:t>
      </w:r>
      <w:r>
        <w:rPr>
          <w:rFonts w:ascii="Times New Roman" w:eastAsia="Times New Roman"/>
        </w:rPr>
        <w:t>200 </w:t>
      </w:r>
      <w:r>
        <w:rPr/>
        <w:t>人或者基金资产净值低</w:t>
      </w:r>
    </w:p>
    <w:p>
      <w:pPr>
        <w:pStyle w:val="BodyText"/>
        <w:spacing w:line="364" w:lineRule="auto" w:before="160"/>
        <w:ind w:right="376" w:firstLine="0"/>
        <w:jc w:val="both"/>
      </w:pPr>
      <w:r>
        <w:rPr>
          <w:spacing w:val="-20"/>
        </w:rPr>
        <w:t>于 </w:t>
      </w:r>
      <w:r>
        <w:rPr>
          <w:rFonts w:ascii="Times New Roman" w:eastAsia="Times New Roman"/>
        </w:rPr>
        <w:t>5,000 </w:t>
      </w:r>
      <w:r>
        <w:rPr>
          <w:spacing w:val="-2"/>
        </w:rPr>
        <w:t>万元的，基金管理人应当及时报告中国证监会；连续 </w:t>
      </w:r>
      <w:r>
        <w:rPr>
          <w:rFonts w:ascii="Times New Roman" w:eastAsia="Times New Roman"/>
        </w:rPr>
        <w:t>20 </w:t>
      </w:r>
      <w:r>
        <w:rPr>
          <w:spacing w:val="-3"/>
        </w:rPr>
        <w:t>个工作日出现</w:t>
      </w:r>
      <w:r>
        <w:rPr>
          <w:spacing w:val="-10"/>
        </w:rPr>
        <w:t>前述情形的，基金管理人应当向中国证监会说明原因并报送解决方案。法律法规</w:t>
      </w:r>
      <w:r>
        <w:rPr/>
        <w:t>或监管部门另有规定时，从其规定。</w:t>
      </w:r>
    </w:p>
    <w:p>
      <w:pPr>
        <w:spacing w:after="0" w:line="364" w:lineRule="auto"/>
        <w:jc w:val="both"/>
        <w:sectPr>
          <w:pgSz w:w="11910" w:h="16840"/>
          <w:pgMar w:header="0" w:footer="914" w:top="1580" w:bottom="1180" w:left="1680" w:right="1420"/>
        </w:sectPr>
      </w:pPr>
    </w:p>
    <w:p>
      <w:pPr>
        <w:pStyle w:val="BodyText"/>
        <w:spacing w:before="2"/>
        <w:ind w:left="0" w:firstLine="0"/>
        <w:rPr>
          <w:sz w:val="25"/>
        </w:rPr>
      </w:pPr>
    </w:p>
    <w:p>
      <w:pPr>
        <w:pStyle w:val="Heading1"/>
        <w:spacing w:before="67"/>
        <w:ind w:left="428" w:right="262"/>
        <w:jc w:val="center"/>
      </w:pPr>
      <w:bookmarkStart w:name="_bookmark4" w:id="5"/>
      <w:bookmarkEnd w:id="5"/>
      <w:r>
        <w:rPr>
          <w:b w:val="0"/>
        </w:rPr>
      </w:r>
      <w:r>
        <w:rPr/>
        <w:t>五、基金份额的上市交易</w:t>
      </w:r>
    </w:p>
    <w:p>
      <w:pPr>
        <w:pStyle w:val="BodyText"/>
        <w:spacing w:before="0"/>
        <w:ind w:left="0" w:firstLine="0"/>
        <w:rPr>
          <w:b/>
        </w:rPr>
      </w:pPr>
    </w:p>
    <w:p>
      <w:pPr>
        <w:pStyle w:val="BodyText"/>
        <w:spacing w:before="5"/>
        <w:ind w:left="0" w:firstLine="0"/>
        <w:rPr>
          <w:b/>
          <w:sz w:val="34"/>
        </w:rPr>
      </w:pPr>
    </w:p>
    <w:p>
      <w:pPr>
        <w:spacing w:before="0"/>
        <w:ind w:left="602" w:right="0" w:firstLine="0"/>
        <w:jc w:val="left"/>
        <w:rPr>
          <w:b/>
          <w:sz w:val="24"/>
        </w:rPr>
      </w:pPr>
      <w:r>
        <w:rPr>
          <w:b/>
          <w:sz w:val="24"/>
        </w:rPr>
        <w:t>（一）基金的上市</w:t>
      </w:r>
    </w:p>
    <w:p>
      <w:pPr>
        <w:pStyle w:val="BodyText"/>
        <w:spacing w:line="364" w:lineRule="auto" w:before="160"/>
        <w:ind w:right="381"/>
      </w:pPr>
      <w:r>
        <w:rPr>
          <w:spacing w:val="-9"/>
        </w:rPr>
        <w:t>如基金具备下列条件，基金管理人可依据《深圳证券交易所证券投资基金上</w:t>
      </w:r>
      <w:r>
        <w:rPr>
          <w:spacing w:val="-15"/>
        </w:rPr>
        <w:t>市规则》，向深圳证券交易所申请 </w:t>
      </w:r>
      <w:r>
        <w:rPr>
          <w:rFonts w:ascii="Times New Roman" w:eastAsia="Times New Roman"/>
        </w:rPr>
        <w:t>A </w:t>
      </w:r>
      <w:r>
        <w:rPr/>
        <w:t>类人民币份额上市交易。</w:t>
      </w:r>
    </w:p>
    <w:p>
      <w:pPr>
        <w:pStyle w:val="BodyText"/>
        <w:spacing w:before="2"/>
        <w:ind w:left="600" w:firstLine="0"/>
      </w:pPr>
      <w:r>
        <w:rPr>
          <w:rFonts w:ascii="Times New Roman" w:eastAsia="Times New Roman"/>
        </w:rPr>
        <w:t>1</w:t>
      </w:r>
      <w:r>
        <w:rPr/>
        <w:t>、经中国证监会核准发售且基金合同生效；</w:t>
      </w:r>
    </w:p>
    <w:p>
      <w:pPr>
        <w:pStyle w:val="BodyText"/>
        <w:spacing w:before="160"/>
        <w:ind w:left="600" w:firstLine="0"/>
      </w:pPr>
      <w:r>
        <w:rPr>
          <w:rFonts w:ascii="Times New Roman" w:eastAsia="Times New Roman"/>
        </w:rPr>
        <w:t>2</w:t>
      </w:r>
      <w:r>
        <w:rPr/>
        <w:t>、基金合同期限五年以上；</w:t>
      </w:r>
    </w:p>
    <w:p>
      <w:pPr>
        <w:pStyle w:val="BodyText"/>
        <w:ind w:left="600" w:firstLine="0"/>
      </w:pPr>
      <w:r>
        <w:rPr>
          <w:rFonts w:ascii="Times New Roman" w:eastAsia="Times New Roman"/>
        </w:rPr>
        <w:t>3</w:t>
      </w:r>
      <w:r>
        <w:rPr/>
        <w:t>、基金份额持有人不少于 </w:t>
      </w:r>
      <w:r>
        <w:rPr>
          <w:rFonts w:ascii="Times New Roman" w:eastAsia="Times New Roman"/>
        </w:rPr>
        <w:t>1000 </w:t>
      </w:r>
      <w:r>
        <w:rPr/>
        <w:t>人；</w:t>
      </w:r>
    </w:p>
    <w:p>
      <w:pPr>
        <w:pStyle w:val="BodyText"/>
        <w:ind w:left="600" w:firstLine="0"/>
      </w:pPr>
      <w:r>
        <w:rPr>
          <w:rFonts w:ascii="Times New Roman" w:eastAsia="Times New Roman"/>
        </w:rPr>
        <w:t>4</w:t>
      </w:r>
      <w:r>
        <w:rPr/>
        <w:t>、基金管理人和基金托管人的资格经中国证监会核准；</w:t>
      </w:r>
    </w:p>
    <w:p>
      <w:pPr>
        <w:pStyle w:val="BodyText"/>
        <w:spacing w:before="160"/>
        <w:ind w:left="600" w:firstLine="0"/>
      </w:pPr>
      <w:r>
        <w:rPr>
          <w:rFonts w:ascii="Times New Roman" w:eastAsia="Times New Roman"/>
        </w:rPr>
        <w:t>5</w:t>
      </w:r>
      <w:r>
        <w:rPr/>
        <w:t>、深圳证券交易所要求的其他条件。</w:t>
      </w:r>
    </w:p>
    <w:p>
      <w:pPr>
        <w:spacing w:before="161"/>
        <w:ind w:left="602" w:right="0" w:firstLine="0"/>
        <w:jc w:val="left"/>
        <w:rPr>
          <w:b/>
          <w:sz w:val="24"/>
        </w:rPr>
      </w:pPr>
      <w:r>
        <w:rPr>
          <w:b/>
          <w:sz w:val="24"/>
        </w:rPr>
        <w:t>（二）上市交易的时间和地点</w:t>
      </w:r>
    </w:p>
    <w:p>
      <w:pPr>
        <w:pStyle w:val="BodyText"/>
        <w:spacing w:line="364" w:lineRule="auto" w:before="160"/>
        <w:ind w:right="376"/>
        <w:jc w:val="both"/>
      </w:pPr>
      <w:r>
        <w:rPr>
          <w:spacing w:val="-8"/>
        </w:rPr>
        <w:t>基金合同生效六个月后，在相关条件成熟的情况下，基金管理人将向深圳证</w:t>
      </w:r>
      <w:r>
        <w:rPr>
          <w:spacing w:val="-6"/>
        </w:rPr>
        <w:t>券交易所申请本基金 </w:t>
      </w:r>
      <w:r>
        <w:rPr>
          <w:rFonts w:ascii="Times New Roman" w:eastAsia="Times New Roman"/>
        </w:rPr>
        <w:t>A </w:t>
      </w:r>
      <w:r>
        <w:rPr>
          <w:spacing w:val="-4"/>
        </w:rPr>
        <w:t>类人民币份额上市交易。基金 </w:t>
      </w:r>
      <w:r>
        <w:rPr>
          <w:rFonts w:ascii="Times New Roman" w:eastAsia="Times New Roman"/>
        </w:rPr>
        <w:t>A </w:t>
      </w:r>
      <w:r>
        <w:rPr>
          <w:spacing w:val="-2"/>
        </w:rPr>
        <w:t>类人民币份额获准在深</w:t>
      </w:r>
      <w:r>
        <w:rPr>
          <w:spacing w:val="-11"/>
        </w:rPr>
        <w:t>圳证券交易所上市交易的，基金管理人应在基金 </w:t>
      </w:r>
      <w:r>
        <w:rPr>
          <w:rFonts w:ascii="Times New Roman" w:eastAsia="Times New Roman"/>
        </w:rPr>
        <w:t>A </w:t>
      </w:r>
      <w:r>
        <w:rPr>
          <w:spacing w:val="-5"/>
        </w:rPr>
        <w:t>类人民币份额上市日前至少 </w:t>
      </w:r>
      <w:r>
        <w:rPr>
          <w:rFonts w:ascii="Times New Roman" w:eastAsia="Times New Roman"/>
          <w:spacing w:val="-15"/>
        </w:rPr>
        <w:t>3 </w:t>
      </w:r>
      <w:r>
        <w:rPr/>
        <w:t>个工作日发布基金上市交易公告书。</w:t>
      </w:r>
    </w:p>
    <w:p>
      <w:pPr>
        <w:pStyle w:val="BodyText"/>
        <w:spacing w:line="364" w:lineRule="auto" w:before="3"/>
        <w:ind w:right="376"/>
        <w:jc w:val="both"/>
      </w:pPr>
      <w:r>
        <w:rPr>
          <w:rFonts w:ascii="Times New Roman" w:eastAsia="Times New Roman"/>
        </w:rPr>
        <w:t>A </w:t>
      </w:r>
      <w:r>
        <w:rPr/>
        <w:t>类人民币份额上市后，登记在证券登记系统中的 </w:t>
      </w:r>
      <w:r>
        <w:rPr>
          <w:rFonts w:ascii="Times New Roman" w:eastAsia="Times New Roman"/>
        </w:rPr>
        <w:t>A </w:t>
      </w:r>
      <w:r>
        <w:rPr/>
        <w:t>类人民币份额可直接在深圳证券交易所上市交易；登记在登记结算系统中的 </w:t>
      </w:r>
      <w:r>
        <w:rPr>
          <w:rFonts w:ascii="Times New Roman" w:eastAsia="Times New Roman"/>
        </w:rPr>
        <w:t>A </w:t>
      </w:r>
      <w:r>
        <w:rPr/>
        <w:t>类人民币份额通过办理跨系统转托管业务将 </w:t>
      </w:r>
      <w:r>
        <w:rPr>
          <w:rFonts w:ascii="Times New Roman" w:eastAsia="Times New Roman"/>
        </w:rPr>
        <w:t>A </w:t>
      </w:r>
      <w:r>
        <w:rPr/>
        <w:t>类人民币份额转至证券登记系统后，方可上市交易。</w:t>
      </w:r>
    </w:p>
    <w:p>
      <w:pPr>
        <w:spacing w:before="2"/>
        <w:ind w:left="602" w:right="0" w:firstLine="0"/>
        <w:jc w:val="left"/>
        <w:rPr>
          <w:b/>
          <w:sz w:val="24"/>
        </w:rPr>
      </w:pPr>
      <w:r>
        <w:rPr>
          <w:b/>
          <w:sz w:val="24"/>
        </w:rPr>
        <w:t>（三）上市交易的规则</w:t>
      </w:r>
    </w:p>
    <w:p>
      <w:pPr>
        <w:pStyle w:val="BodyText"/>
        <w:spacing w:line="364" w:lineRule="auto" w:before="160"/>
        <w:ind w:right="378"/>
        <w:jc w:val="both"/>
      </w:pPr>
      <w:r>
        <w:rPr>
          <w:spacing w:val="-4"/>
        </w:rPr>
        <w:t>本基金 </w:t>
      </w:r>
      <w:r>
        <w:rPr>
          <w:rFonts w:ascii="Times New Roman" w:eastAsia="Times New Roman"/>
        </w:rPr>
        <w:t>A </w:t>
      </w:r>
      <w:r>
        <w:rPr>
          <w:spacing w:val="-1"/>
        </w:rPr>
        <w:t>类人民币份额在深圳证券交易所的上市交易需遵照《深圳证券交</w:t>
      </w:r>
      <w:r>
        <w:rPr>
          <w:spacing w:val="-20"/>
        </w:rPr>
        <w:t>易所交易规则》、《深圳证券交易所证券投资基金上市规则》等有关规定，包括但</w:t>
      </w:r>
      <w:r>
        <w:rPr/>
        <w:t>不限于：</w:t>
      </w:r>
    </w:p>
    <w:p>
      <w:pPr>
        <w:pStyle w:val="BodyText"/>
        <w:spacing w:line="364" w:lineRule="auto" w:before="2"/>
        <w:ind w:right="376"/>
        <w:jc w:val="both"/>
      </w:pPr>
      <w:r>
        <w:rPr>
          <w:rFonts w:ascii="Times New Roman" w:eastAsia="Times New Roman"/>
        </w:rPr>
        <w:t>1</w:t>
      </w:r>
      <w:r>
        <w:rPr>
          <w:spacing w:val="-19"/>
        </w:rPr>
        <w:t>、本基金 </w:t>
      </w:r>
      <w:r>
        <w:rPr>
          <w:rFonts w:ascii="Times New Roman" w:eastAsia="Times New Roman"/>
        </w:rPr>
        <w:t>A </w:t>
      </w:r>
      <w:r>
        <w:rPr>
          <w:spacing w:val="-1"/>
        </w:rPr>
        <w:t>类人民币份额上市首日的开盘参考价为上市前最新公布的基金</w:t>
      </w:r>
      <w:r>
        <w:rPr/>
        <w:t>份额净值；</w:t>
      </w:r>
    </w:p>
    <w:p>
      <w:pPr>
        <w:pStyle w:val="BodyText"/>
        <w:spacing w:line="364" w:lineRule="auto" w:before="2"/>
        <w:ind w:right="330"/>
        <w:jc w:val="both"/>
      </w:pPr>
      <w:r>
        <w:rPr>
          <w:rFonts w:ascii="Times New Roman" w:eastAsia="Times New Roman"/>
        </w:rPr>
        <w:t>2</w:t>
      </w:r>
      <w:r>
        <w:rPr>
          <w:spacing w:val="-12"/>
        </w:rPr>
        <w:t>、本基金 </w:t>
      </w:r>
      <w:r>
        <w:rPr>
          <w:rFonts w:ascii="Times New Roman" w:eastAsia="Times New Roman"/>
        </w:rPr>
        <w:t>A </w:t>
      </w:r>
      <w:r>
        <w:rPr>
          <w:spacing w:val="-3"/>
        </w:rPr>
        <w:t>类人民币份额实行价格涨跌幅限制，涨跌幅比例限制为 </w:t>
      </w:r>
      <w:r>
        <w:rPr>
          <w:rFonts w:ascii="Times New Roman" w:eastAsia="Times New Roman"/>
          <w:spacing w:val="-5"/>
        </w:rPr>
        <w:t>10%</w:t>
      </w:r>
      <w:r>
        <w:rPr>
          <w:spacing w:val="-5"/>
        </w:rPr>
        <w:t>， </w:t>
      </w:r>
      <w:r>
        <w:rPr/>
        <w:t>自上市首日起实行；</w:t>
      </w:r>
    </w:p>
    <w:p>
      <w:pPr>
        <w:pStyle w:val="BodyText"/>
        <w:spacing w:before="1"/>
        <w:ind w:left="600" w:firstLine="0"/>
        <w:jc w:val="both"/>
      </w:pPr>
      <w:r>
        <w:rPr>
          <w:rFonts w:ascii="Times New Roman" w:eastAsia="Times New Roman"/>
        </w:rPr>
        <w:t>3</w:t>
      </w:r>
      <w:r>
        <w:rPr/>
        <w:t>、本基金 </w:t>
      </w:r>
      <w:r>
        <w:rPr>
          <w:rFonts w:ascii="Times New Roman" w:eastAsia="Times New Roman"/>
        </w:rPr>
        <w:t>A </w:t>
      </w:r>
      <w:r>
        <w:rPr/>
        <w:t>类人民币份额买入申报数量为 </w:t>
      </w:r>
      <w:r>
        <w:rPr>
          <w:rFonts w:ascii="Times New Roman" w:eastAsia="Times New Roman"/>
        </w:rPr>
        <w:t>100 </w:t>
      </w:r>
      <w:r>
        <w:rPr/>
        <w:t>份或其整数倍；</w:t>
      </w:r>
    </w:p>
    <w:p>
      <w:pPr>
        <w:pStyle w:val="BodyText"/>
        <w:ind w:left="600" w:firstLine="0"/>
        <w:jc w:val="both"/>
      </w:pPr>
      <w:r>
        <w:rPr>
          <w:rFonts w:ascii="Times New Roman" w:eastAsia="Times New Roman"/>
        </w:rPr>
        <w:t>4</w:t>
      </w:r>
      <w:r>
        <w:rPr/>
        <w:t>、本基金 </w:t>
      </w:r>
      <w:r>
        <w:rPr>
          <w:rFonts w:ascii="Times New Roman" w:eastAsia="Times New Roman"/>
        </w:rPr>
        <w:t>A </w:t>
      </w:r>
      <w:r>
        <w:rPr/>
        <w:t>类人民币份额申报价格最小变动单位为 </w:t>
      </w:r>
      <w:r>
        <w:rPr>
          <w:rFonts w:ascii="Times New Roman" w:eastAsia="Times New Roman"/>
        </w:rPr>
        <w:t>0.001 </w:t>
      </w:r>
      <w:r>
        <w:rPr/>
        <w:t>元人民币；</w:t>
      </w:r>
    </w:p>
    <w:p>
      <w:pPr>
        <w:spacing w:after="0"/>
        <w:jc w:val="both"/>
        <w:sectPr>
          <w:pgSz w:w="11910" w:h="16840"/>
          <w:pgMar w:header="0" w:footer="914" w:top="1580" w:bottom="1180" w:left="1680" w:right="1420"/>
        </w:sectPr>
      </w:pPr>
    </w:p>
    <w:p>
      <w:pPr>
        <w:pStyle w:val="BodyText"/>
        <w:spacing w:before="61"/>
        <w:ind w:left="600" w:firstLine="0"/>
      </w:pPr>
      <w:r>
        <w:rPr>
          <w:rFonts w:ascii="Times New Roman" w:eastAsia="Times New Roman"/>
        </w:rPr>
        <w:t>5</w:t>
      </w:r>
      <w:r>
        <w:rPr/>
        <w:t>、本基金 </w:t>
      </w:r>
      <w:r>
        <w:rPr>
          <w:rFonts w:ascii="Times New Roman" w:eastAsia="Times New Roman"/>
        </w:rPr>
        <w:t>A </w:t>
      </w:r>
      <w:r>
        <w:rPr/>
        <w:t>类人民币份额适用大宗交易的有关规则。</w:t>
      </w:r>
    </w:p>
    <w:p>
      <w:pPr>
        <w:spacing w:before="160"/>
        <w:ind w:left="602" w:right="0" w:firstLine="0"/>
        <w:jc w:val="left"/>
        <w:rPr>
          <w:b/>
          <w:sz w:val="24"/>
        </w:rPr>
      </w:pPr>
      <w:r>
        <w:rPr>
          <w:b/>
          <w:sz w:val="24"/>
        </w:rPr>
        <w:t>（四）上市交易的费用</w:t>
      </w:r>
    </w:p>
    <w:p>
      <w:pPr>
        <w:pStyle w:val="BodyText"/>
        <w:ind w:left="600" w:firstLine="0"/>
      </w:pPr>
      <w:r>
        <w:rPr/>
        <w:t>本基金</w:t>
      </w:r>
      <w:r>
        <w:rPr>
          <w:rFonts w:ascii="Times New Roman" w:eastAsia="Times New Roman"/>
        </w:rPr>
        <w:t>A </w:t>
      </w:r>
      <w:r>
        <w:rPr/>
        <w:t>类人民币份额上市交易的费用按照深圳证券交易所有关规定办理。</w:t>
      </w:r>
    </w:p>
    <w:p>
      <w:pPr>
        <w:spacing w:before="160"/>
        <w:ind w:left="602" w:right="0" w:firstLine="0"/>
        <w:jc w:val="left"/>
        <w:rPr>
          <w:b/>
          <w:sz w:val="24"/>
        </w:rPr>
      </w:pPr>
      <w:r>
        <w:rPr>
          <w:b/>
          <w:sz w:val="24"/>
        </w:rPr>
        <w:t>（五）上市交易的行情揭示</w:t>
      </w:r>
    </w:p>
    <w:p>
      <w:pPr>
        <w:pStyle w:val="BodyText"/>
        <w:spacing w:line="364" w:lineRule="auto"/>
        <w:ind w:right="176"/>
      </w:pPr>
      <w:r>
        <w:rPr/>
        <w:t>本基金 </w:t>
      </w:r>
      <w:r>
        <w:rPr>
          <w:rFonts w:ascii="Times New Roman" w:eastAsia="Times New Roman"/>
        </w:rPr>
        <w:t>A </w:t>
      </w:r>
      <w:r>
        <w:rPr/>
        <w:t>类人民币份额在深圳证券交易所挂牌交易，交易行情通过行情发布系统揭示。行情发布系统同时揭示 </w:t>
      </w:r>
      <w:r>
        <w:rPr>
          <w:rFonts w:ascii="Times New Roman" w:eastAsia="Times New Roman"/>
        </w:rPr>
        <w:t>A </w:t>
      </w:r>
      <w:r>
        <w:rPr/>
        <w:t>类人民币份额最新公布的基金份额净值。</w:t>
      </w:r>
    </w:p>
    <w:p>
      <w:pPr>
        <w:spacing w:before="1"/>
        <w:ind w:left="602" w:right="0" w:firstLine="0"/>
        <w:jc w:val="left"/>
        <w:rPr>
          <w:b/>
          <w:sz w:val="24"/>
        </w:rPr>
      </w:pPr>
      <w:r>
        <w:rPr>
          <w:b/>
          <w:sz w:val="24"/>
        </w:rPr>
        <w:t>（六）上市交易的停复牌</w:t>
      </w:r>
    </w:p>
    <w:p>
      <w:pPr>
        <w:pStyle w:val="BodyText"/>
        <w:spacing w:line="364" w:lineRule="auto"/>
        <w:ind w:right="378"/>
      </w:pPr>
      <w:r>
        <w:rPr/>
        <w:t>本基金 </w:t>
      </w:r>
      <w:r>
        <w:rPr>
          <w:rFonts w:ascii="Times New Roman" w:eastAsia="Times New Roman"/>
        </w:rPr>
        <w:t>A </w:t>
      </w:r>
      <w:r>
        <w:rPr/>
        <w:t>类人民币份额的停复牌按照相关法律法规、中国证监会及深圳证券交易所的有关规定执行。</w:t>
      </w:r>
    </w:p>
    <w:p>
      <w:pPr>
        <w:spacing w:before="1"/>
        <w:ind w:left="602" w:right="0" w:firstLine="0"/>
        <w:jc w:val="left"/>
        <w:rPr>
          <w:b/>
          <w:sz w:val="24"/>
        </w:rPr>
      </w:pPr>
      <w:r>
        <w:rPr>
          <w:b/>
          <w:sz w:val="24"/>
        </w:rPr>
        <w:t>（七）暂停上市的情形和处理方式</w:t>
      </w:r>
    </w:p>
    <w:p>
      <w:pPr>
        <w:pStyle w:val="BodyText"/>
        <w:ind w:left="600" w:firstLine="0"/>
      </w:pPr>
      <w:r>
        <w:rPr/>
        <w:t>本基金 </w:t>
      </w:r>
      <w:r>
        <w:rPr>
          <w:rFonts w:ascii="Times New Roman" w:eastAsia="Times New Roman"/>
        </w:rPr>
        <w:t>A </w:t>
      </w:r>
      <w:r>
        <w:rPr/>
        <w:t>类人民币份额上市后，发生下列情况之一时，应暂停上市交易：</w:t>
      </w:r>
    </w:p>
    <w:p>
      <w:pPr>
        <w:pStyle w:val="BodyText"/>
        <w:spacing w:before="160"/>
        <w:ind w:left="600" w:firstLine="0"/>
      </w:pPr>
      <w:r>
        <w:rPr>
          <w:rFonts w:ascii="Times New Roman" w:hAnsi="Times New Roman" w:eastAsia="Times New Roman"/>
        </w:rPr>
        <w:t>1</w:t>
      </w:r>
      <w:r>
        <w:rPr/>
        <w:t>、不再具备本条</w:t>
      </w:r>
      <w:r>
        <w:rPr>
          <w:rFonts w:ascii="Times New Roman" w:hAnsi="Times New Roman" w:eastAsia="Times New Roman"/>
        </w:rPr>
        <w:t>“</w:t>
      </w:r>
      <w:r>
        <w:rPr/>
        <w:t>（一）基金的上市</w:t>
      </w:r>
      <w:r>
        <w:rPr>
          <w:rFonts w:ascii="Times New Roman" w:hAnsi="Times New Roman" w:eastAsia="Times New Roman"/>
        </w:rPr>
        <w:t>”</w:t>
      </w:r>
      <w:r>
        <w:rPr/>
        <w:t>中规定的上市条件；</w:t>
      </w:r>
    </w:p>
    <w:p>
      <w:pPr>
        <w:pStyle w:val="BodyText"/>
        <w:ind w:left="600" w:firstLine="0"/>
      </w:pPr>
      <w:r>
        <w:rPr>
          <w:rFonts w:ascii="Times New Roman" w:eastAsia="Times New Roman"/>
        </w:rPr>
        <w:t>2</w:t>
      </w:r>
      <w:r>
        <w:rPr/>
        <w:t>、违反国家有关法律、法规，中国证监会决定暂停其上市；</w:t>
      </w:r>
    </w:p>
    <w:p>
      <w:pPr>
        <w:pStyle w:val="BodyText"/>
        <w:spacing w:before="160"/>
        <w:ind w:left="600" w:firstLine="0"/>
      </w:pPr>
      <w:r>
        <w:rPr>
          <w:rFonts w:ascii="Times New Roman" w:eastAsia="Times New Roman"/>
        </w:rPr>
        <w:t>3</w:t>
      </w:r>
      <w:r>
        <w:rPr/>
        <w:t>、严重违反《深圳证券交易所证券投资基金上市规则》；</w:t>
      </w:r>
    </w:p>
    <w:p>
      <w:pPr>
        <w:pStyle w:val="BodyText"/>
        <w:ind w:left="600" w:firstLine="0"/>
      </w:pPr>
      <w:r>
        <w:rPr>
          <w:rFonts w:ascii="Times New Roman" w:eastAsia="Times New Roman"/>
        </w:rPr>
        <w:t>4</w:t>
      </w:r>
      <w:r>
        <w:rPr/>
        <w:t>、深圳证券交易所认为应当暂停上市的其他情形。</w:t>
      </w:r>
    </w:p>
    <w:p>
      <w:pPr>
        <w:pStyle w:val="BodyText"/>
        <w:spacing w:line="364" w:lineRule="auto" w:before="160"/>
        <w:ind w:right="381"/>
      </w:pPr>
      <w:r>
        <w:rPr>
          <w:spacing w:val="-7"/>
        </w:rPr>
        <w:t>发生上述暂停上市情形时，基金管理人在接到深圳证券交易所通知后，应立</w:t>
      </w:r>
      <w:r>
        <w:rPr/>
        <w:t>即在指定媒介上刊登暂停上市公告。</w:t>
      </w:r>
    </w:p>
    <w:p>
      <w:pPr>
        <w:spacing w:before="2"/>
        <w:ind w:left="602" w:right="0" w:firstLine="0"/>
        <w:jc w:val="left"/>
        <w:rPr>
          <w:b/>
          <w:sz w:val="24"/>
        </w:rPr>
      </w:pPr>
      <w:r>
        <w:rPr>
          <w:b/>
          <w:sz w:val="24"/>
        </w:rPr>
        <w:t>（八）恢复上市的公告</w:t>
      </w:r>
    </w:p>
    <w:p>
      <w:pPr>
        <w:pStyle w:val="BodyText"/>
        <w:spacing w:line="364" w:lineRule="auto" w:before="160"/>
        <w:ind w:right="258"/>
      </w:pPr>
      <w:r>
        <w:rPr>
          <w:rFonts w:ascii="Times New Roman" w:eastAsia="Times New Roman"/>
        </w:rPr>
        <w:t>A </w:t>
      </w:r>
      <w:r>
        <w:rPr>
          <w:spacing w:val="-6"/>
        </w:rPr>
        <w:t>类人民币份额暂停上市情形消除后，基金管理人可向深圳证券交易所提出</w:t>
      </w:r>
      <w:r>
        <w:rPr>
          <w:spacing w:val="-10"/>
        </w:rPr>
        <w:t>恢复上市申请，经深圳证券交易所核准后，可恢复本基金 </w:t>
      </w:r>
      <w:r>
        <w:rPr>
          <w:rFonts w:ascii="Times New Roman" w:eastAsia="Times New Roman"/>
        </w:rPr>
        <w:t>A </w:t>
      </w:r>
      <w:r>
        <w:rPr>
          <w:spacing w:val="-2"/>
        </w:rPr>
        <w:t>类人民币份额上市， </w:t>
      </w:r>
      <w:r>
        <w:rPr/>
        <w:t>并在指定媒介上刊登恢复上市公告。</w:t>
      </w:r>
    </w:p>
    <w:p>
      <w:pPr>
        <w:spacing w:before="2"/>
        <w:ind w:left="602" w:right="0" w:firstLine="0"/>
        <w:jc w:val="left"/>
        <w:rPr>
          <w:b/>
          <w:sz w:val="24"/>
        </w:rPr>
      </w:pPr>
      <w:r>
        <w:rPr>
          <w:b/>
          <w:sz w:val="24"/>
        </w:rPr>
        <w:t>（九）终止上市的情形和处理方式</w:t>
      </w:r>
    </w:p>
    <w:p>
      <w:pPr>
        <w:pStyle w:val="BodyText"/>
        <w:ind w:left="600" w:firstLine="0"/>
      </w:pPr>
      <w:r>
        <w:rPr/>
        <w:t>发生下列情况之一时，本基金 </w:t>
      </w:r>
      <w:r>
        <w:rPr>
          <w:rFonts w:ascii="Times New Roman" w:eastAsia="Times New Roman"/>
        </w:rPr>
        <w:t>A </w:t>
      </w:r>
      <w:r>
        <w:rPr/>
        <w:t>类人民币份额应终止上市交易：</w:t>
      </w:r>
    </w:p>
    <w:p>
      <w:pPr>
        <w:pStyle w:val="BodyText"/>
        <w:spacing w:before="160"/>
        <w:ind w:left="600" w:firstLine="0"/>
      </w:pPr>
      <w:r>
        <w:rPr>
          <w:rFonts w:ascii="Times New Roman" w:eastAsia="Times New Roman"/>
        </w:rPr>
        <w:t>1</w:t>
      </w:r>
      <w:r>
        <w:rPr/>
        <w:t>、自暂停上市之日起半年内未能消除暂停上市原因的；</w:t>
      </w:r>
    </w:p>
    <w:p>
      <w:pPr>
        <w:pStyle w:val="BodyText"/>
        <w:ind w:left="600" w:firstLine="0"/>
      </w:pPr>
      <w:r>
        <w:rPr>
          <w:rFonts w:ascii="Times New Roman" w:eastAsia="Times New Roman"/>
        </w:rPr>
        <w:t>2</w:t>
      </w:r>
      <w:r>
        <w:rPr/>
        <w:t>、基金份额持有人大会决定提前终止上市；</w:t>
      </w:r>
    </w:p>
    <w:p>
      <w:pPr>
        <w:pStyle w:val="BodyText"/>
        <w:ind w:left="600" w:firstLine="0"/>
      </w:pPr>
      <w:r>
        <w:rPr>
          <w:rFonts w:ascii="Times New Roman" w:eastAsia="Times New Roman"/>
        </w:rPr>
        <w:t>3</w:t>
      </w:r>
      <w:r>
        <w:rPr/>
        <w:t>、基金合同约定的终止上市的其他情形；</w:t>
      </w:r>
    </w:p>
    <w:p>
      <w:pPr>
        <w:pStyle w:val="BodyText"/>
        <w:spacing w:before="160"/>
        <w:ind w:left="600" w:firstLine="0"/>
      </w:pPr>
      <w:r>
        <w:rPr>
          <w:rFonts w:ascii="Times New Roman" w:eastAsia="Times New Roman"/>
        </w:rPr>
        <w:t>4</w:t>
      </w:r>
      <w:r>
        <w:rPr/>
        <w:t>、深圳证券交易所认为应当终止上市的其他情形。</w:t>
      </w:r>
    </w:p>
    <w:p>
      <w:pPr>
        <w:pStyle w:val="BodyText"/>
        <w:spacing w:line="364" w:lineRule="auto"/>
        <w:ind w:right="376"/>
      </w:pPr>
      <w:r>
        <w:rPr>
          <w:spacing w:val="-7"/>
        </w:rPr>
        <w:t>发生上述终止上市情形时，由证券交易所终止其上市交易，基金管理人报经</w:t>
      </w:r>
      <w:r>
        <w:rPr>
          <w:spacing w:val="-1"/>
        </w:rPr>
        <w:t>中国证监会备案后终止本基金 </w:t>
      </w:r>
      <w:r>
        <w:rPr>
          <w:rFonts w:ascii="Times New Roman" w:eastAsia="Times New Roman"/>
        </w:rPr>
        <w:t>A </w:t>
      </w:r>
      <w:r>
        <w:rPr>
          <w:spacing w:val="-1"/>
        </w:rPr>
        <w:t>类人民币份额的上市，并在指定媒介上刊登终</w:t>
      </w:r>
    </w:p>
    <w:p>
      <w:pPr>
        <w:spacing w:after="0" w:line="364" w:lineRule="auto"/>
        <w:sectPr>
          <w:pgSz w:w="11910" w:h="16840"/>
          <w:pgMar w:header="0" w:footer="914" w:top="1440" w:bottom="1180" w:left="1680" w:right="1420"/>
        </w:sectPr>
      </w:pPr>
    </w:p>
    <w:p>
      <w:pPr>
        <w:pStyle w:val="BodyText"/>
        <w:spacing w:before="41"/>
        <w:ind w:firstLine="0"/>
      </w:pPr>
      <w:r>
        <w:rPr/>
        <w:t>止上市公告。</w:t>
      </w:r>
    </w:p>
    <w:p>
      <w:pPr>
        <w:spacing w:line="364" w:lineRule="auto" w:before="160"/>
        <w:ind w:left="120" w:right="375" w:firstLine="482"/>
        <w:jc w:val="both"/>
        <w:rPr>
          <w:b/>
          <w:sz w:val="24"/>
        </w:rPr>
      </w:pPr>
      <w:r>
        <w:rPr>
          <w:b/>
          <w:spacing w:val="4"/>
          <w:w w:val="95"/>
          <w:sz w:val="24"/>
        </w:rPr>
        <w:t>（十）</w:t>
      </w:r>
      <w:r>
        <w:rPr>
          <w:b/>
          <w:spacing w:val="1"/>
          <w:w w:val="95"/>
          <w:sz w:val="24"/>
        </w:rPr>
        <w:t>相关法律法规、中国证监会及深圳证券交易所对基金上市交易的规  </w:t>
      </w:r>
      <w:r>
        <w:rPr>
          <w:b/>
          <w:sz w:val="24"/>
        </w:rPr>
        <w:t>则等规定内容进行调整的，本基金的基金合同相应予以修改，且此修改无须召开基金份额持有人大会。</w:t>
      </w:r>
    </w:p>
    <w:p>
      <w:pPr>
        <w:spacing w:after="0" w:line="364" w:lineRule="auto"/>
        <w:jc w:val="both"/>
        <w:rPr>
          <w:sz w:val="24"/>
        </w:rPr>
        <w:sectPr>
          <w:pgSz w:w="11910" w:h="16840"/>
          <w:pgMar w:header="0" w:footer="914" w:top="1460" w:bottom="1180" w:left="1680" w:right="1420"/>
        </w:sectPr>
      </w:pPr>
    </w:p>
    <w:p>
      <w:pPr>
        <w:pStyle w:val="BodyText"/>
        <w:spacing w:before="0"/>
        <w:ind w:left="0" w:firstLine="0"/>
        <w:rPr>
          <w:b/>
          <w:sz w:val="20"/>
        </w:rPr>
      </w:pPr>
    </w:p>
    <w:p>
      <w:pPr>
        <w:pStyle w:val="BodyText"/>
        <w:spacing w:before="5"/>
        <w:ind w:left="0" w:firstLine="0"/>
        <w:rPr>
          <w:b/>
          <w:sz w:val="28"/>
        </w:rPr>
      </w:pPr>
    </w:p>
    <w:p>
      <w:pPr>
        <w:pStyle w:val="Heading1"/>
        <w:spacing w:before="67"/>
        <w:ind w:left="425" w:right="262"/>
        <w:jc w:val="center"/>
      </w:pPr>
      <w:bookmarkStart w:name="_bookmark5" w:id="6"/>
      <w:bookmarkEnd w:id="6"/>
      <w:r>
        <w:rPr>
          <w:b w:val="0"/>
        </w:rPr>
      </w:r>
      <w:r>
        <w:rPr/>
        <w:t>六、基金份额的申购和赎回</w:t>
      </w:r>
    </w:p>
    <w:p>
      <w:pPr>
        <w:pStyle w:val="BodyText"/>
        <w:spacing w:before="2"/>
        <w:ind w:left="0" w:firstLine="0"/>
        <w:rPr>
          <w:b/>
          <w:sz w:val="29"/>
        </w:rPr>
      </w:pPr>
    </w:p>
    <w:p>
      <w:pPr>
        <w:pStyle w:val="BodyText"/>
        <w:spacing w:line="364" w:lineRule="auto" w:before="0"/>
        <w:ind w:right="335"/>
        <w:jc w:val="both"/>
      </w:pPr>
      <w:r>
        <w:rPr/>
        <w:t>本基金设</w:t>
      </w:r>
      <w:r>
        <w:rPr>
          <w:rFonts w:ascii="Times New Roman" w:eastAsia="Times New Roman"/>
        </w:rPr>
        <w:t>A</w:t>
      </w:r>
      <w:r>
        <w:rPr/>
        <w:t>类人民币份额、</w:t>
      </w:r>
      <w:r>
        <w:rPr>
          <w:rFonts w:ascii="Times New Roman" w:eastAsia="Times New Roman"/>
        </w:rPr>
        <w:t>A</w:t>
      </w:r>
      <w:r>
        <w:rPr/>
        <w:t>类美元份额、</w:t>
      </w:r>
      <w:r>
        <w:rPr>
          <w:rFonts w:ascii="Times New Roman" w:eastAsia="Times New Roman"/>
        </w:rPr>
        <w:t>C</w:t>
      </w:r>
      <w:r>
        <w:rPr/>
        <w:t>类人民币份额、</w:t>
      </w:r>
      <w:r>
        <w:rPr>
          <w:rFonts w:ascii="Times New Roman" w:eastAsia="Times New Roman"/>
        </w:rPr>
        <w:t>C</w:t>
      </w:r>
      <w:r>
        <w:rPr/>
        <w:t>类美元份额。</w:t>
      </w:r>
      <w:r>
        <w:rPr>
          <w:rFonts w:ascii="Times New Roman" w:eastAsia="Times New Roman"/>
        </w:rPr>
        <w:t>A</w:t>
      </w:r>
      <w:r>
        <w:rPr/>
        <w:t>类人民币份额及</w:t>
      </w:r>
      <w:r>
        <w:rPr>
          <w:rFonts w:ascii="Times New Roman" w:eastAsia="Times New Roman"/>
        </w:rPr>
        <w:t>C</w:t>
      </w:r>
      <w:r>
        <w:rPr/>
        <w:t>类人民币份额以人民币计价并进行申购、赎回；</w:t>
      </w:r>
      <w:r>
        <w:rPr>
          <w:rFonts w:ascii="Times New Roman" w:eastAsia="Times New Roman"/>
        </w:rPr>
        <w:t>A</w:t>
      </w:r>
      <w:r>
        <w:rPr/>
        <w:t>类美元份额及</w:t>
      </w:r>
      <w:r>
        <w:rPr>
          <w:rFonts w:ascii="Times New Roman" w:eastAsia="Times New Roman"/>
        </w:rPr>
        <w:t>C</w:t>
      </w:r>
      <w:r>
        <w:rPr/>
        <w:t>类美元份额以美元计价并进行申购、赎回。投资者可通过场外、场内两种方式对本基金</w:t>
      </w:r>
      <w:r>
        <w:rPr>
          <w:rFonts w:ascii="Times New Roman" w:eastAsia="Times New Roman"/>
        </w:rPr>
        <w:t>A</w:t>
      </w:r>
      <w:r>
        <w:rPr/>
        <w:t>类人民币份额进行申购与赎回，投资者仅可通过场外方式对</w:t>
      </w:r>
      <w:r>
        <w:rPr>
          <w:rFonts w:ascii="Times New Roman" w:eastAsia="Times New Roman"/>
        </w:rPr>
        <w:t>A</w:t>
      </w:r>
      <w:r>
        <w:rPr/>
        <w:t>类美元份额、</w:t>
      </w:r>
      <w:r>
        <w:rPr>
          <w:rFonts w:ascii="Times New Roman" w:eastAsia="Times New Roman"/>
        </w:rPr>
        <w:t>C</w:t>
      </w:r>
      <w:r>
        <w:rPr/>
        <w:t>类人民币份额、</w:t>
      </w:r>
      <w:r>
        <w:rPr>
          <w:rFonts w:ascii="Times New Roman" w:eastAsia="Times New Roman"/>
        </w:rPr>
        <w:t>C</w:t>
      </w:r>
      <w:r>
        <w:rPr/>
        <w:t>类美元份额进行申购与赎回。</w:t>
      </w:r>
    </w:p>
    <w:p>
      <w:pPr>
        <w:spacing w:before="78"/>
        <w:ind w:left="602" w:right="0" w:firstLine="0"/>
        <w:jc w:val="left"/>
        <w:rPr>
          <w:b/>
          <w:sz w:val="24"/>
        </w:rPr>
      </w:pPr>
      <w:r>
        <w:rPr>
          <w:b/>
          <w:sz w:val="24"/>
        </w:rPr>
        <w:t>（一）申购与赎回场所</w:t>
      </w:r>
    </w:p>
    <w:p>
      <w:pPr>
        <w:pStyle w:val="BodyText"/>
        <w:spacing w:line="364" w:lineRule="auto" w:before="81"/>
        <w:ind w:right="374"/>
      </w:pPr>
      <w:r>
        <w:rPr/>
        <w:t>本基金</w:t>
      </w:r>
      <w:r>
        <w:rPr>
          <w:rFonts w:ascii="Times New Roman" w:eastAsia="Times New Roman"/>
        </w:rPr>
        <w:t>A</w:t>
      </w:r>
      <w:r>
        <w:rPr/>
        <w:t>类人民币份额的申购与赎回包括场外和场内两种方式，</w:t>
      </w:r>
      <w:r>
        <w:rPr>
          <w:rFonts w:ascii="Times New Roman" w:eastAsia="Times New Roman"/>
        </w:rPr>
        <w:t>C</w:t>
      </w:r>
      <w:r>
        <w:rPr/>
        <w:t>类人民币份额、</w:t>
      </w:r>
      <w:r>
        <w:rPr>
          <w:rFonts w:ascii="Times New Roman" w:eastAsia="Times New Roman"/>
        </w:rPr>
        <w:t>A</w:t>
      </w:r>
      <w:r>
        <w:rPr/>
        <w:t>类美元份额、</w:t>
      </w:r>
      <w:r>
        <w:rPr>
          <w:rFonts w:ascii="Times New Roman" w:eastAsia="Times New Roman"/>
        </w:rPr>
        <w:t>C</w:t>
      </w:r>
      <w:r>
        <w:rPr/>
        <w:t>类美元份额的申购与赎回仅包括场外的方式。</w:t>
      </w:r>
    </w:p>
    <w:p>
      <w:pPr>
        <w:pStyle w:val="BodyText"/>
        <w:spacing w:line="364" w:lineRule="auto" w:before="78"/>
        <w:ind w:right="370"/>
        <w:jc w:val="both"/>
      </w:pPr>
      <w:r>
        <w:rPr>
          <w:spacing w:val="4"/>
        </w:rPr>
        <w:t>本基金场外申购和赎回场所为基金管理人的直销网点及基金场外代销机构</w:t>
      </w:r>
      <w:r>
        <w:rPr>
          <w:spacing w:val="-10"/>
        </w:rPr>
        <w:t>的代销网点，场内申购和赎回场所为深圳证券交易所内具有相应业务资格的会员单位。具体销售网点和会员单位名单将由基金管理人在《招募说明书》、《发售公告》或其他公告中列明。</w:t>
      </w:r>
    </w:p>
    <w:p>
      <w:pPr>
        <w:pStyle w:val="BodyText"/>
        <w:spacing w:line="364" w:lineRule="auto" w:before="3"/>
        <w:ind w:right="370"/>
        <w:jc w:val="both"/>
      </w:pPr>
      <w:r>
        <w:rPr>
          <w:spacing w:val="4"/>
        </w:rPr>
        <w:t>基金投资者应当在销售机构办理基金销售业务的营业场所或按销售机构提</w:t>
      </w:r>
      <w:r>
        <w:rPr>
          <w:spacing w:val="-5"/>
        </w:rPr>
        <w:t>供的其他方式办理基金份额的申购与赎回。基金管理人可根据情况变更或增减基金代销机构，并在基金管理人网站公示。</w:t>
      </w:r>
    </w:p>
    <w:p>
      <w:pPr>
        <w:spacing w:before="2"/>
        <w:ind w:left="602" w:right="0" w:firstLine="0"/>
        <w:jc w:val="left"/>
        <w:rPr>
          <w:b/>
          <w:sz w:val="24"/>
        </w:rPr>
      </w:pPr>
      <w:r>
        <w:rPr>
          <w:b/>
          <w:sz w:val="24"/>
        </w:rPr>
        <w:t>（二）申购与赎回的开放日及时间</w:t>
      </w:r>
    </w:p>
    <w:p>
      <w:pPr>
        <w:pStyle w:val="BodyText"/>
        <w:spacing w:line="364" w:lineRule="auto" w:before="160"/>
        <w:ind w:right="256"/>
      </w:pPr>
      <w:r>
        <w:rPr>
          <w:spacing w:val="-18"/>
        </w:rPr>
        <w:t>本基金的申购、赎回自《基金合同》生效后不超过 </w:t>
      </w:r>
      <w:r>
        <w:rPr>
          <w:rFonts w:ascii="Times New Roman" w:eastAsia="Times New Roman"/>
        </w:rPr>
        <w:t>3 </w:t>
      </w:r>
      <w:r>
        <w:rPr>
          <w:spacing w:val="-2"/>
        </w:rPr>
        <w:t>个月的时间内开始办理， </w:t>
      </w:r>
      <w:r>
        <w:rPr>
          <w:spacing w:val="-5"/>
        </w:rPr>
        <w:t>基金管理人应在开始办理申购赎回的具体日期前依照《信息披露办法》的有关规定在指定媒介上公告。开始办理申购与开始办理赎回的日期可以不为同一日。</w:t>
      </w:r>
    </w:p>
    <w:p>
      <w:pPr>
        <w:pStyle w:val="BodyText"/>
        <w:spacing w:line="364" w:lineRule="auto" w:before="2"/>
        <w:ind w:right="260"/>
      </w:pPr>
      <w:r>
        <w:rPr>
          <w:spacing w:val="-5"/>
        </w:rPr>
        <w:t>本基金申购和赎回的开放日为上海证券交易所、深圳证券交易所以及境外主</w:t>
      </w:r>
      <w:r>
        <w:rPr>
          <w:spacing w:val="-10"/>
        </w:rPr>
        <w:t>要投资市场同时开放交易的每个工作日，主要投资市场在招募说明书中载明和更</w:t>
      </w:r>
      <w:r>
        <w:rPr>
          <w:spacing w:val="-18"/>
        </w:rPr>
        <w:t>新。基金管理人在开放日办理本基金的申购、赎回，但基金管理人根据法律法规、</w:t>
      </w:r>
      <w:r>
        <w:rPr>
          <w:spacing w:val="-4"/>
        </w:rPr>
        <w:t>中国证监会的要求或本基金合同的规定公告暂停申购、赎回时除外。具体办理时间为上海证券交易所、深圳证券交易所正常交易日的交易时间。</w:t>
      </w:r>
    </w:p>
    <w:p>
      <w:pPr>
        <w:pStyle w:val="BodyText"/>
        <w:spacing w:line="364" w:lineRule="auto" w:before="4"/>
        <w:ind w:right="376"/>
      </w:pPr>
      <w:r>
        <w:rPr>
          <w:spacing w:val="-6"/>
        </w:rPr>
        <w:t>对于投资者在非开放时间提出的申购、赎回申请，其基金份额申购、赎回价</w:t>
      </w:r>
      <w:r>
        <w:rPr/>
        <w:t>格为下次办理基金份额申购、赎回时间所在开放日的价格。</w:t>
      </w:r>
    </w:p>
    <w:p>
      <w:pPr>
        <w:spacing w:after="0" w:line="364" w:lineRule="auto"/>
        <w:sectPr>
          <w:pgSz w:w="11910" w:h="16840"/>
          <w:pgMar w:header="0" w:footer="914" w:top="1580" w:bottom="1180" w:left="1680" w:right="1420"/>
        </w:sectPr>
      </w:pPr>
    </w:p>
    <w:p>
      <w:pPr>
        <w:pStyle w:val="BodyText"/>
        <w:spacing w:line="364" w:lineRule="auto" w:before="41"/>
        <w:ind w:right="376"/>
        <w:jc w:val="both"/>
      </w:pPr>
      <w:r>
        <w:rPr>
          <w:spacing w:val="-11"/>
        </w:rPr>
        <w:t>基金合同生效后，若出现新的证券交易市场或交易所交易时间变更或实际情</w:t>
      </w:r>
      <w:r>
        <w:rPr>
          <w:spacing w:val="-10"/>
        </w:rPr>
        <w:t>况需要，基金管理人可对申购、赎回的开放日及开放时间进行调整，但此项调整</w:t>
      </w:r>
      <w:r>
        <w:rPr/>
        <w:t>应在实施日前依照《信息披露办法》的有关规定在指定媒介上公告。</w:t>
      </w:r>
    </w:p>
    <w:p>
      <w:pPr>
        <w:spacing w:before="2"/>
        <w:ind w:left="602" w:right="0" w:firstLine="0"/>
        <w:jc w:val="left"/>
        <w:rPr>
          <w:b/>
          <w:sz w:val="24"/>
        </w:rPr>
      </w:pPr>
      <w:r>
        <w:rPr>
          <w:b/>
          <w:sz w:val="24"/>
        </w:rPr>
        <w:t>（三）申购与赎回的原则</w:t>
      </w:r>
    </w:p>
    <w:p>
      <w:pPr>
        <w:pStyle w:val="BodyText"/>
        <w:spacing w:line="364" w:lineRule="auto" w:before="160"/>
        <w:ind w:right="371"/>
        <w:jc w:val="both"/>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原则，即申购、赎回价格以申请当日收市后计算的该类基金份</w:t>
      </w:r>
      <w:r>
        <w:rPr>
          <w:spacing w:val="-4"/>
        </w:rPr>
        <w:t>额的基金份额净值为基准进行计算；其中，</w:t>
      </w:r>
      <w:r>
        <w:rPr>
          <w:rFonts w:ascii="Times New Roman" w:hAnsi="Times New Roman" w:eastAsia="Times New Roman"/>
          <w:spacing w:val="-18"/>
        </w:rPr>
        <w:t>C </w:t>
      </w:r>
      <w:r>
        <w:rPr/>
        <w:t>类人民币份额首笔申购当日的申购</w:t>
      </w:r>
      <w:r>
        <w:rPr>
          <w:spacing w:val="-5"/>
        </w:rPr>
        <w:t>价格为当日 </w:t>
      </w:r>
      <w:r>
        <w:rPr>
          <w:rFonts w:ascii="Times New Roman" w:hAnsi="Times New Roman" w:eastAsia="Times New Roman"/>
        </w:rPr>
        <w:t>A </w:t>
      </w:r>
      <w:r>
        <w:rPr/>
        <w:t>类人民币份额的基金份额净值，</w:t>
      </w:r>
      <w:r>
        <w:rPr>
          <w:rFonts w:ascii="Times New Roman" w:hAnsi="Times New Roman" w:eastAsia="Times New Roman"/>
        </w:rPr>
        <w:t>A </w:t>
      </w:r>
      <w:r>
        <w:rPr>
          <w:spacing w:val="-1"/>
        </w:rPr>
        <w:t>类美元份额首笔申购当日的申</w:t>
      </w:r>
      <w:r>
        <w:rPr>
          <w:spacing w:val="-3"/>
        </w:rPr>
        <w:t>购价格为当日 </w:t>
      </w:r>
      <w:r>
        <w:rPr>
          <w:rFonts w:ascii="Times New Roman" w:hAnsi="Times New Roman" w:eastAsia="Times New Roman"/>
        </w:rPr>
        <w:t>A </w:t>
      </w:r>
      <w:r>
        <w:rPr/>
        <w:t>类人民币份额的基金份额净值按照估值日汇率折算后的基金份</w:t>
      </w:r>
      <w:r>
        <w:rPr>
          <w:spacing w:val="-29"/>
        </w:rPr>
        <w:t>额净值，</w:t>
      </w:r>
      <w:r>
        <w:rPr>
          <w:rFonts w:ascii="Times New Roman" w:hAnsi="Times New Roman" w:eastAsia="Times New Roman"/>
        </w:rPr>
        <w:t>C </w:t>
      </w:r>
      <w:r>
        <w:rPr>
          <w:spacing w:val="-3"/>
        </w:rPr>
        <w:t>类美元份额首笔申购当日的申购价格为当日 </w:t>
      </w:r>
      <w:r>
        <w:rPr>
          <w:rFonts w:ascii="Times New Roman" w:hAnsi="Times New Roman" w:eastAsia="Times New Roman"/>
        </w:rPr>
        <w:t>C </w:t>
      </w:r>
      <w:r>
        <w:rPr/>
        <w:t>类人民币份额的基金份额净值（</w:t>
      </w:r>
      <w:r>
        <w:rPr>
          <w:spacing w:val="-10"/>
        </w:rPr>
        <w:t>如当日无 </w:t>
      </w:r>
      <w:r>
        <w:rPr>
          <w:rFonts w:ascii="Times New Roman" w:hAnsi="Times New Roman" w:eastAsia="Times New Roman"/>
        </w:rPr>
        <w:t>C </w:t>
      </w:r>
      <w:r>
        <w:rPr>
          <w:spacing w:val="-3"/>
        </w:rPr>
        <w:t>类人民币份额的基金份额净值，则按当日 </w:t>
      </w:r>
      <w:r>
        <w:rPr>
          <w:rFonts w:ascii="Times New Roman" w:hAnsi="Times New Roman" w:eastAsia="Times New Roman"/>
        </w:rPr>
        <w:t>A </w:t>
      </w:r>
      <w:r>
        <w:rPr>
          <w:spacing w:val="-2"/>
        </w:rPr>
        <w:t>类人民币份额</w:t>
      </w:r>
      <w:r>
        <w:rPr/>
        <w:t>的基金份额净值）按照估值日汇率折算后的基金份额净值；</w:t>
      </w:r>
    </w:p>
    <w:p>
      <w:pPr>
        <w:pStyle w:val="BodyText"/>
        <w:spacing w:before="5"/>
        <w:ind w:left="600" w:firstLine="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ind w:left="600" w:firstLine="0"/>
      </w:pPr>
      <w:r>
        <w:rPr>
          <w:rFonts w:ascii="Times New Roman" w:eastAsia="Times New Roman"/>
        </w:rPr>
        <w:t>3</w:t>
      </w:r>
      <w:r>
        <w:rPr/>
        <w:t>、当日的申购与赎回申请可以在基金管理人规定的时间内撤销；</w:t>
      </w:r>
    </w:p>
    <w:p>
      <w:pPr>
        <w:pStyle w:val="BodyText"/>
        <w:spacing w:line="364" w:lineRule="auto" w:before="160"/>
        <w:ind w:right="257"/>
      </w:pPr>
      <w:r>
        <w:rPr>
          <w:rFonts w:ascii="Times New Roman" w:eastAsia="Times New Roman"/>
        </w:rPr>
        <w:t>4</w:t>
      </w:r>
      <w:r>
        <w:rPr/>
        <w:t>、场外基金份额持有人在赎回基金份额时，遵循先进先出原则，认购、申</w:t>
      </w:r>
      <w:r>
        <w:rPr>
          <w:spacing w:val="-14"/>
        </w:rPr>
        <w:t>购确认日期在先的基金份额先赎回，认购、申购确认日期在后的基金份额后赎回， </w:t>
      </w:r>
      <w:r>
        <w:rPr/>
        <w:t>以确定所适用的赎回费率；</w:t>
      </w:r>
    </w:p>
    <w:p>
      <w:pPr>
        <w:pStyle w:val="BodyText"/>
        <w:spacing w:line="364" w:lineRule="auto" w:before="2"/>
        <w:ind w:right="379"/>
        <w:jc w:val="both"/>
      </w:pPr>
      <w:r>
        <w:rPr>
          <w:rFonts w:ascii="Times New Roman" w:eastAsia="Times New Roman"/>
        </w:rPr>
        <w:t>5</w:t>
      </w:r>
      <w:r>
        <w:rPr>
          <w:spacing w:val="-1"/>
        </w:rPr>
        <w:t>、基金管理人可根据基金运作的实际情况并在不影响基金份额持有人实质</w:t>
      </w:r>
      <w:r>
        <w:rPr>
          <w:spacing w:val="-7"/>
        </w:rPr>
        <w:t>利益的前提下调整上述原则。基金管理人必须在新规则开始实施前按照《信息披</w:t>
      </w:r>
      <w:r>
        <w:rPr/>
        <w:t>露办法》的有关规定在指定媒介上公告；</w:t>
      </w:r>
    </w:p>
    <w:p>
      <w:pPr>
        <w:pStyle w:val="BodyText"/>
        <w:spacing w:line="364" w:lineRule="auto" w:before="2"/>
        <w:ind w:right="283"/>
      </w:pPr>
      <w:r>
        <w:rPr>
          <w:rFonts w:ascii="Times New Roman" w:eastAsia="Times New Roman"/>
        </w:rPr>
        <w:t>6</w:t>
      </w:r>
      <w:r>
        <w:rPr/>
        <w:t>、投资人通过深圳证券交易所交易系统办理本基金的场内申购、赎回时， </w:t>
      </w:r>
      <w:r>
        <w:rPr>
          <w:spacing w:val="-1"/>
        </w:rPr>
        <w:t>需遵守深圳证券交易所和基金登记结算机构的相关业务规则。若相关法律法规、</w:t>
      </w:r>
      <w:r>
        <w:rPr>
          <w:spacing w:val="-9"/>
        </w:rPr>
        <w:t>中国证监会、深圳证券交易所或基金登记结算机构对申购、赎回业务等规则有新的规定，按新规定执行；</w:t>
      </w:r>
    </w:p>
    <w:p>
      <w:pPr>
        <w:pStyle w:val="BodyText"/>
        <w:spacing w:line="364" w:lineRule="auto" w:before="2"/>
        <w:ind w:right="379"/>
        <w:jc w:val="both"/>
      </w:pPr>
      <w:r>
        <w:rPr>
          <w:rFonts w:ascii="Times New Roman" w:hAnsi="Times New Roman" w:eastAsia="Times New Roman"/>
        </w:rPr>
        <w:t>7</w:t>
      </w:r>
      <w:r>
        <w:rPr>
          <w:spacing w:val="-17"/>
        </w:rPr>
        <w:t>、“分币种申赎</w:t>
      </w:r>
      <w:r>
        <w:rPr>
          <w:rFonts w:ascii="Times New Roman" w:hAnsi="Times New Roman" w:eastAsia="Times New Roman"/>
        </w:rPr>
        <w:t>”</w:t>
      </w:r>
      <w:r>
        <w:rPr>
          <w:spacing w:val="-1"/>
        </w:rPr>
        <w:t>原则，即以人民币申购获得人民币计价的份额，赎回人民</w:t>
      </w:r>
      <w:r>
        <w:rPr>
          <w:spacing w:val="-7"/>
        </w:rPr>
        <w:t>币份额获得人民币赎回款，以美元申购获得美元计价的份额，赎回美元份额获得</w:t>
      </w:r>
      <w:r>
        <w:rPr/>
        <w:t>美元赎回款，以此类推。</w:t>
      </w:r>
    </w:p>
    <w:p>
      <w:pPr>
        <w:spacing w:before="3"/>
        <w:ind w:left="602" w:right="0" w:firstLine="0"/>
        <w:jc w:val="left"/>
        <w:rPr>
          <w:b/>
          <w:sz w:val="24"/>
        </w:rPr>
      </w:pPr>
      <w:r>
        <w:rPr>
          <w:b/>
          <w:sz w:val="24"/>
        </w:rPr>
        <w:t>（四）申购与赎回的程序</w:t>
      </w:r>
    </w:p>
    <w:p>
      <w:pPr>
        <w:pStyle w:val="BodyText"/>
        <w:spacing w:before="160"/>
        <w:ind w:left="600" w:firstLine="0"/>
      </w:pPr>
      <w:r>
        <w:rPr>
          <w:rFonts w:ascii="Times New Roman" w:eastAsia="Times New Roman"/>
        </w:rPr>
        <w:t>1</w:t>
      </w:r>
      <w:r>
        <w:rPr/>
        <w:t>、申购和赎回的申请方式</w:t>
      </w:r>
    </w:p>
    <w:p>
      <w:pPr>
        <w:pStyle w:val="BodyText"/>
        <w:ind w:left="600" w:firstLine="0"/>
      </w:pPr>
      <w:r>
        <w:rPr/>
        <w:t>基金投资者必须根据基金销售机构规定的程序，在开放日的开放时间向基金</w:t>
      </w:r>
    </w:p>
    <w:p>
      <w:pPr>
        <w:spacing w:after="0"/>
        <w:sectPr>
          <w:pgSz w:w="11910" w:h="16840"/>
          <w:pgMar w:header="0" w:footer="914" w:top="1460" w:bottom="1180" w:left="1680" w:right="1420"/>
        </w:sectPr>
      </w:pPr>
    </w:p>
    <w:p>
      <w:pPr>
        <w:pStyle w:val="BodyText"/>
        <w:spacing w:before="41"/>
        <w:ind w:firstLine="0"/>
      </w:pPr>
      <w:r>
        <w:rPr/>
        <w:t>销售机构提出申购或赎回的申请。</w:t>
      </w:r>
    </w:p>
    <w:p>
      <w:pPr>
        <w:pStyle w:val="BodyText"/>
        <w:spacing w:line="364" w:lineRule="auto" w:before="160"/>
        <w:ind w:right="376"/>
        <w:jc w:val="both"/>
      </w:pPr>
      <w:r>
        <w:rPr>
          <w:spacing w:val="-5"/>
        </w:rPr>
        <w:t>投资者在申购本基金时须按销售机构规定的方式备足申购资金；投资者在提</w:t>
      </w:r>
      <w:r>
        <w:rPr>
          <w:spacing w:val="-9"/>
        </w:rPr>
        <w:t>交赎回申请时，必须有足够的基金份额余额，否则所提交的申购、赎回的申请无</w:t>
      </w:r>
      <w:r>
        <w:rPr/>
        <w:t>效而不予成交。</w:t>
      </w:r>
    </w:p>
    <w:p>
      <w:pPr>
        <w:pStyle w:val="BodyText"/>
        <w:spacing w:before="2"/>
        <w:ind w:left="600" w:firstLine="0"/>
      </w:pPr>
      <w:r>
        <w:rPr>
          <w:rFonts w:ascii="Times New Roman" w:eastAsia="Times New Roman"/>
        </w:rPr>
        <w:t>2</w:t>
      </w:r>
      <w:r>
        <w:rPr/>
        <w:t>、申购和赎回申请的确认</w:t>
      </w:r>
    </w:p>
    <w:p>
      <w:pPr>
        <w:pStyle w:val="BodyText"/>
        <w:spacing w:line="364" w:lineRule="auto"/>
        <w:ind w:right="376"/>
        <w:jc w:val="both"/>
      </w:pPr>
      <w:r>
        <w:rPr>
          <w:rFonts w:ascii="Times New Roman" w:eastAsia="Times New Roman"/>
        </w:rPr>
        <w:t>T </w:t>
      </w:r>
      <w:r>
        <w:rPr>
          <w:spacing w:val="-10"/>
        </w:rPr>
        <w:t>日规定时间受理的申请，正常情况下，基金登记结算机构在 </w:t>
      </w:r>
      <w:r>
        <w:rPr>
          <w:rFonts w:ascii="Times New Roman" w:eastAsia="Times New Roman"/>
        </w:rPr>
        <w:t>T+2 </w:t>
      </w:r>
      <w:r>
        <w:rPr>
          <w:spacing w:val="-4"/>
        </w:rPr>
        <w:t>日内为投资者对该交易的有效性进行确认，自 </w:t>
      </w:r>
      <w:r>
        <w:rPr>
          <w:rFonts w:ascii="Times New Roman" w:eastAsia="Times New Roman"/>
        </w:rPr>
        <w:t>T</w:t>
      </w:r>
      <w:r>
        <w:rPr/>
        <w:t>＋</w:t>
      </w:r>
      <w:r>
        <w:rPr>
          <w:rFonts w:ascii="Times New Roman" w:eastAsia="Times New Roman"/>
        </w:rPr>
        <w:t>3 </w:t>
      </w:r>
      <w:r>
        <w:rPr/>
        <w:t>日起（包括该日）</w:t>
      </w:r>
      <w:r>
        <w:rPr>
          <w:spacing w:val="-2"/>
        </w:rPr>
        <w:t>投资者应向销售机</w:t>
      </w:r>
      <w:r>
        <w:rPr/>
        <w:t>构或以销售机构规定的其他方式查询申购与赎回的成交情况。</w:t>
      </w:r>
    </w:p>
    <w:p>
      <w:pPr>
        <w:pStyle w:val="BodyText"/>
        <w:spacing w:line="364" w:lineRule="auto" w:before="2"/>
        <w:ind w:right="376"/>
        <w:jc w:val="both"/>
      </w:pPr>
      <w:r>
        <w:rPr>
          <w:spacing w:val="-9"/>
        </w:rPr>
        <w:t>基金销售机构申购、赎回申请的受理并不代表该申请一定成功，而仅代表销</w:t>
      </w:r>
      <w:r>
        <w:rPr>
          <w:spacing w:val="-8"/>
        </w:rPr>
        <w:t>售机构确实接收到该申请。申购、赎回的确认以登记结算机构或基金管理人的确</w:t>
      </w:r>
      <w:r>
        <w:rPr/>
        <w:t>认结果为准。</w:t>
      </w:r>
    </w:p>
    <w:p>
      <w:pPr>
        <w:pStyle w:val="BodyText"/>
        <w:spacing w:before="2"/>
        <w:ind w:left="600" w:firstLine="0"/>
      </w:pPr>
      <w:r>
        <w:rPr>
          <w:rFonts w:ascii="Times New Roman" w:eastAsia="Times New Roman"/>
        </w:rPr>
        <w:t>3</w:t>
      </w:r>
      <w:r>
        <w:rPr/>
        <w:t>、申购和赎回的款项支付</w:t>
      </w:r>
    </w:p>
    <w:p>
      <w:pPr>
        <w:pStyle w:val="BodyText"/>
        <w:spacing w:line="364" w:lineRule="auto" w:before="160"/>
        <w:ind w:right="283"/>
      </w:pPr>
      <w:r>
        <w:rPr/>
        <w:t>投资者申购人民币基金份额时从人民币账户缴款，赎回人民币基金份额时， 赎回款划往投资者人民币账户。投资者申购美元基金份额时从美元账户缴款，赎回美元基金份额时，赎回款划往投资者美元账户。</w:t>
      </w:r>
    </w:p>
    <w:p>
      <w:pPr>
        <w:pStyle w:val="BodyText"/>
        <w:spacing w:line="364" w:lineRule="auto" w:before="2"/>
        <w:ind w:right="370"/>
      </w:pPr>
      <w:r>
        <w:rPr/>
        <w:t>申购采用全额缴款方式，若申购资金在规定时间内未全额到账则申购不成功，投资者已交付的申购款项本金将退回投资者账户。</w:t>
      </w:r>
    </w:p>
    <w:p>
      <w:pPr>
        <w:pStyle w:val="BodyText"/>
        <w:spacing w:line="364" w:lineRule="auto" w:before="2"/>
        <w:ind w:right="375"/>
        <w:jc w:val="both"/>
      </w:pPr>
      <w:r>
        <w:rPr/>
        <w:t>投资者 </w:t>
      </w:r>
      <w:r>
        <w:rPr>
          <w:rFonts w:ascii="Times New Roman" w:eastAsia="Times New Roman"/>
        </w:rPr>
        <w:t>T  </w:t>
      </w:r>
      <w:r>
        <w:rPr>
          <w:spacing w:val="-1"/>
        </w:rPr>
        <w:t>日的赎回申请成功后，基金管理人将通过登记结算机构及相关基金销售机构在 </w:t>
      </w:r>
      <w:r>
        <w:rPr>
          <w:rFonts w:ascii="Times New Roman" w:eastAsia="Times New Roman"/>
        </w:rPr>
        <w:t>T</w:t>
      </w:r>
      <w:r>
        <w:rPr/>
        <w:t>＋</w:t>
      </w:r>
      <w:r>
        <w:rPr>
          <w:rFonts w:ascii="Times New Roman" w:eastAsia="Times New Roman"/>
        </w:rPr>
        <w:t>10  </w:t>
      </w:r>
      <w:r>
        <w:rPr/>
        <w:t>日（包括该日）</w:t>
      </w:r>
      <w:r>
        <w:rPr>
          <w:spacing w:val="-1"/>
        </w:rPr>
        <w:t>内将赎回款项划往基金份额持有人账户； </w:t>
      </w:r>
      <w:r>
        <w:rPr/>
        <w:t>国家外汇局相关规定有变更或本基金境外投资主要市场的交易清算规则有变更</w:t>
      </w:r>
      <w:r>
        <w:rPr>
          <w:spacing w:val="-11"/>
        </w:rPr>
        <w:t>时，赎回款支付时间将相应调整；当基金境外投资主要市场休市或暂停交易时顺</w:t>
      </w:r>
      <w:r>
        <w:rPr>
          <w:spacing w:val="-10"/>
        </w:rPr>
        <w:t>延。在发生巨额赎回的情形时，款项的支付办法参照《基金合同》的有关条款处</w:t>
      </w:r>
      <w:r>
        <w:rPr/>
        <w:t>理。</w:t>
      </w:r>
    </w:p>
    <w:p>
      <w:pPr>
        <w:spacing w:before="3"/>
        <w:ind w:left="602" w:right="0" w:firstLine="0"/>
        <w:jc w:val="left"/>
        <w:rPr>
          <w:b/>
          <w:sz w:val="24"/>
        </w:rPr>
      </w:pPr>
      <w:r>
        <w:rPr>
          <w:b/>
          <w:sz w:val="24"/>
        </w:rPr>
        <w:t>（五）申购与赎回的数额限制</w:t>
      </w:r>
    </w:p>
    <w:p>
      <w:pPr>
        <w:pStyle w:val="BodyText"/>
        <w:spacing w:line="364" w:lineRule="auto" w:before="162"/>
        <w:ind w:right="377"/>
      </w:pPr>
      <w:r>
        <w:rPr>
          <w:rFonts w:ascii="Times New Roman" w:eastAsia="Times New Roman"/>
        </w:rPr>
        <w:t>1</w:t>
      </w:r>
      <w:r>
        <w:rPr/>
        <w:t>、基金管理人可以规定投资者首次申购和每次申购的最低金额以及每次赎回的最低份额。具体规定请参见《招募说明书》或相关公告；</w:t>
      </w:r>
    </w:p>
    <w:p>
      <w:pPr>
        <w:pStyle w:val="BodyText"/>
        <w:spacing w:line="364" w:lineRule="auto" w:before="1"/>
        <w:ind w:right="384"/>
      </w:pPr>
      <w:r>
        <w:rPr>
          <w:rFonts w:ascii="Times New Roman" w:eastAsia="Times New Roman"/>
        </w:rPr>
        <w:t>2</w:t>
      </w:r>
      <w:r>
        <w:rPr/>
        <w:t>、基金管理人可以规定投资者每个交易账户的最低基金份额余额。具体规定请参见《招募说明书》或相关公告；</w:t>
      </w:r>
    </w:p>
    <w:p>
      <w:pPr>
        <w:pStyle w:val="BodyText"/>
        <w:spacing w:before="1"/>
        <w:ind w:left="600" w:firstLine="0"/>
      </w:pPr>
      <w:r>
        <w:rPr>
          <w:rFonts w:ascii="Times New Roman" w:eastAsia="Times New Roman"/>
        </w:rPr>
        <w:t>3</w:t>
      </w:r>
      <w:r>
        <w:rPr/>
        <w:t>、基金管理人可以规定单个投资者累计持有的基金份额上限、单日或单笔</w:t>
      </w:r>
    </w:p>
    <w:p>
      <w:pPr>
        <w:spacing w:after="0"/>
        <w:sectPr>
          <w:pgSz w:w="11910" w:h="16840"/>
          <w:pgMar w:header="0" w:footer="914" w:top="1460" w:bottom="1180" w:left="1680" w:right="1420"/>
        </w:sectPr>
      </w:pPr>
    </w:p>
    <w:p>
      <w:pPr>
        <w:pStyle w:val="BodyText"/>
        <w:spacing w:before="41"/>
        <w:ind w:firstLine="0"/>
      </w:pPr>
      <w:r>
        <w:rPr/>
        <w:t>申购金额上限。具体规定请参见《招募说明书》或相关公告；</w:t>
      </w:r>
    </w:p>
    <w:p>
      <w:pPr>
        <w:pStyle w:val="BodyText"/>
        <w:spacing w:line="364" w:lineRule="auto" w:before="160"/>
        <w:ind w:right="380"/>
      </w:pPr>
      <w:r>
        <w:rPr>
          <w:rFonts w:ascii="Times New Roman" w:eastAsia="Times New Roman"/>
        </w:rPr>
        <w:t>4</w:t>
      </w:r>
      <w:r>
        <w:rPr/>
        <w:t>、基金管理人有权规定本基金的总规模限额，以及单日申购金额上限和净申购比例上限，具体规定请参见招募说明书或相关公告；</w:t>
      </w:r>
    </w:p>
    <w:p>
      <w:pPr>
        <w:pStyle w:val="BodyText"/>
        <w:spacing w:line="364" w:lineRule="auto" w:before="2"/>
        <w:ind w:right="283"/>
      </w:pPr>
      <w:r>
        <w:rPr>
          <w:rFonts w:ascii="Times New Roman" w:eastAsia="Times New Roman"/>
        </w:rPr>
        <w:t>5</w:t>
      </w:r>
      <w:r>
        <w:rPr/>
        <w:t>、当接受申购申请对存量基金份额持有人利益构成潜在重大不利影响时， </w:t>
      </w:r>
      <w:r>
        <w:rPr>
          <w:spacing w:val="-1"/>
        </w:rPr>
        <w:t>基金管理人应当采取设定单一投资者申购金额上限或基金单日净申购比例上限、</w:t>
      </w:r>
      <w:r>
        <w:rPr/>
        <w:t>拒绝大额申购、暂停基金申购等措施，切实保护存量基金份额持有人的合法权 益。具体请参见相关公告。</w:t>
      </w:r>
    </w:p>
    <w:p>
      <w:pPr>
        <w:pStyle w:val="BodyText"/>
        <w:spacing w:line="364" w:lineRule="auto" w:before="2"/>
        <w:ind w:right="379"/>
        <w:jc w:val="both"/>
      </w:pPr>
      <w:r>
        <w:rPr>
          <w:rFonts w:ascii="Times New Roman" w:eastAsia="Times New Roman"/>
        </w:rPr>
        <w:t>6</w:t>
      </w:r>
      <w:r>
        <w:rPr>
          <w:spacing w:val="-1"/>
        </w:rPr>
        <w:t>、基金管理人、深圳证券交易所或基金登记结算机构可根据市场情况，在</w:t>
      </w:r>
      <w:r>
        <w:rPr>
          <w:spacing w:val="-8"/>
        </w:rPr>
        <w:t>法律法规允许的情况下，调整上述对申购金额和赎回份额、最低基金份额余额和</w:t>
      </w:r>
      <w:r>
        <w:rPr>
          <w:spacing w:val="-6"/>
        </w:rPr>
        <w:t>累计持有基金份额上限的数量限制，或者新增基金规模控制措施，基金管理人必</w:t>
      </w:r>
      <w:r>
        <w:rPr/>
        <w:t>须在调整生效前依照《信息披露办法》的有关规定在指定媒介上公告。</w:t>
      </w:r>
    </w:p>
    <w:p>
      <w:pPr>
        <w:spacing w:before="3"/>
        <w:ind w:left="602" w:right="0" w:firstLine="0"/>
        <w:jc w:val="left"/>
        <w:rPr>
          <w:b/>
          <w:sz w:val="24"/>
        </w:rPr>
      </w:pPr>
      <w:r>
        <w:rPr>
          <w:b/>
          <w:sz w:val="24"/>
        </w:rPr>
        <w:t>（六）申购费用和赎回费用</w:t>
      </w:r>
    </w:p>
    <w:p>
      <w:pPr>
        <w:pStyle w:val="BodyText"/>
        <w:spacing w:line="364" w:lineRule="auto"/>
        <w:ind w:right="378"/>
        <w:jc w:val="both"/>
      </w:pPr>
      <w:r>
        <w:rPr>
          <w:rFonts w:ascii="Times New Roman" w:eastAsia="Times New Roman"/>
        </w:rPr>
        <w:t>1</w:t>
      </w:r>
      <w:r>
        <w:rPr>
          <w:spacing w:val="-16"/>
        </w:rPr>
        <w:t>、本基金 </w:t>
      </w:r>
      <w:r>
        <w:rPr>
          <w:rFonts w:ascii="Times New Roman" w:eastAsia="Times New Roman"/>
        </w:rPr>
        <w:t>A </w:t>
      </w:r>
      <w:r>
        <w:rPr>
          <w:spacing w:val="-2"/>
        </w:rPr>
        <w:t>类基金份额的申购费用由申购本基金的投资者承担，不列入基</w:t>
      </w:r>
      <w:r>
        <w:rPr>
          <w:spacing w:val="-10"/>
        </w:rPr>
        <w:t>金财产，主要用于本基金的市场推广、销售、登记结算业务等各项费用。赎回费</w:t>
      </w:r>
      <w:r>
        <w:rPr/>
        <w:t>用由赎回本基金的基金份额持有人承担。</w:t>
      </w:r>
    </w:p>
    <w:p>
      <w:pPr>
        <w:pStyle w:val="BodyText"/>
        <w:spacing w:line="364" w:lineRule="auto" w:before="1"/>
        <w:ind w:right="376"/>
        <w:jc w:val="both"/>
      </w:pPr>
      <w:r>
        <w:rPr>
          <w:rFonts w:ascii="Times New Roman" w:eastAsia="Times New Roman"/>
        </w:rPr>
        <w:t>2</w:t>
      </w:r>
      <w:r>
        <w:rPr/>
        <w:t>、投资者可将其持有的全部或部分基金份额赎回。本基金的赎回费用在投</w:t>
      </w:r>
      <w:r>
        <w:rPr>
          <w:spacing w:val="-7"/>
        </w:rPr>
        <w:t>资者赎回本基金份额时收取，扣除用于市场推广、登记结算费和其他手续费后的</w:t>
      </w:r>
      <w:r>
        <w:rPr>
          <w:spacing w:val="-10"/>
        </w:rPr>
        <w:t>余额归基金财产，赎回费归入基金财产的比例不低于赎回费总额的 </w:t>
      </w:r>
      <w:r>
        <w:rPr>
          <w:rFonts w:ascii="Times New Roman" w:eastAsia="Times New Roman"/>
        </w:rPr>
        <w:t>25%</w:t>
      </w:r>
      <w:r>
        <w:rPr>
          <w:spacing w:val="-19"/>
        </w:rPr>
        <w:t>。基金管</w:t>
      </w:r>
      <w:r>
        <w:rPr>
          <w:spacing w:val="-1"/>
        </w:rPr>
        <w:t>理人对持续持有期少于 </w:t>
      </w:r>
      <w:r>
        <w:rPr>
          <w:rFonts w:ascii="Times New Roman" w:eastAsia="Times New Roman"/>
        </w:rPr>
        <w:t>7  </w:t>
      </w:r>
      <w:r>
        <w:rPr>
          <w:spacing w:val="-1"/>
        </w:rPr>
        <w:t>日的投资者收取不低于 </w:t>
      </w:r>
      <w:r>
        <w:rPr>
          <w:rFonts w:ascii="Times New Roman" w:eastAsia="Times New Roman"/>
        </w:rPr>
        <w:t>1.5%</w:t>
      </w:r>
      <w:r>
        <w:rPr>
          <w:spacing w:val="-15"/>
        </w:rPr>
        <w:t>的赎回费，并将上述赎回</w:t>
      </w:r>
      <w:r>
        <w:rPr/>
        <w:t>费全额计入基金财产。</w:t>
      </w:r>
    </w:p>
    <w:p>
      <w:pPr>
        <w:pStyle w:val="BodyText"/>
        <w:spacing w:before="4"/>
        <w:ind w:left="600" w:firstLine="0"/>
        <w:jc w:val="both"/>
      </w:pPr>
      <w:r>
        <w:rPr>
          <w:rFonts w:ascii="Times New Roman" w:eastAsia="Times New Roman"/>
        </w:rPr>
        <w:t>3</w:t>
      </w:r>
      <w:r>
        <w:rPr/>
        <w:t>、本基金 </w:t>
      </w:r>
      <w:r>
        <w:rPr>
          <w:rFonts w:ascii="Times New Roman" w:eastAsia="Times New Roman"/>
        </w:rPr>
        <w:t>A </w:t>
      </w:r>
      <w:r>
        <w:rPr/>
        <w:t>类基金份额的申购费率最高不超过 </w:t>
      </w:r>
      <w:r>
        <w:rPr>
          <w:rFonts w:ascii="Times New Roman" w:eastAsia="Times New Roman"/>
        </w:rPr>
        <w:t>5%</w:t>
      </w:r>
      <w:r>
        <w:rPr/>
        <w:t>，赎回费率最高不超过</w:t>
      </w:r>
    </w:p>
    <w:p>
      <w:pPr>
        <w:pStyle w:val="BodyText"/>
        <w:spacing w:line="364" w:lineRule="auto" w:before="160"/>
        <w:ind w:right="256" w:firstLine="0"/>
        <w:jc w:val="both"/>
      </w:pPr>
      <w:r>
        <w:rPr>
          <w:rFonts w:ascii="Times New Roman" w:eastAsia="Times New Roman"/>
        </w:rPr>
        <w:t>5%</w:t>
      </w:r>
      <w:r>
        <w:rPr>
          <w:spacing w:val="-22"/>
        </w:rPr>
        <w:t>。本基金 </w:t>
      </w:r>
      <w:r>
        <w:rPr>
          <w:rFonts w:ascii="Times New Roman" w:eastAsia="Times New Roman"/>
        </w:rPr>
        <w:t>C </w:t>
      </w:r>
      <w:r>
        <w:rPr>
          <w:spacing w:val="-2"/>
        </w:rPr>
        <w:t>类基金份额不收取申购费，</w:t>
      </w:r>
      <w:r>
        <w:rPr>
          <w:rFonts w:ascii="Times New Roman" w:eastAsia="Times New Roman"/>
          <w:spacing w:val="-22"/>
        </w:rPr>
        <w:t>A </w:t>
      </w:r>
      <w:r>
        <w:rPr>
          <w:spacing w:val="-1"/>
        </w:rPr>
        <w:t>类基金份额申购费用由投资者承担， </w:t>
      </w:r>
      <w:r>
        <w:rPr/>
        <w:t>不列入基金财产。</w:t>
      </w:r>
    </w:p>
    <w:p>
      <w:pPr>
        <w:pStyle w:val="BodyText"/>
        <w:spacing w:line="364" w:lineRule="auto" w:before="1"/>
        <w:ind w:right="257"/>
      </w:pPr>
      <w:r>
        <w:rPr>
          <w:rFonts w:ascii="Times New Roman" w:eastAsia="Times New Roman"/>
        </w:rPr>
        <w:t>4</w:t>
      </w:r>
      <w:r>
        <w:rPr>
          <w:spacing w:val="-11"/>
        </w:rPr>
        <w:t>、本基金的申购费率、赎回费率和收费方式由基金管理人根据《基金合同》</w:t>
      </w:r>
      <w:r>
        <w:rPr>
          <w:spacing w:val="-8"/>
        </w:rPr>
        <w:t>的规定确定并在《招募说明书》中列示。基金管理人可以根据法律法规和《基金</w:t>
      </w:r>
      <w:r>
        <w:rPr>
          <w:spacing w:val="-12"/>
        </w:rPr>
        <w:t>合同》的相关约定调整费率或收费方式，基金管理人应于新的费率或收费方式实施日前根据《信息披露办法》的规定在指定媒介上公告。</w:t>
      </w:r>
    </w:p>
    <w:p>
      <w:pPr>
        <w:pStyle w:val="BodyText"/>
        <w:spacing w:line="364" w:lineRule="auto" w:before="3"/>
        <w:ind w:right="381"/>
      </w:pPr>
      <w:r>
        <w:rPr>
          <w:rFonts w:ascii="Times New Roman" w:eastAsia="Times New Roman"/>
        </w:rPr>
        <w:t>5</w:t>
      </w:r>
      <w:r>
        <w:rPr>
          <w:spacing w:val="-8"/>
        </w:rPr>
        <w:t>、对特定交易方式</w:t>
      </w:r>
      <w:r>
        <w:rPr/>
        <w:t>（</w:t>
      </w:r>
      <w:r>
        <w:rPr>
          <w:spacing w:val="-4"/>
        </w:rPr>
        <w:t>如网上交易、电话交易等</w:t>
      </w:r>
      <w:r>
        <w:rPr>
          <w:spacing w:val="-72"/>
        </w:rPr>
        <w:t>）</w:t>
      </w:r>
      <w:r>
        <w:rPr>
          <w:spacing w:val="-10"/>
        </w:rPr>
        <w:t>，基金管理人可以采用低于</w:t>
      </w:r>
      <w:r>
        <w:rPr/>
        <w:t>柜台交易方式的基金申购费率和基金赎回费率。</w:t>
      </w:r>
    </w:p>
    <w:p>
      <w:pPr>
        <w:spacing w:after="0" w:line="364" w:lineRule="auto"/>
        <w:sectPr>
          <w:pgSz w:w="11910" w:h="16840"/>
          <w:pgMar w:header="0" w:footer="914" w:top="1460" w:bottom="1180" w:left="1680" w:right="1420"/>
        </w:sectPr>
      </w:pPr>
    </w:p>
    <w:p>
      <w:pPr>
        <w:pStyle w:val="BodyText"/>
        <w:spacing w:line="364" w:lineRule="auto" w:before="61"/>
        <w:ind w:right="379"/>
        <w:jc w:val="both"/>
      </w:pPr>
      <w:r>
        <w:rPr>
          <w:rFonts w:ascii="Times New Roman" w:eastAsia="Times New Roman"/>
        </w:rPr>
        <w:t>6</w:t>
      </w:r>
      <w:r>
        <w:rPr/>
        <w:t>、基金管理人可以在不违背法律法规规定及《基金合同》约定的情形下根</w:t>
      </w:r>
      <w:r>
        <w:rPr>
          <w:spacing w:val="-7"/>
        </w:rPr>
        <w:t>据市场情况制定基金促销计划。在基金促销活动期间，按监管部门要求履行相关</w:t>
      </w:r>
      <w:r>
        <w:rPr/>
        <w:t>手续后，基金管理人可以适当调低基金申购费率和基金赎回费率。</w:t>
      </w:r>
    </w:p>
    <w:p>
      <w:pPr>
        <w:spacing w:before="2"/>
        <w:ind w:left="602" w:right="0" w:firstLine="0"/>
        <w:jc w:val="left"/>
        <w:rPr>
          <w:b/>
          <w:sz w:val="24"/>
        </w:rPr>
      </w:pPr>
      <w:r>
        <w:rPr>
          <w:b/>
          <w:sz w:val="24"/>
        </w:rPr>
        <w:t>（七）申购份额与赎回金额的计算</w:t>
      </w:r>
    </w:p>
    <w:p>
      <w:pPr>
        <w:pStyle w:val="BodyText"/>
        <w:spacing w:before="160"/>
        <w:ind w:left="600" w:firstLine="0"/>
      </w:pPr>
      <w:r>
        <w:rPr>
          <w:rFonts w:ascii="Times New Roman" w:eastAsia="Times New Roman"/>
        </w:rPr>
        <w:t>1</w:t>
      </w:r>
      <w:r>
        <w:rPr/>
        <w:t>、本基金申购份额的计算：</w:t>
      </w:r>
    </w:p>
    <w:p>
      <w:pPr>
        <w:pStyle w:val="BodyText"/>
        <w:ind w:left="585" w:firstLine="0"/>
      </w:pPr>
      <w:r>
        <w:rPr/>
        <w:t>本基金申购份额的计算详见《招募说明书》。</w:t>
      </w:r>
    </w:p>
    <w:p>
      <w:pPr>
        <w:pStyle w:val="BodyText"/>
        <w:spacing w:before="160"/>
        <w:ind w:left="600" w:firstLine="0"/>
      </w:pPr>
      <w:r>
        <w:rPr>
          <w:rFonts w:ascii="Times New Roman" w:eastAsia="Times New Roman"/>
        </w:rPr>
        <w:t>2</w:t>
      </w:r>
      <w:r>
        <w:rPr/>
        <w:t>、本基金赎回金额的计算：</w:t>
      </w:r>
    </w:p>
    <w:p>
      <w:pPr>
        <w:pStyle w:val="BodyText"/>
        <w:ind w:left="600" w:firstLine="0"/>
      </w:pPr>
      <w:r>
        <w:rPr/>
        <w:t>本基金赎回金额的计算详见《招募说明书》。</w:t>
      </w:r>
    </w:p>
    <w:p>
      <w:pPr>
        <w:pStyle w:val="BodyText"/>
        <w:ind w:left="600" w:firstLine="0"/>
      </w:pPr>
      <w:r>
        <w:rPr>
          <w:rFonts w:ascii="Times New Roman" w:eastAsia="Times New Roman"/>
        </w:rPr>
        <w:t>3</w:t>
      </w:r>
      <w:r>
        <w:rPr/>
        <w:t>、基金份额净值的计算：</w:t>
      </w:r>
    </w:p>
    <w:p>
      <w:pPr>
        <w:pStyle w:val="BodyText"/>
        <w:spacing w:line="364" w:lineRule="auto" w:before="160"/>
        <w:ind w:right="283"/>
      </w:pPr>
      <w:r>
        <w:rPr>
          <w:spacing w:val="-8"/>
        </w:rPr>
        <w:t>本基金分别计算 </w:t>
      </w:r>
      <w:r>
        <w:rPr>
          <w:rFonts w:ascii="Times New Roman" w:eastAsia="Times New Roman"/>
        </w:rPr>
        <w:t>A </w:t>
      </w:r>
      <w:r>
        <w:rPr>
          <w:spacing w:val="-5"/>
        </w:rPr>
        <w:t>类人民币份额、</w:t>
      </w:r>
      <w:r>
        <w:rPr>
          <w:rFonts w:ascii="Times New Roman" w:eastAsia="Times New Roman"/>
        </w:rPr>
        <w:t>A </w:t>
      </w:r>
      <w:r>
        <w:rPr>
          <w:spacing w:val="-6"/>
        </w:rPr>
        <w:t>类美元份额、</w:t>
      </w:r>
      <w:r>
        <w:rPr>
          <w:rFonts w:ascii="Times New Roman" w:eastAsia="Times New Roman"/>
        </w:rPr>
        <w:t>C </w:t>
      </w:r>
      <w:r>
        <w:rPr>
          <w:spacing w:val="-5"/>
        </w:rPr>
        <w:t>类人民币份额、</w:t>
      </w:r>
      <w:r>
        <w:rPr>
          <w:rFonts w:ascii="Times New Roman" w:eastAsia="Times New Roman"/>
        </w:rPr>
        <w:t>C </w:t>
      </w:r>
      <w:r>
        <w:rPr/>
        <w:t>类美</w:t>
      </w:r>
      <w:r>
        <w:rPr>
          <w:spacing w:val="-3"/>
        </w:rPr>
        <w:t>元份额的基金份额净值。各类基金份额净值应当在估值日后 </w:t>
      </w:r>
      <w:r>
        <w:rPr>
          <w:rFonts w:ascii="Times New Roman" w:eastAsia="Times New Roman"/>
        </w:rPr>
        <w:t>2 </w:t>
      </w:r>
      <w:r>
        <w:rPr>
          <w:spacing w:val="-3"/>
        </w:rPr>
        <w:t>个工作日内披露。</w:t>
      </w:r>
      <w:r>
        <w:rPr>
          <w:spacing w:val="-9"/>
        </w:rPr>
        <w:t>遇特殊情况，经履行适当程序，可以适当延迟计算或公告。本基金人民币份额的</w:t>
      </w:r>
      <w:r>
        <w:rPr>
          <w:spacing w:val="-14"/>
        </w:rPr>
        <w:t>基金份额净值的计算，保留到小数点后 </w:t>
      </w:r>
      <w:r>
        <w:rPr>
          <w:rFonts w:ascii="Times New Roman" w:eastAsia="Times New Roman"/>
        </w:rPr>
        <w:t>3 </w:t>
      </w:r>
      <w:r>
        <w:rPr>
          <w:spacing w:val="-13"/>
        </w:rPr>
        <w:t>位，小数点后第 </w:t>
      </w:r>
      <w:r>
        <w:rPr>
          <w:rFonts w:ascii="Times New Roman" w:eastAsia="Times New Roman"/>
        </w:rPr>
        <w:t>4 </w:t>
      </w:r>
      <w:r>
        <w:rPr>
          <w:spacing w:val="-6"/>
        </w:rPr>
        <w:t>位四舍五入；本基金</w:t>
      </w:r>
      <w:r>
        <w:rPr>
          <w:spacing w:val="-9"/>
        </w:rPr>
        <w:t>美元份额的基金份额净值以估值日相应类别人民币基金份额净值为基础，按照估值日的估值汇率进行折算，美元份额净值保留到小数点后 </w:t>
      </w:r>
      <w:r>
        <w:rPr>
          <w:rFonts w:ascii="Times New Roman" w:eastAsia="Times New Roman"/>
        </w:rPr>
        <w:t>3 </w:t>
      </w:r>
      <w:r>
        <w:rPr/>
        <w:t>位，小数点后第 </w:t>
      </w:r>
      <w:r>
        <w:rPr>
          <w:rFonts w:ascii="Times New Roman" w:eastAsia="Times New Roman"/>
        </w:rPr>
        <w:t>4 </w:t>
      </w:r>
      <w:r>
        <w:rPr/>
        <w:t>位四舍五入，由此产生的收益或损失由基金财产承担。</w:t>
      </w:r>
    </w:p>
    <w:p>
      <w:pPr>
        <w:pStyle w:val="BodyText"/>
        <w:spacing w:before="5"/>
        <w:ind w:left="600" w:firstLine="0"/>
      </w:pPr>
      <w:r>
        <w:rPr>
          <w:rFonts w:ascii="Times New Roman" w:eastAsia="Times New Roman"/>
        </w:rPr>
        <w:t>4</w:t>
      </w:r>
      <w:r>
        <w:rPr/>
        <w:t>、申购份额、余额的处理方式：</w:t>
      </w:r>
    </w:p>
    <w:p>
      <w:pPr>
        <w:pStyle w:val="BodyText"/>
        <w:spacing w:line="364" w:lineRule="auto" w:before="160"/>
        <w:ind w:right="378"/>
        <w:jc w:val="both"/>
      </w:pPr>
      <w:r>
        <w:rPr>
          <w:spacing w:val="-5"/>
        </w:rPr>
        <w:t>申购的有效份额为按实际确认的申购金额在扣除相应的费用后，以申请当日</w:t>
      </w:r>
      <w:r>
        <w:rPr>
          <w:spacing w:val="-6"/>
        </w:rPr>
        <w:t>对应份额类别及币种的基金份额净值为基准计算。场外申购涉及金额、份额的计</w:t>
      </w:r>
      <w:r>
        <w:rPr>
          <w:spacing w:val="-7"/>
        </w:rPr>
        <w:t>算结果均保留到小数点后两位，小数点后两位以后的部分四舍五入，由此产生的</w:t>
      </w:r>
      <w:r>
        <w:rPr>
          <w:spacing w:val="-9"/>
        </w:rPr>
        <w:t>误差计入基金财产。场内申购涉及金额的计算结果保留到小数点后两位，小数点</w:t>
      </w:r>
      <w:r>
        <w:rPr>
          <w:spacing w:val="-7"/>
        </w:rPr>
        <w:t>后两位以后的部分四舍五入，由此产生的误差计入基金财产；场内申购涉及份额的计算结果采用截位法保留到整数位，整数位后小数部分的份额对应的资金返还</w:t>
      </w:r>
      <w:r>
        <w:rPr/>
        <w:t>至投资者资金账户。</w:t>
      </w:r>
    </w:p>
    <w:p>
      <w:pPr>
        <w:pStyle w:val="BodyText"/>
        <w:spacing w:before="5"/>
        <w:ind w:left="600" w:firstLine="0"/>
      </w:pPr>
      <w:r>
        <w:rPr>
          <w:rFonts w:ascii="Times New Roman" w:eastAsia="Times New Roman"/>
        </w:rPr>
        <w:t>5</w:t>
      </w:r>
      <w:r>
        <w:rPr/>
        <w:t>、赎回金额的处理方式：</w:t>
      </w:r>
    </w:p>
    <w:p>
      <w:pPr>
        <w:pStyle w:val="BodyText"/>
        <w:spacing w:line="364" w:lineRule="auto"/>
        <w:ind w:right="369"/>
        <w:jc w:val="both"/>
      </w:pPr>
      <w:r>
        <w:rPr>
          <w:spacing w:val="4"/>
        </w:rPr>
        <w:t>赎回金额为按实际确认的有效赎回份额以申请当日对应份额类别及币种的</w:t>
      </w:r>
      <w:r>
        <w:rPr>
          <w:spacing w:val="-5"/>
        </w:rPr>
        <w:t>基金份额净值为基准并扣除相应的费用，计算结果保留到小数点后两位，小数点后第三位四舍五入，由此误差产生的收益或损失计入基金财产。</w:t>
      </w:r>
    </w:p>
    <w:p>
      <w:pPr>
        <w:spacing w:before="1"/>
        <w:ind w:left="602" w:right="0" w:firstLine="0"/>
        <w:jc w:val="left"/>
        <w:rPr>
          <w:b/>
          <w:sz w:val="24"/>
        </w:rPr>
      </w:pPr>
      <w:r>
        <w:rPr>
          <w:b/>
          <w:sz w:val="24"/>
        </w:rPr>
        <w:t>（八）申购和赎回的登记结算</w:t>
      </w:r>
    </w:p>
    <w:p>
      <w:pPr>
        <w:spacing w:after="0"/>
        <w:jc w:val="left"/>
        <w:rPr>
          <w:sz w:val="24"/>
        </w:rPr>
        <w:sectPr>
          <w:pgSz w:w="11910" w:h="16840"/>
          <w:pgMar w:header="0" w:footer="914" w:top="1440" w:bottom="1180" w:left="1680" w:right="1420"/>
        </w:sectPr>
      </w:pPr>
    </w:p>
    <w:p>
      <w:pPr>
        <w:pStyle w:val="BodyText"/>
        <w:spacing w:line="364" w:lineRule="auto" w:before="41"/>
        <w:ind w:right="285"/>
      </w:pPr>
      <w:r>
        <w:rPr>
          <w:spacing w:val="-1"/>
        </w:rPr>
        <w:t>本基金申购与赎回的登记结算业务按照基金登记结算机构的有关规定办理。正常情况下，投资者申购基金成功后，基金登记结算机构在 </w:t>
      </w:r>
      <w:r>
        <w:rPr>
          <w:rFonts w:ascii="Times New Roman" w:eastAsia="Times New Roman"/>
        </w:rPr>
        <w:t>T+2</w:t>
      </w:r>
      <w:r>
        <w:rPr>
          <w:rFonts w:ascii="Times New Roman" w:eastAsia="Times New Roman"/>
          <w:spacing w:val="52"/>
        </w:rPr>
        <w:t> </w:t>
      </w:r>
      <w:r>
        <w:rPr/>
        <w:t>日为投资者登</w:t>
      </w:r>
      <w:r>
        <w:rPr>
          <w:spacing w:val="-1"/>
        </w:rPr>
        <w:t>记权益并办理登记结算手续，投资者自 </w:t>
      </w:r>
      <w:r>
        <w:rPr>
          <w:rFonts w:ascii="Times New Roman" w:eastAsia="Times New Roman"/>
        </w:rPr>
        <w:t>T+3</w:t>
      </w:r>
      <w:r>
        <w:rPr>
          <w:rFonts w:ascii="Times New Roman" w:eastAsia="Times New Roman"/>
          <w:spacing w:val="52"/>
        </w:rPr>
        <w:t> </w:t>
      </w:r>
      <w:r>
        <w:rPr/>
        <w:t>日起（含该日）有权赎回该部分基金份额。</w:t>
      </w:r>
    </w:p>
    <w:p>
      <w:pPr>
        <w:pStyle w:val="BodyText"/>
        <w:spacing w:line="364" w:lineRule="auto" w:before="2"/>
        <w:ind w:right="376"/>
      </w:pPr>
      <w:r>
        <w:rPr>
          <w:spacing w:val="-1"/>
        </w:rPr>
        <w:t>投资者赎回基金成功后，正常情况下，登记结算机构在 </w:t>
      </w:r>
      <w:r>
        <w:rPr>
          <w:rFonts w:ascii="Times New Roman" w:eastAsia="Times New Roman"/>
        </w:rPr>
        <w:t>T+2</w:t>
      </w:r>
      <w:r>
        <w:rPr>
          <w:rFonts w:ascii="Times New Roman" w:eastAsia="Times New Roman"/>
          <w:spacing w:val="52"/>
        </w:rPr>
        <w:t> </w:t>
      </w:r>
      <w:r>
        <w:rPr>
          <w:spacing w:val="-3"/>
        </w:rPr>
        <w:t>日为投资者办</w:t>
      </w:r>
      <w:r>
        <w:rPr/>
        <w:t>理扣除权益的登记结算手续。</w:t>
      </w:r>
    </w:p>
    <w:p>
      <w:pPr>
        <w:pStyle w:val="BodyText"/>
        <w:spacing w:line="364" w:lineRule="auto" w:before="2"/>
        <w:ind w:right="376"/>
        <w:jc w:val="both"/>
      </w:pPr>
      <w:r>
        <w:rPr>
          <w:spacing w:val="-6"/>
        </w:rPr>
        <w:t>登记结算机构可以在法律法规允许的范围内，对上述登记结算办理时间进行</w:t>
      </w:r>
      <w:r>
        <w:rPr>
          <w:spacing w:val="-13"/>
        </w:rPr>
        <w:t>调整，但不得实质影响投资者的合法权益，基金管理人最迟于开始实施前 </w:t>
      </w:r>
      <w:r>
        <w:rPr>
          <w:rFonts w:ascii="Times New Roman" w:eastAsia="Times New Roman"/>
        </w:rPr>
        <w:t>2 </w:t>
      </w:r>
      <w:r>
        <w:rPr>
          <w:spacing w:val="-7"/>
        </w:rPr>
        <w:t>个工</w:t>
      </w:r>
      <w:r>
        <w:rPr/>
        <w:t>作日在指定媒介公告。</w:t>
      </w:r>
    </w:p>
    <w:p>
      <w:pPr>
        <w:spacing w:before="2"/>
        <w:ind w:left="602" w:right="0" w:firstLine="0"/>
        <w:jc w:val="left"/>
        <w:rPr>
          <w:b/>
          <w:sz w:val="24"/>
        </w:rPr>
      </w:pPr>
      <w:r>
        <w:rPr>
          <w:b/>
          <w:sz w:val="24"/>
        </w:rPr>
        <w:t>（九）基金份额的登记</w:t>
      </w:r>
    </w:p>
    <w:p>
      <w:pPr>
        <w:pStyle w:val="BodyText"/>
        <w:spacing w:before="160"/>
        <w:ind w:left="600" w:firstLine="0"/>
      </w:pPr>
      <w:r>
        <w:rPr/>
        <w:t>本基金的份额采用分系统登记的原则。</w:t>
      </w:r>
    </w:p>
    <w:p>
      <w:pPr>
        <w:pStyle w:val="BodyText"/>
        <w:spacing w:line="364" w:lineRule="auto" w:before="82"/>
        <w:ind w:right="378"/>
        <w:jc w:val="both"/>
      </w:pPr>
      <w:r>
        <w:rPr/>
        <w:t>场外</w:t>
      </w:r>
      <w:r>
        <w:rPr>
          <w:rFonts w:ascii="Times New Roman" w:eastAsia="Times New Roman"/>
        </w:rPr>
        <w:t>A</w:t>
      </w:r>
      <w:r>
        <w:rPr/>
        <w:t>类人民币份额记录在中国证券登记结算有限责任公司开立的基金账户并登记在登记结算系统，场内</w:t>
      </w:r>
      <w:r>
        <w:rPr>
          <w:rFonts w:ascii="Times New Roman" w:eastAsia="Times New Roman"/>
        </w:rPr>
        <w:t>A</w:t>
      </w:r>
      <w:r>
        <w:rPr/>
        <w:t>类人民币份额记录在持有人深圳证券账户并登记在证券登记系统。</w:t>
      </w:r>
    </w:p>
    <w:p>
      <w:pPr>
        <w:pStyle w:val="BodyText"/>
        <w:spacing w:line="362" w:lineRule="auto" w:before="0"/>
        <w:ind w:right="376"/>
      </w:pPr>
      <w:r>
        <w:rPr>
          <w:rFonts w:ascii="Times New Roman" w:eastAsia="Times New Roman"/>
        </w:rPr>
        <w:t>A</w:t>
      </w:r>
      <w:r>
        <w:rPr>
          <w:spacing w:val="-9"/>
        </w:rPr>
        <w:t>类美元份额、</w:t>
      </w:r>
      <w:r>
        <w:rPr>
          <w:rFonts w:ascii="Times New Roman" w:eastAsia="Times New Roman"/>
        </w:rPr>
        <w:t>C</w:t>
      </w:r>
      <w:r>
        <w:rPr>
          <w:spacing w:val="-9"/>
        </w:rPr>
        <w:t>类美元份额、</w:t>
      </w:r>
      <w:r>
        <w:rPr>
          <w:rFonts w:ascii="Times New Roman" w:eastAsia="Times New Roman"/>
        </w:rPr>
        <w:t>C</w:t>
      </w:r>
      <w:r>
        <w:rPr>
          <w:spacing w:val="-2"/>
        </w:rPr>
        <w:t>类人民币份额记录在易方达基金管理有限公</w:t>
      </w:r>
      <w:r>
        <w:rPr/>
        <w:t>司开立的基金账户并登记在易方达基金管理有限公司的注册登记系统。</w:t>
      </w:r>
    </w:p>
    <w:p>
      <w:pPr>
        <w:pStyle w:val="BodyText"/>
        <w:spacing w:before="84"/>
        <w:ind w:left="600" w:firstLine="0"/>
      </w:pPr>
      <w:r>
        <w:rPr>
          <w:rFonts w:ascii="Times New Roman" w:eastAsia="Times New Roman"/>
        </w:rPr>
        <w:t>A </w:t>
      </w:r>
      <w:r>
        <w:rPr/>
        <w:t>类美元份额、</w:t>
      </w:r>
      <w:r>
        <w:rPr>
          <w:rFonts w:ascii="Times New Roman" w:eastAsia="Times New Roman"/>
        </w:rPr>
        <w:t>C </w:t>
      </w:r>
      <w:r>
        <w:rPr/>
        <w:t>类美元份额、</w:t>
      </w:r>
      <w:r>
        <w:rPr>
          <w:rFonts w:ascii="Times New Roman" w:eastAsia="Times New Roman"/>
        </w:rPr>
        <w:t>C </w:t>
      </w:r>
      <w:r>
        <w:rPr/>
        <w:t>类人民币份额及登记在登记结算系统中的</w:t>
      </w:r>
    </w:p>
    <w:p>
      <w:pPr>
        <w:pStyle w:val="BodyText"/>
        <w:spacing w:before="160"/>
        <w:ind w:firstLine="0"/>
      </w:pPr>
      <w:r>
        <w:rPr>
          <w:rFonts w:ascii="Times New Roman" w:eastAsia="Times New Roman"/>
        </w:rPr>
        <w:t>A </w:t>
      </w:r>
      <w:r>
        <w:rPr/>
        <w:t>类人民币份额可申请场外赎回，但不可卖出。</w:t>
      </w:r>
    </w:p>
    <w:p>
      <w:pPr>
        <w:pStyle w:val="BodyText"/>
        <w:spacing w:line="364" w:lineRule="auto"/>
        <w:ind w:right="376"/>
      </w:pPr>
      <w:r>
        <w:rPr/>
        <w:t>登记在证券登记系统中的 </w:t>
      </w:r>
      <w:r>
        <w:rPr>
          <w:rFonts w:ascii="Times New Roman" w:eastAsia="Times New Roman"/>
        </w:rPr>
        <w:t>A </w:t>
      </w:r>
      <w:r>
        <w:rPr/>
        <w:t>类人民币份额既可上市交易，也可直接申请场内赎回。</w:t>
      </w:r>
    </w:p>
    <w:p>
      <w:pPr>
        <w:spacing w:before="1"/>
        <w:ind w:left="602" w:right="0" w:firstLine="0"/>
        <w:jc w:val="left"/>
        <w:rPr>
          <w:b/>
          <w:sz w:val="24"/>
        </w:rPr>
      </w:pPr>
      <w:r>
        <w:rPr>
          <w:b/>
          <w:sz w:val="24"/>
        </w:rPr>
        <w:t>（十）拒绝或暂停申购的情形及处理方式</w:t>
      </w:r>
    </w:p>
    <w:p>
      <w:pPr>
        <w:pStyle w:val="BodyText"/>
        <w:spacing w:before="160"/>
        <w:ind w:left="600" w:firstLine="0"/>
      </w:pPr>
      <w:r>
        <w:rPr/>
        <w:t>出现如下情形，基金管理人可暂停或拒绝投资者的申购申请：</w:t>
      </w:r>
    </w:p>
    <w:p>
      <w:pPr>
        <w:pStyle w:val="ListParagraph"/>
        <w:numPr>
          <w:ilvl w:val="0"/>
          <w:numId w:val="2"/>
        </w:numPr>
        <w:tabs>
          <w:tab w:pos="1202" w:val="left" w:leader="none"/>
        </w:tabs>
        <w:spacing w:line="240" w:lineRule="auto" w:before="161" w:after="0"/>
        <w:ind w:left="1201" w:right="0" w:hanging="602"/>
        <w:jc w:val="left"/>
        <w:rPr>
          <w:sz w:val="24"/>
        </w:rPr>
      </w:pPr>
      <w:r>
        <w:rPr>
          <w:sz w:val="24"/>
        </w:rPr>
        <w:t>不可抗力的原因导致基金无法正常运作；</w:t>
      </w:r>
    </w:p>
    <w:p>
      <w:pPr>
        <w:pStyle w:val="ListParagraph"/>
        <w:numPr>
          <w:ilvl w:val="0"/>
          <w:numId w:val="2"/>
        </w:numPr>
        <w:tabs>
          <w:tab w:pos="1202" w:val="left" w:leader="none"/>
        </w:tabs>
        <w:spacing w:line="364" w:lineRule="auto" w:before="160" w:after="0"/>
        <w:ind w:left="120" w:right="381" w:firstLine="479"/>
        <w:jc w:val="left"/>
        <w:rPr>
          <w:sz w:val="24"/>
        </w:rPr>
      </w:pPr>
      <w:r>
        <w:rPr>
          <w:spacing w:val="-1"/>
          <w:sz w:val="24"/>
        </w:rPr>
        <w:t>基金境外投资主要市场或外汇市场休市，并可能影响本基金正常估值</w:t>
      </w:r>
      <w:r>
        <w:rPr>
          <w:sz w:val="24"/>
        </w:rPr>
        <w:t>与投资时；</w:t>
      </w:r>
    </w:p>
    <w:p>
      <w:pPr>
        <w:pStyle w:val="ListParagraph"/>
        <w:numPr>
          <w:ilvl w:val="0"/>
          <w:numId w:val="2"/>
        </w:numPr>
        <w:tabs>
          <w:tab w:pos="1202" w:val="left" w:leader="none"/>
        </w:tabs>
        <w:spacing w:line="364" w:lineRule="auto" w:before="2" w:after="0"/>
        <w:ind w:left="120" w:right="383" w:firstLine="479"/>
        <w:jc w:val="left"/>
        <w:rPr>
          <w:sz w:val="24"/>
        </w:rPr>
      </w:pPr>
      <w:r>
        <w:rPr>
          <w:spacing w:val="-1"/>
          <w:sz w:val="24"/>
        </w:rPr>
        <w:t>本基金的资产组合中的重要部分发生暂停交易或其他重大事件，继续</w:t>
      </w:r>
      <w:r>
        <w:rPr>
          <w:sz w:val="24"/>
        </w:rPr>
        <w:t>接受申购可能会影响或损害其他基金份额持有人利益时；</w:t>
      </w:r>
    </w:p>
    <w:p>
      <w:pPr>
        <w:pStyle w:val="ListParagraph"/>
        <w:numPr>
          <w:ilvl w:val="0"/>
          <w:numId w:val="2"/>
        </w:numPr>
        <w:tabs>
          <w:tab w:pos="1202" w:val="left" w:leader="none"/>
        </w:tabs>
        <w:spacing w:line="364" w:lineRule="auto" w:before="1" w:after="0"/>
        <w:ind w:left="120" w:right="384" w:firstLine="479"/>
        <w:jc w:val="left"/>
        <w:rPr>
          <w:sz w:val="24"/>
        </w:rPr>
      </w:pPr>
      <w:r>
        <w:rPr>
          <w:spacing w:val="-1"/>
          <w:sz w:val="24"/>
        </w:rPr>
        <w:t>基金资产规模过大，使基金管理人无法找到合适的投资品种，或可能</w:t>
      </w:r>
      <w:r>
        <w:rPr>
          <w:sz w:val="24"/>
        </w:rPr>
        <w:t>对基金业绩产生负面影响，从而损害现有基金份额持有人的利益；</w:t>
      </w:r>
    </w:p>
    <w:p>
      <w:pPr>
        <w:pStyle w:val="ListParagraph"/>
        <w:numPr>
          <w:ilvl w:val="0"/>
          <w:numId w:val="2"/>
        </w:numPr>
        <w:tabs>
          <w:tab w:pos="1202" w:val="left" w:leader="none"/>
        </w:tabs>
        <w:spacing w:line="240" w:lineRule="auto" w:before="1" w:after="0"/>
        <w:ind w:left="1201" w:right="0" w:hanging="602"/>
        <w:jc w:val="left"/>
        <w:rPr>
          <w:sz w:val="24"/>
        </w:rPr>
      </w:pPr>
      <w:r>
        <w:rPr>
          <w:sz w:val="24"/>
        </w:rPr>
        <w:t>继续接受申购可能导致突破国家外汇局批准的外汇额度；</w:t>
      </w:r>
    </w:p>
    <w:p>
      <w:pPr>
        <w:spacing w:after="0" w:line="240" w:lineRule="auto"/>
        <w:jc w:val="left"/>
        <w:rPr>
          <w:sz w:val="24"/>
        </w:rPr>
        <w:sectPr>
          <w:pgSz w:w="11910" w:h="16840"/>
          <w:pgMar w:header="0" w:footer="914" w:top="1460" w:bottom="1180" w:left="1680" w:right="1420"/>
        </w:sectPr>
      </w:pPr>
    </w:p>
    <w:p>
      <w:pPr>
        <w:pStyle w:val="ListParagraph"/>
        <w:numPr>
          <w:ilvl w:val="0"/>
          <w:numId w:val="2"/>
        </w:numPr>
        <w:tabs>
          <w:tab w:pos="1202" w:val="left" w:leader="none"/>
        </w:tabs>
        <w:spacing w:line="364" w:lineRule="auto" w:before="61" w:after="0"/>
        <w:ind w:left="120" w:right="376" w:firstLine="479"/>
        <w:jc w:val="both"/>
        <w:rPr>
          <w:sz w:val="24"/>
        </w:rPr>
      </w:pPr>
      <w:r>
        <w:rPr>
          <w:sz w:val="24"/>
        </w:rPr>
        <w:t>基金管理人、基金托管人、基金销售机构或登记结算机构因技术故障</w:t>
      </w:r>
      <w:r>
        <w:rPr>
          <w:spacing w:val="-5"/>
          <w:sz w:val="24"/>
        </w:rPr>
        <w:t>导致基金销售系统或基金登记结算系统或证券登记系统、基金会计系统无法正常</w:t>
      </w:r>
      <w:r>
        <w:rPr>
          <w:sz w:val="24"/>
        </w:rPr>
        <w:t>运行；</w:t>
      </w:r>
    </w:p>
    <w:p>
      <w:pPr>
        <w:pStyle w:val="ListParagraph"/>
        <w:numPr>
          <w:ilvl w:val="0"/>
          <w:numId w:val="2"/>
        </w:numPr>
        <w:tabs>
          <w:tab w:pos="1202" w:val="left" w:leader="none"/>
        </w:tabs>
        <w:spacing w:line="240" w:lineRule="auto" w:before="2" w:after="0"/>
        <w:ind w:left="1201" w:right="0" w:hanging="602"/>
        <w:jc w:val="left"/>
        <w:rPr>
          <w:sz w:val="24"/>
        </w:rPr>
      </w:pPr>
      <w:r>
        <w:rPr>
          <w:sz w:val="24"/>
        </w:rPr>
        <w:t>基金管理人认为会有损于现有基金份额持有人利益的某笔申购；</w:t>
      </w:r>
    </w:p>
    <w:p>
      <w:pPr>
        <w:pStyle w:val="ListParagraph"/>
        <w:numPr>
          <w:ilvl w:val="0"/>
          <w:numId w:val="2"/>
        </w:numPr>
        <w:tabs>
          <w:tab w:pos="1202" w:val="left" w:leader="none"/>
        </w:tabs>
        <w:spacing w:line="240" w:lineRule="auto" w:before="160" w:after="0"/>
        <w:ind w:left="1201" w:right="0" w:hanging="602"/>
        <w:jc w:val="left"/>
        <w:rPr>
          <w:sz w:val="24"/>
        </w:rPr>
      </w:pPr>
      <w:r>
        <w:rPr>
          <w:sz w:val="24"/>
        </w:rPr>
        <w:t>发生本基金合同规定的暂停基金资产估值情况；</w:t>
      </w:r>
    </w:p>
    <w:p>
      <w:pPr>
        <w:pStyle w:val="ListParagraph"/>
        <w:numPr>
          <w:ilvl w:val="0"/>
          <w:numId w:val="2"/>
        </w:numPr>
        <w:tabs>
          <w:tab w:pos="1202" w:val="left" w:leader="none"/>
        </w:tabs>
        <w:spacing w:line="364" w:lineRule="auto" w:before="161" w:after="0"/>
        <w:ind w:left="120" w:right="384" w:firstLine="479"/>
        <w:jc w:val="both"/>
        <w:rPr>
          <w:sz w:val="24"/>
        </w:rPr>
      </w:pPr>
      <w:r>
        <w:rPr>
          <w:spacing w:val="-1"/>
          <w:sz w:val="24"/>
        </w:rPr>
        <w:t>基金管理人接受某笔或者某些申购申请有可能导致单一投资者持有基</w:t>
      </w:r>
      <w:r>
        <w:rPr>
          <w:spacing w:val="-5"/>
          <w:sz w:val="24"/>
        </w:rPr>
        <w:t>金份额的比例达到或者超过 </w:t>
      </w:r>
      <w:r>
        <w:rPr>
          <w:rFonts w:ascii="Times New Roman" w:eastAsia="Times New Roman"/>
          <w:sz w:val="24"/>
        </w:rPr>
        <w:t>50%</w:t>
      </w:r>
      <w:r>
        <w:rPr>
          <w:spacing w:val="-8"/>
          <w:sz w:val="24"/>
        </w:rPr>
        <w:t>，或者变相规避 </w:t>
      </w:r>
      <w:r>
        <w:rPr>
          <w:rFonts w:ascii="Times New Roman" w:eastAsia="Times New Roman"/>
          <w:sz w:val="24"/>
        </w:rPr>
        <w:t>50%</w:t>
      </w:r>
      <w:r>
        <w:rPr>
          <w:sz w:val="24"/>
        </w:rPr>
        <w:t>集中度的情形时；</w:t>
      </w:r>
    </w:p>
    <w:p>
      <w:pPr>
        <w:pStyle w:val="ListParagraph"/>
        <w:numPr>
          <w:ilvl w:val="0"/>
          <w:numId w:val="2"/>
        </w:numPr>
        <w:tabs>
          <w:tab w:pos="1322" w:val="left" w:leader="none"/>
        </w:tabs>
        <w:spacing w:line="364" w:lineRule="auto" w:before="1" w:after="0"/>
        <w:ind w:left="120" w:right="376" w:firstLine="479"/>
        <w:jc w:val="both"/>
        <w:rPr>
          <w:sz w:val="24"/>
        </w:rPr>
      </w:pPr>
      <w:r>
        <w:rPr>
          <w:spacing w:val="-4"/>
          <w:sz w:val="24"/>
        </w:rPr>
        <w:t>当一笔新的申购申请被确认成功，使本基金总规模超过基金管理人</w:t>
      </w:r>
      <w:r>
        <w:rPr>
          <w:spacing w:val="-11"/>
          <w:sz w:val="24"/>
        </w:rPr>
        <w:t>规定的本基金总规模上限时；或使本基金单日申购金额或净申购比例超过基金管</w:t>
      </w:r>
      <w:r>
        <w:rPr>
          <w:spacing w:val="-9"/>
          <w:sz w:val="24"/>
        </w:rPr>
        <w:t>理人规定的当日申购金额或净申购比例上限时；或该投资人累计持有的份额超过</w:t>
      </w:r>
      <w:r>
        <w:rPr>
          <w:spacing w:val="-10"/>
          <w:sz w:val="24"/>
        </w:rPr>
        <w:t>单个投资人累计持有的份额上限时；或该投资人当日申购金额超过单个投资人单</w:t>
      </w:r>
      <w:r>
        <w:rPr>
          <w:spacing w:val="-4"/>
          <w:sz w:val="24"/>
        </w:rPr>
        <w:t>日或单笔申购金额上限时；</w:t>
      </w:r>
    </w:p>
    <w:p>
      <w:pPr>
        <w:pStyle w:val="ListParagraph"/>
        <w:numPr>
          <w:ilvl w:val="0"/>
          <w:numId w:val="2"/>
        </w:numPr>
        <w:tabs>
          <w:tab w:pos="1312" w:val="left" w:leader="none"/>
        </w:tabs>
        <w:spacing w:line="364" w:lineRule="auto" w:before="4" w:after="0"/>
        <w:ind w:left="120" w:right="376" w:firstLine="479"/>
        <w:jc w:val="both"/>
        <w:rPr>
          <w:sz w:val="24"/>
        </w:rPr>
      </w:pPr>
      <w:r>
        <w:rPr>
          <w:spacing w:val="-5"/>
          <w:sz w:val="24"/>
        </w:rPr>
        <w:t>当前一估值日基金资产净值 </w:t>
      </w:r>
      <w:r>
        <w:rPr>
          <w:rFonts w:ascii="Times New Roman" w:eastAsia="Times New Roman"/>
          <w:sz w:val="24"/>
        </w:rPr>
        <w:t>50%</w:t>
      </w:r>
      <w:r>
        <w:rPr>
          <w:sz w:val="24"/>
        </w:rPr>
        <w:t>以上的资产出现无可参考的活跃市</w:t>
      </w:r>
      <w:r>
        <w:rPr>
          <w:spacing w:val="-8"/>
          <w:sz w:val="24"/>
        </w:rPr>
        <w:t>场价格且采用估值技术仍导致公允价值存在重大不确定性时，经与基金托管人协</w:t>
      </w:r>
      <w:r>
        <w:rPr>
          <w:spacing w:val="-4"/>
          <w:sz w:val="24"/>
        </w:rPr>
        <w:t>商确认后，基金管理人应当采取暂停接受基金申购申请的措施；</w:t>
      </w:r>
    </w:p>
    <w:p>
      <w:pPr>
        <w:pStyle w:val="ListParagraph"/>
        <w:numPr>
          <w:ilvl w:val="0"/>
          <w:numId w:val="2"/>
        </w:numPr>
        <w:tabs>
          <w:tab w:pos="1322" w:val="left" w:leader="none"/>
        </w:tabs>
        <w:spacing w:line="240" w:lineRule="auto" w:before="1" w:after="0"/>
        <w:ind w:left="1321" w:right="0" w:hanging="722"/>
        <w:jc w:val="left"/>
        <w:rPr>
          <w:sz w:val="24"/>
        </w:rPr>
      </w:pPr>
      <w:r>
        <w:rPr>
          <w:sz w:val="24"/>
        </w:rPr>
        <w:t>法律法规规定或中国证监会认定的其他可暂停申购的情形。</w:t>
      </w:r>
    </w:p>
    <w:p>
      <w:pPr>
        <w:pStyle w:val="BodyText"/>
        <w:spacing w:line="364" w:lineRule="auto"/>
        <w:ind w:right="376"/>
        <w:jc w:val="both"/>
      </w:pPr>
      <w:r>
        <w:rPr>
          <w:spacing w:val="-6"/>
        </w:rPr>
        <w:t>发生上述情形之一且基金管理人决定暂停申购的，申购款项将全额退还投资</w:t>
      </w:r>
      <w:r>
        <w:rPr/>
        <w:t>者账户。发生上述（</w:t>
      </w:r>
      <w:r>
        <w:rPr>
          <w:rFonts w:ascii="Times New Roman" w:eastAsia="Times New Roman"/>
          <w:spacing w:val="2"/>
        </w:rPr>
        <w:t>1</w:t>
      </w:r>
      <w:r>
        <w:rPr>
          <w:spacing w:val="-118"/>
        </w:rPr>
        <w:t>）</w:t>
      </w:r>
      <w:r>
        <w:rPr>
          <w:spacing w:val="-120"/>
        </w:rPr>
        <w:t>、</w:t>
      </w:r>
      <w:r>
        <w:rPr/>
        <w:t>（</w:t>
      </w:r>
      <w:r>
        <w:rPr>
          <w:rFonts w:ascii="Times New Roman" w:eastAsia="Times New Roman"/>
        </w:rPr>
        <w:t>2</w:t>
      </w:r>
      <w:r>
        <w:rPr>
          <w:spacing w:val="-118"/>
        </w:rPr>
        <w:t>）</w:t>
      </w:r>
      <w:r>
        <w:rPr>
          <w:spacing w:val="-120"/>
        </w:rPr>
        <w:t>、</w:t>
      </w:r>
      <w:r>
        <w:rPr/>
        <w:t>（</w:t>
      </w:r>
      <w:r>
        <w:rPr>
          <w:rFonts w:ascii="Times New Roman" w:eastAsia="Times New Roman"/>
          <w:spacing w:val="2"/>
        </w:rPr>
        <w:t>3</w:t>
      </w:r>
      <w:r>
        <w:rPr>
          <w:spacing w:val="-120"/>
        </w:rPr>
        <w:t>）、</w:t>
      </w:r>
      <w:r>
        <w:rPr>
          <w:spacing w:val="2"/>
        </w:rPr>
        <w:t>（</w:t>
      </w:r>
      <w:r>
        <w:rPr>
          <w:rFonts w:ascii="Times New Roman" w:eastAsia="Times New Roman"/>
        </w:rPr>
        <w:t>4</w:t>
      </w:r>
      <w:r>
        <w:rPr>
          <w:spacing w:val="-120"/>
        </w:rPr>
        <w:t>）</w:t>
      </w:r>
      <w:r>
        <w:rPr>
          <w:spacing w:val="-118"/>
        </w:rPr>
        <w:t>、</w:t>
      </w:r>
      <w:r>
        <w:rPr/>
        <w:t>（</w:t>
      </w:r>
      <w:r>
        <w:rPr>
          <w:rFonts w:ascii="Times New Roman" w:eastAsia="Times New Roman"/>
        </w:rPr>
        <w:t>5</w:t>
      </w:r>
      <w:r>
        <w:rPr>
          <w:spacing w:val="-118"/>
        </w:rPr>
        <w:t>）</w:t>
      </w:r>
      <w:r>
        <w:rPr>
          <w:spacing w:val="-120"/>
        </w:rPr>
        <w:t>、</w:t>
      </w:r>
      <w:r>
        <w:rPr/>
        <w:t>（</w:t>
      </w:r>
      <w:r>
        <w:rPr>
          <w:rFonts w:ascii="Times New Roman" w:eastAsia="Times New Roman"/>
        </w:rPr>
        <w:t>6</w:t>
      </w:r>
      <w:r>
        <w:rPr>
          <w:spacing w:val="-118"/>
        </w:rPr>
        <w:t>）</w:t>
      </w:r>
      <w:r>
        <w:rPr>
          <w:spacing w:val="-120"/>
        </w:rPr>
        <w:t>、</w:t>
      </w:r>
      <w:r>
        <w:rPr/>
        <w:t>（</w:t>
      </w:r>
      <w:r>
        <w:rPr>
          <w:rFonts w:ascii="Times New Roman" w:eastAsia="Times New Roman"/>
          <w:spacing w:val="2"/>
        </w:rPr>
        <w:t>8</w:t>
      </w:r>
      <w:r>
        <w:rPr>
          <w:spacing w:val="-120"/>
        </w:rPr>
        <w:t>）、</w:t>
      </w:r>
      <w:r>
        <w:rPr/>
        <w:t>（</w:t>
      </w:r>
      <w:r>
        <w:rPr>
          <w:rFonts w:ascii="Times New Roman" w:eastAsia="Times New Roman"/>
          <w:spacing w:val="2"/>
        </w:rPr>
        <w:t>1</w:t>
      </w:r>
      <w:r>
        <w:rPr>
          <w:rFonts w:ascii="Times New Roman" w:eastAsia="Times New Roman"/>
        </w:rPr>
        <w:t>0</w:t>
      </w:r>
      <w:r>
        <w:rPr>
          <w:spacing w:val="-120"/>
        </w:rPr>
        <w:t>）、</w:t>
      </w:r>
      <w:r>
        <w:rPr>
          <w:spacing w:val="2"/>
        </w:rPr>
        <w:t>（</w:t>
      </w:r>
      <w:r>
        <w:rPr>
          <w:rFonts w:ascii="Times New Roman" w:eastAsia="Times New Roman"/>
          <w:spacing w:val="-8"/>
        </w:rPr>
        <w:t>1</w:t>
      </w:r>
      <w:r>
        <w:rPr>
          <w:rFonts w:ascii="Times New Roman" w:eastAsia="Times New Roman"/>
        </w:rPr>
        <w:t>1</w:t>
      </w:r>
      <w:r>
        <w:rPr>
          <w:spacing w:val="-120"/>
        </w:rPr>
        <w:t>）、</w:t>
      </w:r>
      <w:r>
        <w:rPr>
          <w:spacing w:val="-3"/>
        </w:rPr>
        <w:t>（</w:t>
      </w:r>
      <w:r>
        <w:rPr>
          <w:rFonts w:ascii="Times New Roman" w:eastAsia="Times New Roman"/>
          <w:spacing w:val="-1"/>
        </w:rPr>
        <w:t>1</w:t>
      </w:r>
      <w:r>
        <w:rPr>
          <w:rFonts w:ascii="Times New Roman" w:eastAsia="Times New Roman"/>
          <w:spacing w:val="-3"/>
        </w:rPr>
        <w:t>2</w:t>
      </w:r>
      <w:r>
        <w:rPr>
          <w:spacing w:val="-3"/>
        </w:rPr>
        <w:t>）</w:t>
      </w:r>
      <w:r>
        <w:rPr/>
        <w:t>项暂停申购情形时，基金管理人应当在指定媒介上刊登暂停申购公告。</w:t>
      </w:r>
    </w:p>
    <w:p>
      <w:pPr>
        <w:spacing w:before="2"/>
        <w:ind w:left="602" w:right="0" w:firstLine="0"/>
        <w:jc w:val="left"/>
        <w:rPr>
          <w:b/>
          <w:sz w:val="24"/>
        </w:rPr>
      </w:pPr>
      <w:r>
        <w:rPr>
          <w:b/>
          <w:sz w:val="24"/>
        </w:rPr>
        <w:t>（十一）暂停赎回或者延缓支付赎回款项的情形及处理方式</w:t>
      </w:r>
    </w:p>
    <w:p>
      <w:pPr>
        <w:pStyle w:val="BodyText"/>
        <w:spacing w:line="364" w:lineRule="auto" w:before="160"/>
        <w:ind w:right="378"/>
      </w:pPr>
      <w:r>
        <w:rPr>
          <w:spacing w:val="-11"/>
        </w:rPr>
        <w:t>出现如下情形，基金管理人可拒绝接受或暂停基金份额持有人的赎回申请或</w:t>
      </w:r>
      <w:r>
        <w:rPr/>
        <w:t>者延缓支付赎回款项：</w:t>
      </w:r>
    </w:p>
    <w:p>
      <w:pPr>
        <w:pStyle w:val="ListParagraph"/>
        <w:numPr>
          <w:ilvl w:val="0"/>
          <w:numId w:val="3"/>
        </w:numPr>
        <w:tabs>
          <w:tab w:pos="1381" w:val="left" w:leader="none"/>
        </w:tabs>
        <w:spacing w:line="240" w:lineRule="auto" w:before="2" w:after="0"/>
        <w:ind w:left="1380" w:right="0" w:hanging="781"/>
        <w:jc w:val="left"/>
        <w:rPr>
          <w:sz w:val="24"/>
        </w:rPr>
      </w:pPr>
      <w:r>
        <w:rPr>
          <w:sz w:val="24"/>
        </w:rPr>
        <w:t>不可抗力的原因导致基金管理人不能支付赎回款项；</w:t>
      </w:r>
    </w:p>
    <w:p>
      <w:pPr>
        <w:pStyle w:val="ListParagraph"/>
        <w:numPr>
          <w:ilvl w:val="0"/>
          <w:numId w:val="3"/>
        </w:numPr>
        <w:tabs>
          <w:tab w:pos="1381" w:val="left" w:leader="none"/>
        </w:tabs>
        <w:spacing w:line="364" w:lineRule="auto" w:before="160" w:after="0"/>
        <w:ind w:left="120" w:right="283" w:firstLine="479"/>
        <w:jc w:val="left"/>
        <w:rPr>
          <w:sz w:val="24"/>
        </w:rPr>
      </w:pPr>
      <w:r>
        <w:rPr>
          <w:sz w:val="24"/>
        </w:rPr>
        <w:t>本基金境外投资主要市场或外汇交易市场交易时间非正常停市或遇</w:t>
      </w:r>
      <w:r>
        <w:rPr>
          <w:spacing w:val="-1"/>
          <w:sz w:val="24"/>
        </w:rPr>
        <w:t>公众节假日，可能影响本基金投资，或导致基金管理人无法计算基金资产净值；</w:t>
      </w:r>
    </w:p>
    <w:p>
      <w:pPr>
        <w:pStyle w:val="ListParagraph"/>
        <w:numPr>
          <w:ilvl w:val="0"/>
          <w:numId w:val="3"/>
        </w:numPr>
        <w:tabs>
          <w:tab w:pos="1381" w:val="left" w:leader="none"/>
        </w:tabs>
        <w:spacing w:line="364" w:lineRule="auto" w:before="2" w:after="0"/>
        <w:ind w:left="120" w:right="376" w:firstLine="479"/>
        <w:jc w:val="left"/>
        <w:rPr>
          <w:sz w:val="24"/>
        </w:rPr>
      </w:pPr>
      <w:r>
        <w:rPr>
          <w:spacing w:val="-3"/>
          <w:sz w:val="24"/>
        </w:rPr>
        <w:t>因市场剧烈波动或其他原因而出现连续 </w:t>
      </w:r>
      <w:r>
        <w:rPr>
          <w:rFonts w:ascii="Times New Roman" w:eastAsia="Times New Roman"/>
          <w:sz w:val="24"/>
        </w:rPr>
        <w:t>2</w:t>
      </w:r>
      <w:r>
        <w:rPr>
          <w:rFonts w:ascii="Times New Roman" w:eastAsia="Times New Roman"/>
          <w:spacing w:val="21"/>
          <w:sz w:val="24"/>
        </w:rPr>
        <w:t> </w:t>
      </w:r>
      <w:r>
        <w:rPr>
          <w:spacing w:val="-13"/>
          <w:sz w:val="24"/>
        </w:rPr>
        <w:t>个或 </w:t>
      </w:r>
      <w:r>
        <w:rPr>
          <w:rFonts w:ascii="Times New Roman" w:eastAsia="Times New Roman"/>
          <w:sz w:val="24"/>
        </w:rPr>
        <w:t>2</w:t>
      </w:r>
      <w:r>
        <w:rPr>
          <w:rFonts w:ascii="Times New Roman" w:eastAsia="Times New Roman"/>
          <w:spacing w:val="21"/>
          <w:sz w:val="24"/>
        </w:rPr>
        <w:t> </w:t>
      </w:r>
      <w:r>
        <w:rPr>
          <w:spacing w:val="-2"/>
          <w:sz w:val="24"/>
        </w:rPr>
        <w:t>个以上开放日巨额</w:t>
      </w:r>
      <w:r>
        <w:rPr>
          <w:sz w:val="24"/>
        </w:rPr>
        <w:t>赎回，导致本基金的现金支付出现困难；</w:t>
      </w:r>
    </w:p>
    <w:p>
      <w:pPr>
        <w:pStyle w:val="ListParagraph"/>
        <w:numPr>
          <w:ilvl w:val="0"/>
          <w:numId w:val="3"/>
        </w:numPr>
        <w:tabs>
          <w:tab w:pos="1381" w:val="left" w:leader="none"/>
        </w:tabs>
        <w:spacing w:line="364" w:lineRule="auto" w:before="1" w:after="0"/>
        <w:ind w:left="120" w:right="386" w:firstLine="479"/>
        <w:jc w:val="left"/>
        <w:rPr>
          <w:sz w:val="24"/>
        </w:rPr>
      </w:pPr>
      <w:r>
        <w:rPr>
          <w:sz w:val="24"/>
        </w:rPr>
        <w:t>本基金的资产组合中的重要部分发生暂停交易或其他重大事件，继续接受赎回可能会影响或损害其他基金份额持有人利益时；</w:t>
      </w:r>
    </w:p>
    <w:p>
      <w:pPr>
        <w:spacing w:after="0" w:line="364" w:lineRule="auto"/>
        <w:jc w:val="left"/>
        <w:rPr>
          <w:sz w:val="24"/>
        </w:rPr>
        <w:sectPr>
          <w:pgSz w:w="11910" w:h="16840"/>
          <w:pgMar w:header="0" w:footer="914" w:top="1440" w:bottom="1180" w:left="1680" w:right="1420"/>
        </w:sectPr>
      </w:pPr>
    </w:p>
    <w:p>
      <w:pPr>
        <w:pStyle w:val="ListParagraph"/>
        <w:numPr>
          <w:ilvl w:val="0"/>
          <w:numId w:val="3"/>
        </w:numPr>
        <w:tabs>
          <w:tab w:pos="1381" w:val="left" w:leader="none"/>
        </w:tabs>
        <w:spacing w:line="364" w:lineRule="auto" w:before="61" w:after="0"/>
        <w:ind w:left="120" w:right="376" w:firstLine="479"/>
        <w:jc w:val="both"/>
        <w:rPr>
          <w:sz w:val="24"/>
        </w:rPr>
      </w:pPr>
      <w:r>
        <w:rPr>
          <w:sz w:val="24"/>
        </w:rPr>
        <w:t>基金管理人、基金托管人、销售机构或登记结算机构因技术故障或</w:t>
      </w:r>
      <w:r>
        <w:rPr>
          <w:spacing w:val="-5"/>
          <w:sz w:val="24"/>
        </w:rPr>
        <w:t>人员伤亡导致基金销售系统或基金登记结算系统或证券登记系统、基金会计系统</w:t>
      </w:r>
      <w:r>
        <w:rPr>
          <w:sz w:val="24"/>
        </w:rPr>
        <w:t>无法正常运行时；</w:t>
      </w:r>
    </w:p>
    <w:p>
      <w:pPr>
        <w:pStyle w:val="ListParagraph"/>
        <w:numPr>
          <w:ilvl w:val="0"/>
          <w:numId w:val="3"/>
        </w:numPr>
        <w:tabs>
          <w:tab w:pos="1381" w:val="left" w:leader="none"/>
        </w:tabs>
        <w:spacing w:line="364" w:lineRule="auto" w:before="2" w:after="0"/>
        <w:ind w:left="120" w:right="376" w:firstLine="479"/>
        <w:jc w:val="both"/>
        <w:rPr>
          <w:sz w:val="24"/>
        </w:rPr>
      </w:pPr>
      <w:r>
        <w:rPr>
          <w:sz w:val="24"/>
        </w:rPr>
        <w:t>当前一估值日基金资产净值 </w:t>
      </w:r>
      <w:r>
        <w:rPr>
          <w:rFonts w:ascii="Times New Roman" w:eastAsia="Times New Roman"/>
          <w:sz w:val="24"/>
        </w:rPr>
        <w:t>50%</w:t>
      </w:r>
      <w:r>
        <w:rPr>
          <w:spacing w:val="-1"/>
          <w:sz w:val="24"/>
        </w:rPr>
        <w:t>以上的资产出现无可参考的活跃市</w:t>
      </w:r>
      <w:r>
        <w:rPr>
          <w:spacing w:val="-5"/>
          <w:sz w:val="24"/>
        </w:rPr>
        <w:t>场价格且采用估值技术仍导致公允价值存在重大不确定性时，经与基金托管人协</w:t>
      </w:r>
      <w:r>
        <w:rPr>
          <w:spacing w:val="-11"/>
          <w:sz w:val="24"/>
        </w:rPr>
        <w:t>商确认后，基金管理人应当采取延缓支付赎回款项或暂停接受基金赎回申请的措</w:t>
      </w:r>
      <w:r>
        <w:rPr>
          <w:sz w:val="24"/>
        </w:rPr>
        <w:t>施；</w:t>
      </w:r>
    </w:p>
    <w:p>
      <w:pPr>
        <w:pStyle w:val="ListParagraph"/>
        <w:numPr>
          <w:ilvl w:val="0"/>
          <w:numId w:val="3"/>
        </w:numPr>
        <w:tabs>
          <w:tab w:pos="1381" w:val="left" w:leader="none"/>
        </w:tabs>
        <w:spacing w:line="240" w:lineRule="auto" w:before="2" w:after="0"/>
        <w:ind w:left="1380" w:right="0" w:hanging="781"/>
        <w:jc w:val="both"/>
        <w:rPr>
          <w:sz w:val="24"/>
        </w:rPr>
      </w:pPr>
      <w:r>
        <w:rPr>
          <w:sz w:val="24"/>
        </w:rPr>
        <w:t>法律法规规定或中国证监会认定的其他情形。</w:t>
      </w:r>
    </w:p>
    <w:p>
      <w:pPr>
        <w:pStyle w:val="BodyText"/>
        <w:spacing w:line="364" w:lineRule="auto"/>
        <w:ind w:right="369"/>
        <w:jc w:val="both"/>
      </w:pPr>
      <w:r>
        <w:rPr>
          <w:spacing w:val="4"/>
        </w:rPr>
        <w:t>发生上述情形之一且基金管理人决定拒绝或暂停基金份额持有人的赎回申</w:t>
      </w:r>
      <w:r>
        <w:rPr>
          <w:spacing w:val="-6"/>
        </w:rPr>
        <w:t>请或者延缓支付赎回款项的，基金管理人应在当日立即向中国证监会备案。已接</w:t>
      </w:r>
      <w:r>
        <w:rPr>
          <w:spacing w:val="-11"/>
        </w:rPr>
        <w:t>受的赎回申请，基金管理人将足额支付；如暂时不能足额支付的，可延期支付部</w:t>
      </w:r>
      <w:r>
        <w:rPr>
          <w:spacing w:val="-13"/>
        </w:rPr>
        <w:t>分赎回款项，按每个赎回申请人已被接受的赎回申请量占已接受赎回申请总量的</w:t>
      </w:r>
      <w:r>
        <w:rPr>
          <w:spacing w:val="-16"/>
        </w:rPr>
        <w:t>比例分配给赎回申请人，未支付部分由基金管理人按照发生的情况制定相应的处</w:t>
      </w:r>
      <w:r>
        <w:rPr>
          <w:spacing w:val="-25"/>
        </w:rPr>
        <w:t>理办法在 </w:t>
      </w:r>
      <w:r>
        <w:rPr>
          <w:rFonts w:ascii="Times New Roman" w:eastAsia="Times New Roman"/>
        </w:rPr>
        <w:t>20 </w:t>
      </w:r>
      <w:r>
        <w:rPr/>
        <w:t>个工作日内予以支付。</w:t>
      </w:r>
    </w:p>
    <w:p>
      <w:pPr>
        <w:pStyle w:val="BodyText"/>
        <w:spacing w:line="364" w:lineRule="auto" w:before="4"/>
        <w:ind w:right="379"/>
        <w:jc w:val="both"/>
      </w:pPr>
      <w:r>
        <w:rPr/>
        <w:t>同时，在出现上述第（</w:t>
      </w:r>
      <w:r>
        <w:rPr>
          <w:rFonts w:ascii="Times New Roman" w:eastAsia="Times New Roman"/>
        </w:rPr>
        <w:t>3</w:t>
      </w:r>
      <w:r>
        <w:rPr/>
        <w:t>）款的情形时，对已接受的赎回申请可延期支付赎</w:t>
      </w:r>
      <w:r>
        <w:rPr>
          <w:spacing w:val="-5"/>
        </w:rPr>
        <w:t>回款项，最长不超过 </w:t>
      </w:r>
      <w:r>
        <w:rPr>
          <w:rFonts w:ascii="Times New Roman" w:eastAsia="Times New Roman"/>
        </w:rPr>
        <w:t>20 </w:t>
      </w:r>
      <w:r>
        <w:rPr>
          <w:spacing w:val="-1"/>
        </w:rPr>
        <w:t>个工作日，并在指定媒介上公告。投资者在申请赎回时</w:t>
      </w:r>
      <w:r>
        <w:rPr/>
        <w:t>可事先选择将当日可能未获受理部分予以撤销。</w:t>
      </w:r>
    </w:p>
    <w:p>
      <w:pPr>
        <w:pStyle w:val="BodyText"/>
        <w:spacing w:before="2"/>
        <w:ind w:left="600" w:firstLine="0"/>
      </w:pPr>
      <w:r>
        <w:rPr/>
        <w:t>暂停基金的赎回，基金管理人应及时在指定媒介上刊登暂停赎回公告。</w:t>
      </w:r>
    </w:p>
    <w:p>
      <w:pPr>
        <w:spacing w:before="160"/>
        <w:ind w:left="602" w:right="0" w:firstLine="0"/>
        <w:jc w:val="left"/>
        <w:rPr>
          <w:b/>
          <w:sz w:val="24"/>
        </w:rPr>
      </w:pPr>
      <w:r>
        <w:rPr>
          <w:b/>
          <w:sz w:val="24"/>
        </w:rPr>
        <w:t>（十二）巨额赎回的情形及处理方式</w:t>
      </w:r>
    </w:p>
    <w:p>
      <w:pPr>
        <w:pStyle w:val="BodyText"/>
        <w:ind w:left="600" w:firstLine="0"/>
      </w:pPr>
      <w:r>
        <w:rPr>
          <w:rFonts w:ascii="Times New Roman" w:eastAsia="Times New Roman"/>
        </w:rPr>
        <w:t>1</w:t>
      </w:r>
      <w:r>
        <w:rPr/>
        <w:t>、巨额赎回的认定</w:t>
      </w:r>
    </w:p>
    <w:p>
      <w:pPr>
        <w:pStyle w:val="BodyText"/>
        <w:spacing w:line="364" w:lineRule="auto" w:before="160"/>
        <w:ind w:right="375"/>
        <w:jc w:val="both"/>
      </w:pPr>
      <w:r>
        <w:rPr>
          <w:spacing w:val="-9"/>
        </w:rPr>
        <w:t>本基金单个开放日，基金净赎回申请</w:t>
      </w:r>
      <w:r>
        <w:rPr/>
        <w:t>（</w:t>
      </w:r>
      <w:r>
        <w:rPr>
          <w:spacing w:val="-1"/>
        </w:rPr>
        <w:t>赎回申请份额总数加上基金转换中转</w:t>
      </w:r>
      <w:r>
        <w:rPr/>
        <w:t>出申请份额总数后扣除申购申请份额总数及基金转换中转入申请份额总数后的余额）</w:t>
      </w:r>
      <w:r>
        <w:rPr>
          <w:spacing w:val="-6"/>
        </w:rPr>
        <w:t>超过上一日基金总份额的 </w:t>
      </w:r>
      <w:r>
        <w:rPr>
          <w:rFonts w:ascii="Times New Roman" w:eastAsia="Times New Roman"/>
        </w:rPr>
        <w:t>10%</w:t>
      </w:r>
      <w:r>
        <w:rPr/>
        <w:t>时，即认为发生了巨额赎回。</w:t>
      </w:r>
    </w:p>
    <w:p>
      <w:pPr>
        <w:pStyle w:val="BodyText"/>
        <w:spacing w:before="2"/>
        <w:ind w:left="600" w:firstLine="0"/>
      </w:pPr>
      <w:r>
        <w:rPr>
          <w:rFonts w:ascii="Times New Roman" w:eastAsia="Times New Roman"/>
        </w:rPr>
        <w:t>2</w:t>
      </w:r>
      <w:r>
        <w:rPr/>
        <w:t>、巨额赎回的处理方式</w:t>
      </w:r>
    </w:p>
    <w:p>
      <w:pPr>
        <w:pStyle w:val="BodyText"/>
        <w:spacing w:line="364" w:lineRule="auto"/>
        <w:ind w:right="377"/>
      </w:pPr>
      <w:r>
        <w:rPr>
          <w:spacing w:val="-11"/>
        </w:rPr>
        <w:t>当出现巨额赎回时，基金管理人可以根据本基金当时的资产组合状况决定全</w:t>
      </w:r>
      <w:r>
        <w:rPr/>
        <w:t>额赎回或部分顺延赎回。</w:t>
      </w:r>
    </w:p>
    <w:p>
      <w:pPr>
        <w:pStyle w:val="ListParagraph"/>
        <w:numPr>
          <w:ilvl w:val="0"/>
          <w:numId w:val="4"/>
        </w:numPr>
        <w:tabs>
          <w:tab w:pos="1202" w:val="left" w:leader="none"/>
        </w:tabs>
        <w:spacing w:line="364" w:lineRule="auto" w:before="2" w:after="0"/>
        <w:ind w:left="120" w:right="384" w:firstLine="479"/>
        <w:jc w:val="left"/>
        <w:rPr>
          <w:sz w:val="24"/>
        </w:rPr>
      </w:pPr>
      <w:r>
        <w:rPr>
          <w:spacing w:val="-1"/>
          <w:sz w:val="24"/>
        </w:rPr>
        <w:t>全额赎回：当基金管理人认为有能力支付投资者的全部赎回申请时， </w:t>
      </w:r>
      <w:r>
        <w:rPr>
          <w:sz w:val="24"/>
        </w:rPr>
        <w:t>按正常赎回程序执行。</w:t>
      </w:r>
    </w:p>
    <w:p>
      <w:pPr>
        <w:pStyle w:val="ListParagraph"/>
        <w:numPr>
          <w:ilvl w:val="0"/>
          <w:numId w:val="4"/>
        </w:numPr>
        <w:tabs>
          <w:tab w:pos="1202" w:val="left" w:leader="none"/>
        </w:tabs>
        <w:spacing w:line="240" w:lineRule="auto" w:before="1" w:after="0"/>
        <w:ind w:left="1201" w:right="0" w:hanging="602"/>
        <w:jc w:val="left"/>
        <w:rPr>
          <w:sz w:val="24"/>
        </w:rPr>
      </w:pPr>
      <w:r>
        <w:rPr>
          <w:sz w:val="24"/>
        </w:rPr>
        <w:t>部分顺延赎回：当基金管理人认为支付投资者的赎回申请有困难或认</w:t>
      </w:r>
    </w:p>
    <w:p>
      <w:pPr>
        <w:spacing w:after="0" w:line="240" w:lineRule="auto"/>
        <w:jc w:val="left"/>
        <w:rPr>
          <w:sz w:val="24"/>
        </w:rPr>
        <w:sectPr>
          <w:pgSz w:w="11910" w:h="16840"/>
          <w:pgMar w:header="0" w:footer="914" w:top="1440" w:bottom="1180" w:left="1680" w:right="1420"/>
        </w:sectPr>
      </w:pPr>
    </w:p>
    <w:p>
      <w:pPr>
        <w:pStyle w:val="BodyText"/>
        <w:spacing w:line="364" w:lineRule="auto" w:before="41"/>
        <w:ind w:right="259" w:firstLine="0"/>
      </w:pPr>
      <w:r>
        <w:rPr>
          <w:spacing w:val="-4"/>
        </w:rPr>
        <w:t>为支付投资者的赎回申请可能会对基金的资产净值造成较大波动时，基金管理人</w:t>
      </w:r>
      <w:r>
        <w:rPr>
          <w:spacing w:val="-7"/>
        </w:rPr>
        <w:t>在当日接受赎回比例不低于上一日基金总份额的 </w:t>
      </w:r>
      <w:r>
        <w:rPr>
          <w:rFonts w:ascii="Times New Roman" w:eastAsia="Times New Roman"/>
        </w:rPr>
        <w:t>10%</w:t>
      </w:r>
      <w:r>
        <w:rPr>
          <w:spacing w:val="-12"/>
        </w:rPr>
        <w:t>的前提下，对其余赎回申请</w:t>
      </w:r>
      <w:r>
        <w:rPr>
          <w:spacing w:val="-14"/>
        </w:rPr>
        <w:t>延期予以办理。对于单个基金份额持有人的赎回申请，应当按照其申请赎回份额</w:t>
      </w:r>
      <w:r>
        <w:rPr/>
        <w:t>占当日申请赎回总份额的比例，确定该单个基金份额持有人当日办理的赎回份</w:t>
      </w:r>
      <w:r>
        <w:rPr>
          <w:spacing w:val="-11"/>
        </w:rPr>
        <w:t>额；投资者未能赎回部分，除投资者在提交赎回申请时选择将当日未获办理部分</w:t>
      </w:r>
      <w:r>
        <w:rPr>
          <w:spacing w:val="-14"/>
        </w:rPr>
        <w:t>予以撤销外，延迟至下一个开放日办理，赎回价格为下一个开放日该类基金份额</w:t>
      </w:r>
      <w:r>
        <w:rPr>
          <w:spacing w:val="-18"/>
        </w:rPr>
        <w:t>的价格。依照上述规定转入下一个开放日的赎回不享有赎回优先权，并以此类推， </w:t>
      </w:r>
      <w:r>
        <w:rPr/>
        <w:t>直到全部赎回为止。部分顺延赎回不受单笔赎回最低份额的限制。</w:t>
      </w:r>
    </w:p>
    <w:p>
      <w:pPr>
        <w:pStyle w:val="BodyText"/>
        <w:spacing w:before="5"/>
        <w:ind w:left="600" w:firstLine="0"/>
      </w:pPr>
      <w:r>
        <w:rPr/>
        <w:t>深圳证券交易所、基金登记结算机构另有规定的，从其规定。</w:t>
      </w:r>
    </w:p>
    <w:p>
      <w:pPr>
        <w:pStyle w:val="BodyText"/>
        <w:spacing w:line="364" w:lineRule="auto"/>
        <w:ind w:right="370"/>
        <w:jc w:val="both"/>
      </w:pPr>
      <w:r>
        <w:rPr>
          <w:spacing w:val="4"/>
        </w:rPr>
        <w:t>若本基金发生巨额赎回且单个基金份额持有人的赎回申请超过上一开放日</w:t>
      </w:r>
      <w:r>
        <w:rPr>
          <w:spacing w:val="-11"/>
        </w:rPr>
        <w:t>基金总份额 </w:t>
      </w:r>
      <w:r>
        <w:rPr>
          <w:rFonts w:ascii="Times New Roman" w:eastAsia="Times New Roman"/>
        </w:rPr>
        <w:t>10%</w:t>
      </w:r>
      <w:r>
        <w:rPr>
          <w:spacing w:val="-12"/>
        </w:rPr>
        <w:t>的，基金管理人有权对该单个基金份额持有人超出该比例的赎回</w:t>
      </w:r>
      <w:r>
        <w:rPr>
          <w:spacing w:val="-15"/>
        </w:rPr>
        <w:t>申请实施延期办理，对该单个基金份额持有人剩余赎回申请与其他账户赎回申请按前述条款处理。</w:t>
      </w:r>
    </w:p>
    <w:p>
      <w:pPr>
        <w:pStyle w:val="ListParagraph"/>
        <w:numPr>
          <w:ilvl w:val="0"/>
          <w:numId w:val="4"/>
        </w:numPr>
        <w:tabs>
          <w:tab w:pos="1202" w:val="left" w:leader="none"/>
        </w:tabs>
        <w:spacing w:line="364" w:lineRule="auto" w:before="2" w:after="0"/>
        <w:ind w:left="120" w:right="379" w:firstLine="479"/>
        <w:jc w:val="both"/>
        <w:rPr>
          <w:sz w:val="24"/>
        </w:rPr>
      </w:pPr>
      <w:r>
        <w:rPr>
          <w:sz w:val="24"/>
        </w:rPr>
        <w:t>巨额赎回的公告：当发生巨额赎回并顺延赎回时，基金管理人应在 </w:t>
      </w:r>
      <w:r>
        <w:rPr>
          <w:rFonts w:ascii="Times New Roman" w:eastAsia="Times New Roman"/>
          <w:spacing w:val="-13"/>
          <w:sz w:val="24"/>
        </w:rPr>
        <w:t>2 </w:t>
      </w:r>
      <w:r>
        <w:rPr>
          <w:spacing w:val="-8"/>
          <w:sz w:val="24"/>
        </w:rPr>
        <w:t>日内通过指定媒介公告，并通过邮寄、传真或《招募说明书》规定的其他方式通</w:t>
      </w:r>
      <w:r>
        <w:rPr>
          <w:sz w:val="24"/>
        </w:rPr>
        <w:t>知基金份额持有人，并说明有关处理方法。</w:t>
      </w:r>
    </w:p>
    <w:p>
      <w:pPr>
        <w:pStyle w:val="BodyText"/>
        <w:spacing w:line="230" w:lineRule="exact" w:before="0"/>
        <w:ind w:left="600" w:firstLine="0"/>
      </w:pPr>
      <w:r>
        <w:rPr/>
        <w:t>本基金连续 </w:t>
      </w:r>
      <w:r>
        <w:rPr>
          <w:rFonts w:ascii="Times New Roman" w:eastAsia="Times New Roman"/>
        </w:rPr>
        <w:t>2 </w:t>
      </w:r>
      <w:r>
        <w:rPr/>
        <w:t>个开放日以上发生巨额赎回，如基金管理人认为有必要，可暂</w:t>
      </w:r>
    </w:p>
    <w:p>
      <w:pPr>
        <w:pStyle w:val="BodyText"/>
        <w:spacing w:line="364" w:lineRule="auto" w:before="158"/>
        <w:ind w:right="381" w:firstLine="0"/>
      </w:pPr>
      <w:r>
        <w:rPr>
          <w:spacing w:val="-9"/>
        </w:rPr>
        <w:t>停接受赎回申请；已经接受的赎回申请可以延缓支付赎回款项，但支付时间不得</w:t>
      </w:r>
      <w:r>
        <w:rPr>
          <w:spacing w:val="-21"/>
        </w:rPr>
        <w:t>超过 </w:t>
      </w:r>
      <w:r>
        <w:rPr>
          <w:rFonts w:ascii="Times New Roman" w:eastAsia="Times New Roman"/>
        </w:rPr>
        <w:t>20 </w:t>
      </w:r>
      <w:r>
        <w:rPr/>
        <w:t>个工作日，并应当在指定媒介上公告。</w:t>
      </w:r>
    </w:p>
    <w:p>
      <w:pPr>
        <w:pStyle w:val="BodyText"/>
        <w:spacing w:before="0"/>
        <w:ind w:left="0" w:firstLine="0"/>
        <w:rPr>
          <w:sz w:val="26"/>
        </w:rPr>
      </w:pPr>
    </w:p>
    <w:p>
      <w:pPr>
        <w:spacing w:before="216"/>
        <w:ind w:left="602" w:right="0" w:firstLine="0"/>
        <w:jc w:val="left"/>
        <w:rPr>
          <w:b/>
          <w:sz w:val="24"/>
        </w:rPr>
      </w:pPr>
      <w:r>
        <w:rPr>
          <w:b/>
          <w:sz w:val="24"/>
        </w:rPr>
        <w:t>（十三）其他暂停申购和赎回的情形及处理方式</w:t>
      </w:r>
    </w:p>
    <w:p>
      <w:pPr>
        <w:pStyle w:val="BodyText"/>
        <w:spacing w:line="364" w:lineRule="auto" w:before="160"/>
        <w:ind w:right="377"/>
        <w:jc w:val="both"/>
      </w:pPr>
      <w:r>
        <w:rPr>
          <w:spacing w:val="-12"/>
        </w:rPr>
        <w:t>发生《基金合同》或《招募说明书》中未予载明的事项，但基金管理人有正</w:t>
      </w:r>
      <w:r>
        <w:rPr>
          <w:spacing w:val="-8"/>
        </w:rPr>
        <w:t>当理由认为需要暂停基金申购、赎回的，可以经届时有效的合法程序宣布暂停接</w:t>
      </w:r>
      <w:r>
        <w:rPr/>
        <w:t>受投资者的申购、赎回申请。</w:t>
      </w:r>
    </w:p>
    <w:p>
      <w:pPr>
        <w:spacing w:before="2"/>
        <w:ind w:left="602" w:right="0" w:firstLine="0"/>
        <w:jc w:val="left"/>
        <w:rPr>
          <w:b/>
          <w:sz w:val="24"/>
        </w:rPr>
      </w:pPr>
      <w:r>
        <w:rPr>
          <w:b/>
          <w:sz w:val="24"/>
        </w:rPr>
        <w:t>（十四）重新开放申购或赎回的公告</w:t>
      </w:r>
    </w:p>
    <w:p>
      <w:pPr>
        <w:pStyle w:val="BodyText"/>
        <w:spacing w:line="362" w:lineRule="auto" w:before="82"/>
        <w:ind w:right="376"/>
      </w:pPr>
      <w:r>
        <w:rPr>
          <w:spacing w:val="-9"/>
        </w:rPr>
        <w:t>如发生暂停的时间为一天，基金管理人应于重新开放日在指定媒介刊登基金</w:t>
      </w:r>
      <w:r>
        <w:rPr/>
        <w:t>重新开放申购或赎回的公告并公布最近一个开放日的基金份额净值。</w:t>
      </w:r>
    </w:p>
    <w:p>
      <w:pPr>
        <w:pStyle w:val="BodyText"/>
        <w:spacing w:line="364" w:lineRule="auto" w:before="5"/>
        <w:ind w:right="378"/>
        <w:jc w:val="both"/>
      </w:pPr>
      <w:r>
        <w:rPr>
          <w:spacing w:val="-6"/>
        </w:rPr>
        <w:t>如发生暂停的时间超过一天但少于两周，暂停结束，基金重新开放申购或赎</w:t>
      </w:r>
      <w:r>
        <w:rPr>
          <w:spacing w:val="-10"/>
        </w:rPr>
        <w:t>回时，基金管理人应提前在指定媒介上刊登基金重新开放申购或赎回的公告，并</w:t>
      </w:r>
      <w:r>
        <w:rPr/>
        <w:t>在重新开始办理申购或赎回的开放日公告最近一个开放日的基金份额净值。</w:t>
      </w:r>
    </w:p>
    <w:p>
      <w:pPr>
        <w:spacing w:after="0" w:line="364" w:lineRule="auto"/>
        <w:jc w:val="both"/>
        <w:sectPr>
          <w:pgSz w:w="11910" w:h="16840"/>
          <w:pgMar w:header="0" w:footer="914" w:top="1460" w:bottom="1180" w:left="1680" w:right="1420"/>
        </w:sectPr>
      </w:pPr>
    </w:p>
    <w:p>
      <w:pPr>
        <w:pStyle w:val="BodyText"/>
        <w:spacing w:line="364" w:lineRule="auto" w:before="41"/>
        <w:ind w:right="378"/>
        <w:jc w:val="both"/>
      </w:pPr>
      <w:r>
        <w:rPr/>
        <w:t>如发生暂停的时间超过两周（含两周</w:t>
      </w:r>
      <w:r>
        <w:rPr>
          <w:spacing w:val="-117"/>
        </w:rPr>
        <w:t>）</w:t>
      </w:r>
      <w:r>
        <w:rPr>
          <w:spacing w:val="-1"/>
        </w:rPr>
        <w:t>，暂停期间，基金管理人应每两周至</w:t>
      </w:r>
      <w:r>
        <w:rPr>
          <w:spacing w:val="-3"/>
        </w:rPr>
        <w:t>少重复刊登暂停公告一次；当连续暂停时间超过四周</w:t>
      </w:r>
      <w:r>
        <w:rPr/>
        <w:t>（含四周</w:t>
      </w:r>
      <w:r>
        <w:rPr>
          <w:spacing w:val="-24"/>
        </w:rPr>
        <w:t>）</w:t>
      </w:r>
      <w:r>
        <w:rPr>
          <w:spacing w:val="-7"/>
        </w:rPr>
        <w:t>时，可对重复刊登暂停公告的频率进行调整。暂停结束基金重新开放申购或赎回时，基金管理人</w:t>
      </w:r>
      <w:r>
        <w:rPr>
          <w:spacing w:val="-6"/>
        </w:rPr>
        <w:t>应在指定媒介刊登基金重新开放申购或赎回的公告，并在重新开放申购或赎回日</w:t>
      </w:r>
      <w:r>
        <w:rPr/>
        <w:t>公告最近一个开放日的基金份额净值。</w:t>
      </w:r>
    </w:p>
    <w:p>
      <w:pPr>
        <w:spacing w:before="3"/>
        <w:ind w:left="602" w:right="0" w:firstLine="0"/>
        <w:jc w:val="left"/>
        <w:rPr>
          <w:b/>
          <w:sz w:val="24"/>
        </w:rPr>
      </w:pPr>
      <w:r>
        <w:rPr>
          <w:b/>
          <w:sz w:val="24"/>
        </w:rPr>
        <w:t>（十五）基金的转换</w:t>
      </w:r>
    </w:p>
    <w:p>
      <w:pPr>
        <w:pStyle w:val="BodyText"/>
        <w:spacing w:line="364" w:lineRule="auto" w:before="160"/>
        <w:ind w:right="375"/>
        <w:jc w:val="both"/>
      </w:pPr>
      <w:r>
        <w:rPr>
          <w:spacing w:val="-8"/>
        </w:rPr>
        <w:t>为方便基金份额持有人，未来在各项技术条件和准备完备的情况下，投资者</w:t>
      </w:r>
      <w:r>
        <w:rPr/>
        <w:t>可以依照基金管理人的有关规定选择在本基金和基金管理人管理的其他基金之</w:t>
      </w:r>
      <w:r>
        <w:rPr>
          <w:spacing w:val="-9"/>
        </w:rPr>
        <w:t>间进行基金转换。基金转换的条件、数额限制、转换费率等具体规定可以由基金</w:t>
      </w:r>
      <w:r>
        <w:rPr/>
        <w:t>管理人届时另行规定并公告。</w:t>
      </w:r>
    </w:p>
    <w:p>
      <w:pPr>
        <w:spacing w:before="3"/>
        <w:ind w:left="602" w:right="0" w:firstLine="0"/>
        <w:jc w:val="left"/>
        <w:rPr>
          <w:b/>
          <w:sz w:val="24"/>
        </w:rPr>
      </w:pPr>
      <w:r>
        <w:rPr>
          <w:b/>
          <w:sz w:val="24"/>
        </w:rPr>
        <w:t>（十六）转托管</w:t>
      </w:r>
    </w:p>
    <w:p>
      <w:pPr>
        <w:pStyle w:val="BodyText"/>
        <w:ind w:left="600" w:firstLine="0"/>
        <w:jc w:val="both"/>
      </w:pPr>
      <w:r>
        <w:rPr>
          <w:rFonts w:ascii="Times New Roman" w:eastAsia="Times New Roman"/>
        </w:rPr>
        <w:t>1</w:t>
      </w:r>
      <w:r>
        <w:rPr/>
        <w:t>、A 类美元份额、C 类美元份额、C 类人民币份额</w:t>
      </w:r>
    </w:p>
    <w:p>
      <w:pPr>
        <w:pStyle w:val="BodyText"/>
        <w:spacing w:line="364" w:lineRule="auto" w:before="160"/>
        <w:ind w:right="376"/>
        <w:jc w:val="both"/>
      </w:pPr>
      <w:r>
        <w:rPr>
          <w:spacing w:val="-5"/>
        </w:rPr>
        <w:t>基金份额持有人可以办理 </w:t>
      </w:r>
      <w:r>
        <w:rPr/>
        <w:t>A</w:t>
      </w:r>
      <w:r>
        <w:rPr>
          <w:spacing w:val="-9"/>
        </w:rPr>
        <w:t> 类美元份额、</w:t>
      </w:r>
      <w:r>
        <w:rPr/>
        <w:t>C</w:t>
      </w:r>
      <w:r>
        <w:rPr>
          <w:spacing w:val="-9"/>
        </w:rPr>
        <w:t> 类美元份额、</w:t>
      </w:r>
      <w:r>
        <w:rPr/>
        <w:t>C</w:t>
      </w:r>
      <w:r>
        <w:rPr>
          <w:spacing w:val="-10"/>
        </w:rPr>
        <w:t> 类人民币份额在</w:t>
      </w:r>
      <w:r>
        <w:rPr>
          <w:spacing w:val="-7"/>
        </w:rPr>
        <w:t>该类份额的不同销售机构的转托管手续。基金销售机构可以按照其业务规则规定</w:t>
      </w:r>
      <w:r>
        <w:rPr/>
        <w:t>的标准收取转托管费。</w:t>
      </w:r>
    </w:p>
    <w:p>
      <w:pPr>
        <w:pStyle w:val="BodyText"/>
        <w:spacing w:before="2"/>
        <w:ind w:left="600" w:firstLine="0"/>
        <w:jc w:val="both"/>
      </w:pPr>
      <w:r>
        <w:rPr>
          <w:rFonts w:ascii="Times New Roman" w:eastAsia="Times New Roman"/>
        </w:rPr>
        <w:t>2</w:t>
      </w:r>
      <w:r>
        <w:rPr/>
        <w:t>、</w:t>
      </w:r>
      <w:r>
        <w:rPr>
          <w:rFonts w:ascii="Times New Roman" w:eastAsia="Times New Roman"/>
        </w:rPr>
        <w:t>A</w:t>
      </w:r>
      <w:r>
        <w:rPr>
          <w:rFonts w:ascii="Times New Roman" w:eastAsia="Times New Roman"/>
          <w:spacing w:val="-2"/>
        </w:rPr>
        <w:t> </w:t>
      </w:r>
      <w:r>
        <w:rPr/>
        <w:t>类人民币份额</w:t>
      </w:r>
    </w:p>
    <w:p>
      <w:pPr>
        <w:pStyle w:val="ListParagraph"/>
        <w:numPr>
          <w:ilvl w:val="0"/>
          <w:numId w:val="5"/>
        </w:numPr>
        <w:tabs>
          <w:tab w:pos="1202" w:val="left" w:leader="none"/>
        </w:tabs>
        <w:spacing w:line="240" w:lineRule="auto" w:before="161" w:after="0"/>
        <w:ind w:left="1201" w:right="0" w:hanging="602"/>
        <w:jc w:val="left"/>
        <w:rPr>
          <w:sz w:val="24"/>
        </w:rPr>
      </w:pPr>
      <w:r>
        <w:rPr>
          <w:sz w:val="24"/>
        </w:rPr>
        <w:t>系统内转托管</w:t>
      </w:r>
    </w:p>
    <w:p>
      <w:pPr>
        <w:pStyle w:val="ListParagraph"/>
        <w:numPr>
          <w:ilvl w:val="0"/>
          <w:numId w:val="6"/>
        </w:numPr>
        <w:tabs>
          <w:tab w:pos="962" w:val="left" w:leader="none"/>
        </w:tabs>
        <w:spacing w:line="364" w:lineRule="auto" w:before="161" w:after="0"/>
        <w:ind w:left="120" w:right="376" w:firstLine="479"/>
        <w:jc w:val="both"/>
        <w:rPr>
          <w:sz w:val="24"/>
        </w:rPr>
      </w:pPr>
      <w:r>
        <w:rPr>
          <w:spacing w:val="-3"/>
          <w:sz w:val="24"/>
        </w:rPr>
        <w:t>系统内转托管是指持有人将其持有的 </w:t>
      </w:r>
      <w:r>
        <w:rPr>
          <w:sz w:val="24"/>
        </w:rPr>
        <w:t>A</w:t>
      </w:r>
      <w:r>
        <w:rPr>
          <w:spacing w:val="-8"/>
          <w:sz w:val="24"/>
        </w:rPr>
        <w:t> 类人民币份额在登记结算系统内</w:t>
      </w:r>
      <w:r>
        <w:rPr>
          <w:spacing w:val="-4"/>
          <w:sz w:val="24"/>
        </w:rPr>
        <w:t>不同销售机构</w:t>
      </w:r>
      <w:r>
        <w:rPr>
          <w:sz w:val="24"/>
        </w:rPr>
        <w:t>（网点</w:t>
      </w:r>
      <w:r>
        <w:rPr>
          <w:spacing w:val="-24"/>
          <w:sz w:val="24"/>
        </w:rPr>
        <w:t>）</w:t>
      </w:r>
      <w:r>
        <w:rPr>
          <w:spacing w:val="-2"/>
          <w:sz w:val="24"/>
        </w:rPr>
        <w:t>之间或证券登记系统内不同会员单位</w:t>
      </w:r>
      <w:r>
        <w:rPr>
          <w:sz w:val="24"/>
        </w:rPr>
        <w:t>（席位</w:t>
      </w:r>
      <w:r>
        <w:rPr>
          <w:spacing w:val="-24"/>
          <w:sz w:val="24"/>
        </w:rPr>
        <w:t>）</w:t>
      </w:r>
      <w:r>
        <w:rPr>
          <w:spacing w:val="-3"/>
          <w:sz w:val="24"/>
        </w:rPr>
        <w:t>之间进行转</w:t>
      </w:r>
      <w:r>
        <w:rPr>
          <w:sz w:val="24"/>
        </w:rPr>
        <w:t>托管的行为。</w:t>
      </w:r>
    </w:p>
    <w:p>
      <w:pPr>
        <w:pStyle w:val="ListParagraph"/>
        <w:numPr>
          <w:ilvl w:val="0"/>
          <w:numId w:val="6"/>
        </w:numPr>
        <w:tabs>
          <w:tab w:pos="962" w:val="left" w:leader="none"/>
        </w:tabs>
        <w:spacing w:line="364" w:lineRule="auto" w:before="1" w:after="0"/>
        <w:ind w:left="120" w:right="376" w:firstLine="479"/>
        <w:jc w:val="both"/>
        <w:rPr>
          <w:sz w:val="24"/>
        </w:rPr>
      </w:pPr>
      <w:r>
        <w:rPr>
          <w:spacing w:val="-4"/>
          <w:sz w:val="24"/>
        </w:rPr>
        <w:t>份额登记在证券登记系统的 </w:t>
      </w:r>
      <w:r>
        <w:rPr>
          <w:sz w:val="24"/>
        </w:rPr>
        <w:t>A</w:t>
      </w:r>
      <w:r>
        <w:rPr>
          <w:spacing w:val="-8"/>
          <w:sz w:val="24"/>
        </w:rPr>
        <w:t> 类人民币份额持有人在变更办理上市交易</w:t>
      </w:r>
      <w:r>
        <w:rPr>
          <w:sz w:val="24"/>
        </w:rPr>
        <w:t>的会员单位时，可办理已持有基金份额的系统内转托管。</w:t>
      </w:r>
    </w:p>
    <w:p>
      <w:pPr>
        <w:pStyle w:val="ListParagraph"/>
        <w:numPr>
          <w:ilvl w:val="0"/>
          <w:numId w:val="5"/>
        </w:numPr>
        <w:tabs>
          <w:tab w:pos="1202" w:val="left" w:leader="none"/>
        </w:tabs>
        <w:spacing w:line="240" w:lineRule="auto" w:before="2" w:after="0"/>
        <w:ind w:left="1201" w:right="0" w:hanging="602"/>
        <w:jc w:val="left"/>
        <w:rPr>
          <w:sz w:val="24"/>
        </w:rPr>
      </w:pPr>
      <w:r>
        <w:rPr>
          <w:sz w:val="24"/>
        </w:rPr>
        <w:t>跨系统转托管</w:t>
      </w:r>
    </w:p>
    <w:p>
      <w:pPr>
        <w:pStyle w:val="BodyText"/>
        <w:spacing w:line="364" w:lineRule="auto" w:before="160"/>
        <w:ind w:right="376"/>
      </w:pPr>
      <w:r>
        <w:rPr/>
        <w:t>跨系统转托管是指持有人将其持有的 A</w:t>
      </w:r>
      <w:r>
        <w:rPr>
          <w:spacing w:val="-1"/>
        </w:rPr>
        <w:t> 类人民币份额在登记结算系统和证</w:t>
      </w:r>
      <w:r>
        <w:rPr/>
        <w:t>券登记系统之间进行转托管的行为。</w:t>
      </w:r>
    </w:p>
    <w:p>
      <w:pPr>
        <w:pStyle w:val="BodyText"/>
        <w:spacing w:line="364" w:lineRule="auto" w:before="2"/>
        <w:ind w:right="376"/>
      </w:pPr>
      <w:r>
        <w:rPr/>
        <w:t>本基金 A 类人民币份额跨系统转托管的具体业务按照基金登记结算机构的相关规定办理。</w:t>
      </w:r>
    </w:p>
    <w:p>
      <w:pPr>
        <w:pStyle w:val="BodyText"/>
        <w:spacing w:line="364" w:lineRule="auto" w:before="1"/>
        <w:ind w:right="323" w:firstLine="419"/>
      </w:pPr>
      <w:r>
        <w:rPr/>
        <w:t>除非基金管理人另行公告，本基金不支持基金份额持有人将持有的基金份额在中国证券登记结算有限责任公司的登记结算系统或证券登记系统与易方达基</w:t>
      </w:r>
    </w:p>
    <w:p>
      <w:pPr>
        <w:spacing w:after="0" w:line="364" w:lineRule="auto"/>
        <w:sectPr>
          <w:pgSz w:w="11910" w:h="16840"/>
          <w:pgMar w:header="0" w:footer="914" w:top="1460" w:bottom="1180" w:left="1680" w:right="1420"/>
        </w:sectPr>
      </w:pPr>
    </w:p>
    <w:p>
      <w:pPr>
        <w:pStyle w:val="BodyText"/>
        <w:spacing w:before="41"/>
        <w:ind w:firstLine="0"/>
      </w:pPr>
      <w:r>
        <w:rPr/>
        <w:t>金管理有限公司注册登记系统之间进行转托管。</w:t>
      </w:r>
    </w:p>
    <w:p>
      <w:pPr>
        <w:pStyle w:val="BodyText"/>
        <w:spacing w:before="160"/>
        <w:ind w:left="600" w:firstLine="0"/>
      </w:pPr>
      <w:r>
        <w:rPr>
          <w:rFonts w:ascii="Times New Roman" w:eastAsia="Times New Roman"/>
        </w:rPr>
        <w:t>3</w:t>
      </w:r>
      <w:r>
        <w:rPr/>
        <w:t>、基金销售机构或基金登记结算机构有权对办理转托管业务收取相关费用。</w:t>
      </w:r>
    </w:p>
    <w:p>
      <w:pPr>
        <w:spacing w:before="161"/>
        <w:ind w:left="602" w:right="0" w:firstLine="0"/>
        <w:jc w:val="left"/>
        <w:rPr>
          <w:b/>
          <w:sz w:val="24"/>
        </w:rPr>
      </w:pPr>
      <w:r>
        <w:rPr>
          <w:b/>
          <w:sz w:val="24"/>
        </w:rPr>
        <w:t>（十七）定期定额投资计划</w:t>
      </w:r>
    </w:p>
    <w:p>
      <w:pPr>
        <w:pStyle w:val="BodyText"/>
        <w:spacing w:line="364" w:lineRule="auto" w:before="160"/>
        <w:ind w:right="377"/>
      </w:pPr>
      <w:r>
        <w:rPr>
          <w:spacing w:val="-6"/>
        </w:rPr>
        <w:t>基金管理人可以为投资者办理定期定额投资计划，具体规则由基金管理人在</w:t>
      </w:r>
      <w:r>
        <w:rPr/>
        <w:t>届时发布公告或更新的《招募说明书》中确定。</w:t>
      </w:r>
    </w:p>
    <w:p>
      <w:pPr>
        <w:spacing w:before="2"/>
        <w:ind w:left="602" w:right="0" w:firstLine="0"/>
        <w:jc w:val="left"/>
        <w:rPr>
          <w:b/>
          <w:sz w:val="24"/>
        </w:rPr>
      </w:pPr>
      <w:r>
        <w:rPr>
          <w:b/>
          <w:sz w:val="24"/>
        </w:rPr>
        <w:t>（十八）基金的非交易过户</w:t>
      </w:r>
    </w:p>
    <w:p>
      <w:pPr>
        <w:pStyle w:val="BodyText"/>
        <w:spacing w:line="364" w:lineRule="auto" w:before="160"/>
        <w:ind w:right="376"/>
        <w:jc w:val="both"/>
      </w:pPr>
      <w:r>
        <w:rPr>
          <w:spacing w:val="-6"/>
        </w:rPr>
        <w:t>基金的非交易过户是指基金登记结算机构受理继承、捐赠和司法强制执行而</w:t>
      </w:r>
      <w:r>
        <w:rPr>
          <w:spacing w:val="-7"/>
        </w:rPr>
        <w:t>产生的非交易过户以及登记结算机构认可、符合法律法规的其他非交易过户。无</w:t>
      </w:r>
      <w:r>
        <w:rPr>
          <w:spacing w:val="-11"/>
        </w:rPr>
        <w:t>论在上述何种情况下，接受划转的主体必须是依法可以持有本基金基金份额的投</w:t>
      </w:r>
      <w:r>
        <w:rPr/>
        <w:t>资人。</w:t>
      </w:r>
    </w:p>
    <w:p>
      <w:pPr>
        <w:pStyle w:val="BodyText"/>
        <w:spacing w:line="364" w:lineRule="auto" w:before="3"/>
        <w:ind w:right="376" w:firstLine="599"/>
        <w:jc w:val="both"/>
      </w:pPr>
      <w:r>
        <w:rPr>
          <w:spacing w:val="-1"/>
        </w:rPr>
        <w:t>“继承”指基金份额持有人死亡，其持有的基金份额由其合法的继承人继</w:t>
      </w:r>
      <w:r>
        <w:rPr>
          <w:spacing w:val="-11"/>
        </w:rPr>
        <w:t>承；“捐赠”指基金份额持有人将其合法持有的基金份额捐赠给福利性质的基金</w:t>
      </w:r>
      <w:r>
        <w:rPr>
          <w:spacing w:val="-13"/>
        </w:rPr>
        <w:t>会或社会团体的情形；“司法强制执行”是指司法机构依据生效司法文书将基金</w:t>
      </w:r>
      <w:r>
        <w:rPr>
          <w:spacing w:val="-17"/>
        </w:rPr>
        <w:t>份额持有人持有的基金份额强制划转给其他自然人、法人或其他组织。办理非交</w:t>
      </w:r>
      <w:r>
        <w:rPr>
          <w:spacing w:val="-6"/>
        </w:rPr>
        <w:t>易过户必须提供登记结算机构要求提供的相关资料，对于符合条件的非交易过户</w:t>
      </w:r>
      <w:r>
        <w:rPr/>
        <w:t>申请按登记结算机构的规定办理，并按登记结算机构规定的标准收费。</w:t>
      </w:r>
    </w:p>
    <w:p>
      <w:pPr>
        <w:spacing w:before="4"/>
        <w:ind w:left="602" w:right="0" w:firstLine="0"/>
        <w:jc w:val="left"/>
        <w:rPr>
          <w:b/>
          <w:sz w:val="24"/>
        </w:rPr>
      </w:pPr>
      <w:r>
        <w:rPr>
          <w:b/>
          <w:sz w:val="24"/>
        </w:rPr>
        <w:t>（十九）基金的冻结与解冻</w:t>
      </w:r>
    </w:p>
    <w:p>
      <w:pPr>
        <w:pStyle w:val="BodyText"/>
        <w:spacing w:line="364" w:lineRule="auto"/>
        <w:ind w:right="369"/>
        <w:jc w:val="both"/>
      </w:pPr>
      <w:r>
        <w:rPr>
          <w:spacing w:val="4"/>
        </w:rPr>
        <w:t>基金登记结算机构只受理国家有权机关依法要求的基金份额的冻结与解冻</w:t>
      </w:r>
      <w:r>
        <w:rPr>
          <w:spacing w:val="-7"/>
        </w:rPr>
        <w:t>以及登记结算机构认可、符合法律法规的其他情况下的冻结与解冻。基金份额被</w:t>
      </w:r>
      <w:r>
        <w:rPr>
          <w:spacing w:val="-11"/>
        </w:rPr>
        <w:t>冻结的，被冻结部分产生的权益按照我国法律法规、监管规章及国家有权机关的要求，以及登记结算机构业务规定来决定是否冻结。</w:t>
      </w:r>
    </w:p>
    <w:p>
      <w:pPr>
        <w:spacing w:before="2"/>
        <w:ind w:left="602" w:right="0" w:firstLine="0"/>
        <w:jc w:val="left"/>
        <w:rPr>
          <w:b/>
          <w:sz w:val="24"/>
        </w:rPr>
      </w:pPr>
      <w:r>
        <w:rPr>
          <w:b/>
          <w:sz w:val="24"/>
        </w:rPr>
        <w:t>（二十）其他特殊业务</w:t>
      </w:r>
    </w:p>
    <w:p>
      <w:pPr>
        <w:pStyle w:val="BodyText"/>
        <w:spacing w:line="364" w:lineRule="auto"/>
        <w:ind w:right="379"/>
      </w:pPr>
      <w:r>
        <w:rPr>
          <w:spacing w:val="-7"/>
        </w:rPr>
        <w:t>在相关法律法规允许的条件下，基金登记结算机构可依据其业务规则，受理</w:t>
      </w:r>
      <w:r>
        <w:rPr/>
        <w:t>基金份额质押等业务，并收取一定的手续费用。</w:t>
      </w:r>
    </w:p>
    <w:p>
      <w:pPr>
        <w:spacing w:after="0" w:line="364" w:lineRule="auto"/>
        <w:sectPr>
          <w:pgSz w:w="11910" w:h="16840"/>
          <w:pgMar w:header="0" w:footer="914" w:top="1460" w:bottom="1180" w:left="1680" w:right="1420"/>
        </w:sectPr>
      </w:pPr>
    </w:p>
    <w:p>
      <w:pPr>
        <w:pStyle w:val="BodyText"/>
        <w:spacing w:before="0"/>
        <w:ind w:left="0" w:firstLine="0"/>
        <w:rPr>
          <w:sz w:val="20"/>
        </w:rPr>
      </w:pPr>
    </w:p>
    <w:p>
      <w:pPr>
        <w:pStyle w:val="BodyText"/>
        <w:spacing w:before="5"/>
        <w:ind w:left="0" w:firstLine="0"/>
        <w:rPr>
          <w:sz w:val="28"/>
        </w:rPr>
      </w:pPr>
    </w:p>
    <w:p>
      <w:pPr>
        <w:pStyle w:val="Heading1"/>
        <w:spacing w:before="67"/>
        <w:ind w:left="3" w:right="262"/>
        <w:jc w:val="center"/>
      </w:pPr>
      <w:bookmarkStart w:name="_bookmark6" w:id="7"/>
      <w:bookmarkEnd w:id="7"/>
      <w:r>
        <w:rPr>
          <w:b w:val="0"/>
        </w:rPr>
      </w:r>
      <w:r>
        <w:rPr/>
        <w:t>七、基金合同当事人及权利义务</w:t>
      </w:r>
    </w:p>
    <w:p>
      <w:pPr>
        <w:pStyle w:val="BodyText"/>
        <w:spacing w:before="4"/>
        <w:ind w:left="0" w:firstLine="0"/>
        <w:rPr>
          <w:b/>
          <w:sz w:val="35"/>
        </w:rPr>
      </w:pPr>
    </w:p>
    <w:p>
      <w:pPr>
        <w:spacing w:before="0"/>
        <w:ind w:left="602" w:right="0" w:firstLine="0"/>
        <w:jc w:val="left"/>
        <w:rPr>
          <w:b/>
          <w:sz w:val="24"/>
        </w:rPr>
      </w:pPr>
      <w:r>
        <w:rPr>
          <w:b/>
          <w:sz w:val="24"/>
        </w:rPr>
        <w:t>（一）基金管理人</w:t>
      </w:r>
    </w:p>
    <w:p>
      <w:pPr>
        <w:spacing w:before="161"/>
        <w:ind w:left="602" w:right="0" w:firstLine="0"/>
        <w:jc w:val="left"/>
        <w:rPr>
          <w:b/>
          <w:sz w:val="24"/>
        </w:rPr>
      </w:pPr>
      <w:r>
        <w:rPr>
          <w:rFonts w:ascii="Times New Roman" w:eastAsia="Times New Roman"/>
          <w:b/>
          <w:sz w:val="24"/>
        </w:rPr>
        <w:t>1</w:t>
      </w:r>
      <w:r>
        <w:rPr>
          <w:b/>
          <w:sz w:val="24"/>
        </w:rPr>
        <w:t>、基金管理人概况</w:t>
      </w:r>
    </w:p>
    <w:p>
      <w:pPr>
        <w:pStyle w:val="BodyText"/>
        <w:spacing w:before="160"/>
        <w:ind w:left="600" w:firstLine="0"/>
      </w:pPr>
      <w:r>
        <w:rPr/>
        <w:t>名称：易方达基金管理有限公司</w:t>
      </w:r>
    </w:p>
    <w:p>
      <w:pPr>
        <w:pStyle w:val="BodyText"/>
        <w:spacing w:line="364" w:lineRule="auto"/>
        <w:ind w:left="600" w:right="803" w:firstLine="0"/>
      </w:pPr>
      <w:r>
        <w:rPr>
          <w:spacing w:val="-4"/>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17"/>
        </w:rPr>
        <w:t>） </w:t>
      </w:r>
      <w:r>
        <w:rPr/>
        <w:t>法定代表人：刘晓艳</w:t>
      </w:r>
    </w:p>
    <w:p>
      <w:pPr>
        <w:pStyle w:val="BodyText"/>
        <w:spacing w:before="2"/>
        <w:ind w:left="600" w:firstLine="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before="160"/>
        <w:ind w:left="600" w:firstLine="0"/>
      </w:pPr>
      <w:r>
        <w:rPr/>
        <w:t>批准设立机关及批准设立文号：中国证券监督管理委员会，证监基金字</w:t>
      </w:r>
    </w:p>
    <w:p>
      <w:pPr>
        <w:pStyle w:val="BodyText"/>
        <w:ind w:firstLine="0"/>
      </w:pPr>
      <w:r>
        <w:rPr>
          <w:rFonts w:ascii="Times New Roman" w:eastAsia="Times New Roman"/>
        </w:rPr>
        <w:t>[2001]4 </w:t>
      </w:r>
      <w:r>
        <w:rPr/>
        <w:t>号</w:t>
      </w:r>
    </w:p>
    <w:p>
      <w:pPr>
        <w:pStyle w:val="BodyText"/>
        <w:spacing w:before="160"/>
        <w:ind w:left="600" w:firstLine="0"/>
      </w:pPr>
      <w:r>
        <w:rPr/>
        <w:t>组织形式：有限责任公司</w:t>
      </w:r>
    </w:p>
    <w:p>
      <w:pPr>
        <w:pStyle w:val="BodyText"/>
        <w:spacing w:line="364" w:lineRule="auto"/>
        <w:ind w:left="600" w:right="5083" w:firstLine="0"/>
      </w:pPr>
      <w:r>
        <w:rPr/>
        <w:t>注册资本：</w:t>
      </w:r>
      <w:r>
        <w:rPr>
          <w:rFonts w:ascii="Times New Roman" w:eastAsia="Times New Roman"/>
        </w:rPr>
        <w:t>12,000 </w:t>
      </w:r>
      <w:r>
        <w:rPr/>
        <w:t>万元人民币存续期限：持续经营</w:t>
      </w:r>
    </w:p>
    <w:p>
      <w:pPr>
        <w:pStyle w:val="BodyText"/>
        <w:spacing w:before="1"/>
        <w:ind w:left="600" w:firstLine="0"/>
        <w:rPr>
          <w:rFonts w:ascii="Times New Roman" w:eastAsia="Times New Roman"/>
        </w:rPr>
      </w:pPr>
      <w:r>
        <w:rPr/>
        <w:t>联系电话：</w:t>
      </w:r>
      <w:r>
        <w:rPr>
          <w:rFonts w:ascii="Times New Roman" w:eastAsia="Times New Roman"/>
        </w:rPr>
        <w:t>400 881 8088</w:t>
      </w:r>
    </w:p>
    <w:p>
      <w:pPr>
        <w:spacing w:before="160"/>
        <w:ind w:left="602" w:right="0" w:firstLine="0"/>
        <w:jc w:val="left"/>
        <w:rPr>
          <w:b/>
          <w:sz w:val="24"/>
        </w:rPr>
      </w:pPr>
      <w:r>
        <w:rPr>
          <w:rFonts w:ascii="Times New Roman" w:eastAsia="Times New Roman"/>
          <w:b/>
          <w:sz w:val="24"/>
        </w:rPr>
        <w:t>2</w:t>
      </w:r>
      <w:r>
        <w:rPr>
          <w:b/>
          <w:sz w:val="24"/>
        </w:rPr>
        <w:t>、基金管理人的权利与义务</w:t>
      </w:r>
    </w:p>
    <w:p>
      <w:pPr>
        <w:pStyle w:val="ListParagraph"/>
        <w:numPr>
          <w:ilvl w:val="0"/>
          <w:numId w:val="7"/>
        </w:numPr>
        <w:tabs>
          <w:tab w:pos="1202" w:val="left" w:leader="none"/>
        </w:tabs>
        <w:spacing w:line="364" w:lineRule="auto" w:before="161" w:after="0"/>
        <w:ind w:left="120" w:right="381" w:firstLine="479"/>
        <w:jc w:val="left"/>
        <w:rPr>
          <w:sz w:val="24"/>
        </w:rPr>
      </w:pPr>
      <w:r>
        <w:rPr>
          <w:spacing w:val="-17"/>
          <w:sz w:val="24"/>
        </w:rPr>
        <w:t>根据《基金法》、《运作办法》及其他有关规定，基金管理人的权利包</w:t>
      </w:r>
      <w:r>
        <w:rPr>
          <w:sz w:val="24"/>
        </w:rPr>
        <w:t>括但不限于：</w:t>
      </w:r>
    </w:p>
    <w:p>
      <w:pPr>
        <w:pStyle w:val="ListParagraph"/>
        <w:numPr>
          <w:ilvl w:val="0"/>
          <w:numId w:val="8"/>
        </w:numPr>
        <w:tabs>
          <w:tab w:pos="1081" w:val="left" w:leader="none"/>
        </w:tabs>
        <w:spacing w:line="240" w:lineRule="auto" w:before="1" w:after="0"/>
        <w:ind w:left="1080" w:right="0" w:hanging="481"/>
        <w:jc w:val="left"/>
        <w:rPr>
          <w:sz w:val="24"/>
        </w:rPr>
      </w:pPr>
      <w:r>
        <w:rPr>
          <w:sz w:val="24"/>
        </w:rPr>
        <w:t>依法募集基金；</w:t>
      </w:r>
    </w:p>
    <w:p>
      <w:pPr>
        <w:pStyle w:val="ListParagraph"/>
        <w:numPr>
          <w:ilvl w:val="0"/>
          <w:numId w:val="8"/>
        </w:numPr>
        <w:tabs>
          <w:tab w:pos="1064" w:val="left" w:leader="none"/>
        </w:tabs>
        <w:spacing w:line="364" w:lineRule="auto" w:before="161" w:after="0"/>
        <w:ind w:left="120" w:right="378" w:firstLine="479"/>
        <w:jc w:val="left"/>
        <w:rPr>
          <w:sz w:val="24"/>
        </w:rPr>
      </w:pPr>
      <w:r>
        <w:rPr>
          <w:spacing w:val="-10"/>
          <w:sz w:val="24"/>
        </w:rPr>
        <w:t>自《基金合同》生效之日起，根据法律法规和《基金合同》独立运用并</w:t>
      </w:r>
      <w:r>
        <w:rPr>
          <w:sz w:val="24"/>
        </w:rPr>
        <w:t>管理基金财产；</w:t>
      </w:r>
    </w:p>
    <w:p>
      <w:pPr>
        <w:pStyle w:val="ListParagraph"/>
        <w:numPr>
          <w:ilvl w:val="0"/>
          <w:numId w:val="8"/>
        </w:numPr>
        <w:tabs>
          <w:tab w:pos="1050" w:val="left" w:leader="none"/>
        </w:tabs>
        <w:spacing w:line="364" w:lineRule="auto" w:before="1" w:after="0"/>
        <w:ind w:left="120" w:right="378" w:firstLine="479"/>
        <w:jc w:val="left"/>
        <w:rPr>
          <w:sz w:val="24"/>
        </w:rPr>
      </w:pPr>
      <w:r>
        <w:rPr>
          <w:spacing w:val="-10"/>
          <w:sz w:val="24"/>
        </w:rPr>
        <w:t>依照《基金合同》收取基金管理费以及法律法规规定或中国证监会批准</w:t>
      </w:r>
      <w:r>
        <w:rPr>
          <w:sz w:val="24"/>
        </w:rPr>
        <w:t>的其他费用；</w:t>
      </w:r>
    </w:p>
    <w:p>
      <w:pPr>
        <w:pStyle w:val="ListParagraph"/>
        <w:numPr>
          <w:ilvl w:val="0"/>
          <w:numId w:val="8"/>
        </w:numPr>
        <w:tabs>
          <w:tab w:pos="1081" w:val="left" w:leader="none"/>
        </w:tabs>
        <w:spacing w:line="240" w:lineRule="auto" w:before="1" w:after="0"/>
        <w:ind w:left="1080" w:right="0" w:hanging="481"/>
        <w:jc w:val="left"/>
        <w:rPr>
          <w:sz w:val="24"/>
        </w:rPr>
      </w:pPr>
      <w:r>
        <w:rPr>
          <w:sz w:val="24"/>
        </w:rPr>
        <w:t>销售基金份额；</w:t>
      </w:r>
    </w:p>
    <w:p>
      <w:pPr>
        <w:pStyle w:val="ListParagraph"/>
        <w:numPr>
          <w:ilvl w:val="0"/>
          <w:numId w:val="8"/>
        </w:numPr>
        <w:tabs>
          <w:tab w:pos="1081" w:val="left" w:leader="none"/>
        </w:tabs>
        <w:spacing w:line="240" w:lineRule="auto" w:before="161" w:after="0"/>
        <w:ind w:left="1080" w:right="0" w:hanging="481"/>
        <w:jc w:val="both"/>
        <w:rPr>
          <w:sz w:val="24"/>
        </w:rPr>
      </w:pPr>
      <w:r>
        <w:rPr>
          <w:sz w:val="24"/>
        </w:rPr>
        <w:t>召集基金份额持有人大会；</w:t>
      </w:r>
    </w:p>
    <w:p>
      <w:pPr>
        <w:pStyle w:val="ListParagraph"/>
        <w:numPr>
          <w:ilvl w:val="0"/>
          <w:numId w:val="8"/>
        </w:numPr>
        <w:tabs>
          <w:tab w:pos="1057" w:val="left" w:leader="none"/>
        </w:tabs>
        <w:spacing w:line="364" w:lineRule="auto" w:before="161" w:after="0"/>
        <w:ind w:left="120" w:right="377" w:firstLine="479"/>
        <w:jc w:val="both"/>
        <w:rPr>
          <w:sz w:val="24"/>
        </w:rPr>
      </w:pPr>
      <w:r>
        <w:rPr>
          <w:spacing w:val="-10"/>
          <w:sz w:val="24"/>
        </w:rPr>
        <w:t>依据《基金合同》及有关法律法规规定监督基金托管人，如认为基金托</w:t>
      </w:r>
      <w:r>
        <w:rPr>
          <w:spacing w:val="-11"/>
          <w:sz w:val="24"/>
        </w:rPr>
        <w:t>管人违反了《基金合同》及国家有关法律法规规定，应呈报中国证监会和其他监</w:t>
      </w:r>
      <w:r>
        <w:rPr>
          <w:sz w:val="24"/>
        </w:rPr>
        <w:t>管部门，并采取必要措施保护投资者的利益；</w:t>
      </w:r>
    </w:p>
    <w:p>
      <w:pPr>
        <w:pStyle w:val="ListParagraph"/>
        <w:numPr>
          <w:ilvl w:val="0"/>
          <w:numId w:val="8"/>
        </w:numPr>
        <w:tabs>
          <w:tab w:pos="1081" w:val="left" w:leader="none"/>
        </w:tabs>
        <w:spacing w:line="240" w:lineRule="auto" w:before="2" w:after="0"/>
        <w:ind w:left="1080" w:right="0" w:hanging="481"/>
        <w:jc w:val="both"/>
        <w:rPr>
          <w:sz w:val="24"/>
        </w:rPr>
      </w:pPr>
      <w:r>
        <w:rPr>
          <w:sz w:val="24"/>
        </w:rPr>
        <w:t>在基金托管人更换时，提名新的基金托管人；</w:t>
      </w:r>
    </w:p>
    <w:p>
      <w:pPr>
        <w:spacing w:after="0" w:line="240" w:lineRule="auto"/>
        <w:jc w:val="both"/>
        <w:rPr>
          <w:sz w:val="24"/>
        </w:rPr>
        <w:sectPr>
          <w:pgSz w:w="11910" w:h="16840"/>
          <w:pgMar w:header="0" w:footer="914" w:top="1580" w:bottom="1180" w:left="1680" w:right="1420"/>
        </w:sectPr>
      </w:pPr>
    </w:p>
    <w:p>
      <w:pPr>
        <w:pStyle w:val="ListParagraph"/>
        <w:numPr>
          <w:ilvl w:val="0"/>
          <w:numId w:val="8"/>
        </w:numPr>
        <w:tabs>
          <w:tab w:pos="1057" w:val="left" w:leader="none"/>
        </w:tabs>
        <w:spacing w:line="364" w:lineRule="auto" w:before="61" w:after="0"/>
        <w:ind w:left="120" w:right="377" w:firstLine="479"/>
        <w:jc w:val="left"/>
        <w:rPr>
          <w:sz w:val="24"/>
        </w:rPr>
      </w:pPr>
      <w:r>
        <w:rPr>
          <w:spacing w:val="-10"/>
          <w:sz w:val="24"/>
        </w:rPr>
        <w:t>选择、委托、更换基金代销机构，对基金代销机构的相关行为进行监督</w:t>
      </w:r>
      <w:r>
        <w:rPr>
          <w:sz w:val="24"/>
        </w:rPr>
        <w:t>和处理；</w:t>
      </w:r>
    </w:p>
    <w:p>
      <w:pPr>
        <w:pStyle w:val="ListParagraph"/>
        <w:numPr>
          <w:ilvl w:val="0"/>
          <w:numId w:val="8"/>
        </w:numPr>
        <w:tabs>
          <w:tab w:pos="987" w:val="left" w:leader="none"/>
        </w:tabs>
        <w:spacing w:line="364" w:lineRule="auto" w:before="1" w:after="0"/>
        <w:ind w:left="120" w:right="376" w:firstLine="479"/>
        <w:jc w:val="left"/>
        <w:rPr>
          <w:sz w:val="24"/>
        </w:rPr>
      </w:pPr>
      <w:r>
        <w:rPr>
          <w:spacing w:val="-1"/>
          <w:sz w:val="24"/>
        </w:rPr>
        <w:t>担任或委托其他符合条件的机构担任登记结算机构办理基金登记结算业</w:t>
      </w:r>
      <w:r>
        <w:rPr>
          <w:sz w:val="24"/>
        </w:rPr>
        <w:t>务并获得《基金合同》规定的费用；</w:t>
      </w:r>
    </w:p>
    <w:p>
      <w:pPr>
        <w:pStyle w:val="ListParagraph"/>
        <w:numPr>
          <w:ilvl w:val="0"/>
          <w:numId w:val="9"/>
        </w:numPr>
        <w:tabs>
          <w:tab w:pos="1040" w:val="left" w:leader="none"/>
        </w:tabs>
        <w:spacing w:line="240" w:lineRule="auto" w:before="1" w:after="0"/>
        <w:ind w:left="1039" w:right="0" w:hanging="440"/>
        <w:jc w:val="left"/>
        <w:rPr>
          <w:sz w:val="24"/>
        </w:rPr>
      </w:pPr>
      <w:r>
        <w:rPr>
          <w:w w:val="95"/>
          <w:sz w:val="24"/>
        </w:rPr>
        <w:t>依据《基金合同》及有关法律法规规定决定基金收益的分配方案；</w:t>
      </w:r>
    </w:p>
    <w:p>
      <w:pPr>
        <w:pStyle w:val="ListParagraph"/>
        <w:numPr>
          <w:ilvl w:val="0"/>
          <w:numId w:val="9"/>
        </w:numPr>
        <w:tabs>
          <w:tab w:pos="1030" w:val="left" w:leader="none"/>
        </w:tabs>
        <w:spacing w:line="240" w:lineRule="auto" w:before="161" w:after="0"/>
        <w:ind w:left="1030" w:right="0" w:hanging="430"/>
        <w:jc w:val="left"/>
        <w:rPr>
          <w:sz w:val="24"/>
        </w:rPr>
      </w:pPr>
      <w:r>
        <w:rPr>
          <w:sz w:val="24"/>
        </w:rPr>
        <w:t>在《基金合同》约定的范围内，拒绝或暂停受理申购与赎回申请；</w:t>
      </w:r>
    </w:p>
    <w:p>
      <w:pPr>
        <w:pStyle w:val="ListParagraph"/>
        <w:numPr>
          <w:ilvl w:val="0"/>
          <w:numId w:val="10"/>
        </w:numPr>
        <w:tabs>
          <w:tab w:pos="1082" w:val="left" w:leader="none"/>
        </w:tabs>
        <w:spacing w:line="364" w:lineRule="auto" w:before="160" w:after="0"/>
        <w:ind w:left="120" w:right="285" w:firstLine="479"/>
        <w:jc w:val="left"/>
        <w:rPr>
          <w:sz w:val="24"/>
        </w:rPr>
      </w:pPr>
      <w:r>
        <w:rPr>
          <w:spacing w:val="-1"/>
          <w:sz w:val="24"/>
        </w:rPr>
        <w:t>在符合有关法律法规和《基金合同》的前提下，制订和调整业务规则， </w:t>
      </w:r>
      <w:r>
        <w:rPr>
          <w:sz w:val="24"/>
        </w:rPr>
        <w:t>决定和调整除调高管理费率和托管费率之外的基金相关费率和收费方式；</w:t>
      </w:r>
    </w:p>
    <w:p>
      <w:pPr>
        <w:pStyle w:val="ListParagraph"/>
        <w:numPr>
          <w:ilvl w:val="0"/>
          <w:numId w:val="10"/>
        </w:numPr>
        <w:tabs>
          <w:tab w:pos="1082" w:val="left" w:leader="none"/>
        </w:tabs>
        <w:spacing w:line="364" w:lineRule="auto" w:before="2" w:after="0"/>
        <w:ind w:left="120" w:right="376" w:firstLine="479"/>
        <w:jc w:val="left"/>
        <w:rPr>
          <w:sz w:val="24"/>
        </w:rPr>
      </w:pPr>
      <w:r>
        <w:rPr>
          <w:spacing w:val="-2"/>
          <w:sz w:val="24"/>
        </w:rPr>
        <w:t>依照法律法规为基金的利益行使因基金财产投资于证券</w:t>
      </w:r>
      <w:r>
        <w:rPr>
          <w:sz w:val="24"/>
        </w:rPr>
        <w:t>（包括基金</w:t>
      </w:r>
      <w:r>
        <w:rPr>
          <w:spacing w:val="-31"/>
          <w:sz w:val="24"/>
        </w:rPr>
        <w:t>） </w:t>
      </w:r>
      <w:r>
        <w:rPr>
          <w:spacing w:val="-4"/>
          <w:sz w:val="24"/>
        </w:rPr>
        <w:t>所产生的权利；</w:t>
      </w:r>
    </w:p>
    <w:p>
      <w:pPr>
        <w:pStyle w:val="ListParagraph"/>
        <w:numPr>
          <w:ilvl w:val="0"/>
          <w:numId w:val="10"/>
        </w:numPr>
        <w:tabs>
          <w:tab w:pos="1082" w:val="left" w:leader="none"/>
        </w:tabs>
        <w:spacing w:line="240" w:lineRule="auto" w:before="1" w:after="0"/>
        <w:ind w:left="1081" w:right="0" w:hanging="482"/>
        <w:jc w:val="left"/>
        <w:rPr>
          <w:sz w:val="24"/>
        </w:rPr>
      </w:pPr>
      <w:r>
        <w:rPr>
          <w:sz w:val="24"/>
        </w:rPr>
        <w:t>在法律法规允许的前提下，为基金的利益依法为基金进行融资；</w:t>
      </w:r>
    </w:p>
    <w:p>
      <w:pPr>
        <w:pStyle w:val="ListParagraph"/>
        <w:numPr>
          <w:ilvl w:val="0"/>
          <w:numId w:val="10"/>
        </w:numPr>
        <w:tabs>
          <w:tab w:pos="1082" w:val="left" w:leader="none"/>
        </w:tabs>
        <w:spacing w:line="364" w:lineRule="auto" w:before="161" w:after="0"/>
        <w:ind w:left="120" w:right="381" w:firstLine="479"/>
        <w:jc w:val="left"/>
        <w:rPr>
          <w:sz w:val="24"/>
        </w:rPr>
      </w:pPr>
      <w:r>
        <w:rPr>
          <w:spacing w:val="-5"/>
          <w:sz w:val="24"/>
        </w:rPr>
        <w:t>以基金管理人的名义，代表基金份额持有人的利益行使诉讼权利或者实施其他法律行为；</w:t>
      </w:r>
    </w:p>
    <w:p>
      <w:pPr>
        <w:pStyle w:val="ListParagraph"/>
        <w:numPr>
          <w:ilvl w:val="0"/>
          <w:numId w:val="10"/>
        </w:numPr>
        <w:tabs>
          <w:tab w:pos="1082" w:val="left" w:leader="none"/>
        </w:tabs>
        <w:spacing w:line="364" w:lineRule="auto" w:before="1" w:after="0"/>
        <w:ind w:left="120" w:right="381" w:firstLine="479"/>
        <w:jc w:val="left"/>
        <w:rPr>
          <w:sz w:val="24"/>
        </w:rPr>
      </w:pPr>
      <w:r>
        <w:rPr>
          <w:spacing w:val="-8"/>
          <w:sz w:val="24"/>
        </w:rPr>
        <w:t>选择、更换律师事务所、会计师事务所、证券经纪商或其他为基金提</w:t>
      </w:r>
      <w:r>
        <w:rPr>
          <w:spacing w:val="-5"/>
          <w:sz w:val="24"/>
        </w:rPr>
        <w:t>供服务的外部机构；</w:t>
      </w:r>
    </w:p>
    <w:p>
      <w:pPr>
        <w:pStyle w:val="ListParagraph"/>
        <w:numPr>
          <w:ilvl w:val="0"/>
          <w:numId w:val="10"/>
        </w:numPr>
        <w:tabs>
          <w:tab w:pos="1082" w:val="left" w:leader="none"/>
        </w:tabs>
        <w:spacing w:line="240" w:lineRule="auto" w:before="1" w:after="0"/>
        <w:ind w:left="1081" w:right="0" w:hanging="482"/>
        <w:jc w:val="left"/>
        <w:rPr>
          <w:sz w:val="24"/>
        </w:rPr>
      </w:pPr>
      <w:r>
        <w:rPr>
          <w:sz w:val="24"/>
        </w:rPr>
        <w:t>选择、更换或撤销境外投资顾问；</w:t>
      </w:r>
    </w:p>
    <w:p>
      <w:pPr>
        <w:pStyle w:val="ListParagraph"/>
        <w:numPr>
          <w:ilvl w:val="0"/>
          <w:numId w:val="10"/>
        </w:numPr>
        <w:tabs>
          <w:tab w:pos="1082" w:val="left" w:leader="none"/>
        </w:tabs>
        <w:spacing w:line="240" w:lineRule="auto" w:before="161" w:after="0"/>
        <w:ind w:left="1081" w:right="0" w:hanging="482"/>
        <w:jc w:val="left"/>
        <w:rPr>
          <w:sz w:val="24"/>
        </w:rPr>
      </w:pPr>
      <w:r>
        <w:rPr>
          <w:sz w:val="24"/>
        </w:rPr>
        <w:t>法律法规和《基金合同》规定的其他权利。</w:t>
      </w:r>
    </w:p>
    <w:p>
      <w:pPr>
        <w:pStyle w:val="ListParagraph"/>
        <w:numPr>
          <w:ilvl w:val="0"/>
          <w:numId w:val="7"/>
        </w:numPr>
        <w:tabs>
          <w:tab w:pos="1202" w:val="left" w:leader="none"/>
        </w:tabs>
        <w:spacing w:line="364" w:lineRule="auto" w:before="161" w:after="0"/>
        <w:ind w:left="120" w:right="381" w:firstLine="479"/>
        <w:jc w:val="left"/>
        <w:rPr>
          <w:sz w:val="24"/>
        </w:rPr>
      </w:pPr>
      <w:r>
        <w:rPr>
          <w:spacing w:val="-17"/>
          <w:sz w:val="24"/>
        </w:rPr>
        <w:t>根据《基金法》、《运作办法》及其他有关规定，基金管理人的义务包</w:t>
      </w:r>
      <w:r>
        <w:rPr>
          <w:sz w:val="24"/>
        </w:rPr>
        <w:t>括但不限于：</w:t>
      </w:r>
    </w:p>
    <w:p>
      <w:pPr>
        <w:pStyle w:val="ListParagraph"/>
        <w:numPr>
          <w:ilvl w:val="0"/>
          <w:numId w:val="11"/>
        </w:numPr>
        <w:tabs>
          <w:tab w:pos="962" w:val="left" w:leader="none"/>
        </w:tabs>
        <w:spacing w:line="364" w:lineRule="auto" w:before="1" w:after="0"/>
        <w:ind w:left="120" w:right="384" w:firstLine="479"/>
        <w:jc w:val="left"/>
        <w:rPr>
          <w:sz w:val="24"/>
        </w:rPr>
      </w:pPr>
      <w:r>
        <w:rPr>
          <w:spacing w:val="-1"/>
          <w:sz w:val="24"/>
        </w:rPr>
        <w:t>依法募集基金，办理或者委托经中国证监会认定的其他机构代为办理基</w:t>
      </w:r>
      <w:r>
        <w:rPr>
          <w:sz w:val="24"/>
        </w:rPr>
        <w:t>金份额的发售、申购、赎回和登记事宜；</w:t>
      </w:r>
    </w:p>
    <w:p>
      <w:pPr>
        <w:pStyle w:val="ListParagraph"/>
        <w:numPr>
          <w:ilvl w:val="0"/>
          <w:numId w:val="11"/>
        </w:numPr>
        <w:tabs>
          <w:tab w:pos="962" w:val="left" w:leader="none"/>
        </w:tabs>
        <w:spacing w:line="240" w:lineRule="auto" w:before="1" w:after="0"/>
        <w:ind w:left="961" w:right="0" w:hanging="362"/>
        <w:jc w:val="left"/>
        <w:rPr>
          <w:sz w:val="24"/>
        </w:rPr>
      </w:pPr>
      <w:r>
        <w:rPr>
          <w:sz w:val="24"/>
        </w:rPr>
        <w:t>办理基金备案手续；</w:t>
      </w:r>
    </w:p>
    <w:p>
      <w:pPr>
        <w:pStyle w:val="ListParagraph"/>
        <w:numPr>
          <w:ilvl w:val="0"/>
          <w:numId w:val="11"/>
        </w:numPr>
        <w:tabs>
          <w:tab w:pos="962" w:val="left" w:leader="none"/>
        </w:tabs>
        <w:spacing w:line="364" w:lineRule="auto" w:before="161" w:after="0"/>
        <w:ind w:left="120" w:right="378" w:firstLine="479"/>
        <w:jc w:val="left"/>
        <w:rPr>
          <w:sz w:val="24"/>
        </w:rPr>
      </w:pPr>
      <w:r>
        <w:rPr>
          <w:spacing w:val="-4"/>
          <w:sz w:val="24"/>
        </w:rPr>
        <w:t>自《基金合同》生效之日起</w:t>
      </w:r>
      <w:r>
        <w:rPr>
          <w:rFonts w:ascii="Times New Roman" w:eastAsia="Times New Roman"/>
          <w:sz w:val="24"/>
        </w:rPr>
        <w:t>,</w:t>
      </w:r>
      <w:r>
        <w:rPr>
          <w:spacing w:val="-3"/>
          <w:sz w:val="24"/>
        </w:rPr>
        <w:t>以诚实信用、勤勉尽责的原则管理和运用基</w:t>
      </w:r>
      <w:r>
        <w:rPr>
          <w:sz w:val="24"/>
        </w:rPr>
        <w:t>金财产；</w:t>
      </w:r>
    </w:p>
    <w:p>
      <w:pPr>
        <w:pStyle w:val="ListParagraph"/>
        <w:numPr>
          <w:ilvl w:val="0"/>
          <w:numId w:val="11"/>
        </w:numPr>
        <w:tabs>
          <w:tab w:pos="962" w:val="left" w:leader="none"/>
        </w:tabs>
        <w:spacing w:line="364" w:lineRule="auto" w:before="1" w:after="0"/>
        <w:ind w:left="120" w:right="381" w:firstLine="479"/>
        <w:jc w:val="left"/>
        <w:rPr>
          <w:sz w:val="24"/>
        </w:rPr>
      </w:pPr>
      <w:r>
        <w:rPr>
          <w:spacing w:val="-1"/>
          <w:sz w:val="24"/>
        </w:rPr>
        <w:t>配备足够的具有专业资格的人员进行基金投资分析、决策，以专业化的</w:t>
      </w:r>
      <w:r>
        <w:rPr>
          <w:sz w:val="24"/>
        </w:rPr>
        <w:t>经营方式管理和运作基金财产；</w:t>
      </w:r>
    </w:p>
    <w:p>
      <w:pPr>
        <w:pStyle w:val="ListParagraph"/>
        <w:numPr>
          <w:ilvl w:val="0"/>
          <w:numId w:val="11"/>
        </w:numPr>
        <w:tabs>
          <w:tab w:pos="962" w:val="left" w:leader="none"/>
        </w:tabs>
        <w:spacing w:line="364" w:lineRule="auto" w:before="1" w:after="0"/>
        <w:ind w:left="120" w:right="376" w:firstLine="479"/>
        <w:jc w:val="both"/>
        <w:rPr>
          <w:sz w:val="24"/>
        </w:rPr>
      </w:pPr>
      <w:r>
        <w:rPr>
          <w:sz w:val="24"/>
        </w:rPr>
        <w:t>建立健全内部风险控制、监察与稽核、财务管理及人事管理等制度，保</w:t>
      </w:r>
      <w:r>
        <w:rPr>
          <w:spacing w:val="-6"/>
          <w:sz w:val="24"/>
        </w:rPr>
        <w:t>证所管理的基金财产和基金管理人的财产相互独立，对所管理的不同基金分别管</w:t>
      </w:r>
      <w:r>
        <w:rPr>
          <w:sz w:val="24"/>
        </w:rPr>
        <w:t>理，分别记账，进行证券投资；</w:t>
      </w:r>
    </w:p>
    <w:p>
      <w:pPr>
        <w:spacing w:after="0" w:line="364" w:lineRule="auto"/>
        <w:jc w:val="both"/>
        <w:rPr>
          <w:sz w:val="24"/>
        </w:rPr>
        <w:sectPr>
          <w:pgSz w:w="11910" w:h="16840"/>
          <w:pgMar w:header="0" w:footer="914" w:top="1440" w:bottom="1180" w:left="1680" w:right="1420"/>
        </w:sectPr>
      </w:pPr>
    </w:p>
    <w:p>
      <w:pPr>
        <w:pStyle w:val="ListParagraph"/>
        <w:numPr>
          <w:ilvl w:val="0"/>
          <w:numId w:val="11"/>
        </w:numPr>
        <w:tabs>
          <w:tab w:pos="962" w:val="left" w:leader="none"/>
        </w:tabs>
        <w:spacing w:line="364" w:lineRule="auto" w:before="61" w:after="0"/>
        <w:ind w:left="120" w:right="376" w:firstLine="479"/>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不得利用基金财产为</w:t>
      </w:r>
      <w:r>
        <w:rPr>
          <w:sz w:val="24"/>
        </w:rPr>
        <w:t>自己及任何第三人谋取利益，不得委托第三人运作基金财产；</w:t>
      </w:r>
    </w:p>
    <w:p>
      <w:pPr>
        <w:pStyle w:val="ListParagraph"/>
        <w:numPr>
          <w:ilvl w:val="0"/>
          <w:numId w:val="11"/>
        </w:numPr>
        <w:tabs>
          <w:tab w:pos="962" w:val="left" w:leader="none"/>
        </w:tabs>
        <w:spacing w:line="240" w:lineRule="auto" w:before="1" w:after="0"/>
        <w:ind w:left="961" w:right="0" w:hanging="362"/>
        <w:jc w:val="left"/>
        <w:rPr>
          <w:sz w:val="24"/>
        </w:rPr>
      </w:pPr>
      <w:r>
        <w:rPr>
          <w:sz w:val="24"/>
        </w:rPr>
        <w:t>依法接受基金托管人的监督；</w:t>
      </w:r>
    </w:p>
    <w:p>
      <w:pPr>
        <w:pStyle w:val="ListParagraph"/>
        <w:numPr>
          <w:ilvl w:val="0"/>
          <w:numId w:val="11"/>
        </w:numPr>
        <w:tabs>
          <w:tab w:pos="962" w:val="left" w:leader="none"/>
        </w:tabs>
        <w:spacing w:line="240" w:lineRule="auto" w:before="161" w:after="0"/>
        <w:ind w:left="961" w:right="0" w:hanging="362"/>
        <w:jc w:val="left"/>
        <w:rPr>
          <w:sz w:val="24"/>
        </w:rPr>
      </w:pPr>
      <w:r>
        <w:rPr>
          <w:sz w:val="24"/>
        </w:rPr>
        <w:t>采取适当合理的措施使计算基金份额认购、申购和赎回价格的方法符合</w:t>
      </w:r>
    </w:p>
    <w:p>
      <w:pPr>
        <w:pStyle w:val="BodyText"/>
        <w:spacing w:line="364" w:lineRule="auto" w:before="160"/>
        <w:ind w:right="376" w:firstLine="0"/>
      </w:pPr>
      <w:r>
        <w:rPr>
          <w:spacing w:val="-10"/>
        </w:rPr>
        <w:t>《基金合同》等法律文件的规定，按有关规定计算并公告基金净值信息，确定基</w:t>
      </w:r>
      <w:r>
        <w:rPr/>
        <w:t>金份额申购、赎回的价格；</w:t>
      </w:r>
    </w:p>
    <w:p>
      <w:pPr>
        <w:pStyle w:val="ListParagraph"/>
        <w:numPr>
          <w:ilvl w:val="0"/>
          <w:numId w:val="11"/>
        </w:numPr>
        <w:tabs>
          <w:tab w:pos="962" w:val="left" w:leader="none"/>
        </w:tabs>
        <w:spacing w:line="240" w:lineRule="auto" w:before="1" w:after="0"/>
        <w:ind w:left="961" w:right="0" w:hanging="362"/>
        <w:jc w:val="left"/>
        <w:rPr>
          <w:sz w:val="24"/>
        </w:rPr>
      </w:pPr>
      <w:r>
        <w:rPr>
          <w:sz w:val="24"/>
        </w:rPr>
        <w:t>进行基金会计核算并编制基金财务会计报告；</w:t>
      </w:r>
    </w:p>
    <w:p>
      <w:pPr>
        <w:pStyle w:val="ListParagraph"/>
        <w:numPr>
          <w:ilvl w:val="0"/>
          <w:numId w:val="11"/>
        </w:numPr>
        <w:tabs>
          <w:tab w:pos="1082" w:val="left" w:leader="none"/>
        </w:tabs>
        <w:spacing w:line="240" w:lineRule="auto" w:before="161" w:after="0"/>
        <w:ind w:left="1081" w:right="0" w:hanging="482"/>
        <w:jc w:val="left"/>
        <w:rPr>
          <w:sz w:val="24"/>
        </w:rPr>
      </w:pPr>
      <w:r>
        <w:rPr>
          <w:sz w:val="24"/>
        </w:rPr>
        <w:t>编制季度报告、中期报告和年度报告；</w:t>
      </w:r>
    </w:p>
    <w:p>
      <w:pPr>
        <w:pStyle w:val="ListParagraph"/>
        <w:numPr>
          <w:ilvl w:val="0"/>
          <w:numId w:val="11"/>
        </w:numPr>
        <w:tabs>
          <w:tab w:pos="1072" w:val="left" w:leader="none"/>
        </w:tabs>
        <w:spacing w:line="364" w:lineRule="auto" w:before="161" w:after="0"/>
        <w:ind w:left="120" w:right="377" w:firstLine="479"/>
        <w:jc w:val="left"/>
        <w:rPr>
          <w:sz w:val="24"/>
        </w:rPr>
      </w:pPr>
      <w:r>
        <w:rPr>
          <w:spacing w:val="-19"/>
          <w:sz w:val="24"/>
        </w:rPr>
        <w:t>严格按照《基金法》、《基金合同》及其他有关规定，履行信息披露及报</w:t>
      </w:r>
      <w:r>
        <w:rPr>
          <w:sz w:val="24"/>
        </w:rPr>
        <w:t>告义务；</w:t>
      </w:r>
    </w:p>
    <w:p>
      <w:pPr>
        <w:pStyle w:val="ListParagraph"/>
        <w:numPr>
          <w:ilvl w:val="0"/>
          <w:numId w:val="11"/>
        </w:numPr>
        <w:tabs>
          <w:tab w:pos="1082" w:val="left" w:leader="none"/>
        </w:tabs>
        <w:spacing w:line="240" w:lineRule="auto" w:before="1" w:after="0"/>
        <w:ind w:left="1081" w:right="0" w:hanging="482"/>
        <w:jc w:val="left"/>
        <w:rPr>
          <w:sz w:val="24"/>
        </w:rPr>
      </w:pPr>
      <w:r>
        <w:rPr>
          <w:spacing w:val="-10"/>
          <w:sz w:val="24"/>
        </w:rPr>
        <w:t>保守基金商业秘密，不泄露基金投资计划、投资意向等。除《基金法》、</w:t>
      </w:r>
    </w:p>
    <w:p>
      <w:pPr>
        <w:pStyle w:val="BodyText"/>
        <w:spacing w:line="364" w:lineRule="auto"/>
        <w:ind w:right="377" w:firstLine="0"/>
      </w:pPr>
      <w:r>
        <w:rPr>
          <w:spacing w:val="-10"/>
        </w:rPr>
        <w:t>《基金合同》及其他有关规定另有规定外，在基金信息公开披露前应予保密，不</w:t>
      </w:r>
      <w:r>
        <w:rPr/>
        <w:t>向他人泄露；</w:t>
      </w:r>
    </w:p>
    <w:p>
      <w:pPr>
        <w:pStyle w:val="ListParagraph"/>
        <w:numPr>
          <w:ilvl w:val="0"/>
          <w:numId w:val="11"/>
        </w:numPr>
        <w:tabs>
          <w:tab w:pos="1082" w:val="left" w:leader="none"/>
        </w:tabs>
        <w:spacing w:line="364" w:lineRule="auto" w:before="1" w:after="0"/>
        <w:ind w:left="120" w:right="377" w:firstLine="479"/>
        <w:jc w:val="left"/>
        <w:rPr>
          <w:sz w:val="24"/>
        </w:rPr>
      </w:pPr>
      <w:r>
        <w:rPr>
          <w:spacing w:val="-9"/>
          <w:sz w:val="24"/>
        </w:rPr>
        <w:t>按《基金合同》的约定确定基金收益分配方案，及时向基金份额持有人</w:t>
      </w:r>
      <w:r>
        <w:rPr>
          <w:sz w:val="24"/>
        </w:rPr>
        <w:t>分配基金收益；</w:t>
      </w:r>
    </w:p>
    <w:p>
      <w:pPr>
        <w:pStyle w:val="ListParagraph"/>
        <w:numPr>
          <w:ilvl w:val="0"/>
          <w:numId w:val="11"/>
        </w:numPr>
        <w:tabs>
          <w:tab w:pos="1082" w:val="left" w:leader="none"/>
        </w:tabs>
        <w:spacing w:line="240" w:lineRule="auto" w:before="1" w:after="0"/>
        <w:ind w:left="1081" w:right="0" w:hanging="482"/>
        <w:jc w:val="left"/>
        <w:rPr>
          <w:sz w:val="24"/>
        </w:rPr>
      </w:pPr>
      <w:r>
        <w:rPr>
          <w:sz w:val="24"/>
        </w:rPr>
        <w:t>按规定受理申购与赎回申请，及时、足额支付赎回款项；</w:t>
      </w:r>
    </w:p>
    <w:p>
      <w:pPr>
        <w:pStyle w:val="ListParagraph"/>
        <w:numPr>
          <w:ilvl w:val="0"/>
          <w:numId w:val="11"/>
        </w:numPr>
        <w:tabs>
          <w:tab w:pos="1082" w:val="left" w:leader="none"/>
        </w:tabs>
        <w:spacing w:line="364" w:lineRule="auto" w:before="161" w:after="0"/>
        <w:ind w:left="120" w:right="378" w:firstLine="479"/>
        <w:jc w:val="left"/>
        <w:rPr>
          <w:sz w:val="24"/>
        </w:rPr>
      </w:pPr>
      <w:r>
        <w:rPr>
          <w:spacing w:val="-19"/>
          <w:sz w:val="24"/>
        </w:rPr>
        <w:t>依据《基金法》、《基金合同》及其他有关规定召集基金份额持有人大会</w:t>
      </w:r>
      <w:r>
        <w:rPr>
          <w:sz w:val="24"/>
        </w:rPr>
        <w:t>或配合基金托管人、基金份额持有人依法召集基金份额持有人大会；</w:t>
      </w:r>
    </w:p>
    <w:p>
      <w:pPr>
        <w:pStyle w:val="ListParagraph"/>
        <w:numPr>
          <w:ilvl w:val="0"/>
          <w:numId w:val="11"/>
        </w:numPr>
        <w:tabs>
          <w:tab w:pos="1082" w:val="left" w:leader="none"/>
        </w:tabs>
        <w:spacing w:line="364" w:lineRule="auto" w:before="1" w:after="0"/>
        <w:ind w:left="120" w:right="377" w:firstLine="479"/>
        <w:jc w:val="left"/>
        <w:rPr>
          <w:sz w:val="24"/>
        </w:rPr>
      </w:pPr>
      <w:r>
        <w:rPr>
          <w:spacing w:val="-4"/>
          <w:sz w:val="24"/>
        </w:rPr>
        <w:t>按规定保存基金财产管理业务活动的会计账册、报表、记录和其他相</w:t>
      </w:r>
      <w:r>
        <w:rPr>
          <w:spacing w:val="-19"/>
          <w:sz w:val="24"/>
        </w:rPr>
        <w:t>关资料 </w:t>
      </w:r>
      <w:r>
        <w:rPr>
          <w:rFonts w:ascii="Times New Roman" w:eastAsia="Times New Roman"/>
          <w:sz w:val="24"/>
        </w:rPr>
        <w:t>15 </w:t>
      </w:r>
      <w:r>
        <w:rPr>
          <w:sz w:val="24"/>
        </w:rPr>
        <w:t>年以上；</w:t>
      </w:r>
    </w:p>
    <w:p>
      <w:pPr>
        <w:pStyle w:val="ListParagraph"/>
        <w:numPr>
          <w:ilvl w:val="0"/>
          <w:numId w:val="11"/>
        </w:numPr>
        <w:tabs>
          <w:tab w:pos="1082" w:val="left" w:leader="none"/>
        </w:tabs>
        <w:spacing w:line="364" w:lineRule="auto" w:before="1" w:after="0"/>
        <w:ind w:left="120" w:right="377" w:firstLine="479"/>
        <w:jc w:val="both"/>
        <w:rPr>
          <w:sz w:val="24"/>
        </w:rPr>
      </w:pPr>
      <w:r>
        <w:rPr>
          <w:spacing w:val="-2"/>
          <w:sz w:val="24"/>
        </w:rPr>
        <w:t>确保需要向投资者提供的各项文件或资料在规定时间发出，并且保证</w:t>
      </w:r>
      <w:r>
        <w:rPr>
          <w:spacing w:val="-11"/>
          <w:sz w:val="24"/>
        </w:rPr>
        <w:t>投资者能够按照《基金合同》规定的时间和方式，随时查阅到与基金有关的公开</w:t>
      </w:r>
      <w:r>
        <w:rPr>
          <w:spacing w:val="-4"/>
          <w:sz w:val="24"/>
        </w:rPr>
        <w:t>资料，并在支付合理成本的条件下得到有关资料的复印件；</w:t>
      </w:r>
    </w:p>
    <w:p>
      <w:pPr>
        <w:pStyle w:val="ListParagraph"/>
        <w:numPr>
          <w:ilvl w:val="0"/>
          <w:numId w:val="11"/>
        </w:numPr>
        <w:tabs>
          <w:tab w:pos="1086" w:val="left" w:leader="none"/>
        </w:tabs>
        <w:spacing w:line="364" w:lineRule="auto" w:before="2" w:after="0"/>
        <w:ind w:left="120" w:right="383" w:firstLine="479"/>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11"/>
        </w:numPr>
        <w:tabs>
          <w:tab w:pos="1082" w:val="left" w:leader="none"/>
        </w:tabs>
        <w:spacing w:line="364" w:lineRule="auto" w:before="2" w:after="0"/>
        <w:ind w:left="120" w:right="376" w:firstLine="479"/>
        <w:jc w:val="left"/>
        <w:rPr>
          <w:sz w:val="24"/>
        </w:rPr>
      </w:pPr>
      <w:r>
        <w:rPr>
          <w:spacing w:val="-8"/>
          <w:sz w:val="24"/>
        </w:rPr>
        <w:t>面临解散、依法被撤销或者被依法宣告破产时，及时报告中国证监会</w:t>
      </w:r>
      <w:r>
        <w:rPr>
          <w:spacing w:val="-4"/>
          <w:sz w:val="24"/>
        </w:rPr>
        <w:t>并通知基金托管人；</w:t>
      </w:r>
    </w:p>
    <w:p>
      <w:pPr>
        <w:pStyle w:val="ListParagraph"/>
        <w:numPr>
          <w:ilvl w:val="0"/>
          <w:numId w:val="11"/>
        </w:numPr>
        <w:tabs>
          <w:tab w:pos="1082" w:val="left" w:leader="none"/>
        </w:tabs>
        <w:spacing w:line="364" w:lineRule="auto" w:before="1" w:after="0"/>
        <w:ind w:left="120" w:right="377" w:firstLine="479"/>
        <w:jc w:val="left"/>
        <w:rPr>
          <w:sz w:val="24"/>
        </w:rPr>
      </w:pPr>
      <w:r>
        <w:rPr>
          <w:spacing w:val="-9"/>
          <w:sz w:val="24"/>
        </w:rPr>
        <w:t>因违反《基金合同》导致基金财产的损失或损害基金份额持有人合法</w:t>
      </w:r>
      <w:r>
        <w:rPr>
          <w:spacing w:val="-4"/>
          <w:sz w:val="24"/>
        </w:rPr>
        <w:t>权益时，应当承担赔偿责任，其赔偿责任不因其退任而免除；</w:t>
      </w:r>
    </w:p>
    <w:p>
      <w:pPr>
        <w:spacing w:after="0" w:line="364" w:lineRule="auto"/>
        <w:jc w:val="left"/>
        <w:rPr>
          <w:sz w:val="24"/>
        </w:rPr>
        <w:sectPr>
          <w:pgSz w:w="11910" w:h="16840"/>
          <w:pgMar w:header="0" w:footer="914" w:top="1440" w:bottom="1180" w:left="1680" w:right="1420"/>
        </w:sectPr>
      </w:pPr>
    </w:p>
    <w:p>
      <w:pPr>
        <w:pStyle w:val="ListParagraph"/>
        <w:numPr>
          <w:ilvl w:val="0"/>
          <w:numId w:val="11"/>
        </w:numPr>
        <w:tabs>
          <w:tab w:pos="1082" w:val="left" w:leader="none"/>
        </w:tabs>
        <w:spacing w:line="364" w:lineRule="auto" w:before="61" w:after="0"/>
        <w:ind w:left="120" w:right="377" w:firstLine="479"/>
        <w:jc w:val="both"/>
        <w:rPr>
          <w:sz w:val="24"/>
        </w:rPr>
      </w:pPr>
      <w:r>
        <w:rPr>
          <w:spacing w:val="-5"/>
          <w:sz w:val="24"/>
        </w:rPr>
        <w:t>监督基金托管人按法律法规和《基金合同》规定履行自己的义务，基</w:t>
      </w:r>
      <w:r>
        <w:rPr>
          <w:spacing w:val="-11"/>
          <w:sz w:val="24"/>
        </w:rPr>
        <w:t>金托管人违反《基金合同》造成基金财产损失时，基金管理人应为基金份额持有</w:t>
      </w:r>
      <w:r>
        <w:rPr>
          <w:spacing w:val="-4"/>
          <w:sz w:val="24"/>
        </w:rPr>
        <w:t>人利益向基金托管人追偿；</w:t>
      </w:r>
    </w:p>
    <w:p>
      <w:pPr>
        <w:pStyle w:val="ListParagraph"/>
        <w:numPr>
          <w:ilvl w:val="0"/>
          <w:numId w:val="11"/>
        </w:numPr>
        <w:tabs>
          <w:tab w:pos="1082" w:val="left" w:leader="none"/>
        </w:tabs>
        <w:spacing w:line="364" w:lineRule="auto" w:before="2" w:after="0"/>
        <w:ind w:left="120" w:right="381" w:firstLine="479"/>
        <w:jc w:val="left"/>
        <w:rPr>
          <w:sz w:val="24"/>
        </w:rPr>
      </w:pPr>
      <w:r>
        <w:rPr>
          <w:spacing w:val="-6"/>
          <w:sz w:val="24"/>
        </w:rPr>
        <w:t>以基金管理人名义，代表基金份额持有人利益行使诉讼权利或实施其</w:t>
      </w:r>
      <w:r>
        <w:rPr>
          <w:spacing w:val="-5"/>
          <w:sz w:val="24"/>
        </w:rPr>
        <w:t>他法律行为；</w:t>
      </w:r>
    </w:p>
    <w:p>
      <w:pPr>
        <w:pStyle w:val="ListParagraph"/>
        <w:numPr>
          <w:ilvl w:val="0"/>
          <w:numId w:val="11"/>
        </w:numPr>
        <w:tabs>
          <w:tab w:pos="1082" w:val="left" w:leader="none"/>
        </w:tabs>
        <w:spacing w:line="364" w:lineRule="auto" w:before="1" w:after="0"/>
        <w:ind w:left="120" w:right="380" w:firstLine="479"/>
        <w:jc w:val="both"/>
        <w:rPr>
          <w:sz w:val="24"/>
        </w:rPr>
      </w:pPr>
      <w:r>
        <w:rPr>
          <w:spacing w:val="-7"/>
          <w:sz w:val="24"/>
        </w:rPr>
        <w:t>基金管理人在募集期间未能达到基金的备案条件，《基金合同》不能生</w:t>
      </w:r>
      <w:r>
        <w:rPr>
          <w:spacing w:val="-10"/>
          <w:sz w:val="24"/>
        </w:rPr>
        <w:t>效，基金管理人承担因募集行为而产生的债务和费用，将已募集资金并加计银行</w:t>
      </w:r>
      <w:r>
        <w:rPr>
          <w:spacing w:val="-4"/>
          <w:sz w:val="24"/>
        </w:rPr>
        <w:t>同期存款利息在基金募集期结束后 </w:t>
      </w:r>
      <w:r>
        <w:rPr>
          <w:rFonts w:ascii="Times New Roman" w:eastAsia="Times New Roman"/>
          <w:sz w:val="24"/>
        </w:rPr>
        <w:t>30 </w:t>
      </w:r>
      <w:r>
        <w:rPr>
          <w:sz w:val="24"/>
        </w:rPr>
        <w:t>日内退还基金认购人；</w:t>
      </w:r>
    </w:p>
    <w:p>
      <w:pPr>
        <w:pStyle w:val="ListParagraph"/>
        <w:numPr>
          <w:ilvl w:val="0"/>
          <w:numId w:val="11"/>
        </w:numPr>
        <w:tabs>
          <w:tab w:pos="1082" w:val="left" w:leader="none"/>
        </w:tabs>
        <w:spacing w:line="240" w:lineRule="auto" w:before="2" w:after="0"/>
        <w:ind w:left="1081" w:right="0" w:hanging="482"/>
        <w:jc w:val="left"/>
        <w:rPr>
          <w:sz w:val="24"/>
        </w:rPr>
      </w:pPr>
      <w:r>
        <w:rPr>
          <w:sz w:val="24"/>
        </w:rPr>
        <w:t>执行生效的基金份额持有人大会的决定；</w:t>
      </w:r>
    </w:p>
    <w:p>
      <w:pPr>
        <w:pStyle w:val="ListParagraph"/>
        <w:numPr>
          <w:ilvl w:val="0"/>
          <w:numId w:val="11"/>
        </w:numPr>
        <w:tabs>
          <w:tab w:pos="1082" w:val="left" w:leader="none"/>
        </w:tabs>
        <w:spacing w:line="364" w:lineRule="auto" w:before="161" w:after="0"/>
        <w:ind w:left="120" w:right="381" w:firstLine="479"/>
        <w:jc w:val="left"/>
        <w:rPr>
          <w:sz w:val="24"/>
        </w:rPr>
      </w:pPr>
      <w:r>
        <w:rPr>
          <w:spacing w:val="-4"/>
          <w:sz w:val="24"/>
        </w:rPr>
        <w:t>建立并保存基金份额持有人名册，定期或不定期向基金托管人提供基</w:t>
      </w:r>
      <w:r>
        <w:rPr>
          <w:spacing w:val="-5"/>
          <w:sz w:val="24"/>
        </w:rPr>
        <w:t>金份额持有人名册；</w:t>
      </w:r>
    </w:p>
    <w:p>
      <w:pPr>
        <w:pStyle w:val="ListParagraph"/>
        <w:numPr>
          <w:ilvl w:val="0"/>
          <w:numId w:val="11"/>
        </w:numPr>
        <w:tabs>
          <w:tab w:pos="1082" w:val="left" w:leader="none"/>
        </w:tabs>
        <w:spacing w:line="240" w:lineRule="auto" w:before="1" w:after="0"/>
        <w:ind w:left="1081" w:right="0" w:hanging="482"/>
        <w:jc w:val="left"/>
        <w:rPr>
          <w:sz w:val="24"/>
        </w:rPr>
      </w:pPr>
      <w:r>
        <w:rPr>
          <w:sz w:val="24"/>
        </w:rPr>
        <w:t>法律法规及中国证监会规定的和《基金合同》约定的其他义务。</w:t>
      </w:r>
    </w:p>
    <w:p>
      <w:pPr>
        <w:pStyle w:val="BodyText"/>
        <w:spacing w:before="0"/>
        <w:ind w:left="0" w:firstLine="0"/>
        <w:rPr>
          <w:sz w:val="20"/>
        </w:rPr>
      </w:pPr>
    </w:p>
    <w:p>
      <w:pPr>
        <w:pStyle w:val="BodyText"/>
        <w:spacing w:before="11"/>
        <w:ind w:left="0" w:firstLine="0"/>
        <w:rPr>
          <w:sz w:val="23"/>
        </w:rPr>
      </w:pPr>
    </w:p>
    <w:p>
      <w:pPr>
        <w:spacing w:before="67"/>
        <w:ind w:left="602" w:right="0" w:firstLine="0"/>
        <w:jc w:val="left"/>
        <w:rPr>
          <w:b/>
          <w:sz w:val="24"/>
        </w:rPr>
      </w:pPr>
      <w:r>
        <w:rPr>
          <w:b/>
          <w:sz w:val="24"/>
        </w:rPr>
        <w:t>（二）基金托管人</w:t>
      </w:r>
    </w:p>
    <w:p>
      <w:pPr>
        <w:spacing w:before="160"/>
        <w:ind w:left="602" w:right="0" w:firstLine="0"/>
        <w:jc w:val="left"/>
        <w:rPr>
          <w:b/>
          <w:sz w:val="24"/>
        </w:rPr>
      </w:pPr>
      <w:r>
        <w:rPr>
          <w:rFonts w:ascii="Times New Roman" w:eastAsia="Times New Roman"/>
          <w:b/>
          <w:sz w:val="24"/>
        </w:rPr>
        <w:t>1</w:t>
      </w:r>
      <w:r>
        <w:rPr>
          <w:b/>
          <w:sz w:val="24"/>
        </w:rPr>
        <w:t>、基金托管人概况</w:t>
      </w:r>
    </w:p>
    <w:p>
      <w:pPr>
        <w:pStyle w:val="BodyText"/>
        <w:ind w:left="600" w:firstLine="0"/>
      </w:pPr>
      <w:r>
        <w:rPr/>
        <w:t>名称：中国农业银行股份有限公司</w:t>
      </w:r>
    </w:p>
    <w:p>
      <w:pPr>
        <w:pStyle w:val="BodyText"/>
        <w:spacing w:line="364" w:lineRule="auto" w:before="160"/>
        <w:ind w:left="600" w:right="3936" w:firstLine="0"/>
      </w:pPr>
      <w:r>
        <w:rPr/>
        <w:t>住所：北京市东城区建国门内大街 </w:t>
      </w:r>
      <w:r>
        <w:rPr>
          <w:rFonts w:ascii="Times New Roman" w:eastAsia="Times New Roman"/>
        </w:rPr>
        <w:t>69 </w:t>
      </w:r>
      <w:r>
        <w:rPr/>
        <w:t>号法定代表人：周慕冰</w:t>
      </w:r>
    </w:p>
    <w:p>
      <w:pPr>
        <w:pStyle w:val="BodyText"/>
        <w:spacing w:before="2"/>
        <w:ind w:left="600" w:firstLine="0"/>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line="364" w:lineRule="auto" w:before="160"/>
        <w:ind w:left="600" w:right="4451" w:firstLine="0"/>
      </w:pPr>
      <w:r>
        <w:rPr/>
        <w:t>注册资金：</w:t>
      </w:r>
      <w:r>
        <w:rPr>
          <w:rFonts w:ascii="Times New Roman" w:eastAsia="Times New Roman"/>
        </w:rPr>
        <w:t>32,479,411.7 </w:t>
      </w:r>
      <w:r>
        <w:rPr/>
        <w:t>万元人民币存续期间：持续经营</w:t>
      </w:r>
    </w:p>
    <w:p>
      <w:pPr>
        <w:pStyle w:val="BodyText"/>
        <w:spacing w:before="1"/>
        <w:ind w:left="600" w:firstLine="0"/>
        <w:rPr>
          <w:rFonts w:ascii="Times New Roman" w:eastAsia="Times New Roman"/>
        </w:rPr>
      </w:pPr>
      <w:r>
        <w:rPr/>
        <w:t>基金托管资格批文及文号：中国证监会和中国人民银行证监基字［</w:t>
      </w:r>
      <w:r>
        <w:rPr>
          <w:rFonts w:ascii="Times New Roman" w:eastAsia="Times New Roman"/>
        </w:rPr>
        <w:t>1998</w:t>
      </w:r>
      <w:r>
        <w:rPr/>
        <w:t>］</w:t>
      </w:r>
      <w:r>
        <w:rPr>
          <w:rFonts w:ascii="Times New Roman" w:eastAsia="Times New Roman"/>
        </w:rPr>
        <w:t>23</w:t>
      </w:r>
    </w:p>
    <w:p>
      <w:pPr>
        <w:pStyle w:val="BodyText"/>
        <w:ind w:firstLine="0"/>
      </w:pPr>
      <w:r>
        <w:rPr/>
        <w:t>号</w:t>
      </w:r>
    </w:p>
    <w:p>
      <w:pPr>
        <w:spacing w:before="160"/>
        <w:ind w:left="602" w:right="0" w:firstLine="0"/>
        <w:jc w:val="left"/>
        <w:rPr>
          <w:b/>
          <w:sz w:val="24"/>
        </w:rPr>
      </w:pPr>
      <w:r>
        <w:rPr>
          <w:rFonts w:ascii="Times New Roman" w:eastAsia="Times New Roman"/>
          <w:b/>
          <w:sz w:val="24"/>
        </w:rPr>
        <w:t>2</w:t>
      </w:r>
      <w:r>
        <w:rPr>
          <w:b/>
          <w:sz w:val="24"/>
        </w:rPr>
        <w:t>、基金托管人的权利与义务</w:t>
      </w:r>
    </w:p>
    <w:p>
      <w:pPr>
        <w:pStyle w:val="ListParagraph"/>
        <w:numPr>
          <w:ilvl w:val="0"/>
          <w:numId w:val="12"/>
        </w:numPr>
        <w:tabs>
          <w:tab w:pos="1202" w:val="left" w:leader="none"/>
        </w:tabs>
        <w:spacing w:line="240" w:lineRule="auto" w:before="161" w:after="0"/>
        <w:ind w:left="1201" w:right="0" w:hanging="602"/>
        <w:jc w:val="left"/>
        <w:rPr>
          <w:sz w:val="24"/>
        </w:rPr>
      </w:pPr>
      <w:r>
        <w:rPr>
          <w:spacing w:val="-17"/>
          <w:sz w:val="24"/>
        </w:rPr>
        <w:t>根据《基金法》、《运作办法》及其他有关规定，基金托管人的权利包</w:t>
      </w:r>
    </w:p>
    <w:p>
      <w:pPr>
        <w:pStyle w:val="BodyText"/>
        <w:ind w:firstLine="0"/>
      </w:pPr>
      <w:r>
        <w:rPr/>
        <w:t>括但不限于：</w:t>
      </w:r>
    </w:p>
    <w:p>
      <w:pPr>
        <w:pStyle w:val="ListParagraph"/>
        <w:numPr>
          <w:ilvl w:val="0"/>
          <w:numId w:val="13"/>
        </w:numPr>
        <w:tabs>
          <w:tab w:pos="962" w:val="left" w:leader="none"/>
        </w:tabs>
        <w:spacing w:line="364" w:lineRule="auto" w:before="160" w:after="0"/>
        <w:ind w:left="120" w:right="384" w:firstLine="479"/>
        <w:jc w:val="left"/>
        <w:rPr>
          <w:sz w:val="24"/>
        </w:rPr>
      </w:pPr>
      <w:r>
        <w:rPr>
          <w:spacing w:val="-1"/>
          <w:sz w:val="24"/>
        </w:rPr>
        <w:t>自《基金合同》生效之日起，依法律法规和《基金合同》的规定安全保</w:t>
      </w:r>
      <w:r>
        <w:rPr>
          <w:sz w:val="24"/>
        </w:rPr>
        <w:t>管基金财产；</w:t>
      </w:r>
    </w:p>
    <w:p>
      <w:pPr>
        <w:pStyle w:val="ListParagraph"/>
        <w:numPr>
          <w:ilvl w:val="0"/>
          <w:numId w:val="13"/>
        </w:numPr>
        <w:tabs>
          <w:tab w:pos="962" w:val="left" w:leader="none"/>
        </w:tabs>
        <w:spacing w:line="240" w:lineRule="auto" w:before="2" w:after="0"/>
        <w:ind w:left="961" w:right="0" w:hanging="362"/>
        <w:jc w:val="left"/>
        <w:rPr>
          <w:sz w:val="24"/>
        </w:rPr>
      </w:pPr>
      <w:r>
        <w:rPr>
          <w:sz w:val="24"/>
        </w:rPr>
        <w:t>依《基金合同》约定获得基金托管费以及法律法规规定或监管部门批准</w:t>
      </w:r>
    </w:p>
    <w:p>
      <w:pPr>
        <w:spacing w:after="0" w:line="240" w:lineRule="auto"/>
        <w:jc w:val="left"/>
        <w:rPr>
          <w:sz w:val="24"/>
        </w:rPr>
        <w:sectPr>
          <w:pgSz w:w="11910" w:h="16840"/>
          <w:pgMar w:header="0" w:footer="914" w:top="1440" w:bottom="1180" w:left="1680" w:right="1420"/>
        </w:sectPr>
      </w:pPr>
    </w:p>
    <w:p>
      <w:pPr>
        <w:pStyle w:val="BodyText"/>
        <w:spacing w:before="41"/>
        <w:ind w:firstLine="0"/>
      </w:pPr>
      <w:r>
        <w:rPr/>
        <w:t>的其他收入；</w:t>
      </w:r>
    </w:p>
    <w:p>
      <w:pPr>
        <w:pStyle w:val="ListParagraph"/>
        <w:numPr>
          <w:ilvl w:val="0"/>
          <w:numId w:val="13"/>
        </w:numPr>
        <w:tabs>
          <w:tab w:pos="962" w:val="left" w:leader="none"/>
        </w:tabs>
        <w:spacing w:line="364" w:lineRule="auto" w:before="160" w:after="0"/>
        <w:ind w:left="120" w:right="377" w:firstLine="479"/>
        <w:jc w:val="both"/>
        <w:rPr>
          <w:sz w:val="24"/>
        </w:rPr>
      </w:pPr>
      <w:r>
        <w:rPr>
          <w:sz w:val="24"/>
        </w:rPr>
        <w:t>监督基金管理人对本基金的投资运作，如发现基金管理人有违反《基金</w:t>
      </w:r>
      <w:r>
        <w:rPr>
          <w:spacing w:val="-11"/>
          <w:sz w:val="24"/>
        </w:rPr>
        <w:t>合同》及国家法律法规行为，对基金财产、其他基金合同当事人的利益造成重大</w:t>
      </w:r>
      <w:r>
        <w:rPr>
          <w:sz w:val="24"/>
        </w:rPr>
        <w:t>损失的情形，应呈报中国证监会，并采取必要措施保护投资者的利益；</w:t>
      </w:r>
    </w:p>
    <w:p>
      <w:pPr>
        <w:pStyle w:val="ListParagraph"/>
        <w:numPr>
          <w:ilvl w:val="0"/>
          <w:numId w:val="13"/>
        </w:numPr>
        <w:tabs>
          <w:tab w:pos="962" w:val="left" w:leader="none"/>
        </w:tabs>
        <w:spacing w:line="240" w:lineRule="auto" w:before="2" w:after="0"/>
        <w:ind w:left="961" w:right="0" w:hanging="362"/>
        <w:jc w:val="left"/>
        <w:rPr>
          <w:sz w:val="24"/>
        </w:rPr>
      </w:pPr>
      <w:r>
        <w:rPr>
          <w:sz w:val="24"/>
        </w:rPr>
        <w:t>选择、更换或撤销境外托管人；</w:t>
      </w:r>
    </w:p>
    <w:p>
      <w:pPr>
        <w:pStyle w:val="ListParagraph"/>
        <w:numPr>
          <w:ilvl w:val="0"/>
          <w:numId w:val="13"/>
        </w:numPr>
        <w:tabs>
          <w:tab w:pos="962" w:val="left" w:leader="none"/>
        </w:tabs>
        <w:spacing w:line="240" w:lineRule="auto" w:before="161" w:after="0"/>
        <w:ind w:left="961" w:right="0" w:hanging="362"/>
        <w:jc w:val="left"/>
        <w:rPr>
          <w:sz w:val="24"/>
        </w:rPr>
      </w:pPr>
      <w:r>
        <w:rPr>
          <w:sz w:val="24"/>
        </w:rPr>
        <w:t>按规定开设基金财产的资金账户和证券账户；</w:t>
      </w:r>
    </w:p>
    <w:p>
      <w:pPr>
        <w:pStyle w:val="ListParagraph"/>
        <w:numPr>
          <w:ilvl w:val="0"/>
          <w:numId w:val="13"/>
        </w:numPr>
        <w:tabs>
          <w:tab w:pos="962" w:val="left" w:leader="none"/>
        </w:tabs>
        <w:spacing w:line="240" w:lineRule="auto" w:before="160" w:after="0"/>
        <w:ind w:left="961" w:right="0" w:hanging="362"/>
        <w:jc w:val="left"/>
        <w:rPr>
          <w:sz w:val="24"/>
        </w:rPr>
      </w:pPr>
      <w:r>
        <w:rPr>
          <w:sz w:val="24"/>
        </w:rPr>
        <w:t>提议召开或召集基金份额持有人大会；</w:t>
      </w:r>
    </w:p>
    <w:p>
      <w:pPr>
        <w:pStyle w:val="ListParagraph"/>
        <w:numPr>
          <w:ilvl w:val="0"/>
          <w:numId w:val="13"/>
        </w:numPr>
        <w:tabs>
          <w:tab w:pos="962" w:val="left" w:leader="none"/>
        </w:tabs>
        <w:spacing w:line="240" w:lineRule="auto" w:before="161" w:after="0"/>
        <w:ind w:left="961" w:right="0" w:hanging="362"/>
        <w:jc w:val="left"/>
        <w:rPr>
          <w:sz w:val="24"/>
        </w:rPr>
      </w:pPr>
      <w:r>
        <w:rPr>
          <w:sz w:val="24"/>
        </w:rPr>
        <w:t>在基金管理人更换时，提名新的基金管理人；</w:t>
      </w:r>
    </w:p>
    <w:p>
      <w:pPr>
        <w:pStyle w:val="ListParagraph"/>
        <w:numPr>
          <w:ilvl w:val="0"/>
          <w:numId w:val="13"/>
        </w:numPr>
        <w:tabs>
          <w:tab w:pos="962" w:val="left" w:leader="none"/>
        </w:tabs>
        <w:spacing w:line="240" w:lineRule="auto" w:before="161" w:after="0"/>
        <w:ind w:left="961" w:right="0" w:hanging="362"/>
        <w:jc w:val="left"/>
        <w:rPr>
          <w:sz w:val="24"/>
        </w:rPr>
      </w:pPr>
      <w:r>
        <w:rPr>
          <w:sz w:val="24"/>
        </w:rPr>
        <w:t>法律法规和《基金合同》规定的其他权利。</w:t>
      </w:r>
    </w:p>
    <w:p>
      <w:pPr>
        <w:pStyle w:val="ListParagraph"/>
        <w:numPr>
          <w:ilvl w:val="0"/>
          <w:numId w:val="12"/>
        </w:numPr>
        <w:tabs>
          <w:tab w:pos="1202" w:val="left" w:leader="none"/>
        </w:tabs>
        <w:spacing w:line="364" w:lineRule="auto" w:before="160" w:after="0"/>
        <w:ind w:left="120" w:right="381" w:firstLine="479"/>
        <w:jc w:val="left"/>
        <w:rPr>
          <w:sz w:val="24"/>
        </w:rPr>
      </w:pPr>
      <w:r>
        <w:rPr>
          <w:spacing w:val="-17"/>
          <w:sz w:val="24"/>
        </w:rPr>
        <w:t>根据《基金法》、《运作办法》及其他有关规定，基金托管人的义务包</w:t>
      </w:r>
      <w:r>
        <w:rPr>
          <w:sz w:val="24"/>
        </w:rPr>
        <w:t>括但不限于：</w:t>
      </w:r>
    </w:p>
    <w:p>
      <w:pPr>
        <w:pStyle w:val="ListParagraph"/>
        <w:numPr>
          <w:ilvl w:val="0"/>
          <w:numId w:val="14"/>
        </w:numPr>
        <w:tabs>
          <w:tab w:pos="962" w:val="left" w:leader="none"/>
        </w:tabs>
        <w:spacing w:line="240" w:lineRule="auto" w:before="1" w:after="0"/>
        <w:ind w:left="961" w:right="0" w:hanging="362"/>
        <w:jc w:val="left"/>
        <w:rPr>
          <w:sz w:val="24"/>
        </w:rPr>
      </w:pPr>
      <w:r>
        <w:rPr>
          <w:sz w:val="24"/>
        </w:rPr>
        <w:t>以诚实信用、勤勉尽责的原则持有并安全保管基金财产；</w:t>
      </w:r>
    </w:p>
    <w:p>
      <w:pPr>
        <w:pStyle w:val="ListParagraph"/>
        <w:numPr>
          <w:ilvl w:val="0"/>
          <w:numId w:val="14"/>
        </w:numPr>
        <w:tabs>
          <w:tab w:pos="962" w:val="left" w:leader="none"/>
        </w:tabs>
        <w:spacing w:line="364" w:lineRule="auto" w:before="161" w:after="0"/>
        <w:ind w:left="120" w:right="384" w:firstLine="479"/>
        <w:jc w:val="left"/>
        <w:rPr>
          <w:sz w:val="24"/>
        </w:rPr>
      </w:pPr>
      <w:r>
        <w:rPr>
          <w:spacing w:val="-1"/>
          <w:sz w:val="24"/>
        </w:rPr>
        <w:t>设立专门的基金托管部门，具有符合要求的营业场所，配备足够的、合</w:t>
      </w:r>
      <w:r>
        <w:rPr>
          <w:sz w:val="24"/>
        </w:rPr>
        <w:t>格的熟悉基金托管业务的专职人员，负责基金财产托管事宜；</w:t>
      </w:r>
    </w:p>
    <w:p>
      <w:pPr>
        <w:pStyle w:val="ListParagraph"/>
        <w:numPr>
          <w:ilvl w:val="0"/>
          <w:numId w:val="14"/>
        </w:numPr>
        <w:tabs>
          <w:tab w:pos="962" w:val="left" w:leader="none"/>
        </w:tabs>
        <w:spacing w:line="364" w:lineRule="auto" w:before="1" w:after="0"/>
        <w:ind w:left="120" w:right="257" w:firstLine="479"/>
        <w:jc w:val="left"/>
        <w:rPr>
          <w:sz w:val="24"/>
        </w:rPr>
      </w:pPr>
      <w:r>
        <w:rPr>
          <w:sz w:val="24"/>
        </w:rPr>
        <w:t>建立健全内部风险控制、监察与稽核、财务管理及人事管理等制度，确</w:t>
      </w:r>
      <w:r>
        <w:rPr>
          <w:spacing w:val="-10"/>
          <w:sz w:val="24"/>
        </w:rPr>
        <w:t>保基金财产的安全，保证其托管的基金财产与基金托管人固有财产以及不同的基金财产相互独立；对所托管的不同的基金分别设置账户，独立核算，分账管理， </w:t>
      </w:r>
      <w:r>
        <w:rPr>
          <w:spacing w:val="-21"/>
          <w:sz w:val="24"/>
        </w:rPr>
        <w:t>保证不同基金之间在名册登记、账户设置、资金划拨、账册记录等方面相互独立；</w:t>
      </w:r>
    </w:p>
    <w:p>
      <w:pPr>
        <w:pStyle w:val="ListParagraph"/>
        <w:numPr>
          <w:ilvl w:val="0"/>
          <w:numId w:val="14"/>
        </w:numPr>
        <w:tabs>
          <w:tab w:pos="962" w:val="left" w:leader="none"/>
        </w:tabs>
        <w:spacing w:line="364" w:lineRule="auto" w:before="3" w:after="0"/>
        <w:ind w:left="120" w:right="381" w:firstLine="479"/>
        <w:jc w:val="left"/>
        <w:rPr>
          <w:sz w:val="24"/>
        </w:rPr>
      </w:pPr>
      <w:r>
        <w:rPr>
          <w:spacing w:val="-17"/>
          <w:sz w:val="24"/>
        </w:rPr>
        <w:t>除依据《基金法》、《基金合同》及其他有关规定外，不得利用基金财产</w:t>
      </w:r>
      <w:r>
        <w:rPr>
          <w:sz w:val="24"/>
        </w:rPr>
        <w:t>为自己及任何第三人谋取利益；</w:t>
      </w:r>
    </w:p>
    <w:p>
      <w:pPr>
        <w:pStyle w:val="ListParagraph"/>
        <w:numPr>
          <w:ilvl w:val="0"/>
          <w:numId w:val="14"/>
        </w:numPr>
        <w:tabs>
          <w:tab w:pos="962" w:val="left" w:leader="none"/>
        </w:tabs>
        <w:spacing w:line="240" w:lineRule="auto" w:before="1" w:after="0"/>
        <w:ind w:left="961" w:right="0" w:hanging="362"/>
        <w:jc w:val="left"/>
        <w:rPr>
          <w:sz w:val="24"/>
        </w:rPr>
      </w:pPr>
      <w:r>
        <w:rPr>
          <w:sz w:val="24"/>
        </w:rPr>
        <w:t>保管由基金管理人代表基金签订的与基金有关的重大合同及有关凭证；</w:t>
      </w:r>
    </w:p>
    <w:p>
      <w:pPr>
        <w:pStyle w:val="ListParagraph"/>
        <w:numPr>
          <w:ilvl w:val="0"/>
          <w:numId w:val="14"/>
        </w:numPr>
        <w:tabs>
          <w:tab w:pos="962" w:val="left" w:leader="none"/>
        </w:tabs>
        <w:spacing w:line="364" w:lineRule="auto" w:before="161" w:after="0"/>
        <w:ind w:left="120" w:right="380" w:firstLine="479"/>
        <w:jc w:val="both"/>
        <w:rPr>
          <w:sz w:val="24"/>
        </w:rPr>
      </w:pPr>
      <w:r>
        <w:rPr>
          <w:spacing w:val="-1"/>
          <w:sz w:val="24"/>
        </w:rPr>
        <w:t>按规定开设基金财产的资金账户和证券账户，按照有关法律法规和《基</w:t>
      </w:r>
      <w:r>
        <w:rPr>
          <w:spacing w:val="-11"/>
          <w:sz w:val="24"/>
        </w:rPr>
        <w:t>金合同》的约定，根据基金管理人或其授权人的投资指令，及时办理清算、交割</w:t>
      </w:r>
      <w:r>
        <w:rPr>
          <w:sz w:val="24"/>
        </w:rPr>
        <w:t>事宜；</w:t>
      </w:r>
    </w:p>
    <w:p>
      <w:pPr>
        <w:pStyle w:val="ListParagraph"/>
        <w:numPr>
          <w:ilvl w:val="0"/>
          <w:numId w:val="14"/>
        </w:numPr>
        <w:tabs>
          <w:tab w:pos="962" w:val="left" w:leader="none"/>
        </w:tabs>
        <w:spacing w:line="364" w:lineRule="auto" w:before="2" w:after="0"/>
        <w:ind w:left="120" w:right="382" w:firstLine="479"/>
        <w:jc w:val="left"/>
        <w:rPr>
          <w:sz w:val="24"/>
        </w:rPr>
      </w:pPr>
      <w:r>
        <w:rPr>
          <w:spacing w:val="-15"/>
          <w:sz w:val="24"/>
        </w:rPr>
        <w:t>保守基金商业秘密，除《基金法》、《基金合同》及其他有关规定另有规</w:t>
      </w:r>
      <w:r>
        <w:rPr>
          <w:sz w:val="24"/>
        </w:rPr>
        <w:t>定外，在基金信息公开披露前予以保密，不得向他人泄露；</w:t>
      </w:r>
    </w:p>
    <w:p>
      <w:pPr>
        <w:pStyle w:val="ListParagraph"/>
        <w:numPr>
          <w:ilvl w:val="0"/>
          <w:numId w:val="14"/>
        </w:numPr>
        <w:tabs>
          <w:tab w:pos="962" w:val="left" w:leader="none"/>
        </w:tabs>
        <w:spacing w:line="364" w:lineRule="auto" w:before="1" w:after="0"/>
        <w:ind w:left="120" w:right="379" w:firstLine="479"/>
        <w:jc w:val="both"/>
        <w:rPr>
          <w:sz w:val="24"/>
        </w:rPr>
      </w:pPr>
      <w:r>
        <w:rPr>
          <w:sz w:val="24"/>
        </w:rPr>
        <w:t>确保基金份额净值按照有关法律法规、基金合同规定的方法进行计算， </w:t>
      </w:r>
      <w:r>
        <w:rPr>
          <w:spacing w:val="-9"/>
          <w:sz w:val="24"/>
        </w:rPr>
        <w:t>复核、审查基金管理人计算的基金资产净值、基金份额净值、基金份额申购、赎</w:t>
      </w:r>
      <w:r>
        <w:rPr>
          <w:sz w:val="24"/>
        </w:rPr>
        <w:t>回价格；</w:t>
      </w:r>
    </w:p>
    <w:p>
      <w:pPr>
        <w:spacing w:after="0" w:line="364" w:lineRule="auto"/>
        <w:jc w:val="both"/>
        <w:rPr>
          <w:sz w:val="24"/>
        </w:rPr>
        <w:sectPr>
          <w:pgSz w:w="11910" w:h="16840"/>
          <w:pgMar w:header="0" w:footer="914" w:top="1460" w:bottom="1180" w:left="1680" w:right="1420"/>
        </w:sectPr>
      </w:pPr>
    </w:p>
    <w:p>
      <w:pPr>
        <w:pStyle w:val="ListParagraph"/>
        <w:numPr>
          <w:ilvl w:val="0"/>
          <w:numId w:val="14"/>
        </w:numPr>
        <w:tabs>
          <w:tab w:pos="962" w:val="left" w:leader="none"/>
        </w:tabs>
        <w:spacing w:line="240" w:lineRule="auto" w:before="61" w:after="0"/>
        <w:ind w:left="961" w:right="0" w:hanging="362"/>
        <w:jc w:val="left"/>
        <w:rPr>
          <w:sz w:val="24"/>
        </w:rPr>
      </w:pPr>
      <w:r>
        <w:rPr>
          <w:sz w:val="24"/>
        </w:rPr>
        <w:t>办理与基金托管业务活动有关的信息披露事项；</w:t>
      </w:r>
    </w:p>
    <w:p>
      <w:pPr>
        <w:pStyle w:val="ListParagraph"/>
        <w:numPr>
          <w:ilvl w:val="0"/>
          <w:numId w:val="14"/>
        </w:numPr>
        <w:tabs>
          <w:tab w:pos="1082" w:val="left" w:leader="none"/>
        </w:tabs>
        <w:spacing w:line="364" w:lineRule="auto" w:before="160" w:after="0"/>
        <w:ind w:left="120" w:right="376" w:firstLine="479"/>
        <w:jc w:val="both"/>
        <w:rPr>
          <w:sz w:val="24"/>
        </w:rPr>
      </w:pPr>
      <w:r>
        <w:rPr>
          <w:spacing w:val="-6"/>
          <w:sz w:val="24"/>
        </w:rPr>
        <w:t>对基金财务会计报告、季度报告、中期报告和年度报告出具意见，说</w:t>
      </w:r>
      <w:r>
        <w:rPr>
          <w:spacing w:val="-8"/>
          <w:sz w:val="24"/>
        </w:rPr>
        <w:t>明基金管理人在各重要方面的运作是否严格按照《基金合同》的规定进行；如果</w:t>
      </w:r>
      <w:r>
        <w:rPr>
          <w:spacing w:val="-12"/>
          <w:sz w:val="24"/>
        </w:rPr>
        <w:t>基金管理人有未执行《基金合同》规定的行为，还应当说明基金托管人是否采取</w:t>
      </w:r>
      <w:r>
        <w:rPr>
          <w:spacing w:val="-4"/>
          <w:sz w:val="24"/>
        </w:rPr>
        <w:t>了适当的措施；</w:t>
      </w:r>
    </w:p>
    <w:p>
      <w:pPr>
        <w:pStyle w:val="ListParagraph"/>
        <w:numPr>
          <w:ilvl w:val="0"/>
          <w:numId w:val="14"/>
        </w:numPr>
        <w:tabs>
          <w:tab w:pos="1072" w:val="left" w:leader="none"/>
        </w:tabs>
        <w:spacing w:line="240" w:lineRule="auto" w:before="3" w:after="0"/>
        <w:ind w:left="1071" w:right="0" w:hanging="472"/>
        <w:jc w:val="both"/>
        <w:rPr>
          <w:sz w:val="24"/>
        </w:rPr>
      </w:pPr>
      <w:r>
        <w:rPr>
          <w:spacing w:val="-7"/>
          <w:sz w:val="24"/>
        </w:rPr>
        <w:t>保存基金托管业务活动的记录、账册、报表和其他相关资料 </w:t>
      </w:r>
      <w:r>
        <w:rPr>
          <w:rFonts w:ascii="Times New Roman" w:eastAsia="Times New Roman"/>
          <w:sz w:val="24"/>
        </w:rPr>
        <w:t>15 </w:t>
      </w:r>
      <w:r>
        <w:rPr>
          <w:sz w:val="24"/>
        </w:rPr>
        <w:t>年以上；</w:t>
      </w:r>
    </w:p>
    <w:p>
      <w:pPr>
        <w:pStyle w:val="ListParagraph"/>
        <w:numPr>
          <w:ilvl w:val="0"/>
          <w:numId w:val="14"/>
        </w:numPr>
        <w:tabs>
          <w:tab w:pos="1082" w:val="left" w:leader="none"/>
        </w:tabs>
        <w:spacing w:line="240" w:lineRule="auto" w:before="160" w:after="0"/>
        <w:ind w:left="1081" w:right="0" w:hanging="482"/>
        <w:jc w:val="left"/>
        <w:rPr>
          <w:sz w:val="24"/>
        </w:rPr>
      </w:pPr>
      <w:r>
        <w:rPr>
          <w:sz w:val="24"/>
        </w:rPr>
        <w:t>建立并保存基金份额持有人名册；</w:t>
      </w:r>
    </w:p>
    <w:p>
      <w:pPr>
        <w:pStyle w:val="ListParagraph"/>
        <w:numPr>
          <w:ilvl w:val="0"/>
          <w:numId w:val="14"/>
        </w:numPr>
        <w:tabs>
          <w:tab w:pos="1082" w:val="left" w:leader="none"/>
        </w:tabs>
        <w:spacing w:line="240" w:lineRule="auto" w:before="161" w:after="0"/>
        <w:ind w:left="1081" w:right="0" w:hanging="482"/>
        <w:jc w:val="left"/>
        <w:rPr>
          <w:sz w:val="24"/>
        </w:rPr>
      </w:pPr>
      <w:r>
        <w:rPr>
          <w:sz w:val="24"/>
        </w:rPr>
        <w:t>按规定制作相关账册并与基金管理人核对；</w:t>
      </w:r>
    </w:p>
    <w:p>
      <w:pPr>
        <w:pStyle w:val="ListParagraph"/>
        <w:numPr>
          <w:ilvl w:val="0"/>
          <w:numId w:val="14"/>
        </w:numPr>
        <w:tabs>
          <w:tab w:pos="1082" w:val="left" w:leader="none"/>
        </w:tabs>
        <w:spacing w:line="364" w:lineRule="auto" w:before="161" w:after="0"/>
        <w:ind w:left="120" w:right="377" w:firstLine="479"/>
        <w:jc w:val="left"/>
        <w:rPr>
          <w:sz w:val="24"/>
        </w:rPr>
      </w:pPr>
      <w:r>
        <w:rPr>
          <w:sz w:val="24"/>
        </w:rPr>
        <w:t>依据基金管理人的指令或有关规定向基金份额持有人支付基金收益和</w:t>
      </w:r>
      <w:r>
        <w:rPr>
          <w:spacing w:val="-4"/>
          <w:sz w:val="24"/>
        </w:rPr>
        <w:t>赎回款项；</w:t>
      </w:r>
    </w:p>
    <w:p>
      <w:pPr>
        <w:pStyle w:val="ListParagraph"/>
        <w:numPr>
          <w:ilvl w:val="0"/>
          <w:numId w:val="14"/>
        </w:numPr>
        <w:tabs>
          <w:tab w:pos="1082" w:val="left" w:leader="none"/>
        </w:tabs>
        <w:spacing w:line="364" w:lineRule="auto" w:before="1" w:after="0"/>
        <w:ind w:left="120" w:right="377" w:firstLine="479"/>
        <w:jc w:val="left"/>
        <w:rPr>
          <w:sz w:val="24"/>
        </w:rPr>
      </w:pPr>
      <w:r>
        <w:rPr>
          <w:sz w:val="24"/>
        </w:rPr>
        <w:t>按照规定召集基金份额持有人大会或配合基金份额持有人依法自行召</w:t>
      </w:r>
      <w:r>
        <w:rPr>
          <w:spacing w:val="-4"/>
          <w:sz w:val="24"/>
        </w:rPr>
        <w:t>集基金份额持有人大会；</w:t>
      </w:r>
    </w:p>
    <w:p>
      <w:pPr>
        <w:pStyle w:val="ListParagraph"/>
        <w:numPr>
          <w:ilvl w:val="0"/>
          <w:numId w:val="14"/>
        </w:numPr>
        <w:tabs>
          <w:tab w:pos="1082" w:val="left" w:leader="none"/>
        </w:tabs>
        <w:spacing w:line="240" w:lineRule="auto" w:before="1" w:after="0"/>
        <w:ind w:left="1081" w:right="0" w:hanging="482"/>
        <w:jc w:val="left"/>
        <w:rPr>
          <w:sz w:val="24"/>
        </w:rPr>
      </w:pPr>
      <w:r>
        <w:rPr>
          <w:sz w:val="24"/>
        </w:rPr>
        <w:t>按照法律法规和《基金合同》的规定监督基金管理人的投资运作；</w:t>
      </w:r>
    </w:p>
    <w:p>
      <w:pPr>
        <w:pStyle w:val="ListParagraph"/>
        <w:numPr>
          <w:ilvl w:val="0"/>
          <w:numId w:val="14"/>
        </w:numPr>
        <w:tabs>
          <w:tab w:pos="1082" w:val="left" w:leader="none"/>
        </w:tabs>
        <w:spacing w:line="364" w:lineRule="auto" w:before="161" w:after="0"/>
        <w:ind w:left="120" w:right="377" w:firstLine="479"/>
        <w:jc w:val="left"/>
        <w:rPr>
          <w:sz w:val="24"/>
        </w:rPr>
      </w:pPr>
      <w:r>
        <w:rPr>
          <w:spacing w:val="-6"/>
          <w:sz w:val="24"/>
        </w:rPr>
        <w:t>参加基金财产清算小组，参与基金财产的保管、清理、估价、变现和分</w:t>
      </w:r>
      <w:r>
        <w:rPr>
          <w:sz w:val="24"/>
        </w:rPr>
        <w:t>配；</w:t>
      </w:r>
    </w:p>
    <w:p>
      <w:pPr>
        <w:pStyle w:val="ListParagraph"/>
        <w:numPr>
          <w:ilvl w:val="0"/>
          <w:numId w:val="14"/>
        </w:numPr>
        <w:tabs>
          <w:tab w:pos="1082" w:val="left" w:leader="none"/>
        </w:tabs>
        <w:spacing w:line="364" w:lineRule="auto" w:before="1" w:after="0"/>
        <w:ind w:left="120" w:right="377" w:firstLine="479"/>
        <w:jc w:val="left"/>
        <w:rPr>
          <w:sz w:val="24"/>
        </w:rPr>
      </w:pPr>
      <w:r>
        <w:rPr>
          <w:spacing w:val="-8"/>
          <w:sz w:val="24"/>
        </w:rPr>
        <w:t>面临解散、依法被撤销或者被依法宣告破产时，及时报告中国证监会</w:t>
      </w:r>
      <w:r>
        <w:rPr>
          <w:spacing w:val="-4"/>
          <w:sz w:val="24"/>
        </w:rPr>
        <w:t>和银行监管机构，并通知基金管理人；</w:t>
      </w:r>
    </w:p>
    <w:p>
      <w:pPr>
        <w:pStyle w:val="ListParagraph"/>
        <w:numPr>
          <w:ilvl w:val="0"/>
          <w:numId w:val="14"/>
        </w:numPr>
        <w:tabs>
          <w:tab w:pos="1082" w:val="left" w:leader="none"/>
        </w:tabs>
        <w:spacing w:line="364" w:lineRule="auto" w:before="2" w:after="0"/>
        <w:ind w:left="120" w:right="381" w:firstLine="479"/>
        <w:jc w:val="left"/>
        <w:rPr>
          <w:sz w:val="24"/>
        </w:rPr>
      </w:pPr>
      <w:r>
        <w:rPr>
          <w:spacing w:val="-10"/>
          <w:sz w:val="24"/>
        </w:rPr>
        <w:t>因违反《基金合同》导致基金财产损失时，应承担赔偿责任，其赔偿责</w:t>
      </w:r>
      <w:r>
        <w:rPr>
          <w:sz w:val="24"/>
        </w:rPr>
        <w:t>任不因其退任而免除；</w:t>
      </w:r>
    </w:p>
    <w:p>
      <w:pPr>
        <w:pStyle w:val="ListParagraph"/>
        <w:numPr>
          <w:ilvl w:val="0"/>
          <w:numId w:val="14"/>
        </w:numPr>
        <w:tabs>
          <w:tab w:pos="1082" w:val="left" w:leader="none"/>
        </w:tabs>
        <w:spacing w:line="364" w:lineRule="auto" w:before="1" w:after="0"/>
        <w:ind w:left="120" w:right="261" w:firstLine="479"/>
        <w:jc w:val="left"/>
        <w:rPr>
          <w:sz w:val="24"/>
        </w:rPr>
      </w:pPr>
      <w:r>
        <w:rPr>
          <w:spacing w:val="-9"/>
          <w:sz w:val="24"/>
        </w:rPr>
        <w:t>按规定监督基金管理人按法律法规和《基金合同》规定履行自己的义务</w:t>
      </w:r>
      <w:r>
        <w:rPr>
          <w:spacing w:val="-11"/>
          <w:sz w:val="24"/>
        </w:rPr>
        <w:t>，基金管理人因违反《基金合同》造成基金财产损失时，应为基金利益向基金管理人追偿；</w:t>
      </w:r>
    </w:p>
    <w:p>
      <w:pPr>
        <w:pStyle w:val="ListParagraph"/>
        <w:numPr>
          <w:ilvl w:val="0"/>
          <w:numId w:val="14"/>
        </w:numPr>
        <w:tabs>
          <w:tab w:pos="1082" w:val="left" w:leader="none"/>
        </w:tabs>
        <w:spacing w:line="240" w:lineRule="auto" w:before="2" w:after="0"/>
        <w:ind w:left="1081" w:right="0" w:hanging="482"/>
        <w:jc w:val="left"/>
        <w:rPr>
          <w:sz w:val="24"/>
        </w:rPr>
      </w:pPr>
      <w:r>
        <w:rPr>
          <w:sz w:val="24"/>
        </w:rPr>
        <w:t>执行生效的基金份额持有人大会的决定；</w:t>
      </w:r>
    </w:p>
    <w:p>
      <w:pPr>
        <w:pStyle w:val="ListParagraph"/>
        <w:numPr>
          <w:ilvl w:val="0"/>
          <w:numId w:val="14"/>
        </w:numPr>
        <w:tabs>
          <w:tab w:pos="1082" w:val="left" w:leader="none"/>
        </w:tabs>
        <w:spacing w:line="364" w:lineRule="auto" w:before="160" w:after="0"/>
        <w:ind w:left="120" w:right="377" w:firstLine="479"/>
        <w:jc w:val="both"/>
        <w:rPr>
          <w:sz w:val="24"/>
        </w:rPr>
      </w:pPr>
      <w:r>
        <w:rPr>
          <w:spacing w:val="-6"/>
          <w:sz w:val="24"/>
        </w:rPr>
        <w:t>对基金的境外财产，基金托管人可授权境外托管人代为履行其承担的</w:t>
      </w:r>
      <w:r>
        <w:rPr>
          <w:spacing w:val="-10"/>
          <w:sz w:val="24"/>
        </w:rPr>
        <w:t>职责，但应及时通知基金管理人境外托管人选定结果，并确保境外托管人履行相应托管职责。境外托管人在履行职责过程中，因本身过错、疏忽原因而导致的基</w:t>
      </w:r>
      <w:r>
        <w:rPr>
          <w:spacing w:val="-4"/>
          <w:sz w:val="24"/>
        </w:rPr>
        <w:t>金财产受损的，基金托管人承担相应赔偿责任；</w:t>
      </w:r>
    </w:p>
    <w:p>
      <w:pPr>
        <w:pStyle w:val="ListParagraph"/>
        <w:numPr>
          <w:ilvl w:val="0"/>
          <w:numId w:val="14"/>
        </w:numPr>
        <w:tabs>
          <w:tab w:pos="1022" w:val="left" w:leader="none"/>
        </w:tabs>
        <w:spacing w:line="364" w:lineRule="auto" w:before="63" w:after="0"/>
        <w:ind w:left="120" w:right="377" w:firstLine="419"/>
        <w:jc w:val="left"/>
        <w:rPr>
          <w:sz w:val="24"/>
        </w:rPr>
      </w:pPr>
      <w:r>
        <w:rPr>
          <w:spacing w:val="-3"/>
          <w:sz w:val="24"/>
        </w:rPr>
        <w:t>保护基金份额持有人利益，按照规定对基金日常投资行为和资金汇出入</w:t>
      </w:r>
      <w:r>
        <w:rPr>
          <w:spacing w:val="-9"/>
          <w:sz w:val="24"/>
        </w:rPr>
        <w:t>情况实施监督，如发现投资指令或资金汇出入违法、违规，应当及时向中国证监</w:t>
      </w:r>
    </w:p>
    <w:p>
      <w:pPr>
        <w:spacing w:after="0" w:line="364" w:lineRule="auto"/>
        <w:jc w:val="left"/>
        <w:rPr>
          <w:sz w:val="24"/>
        </w:rPr>
        <w:sectPr>
          <w:pgSz w:w="11910" w:h="16840"/>
          <w:pgMar w:header="0" w:footer="914" w:top="1440" w:bottom="1180" w:left="1680" w:right="1420"/>
        </w:sectPr>
      </w:pPr>
    </w:p>
    <w:p>
      <w:pPr>
        <w:pStyle w:val="BodyText"/>
        <w:spacing w:before="41"/>
        <w:ind w:firstLine="0"/>
      </w:pPr>
      <w:r>
        <w:rPr/>
        <w:t>会、国家外汇局报告；</w:t>
      </w:r>
    </w:p>
    <w:p>
      <w:pPr>
        <w:pStyle w:val="BodyText"/>
        <w:spacing w:before="2"/>
        <w:ind w:left="0" w:firstLine="0"/>
        <w:rPr>
          <w:sz w:val="17"/>
        </w:rPr>
      </w:pPr>
    </w:p>
    <w:p>
      <w:pPr>
        <w:pStyle w:val="ListParagraph"/>
        <w:numPr>
          <w:ilvl w:val="0"/>
          <w:numId w:val="14"/>
        </w:numPr>
        <w:tabs>
          <w:tab w:pos="1022" w:val="left" w:leader="none"/>
        </w:tabs>
        <w:spacing w:line="364" w:lineRule="auto" w:before="1" w:after="0"/>
        <w:ind w:left="120" w:right="377" w:firstLine="419"/>
        <w:jc w:val="both"/>
        <w:rPr>
          <w:sz w:val="24"/>
        </w:rPr>
      </w:pPr>
      <w:r>
        <w:rPr>
          <w:spacing w:val="-3"/>
          <w:sz w:val="24"/>
        </w:rPr>
        <w:t>安全保护基金财产，准时将公司行为信息通知基金管理人或根据基金管</w:t>
      </w:r>
      <w:r>
        <w:rPr>
          <w:sz w:val="24"/>
        </w:rPr>
        <w:t>理人的通知</w:t>
      </w:r>
      <w:r>
        <w:rPr>
          <w:rFonts w:ascii="Times New Roman" w:eastAsia="Times New Roman"/>
          <w:spacing w:val="29"/>
          <w:sz w:val="24"/>
        </w:rPr>
        <w:t>, </w:t>
      </w:r>
      <w:r>
        <w:rPr>
          <w:spacing w:val="-3"/>
          <w:sz w:val="24"/>
        </w:rPr>
        <w:t>准时将公司行为信息通知境外投资顾问，确保基金及时收取所有应</w:t>
      </w:r>
      <w:r>
        <w:rPr>
          <w:sz w:val="24"/>
        </w:rPr>
        <w:t>得收入；</w:t>
      </w:r>
    </w:p>
    <w:p>
      <w:pPr>
        <w:pStyle w:val="ListParagraph"/>
        <w:numPr>
          <w:ilvl w:val="0"/>
          <w:numId w:val="14"/>
        </w:numPr>
        <w:tabs>
          <w:tab w:pos="1022" w:val="left" w:leader="none"/>
        </w:tabs>
        <w:spacing w:line="364" w:lineRule="auto" w:before="61" w:after="0"/>
        <w:ind w:left="120" w:right="376" w:firstLine="419"/>
        <w:jc w:val="both"/>
        <w:rPr>
          <w:sz w:val="24"/>
        </w:rPr>
      </w:pPr>
      <w:r>
        <w:rPr>
          <w:spacing w:val="-10"/>
          <w:sz w:val="24"/>
        </w:rPr>
        <w:t>每月结束后 </w:t>
      </w:r>
      <w:r>
        <w:rPr>
          <w:rFonts w:ascii="Times New Roman" w:eastAsia="Times New Roman"/>
          <w:sz w:val="24"/>
        </w:rPr>
        <w:t>7 </w:t>
      </w:r>
      <w:r>
        <w:rPr>
          <w:spacing w:val="-4"/>
          <w:sz w:val="24"/>
        </w:rPr>
        <w:t>个工作日内，向中国证监会和国家外汇局报告基金管理人</w:t>
      </w:r>
      <w:r>
        <w:rPr>
          <w:sz w:val="24"/>
        </w:rPr>
        <w:t>境外投资情况，并按相关规定进行国际收支申报；</w:t>
      </w:r>
    </w:p>
    <w:p>
      <w:pPr>
        <w:pStyle w:val="ListParagraph"/>
        <w:numPr>
          <w:ilvl w:val="0"/>
          <w:numId w:val="14"/>
        </w:numPr>
        <w:tabs>
          <w:tab w:pos="1022" w:val="left" w:leader="none"/>
        </w:tabs>
        <w:spacing w:line="364" w:lineRule="auto" w:before="62" w:after="0"/>
        <w:ind w:left="120" w:right="378" w:firstLine="419"/>
        <w:jc w:val="left"/>
        <w:rPr>
          <w:sz w:val="24"/>
        </w:rPr>
      </w:pPr>
      <w:r>
        <w:rPr>
          <w:spacing w:val="-4"/>
          <w:sz w:val="24"/>
        </w:rPr>
        <w:t>办理基金管理人就管理本基金的有关结汇、售汇、收汇、付汇和人民币</w:t>
      </w:r>
      <w:r>
        <w:rPr>
          <w:sz w:val="24"/>
        </w:rPr>
        <w:t>资金结算业务；</w:t>
      </w:r>
    </w:p>
    <w:p>
      <w:pPr>
        <w:pStyle w:val="ListParagraph"/>
        <w:numPr>
          <w:ilvl w:val="0"/>
          <w:numId w:val="14"/>
        </w:numPr>
        <w:tabs>
          <w:tab w:pos="1082" w:val="left" w:leader="none"/>
        </w:tabs>
        <w:spacing w:line="364" w:lineRule="auto" w:before="61" w:after="0"/>
        <w:ind w:left="120" w:right="285" w:firstLine="479"/>
        <w:jc w:val="left"/>
        <w:rPr>
          <w:sz w:val="24"/>
        </w:rPr>
      </w:pPr>
      <w:r>
        <w:rPr>
          <w:spacing w:val="-1"/>
          <w:sz w:val="24"/>
        </w:rPr>
        <w:t>保存基金管理人就管理本基金的资金汇出、汇入、兑换、收汇、付汇、</w:t>
      </w:r>
      <w:r>
        <w:rPr>
          <w:spacing w:val="-2"/>
          <w:sz w:val="24"/>
        </w:rPr>
        <w:t>资金往来、委托及成交记录等相关资料，其保存的时间应当不少于 </w:t>
      </w:r>
      <w:r>
        <w:rPr>
          <w:rFonts w:ascii="Times New Roman" w:eastAsia="Times New Roman"/>
          <w:sz w:val="24"/>
        </w:rPr>
        <w:t>20 </w:t>
      </w:r>
      <w:r>
        <w:rPr>
          <w:sz w:val="24"/>
        </w:rPr>
        <w:t>年；</w:t>
      </w:r>
    </w:p>
    <w:p>
      <w:pPr>
        <w:pStyle w:val="ListParagraph"/>
        <w:numPr>
          <w:ilvl w:val="0"/>
          <w:numId w:val="14"/>
        </w:numPr>
        <w:tabs>
          <w:tab w:pos="1082" w:val="left" w:leader="none"/>
        </w:tabs>
        <w:spacing w:line="364" w:lineRule="auto" w:before="2" w:after="0"/>
        <w:ind w:left="120" w:right="377" w:firstLine="479"/>
        <w:jc w:val="left"/>
        <w:rPr>
          <w:sz w:val="24"/>
        </w:rPr>
      </w:pPr>
      <w:r>
        <w:rPr>
          <w:sz w:val="24"/>
        </w:rPr>
        <w:t>确保本基金按照有关法律法规和基金合同约定的投资目标和限制进行</w:t>
      </w:r>
      <w:r>
        <w:rPr>
          <w:spacing w:val="-6"/>
          <w:sz w:val="24"/>
        </w:rPr>
        <w:t>管理；</w:t>
      </w:r>
    </w:p>
    <w:p>
      <w:pPr>
        <w:pStyle w:val="ListParagraph"/>
        <w:numPr>
          <w:ilvl w:val="0"/>
          <w:numId w:val="14"/>
        </w:numPr>
        <w:tabs>
          <w:tab w:pos="1082" w:val="left" w:leader="none"/>
        </w:tabs>
        <w:spacing w:line="364" w:lineRule="auto" w:before="1" w:after="0"/>
        <w:ind w:left="120" w:right="377" w:firstLine="479"/>
        <w:jc w:val="left"/>
        <w:rPr>
          <w:sz w:val="24"/>
        </w:rPr>
      </w:pPr>
      <w:r>
        <w:rPr>
          <w:spacing w:val="-4"/>
          <w:sz w:val="24"/>
        </w:rPr>
        <w:t>确保本基金按照有关法律法规和基金合同的规定进行认购、申购、赎回等日常交易；</w:t>
      </w:r>
    </w:p>
    <w:p>
      <w:pPr>
        <w:pStyle w:val="ListParagraph"/>
        <w:numPr>
          <w:ilvl w:val="0"/>
          <w:numId w:val="14"/>
        </w:numPr>
        <w:tabs>
          <w:tab w:pos="1082" w:val="left" w:leader="none"/>
        </w:tabs>
        <w:spacing w:line="364" w:lineRule="auto" w:before="1" w:after="0"/>
        <w:ind w:left="120" w:right="376" w:firstLine="479"/>
        <w:jc w:val="left"/>
        <w:rPr>
          <w:sz w:val="24"/>
        </w:rPr>
      </w:pPr>
      <w:r>
        <w:rPr>
          <w:sz w:val="24"/>
        </w:rPr>
        <w:t>确保本基金按照有关法律法规和基金合同的规定确定并实施收益分配</w:t>
      </w:r>
      <w:r>
        <w:rPr>
          <w:spacing w:val="-6"/>
          <w:sz w:val="24"/>
        </w:rPr>
        <w:t>方案；</w:t>
      </w:r>
    </w:p>
    <w:p>
      <w:pPr>
        <w:pStyle w:val="ListParagraph"/>
        <w:numPr>
          <w:ilvl w:val="0"/>
          <w:numId w:val="14"/>
        </w:numPr>
        <w:tabs>
          <w:tab w:pos="1082" w:val="left" w:leader="none"/>
        </w:tabs>
        <w:spacing w:line="364" w:lineRule="auto" w:before="2" w:after="0"/>
        <w:ind w:left="120" w:right="377" w:firstLine="479"/>
        <w:jc w:val="left"/>
        <w:rPr>
          <w:sz w:val="24"/>
        </w:rPr>
      </w:pPr>
      <w:r>
        <w:rPr>
          <w:sz w:val="24"/>
        </w:rPr>
        <w:t>按照有关法律法规和基金合同的规定以受托人名义或其指定的代理人</w:t>
      </w:r>
      <w:r>
        <w:rPr>
          <w:spacing w:val="-4"/>
          <w:sz w:val="24"/>
        </w:rPr>
        <w:t>名义登记资产；</w:t>
      </w:r>
    </w:p>
    <w:p>
      <w:pPr>
        <w:pStyle w:val="ListParagraph"/>
        <w:numPr>
          <w:ilvl w:val="0"/>
          <w:numId w:val="14"/>
        </w:numPr>
        <w:tabs>
          <w:tab w:pos="1082" w:val="left" w:leader="none"/>
        </w:tabs>
        <w:spacing w:line="364" w:lineRule="auto" w:before="1" w:after="0"/>
        <w:ind w:left="120" w:right="376" w:firstLine="479"/>
        <w:jc w:val="left"/>
        <w:rPr>
          <w:sz w:val="24"/>
        </w:rPr>
      </w:pPr>
      <w:r>
        <w:rPr>
          <w:spacing w:val="-9"/>
          <w:sz w:val="24"/>
        </w:rPr>
        <w:t>法律法规、《基金合同》规定的其他义务以及中国证监会和国家外汇 </w:t>
      </w:r>
      <w:r>
        <w:rPr>
          <w:spacing w:val="-4"/>
          <w:sz w:val="24"/>
        </w:rPr>
        <w:t>局根据审慎监管原则规定的基金托管人的其他职责。</w:t>
      </w:r>
    </w:p>
    <w:p>
      <w:pPr>
        <w:pStyle w:val="BodyText"/>
        <w:spacing w:before="0"/>
        <w:ind w:left="0" w:firstLine="0"/>
      </w:pPr>
    </w:p>
    <w:p>
      <w:pPr>
        <w:spacing w:before="161"/>
        <w:ind w:left="602" w:right="0" w:firstLine="0"/>
        <w:jc w:val="left"/>
        <w:rPr>
          <w:b/>
          <w:sz w:val="24"/>
        </w:rPr>
      </w:pPr>
      <w:r>
        <w:rPr>
          <w:b/>
          <w:sz w:val="24"/>
        </w:rPr>
        <w:t>（三） 基金份额持有人</w:t>
      </w:r>
    </w:p>
    <w:p>
      <w:pPr>
        <w:pStyle w:val="BodyText"/>
        <w:spacing w:line="364" w:lineRule="auto"/>
        <w:ind w:right="257"/>
      </w:pPr>
      <w:r>
        <w:rPr>
          <w:spacing w:val="-11"/>
        </w:rPr>
        <w:t>基金投资者购买本基金基金份额的行为即视为对《基金合同》的承认和接受， </w:t>
      </w:r>
      <w:r>
        <w:rPr>
          <w:spacing w:val="-8"/>
        </w:rPr>
        <w:t>基金投资者自取得依据《基金合同》募集的基金份额，即成为本基金份额持有人</w:t>
      </w:r>
      <w:r>
        <w:rPr>
          <w:spacing w:val="-10"/>
        </w:rPr>
        <w:t>和《基金合同》的当事人，直至其不再持有本基金的基金份额。基金份额持有人作为《基金合同》当事人并不以在《基金合同》上书面签章或签字为必要条件。</w:t>
      </w:r>
    </w:p>
    <w:p>
      <w:pPr>
        <w:pStyle w:val="BodyText"/>
        <w:spacing w:before="3"/>
        <w:ind w:left="600" w:firstLine="0"/>
      </w:pPr>
      <w:r>
        <w:rPr/>
        <w:t>同一类别每份基金份额具有同等的合法权益。</w:t>
      </w:r>
    </w:p>
    <w:p>
      <w:pPr>
        <w:pStyle w:val="BodyText"/>
        <w:spacing w:line="364" w:lineRule="auto" w:before="160"/>
        <w:ind w:right="382"/>
      </w:pPr>
      <w:r>
        <w:rPr>
          <w:rFonts w:ascii="Times New Roman" w:eastAsia="Times New Roman"/>
        </w:rPr>
        <w:t>1</w:t>
      </w:r>
      <w:r>
        <w:rPr>
          <w:spacing w:val="-17"/>
        </w:rPr>
        <w:t>、根据《基金法》、《运作办法》及其他有关规定，基金份额持有人的权利</w:t>
      </w:r>
      <w:r>
        <w:rPr/>
        <w:t>包括但不限于：</w:t>
      </w:r>
    </w:p>
    <w:p>
      <w:pPr>
        <w:spacing w:after="0" w:line="364" w:lineRule="auto"/>
        <w:sectPr>
          <w:pgSz w:w="11910" w:h="16840"/>
          <w:pgMar w:header="0" w:footer="914" w:top="1460" w:bottom="1180" w:left="1680" w:right="1420"/>
        </w:sectPr>
      </w:pPr>
    </w:p>
    <w:p>
      <w:pPr>
        <w:pStyle w:val="ListParagraph"/>
        <w:numPr>
          <w:ilvl w:val="0"/>
          <w:numId w:val="15"/>
        </w:numPr>
        <w:tabs>
          <w:tab w:pos="1381" w:val="left" w:leader="none"/>
        </w:tabs>
        <w:spacing w:line="240" w:lineRule="auto" w:before="61" w:after="0"/>
        <w:ind w:left="1380" w:right="0" w:hanging="781"/>
        <w:jc w:val="left"/>
        <w:rPr>
          <w:sz w:val="24"/>
        </w:rPr>
      </w:pPr>
      <w:r>
        <w:rPr>
          <w:sz w:val="24"/>
        </w:rPr>
        <w:t>分享基金财产收益；</w:t>
      </w:r>
    </w:p>
    <w:p>
      <w:pPr>
        <w:pStyle w:val="ListParagraph"/>
        <w:numPr>
          <w:ilvl w:val="0"/>
          <w:numId w:val="15"/>
        </w:numPr>
        <w:tabs>
          <w:tab w:pos="1381" w:val="left" w:leader="none"/>
        </w:tabs>
        <w:spacing w:line="240" w:lineRule="auto" w:before="160" w:after="0"/>
        <w:ind w:left="1380" w:right="0" w:hanging="781"/>
        <w:jc w:val="left"/>
        <w:rPr>
          <w:sz w:val="24"/>
        </w:rPr>
      </w:pPr>
      <w:r>
        <w:rPr>
          <w:sz w:val="24"/>
        </w:rPr>
        <w:t>参与分配清算后的剩余基金财产；</w:t>
      </w:r>
    </w:p>
    <w:p>
      <w:pPr>
        <w:pStyle w:val="ListParagraph"/>
        <w:numPr>
          <w:ilvl w:val="0"/>
          <w:numId w:val="15"/>
        </w:numPr>
        <w:tabs>
          <w:tab w:pos="1381" w:val="left" w:leader="none"/>
        </w:tabs>
        <w:spacing w:line="240" w:lineRule="auto" w:before="161" w:after="0"/>
        <w:ind w:left="1380" w:right="0" w:hanging="781"/>
        <w:jc w:val="left"/>
        <w:rPr>
          <w:sz w:val="24"/>
        </w:rPr>
      </w:pPr>
      <w:r>
        <w:rPr>
          <w:sz w:val="24"/>
        </w:rPr>
        <w:t>依法申请赎回其持有的基金份额；</w:t>
      </w:r>
    </w:p>
    <w:p>
      <w:pPr>
        <w:pStyle w:val="ListParagraph"/>
        <w:numPr>
          <w:ilvl w:val="0"/>
          <w:numId w:val="15"/>
        </w:numPr>
        <w:tabs>
          <w:tab w:pos="1381" w:val="left" w:leader="none"/>
        </w:tabs>
        <w:spacing w:line="240" w:lineRule="auto" w:before="160" w:after="0"/>
        <w:ind w:left="1380" w:right="0" w:hanging="781"/>
        <w:jc w:val="left"/>
        <w:rPr>
          <w:sz w:val="24"/>
        </w:rPr>
      </w:pPr>
      <w:r>
        <w:rPr>
          <w:sz w:val="24"/>
        </w:rPr>
        <w:t>按照规定要求召开基金份额持有人大会；</w:t>
      </w:r>
    </w:p>
    <w:p>
      <w:pPr>
        <w:pStyle w:val="ListParagraph"/>
        <w:numPr>
          <w:ilvl w:val="0"/>
          <w:numId w:val="15"/>
        </w:numPr>
        <w:tabs>
          <w:tab w:pos="1381" w:val="left" w:leader="none"/>
        </w:tabs>
        <w:spacing w:line="364" w:lineRule="auto" w:before="161" w:after="0"/>
        <w:ind w:left="120" w:right="386" w:firstLine="479"/>
        <w:jc w:val="left"/>
        <w:rPr>
          <w:sz w:val="24"/>
        </w:rPr>
      </w:pPr>
      <w:r>
        <w:rPr>
          <w:sz w:val="24"/>
        </w:rPr>
        <w:t>出席或者委派代表出席基金份额持有人大会，对基金份额持有人大会审议事项行使表决权；</w:t>
      </w:r>
    </w:p>
    <w:p>
      <w:pPr>
        <w:pStyle w:val="ListParagraph"/>
        <w:numPr>
          <w:ilvl w:val="0"/>
          <w:numId w:val="15"/>
        </w:numPr>
        <w:tabs>
          <w:tab w:pos="1381" w:val="left" w:leader="none"/>
        </w:tabs>
        <w:spacing w:line="240" w:lineRule="auto" w:before="1" w:after="0"/>
        <w:ind w:left="1380" w:right="0" w:hanging="781"/>
        <w:jc w:val="left"/>
        <w:rPr>
          <w:sz w:val="24"/>
        </w:rPr>
      </w:pPr>
      <w:r>
        <w:rPr>
          <w:sz w:val="24"/>
        </w:rPr>
        <w:t>查阅或者复制公开披露的基金信息资料；</w:t>
      </w:r>
    </w:p>
    <w:p>
      <w:pPr>
        <w:pStyle w:val="ListParagraph"/>
        <w:numPr>
          <w:ilvl w:val="0"/>
          <w:numId w:val="15"/>
        </w:numPr>
        <w:tabs>
          <w:tab w:pos="1381" w:val="left" w:leader="none"/>
        </w:tabs>
        <w:spacing w:line="240" w:lineRule="auto" w:before="161" w:after="0"/>
        <w:ind w:left="1380" w:right="0" w:hanging="781"/>
        <w:jc w:val="left"/>
        <w:rPr>
          <w:sz w:val="24"/>
        </w:rPr>
      </w:pPr>
      <w:r>
        <w:rPr>
          <w:sz w:val="24"/>
        </w:rPr>
        <w:t>监督基金管理人的投资运作；</w:t>
      </w:r>
    </w:p>
    <w:p>
      <w:pPr>
        <w:pStyle w:val="ListParagraph"/>
        <w:numPr>
          <w:ilvl w:val="0"/>
          <w:numId w:val="15"/>
        </w:numPr>
        <w:tabs>
          <w:tab w:pos="1381" w:val="left" w:leader="none"/>
        </w:tabs>
        <w:spacing w:line="364" w:lineRule="auto" w:before="161" w:after="0"/>
        <w:ind w:left="120" w:right="379" w:firstLine="479"/>
        <w:jc w:val="left"/>
        <w:rPr>
          <w:sz w:val="24"/>
        </w:rPr>
      </w:pPr>
      <w:r>
        <w:rPr>
          <w:sz w:val="24"/>
        </w:rPr>
        <w:t>对基金管理人、基金托管人、基金销售机构损害其合法权益的行为依法提起诉讼；</w:t>
      </w:r>
    </w:p>
    <w:p>
      <w:pPr>
        <w:pStyle w:val="ListParagraph"/>
        <w:numPr>
          <w:ilvl w:val="0"/>
          <w:numId w:val="15"/>
        </w:numPr>
        <w:tabs>
          <w:tab w:pos="1381" w:val="left" w:leader="none"/>
        </w:tabs>
        <w:spacing w:line="240" w:lineRule="auto" w:before="1" w:after="0"/>
        <w:ind w:left="1380" w:right="0" w:hanging="781"/>
        <w:jc w:val="left"/>
        <w:rPr>
          <w:sz w:val="24"/>
        </w:rPr>
      </w:pPr>
      <w:r>
        <w:rPr>
          <w:sz w:val="24"/>
        </w:rPr>
        <w:t>法律法规和《基金合同》规定的其他权利。</w:t>
      </w:r>
    </w:p>
    <w:p>
      <w:pPr>
        <w:pStyle w:val="BodyText"/>
        <w:spacing w:line="364" w:lineRule="auto" w:before="160"/>
        <w:ind w:right="382"/>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16"/>
        </w:numPr>
        <w:tabs>
          <w:tab w:pos="1381" w:val="left" w:leader="none"/>
        </w:tabs>
        <w:spacing w:line="240" w:lineRule="auto" w:before="2" w:after="0"/>
        <w:ind w:left="1380" w:right="0" w:hanging="781"/>
        <w:jc w:val="left"/>
        <w:rPr>
          <w:sz w:val="24"/>
        </w:rPr>
      </w:pPr>
      <w:r>
        <w:rPr>
          <w:spacing w:val="-14"/>
          <w:sz w:val="24"/>
        </w:rPr>
        <w:t>遵守《基金合同》；</w:t>
      </w:r>
    </w:p>
    <w:p>
      <w:pPr>
        <w:pStyle w:val="ListParagraph"/>
        <w:numPr>
          <w:ilvl w:val="0"/>
          <w:numId w:val="16"/>
        </w:numPr>
        <w:tabs>
          <w:tab w:pos="1381" w:val="left" w:leader="none"/>
        </w:tabs>
        <w:spacing w:line="240" w:lineRule="auto" w:before="160" w:after="0"/>
        <w:ind w:left="1380" w:right="0" w:hanging="781"/>
        <w:jc w:val="left"/>
        <w:rPr>
          <w:sz w:val="24"/>
        </w:rPr>
      </w:pPr>
      <w:r>
        <w:rPr>
          <w:spacing w:val="-4"/>
          <w:sz w:val="24"/>
        </w:rPr>
        <w:t>交纳基金认购、申购款项及法律法规和《基金合同》所规定的费用；</w:t>
      </w:r>
    </w:p>
    <w:p>
      <w:pPr>
        <w:pStyle w:val="ListParagraph"/>
        <w:numPr>
          <w:ilvl w:val="0"/>
          <w:numId w:val="16"/>
        </w:numPr>
        <w:tabs>
          <w:tab w:pos="1381" w:val="left" w:leader="none"/>
        </w:tabs>
        <w:spacing w:line="364" w:lineRule="auto" w:before="161" w:after="0"/>
        <w:ind w:left="120" w:right="386" w:firstLine="479"/>
        <w:jc w:val="left"/>
        <w:rPr>
          <w:sz w:val="24"/>
        </w:rPr>
      </w:pPr>
      <w:r>
        <w:rPr>
          <w:sz w:val="24"/>
        </w:rPr>
        <w:t>在其持有的基金份额范围内，承担基金亏损或者《基金合同》终止的有限责任；</w:t>
      </w:r>
    </w:p>
    <w:p>
      <w:pPr>
        <w:pStyle w:val="ListParagraph"/>
        <w:numPr>
          <w:ilvl w:val="0"/>
          <w:numId w:val="16"/>
        </w:numPr>
        <w:tabs>
          <w:tab w:pos="1381" w:val="left" w:leader="none"/>
        </w:tabs>
        <w:spacing w:line="240" w:lineRule="auto" w:before="1" w:after="0"/>
        <w:ind w:left="1380" w:right="0" w:hanging="781"/>
        <w:jc w:val="left"/>
        <w:rPr>
          <w:sz w:val="24"/>
        </w:rPr>
      </w:pPr>
      <w:r>
        <w:rPr>
          <w:sz w:val="24"/>
        </w:rPr>
        <w:t>不从事任何有损基金及其他基金合同当事人合法权益的活动；</w:t>
      </w:r>
    </w:p>
    <w:p>
      <w:pPr>
        <w:pStyle w:val="ListParagraph"/>
        <w:numPr>
          <w:ilvl w:val="0"/>
          <w:numId w:val="16"/>
        </w:numPr>
        <w:tabs>
          <w:tab w:pos="1381" w:val="left" w:leader="none"/>
        </w:tabs>
        <w:spacing w:line="364" w:lineRule="auto" w:before="161" w:after="0"/>
        <w:ind w:left="120" w:right="386" w:firstLine="479"/>
        <w:jc w:val="left"/>
        <w:rPr>
          <w:sz w:val="24"/>
        </w:rPr>
      </w:pPr>
      <w:r>
        <w:rPr>
          <w:sz w:val="24"/>
        </w:rPr>
        <w:t>返还在基金交易过程中因任何原因，自基金管理人、基金托管人及基金代销机构处获得的不当得利；</w:t>
      </w:r>
    </w:p>
    <w:p>
      <w:pPr>
        <w:pStyle w:val="ListParagraph"/>
        <w:numPr>
          <w:ilvl w:val="0"/>
          <w:numId w:val="16"/>
        </w:numPr>
        <w:tabs>
          <w:tab w:pos="1440" w:val="left" w:leader="none"/>
          <w:tab w:pos="1441" w:val="left" w:leader="none"/>
        </w:tabs>
        <w:spacing w:line="240" w:lineRule="auto" w:before="1" w:after="0"/>
        <w:ind w:left="1440" w:right="0" w:hanging="841"/>
        <w:jc w:val="left"/>
        <w:rPr>
          <w:sz w:val="24"/>
        </w:rPr>
      </w:pPr>
      <w:r>
        <w:rPr>
          <w:sz w:val="24"/>
        </w:rPr>
        <w:t>执行生效的基金份额持有人大会的决定；</w:t>
      </w:r>
    </w:p>
    <w:p>
      <w:pPr>
        <w:pStyle w:val="ListParagraph"/>
        <w:numPr>
          <w:ilvl w:val="0"/>
          <w:numId w:val="16"/>
        </w:numPr>
        <w:tabs>
          <w:tab w:pos="1381" w:val="left" w:leader="none"/>
        </w:tabs>
        <w:spacing w:line="240" w:lineRule="auto" w:before="160" w:after="0"/>
        <w:ind w:left="1380" w:right="0" w:hanging="78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14" w:top="1440" w:bottom="1180" w:left="1680" w:right="1420"/>
        </w:sectPr>
      </w:pPr>
    </w:p>
    <w:p>
      <w:pPr>
        <w:pStyle w:val="BodyText"/>
        <w:spacing w:before="0"/>
        <w:ind w:left="0" w:firstLine="0"/>
        <w:rPr>
          <w:sz w:val="20"/>
        </w:rPr>
      </w:pPr>
    </w:p>
    <w:p>
      <w:pPr>
        <w:pStyle w:val="BodyText"/>
        <w:spacing w:before="5"/>
        <w:ind w:left="0" w:firstLine="0"/>
        <w:rPr>
          <w:sz w:val="28"/>
        </w:rPr>
      </w:pPr>
    </w:p>
    <w:p>
      <w:pPr>
        <w:pStyle w:val="Heading1"/>
        <w:spacing w:before="67"/>
        <w:ind w:left="3" w:right="262"/>
        <w:jc w:val="center"/>
      </w:pPr>
      <w:bookmarkStart w:name="_bookmark7" w:id="8"/>
      <w:bookmarkEnd w:id="8"/>
      <w:r>
        <w:rPr>
          <w:b w:val="0"/>
        </w:rPr>
      </w:r>
      <w:r>
        <w:rPr/>
        <w:t>八、基金份额持有人大会</w:t>
      </w:r>
    </w:p>
    <w:p>
      <w:pPr>
        <w:pStyle w:val="BodyText"/>
        <w:spacing w:before="4"/>
        <w:ind w:left="0" w:firstLine="0"/>
        <w:rPr>
          <w:b/>
          <w:sz w:val="35"/>
        </w:rPr>
      </w:pPr>
    </w:p>
    <w:p>
      <w:pPr>
        <w:pStyle w:val="BodyText"/>
        <w:spacing w:line="364" w:lineRule="auto" w:before="0"/>
        <w:ind w:right="377"/>
      </w:pPr>
      <w:r>
        <w:rPr>
          <w:spacing w:val="-6"/>
        </w:rPr>
        <w:t>基金份额持有人大会由基金份额持有人组成。基金份额持有人持有的每一基</w:t>
      </w:r>
      <w:r>
        <w:rPr/>
        <w:t>金份额拥有平等的投票权。</w:t>
      </w:r>
    </w:p>
    <w:p>
      <w:pPr>
        <w:pStyle w:val="BodyText"/>
        <w:spacing w:before="0"/>
        <w:ind w:left="0" w:firstLine="0"/>
      </w:pPr>
    </w:p>
    <w:p>
      <w:pPr>
        <w:spacing w:before="162"/>
        <w:ind w:left="602" w:right="0" w:firstLine="0"/>
        <w:jc w:val="left"/>
        <w:rPr>
          <w:b/>
          <w:sz w:val="24"/>
        </w:rPr>
      </w:pPr>
      <w:r>
        <w:rPr>
          <w:b/>
          <w:sz w:val="24"/>
        </w:rPr>
        <w:t>（一）召开事由</w:t>
      </w:r>
    </w:p>
    <w:p>
      <w:pPr>
        <w:pStyle w:val="BodyText"/>
        <w:spacing w:before="81"/>
        <w:ind w:left="600" w:firstLine="0"/>
      </w:pPr>
      <w:r>
        <w:rPr>
          <w:rFonts w:ascii="Times New Roman" w:eastAsia="Times New Roman"/>
        </w:rPr>
        <w:t>1</w:t>
      </w:r>
      <w:r>
        <w:rPr/>
        <w:t>、当出现或需要决定下列事由之一的，应当召开基金份额持有人大会：</w:t>
      </w:r>
    </w:p>
    <w:p>
      <w:pPr>
        <w:pStyle w:val="ListParagraph"/>
        <w:numPr>
          <w:ilvl w:val="0"/>
          <w:numId w:val="17"/>
        </w:numPr>
        <w:tabs>
          <w:tab w:pos="1202" w:val="left" w:leader="none"/>
        </w:tabs>
        <w:spacing w:line="240" w:lineRule="auto" w:before="161" w:after="0"/>
        <w:ind w:left="1201" w:right="0" w:hanging="602"/>
        <w:jc w:val="left"/>
        <w:rPr>
          <w:sz w:val="24"/>
        </w:rPr>
      </w:pPr>
      <w:r>
        <w:rPr>
          <w:spacing w:val="-11"/>
          <w:sz w:val="24"/>
        </w:rPr>
        <w:t>提前终止《基金合同》；</w:t>
      </w:r>
    </w:p>
    <w:p>
      <w:pPr>
        <w:pStyle w:val="ListParagraph"/>
        <w:numPr>
          <w:ilvl w:val="0"/>
          <w:numId w:val="17"/>
        </w:numPr>
        <w:tabs>
          <w:tab w:pos="1202" w:val="left" w:leader="none"/>
        </w:tabs>
        <w:spacing w:line="240" w:lineRule="auto" w:before="161" w:after="0"/>
        <w:ind w:left="1201" w:right="0" w:hanging="602"/>
        <w:jc w:val="left"/>
        <w:rPr>
          <w:sz w:val="24"/>
        </w:rPr>
      </w:pPr>
      <w:r>
        <w:rPr>
          <w:sz w:val="24"/>
        </w:rPr>
        <w:t>更换基金管理人；</w:t>
      </w:r>
    </w:p>
    <w:p>
      <w:pPr>
        <w:pStyle w:val="ListParagraph"/>
        <w:numPr>
          <w:ilvl w:val="0"/>
          <w:numId w:val="17"/>
        </w:numPr>
        <w:tabs>
          <w:tab w:pos="1202" w:val="left" w:leader="none"/>
        </w:tabs>
        <w:spacing w:line="240" w:lineRule="auto" w:before="158" w:after="0"/>
        <w:ind w:left="1201" w:right="0" w:hanging="602"/>
        <w:jc w:val="left"/>
        <w:rPr>
          <w:sz w:val="24"/>
        </w:rPr>
      </w:pPr>
      <w:r>
        <w:rPr>
          <w:sz w:val="24"/>
        </w:rPr>
        <w:t>更换基金托管人；</w:t>
      </w:r>
    </w:p>
    <w:p>
      <w:pPr>
        <w:pStyle w:val="ListParagraph"/>
        <w:numPr>
          <w:ilvl w:val="0"/>
          <w:numId w:val="17"/>
        </w:numPr>
        <w:tabs>
          <w:tab w:pos="1202" w:val="left" w:leader="none"/>
        </w:tabs>
        <w:spacing w:line="240" w:lineRule="auto" w:before="161" w:after="0"/>
        <w:ind w:left="1201" w:right="0" w:hanging="602"/>
        <w:jc w:val="left"/>
        <w:rPr>
          <w:sz w:val="24"/>
        </w:rPr>
      </w:pPr>
      <w:r>
        <w:rPr>
          <w:sz w:val="24"/>
        </w:rPr>
        <w:t>转换基金运作方式；</w:t>
      </w:r>
    </w:p>
    <w:p>
      <w:pPr>
        <w:pStyle w:val="ListParagraph"/>
        <w:numPr>
          <w:ilvl w:val="0"/>
          <w:numId w:val="17"/>
        </w:numPr>
        <w:tabs>
          <w:tab w:pos="1202" w:val="left" w:leader="none"/>
        </w:tabs>
        <w:spacing w:line="364" w:lineRule="auto" w:before="158" w:after="0"/>
        <w:ind w:left="120" w:right="381" w:firstLine="479"/>
        <w:jc w:val="left"/>
        <w:rPr>
          <w:sz w:val="24"/>
        </w:rPr>
      </w:pPr>
      <w:r>
        <w:rPr>
          <w:spacing w:val="-1"/>
          <w:sz w:val="24"/>
        </w:rPr>
        <w:t>提高基金管理人和基金托管人的报酬标准或销售服务费。但根据法律</w:t>
      </w:r>
      <w:r>
        <w:rPr>
          <w:sz w:val="24"/>
        </w:rPr>
        <w:t>法规的要求提高该等报酬标准或销售服务费的除外；</w:t>
      </w:r>
    </w:p>
    <w:p>
      <w:pPr>
        <w:pStyle w:val="ListParagraph"/>
        <w:numPr>
          <w:ilvl w:val="0"/>
          <w:numId w:val="17"/>
        </w:numPr>
        <w:tabs>
          <w:tab w:pos="1202" w:val="left" w:leader="none"/>
        </w:tabs>
        <w:spacing w:line="306" w:lineRule="exact" w:before="0" w:after="0"/>
        <w:ind w:left="1201" w:right="0" w:hanging="602"/>
        <w:jc w:val="left"/>
        <w:rPr>
          <w:sz w:val="24"/>
        </w:rPr>
      </w:pPr>
      <w:r>
        <w:rPr>
          <w:sz w:val="24"/>
        </w:rPr>
        <w:t>变更基金类别；</w:t>
      </w:r>
    </w:p>
    <w:p>
      <w:pPr>
        <w:pStyle w:val="ListParagraph"/>
        <w:numPr>
          <w:ilvl w:val="0"/>
          <w:numId w:val="17"/>
        </w:numPr>
        <w:tabs>
          <w:tab w:pos="1202" w:val="left" w:leader="none"/>
        </w:tabs>
        <w:spacing w:line="240" w:lineRule="auto" w:before="160" w:after="0"/>
        <w:ind w:left="1201" w:right="0" w:hanging="602"/>
        <w:jc w:val="left"/>
        <w:rPr>
          <w:sz w:val="24"/>
        </w:rPr>
      </w:pPr>
      <w:r>
        <w:rPr>
          <w:sz w:val="24"/>
        </w:rPr>
        <w:t>本基金与其他基金的合并；</w:t>
      </w:r>
    </w:p>
    <w:p>
      <w:pPr>
        <w:pStyle w:val="ListParagraph"/>
        <w:numPr>
          <w:ilvl w:val="0"/>
          <w:numId w:val="17"/>
        </w:numPr>
        <w:tabs>
          <w:tab w:pos="1202" w:val="left" w:leader="none"/>
        </w:tabs>
        <w:spacing w:line="240" w:lineRule="auto" w:before="159" w:after="0"/>
        <w:ind w:left="1201" w:right="0" w:hanging="602"/>
        <w:jc w:val="left"/>
        <w:rPr>
          <w:sz w:val="24"/>
        </w:rPr>
      </w:pPr>
      <w:r>
        <w:rPr>
          <w:sz w:val="24"/>
        </w:rPr>
        <w:t>变更基金投资目标、范围或策略；</w:t>
      </w:r>
    </w:p>
    <w:p>
      <w:pPr>
        <w:pStyle w:val="ListParagraph"/>
        <w:numPr>
          <w:ilvl w:val="0"/>
          <w:numId w:val="17"/>
        </w:numPr>
        <w:tabs>
          <w:tab w:pos="1202" w:val="left" w:leader="none"/>
        </w:tabs>
        <w:spacing w:line="240" w:lineRule="auto" w:before="160" w:after="0"/>
        <w:ind w:left="1201" w:right="0" w:hanging="602"/>
        <w:jc w:val="left"/>
        <w:rPr>
          <w:sz w:val="24"/>
        </w:rPr>
      </w:pPr>
      <w:r>
        <w:rPr>
          <w:sz w:val="24"/>
        </w:rPr>
        <w:t>变更基金份额持有人大会程序；</w:t>
      </w:r>
    </w:p>
    <w:p>
      <w:pPr>
        <w:pStyle w:val="ListParagraph"/>
        <w:numPr>
          <w:ilvl w:val="0"/>
          <w:numId w:val="17"/>
        </w:numPr>
        <w:tabs>
          <w:tab w:pos="1322" w:val="left" w:leader="none"/>
        </w:tabs>
        <w:spacing w:line="240" w:lineRule="auto" w:before="158" w:after="0"/>
        <w:ind w:left="1321" w:right="0" w:hanging="722"/>
        <w:jc w:val="left"/>
        <w:rPr>
          <w:sz w:val="24"/>
        </w:rPr>
      </w:pPr>
      <w:r>
        <w:rPr>
          <w:sz w:val="24"/>
        </w:rPr>
        <w:t>对基金合同当事人权利和义务产生重大影响的其他事项；</w:t>
      </w:r>
    </w:p>
    <w:p>
      <w:pPr>
        <w:pStyle w:val="BodyText"/>
        <w:spacing w:before="9"/>
        <w:ind w:left="0" w:firstLine="0"/>
        <w:rPr>
          <w:sz w:val="18"/>
        </w:rPr>
      </w:pPr>
    </w:p>
    <w:p>
      <w:pPr>
        <w:pStyle w:val="ListParagraph"/>
        <w:numPr>
          <w:ilvl w:val="0"/>
          <w:numId w:val="17"/>
        </w:numPr>
        <w:tabs>
          <w:tab w:pos="1312" w:val="left" w:leader="none"/>
        </w:tabs>
        <w:spacing w:line="364" w:lineRule="auto" w:before="0" w:after="0"/>
        <w:ind w:left="120" w:right="377" w:firstLine="479"/>
        <w:jc w:val="both"/>
        <w:rPr>
          <w:sz w:val="24"/>
        </w:rPr>
      </w:pPr>
      <w:r>
        <w:rPr>
          <w:spacing w:val="-4"/>
          <w:sz w:val="24"/>
        </w:rPr>
        <w:t>单独或合计持有本基金总份额 </w:t>
      </w:r>
      <w:r>
        <w:rPr>
          <w:rFonts w:ascii="Times New Roman" w:eastAsia="Times New Roman"/>
          <w:sz w:val="24"/>
        </w:rPr>
        <w:t>10</w:t>
      </w:r>
      <w:r>
        <w:rPr>
          <w:sz w:val="24"/>
        </w:rPr>
        <w:t>％以上（</w:t>
      </w:r>
      <w:r>
        <w:rPr>
          <w:spacing w:val="-22"/>
          <w:sz w:val="24"/>
        </w:rPr>
        <w:t>含 </w:t>
      </w:r>
      <w:r>
        <w:rPr>
          <w:rFonts w:ascii="Times New Roman" w:eastAsia="Times New Roman"/>
          <w:sz w:val="24"/>
        </w:rPr>
        <w:t>10</w:t>
      </w:r>
      <w:r>
        <w:rPr>
          <w:sz w:val="24"/>
        </w:rPr>
        <w:t>％）</w:t>
      </w:r>
      <w:r>
        <w:rPr>
          <w:spacing w:val="-2"/>
          <w:sz w:val="24"/>
        </w:rPr>
        <w:t>基金份额的基金</w:t>
      </w:r>
      <w:r>
        <w:rPr>
          <w:spacing w:val="-7"/>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17"/>
        </w:numPr>
        <w:tabs>
          <w:tab w:pos="1322" w:val="left" w:leader="none"/>
        </w:tabs>
        <w:spacing w:line="364" w:lineRule="auto" w:before="2" w:after="0"/>
        <w:ind w:left="120" w:right="384"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364" w:lineRule="auto" w:before="2"/>
        <w:ind w:right="381"/>
      </w:pPr>
      <w:r>
        <w:rPr>
          <w:rFonts w:ascii="Times New Roman" w:eastAsia="Times New Roman"/>
        </w:rPr>
        <w:t>2</w:t>
      </w:r>
      <w:r>
        <w:rPr/>
        <w:t>、以下情况可由基金管理人和基金托管人协商后修改，不需召开基金份额持有人大会：</w:t>
      </w:r>
    </w:p>
    <w:p>
      <w:pPr>
        <w:pStyle w:val="ListParagraph"/>
        <w:numPr>
          <w:ilvl w:val="0"/>
          <w:numId w:val="18"/>
        </w:numPr>
        <w:tabs>
          <w:tab w:pos="1202" w:val="left" w:leader="none"/>
        </w:tabs>
        <w:spacing w:line="240" w:lineRule="auto" w:before="1" w:after="0"/>
        <w:ind w:left="1201" w:right="0" w:hanging="602"/>
        <w:jc w:val="left"/>
        <w:rPr>
          <w:sz w:val="24"/>
        </w:rPr>
      </w:pPr>
      <w:r>
        <w:rPr>
          <w:sz w:val="24"/>
        </w:rPr>
        <w:t>调低基金管理费、基金托管费、销售服务费；</w:t>
      </w:r>
    </w:p>
    <w:p>
      <w:pPr>
        <w:pStyle w:val="ListParagraph"/>
        <w:numPr>
          <w:ilvl w:val="0"/>
          <w:numId w:val="18"/>
        </w:numPr>
        <w:tabs>
          <w:tab w:pos="1202" w:val="left" w:leader="none"/>
        </w:tabs>
        <w:spacing w:line="240" w:lineRule="auto" w:before="161" w:after="0"/>
        <w:ind w:left="1201" w:right="0" w:hanging="602"/>
        <w:jc w:val="left"/>
        <w:rPr>
          <w:sz w:val="24"/>
        </w:rPr>
      </w:pPr>
      <w:r>
        <w:rPr>
          <w:sz w:val="24"/>
        </w:rPr>
        <w:t>法律法规要求增加的基金费用的收取；</w:t>
      </w:r>
    </w:p>
    <w:p>
      <w:pPr>
        <w:pStyle w:val="ListParagraph"/>
        <w:numPr>
          <w:ilvl w:val="0"/>
          <w:numId w:val="18"/>
        </w:numPr>
        <w:tabs>
          <w:tab w:pos="1202" w:val="left" w:leader="none"/>
        </w:tabs>
        <w:spacing w:line="240" w:lineRule="auto" w:before="160" w:after="0"/>
        <w:ind w:left="1201" w:right="0" w:hanging="602"/>
        <w:jc w:val="left"/>
        <w:rPr>
          <w:sz w:val="24"/>
        </w:rPr>
      </w:pPr>
      <w:r>
        <w:rPr>
          <w:spacing w:val="-8"/>
          <w:sz w:val="24"/>
        </w:rPr>
        <w:t>在《基金合同》规定的范围内变更本基金的申购费率、降低赎回费率；</w:t>
      </w:r>
    </w:p>
    <w:p>
      <w:pPr>
        <w:spacing w:after="0" w:line="240" w:lineRule="auto"/>
        <w:jc w:val="left"/>
        <w:rPr>
          <w:sz w:val="24"/>
        </w:rPr>
        <w:sectPr>
          <w:pgSz w:w="11910" w:h="16840"/>
          <w:pgMar w:header="0" w:footer="914" w:top="1580" w:bottom="1180" w:left="1680" w:right="1420"/>
        </w:sectPr>
      </w:pPr>
    </w:p>
    <w:p>
      <w:pPr>
        <w:pStyle w:val="ListParagraph"/>
        <w:numPr>
          <w:ilvl w:val="0"/>
          <w:numId w:val="18"/>
        </w:numPr>
        <w:tabs>
          <w:tab w:pos="1202" w:val="left" w:leader="none"/>
        </w:tabs>
        <w:spacing w:line="240" w:lineRule="auto" w:before="61" w:after="0"/>
        <w:ind w:left="1201" w:right="0" w:hanging="602"/>
        <w:jc w:val="left"/>
        <w:rPr>
          <w:sz w:val="24"/>
        </w:rPr>
      </w:pPr>
      <w:r>
        <w:rPr>
          <w:sz w:val="24"/>
        </w:rPr>
        <w:t>因相应的法律法规发生变动而应当对《基金合同》进行修改；</w:t>
      </w:r>
    </w:p>
    <w:p>
      <w:pPr>
        <w:pStyle w:val="ListParagraph"/>
        <w:numPr>
          <w:ilvl w:val="0"/>
          <w:numId w:val="18"/>
        </w:numPr>
        <w:tabs>
          <w:tab w:pos="1202" w:val="left" w:leader="none"/>
        </w:tabs>
        <w:spacing w:line="364" w:lineRule="auto" w:before="160" w:after="0"/>
        <w:ind w:left="120" w:right="377" w:firstLine="479"/>
        <w:jc w:val="left"/>
        <w:rPr>
          <w:sz w:val="24"/>
        </w:rPr>
      </w:pPr>
      <w:r>
        <w:rPr>
          <w:spacing w:val="-7"/>
          <w:sz w:val="24"/>
        </w:rPr>
        <w:t>《基金合同》的修改对基金份额持有人利益无实质性不利影响或修改</w:t>
      </w:r>
      <w:r>
        <w:rPr>
          <w:spacing w:val="-4"/>
          <w:sz w:val="24"/>
        </w:rPr>
        <w:t>不涉及基金合同当事人权利义务关系发生变化；</w:t>
      </w:r>
    </w:p>
    <w:p>
      <w:pPr>
        <w:pStyle w:val="ListParagraph"/>
        <w:numPr>
          <w:ilvl w:val="0"/>
          <w:numId w:val="18"/>
        </w:numPr>
        <w:tabs>
          <w:tab w:pos="1202" w:val="left" w:leader="none"/>
        </w:tabs>
        <w:spacing w:line="364" w:lineRule="auto" w:before="2" w:after="0"/>
        <w:ind w:left="120" w:right="384" w:firstLine="479"/>
        <w:jc w:val="left"/>
        <w:rPr>
          <w:sz w:val="24"/>
        </w:rPr>
      </w:pPr>
      <w:r>
        <w:rPr>
          <w:spacing w:val="-1"/>
          <w:sz w:val="24"/>
        </w:rPr>
        <w:t>除按照法律法规和《基金合同》规定应当召开基金份额持有人大会的</w:t>
      </w:r>
      <w:r>
        <w:rPr>
          <w:sz w:val="24"/>
        </w:rPr>
        <w:t>以外的其他情形。</w:t>
      </w:r>
    </w:p>
    <w:p>
      <w:pPr>
        <w:pStyle w:val="BodyText"/>
        <w:spacing w:before="0"/>
        <w:ind w:left="0" w:firstLine="0"/>
      </w:pPr>
    </w:p>
    <w:p>
      <w:pPr>
        <w:pStyle w:val="BodyText"/>
        <w:spacing w:before="10"/>
        <w:ind w:left="0" w:firstLine="0"/>
      </w:pPr>
    </w:p>
    <w:p>
      <w:pPr>
        <w:spacing w:before="0"/>
        <w:ind w:left="602" w:right="0" w:firstLine="0"/>
        <w:jc w:val="left"/>
        <w:rPr>
          <w:b/>
          <w:sz w:val="24"/>
        </w:rPr>
      </w:pPr>
      <w:r>
        <w:rPr>
          <w:b/>
          <w:sz w:val="24"/>
        </w:rPr>
        <w:t>（二）会议召集人及召集方式</w:t>
      </w:r>
    </w:p>
    <w:p>
      <w:pPr>
        <w:pStyle w:val="BodyText"/>
        <w:spacing w:line="364" w:lineRule="auto" w:before="81"/>
        <w:ind w:right="382"/>
      </w:pPr>
      <w:r>
        <w:rPr>
          <w:rFonts w:ascii="Times New Roman" w:eastAsia="Times New Roman"/>
        </w:rPr>
        <w:t>1</w:t>
      </w:r>
      <w:r>
        <w:rPr/>
        <w:t>、除法律法规规定或《基金合同》另有约定外，基金份额持有人大会由基金管理人召集。</w:t>
      </w:r>
    </w:p>
    <w:p>
      <w:pPr>
        <w:pStyle w:val="BodyText"/>
        <w:spacing w:line="307" w:lineRule="exact" w:before="0"/>
        <w:ind w:left="600" w:firstLine="0"/>
      </w:pPr>
      <w:r>
        <w:rPr>
          <w:rFonts w:ascii="Times New Roman" w:eastAsia="Times New Roman"/>
        </w:rPr>
        <w:t>2</w:t>
      </w:r>
      <w:r>
        <w:rPr/>
        <w:t>、基金管理人未按规定召集或不能召集时，由基金托管人召集。</w:t>
      </w:r>
    </w:p>
    <w:p>
      <w:pPr>
        <w:pStyle w:val="BodyText"/>
        <w:spacing w:line="364" w:lineRule="auto"/>
        <w:ind w:right="375"/>
        <w:jc w:val="both"/>
      </w:pPr>
      <w:r>
        <w:rPr>
          <w:rFonts w:ascii="Times New Roman" w:eastAsia="Times New Roman"/>
        </w:rPr>
        <w:t>3</w:t>
      </w:r>
      <w:r>
        <w:rPr/>
        <w:t>、基金托管人认为有必要召开基金份额持有人大会的，应当向基金管理人</w:t>
      </w:r>
      <w:r>
        <w:rPr>
          <w:spacing w:val="-2"/>
        </w:rPr>
        <w:t>提出书面提议。基金管理人应当自收到书面提议之日起 </w:t>
      </w:r>
      <w:r>
        <w:rPr>
          <w:rFonts w:ascii="Times New Roman" w:eastAsia="Times New Roman"/>
        </w:rPr>
        <w:t>10 </w:t>
      </w:r>
      <w:r>
        <w:rPr>
          <w:spacing w:val="-2"/>
        </w:rPr>
        <w:t>日内决定是否召集， </w:t>
      </w:r>
      <w:r>
        <w:rPr/>
        <w:t>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日内召开；基金管理人决定不召集，基金托管人仍认为有必要召开的，应当由基金托管人自行召集。</w:t>
      </w:r>
    </w:p>
    <w:p>
      <w:pPr>
        <w:pStyle w:val="BodyText"/>
        <w:spacing w:line="364" w:lineRule="auto" w:before="75"/>
        <w:ind w:right="377"/>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的基金份额持有人就同一事项书面要</w:t>
      </w:r>
      <w:r>
        <w:rPr>
          <w:spacing w:val="-7"/>
        </w:rPr>
        <w:t>求召开基金份额持有人大会，应当向基金管理人提出书面提议。基金管理人应当</w:t>
      </w:r>
      <w:r>
        <w:rPr>
          <w:spacing w:val="-5"/>
        </w:rPr>
        <w:t>自收到书面提议之日起 </w:t>
      </w:r>
      <w:r>
        <w:rPr>
          <w:rFonts w:ascii="Times New Roman" w:eastAsia="Times New Roman"/>
        </w:rPr>
        <w:t>10 </w:t>
      </w:r>
      <w:r>
        <w:rPr>
          <w:spacing w:val="-1"/>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2"/>
        </w:rPr>
        <w:t>日内召开；基金管理人决定不召集，代表基金份额 </w:t>
      </w:r>
      <w:r>
        <w:rPr>
          <w:rFonts w:ascii="Times New Roman" w:eastAsia="Times New Roman"/>
        </w:rPr>
        <w:t>10%</w:t>
      </w:r>
      <w:r>
        <w:rPr/>
        <w:t>以上（</w:t>
      </w:r>
      <w:r>
        <w:rPr>
          <w:spacing w:val="-23"/>
        </w:rPr>
        <w:t>含 </w:t>
      </w:r>
      <w:r>
        <w:rPr>
          <w:rFonts w:ascii="Times New Roman" w:eastAsia="Times New Roman"/>
        </w:rPr>
        <w:t>10%</w:t>
      </w:r>
      <w:r>
        <w:rPr/>
        <w:t>）</w:t>
      </w:r>
      <w:r>
        <w:rPr>
          <w:spacing w:val="-8"/>
        </w:rPr>
        <w:t>的基</w:t>
      </w:r>
      <w:r>
        <w:rPr>
          <w:spacing w:val="-6"/>
        </w:rPr>
        <w:t>金份额持有人仍认为有必要召开的，应当向基金托管人提出书面提议。基金托管</w:t>
      </w:r>
      <w:r>
        <w:rPr>
          <w:spacing w:val="-4"/>
        </w:rPr>
        <w:t>人应当自收到书面提议之日起 </w:t>
      </w:r>
      <w:r>
        <w:rPr>
          <w:rFonts w:ascii="Times New Roman" w:eastAsia="Times New Roman"/>
        </w:rPr>
        <w:t>10 </w:t>
      </w:r>
      <w:r>
        <w:rPr>
          <w:spacing w:val="-1"/>
        </w:rPr>
        <w:t>日内决定是否召集，并书面告知提出提议的基</w:t>
      </w:r>
      <w:r>
        <w:rPr>
          <w:spacing w:val="-7"/>
        </w:rPr>
        <w:t>金份额持有人代表和基金管理人；基金托管人决定召集的，应当自出具书面决定</w:t>
      </w:r>
      <w:r>
        <w:rPr>
          <w:spacing w:val="-16"/>
        </w:rPr>
        <w:t>之日起 </w:t>
      </w:r>
      <w:r>
        <w:rPr>
          <w:rFonts w:ascii="Times New Roman" w:eastAsia="Times New Roman"/>
        </w:rPr>
        <w:t>60 </w:t>
      </w:r>
      <w:r>
        <w:rPr/>
        <w:t>日内召开。</w:t>
      </w:r>
    </w:p>
    <w:p>
      <w:pPr>
        <w:pStyle w:val="BodyText"/>
        <w:spacing w:line="364" w:lineRule="auto" w:before="6"/>
        <w:ind w:right="257"/>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）的基金份额持有人就同一事项要求召</w:t>
      </w:r>
      <w:r>
        <w:rPr>
          <w:spacing w:val="-6"/>
        </w:rPr>
        <w:t>开基金份额持有人大会，而基金管理人、基金托管人都不召集的，单独或合计代</w:t>
      </w:r>
      <w:r>
        <w:rPr>
          <w:spacing w:val="-7"/>
        </w:rPr>
        <w:t>表基金份额 </w:t>
      </w:r>
      <w:r>
        <w:rPr>
          <w:rFonts w:ascii="Times New Roman" w:eastAsia="Times New Roman"/>
        </w:rPr>
        <w:t>10%</w:t>
      </w:r>
      <w:r>
        <w:rPr/>
        <w:t>以上（</w:t>
      </w:r>
      <w:r>
        <w:rPr>
          <w:spacing w:val="-4"/>
        </w:rPr>
        <w:t>含 </w:t>
      </w:r>
      <w:r>
        <w:rPr>
          <w:rFonts w:ascii="Times New Roman" w:eastAsia="Times New Roman"/>
        </w:rPr>
        <w:t>10%</w:t>
      </w:r>
      <w:r>
        <w:rPr/>
        <w:t>）的基金份额持有人有权自行召集，并至少提前</w:t>
      </w:r>
      <w:r>
        <w:rPr>
          <w:rFonts w:ascii="Times New Roman" w:eastAsia="Times New Roman"/>
        </w:rPr>
        <w:t>30</w:t>
      </w:r>
      <w:r>
        <w:rPr>
          <w:rFonts w:ascii="Times New Roman" w:eastAsia="Times New Roman"/>
          <w:spacing w:val="-1"/>
        </w:rPr>
        <w:t> </w:t>
      </w:r>
      <w:r>
        <w:rPr>
          <w:spacing w:val="-5"/>
        </w:rPr>
        <w:t>日报中国证监会备案。基金份额持有人依法自行召集基金份额持有人大会的， </w:t>
      </w:r>
      <w:r>
        <w:rPr/>
        <w:t>基金管理人、基金托管人应当配合，不得阻碍、干扰。</w:t>
      </w:r>
    </w:p>
    <w:p>
      <w:pPr>
        <w:spacing w:after="0" w:line="364" w:lineRule="auto"/>
        <w:sectPr>
          <w:pgSz w:w="11910" w:h="16840"/>
          <w:pgMar w:header="0" w:footer="914" w:top="1440" w:bottom="1180" w:left="1680" w:right="1420"/>
        </w:sectPr>
      </w:pPr>
    </w:p>
    <w:p>
      <w:pPr>
        <w:pStyle w:val="BodyText"/>
        <w:spacing w:line="364" w:lineRule="auto" w:before="61"/>
        <w:ind w:right="384"/>
      </w:pPr>
      <w:r>
        <w:rPr>
          <w:rFonts w:ascii="Times New Roman" w:eastAsia="Times New Roman"/>
        </w:rPr>
        <w:t>6</w:t>
      </w:r>
      <w:r>
        <w:rPr/>
        <w:t>、基金份额持有人会议的召集人负责选择确定开会时间、地点、方式和权益登记日。</w:t>
      </w:r>
    </w:p>
    <w:p>
      <w:pPr>
        <w:pStyle w:val="BodyText"/>
        <w:spacing w:before="0"/>
        <w:ind w:left="0" w:firstLine="0"/>
      </w:pPr>
    </w:p>
    <w:p>
      <w:pPr>
        <w:spacing w:before="162"/>
        <w:ind w:left="602" w:right="0" w:firstLine="0"/>
        <w:jc w:val="left"/>
        <w:rPr>
          <w:b/>
          <w:sz w:val="24"/>
        </w:rPr>
      </w:pPr>
      <w:r>
        <w:rPr>
          <w:b/>
          <w:sz w:val="24"/>
        </w:rPr>
        <w:t>（三）召开基金份额持有人大会的通知时间、通知内容、通知方式</w:t>
      </w:r>
    </w:p>
    <w:p>
      <w:pPr>
        <w:pStyle w:val="BodyText"/>
        <w:spacing w:line="364" w:lineRule="auto" w:before="160"/>
        <w:ind w:right="376"/>
      </w:pPr>
      <w:r>
        <w:rPr>
          <w:rFonts w:ascii="Times New Roman" w:eastAsia="Times New Roman"/>
        </w:rPr>
        <w:t>1</w:t>
      </w:r>
      <w:r>
        <w:rPr>
          <w:spacing w:val="-11"/>
        </w:rPr>
        <w:t>、召开基金份额持有人大会，召集人应于会议召开前 </w:t>
      </w:r>
      <w:r>
        <w:rPr>
          <w:rFonts w:ascii="Times New Roman" w:eastAsia="Times New Roman"/>
        </w:rPr>
        <w:t>40 </w:t>
      </w:r>
      <w:r>
        <w:rPr>
          <w:spacing w:val="-7"/>
        </w:rPr>
        <w:t>天，在指定媒介上</w:t>
      </w:r>
      <w:r>
        <w:rPr/>
        <w:t>公告。基金份额持有人大会通知应至少载明以下内容：</w:t>
      </w:r>
    </w:p>
    <w:p>
      <w:pPr>
        <w:pStyle w:val="ListParagraph"/>
        <w:numPr>
          <w:ilvl w:val="0"/>
          <w:numId w:val="19"/>
        </w:numPr>
        <w:tabs>
          <w:tab w:pos="1202" w:val="left" w:leader="none"/>
        </w:tabs>
        <w:spacing w:line="240" w:lineRule="auto" w:before="1" w:after="0"/>
        <w:ind w:left="1201" w:right="0" w:hanging="602"/>
        <w:jc w:val="left"/>
        <w:rPr>
          <w:sz w:val="24"/>
        </w:rPr>
      </w:pPr>
      <w:r>
        <w:rPr>
          <w:sz w:val="24"/>
        </w:rPr>
        <w:t>会议召开的时间、地点、方式和会议形式；</w:t>
      </w:r>
    </w:p>
    <w:p>
      <w:pPr>
        <w:pStyle w:val="ListParagraph"/>
        <w:numPr>
          <w:ilvl w:val="0"/>
          <w:numId w:val="19"/>
        </w:numPr>
        <w:tabs>
          <w:tab w:pos="1202" w:val="left" w:leader="none"/>
        </w:tabs>
        <w:spacing w:line="240" w:lineRule="auto" w:before="161" w:after="0"/>
        <w:ind w:left="1201" w:right="0" w:hanging="602"/>
        <w:jc w:val="left"/>
        <w:rPr>
          <w:sz w:val="24"/>
        </w:rPr>
      </w:pPr>
      <w:r>
        <w:rPr>
          <w:sz w:val="24"/>
        </w:rPr>
        <w:t>会议拟审议的事项、议事程序和表决形式；</w:t>
      </w:r>
    </w:p>
    <w:p>
      <w:pPr>
        <w:pStyle w:val="ListParagraph"/>
        <w:numPr>
          <w:ilvl w:val="0"/>
          <w:numId w:val="19"/>
        </w:numPr>
        <w:tabs>
          <w:tab w:pos="1202" w:val="left" w:leader="none"/>
        </w:tabs>
        <w:spacing w:line="240" w:lineRule="auto" w:before="161" w:after="0"/>
        <w:ind w:left="1201" w:right="0" w:hanging="602"/>
        <w:jc w:val="left"/>
        <w:rPr>
          <w:sz w:val="24"/>
        </w:rPr>
      </w:pPr>
      <w:r>
        <w:rPr>
          <w:sz w:val="24"/>
        </w:rPr>
        <w:t>有权出席基金份额持有人大会的基金份额持有人的权益登记日；</w:t>
      </w:r>
    </w:p>
    <w:p>
      <w:pPr>
        <w:pStyle w:val="ListParagraph"/>
        <w:numPr>
          <w:ilvl w:val="0"/>
          <w:numId w:val="19"/>
        </w:numPr>
        <w:tabs>
          <w:tab w:pos="1202" w:val="left" w:leader="none"/>
        </w:tabs>
        <w:spacing w:line="364" w:lineRule="auto" w:before="160" w:after="0"/>
        <w:ind w:left="120" w:right="384" w:firstLine="479"/>
        <w:jc w:val="left"/>
        <w:rPr>
          <w:sz w:val="24"/>
        </w:rPr>
      </w:pPr>
      <w:r>
        <w:rPr>
          <w:sz w:val="24"/>
        </w:rPr>
        <w:t>授权委托书的内容要求（</w:t>
      </w:r>
      <w:r>
        <w:rPr>
          <w:spacing w:val="-1"/>
          <w:sz w:val="24"/>
        </w:rPr>
        <w:t>包括但不限于代理人身份，代理权限和代理</w:t>
      </w:r>
      <w:r>
        <w:rPr>
          <w:sz w:val="24"/>
        </w:rPr>
        <w:t>有效期限等</w:t>
      </w:r>
      <w:r>
        <w:rPr>
          <w:spacing w:val="-120"/>
          <w:sz w:val="24"/>
        </w:rPr>
        <w:t>）</w:t>
      </w:r>
      <w:r>
        <w:rPr>
          <w:sz w:val="24"/>
        </w:rPr>
        <w:t>、送达时间和地点；</w:t>
      </w:r>
    </w:p>
    <w:p>
      <w:pPr>
        <w:pStyle w:val="ListParagraph"/>
        <w:numPr>
          <w:ilvl w:val="0"/>
          <w:numId w:val="19"/>
        </w:numPr>
        <w:tabs>
          <w:tab w:pos="1202" w:val="left" w:leader="none"/>
        </w:tabs>
        <w:spacing w:line="240" w:lineRule="auto" w:before="2" w:after="0"/>
        <w:ind w:left="1201" w:right="0" w:hanging="602"/>
        <w:jc w:val="left"/>
        <w:rPr>
          <w:sz w:val="24"/>
        </w:rPr>
      </w:pPr>
      <w:r>
        <w:rPr>
          <w:sz w:val="24"/>
        </w:rPr>
        <w:t>会务常设联系人姓名及联系电话。</w:t>
      </w:r>
    </w:p>
    <w:p>
      <w:pPr>
        <w:pStyle w:val="BodyText"/>
        <w:spacing w:line="364" w:lineRule="auto" w:before="160"/>
        <w:ind w:right="377"/>
        <w:jc w:val="both"/>
      </w:pPr>
      <w:r>
        <w:rPr>
          <w:rFonts w:ascii="Times New Roman" w:eastAsia="Times New Roman"/>
        </w:rPr>
        <w:t>2</w:t>
      </w:r>
      <w:r>
        <w:rPr/>
        <w:t>、采取通讯开会方式并进行表决的情况下，由会议召集人决定通讯方式和</w:t>
      </w:r>
      <w:r>
        <w:rPr>
          <w:spacing w:val="-11"/>
        </w:rPr>
        <w:t>书面表决方式，并在会议通知中说明本次基金份额持有人大会所采取的具体通讯</w:t>
      </w:r>
      <w:r>
        <w:rPr>
          <w:spacing w:val="-10"/>
        </w:rPr>
        <w:t>方式、委托的公证机关及其联系方式和联系人、书面表决意见提交的截止时间和</w:t>
      </w:r>
      <w:r>
        <w:rPr/>
        <w:t>收取方式。</w:t>
      </w:r>
    </w:p>
    <w:p>
      <w:pPr>
        <w:pStyle w:val="BodyText"/>
        <w:spacing w:line="364" w:lineRule="auto" w:before="3"/>
        <w:ind w:right="283"/>
      </w:pPr>
      <w:r>
        <w:rPr>
          <w:rFonts w:ascii="Times New Roman" w:eastAsia="Times New Roman"/>
        </w:rPr>
        <w:t>3</w:t>
      </w:r>
      <w:r>
        <w:rPr/>
        <w:t>、如召集人为基金管理人，还应另行书面通知基金托管人到指定地点对书</w:t>
      </w:r>
      <w:r>
        <w:rPr>
          <w:spacing w:val="-6"/>
        </w:rPr>
        <w:t>面表决意见的计票进行监督；如召集人为基金托管人，则应另行书面通知基金管</w:t>
      </w:r>
      <w:r>
        <w:rPr>
          <w:spacing w:val="-7"/>
        </w:rPr>
        <w:t>理人到指定地点对书面表决意见的计票进行监督；如召集人为基金份额持有人， </w:t>
      </w:r>
      <w:r>
        <w:rPr/>
        <w:t>则应另行书面通知基金管理人和基金托管人到指定地点对书面表决意见的计票</w:t>
      </w:r>
      <w:r>
        <w:rPr>
          <w:spacing w:val="-10"/>
        </w:rPr>
        <w:t>进行监督。基金管理人或基金托管人拒不派代表对书面表决意见的计票进行监督的，不影响表决意见的计票结果。</w:t>
      </w:r>
    </w:p>
    <w:p>
      <w:pPr>
        <w:pStyle w:val="BodyText"/>
        <w:spacing w:before="0"/>
        <w:ind w:left="0" w:firstLine="0"/>
      </w:pPr>
    </w:p>
    <w:p>
      <w:pPr>
        <w:spacing w:before="164"/>
        <w:ind w:left="602" w:right="0" w:firstLine="0"/>
        <w:jc w:val="left"/>
        <w:rPr>
          <w:b/>
          <w:sz w:val="24"/>
        </w:rPr>
      </w:pPr>
      <w:r>
        <w:rPr>
          <w:b/>
          <w:sz w:val="24"/>
        </w:rPr>
        <w:t>（四）基金份额持有人出席会议的方式</w:t>
      </w:r>
    </w:p>
    <w:p>
      <w:pPr>
        <w:pStyle w:val="BodyText"/>
        <w:ind w:left="600" w:firstLine="0"/>
      </w:pPr>
      <w:r>
        <w:rPr/>
        <w:t>基金份额持有人大会可通过现场开会方式或通讯开会方式召开。</w:t>
      </w:r>
    </w:p>
    <w:p>
      <w:pPr>
        <w:pStyle w:val="BodyText"/>
        <w:spacing w:line="364" w:lineRule="auto"/>
        <w:ind w:right="378"/>
      </w:pPr>
      <w:r>
        <w:rPr>
          <w:spacing w:val="-7"/>
        </w:rPr>
        <w:t>会议的召开方式由会议召集人确定，但更换基金管理人和基金托管人必须以</w:t>
      </w:r>
      <w:r>
        <w:rPr/>
        <w:t>现场开会方式召开。</w:t>
      </w:r>
    </w:p>
    <w:p>
      <w:pPr>
        <w:pStyle w:val="BodyText"/>
        <w:spacing w:line="364" w:lineRule="auto" w:before="1"/>
        <w:ind w:right="377"/>
      </w:pPr>
      <w:r>
        <w:rPr>
          <w:rFonts w:ascii="Times New Roman" w:eastAsia="Times New Roman"/>
        </w:rPr>
        <w:t>1</w:t>
      </w:r>
      <w:r>
        <w:rPr/>
        <w:t>、现场开会。由基金份额持有人本人出席或以代理投票授权委托书委派代</w:t>
      </w:r>
      <w:r>
        <w:rPr>
          <w:spacing w:val="-12"/>
        </w:rPr>
        <w:t>表出席，现场开会时基金管理人和基金托管人的授权代表应当列席基金份额持有</w:t>
      </w:r>
    </w:p>
    <w:p>
      <w:pPr>
        <w:spacing w:after="0" w:line="364" w:lineRule="auto"/>
        <w:sectPr>
          <w:pgSz w:w="11910" w:h="16840"/>
          <w:pgMar w:header="0" w:footer="914" w:top="1440" w:bottom="1180" w:left="1680" w:right="1420"/>
        </w:sectPr>
      </w:pPr>
    </w:p>
    <w:p>
      <w:pPr>
        <w:pStyle w:val="BodyText"/>
        <w:spacing w:line="364" w:lineRule="auto" w:before="41"/>
        <w:ind w:right="377" w:firstLine="0"/>
      </w:pPr>
      <w:r>
        <w:rPr>
          <w:spacing w:val="-10"/>
        </w:rPr>
        <w:t>人大会，基金管理人或托管人不派代表列席的，不影响表决效力。现场开会同时</w:t>
      </w:r>
      <w:r>
        <w:rPr/>
        <w:t>符合以下条件时，可以进行基金份额持有人大会议程：</w:t>
      </w:r>
    </w:p>
    <w:p>
      <w:pPr>
        <w:pStyle w:val="ListParagraph"/>
        <w:numPr>
          <w:ilvl w:val="0"/>
          <w:numId w:val="20"/>
        </w:numPr>
        <w:tabs>
          <w:tab w:pos="1202" w:val="left" w:leader="none"/>
        </w:tabs>
        <w:spacing w:line="364" w:lineRule="auto" w:before="1" w:after="0"/>
        <w:ind w:left="120" w:right="257" w:firstLine="479"/>
        <w:jc w:val="left"/>
        <w:rPr>
          <w:sz w:val="24"/>
        </w:rPr>
      </w:pPr>
      <w:r>
        <w:rPr>
          <w:sz w:val="24"/>
        </w:rPr>
        <w:t>亲自出席会议者持有基金份额的凭证、受托出席会议者出具的委托人持有基金份额的凭证及委托人的代理投票授权委托书符合法律法规</w:t>
      </w:r>
      <w:r>
        <w:rPr>
          <w:spacing w:val="-35"/>
          <w:sz w:val="24"/>
        </w:rPr>
        <w:t>、《基金合同》</w:t>
      </w:r>
      <w:r>
        <w:rPr>
          <w:sz w:val="24"/>
        </w:rPr>
        <w:t>和会议通知的规定，并且持有基金份额的凭证与基金管理人持有的登记资料相符；</w:t>
      </w:r>
    </w:p>
    <w:p>
      <w:pPr>
        <w:pStyle w:val="ListParagraph"/>
        <w:numPr>
          <w:ilvl w:val="0"/>
          <w:numId w:val="20"/>
        </w:numPr>
        <w:tabs>
          <w:tab w:pos="1202" w:val="left" w:leader="none"/>
        </w:tabs>
        <w:spacing w:line="364" w:lineRule="auto" w:before="3" w:after="0"/>
        <w:ind w:left="120" w:right="384" w:firstLine="479"/>
        <w:jc w:val="left"/>
        <w:rPr>
          <w:sz w:val="24"/>
        </w:rPr>
      </w:pPr>
      <w:r>
        <w:rPr>
          <w:spacing w:val="-1"/>
          <w:sz w:val="24"/>
        </w:rPr>
        <w:t>经核对，汇总到会者出示的在权益登记日持有基金份额的凭证显示， </w:t>
      </w:r>
      <w:r>
        <w:rPr>
          <w:spacing w:val="-3"/>
          <w:sz w:val="24"/>
        </w:rPr>
        <w:t>有效的基金份额不少于本基金在权益登记日基金总份额的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pStyle w:val="BodyText"/>
        <w:spacing w:line="364" w:lineRule="auto" w:before="1"/>
        <w:ind w:right="376"/>
        <w:jc w:val="both"/>
      </w:pPr>
      <w:r>
        <w:rPr>
          <w:rFonts w:ascii="Times New Roman" w:eastAsia="Times New Roman"/>
        </w:rPr>
        <w:t>2</w:t>
      </w:r>
      <w:r>
        <w:rPr/>
        <w:t>、通讯开会。通讯开会系指基金份额持有人将其对表决事项的投票以书面</w:t>
      </w:r>
      <w:r>
        <w:rPr>
          <w:spacing w:val="-6"/>
        </w:rPr>
        <w:t>形式在表决截至日以前提交至召集人指定的地址。通讯开会应以书面方式进行表</w:t>
      </w:r>
      <w:r>
        <w:rPr/>
        <w:t>决。</w:t>
      </w:r>
    </w:p>
    <w:p>
      <w:pPr>
        <w:pStyle w:val="BodyText"/>
        <w:spacing w:before="2"/>
        <w:ind w:left="600" w:firstLine="0"/>
      </w:pPr>
      <w:r>
        <w:rPr/>
        <w:t>在同时符合以下条件时，通讯开会的方式视为有效：</w:t>
      </w:r>
    </w:p>
    <w:p>
      <w:pPr>
        <w:pStyle w:val="ListParagraph"/>
        <w:numPr>
          <w:ilvl w:val="0"/>
          <w:numId w:val="21"/>
        </w:numPr>
        <w:tabs>
          <w:tab w:pos="1202" w:val="left" w:leader="none"/>
        </w:tabs>
        <w:spacing w:line="364" w:lineRule="auto" w:before="161" w:after="0"/>
        <w:ind w:left="120" w:right="376" w:firstLine="479"/>
        <w:jc w:val="both"/>
        <w:rPr>
          <w:sz w:val="24"/>
        </w:rPr>
      </w:pPr>
      <w:r>
        <w:rPr>
          <w:spacing w:val="-2"/>
          <w:sz w:val="24"/>
        </w:rPr>
        <w:t>会议召集人按《基金合同》规定公布会议通知后，在 </w:t>
      </w:r>
      <w:r>
        <w:rPr>
          <w:rFonts w:ascii="Times New Roman" w:eastAsia="Times New Roman"/>
          <w:sz w:val="24"/>
        </w:rPr>
        <w:t>2</w:t>
      </w:r>
      <w:r>
        <w:rPr>
          <w:rFonts w:ascii="Times New Roman" w:eastAsia="Times New Roman"/>
          <w:spacing w:val="13"/>
          <w:sz w:val="24"/>
        </w:rPr>
        <w:t> </w:t>
      </w:r>
      <w:r>
        <w:rPr>
          <w:spacing w:val="-3"/>
          <w:sz w:val="24"/>
        </w:rPr>
        <w:t>个工作日内连</w:t>
      </w:r>
      <w:r>
        <w:rPr>
          <w:sz w:val="24"/>
        </w:rPr>
        <w:t>续公布相关提示性公告；</w:t>
      </w:r>
    </w:p>
    <w:p>
      <w:pPr>
        <w:pStyle w:val="ListParagraph"/>
        <w:numPr>
          <w:ilvl w:val="0"/>
          <w:numId w:val="21"/>
        </w:numPr>
        <w:tabs>
          <w:tab w:pos="1202" w:val="left" w:leader="none"/>
        </w:tabs>
        <w:spacing w:line="364" w:lineRule="auto" w:before="1" w:after="0"/>
        <w:ind w:left="120" w:right="376" w:firstLine="479"/>
        <w:jc w:val="both"/>
        <w:rPr>
          <w:sz w:val="24"/>
        </w:rPr>
      </w:pPr>
      <w:r>
        <w:rPr>
          <w:sz w:val="24"/>
        </w:rPr>
        <w:t>会议召集人在基金托管人（如果基金托管人为召集人，则为基金管理人</w:t>
      </w:r>
      <w:r>
        <w:rPr>
          <w:spacing w:val="-94"/>
          <w:sz w:val="24"/>
        </w:rPr>
        <w:t>）</w:t>
      </w:r>
      <w:r>
        <w:rPr>
          <w:spacing w:val="-1"/>
          <w:sz w:val="24"/>
        </w:rPr>
        <w:t>和公证机关的监督下按照会议通知规定的方式收取基金份额持有人的书面表</w:t>
      </w:r>
      <w:r>
        <w:rPr>
          <w:spacing w:val="-10"/>
          <w:sz w:val="24"/>
        </w:rPr>
        <w:t>决意见；基金托管人或基金管理人经通知不参加收取书面表决意见的，不影响表</w:t>
      </w:r>
      <w:r>
        <w:rPr>
          <w:sz w:val="24"/>
        </w:rPr>
        <w:t>决效力；</w:t>
      </w:r>
    </w:p>
    <w:p>
      <w:pPr>
        <w:pStyle w:val="ListParagraph"/>
        <w:numPr>
          <w:ilvl w:val="0"/>
          <w:numId w:val="21"/>
        </w:numPr>
        <w:tabs>
          <w:tab w:pos="1262" w:val="left" w:leader="none"/>
        </w:tabs>
        <w:spacing w:line="364" w:lineRule="auto" w:before="3" w:after="0"/>
        <w:ind w:left="120" w:right="376" w:firstLine="539"/>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pStyle w:val="ListParagraph"/>
        <w:numPr>
          <w:ilvl w:val="0"/>
          <w:numId w:val="21"/>
        </w:numPr>
        <w:tabs>
          <w:tab w:pos="1202" w:val="left" w:leader="none"/>
        </w:tabs>
        <w:spacing w:line="364" w:lineRule="auto" w:before="1" w:after="0"/>
        <w:ind w:left="120" w:right="373" w:firstLine="479"/>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6"/>
          <w:sz w:val="24"/>
        </w:rPr>
        <w:t>人出具书面意见的代理人，同时提交的持有基金份额的凭证、委托出具书面意见</w:t>
      </w:r>
      <w:r>
        <w:rPr>
          <w:sz w:val="24"/>
        </w:rPr>
        <w:t>的代理人出具的委托人持有基金份额的凭证及委托人的代理投票授权委托书符</w:t>
      </w:r>
      <w:r>
        <w:rPr>
          <w:spacing w:val="-12"/>
          <w:sz w:val="24"/>
        </w:rPr>
        <w:t>合法律法规、《基金合同》和会议通知的规定，并与基金登记注册机构记录相符；</w:t>
      </w:r>
    </w:p>
    <w:p>
      <w:pPr>
        <w:pStyle w:val="ListParagraph"/>
        <w:numPr>
          <w:ilvl w:val="0"/>
          <w:numId w:val="21"/>
        </w:numPr>
        <w:tabs>
          <w:tab w:pos="1202" w:val="left" w:leader="none"/>
        </w:tabs>
        <w:spacing w:line="240" w:lineRule="auto" w:before="3" w:after="0"/>
        <w:ind w:left="1201" w:right="0" w:hanging="602"/>
        <w:jc w:val="left"/>
        <w:rPr>
          <w:sz w:val="24"/>
        </w:rPr>
      </w:pPr>
      <w:r>
        <w:rPr>
          <w:sz w:val="24"/>
        </w:rPr>
        <w:t>会议通知公布前报中国证监会备案。</w:t>
      </w:r>
    </w:p>
    <w:p>
      <w:pPr>
        <w:pStyle w:val="BodyText"/>
        <w:spacing w:line="364" w:lineRule="auto" w:before="160"/>
        <w:ind w:right="377"/>
        <w:jc w:val="both"/>
      </w:pPr>
      <w:r>
        <w:rPr>
          <w:rFonts w:ascii="Times New Roman" w:eastAsia="Times New Roman"/>
        </w:rPr>
        <w:t>3</w:t>
      </w:r>
      <w:r>
        <w:rPr/>
        <w:t>、在法律法规、监管机构允许的情况下，经会议通知载明，基金份额持有</w:t>
      </w:r>
      <w:r>
        <w:rPr>
          <w:spacing w:val="-8"/>
        </w:rPr>
        <w:t>人也可以采用网络、电话或其他方式进行表决，或者采用网络、电话或其他方式</w:t>
      </w:r>
      <w:r>
        <w:rPr/>
        <w:t>授权他人代为出席会议并表决。</w:t>
      </w:r>
    </w:p>
    <w:p>
      <w:pPr>
        <w:spacing w:after="0" w:line="364" w:lineRule="auto"/>
        <w:jc w:val="both"/>
        <w:sectPr>
          <w:pgSz w:w="11910" w:h="16840"/>
          <w:pgMar w:header="0" w:footer="914" w:top="1460" w:bottom="1180" w:left="1680" w:right="1420"/>
        </w:sectPr>
      </w:pPr>
    </w:p>
    <w:p>
      <w:pPr>
        <w:spacing w:before="41"/>
        <w:ind w:left="602" w:right="0" w:firstLine="0"/>
        <w:jc w:val="left"/>
        <w:rPr>
          <w:b/>
          <w:sz w:val="24"/>
        </w:rPr>
      </w:pPr>
      <w:r>
        <w:rPr>
          <w:b/>
          <w:sz w:val="24"/>
        </w:rPr>
        <w:t>（五）议事内容与程序</w:t>
      </w:r>
    </w:p>
    <w:p>
      <w:pPr>
        <w:pStyle w:val="BodyText"/>
        <w:spacing w:before="160"/>
        <w:ind w:left="600" w:firstLine="0"/>
      </w:pPr>
      <w:r>
        <w:rPr>
          <w:rFonts w:ascii="Times New Roman" w:eastAsia="Times New Roman"/>
        </w:rPr>
        <w:t>1</w:t>
      </w:r>
      <w:r>
        <w:rPr/>
        <w:t>、议事内容及提案权</w:t>
      </w:r>
    </w:p>
    <w:p>
      <w:pPr>
        <w:pStyle w:val="BodyText"/>
        <w:spacing w:line="364" w:lineRule="auto"/>
        <w:ind w:right="376"/>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376"/>
        <w:jc w:val="both"/>
      </w:pPr>
      <w:r>
        <w:rPr>
          <w:spacing w:val="-11"/>
        </w:rPr>
        <w:t>基金管理人、基金托管人、单独或合并持有权益登记日基金总份额 </w:t>
      </w:r>
      <w:r>
        <w:rPr>
          <w:rFonts w:ascii="Times New Roman" w:eastAsia="Times New Roman"/>
          <w:spacing w:val="-10"/>
        </w:rPr>
        <w:t>10%</w:t>
      </w:r>
      <w:r>
        <w:rPr>
          <w:spacing w:val="-10"/>
        </w:rPr>
        <w:t>（</w:t>
      </w:r>
      <w:r>
        <w:rPr>
          <w:spacing w:val="-12"/>
        </w:rPr>
        <w:t>含</w:t>
      </w:r>
      <w:r>
        <w:rPr>
          <w:rFonts w:ascii="Times New Roman" w:eastAsia="Times New Roman"/>
          <w:spacing w:val="-14"/>
        </w:rPr>
        <w:t>10%</w:t>
      </w:r>
      <w:r>
        <w:rPr>
          <w:spacing w:val="-14"/>
        </w:rPr>
        <w:t>）</w:t>
      </w:r>
      <w:r>
        <w:rPr>
          <w:spacing w:val="-1"/>
        </w:rPr>
        <w:t>以上的基金份额持有人可以在大会召集人发出会议通知前向大会召集人提</w:t>
      </w:r>
      <w:r>
        <w:rPr>
          <w:spacing w:val="-6"/>
        </w:rPr>
        <w:t>交需由基金份额持有人大会审议表决的提案；也可以在会议通知发出后向大会召</w:t>
      </w:r>
      <w:r>
        <w:rPr>
          <w:spacing w:val="-2"/>
        </w:rPr>
        <w:t>集人提交临时提案，临时提案应当在大会召开日至少 </w:t>
      </w:r>
      <w:r>
        <w:rPr>
          <w:rFonts w:ascii="Times New Roman" w:eastAsia="Times New Roman"/>
        </w:rPr>
        <w:t>35 </w:t>
      </w:r>
      <w:r>
        <w:rPr>
          <w:spacing w:val="-2"/>
        </w:rPr>
        <w:t>天前提交召集人并由召</w:t>
      </w:r>
      <w:r>
        <w:rPr/>
        <w:t>集人公告。</w:t>
      </w:r>
    </w:p>
    <w:p>
      <w:pPr>
        <w:pStyle w:val="BodyText"/>
        <w:spacing w:line="364" w:lineRule="auto" w:before="4"/>
        <w:ind w:right="377"/>
        <w:jc w:val="both"/>
      </w:pPr>
      <w:r>
        <w:rPr>
          <w:spacing w:val="-5"/>
        </w:rPr>
        <w:t>基金份额持有人大会的召集人发出召集会议的通知后，对原有提案的修改应</w:t>
      </w:r>
      <w:r>
        <w:rPr>
          <w:spacing w:val="-4"/>
        </w:rPr>
        <w:t>当在基金份额持有人大会召开日 </w:t>
      </w:r>
      <w:r>
        <w:rPr>
          <w:rFonts w:ascii="Times New Roman" w:eastAsia="Times New Roman"/>
        </w:rPr>
        <w:t>30 </w:t>
      </w:r>
      <w:r>
        <w:rPr/>
        <w:t>天前公告。</w:t>
      </w:r>
    </w:p>
    <w:p>
      <w:pPr>
        <w:pStyle w:val="BodyText"/>
        <w:spacing w:before="1"/>
        <w:ind w:left="600" w:firstLine="0"/>
      </w:pPr>
      <w:r>
        <w:rPr/>
        <w:t>基金份额持有人大会不得对未事先公告的议事内容进行表决。</w:t>
      </w:r>
    </w:p>
    <w:p>
      <w:pPr>
        <w:pStyle w:val="BodyText"/>
        <w:spacing w:line="364" w:lineRule="auto"/>
        <w:ind w:right="377"/>
        <w:jc w:val="both"/>
      </w:pPr>
      <w:r>
        <w:rPr>
          <w:spacing w:val="-10"/>
        </w:rPr>
        <w:t>召集人对于基金管理人、基金托管人和基金份额持有人提交的临时提案进行</w:t>
      </w:r>
      <w:r>
        <w:rPr>
          <w:spacing w:val="-3"/>
        </w:rPr>
        <w:t>审核，符合条件的应当在大会召开日 </w:t>
      </w:r>
      <w:r>
        <w:rPr>
          <w:rFonts w:ascii="Times New Roman" w:eastAsia="Times New Roman"/>
        </w:rPr>
        <w:t>30 </w:t>
      </w:r>
      <w:r>
        <w:rPr>
          <w:spacing w:val="-1"/>
        </w:rPr>
        <w:t>天前公告。大会召集人应当按照以下原</w:t>
      </w:r>
      <w:r>
        <w:rPr/>
        <w:t>则对提案进行审核：</w:t>
      </w:r>
    </w:p>
    <w:p>
      <w:pPr>
        <w:pStyle w:val="ListParagraph"/>
        <w:numPr>
          <w:ilvl w:val="0"/>
          <w:numId w:val="22"/>
        </w:numPr>
        <w:tabs>
          <w:tab w:pos="1202" w:val="left" w:leader="none"/>
        </w:tabs>
        <w:spacing w:line="364" w:lineRule="auto" w:before="2" w:after="0"/>
        <w:ind w:left="120" w:right="377" w:firstLine="479"/>
        <w:jc w:val="both"/>
        <w:rPr>
          <w:sz w:val="24"/>
        </w:rPr>
      </w:pPr>
      <w:r>
        <w:rPr>
          <w:sz w:val="24"/>
        </w:rPr>
        <w:t>关联性。大会召集人对于提案涉及事项与基金有直接关系，并且不超</w:t>
      </w:r>
      <w:r>
        <w:rPr>
          <w:spacing w:val="-11"/>
          <w:sz w:val="24"/>
        </w:rPr>
        <w:t>出法律法规和《基金合同》规定的基金份额持有人大会职权范围的，应提交大会</w:t>
      </w:r>
      <w:r>
        <w:rPr>
          <w:spacing w:val="-10"/>
          <w:sz w:val="24"/>
        </w:rPr>
        <w:t>审议；对于不符合上述要求的，不提交基金份额持有人大会审议。如果召集人决</w:t>
      </w:r>
      <w:r>
        <w:rPr>
          <w:spacing w:val="-6"/>
          <w:sz w:val="24"/>
        </w:rPr>
        <w:t>定不将基金份额持有人提案提交大会表决，应当在该次基金份额持有人大会上进</w:t>
      </w:r>
      <w:r>
        <w:rPr>
          <w:sz w:val="24"/>
        </w:rPr>
        <w:t>行解释和说明。</w:t>
      </w:r>
    </w:p>
    <w:p>
      <w:pPr>
        <w:pStyle w:val="ListParagraph"/>
        <w:numPr>
          <w:ilvl w:val="0"/>
          <w:numId w:val="22"/>
        </w:numPr>
        <w:tabs>
          <w:tab w:pos="1202" w:val="left" w:leader="none"/>
        </w:tabs>
        <w:spacing w:line="364" w:lineRule="auto" w:before="3" w:after="0"/>
        <w:ind w:left="120" w:right="377" w:firstLine="479"/>
        <w:jc w:val="both"/>
        <w:rPr>
          <w:sz w:val="24"/>
        </w:rPr>
      </w:pPr>
      <w:r>
        <w:rPr>
          <w:sz w:val="24"/>
        </w:rPr>
        <w:t>程序性。大会召集人可以对提案涉及的程序性问题做出决定。如将提</w:t>
      </w:r>
      <w:r>
        <w:rPr>
          <w:spacing w:val="-7"/>
          <w:sz w:val="24"/>
        </w:rPr>
        <w:t>案进行分拆或合并表决，需征得原提案人同意；原提案人不同意变更的，大会主</w:t>
      </w:r>
      <w:r>
        <w:rPr>
          <w:spacing w:val="-5"/>
          <w:sz w:val="24"/>
        </w:rPr>
        <w:t>持人可以就程序性问题提请基金份额持有人大会做出决定，并按照基金份额持有</w:t>
      </w:r>
      <w:r>
        <w:rPr>
          <w:sz w:val="24"/>
        </w:rPr>
        <w:t>人大会决定的程序进行审议。</w:t>
      </w:r>
    </w:p>
    <w:p>
      <w:pPr>
        <w:pStyle w:val="BodyText"/>
        <w:spacing w:line="364" w:lineRule="auto" w:before="3"/>
        <w:ind w:right="377"/>
        <w:jc w:val="both"/>
      </w:pPr>
      <w:r>
        <w:rPr>
          <w:spacing w:val="-1"/>
        </w:rPr>
        <w:t>单独或合并持有权益登记日基金总份额 </w:t>
      </w:r>
      <w:r>
        <w:rPr>
          <w:rFonts w:ascii="Times New Roman" w:eastAsia="Times New Roman"/>
        </w:rPr>
        <w:t>10%</w:t>
      </w:r>
      <w:r>
        <w:rPr/>
        <w:t>（</w:t>
      </w:r>
      <w:r>
        <w:rPr>
          <w:spacing w:val="-5"/>
        </w:rPr>
        <w:t>含 </w:t>
      </w:r>
      <w:r>
        <w:rPr>
          <w:rFonts w:ascii="Times New Roman" w:eastAsia="Times New Roman"/>
        </w:rPr>
        <w:t>10%</w:t>
      </w:r>
      <w:r>
        <w:rPr/>
        <w:t>）</w:t>
      </w:r>
      <w:r>
        <w:rPr>
          <w:spacing w:val="-2"/>
        </w:rPr>
        <w:t>以上的基金份额持</w:t>
      </w:r>
      <w:r>
        <w:rPr>
          <w:spacing w:val="-6"/>
        </w:rPr>
        <w:t>有人提交基金份额持有人大会审议表决的提案，或基金管理人或基金托管人提交基金份额持有人大会审议表决的提案，未获基金份额持有人大会审议通过，就同</w:t>
      </w:r>
    </w:p>
    <w:p>
      <w:pPr>
        <w:spacing w:after="0" w:line="364" w:lineRule="auto"/>
        <w:jc w:val="both"/>
        <w:sectPr>
          <w:pgSz w:w="11910" w:h="16840"/>
          <w:pgMar w:header="0" w:footer="914" w:top="1460" w:bottom="1180" w:left="1680" w:right="1420"/>
        </w:sectPr>
      </w:pPr>
    </w:p>
    <w:p>
      <w:pPr>
        <w:pStyle w:val="BodyText"/>
        <w:spacing w:line="364" w:lineRule="auto" w:before="61"/>
        <w:ind w:right="379" w:firstLine="0"/>
      </w:pPr>
      <w:r>
        <w:rPr>
          <w:spacing w:val="-6"/>
        </w:rPr>
        <w:t>一提案再次提请基金份额持有人大会审议，其时间间隔不少于 </w:t>
      </w:r>
      <w:r>
        <w:rPr>
          <w:rFonts w:ascii="Times New Roman" w:eastAsia="Times New Roman"/>
        </w:rPr>
        <w:t>6 </w:t>
      </w:r>
      <w:r>
        <w:rPr>
          <w:spacing w:val="-11"/>
        </w:rPr>
        <w:t>个月。法律法规</w:t>
      </w:r>
      <w:r>
        <w:rPr/>
        <w:t>另有规定除外。</w:t>
      </w:r>
    </w:p>
    <w:p>
      <w:pPr>
        <w:pStyle w:val="BodyText"/>
        <w:spacing w:line="364" w:lineRule="auto" w:before="1"/>
        <w:ind w:right="376"/>
      </w:pPr>
      <w:r>
        <w:rPr>
          <w:spacing w:val="-5"/>
        </w:rPr>
        <w:t>基金份额持有人大会的召集人发出召开会议的通知后，如果需要对原有提案</w:t>
      </w:r>
      <w:r>
        <w:rPr>
          <w:spacing w:val="-3"/>
        </w:rPr>
        <w:t>进行修改，应当最迟在基金份额持有人大会召开前 </w:t>
      </w:r>
      <w:r>
        <w:rPr>
          <w:rFonts w:ascii="Times New Roman" w:eastAsia="Times New Roman"/>
        </w:rPr>
        <w:t>30 </w:t>
      </w:r>
      <w:r>
        <w:rPr>
          <w:spacing w:val="-2"/>
        </w:rPr>
        <w:t>日公告。否则，会议的召</w:t>
      </w:r>
    </w:p>
    <w:p>
      <w:pPr>
        <w:pStyle w:val="BodyText"/>
        <w:spacing w:before="1"/>
        <w:ind w:firstLine="0"/>
      </w:pPr>
      <w:r>
        <w:rPr/>
        <w:t>开日期应当顺延并保证至少与公告日期有 </w:t>
      </w:r>
      <w:r>
        <w:rPr>
          <w:rFonts w:ascii="Times New Roman" w:eastAsia="Times New Roman"/>
        </w:rPr>
        <w:t>30 </w:t>
      </w:r>
      <w:r>
        <w:rPr/>
        <w:t>日的间隔期。</w:t>
      </w:r>
    </w:p>
    <w:p>
      <w:pPr>
        <w:pStyle w:val="BodyText"/>
        <w:ind w:left="600" w:firstLine="0"/>
      </w:pPr>
      <w:r>
        <w:rPr>
          <w:rFonts w:ascii="Times New Roman" w:eastAsia="Times New Roman"/>
        </w:rPr>
        <w:t>2</w:t>
      </w:r>
      <w:r>
        <w:rPr/>
        <w:t>、议事程序</w:t>
      </w:r>
    </w:p>
    <w:p>
      <w:pPr>
        <w:pStyle w:val="ListParagraph"/>
        <w:numPr>
          <w:ilvl w:val="0"/>
          <w:numId w:val="23"/>
        </w:numPr>
        <w:tabs>
          <w:tab w:pos="1202" w:val="left" w:leader="none"/>
        </w:tabs>
        <w:spacing w:line="240" w:lineRule="auto" w:before="160" w:after="0"/>
        <w:ind w:left="1201" w:right="0" w:hanging="602"/>
        <w:jc w:val="left"/>
        <w:rPr>
          <w:sz w:val="24"/>
        </w:rPr>
      </w:pPr>
      <w:r>
        <w:rPr>
          <w:sz w:val="24"/>
        </w:rPr>
        <w:t>现场开会</w:t>
      </w:r>
    </w:p>
    <w:p>
      <w:pPr>
        <w:pStyle w:val="BodyText"/>
        <w:spacing w:line="364" w:lineRule="auto"/>
        <w:ind w:right="283"/>
      </w:pPr>
      <w:r>
        <w:rPr>
          <w:spacing w:val="-10"/>
        </w:rPr>
        <w:t>在现场开会的方式下，首先由大会主持人按照下列第七条规定程序确定和公</w:t>
      </w:r>
      <w:r>
        <w:rPr>
          <w:spacing w:val="-11"/>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6"/>
        </w:rPr>
        <w:t>代表和基金托管人授权代表均未能主持大会，则由出席大会的基金份额持有人所</w:t>
      </w:r>
      <w:r>
        <w:rPr>
          <w:spacing w:val="-15"/>
        </w:rPr>
        <w:t>持表决权的 </w:t>
      </w:r>
      <w:r>
        <w:rPr>
          <w:rFonts w:ascii="Times New Roman" w:eastAsia="Times New Roman"/>
        </w:rPr>
        <w:t>50%</w:t>
      </w:r>
      <w:r>
        <w:rPr/>
        <w:t>以上（</w:t>
      </w:r>
      <w:r>
        <w:rPr>
          <w:spacing w:val="-4"/>
        </w:rPr>
        <w:t>含 </w:t>
      </w:r>
      <w:r>
        <w:rPr>
          <w:rFonts w:ascii="Times New Roman" w:eastAsia="Times New Roman"/>
        </w:rPr>
        <w:t>50%</w:t>
      </w:r>
      <w:r>
        <w:rPr/>
        <w:t>）选举产生一名基金份额持有人作为该次基金份</w:t>
      </w:r>
      <w:r>
        <w:rPr>
          <w:spacing w:val="-9"/>
        </w:rPr>
        <w:t>额持有人大会的主持人。基金管理人和基金托管人不出席或主持基金份额持有人大会，不影响基金份额持有人大会作出的决议的效力。</w:t>
      </w:r>
    </w:p>
    <w:p>
      <w:pPr>
        <w:pStyle w:val="BodyText"/>
        <w:spacing w:before="5"/>
        <w:ind w:left="600" w:firstLine="0"/>
      </w:pPr>
      <w:r>
        <w:rPr/>
        <w:t>会议召集人应当制作出席会议人员的签名册。签名册载明参加会议人员姓名</w:t>
      </w:r>
    </w:p>
    <w:p>
      <w:pPr>
        <w:pStyle w:val="BodyText"/>
        <w:spacing w:line="364" w:lineRule="auto"/>
        <w:ind w:right="384" w:firstLine="0"/>
      </w:pPr>
      <w:r>
        <w:rPr/>
        <w:t>（或单位名称</w:t>
      </w:r>
      <w:r>
        <w:rPr>
          <w:spacing w:val="-118"/>
        </w:rPr>
        <w:t>）</w:t>
      </w:r>
      <w:r>
        <w:rPr>
          <w:spacing w:val="-1"/>
        </w:rPr>
        <w:t>、身份证号码、住所地址、持有或代表有表决权的基金份额、委</w:t>
      </w:r>
      <w:r>
        <w:rPr/>
        <w:t>托人姓名（或单位名称）等事项。</w:t>
      </w:r>
    </w:p>
    <w:p>
      <w:pPr>
        <w:pStyle w:val="ListParagraph"/>
        <w:numPr>
          <w:ilvl w:val="0"/>
          <w:numId w:val="23"/>
        </w:numPr>
        <w:tabs>
          <w:tab w:pos="1202" w:val="left" w:leader="none"/>
        </w:tabs>
        <w:spacing w:line="240" w:lineRule="auto" w:before="1" w:after="0"/>
        <w:ind w:left="1201" w:right="0" w:hanging="602"/>
        <w:jc w:val="left"/>
        <w:rPr>
          <w:sz w:val="24"/>
        </w:rPr>
      </w:pPr>
      <w:r>
        <w:rPr>
          <w:sz w:val="24"/>
        </w:rPr>
        <w:t>通讯开会</w:t>
      </w:r>
    </w:p>
    <w:p>
      <w:pPr>
        <w:pStyle w:val="BodyText"/>
        <w:ind w:left="600" w:firstLine="0"/>
      </w:pPr>
      <w:r>
        <w:rPr/>
        <w:t>在通讯开会的情况下，首先由召集人提前 </w:t>
      </w:r>
      <w:r>
        <w:rPr>
          <w:rFonts w:ascii="Times New Roman" w:eastAsia="Times New Roman"/>
        </w:rPr>
        <w:t>30 </w:t>
      </w:r>
      <w:r>
        <w:rPr/>
        <w:t>日公布提案，在所通知的表决</w:t>
      </w:r>
    </w:p>
    <w:p>
      <w:pPr>
        <w:pStyle w:val="BodyText"/>
        <w:spacing w:line="364" w:lineRule="auto" w:before="160"/>
        <w:ind w:right="376" w:firstLine="0"/>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0"/>
        <w:ind w:left="0" w:firstLine="0"/>
      </w:pPr>
    </w:p>
    <w:p>
      <w:pPr>
        <w:spacing w:before="162"/>
        <w:ind w:left="602" w:right="0" w:firstLine="0"/>
        <w:jc w:val="left"/>
        <w:rPr>
          <w:b/>
          <w:sz w:val="24"/>
        </w:rPr>
      </w:pPr>
      <w:r>
        <w:rPr>
          <w:b/>
          <w:sz w:val="24"/>
        </w:rPr>
        <w:t>（六）表决</w:t>
      </w:r>
    </w:p>
    <w:p>
      <w:pPr>
        <w:pStyle w:val="BodyText"/>
        <w:spacing w:line="364" w:lineRule="auto"/>
        <w:ind w:left="600" w:right="2685" w:firstLine="0"/>
      </w:pPr>
      <w:r>
        <w:rPr/>
        <w:t>基金份额持有人所持每份基金份额有一票表决权。 </w:t>
      </w:r>
      <w:r>
        <w:rPr>
          <w:spacing w:val="-1"/>
        </w:rPr>
        <w:t>基金份额持有人大会决议分为一般决议和特别决议：</w:t>
      </w:r>
    </w:p>
    <w:p>
      <w:pPr>
        <w:pStyle w:val="BodyText"/>
        <w:spacing w:line="364" w:lineRule="auto" w:before="1"/>
        <w:ind w:right="379"/>
        <w:jc w:val="both"/>
      </w:pPr>
      <w:r>
        <w:rPr>
          <w:rFonts w:ascii="Times New Roman" w:eastAsia="Times New Roman"/>
        </w:rPr>
        <w:t>1</w:t>
      </w:r>
      <w:r>
        <w:rPr/>
        <w:t>、一般决议，一般决议须经参加大会的基金份额持有人或其代理人所持表</w:t>
      </w:r>
      <w:r>
        <w:rPr>
          <w:spacing w:val="-9"/>
        </w:rPr>
        <w:t>决权的 </w:t>
      </w:r>
      <w:r>
        <w:rPr>
          <w:rFonts w:ascii="Times New Roman" w:eastAsia="Times New Roman"/>
        </w:rPr>
        <w:t>50%</w:t>
      </w:r>
      <w:r>
        <w:rPr/>
        <w:t>以上（</w:t>
      </w:r>
      <w:r>
        <w:rPr>
          <w:spacing w:val="-17"/>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w:t>
      </w:r>
      <w:r>
        <w:rPr/>
        <w:t>议通过事项以外的其他事项均以一般决议的方式通过。</w:t>
      </w:r>
    </w:p>
    <w:p>
      <w:pPr>
        <w:spacing w:after="0" w:line="364" w:lineRule="auto"/>
        <w:jc w:val="both"/>
        <w:sectPr>
          <w:pgSz w:w="11910" w:h="16840"/>
          <w:pgMar w:header="0" w:footer="914" w:top="1440" w:bottom="1180" w:left="1680" w:right="1420"/>
        </w:sectPr>
      </w:pPr>
    </w:p>
    <w:p>
      <w:pPr>
        <w:pStyle w:val="BodyText"/>
        <w:spacing w:line="364" w:lineRule="auto" w:before="61"/>
        <w:ind w:right="379"/>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t>基金管理人或者基金托管人、终止《基金合同》以特别决议通过方为有效。</w:t>
      </w:r>
    </w:p>
    <w:p>
      <w:pPr>
        <w:pStyle w:val="BodyText"/>
        <w:spacing w:before="2"/>
        <w:ind w:left="600" w:firstLine="0"/>
      </w:pPr>
      <w:r>
        <w:rPr/>
        <w:t>基金份额持有人大会采取记名方式进行投票表决。</w:t>
      </w:r>
    </w:p>
    <w:p>
      <w:pPr>
        <w:pStyle w:val="BodyText"/>
        <w:spacing w:line="364" w:lineRule="auto" w:before="160"/>
        <w:ind w:right="376"/>
        <w:jc w:val="both"/>
      </w:pPr>
      <w:r>
        <w:rPr>
          <w:spacing w:val="-7"/>
        </w:rPr>
        <w:t>采取通讯方式进行表决时，除非在计票时有充分的相反证据证明，提交符合</w:t>
      </w:r>
      <w:r>
        <w:rPr>
          <w:spacing w:val="-5"/>
        </w:rPr>
        <w:t>会议通知中规定的确认投资者身份文件的表决视为有效出席的投资者，符合会议</w:t>
      </w:r>
      <w:r>
        <w:rPr>
          <w:spacing w:val="-7"/>
        </w:rPr>
        <w:t>通知规定的书面表决意见视为有效表决，表决意见模糊不清或相互矛盾的视为弃</w:t>
      </w:r>
      <w:r>
        <w:rPr/>
        <w:t>权表决，但应当计入出具书面意见的基金份额持有人所代表的基金份额总数。</w:t>
      </w:r>
    </w:p>
    <w:p>
      <w:pPr>
        <w:pStyle w:val="BodyText"/>
        <w:spacing w:line="364" w:lineRule="auto" w:before="3"/>
        <w:ind w:right="370"/>
      </w:pPr>
      <w:r>
        <w:rPr/>
        <w:t>基金份额持有人大会的各项提案或同一项提案内并列的各项议题应当分开审议、逐项表决。</w:t>
      </w:r>
    </w:p>
    <w:p>
      <w:pPr>
        <w:pStyle w:val="BodyText"/>
        <w:spacing w:before="0"/>
        <w:ind w:left="0" w:firstLine="0"/>
      </w:pPr>
    </w:p>
    <w:p>
      <w:pPr>
        <w:spacing w:before="162"/>
        <w:ind w:left="602" w:right="0" w:firstLine="0"/>
        <w:jc w:val="left"/>
        <w:rPr>
          <w:b/>
          <w:sz w:val="24"/>
        </w:rPr>
      </w:pPr>
      <w:r>
        <w:rPr>
          <w:b/>
          <w:sz w:val="24"/>
        </w:rPr>
        <w:t>（七）计票</w:t>
      </w:r>
    </w:p>
    <w:p>
      <w:pPr>
        <w:pStyle w:val="BodyText"/>
        <w:spacing w:before="160"/>
        <w:ind w:left="600" w:firstLine="0"/>
      </w:pPr>
      <w:r>
        <w:rPr>
          <w:rFonts w:ascii="Times New Roman" w:eastAsia="Times New Roman"/>
        </w:rPr>
        <w:t>1</w:t>
      </w:r>
      <w:r>
        <w:rPr/>
        <w:t>、现场开会</w:t>
      </w:r>
    </w:p>
    <w:p>
      <w:pPr>
        <w:pStyle w:val="ListParagraph"/>
        <w:numPr>
          <w:ilvl w:val="0"/>
          <w:numId w:val="24"/>
        </w:numPr>
        <w:tabs>
          <w:tab w:pos="1202" w:val="left" w:leader="none"/>
        </w:tabs>
        <w:spacing w:line="364" w:lineRule="auto" w:before="161" w:after="0"/>
        <w:ind w:left="120" w:right="375" w:firstLine="479"/>
        <w:jc w:val="both"/>
        <w:rPr>
          <w:sz w:val="24"/>
        </w:rPr>
      </w:pPr>
      <w:r>
        <w:rPr>
          <w:sz w:val="24"/>
        </w:rPr>
        <w:t>如大会由基金管理人或基金托管人召集，基金份额持有人大会的主持人应当在会议开始后宣布在出席会议的基金份额持有人中选举两名基金份额持</w:t>
      </w:r>
      <w:r>
        <w:rPr>
          <w:spacing w:val="-5"/>
          <w:sz w:val="24"/>
        </w:rPr>
        <w:t>有人代表与大会召集人授权的一名监督员共同担任监票人；如大会由基金份额持有人自行召集或大会虽然由基金管理人或基金托管人召集，但是基金管理人或基</w:t>
      </w:r>
      <w:r>
        <w:rPr>
          <w:spacing w:val="-10"/>
          <w:sz w:val="24"/>
        </w:rPr>
        <w:t>金托管人未出席大会的，基金份额持有人大会的主持人应当在会议开始后宣布在</w:t>
      </w:r>
      <w:r>
        <w:rPr>
          <w:spacing w:val="-4"/>
          <w:sz w:val="24"/>
        </w:rPr>
        <w:t>出席会议的基金份额持有人中选举三名基金份额持有人代表担任监票人。基金管</w:t>
      </w:r>
      <w:r>
        <w:rPr>
          <w:sz w:val="24"/>
        </w:rPr>
        <w:t>理人或基金托管人不出席大会的，不影响计票的效力。</w:t>
      </w:r>
    </w:p>
    <w:p>
      <w:pPr>
        <w:pStyle w:val="ListParagraph"/>
        <w:numPr>
          <w:ilvl w:val="0"/>
          <w:numId w:val="24"/>
        </w:numPr>
        <w:tabs>
          <w:tab w:pos="1202" w:val="left" w:leader="none"/>
        </w:tabs>
        <w:spacing w:line="364" w:lineRule="auto" w:before="4" w:after="0"/>
        <w:ind w:left="120" w:right="384"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24"/>
        </w:numPr>
        <w:tabs>
          <w:tab w:pos="1202" w:val="left" w:leader="none"/>
        </w:tabs>
        <w:spacing w:line="364" w:lineRule="auto" w:before="2" w:after="0"/>
        <w:ind w:left="120" w:right="257" w:firstLine="479"/>
        <w:jc w:val="both"/>
        <w:rPr>
          <w:sz w:val="24"/>
        </w:rPr>
      </w:pPr>
      <w:r>
        <w:rPr>
          <w:sz w:val="24"/>
        </w:rPr>
        <w:t>如果会议主持人或基金份额持有人对于提交的表决结果有怀疑，可以在宣布表决结果后立即对所投票数要求进行重新清点。监票人应当进行重新清</w:t>
      </w:r>
      <w:r>
        <w:rPr>
          <w:spacing w:val="-17"/>
          <w:sz w:val="24"/>
        </w:rPr>
        <w:t>点，重新清点以一次为限。重新清点后，大会主持人应当当场公布重新清点结果。</w:t>
      </w:r>
    </w:p>
    <w:p>
      <w:pPr>
        <w:pStyle w:val="ListParagraph"/>
        <w:numPr>
          <w:ilvl w:val="0"/>
          <w:numId w:val="24"/>
        </w:numPr>
        <w:tabs>
          <w:tab w:pos="1202" w:val="left" w:leader="none"/>
        </w:tabs>
        <w:spacing w:line="364" w:lineRule="auto" w:before="2" w:after="0"/>
        <w:ind w:left="120" w:right="376"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spacing w:before="1"/>
        <w:ind w:left="600" w:firstLine="0"/>
      </w:pPr>
      <w:r>
        <w:rPr>
          <w:rFonts w:ascii="Times New Roman" w:eastAsia="Times New Roman"/>
        </w:rPr>
        <w:t>2</w:t>
      </w:r>
      <w:r>
        <w:rPr/>
        <w:t>、通讯开会</w:t>
      </w:r>
    </w:p>
    <w:p>
      <w:pPr>
        <w:pStyle w:val="BodyText"/>
        <w:ind w:left="600" w:firstLine="0"/>
      </w:pPr>
      <w:r>
        <w:rPr/>
        <w:t>在通讯开会的情况下，计票方式为：由大会召集人授权的两名监督员在基金</w:t>
      </w:r>
    </w:p>
    <w:p>
      <w:pPr>
        <w:spacing w:after="0"/>
        <w:sectPr>
          <w:pgSz w:w="11910" w:h="16840"/>
          <w:pgMar w:header="0" w:footer="914" w:top="1440" w:bottom="1180" w:left="1680" w:right="1420"/>
        </w:sectPr>
      </w:pPr>
    </w:p>
    <w:p>
      <w:pPr>
        <w:pStyle w:val="BodyText"/>
        <w:spacing w:line="364" w:lineRule="auto" w:before="41"/>
        <w:ind w:right="377" w:firstLine="0"/>
        <w:jc w:val="both"/>
      </w:pPr>
      <w:r>
        <w:rPr>
          <w:spacing w:val="-5"/>
        </w:rPr>
        <w:t>托管人授权代表</w:t>
      </w:r>
      <w:r>
        <w:rPr/>
        <w:t>（</w:t>
      </w:r>
      <w:r>
        <w:rPr>
          <w:spacing w:val="-4"/>
        </w:rPr>
        <w:t>若由基金托管人召集，则为基金管理人授权代表</w:t>
      </w:r>
      <w:r>
        <w:rPr>
          <w:spacing w:val="-32"/>
        </w:rPr>
        <w:t>）</w:t>
      </w:r>
      <w:r>
        <w:rPr>
          <w:spacing w:val="-3"/>
        </w:rPr>
        <w:t>的监督下进</w:t>
      </w:r>
      <w:r>
        <w:rPr>
          <w:spacing w:val="-10"/>
        </w:rPr>
        <w:t>行计票，并由公证机关对其计票过程予以公证。基金管理人或基金托管人拒派代</w:t>
      </w:r>
      <w:r>
        <w:rPr/>
        <w:t>表对表决意见的计票进行监督的，不影响计票和表决结果。</w:t>
      </w:r>
    </w:p>
    <w:p>
      <w:pPr>
        <w:pStyle w:val="BodyText"/>
        <w:spacing w:before="0"/>
        <w:ind w:left="0" w:firstLine="0"/>
      </w:pPr>
    </w:p>
    <w:p>
      <w:pPr>
        <w:spacing w:before="162"/>
        <w:ind w:left="602" w:right="0" w:firstLine="0"/>
        <w:jc w:val="left"/>
        <w:rPr>
          <w:b/>
          <w:sz w:val="24"/>
        </w:rPr>
      </w:pPr>
      <w:r>
        <w:rPr>
          <w:b/>
          <w:sz w:val="24"/>
        </w:rPr>
        <w:t>（八）生效与公告</w:t>
      </w:r>
    </w:p>
    <w:p>
      <w:pPr>
        <w:pStyle w:val="BodyText"/>
        <w:spacing w:line="364" w:lineRule="auto"/>
        <w:ind w:right="376"/>
      </w:pPr>
      <w:r>
        <w:rPr>
          <w:spacing w:val="-11"/>
        </w:rPr>
        <w:t>基金份额持有人大会的决议，召集人应当自通过之日起 </w:t>
      </w:r>
      <w:r>
        <w:rPr>
          <w:rFonts w:ascii="Times New Roman" w:eastAsia="Times New Roman"/>
        </w:rPr>
        <w:t>5 </w:t>
      </w:r>
      <w:r>
        <w:rPr>
          <w:spacing w:val="-2"/>
        </w:rPr>
        <w:t>日内报中国证监会</w:t>
      </w:r>
      <w:r>
        <w:rPr/>
        <w:t>核准或者备案。</w:t>
      </w:r>
    </w:p>
    <w:p>
      <w:pPr>
        <w:pStyle w:val="BodyText"/>
        <w:spacing w:line="364" w:lineRule="auto" w:before="1"/>
        <w:ind w:right="370"/>
      </w:pPr>
      <w:r>
        <w:rPr>
          <w:spacing w:val="4"/>
        </w:rPr>
        <w:t>基金份额持有人大会决定的事项自中国证监会依法核准或者出具无异议意</w:t>
      </w:r>
      <w:r>
        <w:rPr/>
        <w:t>见之日起生效。</w:t>
      </w:r>
    </w:p>
    <w:p>
      <w:pPr>
        <w:pStyle w:val="BodyText"/>
        <w:spacing w:line="364" w:lineRule="auto" w:before="2"/>
        <w:ind w:right="376"/>
        <w:jc w:val="both"/>
      </w:pPr>
      <w:r>
        <w:rPr>
          <w:spacing w:val="-4"/>
        </w:rPr>
        <w:t>基金份额持有人大会决议自生效之日起 </w:t>
      </w:r>
      <w:r>
        <w:rPr>
          <w:rFonts w:ascii="Times New Roman" w:eastAsia="Times New Roman"/>
        </w:rPr>
        <w:t>2 </w:t>
      </w:r>
      <w:r>
        <w:rPr>
          <w:spacing w:val="-11"/>
        </w:rPr>
        <w:t>日内在指定媒介公告。如果采用通</w:t>
      </w:r>
      <w:r>
        <w:rPr>
          <w:spacing w:val="-8"/>
        </w:rPr>
        <w:t>讯方式进行表决，在公告基金份额持有人大会决议时，必须将公证书全文、公证</w:t>
      </w:r>
      <w:r>
        <w:rPr/>
        <w:t>机构、公证员姓名等一同公告。</w:t>
      </w:r>
    </w:p>
    <w:p>
      <w:pPr>
        <w:pStyle w:val="BodyText"/>
        <w:spacing w:line="364" w:lineRule="auto" w:before="2"/>
        <w:ind w:right="377"/>
      </w:pPr>
      <w:r>
        <w:rPr>
          <w:spacing w:val="-11"/>
        </w:rPr>
        <w:t>基金管理人、基金托管人和基金份额持有人应当执行生效的基金份额持有人</w:t>
      </w:r>
      <w:r>
        <w:rPr/>
        <w:t>大会的决议。</w:t>
      </w:r>
    </w:p>
    <w:p>
      <w:pPr>
        <w:spacing w:line="364" w:lineRule="auto" w:before="1"/>
        <w:ind w:left="120" w:right="379" w:firstLine="482"/>
        <w:jc w:val="left"/>
        <w:rPr>
          <w:b/>
          <w:sz w:val="24"/>
        </w:rPr>
      </w:pPr>
      <w:r>
        <w:rPr>
          <w:b/>
          <w:w w:val="95"/>
          <w:sz w:val="24"/>
        </w:rPr>
        <w:t>基金份额持有人大会决议对全体基金份额持有人、基金管理人、基金托管  </w:t>
      </w:r>
      <w:r>
        <w:rPr>
          <w:b/>
          <w:sz w:val="24"/>
        </w:rPr>
        <w:t>人均有约束力。</w:t>
      </w:r>
    </w:p>
    <w:p>
      <w:pPr>
        <w:spacing w:after="0" w:line="364" w:lineRule="auto"/>
        <w:jc w:val="left"/>
        <w:rPr>
          <w:sz w:val="24"/>
        </w:rPr>
        <w:sectPr>
          <w:pgSz w:w="11910" w:h="16840"/>
          <w:pgMar w:header="0" w:footer="914" w:top="1460" w:bottom="1180" w:left="1680" w:right="1420"/>
        </w:sectPr>
      </w:pPr>
    </w:p>
    <w:p>
      <w:pPr>
        <w:pStyle w:val="BodyText"/>
        <w:spacing w:before="0"/>
        <w:ind w:left="0" w:firstLine="0"/>
        <w:rPr>
          <w:b/>
          <w:sz w:val="20"/>
        </w:rPr>
      </w:pPr>
    </w:p>
    <w:p>
      <w:pPr>
        <w:pStyle w:val="BodyText"/>
        <w:spacing w:before="0"/>
        <w:ind w:left="0" w:firstLine="0"/>
        <w:rPr>
          <w:b/>
          <w:sz w:val="20"/>
        </w:rPr>
      </w:pPr>
    </w:p>
    <w:p>
      <w:pPr>
        <w:pStyle w:val="BodyText"/>
        <w:spacing w:before="0"/>
        <w:ind w:left="0" w:firstLine="0"/>
        <w:rPr>
          <w:b/>
          <w:sz w:val="20"/>
        </w:rPr>
      </w:pPr>
    </w:p>
    <w:p>
      <w:pPr>
        <w:pStyle w:val="BodyText"/>
        <w:spacing w:before="12"/>
        <w:ind w:left="0" w:firstLine="0"/>
        <w:rPr>
          <w:b/>
        </w:rPr>
      </w:pPr>
    </w:p>
    <w:p>
      <w:pPr>
        <w:pStyle w:val="Heading1"/>
        <w:spacing w:before="66"/>
        <w:ind w:left="2" w:right="262"/>
        <w:jc w:val="center"/>
      </w:pPr>
      <w:bookmarkStart w:name="_bookmark8" w:id="9"/>
      <w:bookmarkEnd w:id="9"/>
      <w:r>
        <w:rPr>
          <w:b w:val="0"/>
        </w:rPr>
      </w:r>
      <w:r>
        <w:rPr/>
        <w:t>九、基金管理人、基金托管人的更换条件和程序</w:t>
      </w:r>
    </w:p>
    <w:p>
      <w:pPr>
        <w:pStyle w:val="BodyText"/>
        <w:spacing w:before="5"/>
        <w:ind w:left="0" w:firstLine="0"/>
        <w:rPr>
          <w:b/>
          <w:sz w:val="35"/>
        </w:rPr>
      </w:pPr>
    </w:p>
    <w:p>
      <w:pPr>
        <w:spacing w:before="0"/>
        <w:ind w:left="602" w:right="0" w:firstLine="0"/>
        <w:jc w:val="left"/>
        <w:rPr>
          <w:b/>
          <w:sz w:val="24"/>
        </w:rPr>
      </w:pPr>
      <w:r>
        <w:rPr>
          <w:b/>
          <w:sz w:val="24"/>
        </w:rPr>
        <w:t>（一）基金管理人和基金托管人职责终止的情形</w:t>
      </w:r>
    </w:p>
    <w:p>
      <w:pPr>
        <w:spacing w:before="161"/>
        <w:ind w:left="602" w:right="0" w:firstLine="0"/>
        <w:jc w:val="left"/>
        <w:rPr>
          <w:b/>
          <w:sz w:val="24"/>
        </w:rPr>
      </w:pPr>
      <w:r>
        <w:rPr>
          <w:rFonts w:ascii="Times New Roman" w:eastAsia="Times New Roman"/>
          <w:b/>
          <w:sz w:val="24"/>
        </w:rPr>
        <w:t>1</w:t>
      </w:r>
      <w:r>
        <w:rPr>
          <w:b/>
          <w:sz w:val="24"/>
        </w:rPr>
        <w:t>、基金管理人职责终止的情形</w:t>
      </w:r>
    </w:p>
    <w:p>
      <w:pPr>
        <w:pStyle w:val="BodyText"/>
        <w:spacing w:before="160"/>
        <w:ind w:left="600" w:firstLine="0"/>
      </w:pPr>
      <w:r>
        <w:rPr/>
        <w:t>有下列情形之一的，基金管理人职责终止：</w:t>
      </w:r>
    </w:p>
    <w:p>
      <w:pPr>
        <w:pStyle w:val="ListParagraph"/>
        <w:numPr>
          <w:ilvl w:val="0"/>
          <w:numId w:val="25"/>
        </w:numPr>
        <w:tabs>
          <w:tab w:pos="1202" w:val="left" w:leader="none"/>
        </w:tabs>
        <w:spacing w:line="240" w:lineRule="auto" w:before="161" w:after="0"/>
        <w:ind w:left="1201" w:right="0" w:hanging="602"/>
        <w:jc w:val="left"/>
        <w:rPr>
          <w:sz w:val="24"/>
        </w:rPr>
      </w:pPr>
      <w:r>
        <w:rPr>
          <w:sz w:val="24"/>
        </w:rPr>
        <w:t>被依法取消基金管理资格；</w:t>
      </w:r>
    </w:p>
    <w:p>
      <w:pPr>
        <w:pStyle w:val="ListParagraph"/>
        <w:numPr>
          <w:ilvl w:val="0"/>
          <w:numId w:val="25"/>
        </w:numPr>
        <w:tabs>
          <w:tab w:pos="1202" w:val="left" w:leader="none"/>
        </w:tabs>
        <w:spacing w:line="240" w:lineRule="auto" w:before="161" w:after="0"/>
        <w:ind w:left="1201" w:right="0" w:hanging="602"/>
        <w:jc w:val="left"/>
        <w:rPr>
          <w:sz w:val="24"/>
        </w:rPr>
      </w:pPr>
      <w:r>
        <w:rPr>
          <w:sz w:val="24"/>
        </w:rPr>
        <w:t>被基金份额持有人大会解任；</w:t>
      </w:r>
    </w:p>
    <w:p>
      <w:pPr>
        <w:pStyle w:val="ListParagraph"/>
        <w:numPr>
          <w:ilvl w:val="0"/>
          <w:numId w:val="25"/>
        </w:numPr>
        <w:tabs>
          <w:tab w:pos="1202" w:val="left" w:leader="none"/>
        </w:tabs>
        <w:spacing w:line="240" w:lineRule="auto" w:before="160" w:after="0"/>
        <w:ind w:left="1201" w:right="0" w:hanging="602"/>
        <w:jc w:val="left"/>
        <w:rPr>
          <w:sz w:val="24"/>
        </w:rPr>
      </w:pPr>
      <w:r>
        <w:rPr>
          <w:sz w:val="24"/>
        </w:rPr>
        <w:t>依法解散、被依法撤销或被依法宣告破产；</w:t>
      </w:r>
    </w:p>
    <w:p>
      <w:pPr>
        <w:pStyle w:val="ListParagraph"/>
        <w:numPr>
          <w:ilvl w:val="0"/>
          <w:numId w:val="25"/>
        </w:numPr>
        <w:tabs>
          <w:tab w:pos="1202" w:val="left" w:leader="none"/>
        </w:tabs>
        <w:spacing w:line="240" w:lineRule="auto" w:before="161" w:after="0"/>
        <w:ind w:left="1201" w:right="0" w:hanging="602"/>
        <w:jc w:val="left"/>
        <w:rPr>
          <w:sz w:val="24"/>
        </w:rPr>
      </w:pPr>
      <w:r>
        <w:rPr>
          <w:sz w:val="24"/>
        </w:rPr>
        <w:t>法律法规和《基金合同》规定的其他情形。</w:t>
      </w:r>
    </w:p>
    <w:p>
      <w:pPr>
        <w:spacing w:before="160"/>
        <w:ind w:left="602" w:right="0" w:firstLine="0"/>
        <w:jc w:val="left"/>
        <w:rPr>
          <w:b/>
          <w:sz w:val="24"/>
        </w:rPr>
      </w:pPr>
      <w:r>
        <w:rPr>
          <w:rFonts w:ascii="Times New Roman" w:eastAsia="Times New Roman"/>
          <w:b/>
          <w:sz w:val="24"/>
        </w:rPr>
        <w:t>2</w:t>
      </w:r>
      <w:r>
        <w:rPr>
          <w:b/>
          <w:sz w:val="24"/>
        </w:rPr>
        <w:t>、基金托管人职责终止的情形</w:t>
      </w:r>
    </w:p>
    <w:p>
      <w:pPr>
        <w:pStyle w:val="BodyText"/>
        <w:ind w:left="600" w:firstLine="0"/>
      </w:pPr>
      <w:r>
        <w:rPr/>
        <w:t>有下列情形之一的，基金托管人职责终止：</w:t>
      </w:r>
    </w:p>
    <w:p>
      <w:pPr>
        <w:pStyle w:val="ListParagraph"/>
        <w:numPr>
          <w:ilvl w:val="0"/>
          <w:numId w:val="26"/>
        </w:numPr>
        <w:tabs>
          <w:tab w:pos="1202" w:val="left" w:leader="none"/>
        </w:tabs>
        <w:spacing w:line="240" w:lineRule="auto" w:before="160" w:after="0"/>
        <w:ind w:left="1201" w:right="0" w:hanging="602"/>
        <w:jc w:val="left"/>
        <w:rPr>
          <w:sz w:val="24"/>
        </w:rPr>
      </w:pPr>
      <w:r>
        <w:rPr>
          <w:sz w:val="24"/>
        </w:rPr>
        <w:t>被依法取消基金托管资格；</w:t>
      </w:r>
    </w:p>
    <w:p>
      <w:pPr>
        <w:pStyle w:val="ListParagraph"/>
        <w:numPr>
          <w:ilvl w:val="0"/>
          <w:numId w:val="26"/>
        </w:numPr>
        <w:tabs>
          <w:tab w:pos="1202" w:val="left" w:leader="none"/>
        </w:tabs>
        <w:spacing w:line="240" w:lineRule="auto" w:before="161" w:after="0"/>
        <w:ind w:left="1201" w:right="0" w:hanging="602"/>
        <w:jc w:val="left"/>
        <w:rPr>
          <w:sz w:val="24"/>
        </w:rPr>
      </w:pPr>
      <w:r>
        <w:rPr>
          <w:sz w:val="24"/>
        </w:rPr>
        <w:t>被基金份额持有人大会解任；</w:t>
      </w:r>
    </w:p>
    <w:p>
      <w:pPr>
        <w:pStyle w:val="ListParagraph"/>
        <w:numPr>
          <w:ilvl w:val="0"/>
          <w:numId w:val="26"/>
        </w:numPr>
        <w:tabs>
          <w:tab w:pos="1202" w:val="left" w:leader="none"/>
        </w:tabs>
        <w:spacing w:line="240" w:lineRule="auto" w:before="160" w:after="0"/>
        <w:ind w:left="1201" w:right="0" w:hanging="602"/>
        <w:jc w:val="left"/>
        <w:rPr>
          <w:sz w:val="24"/>
        </w:rPr>
      </w:pPr>
      <w:r>
        <w:rPr>
          <w:sz w:val="24"/>
        </w:rPr>
        <w:t>依法解散、被依法撤销或被依法宣告破产；</w:t>
      </w:r>
    </w:p>
    <w:p>
      <w:pPr>
        <w:pStyle w:val="ListParagraph"/>
        <w:numPr>
          <w:ilvl w:val="0"/>
          <w:numId w:val="26"/>
        </w:numPr>
        <w:tabs>
          <w:tab w:pos="1202" w:val="left" w:leader="none"/>
        </w:tabs>
        <w:spacing w:line="240" w:lineRule="auto" w:before="161" w:after="0"/>
        <w:ind w:left="1201" w:right="0" w:hanging="602"/>
        <w:jc w:val="left"/>
        <w:rPr>
          <w:sz w:val="24"/>
        </w:rPr>
      </w:pPr>
      <w:r>
        <w:rPr>
          <w:sz w:val="24"/>
        </w:rPr>
        <w:t>法律法规和《基金合同》规定的其他情形。</w:t>
      </w:r>
    </w:p>
    <w:p>
      <w:pPr>
        <w:pStyle w:val="BodyText"/>
        <w:spacing w:before="0"/>
        <w:ind w:left="0" w:firstLine="0"/>
        <w:rPr>
          <w:sz w:val="26"/>
        </w:rPr>
      </w:pPr>
    </w:p>
    <w:p>
      <w:pPr>
        <w:pStyle w:val="BodyText"/>
        <w:spacing w:before="1"/>
        <w:ind w:left="0" w:firstLine="0"/>
        <w:rPr>
          <w:sz w:val="23"/>
        </w:rPr>
      </w:pPr>
    </w:p>
    <w:p>
      <w:pPr>
        <w:spacing w:before="0"/>
        <w:ind w:left="602" w:right="0" w:firstLine="0"/>
        <w:jc w:val="left"/>
        <w:rPr>
          <w:b/>
          <w:sz w:val="24"/>
        </w:rPr>
      </w:pPr>
      <w:r>
        <w:rPr>
          <w:b/>
          <w:sz w:val="24"/>
        </w:rPr>
        <w:t>（二）基金管理人和基金托管人的更换程序</w:t>
      </w:r>
    </w:p>
    <w:p>
      <w:pPr>
        <w:spacing w:before="160"/>
        <w:ind w:left="602" w:right="0" w:firstLine="0"/>
        <w:jc w:val="left"/>
        <w:rPr>
          <w:b/>
          <w:sz w:val="24"/>
        </w:rPr>
      </w:pPr>
      <w:r>
        <w:rPr>
          <w:rFonts w:ascii="Times New Roman" w:eastAsia="Times New Roman"/>
          <w:b/>
          <w:sz w:val="24"/>
        </w:rPr>
        <w:t>1</w:t>
      </w:r>
      <w:r>
        <w:rPr>
          <w:b/>
          <w:sz w:val="24"/>
        </w:rPr>
        <w:t>、基金管理人的更换程序</w:t>
      </w:r>
    </w:p>
    <w:p>
      <w:pPr>
        <w:pStyle w:val="ListParagraph"/>
        <w:numPr>
          <w:ilvl w:val="0"/>
          <w:numId w:val="27"/>
        </w:numPr>
        <w:tabs>
          <w:tab w:pos="1202" w:val="left" w:leader="none"/>
        </w:tabs>
        <w:spacing w:line="364" w:lineRule="auto" w:before="161" w:after="0"/>
        <w:ind w:left="120" w:right="376" w:firstLine="479"/>
        <w:jc w:val="both"/>
        <w:rPr>
          <w:sz w:val="24"/>
        </w:rPr>
      </w:pPr>
      <w:r>
        <w:rPr>
          <w:spacing w:val="-11"/>
          <w:sz w:val="24"/>
        </w:rPr>
        <w:t>提名：新任基金管理人由基金托管人或由单独或合计持有 </w:t>
      </w:r>
      <w:r>
        <w:rPr>
          <w:rFonts w:ascii="Times New Roman" w:eastAsia="Times New Roman"/>
          <w:sz w:val="24"/>
        </w:rPr>
        <w:t>10%</w:t>
      </w:r>
      <w:r>
        <w:rPr>
          <w:spacing w:val="-39"/>
          <w:sz w:val="24"/>
        </w:rPr>
        <w:t>以上</w:t>
      </w:r>
      <w:r>
        <w:rPr>
          <w:sz w:val="24"/>
        </w:rPr>
        <w:t>（ </w:t>
      </w:r>
      <w:r>
        <w:rPr>
          <w:spacing w:val="-8"/>
          <w:sz w:val="24"/>
        </w:rPr>
        <w:t>含 </w:t>
      </w:r>
      <w:r>
        <w:rPr>
          <w:rFonts w:ascii="Times New Roman" w:eastAsia="Times New Roman"/>
          <w:sz w:val="24"/>
        </w:rPr>
        <w:t>10%</w:t>
      </w:r>
      <w:r>
        <w:rPr>
          <w:sz w:val="24"/>
        </w:rPr>
        <w:t>）基金份额的基金份额持有人提名；</w:t>
      </w:r>
    </w:p>
    <w:p>
      <w:pPr>
        <w:pStyle w:val="ListParagraph"/>
        <w:numPr>
          <w:ilvl w:val="0"/>
          <w:numId w:val="27"/>
        </w:numPr>
        <w:tabs>
          <w:tab w:pos="1202" w:val="left" w:leader="none"/>
        </w:tabs>
        <w:spacing w:line="364" w:lineRule="auto" w:before="1" w:after="0"/>
        <w:ind w:left="120" w:right="376" w:firstLine="479"/>
        <w:jc w:val="both"/>
        <w:rPr>
          <w:sz w:val="24"/>
        </w:rPr>
      </w:pPr>
      <w:r>
        <w:rPr>
          <w:spacing w:val="-2"/>
          <w:sz w:val="24"/>
        </w:rPr>
        <w:t>决议：基金份额持有人大会在基金管理人职责终止后 </w:t>
      </w:r>
      <w:r>
        <w:rPr>
          <w:rFonts w:ascii="Times New Roman" w:eastAsia="Times New Roman"/>
          <w:sz w:val="24"/>
        </w:rPr>
        <w:t>6</w:t>
      </w:r>
      <w:r>
        <w:rPr>
          <w:rFonts w:ascii="Times New Roman" w:eastAsia="Times New Roman"/>
          <w:spacing w:val="13"/>
          <w:sz w:val="24"/>
        </w:rPr>
        <w:t> </w:t>
      </w:r>
      <w:r>
        <w:rPr>
          <w:spacing w:val="-3"/>
          <w:sz w:val="24"/>
        </w:rPr>
        <w:t>个月内对被提</w:t>
      </w:r>
      <w:r>
        <w:rPr>
          <w:spacing w:val="-9"/>
          <w:sz w:val="24"/>
        </w:rPr>
        <w:t>名的基金管理人形成决议，该决议需经参加大会的基金份额持有人所持表决权的</w:t>
      </w:r>
      <w:r>
        <w:rPr>
          <w:rFonts w:ascii="Times New Roman" w:eastAsia="Times New Roman"/>
          <w:sz w:val="24"/>
        </w:rPr>
        <w:t>2/3 </w:t>
      </w:r>
      <w:r>
        <w:rPr>
          <w:sz w:val="24"/>
        </w:rPr>
        <w:t>以上（</w:t>
      </w:r>
      <w:r>
        <w:rPr>
          <w:spacing w:val="-30"/>
          <w:sz w:val="24"/>
        </w:rPr>
        <w:t>含 </w:t>
      </w:r>
      <w:r>
        <w:rPr>
          <w:rFonts w:ascii="Times New Roman" w:eastAsia="Times New Roman"/>
          <w:sz w:val="24"/>
        </w:rPr>
        <w:t>2/3</w:t>
      </w:r>
      <w:r>
        <w:rPr>
          <w:sz w:val="24"/>
        </w:rPr>
        <w:t>）表决通过；</w:t>
      </w:r>
    </w:p>
    <w:p>
      <w:pPr>
        <w:pStyle w:val="ListParagraph"/>
        <w:numPr>
          <w:ilvl w:val="0"/>
          <w:numId w:val="27"/>
        </w:numPr>
        <w:tabs>
          <w:tab w:pos="1202" w:val="left" w:leader="none"/>
        </w:tabs>
        <w:spacing w:line="364" w:lineRule="auto" w:before="2" w:after="0"/>
        <w:ind w:left="120" w:right="384" w:firstLine="479"/>
        <w:jc w:val="left"/>
        <w:rPr>
          <w:sz w:val="24"/>
        </w:rPr>
      </w:pPr>
      <w:r>
        <w:rPr>
          <w:spacing w:val="-1"/>
          <w:sz w:val="24"/>
        </w:rPr>
        <w:t>临时基金管理人：新任基金管理人产生之前，由中国证监会指定临时</w:t>
      </w:r>
      <w:r>
        <w:rPr>
          <w:sz w:val="24"/>
        </w:rPr>
        <w:t>基金管理人；</w:t>
      </w:r>
    </w:p>
    <w:p>
      <w:pPr>
        <w:pStyle w:val="ListParagraph"/>
        <w:numPr>
          <w:ilvl w:val="0"/>
          <w:numId w:val="27"/>
        </w:numPr>
        <w:tabs>
          <w:tab w:pos="1202" w:val="left" w:leader="none"/>
        </w:tabs>
        <w:spacing w:line="364" w:lineRule="auto" w:before="2" w:after="0"/>
        <w:ind w:left="120" w:right="383" w:firstLine="479"/>
        <w:jc w:val="left"/>
        <w:rPr>
          <w:sz w:val="24"/>
        </w:rPr>
      </w:pPr>
      <w:r>
        <w:rPr>
          <w:spacing w:val="-1"/>
          <w:sz w:val="24"/>
        </w:rPr>
        <w:t>核准：基金份额持有人大会选任新基金管理人的决议须经中国证监会</w:t>
      </w:r>
      <w:r>
        <w:rPr>
          <w:sz w:val="24"/>
        </w:rPr>
        <w:t>核准生效后方可执行；</w:t>
      </w:r>
    </w:p>
    <w:p>
      <w:pPr>
        <w:spacing w:after="0" w:line="364" w:lineRule="auto"/>
        <w:jc w:val="left"/>
        <w:rPr>
          <w:sz w:val="24"/>
        </w:rPr>
        <w:sectPr>
          <w:pgSz w:w="11910" w:h="16840"/>
          <w:pgMar w:header="0" w:footer="914" w:top="1580" w:bottom="1180" w:left="1680" w:right="1420"/>
        </w:sectPr>
      </w:pPr>
    </w:p>
    <w:p>
      <w:pPr>
        <w:pStyle w:val="ListParagraph"/>
        <w:numPr>
          <w:ilvl w:val="0"/>
          <w:numId w:val="27"/>
        </w:numPr>
        <w:tabs>
          <w:tab w:pos="1202" w:val="left" w:leader="none"/>
        </w:tabs>
        <w:spacing w:line="364" w:lineRule="auto" w:before="61" w:after="0"/>
        <w:ind w:left="120" w:right="378" w:firstLine="479"/>
        <w:jc w:val="left"/>
        <w:rPr>
          <w:sz w:val="24"/>
        </w:rPr>
      </w:pPr>
      <w:r>
        <w:rPr>
          <w:spacing w:val="-2"/>
          <w:sz w:val="24"/>
        </w:rPr>
        <w:t>公告：基金管理人更换后，由基金托管人在中国证监会核准后 </w:t>
      </w:r>
      <w:r>
        <w:rPr>
          <w:rFonts w:ascii="Times New Roman" w:eastAsia="Times New Roman"/>
          <w:sz w:val="24"/>
        </w:rPr>
        <w:t>2</w:t>
      </w:r>
      <w:r>
        <w:rPr>
          <w:rFonts w:ascii="Times New Roman" w:eastAsia="Times New Roman"/>
          <w:spacing w:val="12"/>
          <w:sz w:val="24"/>
        </w:rPr>
        <w:t> </w:t>
      </w:r>
      <w:r>
        <w:rPr>
          <w:spacing w:val="-8"/>
          <w:sz w:val="24"/>
        </w:rPr>
        <w:t>日内</w:t>
      </w:r>
      <w:r>
        <w:rPr>
          <w:sz w:val="24"/>
        </w:rPr>
        <w:t>在指定媒介公告；</w:t>
      </w:r>
    </w:p>
    <w:p>
      <w:pPr>
        <w:pStyle w:val="ListParagraph"/>
        <w:numPr>
          <w:ilvl w:val="0"/>
          <w:numId w:val="27"/>
        </w:numPr>
        <w:tabs>
          <w:tab w:pos="1202" w:val="left" w:leader="none"/>
        </w:tabs>
        <w:spacing w:line="364" w:lineRule="auto" w:before="1" w:after="0"/>
        <w:ind w:left="120" w:right="283" w:firstLine="479"/>
        <w:jc w:val="left"/>
        <w:rPr>
          <w:sz w:val="24"/>
        </w:rPr>
      </w:pPr>
      <w:r>
        <w:rPr>
          <w:sz w:val="24"/>
        </w:rPr>
        <w:t>交接：基金管理人职责终止的，基金管理人应妥善保管基金管理业务</w:t>
      </w:r>
      <w:r>
        <w:rPr>
          <w:spacing w:val="-1"/>
          <w:sz w:val="24"/>
        </w:rPr>
        <w:t>资料，及时向临时基金管理人或新任基金管理人办理基金管理业务的移交手续， </w:t>
      </w:r>
      <w:r>
        <w:rPr>
          <w:spacing w:val="-5"/>
          <w:sz w:val="24"/>
        </w:rPr>
        <w:t>临时基金管理人或新任基金管理人应及时接收。新任基金管理人应与基金托管人核对基金资产总值；</w:t>
      </w:r>
    </w:p>
    <w:p>
      <w:pPr>
        <w:pStyle w:val="ListParagraph"/>
        <w:numPr>
          <w:ilvl w:val="0"/>
          <w:numId w:val="27"/>
        </w:numPr>
        <w:tabs>
          <w:tab w:pos="1202" w:val="left" w:leader="none"/>
        </w:tabs>
        <w:spacing w:line="364" w:lineRule="auto" w:before="3" w:after="0"/>
        <w:ind w:left="120" w:right="384" w:firstLine="479"/>
        <w:jc w:val="left"/>
        <w:rPr>
          <w:sz w:val="24"/>
        </w:rPr>
      </w:pPr>
      <w:r>
        <w:rPr>
          <w:spacing w:val="-1"/>
          <w:sz w:val="24"/>
        </w:rPr>
        <w:t>审计：基金管理人职责终止的，应当按照法律法规规定聘请会计师事</w:t>
      </w:r>
      <w:r>
        <w:rPr>
          <w:sz w:val="24"/>
        </w:rPr>
        <w:t>务所对基金财产进行审计，并将审计结果予以公告，同时报中国证监会备案；</w:t>
      </w:r>
    </w:p>
    <w:p>
      <w:pPr>
        <w:pStyle w:val="ListParagraph"/>
        <w:numPr>
          <w:ilvl w:val="0"/>
          <w:numId w:val="27"/>
        </w:numPr>
        <w:tabs>
          <w:tab w:pos="1202" w:val="left" w:leader="none"/>
        </w:tabs>
        <w:spacing w:line="364" w:lineRule="auto" w:before="1" w:after="0"/>
        <w:ind w:left="120" w:right="257" w:firstLine="479"/>
        <w:jc w:val="left"/>
        <w:rPr>
          <w:sz w:val="24"/>
        </w:rPr>
      </w:pPr>
      <w:r>
        <w:rPr>
          <w:spacing w:val="-7"/>
          <w:sz w:val="24"/>
        </w:rPr>
        <w:t>基金名称变更：基金管理人更换后，如果原任或新任基金管理人要求</w:t>
      </w:r>
      <w:r>
        <w:rPr>
          <w:spacing w:val="-4"/>
          <w:sz w:val="24"/>
        </w:rPr>
        <w:t>，应按其要求替换或删除基金名称中与原基金管理人有关的名称字样。</w:t>
      </w:r>
    </w:p>
    <w:p>
      <w:pPr>
        <w:spacing w:before="2"/>
        <w:ind w:left="602" w:right="0" w:firstLine="0"/>
        <w:jc w:val="left"/>
        <w:rPr>
          <w:b/>
          <w:sz w:val="24"/>
        </w:rPr>
      </w:pPr>
      <w:r>
        <w:rPr>
          <w:rFonts w:ascii="Times New Roman" w:eastAsia="Times New Roman"/>
          <w:b/>
          <w:sz w:val="24"/>
        </w:rPr>
        <w:t>2</w:t>
      </w:r>
      <w:r>
        <w:rPr>
          <w:b/>
          <w:sz w:val="24"/>
        </w:rPr>
        <w:t>、基金托管人的更换程序</w:t>
      </w:r>
    </w:p>
    <w:p>
      <w:pPr>
        <w:pStyle w:val="ListParagraph"/>
        <w:numPr>
          <w:ilvl w:val="0"/>
          <w:numId w:val="28"/>
        </w:numPr>
        <w:tabs>
          <w:tab w:pos="1202" w:val="left" w:leader="none"/>
        </w:tabs>
        <w:spacing w:line="364" w:lineRule="auto" w:before="160" w:after="0"/>
        <w:ind w:left="120" w:right="376" w:firstLine="479"/>
        <w:jc w:val="both"/>
        <w:rPr>
          <w:sz w:val="24"/>
        </w:rPr>
      </w:pPr>
      <w:r>
        <w:rPr>
          <w:spacing w:val="-11"/>
          <w:sz w:val="24"/>
        </w:rPr>
        <w:t>提名：新任基金托管人由基金管理人或由单独或合计持有 </w:t>
      </w:r>
      <w:r>
        <w:rPr>
          <w:rFonts w:ascii="Times New Roman" w:eastAsia="Times New Roman"/>
          <w:sz w:val="24"/>
        </w:rPr>
        <w:t>10%</w:t>
      </w:r>
      <w:r>
        <w:rPr>
          <w:spacing w:val="-39"/>
          <w:sz w:val="24"/>
        </w:rPr>
        <w:t>以上</w:t>
      </w:r>
      <w:r>
        <w:rPr>
          <w:sz w:val="24"/>
        </w:rPr>
        <w:t>（ </w:t>
      </w:r>
      <w:r>
        <w:rPr>
          <w:spacing w:val="-8"/>
          <w:sz w:val="24"/>
        </w:rPr>
        <w:t>含 </w:t>
      </w:r>
      <w:r>
        <w:rPr>
          <w:rFonts w:ascii="Times New Roman" w:eastAsia="Times New Roman"/>
          <w:sz w:val="24"/>
        </w:rPr>
        <w:t>10%</w:t>
      </w:r>
      <w:r>
        <w:rPr>
          <w:sz w:val="24"/>
        </w:rPr>
        <w:t>）基金份额的基金份额持有人提名；</w:t>
      </w:r>
    </w:p>
    <w:p>
      <w:pPr>
        <w:pStyle w:val="ListParagraph"/>
        <w:numPr>
          <w:ilvl w:val="0"/>
          <w:numId w:val="28"/>
        </w:numPr>
        <w:tabs>
          <w:tab w:pos="1202" w:val="left" w:leader="none"/>
        </w:tabs>
        <w:spacing w:line="364" w:lineRule="auto" w:before="1" w:after="0"/>
        <w:ind w:left="120" w:right="376" w:firstLine="479"/>
        <w:jc w:val="both"/>
        <w:rPr>
          <w:sz w:val="24"/>
        </w:rPr>
      </w:pPr>
      <w:r>
        <w:rPr>
          <w:spacing w:val="-2"/>
          <w:sz w:val="24"/>
        </w:rPr>
        <w:t>决议：基金份额持有人大会在基金托管人职责终止后 </w:t>
      </w:r>
      <w:r>
        <w:rPr>
          <w:rFonts w:ascii="Times New Roman" w:eastAsia="Times New Roman"/>
          <w:sz w:val="24"/>
        </w:rPr>
        <w:t>6</w:t>
      </w:r>
      <w:r>
        <w:rPr>
          <w:rFonts w:ascii="Times New Roman" w:eastAsia="Times New Roman"/>
          <w:spacing w:val="13"/>
          <w:sz w:val="24"/>
        </w:rPr>
        <w:t> </w:t>
      </w:r>
      <w:r>
        <w:rPr>
          <w:spacing w:val="-3"/>
          <w:sz w:val="24"/>
        </w:rPr>
        <w:t>个月内对被提</w:t>
      </w:r>
      <w:r>
        <w:rPr>
          <w:spacing w:val="-2"/>
          <w:sz w:val="24"/>
        </w:rPr>
        <w:t>名基金托管人形成决议，该决议需经参加大会的基金份额持有人所持表决权 </w:t>
      </w:r>
      <w:r>
        <w:rPr>
          <w:rFonts w:ascii="Times New Roman" w:eastAsia="Times New Roman"/>
          <w:spacing w:val="-6"/>
          <w:sz w:val="24"/>
        </w:rPr>
        <w:t>2/3 </w:t>
      </w:r>
      <w:r>
        <w:rPr>
          <w:sz w:val="24"/>
        </w:rPr>
        <w:t>以上（</w:t>
      </w:r>
      <w:r>
        <w:rPr>
          <w:spacing w:val="-31"/>
          <w:sz w:val="24"/>
        </w:rPr>
        <w:t>含 </w:t>
      </w:r>
      <w:r>
        <w:rPr>
          <w:rFonts w:ascii="Times New Roman" w:eastAsia="Times New Roman"/>
          <w:sz w:val="24"/>
        </w:rPr>
        <w:t>2/3</w:t>
      </w:r>
      <w:r>
        <w:rPr>
          <w:sz w:val="24"/>
        </w:rPr>
        <w:t>）表决通过；</w:t>
      </w:r>
    </w:p>
    <w:p>
      <w:pPr>
        <w:pStyle w:val="ListParagraph"/>
        <w:numPr>
          <w:ilvl w:val="0"/>
          <w:numId w:val="28"/>
        </w:numPr>
        <w:tabs>
          <w:tab w:pos="1202" w:val="left" w:leader="none"/>
        </w:tabs>
        <w:spacing w:line="364" w:lineRule="auto" w:before="2" w:after="0"/>
        <w:ind w:left="120" w:right="384" w:firstLine="479"/>
        <w:jc w:val="left"/>
        <w:rPr>
          <w:sz w:val="24"/>
        </w:rPr>
      </w:pPr>
      <w:r>
        <w:rPr>
          <w:spacing w:val="-1"/>
          <w:sz w:val="24"/>
        </w:rPr>
        <w:t>临时基金托管人：新任基金托管人产生之前，由中国证监会指定临时</w:t>
      </w:r>
      <w:r>
        <w:rPr>
          <w:sz w:val="24"/>
        </w:rPr>
        <w:t>基金托管人；</w:t>
      </w:r>
    </w:p>
    <w:p>
      <w:pPr>
        <w:pStyle w:val="ListParagraph"/>
        <w:numPr>
          <w:ilvl w:val="0"/>
          <w:numId w:val="28"/>
        </w:numPr>
        <w:tabs>
          <w:tab w:pos="1202" w:val="left" w:leader="none"/>
        </w:tabs>
        <w:spacing w:line="364" w:lineRule="auto" w:before="2" w:after="0"/>
        <w:ind w:left="120" w:right="384" w:firstLine="479"/>
        <w:jc w:val="left"/>
        <w:rPr>
          <w:sz w:val="24"/>
        </w:rPr>
      </w:pPr>
      <w:r>
        <w:rPr>
          <w:spacing w:val="-1"/>
          <w:sz w:val="24"/>
        </w:rPr>
        <w:t>核准：基金份额持有人大会更换基金托管人的决议须经中国证监会核</w:t>
      </w:r>
      <w:r>
        <w:rPr>
          <w:sz w:val="24"/>
        </w:rPr>
        <w:t>准生效后方可执行；</w:t>
      </w:r>
    </w:p>
    <w:p>
      <w:pPr>
        <w:pStyle w:val="ListParagraph"/>
        <w:numPr>
          <w:ilvl w:val="0"/>
          <w:numId w:val="28"/>
        </w:numPr>
        <w:tabs>
          <w:tab w:pos="1202" w:val="left" w:leader="none"/>
        </w:tabs>
        <w:spacing w:line="364" w:lineRule="auto" w:before="1" w:after="0"/>
        <w:ind w:left="120" w:right="378" w:firstLine="479"/>
        <w:jc w:val="left"/>
        <w:rPr>
          <w:sz w:val="24"/>
        </w:rPr>
      </w:pPr>
      <w:r>
        <w:rPr>
          <w:spacing w:val="-2"/>
          <w:sz w:val="24"/>
        </w:rPr>
        <w:t>公告：基金托管人更换后，由基金管理人在中国证监会核准后 </w:t>
      </w:r>
      <w:r>
        <w:rPr>
          <w:rFonts w:ascii="Times New Roman" w:eastAsia="Times New Roman"/>
          <w:sz w:val="24"/>
        </w:rPr>
        <w:t>2</w:t>
      </w:r>
      <w:r>
        <w:rPr>
          <w:rFonts w:ascii="Times New Roman" w:eastAsia="Times New Roman"/>
          <w:spacing w:val="12"/>
          <w:sz w:val="24"/>
        </w:rPr>
        <w:t> </w:t>
      </w:r>
      <w:r>
        <w:rPr>
          <w:spacing w:val="-8"/>
          <w:sz w:val="24"/>
        </w:rPr>
        <w:t>日内</w:t>
      </w:r>
      <w:r>
        <w:rPr>
          <w:sz w:val="24"/>
        </w:rPr>
        <w:t>在指定媒介公告；</w:t>
      </w:r>
    </w:p>
    <w:p>
      <w:pPr>
        <w:pStyle w:val="ListParagraph"/>
        <w:numPr>
          <w:ilvl w:val="0"/>
          <w:numId w:val="28"/>
        </w:numPr>
        <w:tabs>
          <w:tab w:pos="1202" w:val="left" w:leader="none"/>
        </w:tabs>
        <w:spacing w:line="364" w:lineRule="auto" w:before="1" w:after="0"/>
        <w:ind w:left="120" w:right="283" w:firstLine="479"/>
        <w:jc w:val="both"/>
        <w:rPr>
          <w:sz w:val="24"/>
        </w:rPr>
      </w:pPr>
      <w:r>
        <w:rPr>
          <w:sz w:val="24"/>
        </w:rPr>
        <w:t>交接：基金托管人职责终止的，应当妥善保管基金财产和基金托管业</w:t>
      </w:r>
      <w:r>
        <w:rPr>
          <w:spacing w:val="-9"/>
          <w:sz w:val="24"/>
        </w:rPr>
        <w:t>务资料，及时办理基金财产和基金托管业务的移交手续，新任基金托管人或者临</w:t>
      </w:r>
      <w:r>
        <w:rPr>
          <w:spacing w:val="-10"/>
          <w:sz w:val="24"/>
        </w:rPr>
        <w:t>时基金托管人应当及时接收。新任基金托管人与基金管理人核对基金资产总值；</w:t>
      </w:r>
    </w:p>
    <w:p>
      <w:pPr>
        <w:pStyle w:val="ListParagraph"/>
        <w:numPr>
          <w:ilvl w:val="0"/>
          <w:numId w:val="28"/>
        </w:numPr>
        <w:tabs>
          <w:tab w:pos="1202" w:val="left" w:leader="none"/>
        </w:tabs>
        <w:spacing w:line="364" w:lineRule="auto" w:before="2" w:after="0"/>
        <w:ind w:left="120" w:right="384" w:firstLine="479"/>
        <w:jc w:val="left"/>
        <w:rPr>
          <w:sz w:val="24"/>
        </w:rPr>
      </w:pPr>
      <w:r>
        <w:rPr>
          <w:spacing w:val="-1"/>
          <w:sz w:val="24"/>
        </w:rPr>
        <w:t>审计：基金托管人职责终止的，应当按照法律法规规定聘请会计师事</w:t>
      </w:r>
      <w:r>
        <w:rPr>
          <w:sz w:val="24"/>
        </w:rPr>
        <w:t>务所对基金财产进行审计，并将审计结果予以公告，同时报中国证监会备案。</w:t>
      </w:r>
    </w:p>
    <w:p>
      <w:pPr>
        <w:spacing w:before="2"/>
        <w:ind w:left="602" w:right="0" w:firstLine="0"/>
        <w:jc w:val="left"/>
        <w:rPr>
          <w:b/>
          <w:sz w:val="24"/>
        </w:rPr>
      </w:pPr>
      <w:r>
        <w:rPr>
          <w:rFonts w:ascii="Times New Roman" w:eastAsia="Times New Roman"/>
          <w:b/>
          <w:sz w:val="24"/>
        </w:rPr>
        <w:t>3</w:t>
      </w:r>
      <w:r>
        <w:rPr>
          <w:b/>
          <w:sz w:val="24"/>
        </w:rPr>
        <w:t>、基金管理人与基金托管人的同时更换</w:t>
      </w:r>
    </w:p>
    <w:p>
      <w:pPr>
        <w:pStyle w:val="ListParagraph"/>
        <w:numPr>
          <w:ilvl w:val="0"/>
          <w:numId w:val="29"/>
        </w:numPr>
        <w:tabs>
          <w:tab w:pos="1202" w:val="left" w:leader="none"/>
        </w:tabs>
        <w:spacing w:line="240" w:lineRule="auto" w:before="160" w:after="0"/>
        <w:ind w:left="1201" w:right="0" w:hanging="602"/>
        <w:jc w:val="left"/>
        <w:rPr>
          <w:sz w:val="24"/>
        </w:rPr>
      </w:pPr>
      <w:r>
        <w:rPr>
          <w:sz w:val="24"/>
        </w:rPr>
        <w:t>提名：如果基金管理人和基金托管人同时更换，由单独或合计持有基</w:t>
      </w:r>
    </w:p>
    <w:p>
      <w:pPr>
        <w:spacing w:after="0" w:line="240" w:lineRule="auto"/>
        <w:jc w:val="left"/>
        <w:rPr>
          <w:sz w:val="24"/>
        </w:rPr>
        <w:sectPr>
          <w:pgSz w:w="11910" w:h="16840"/>
          <w:pgMar w:header="0" w:footer="914" w:top="1440" w:bottom="1180" w:left="1680" w:right="1420"/>
        </w:sectPr>
      </w:pPr>
    </w:p>
    <w:p>
      <w:pPr>
        <w:pStyle w:val="BodyText"/>
        <w:spacing w:line="364" w:lineRule="auto" w:before="61"/>
        <w:ind w:right="334" w:firstLine="0"/>
      </w:pPr>
      <w:r>
        <w:rPr/>
        <w:t>金总份额 </w:t>
      </w:r>
      <w:r>
        <w:rPr>
          <w:rFonts w:ascii="Times New Roman" w:eastAsia="Times New Roman"/>
        </w:rPr>
        <w:t>10%</w:t>
      </w:r>
      <w:r>
        <w:rPr/>
        <w:t>以上（含 </w:t>
      </w:r>
      <w:r>
        <w:rPr>
          <w:rFonts w:ascii="Times New Roman" w:eastAsia="Times New Roman"/>
        </w:rPr>
        <w:t>10%</w:t>
      </w:r>
      <w:r>
        <w:rPr/>
        <w:t>）的基金份额持有人提名新的基金管理人和基金托管人；</w:t>
      </w:r>
    </w:p>
    <w:p>
      <w:pPr>
        <w:pStyle w:val="ListParagraph"/>
        <w:numPr>
          <w:ilvl w:val="0"/>
          <w:numId w:val="29"/>
        </w:numPr>
        <w:tabs>
          <w:tab w:pos="1202" w:val="left" w:leader="none"/>
        </w:tabs>
        <w:spacing w:line="240" w:lineRule="auto" w:before="1" w:after="0"/>
        <w:ind w:left="1201" w:right="0" w:hanging="602"/>
        <w:jc w:val="left"/>
        <w:rPr>
          <w:sz w:val="24"/>
        </w:rPr>
      </w:pPr>
      <w:r>
        <w:rPr>
          <w:sz w:val="24"/>
        </w:rPr>
        <w:t>基金管理人和基金托管人的更换分别按上述程序进行；</w:t>
      </w:r>
    </w:p>
    <w:p>
      <w:pPr>
        <w:pStyle w:val="ListParagraph"/>
        <w:numPr>
          <w:ilvl w:val="0"/>
          <w:numId w:val="29"/>
        </w:numPr>
        <w:tabs>
          <w:tab w:pos="1202" w:val="left" w:leader="none"/>
        </w:tabs>
        <w:spacing w:line="240" w:lineRule="auto" w:before="161" w:after="0"/>
        <w:ind w:left="1201" w:right="0" w:hanging="602"/>
        <w:jc w:val="left"/>
        <w:rPr>
          <w:sz w:val="24"/>
        </w:rPr>
      </w:pPr>
      <w:r>
        <w:rPr>
          <w:spacing w:val="-7"/>
          <w:sz w:val="24"/>
        </w:rPr>
        <w:t>公告：新任基金管理人和新任基金托管人应当依照有关规定予以公告。</w:t>
      </w:r>
    </w:p>
    <w:p>
      <w:pPr>
        <w:spacing w:after="0" w:line="240" w:lineRule="auto"/>
        <w:jc w:val="left"/>
        <w:rPr>
          <w:sz w:val="24"/>
        </w:rPr>
        <w:sectPr>
          <w:pgSz w:w="11910" w:h="16840"/>
          <w:pgMar w:header="0" w:footer="914" w:top="1440" w:bottom="1180" w:left="1680" w:right="1420"/>
        </w:sectPr>
      </w:pPr>
    </w:p>
    <w:p>
      <w:pPr>
        <w:pStyle w:val="BodyText"/>
        <w:spacing w:before="2"/>
        <w:ind w:left="0" w:firstLine="0"/>
        <w:rPr>
          <w:sz w:val="28"/>
        </w:rPr>
      </w:pPr>
    </w:p>
    <w:p>
      <w:pPr>
        <w:pStyle w:val="Heading1"/>
        <w:spacing w:before="67"/>
        <w:ind w:left="6" w:right="262"/>
        <w:jc w:val="center"/>
      </w:pPr>
      <w:bookmarkStart w:name="_bookmark9" w:id="10"/>
      <w:bookmarkEnd w:id="10"/>
      <w:r>
        <w:rPr>
          <w:b w:val="0"/>
        </w:rPr>
      </w:r>
      <w:r>
        <w:rPr/>
        <w:t>十、基金的托管</w:t>
      </w:r>
    </w:p>
    <w:p>
      <w:pPr>
        <w:pStyle w:val="BodyText"/>
        <w:spacing w:before="4"/>
        <w:ind w:left="0" w:firstLine="0"/>
        <w:rPr>
          <w:b/>
          <w:sz w:val="35"/>
        </w:rPr>
      </w:pPr>
    </w:p>
    <w:p>
      <w:pPr>
        <w:pStyle w:val="BodyText"/>
        <w:spacing w:line="364" w:lineRule="auto" w:before="0"/>
        <w:ind w:right="377"/>
      </w:pPr>
      <w:r>
        <w:rPr>
          <w:spacing w:val="-10"/>
        </w:rPr>
        <w:t>基金托管人和基金管理人按照《基金法》</w:t>
      </w:r>
      <w:r>
        <w:rPr>
          <w:spacing w:val="-16"/>
        </w:rPr>
        <w:t>、《基金合同》及其他有关规定订立</w:t>
      </w:r>
      <w:r>
        <w:rPr/>
        <w:t>托管协议。</w:t>
      </w:r>
    </w:p>
    <w:p>
      <w:pPr>
        <w:pStyle w:val="BodyText"/>
        <w:spacing w:line="364" w:lineRule="auto" w:before="2"/>
        <w:ind w:right="370"/>
        <w:jc w:val="both"/>
      </w:pPr>
      <w:r>
        <w:rPr>
          <w:spacing w:val="4"/>
        </w:rPr>
        <w:t>订立托管协议的目的是明确基金托管人与基金管理人之间在基金财产的保</w:t>
      </w:r>
      <w:r>
        <w:rPr>
          <w:spacing w:val="-10"/>
        </w:rPr>
        <w:t>管、投资运作、净值计算、收益分配、信息披露及相互监督等相关事宜中的权利义务及职责，确保基金财产的安全，保护基金份额持有人的合法权益。</w:t>
      </w:r>
    </w:p>
    <w:p>
      <w:pPr>
        <w:pStyle w:val="BodyText"/>
        <w:spacing w:line="364" w:lineRule="auto" w:before="1"/>
        <w:ind w:right="370"/>
        <w:jc w:val="both"/>
      </w:pPr>
      <w:r>
        <w:rPr>
          <w:spacing w:val="4"/>
        </w:rPr>
        <w:t>对本基金的境外财产，基金托管人可授权境外托管人代为履行其承担的职</w:t>
      </w:r>
      <w:r>
        <w:rPr>
          <w:spacing w:val="-9"/>
        </w:rPr>
        <w:t>责，并对境外托管人处理有关本基金事务的行为承担相应责任。境外托管人在履</w:t>
      </w:r>
      <w:r>
        <w:rPr>
          <w:spacing w:val="-13"/>
        </w:rPr>
        <w:t>行职责过程中，因本身过错、疏忽等原因而导致基金财产受损的，基金托管人应当承担相应责任。</w:t>
      </w:r>
    </w:p>
    <w:p>
      <w:pPr>
        <w:spacing w:after="0" w:line="364" w:lineRule="auto"/>
        <w:jc w:val="both"/>
        <w:sectPr>
          <w:pgSz w:w="11910" w:h="16840"/>
          <w:pgMar w:header="0" w:footer="914" w:top="1580" w:bottom="1180" w:left="1680" w:right="1420"/>
        </w:sectPr>
      </w:pPr>
    </w:p>
    <w:p>
      <w:pPr>
        <w:pStyle w:val="BodyText"/>
        <w:spacing w:before="2"/>
        <w:ind w:left="0" w:firstLine="0"/>
        <w:rPr>
          <w:sz w:val="28"/>
        </w:rPr>
      </w:pPr>
    </w:p>
    <w:p>
      <w:pPr>
        <w:pStyle w:val="Heading1"/>
        <w:spacing w:before="67"/>
        <w:ind w:left="428" w:right="262"/>
        <w:jc w:val="center"/>
      </w:pPr>
      <w:bookmarkStart w:name="_bookmark10" w:id="11"/>
      <w:bookmarkEnd w:id="11"/>
      <w:r>
        <w:rPr>
          <w:b w:val="0"/>
        </w:rPr>
      </w:r>
      <w:r>
        <w:rPr>
          <w:rFonts w:ascii="黑体" w:eastAsia="黑体" w:hint="eastAsia"/>
        </w:rPr>
        <w:t>十一、</w:t>
      </w:r>
      <w:r>
        <w:rPr/>
        <w:t>基金份额的登记</w:t>
      </w:r>
    </w:p>
    <w:p>
      <w:pPr>
        <w:pStyle w:val="BodyText"/>
        <w:spacing w:before="4"/>
        <w:ind w:left="0" w:firstLine="0"/>
        <w:rPr>
          <w:b/>
          <w:sz w:val="35"/>
        </w:rPr>
      </w:pPr>
    </w:p>
    <w:p>
      <w:pPr>
        <w:spacing w:before="0"/>
        <w:ind w:left="602" w:right="0" w:firstLine="0"/>
        <w:jc w:val="left"/>
        <w:rPr>
          <w:b/>
          <w:sz w:val="24"/>
        </w:rPr>
      </w:pPr>
      <w:r>
        <w:rPr>
          <w:b/>
          <w:sz w:val="24"/>
        </w:rPr>
        <w:t>（一）基金登记结算业务</w:t>
      </w:r>
    </w:p>
    <w:p>
      <w:pPr>
        <w:pStyle w:val="BodyText"/>
        <w:spacing w:line="364" w:lineRule="auto"/>
        <w:ind w:right="283"/>
      </w:pPr>
      <w:r>
        <w:rPr/>
        <w:t>本基金的登记结算业务指本基金登记、存管、清算和交收业务，具体内容包括投资者基金账户管理、基金份额登记结算、清算及基金交易确认、发放红利、建立并保管基金份额持有人名册等。</w:t>
      </w:r>
    </w:p>
    <w:p>
      <w:pPr>
        <w:pStyle w:val="BodyText"/>
        <w:spacing w:before="0"/>
        <w:ind w:left="0" w:firstLine="0"/>
      </w:pPr>
    </w:p>
    <w:p>
      <w:pPr>
        <w:spacing w:before="162"/>
        <w:ind w:left="602" w:right="0" w:firstLine="0"/>
        <w:jc w:val="left"/>
        <w:rPr>
          <w:b/>
          <w:sz w:val="24"/>
        </w:rPr>
      </w:pPr>
      <w:r>
        <w:rPr>
          <w:b/>
          <w:sz w:val="24"/>
        </w:rPr>
        <w:t>（二）基金登记结算业务办理机构</w:t>
      </w:r>
    </w:p>
    <w:p>
      <w:pPr>
        <w:pStyle w:val="BodyText"/>
        <w:spacing w:line="364" w:lineRule="auto"/>
        <w:ind w:right="369"/>
        <w:jc w:val="both"/>
      </w:pPr>
      <w:r>
        <w:rPr>
          <w:spacing w:val="4"/>
        </w:rPr>
        <w:t>本基金的登记结算业务由基金管理人或基金管理人委托的其他符合条件的</w:t>
      </w:r>
      <w:r>
        <w:rPr>
          <w:spacing w:val="-9"/>
        </w:rPr>
        <w:t>机构办理。基金管理人应与登记结算机构签订委托代理协议，以明确基金管理人</w:t>
      </w:r>
      <w:r>
        <w:rPr>
          <w:spacing w:val="-13"/>
        </w:rPr>
        <w:t>和登记结算机构在登记结算业务中的权利和义务，保护投资者和基金份额持有人的合法权益。</w:t>
      </w:r>
    </w:p>
    <w:p>
      <w:pPr>
        <w:pStyle w:val="BodyText"/>
        <w:spacing w:line="364" w:lineRule="auto" w:before="3"/>
        <w:ind w:right="374"/>
        <w:jc w:val="both"/>
      </w:pPr>
      <w:r>
        <w:rPr>
          <w:spacing w:val="-5"/>
        </w:rPr>
        <w:t>本基金的基金份额采用分系统登记的原则。</w:t>
      </w:r>
      <w:r>
        <w:rPr>
          <w:rFonts w:ascii="Times New Roman" w:eastAsia="Times New Roman"/>
        </w:rPr>
        <w:t>A </w:t>
      </w:r>
      <w:r>
        <w:rPr>
          <w:spacing w:val="-1"/>
        </w:rPr>
        <w:t>类人民币份额场外申购的基金</w:t>
      </w:r>
      <w:r>
        <w:rPr>
          <w:spacing w:val="-2"/>
        </w:rPr>
        <w:t>份额登记在登记结算系统基金份额持有人开放式基金账户下；</w:t>
      </w:r>
      <w:r>
        <w:rPr>
          <w:rFonts w:ascii="Times New Roman" w:eastAsia="Times New Roman"/>
          <w:spacing w:val="-43"/>
        </w:rPr>
        <w:t>A </w:t>
      </w:r>
      <w:r>
        <w:rPr>
          <w:spacing w:val="-2"/>
        </w:rPr>
        <w:t>类人民币份额场</w:t>
      </w:r>
      <w:r>
        <w:rPr/>
        <w:t>内申购或上市交易买入的基金份额登记在证券登记系统基金份额持有人证券账户下。A</w:t>
      </w:r>
      <w:r>
        <w:rPr>
          <w:spacing w:val="-9"/>
        </w:rPr>
        <w:t> 类美元份额、</w:t>
      </w:r>
      <w:r>
        <w:rPr/>
        <w:t>C</w:t>
      </w:r>
      <w:r>
        <w:rPr>
          <w:spacing w:val="-13"/>
        </w:rPr>
        <w:t> 类美元份额以及 </w:t>
      </w:r>
      <w:r>
        <w:rPr/>
        <w:t>C</w:t>
      </w:r>
      <w:r>
        <w:rPr>
          <w:spacing w:val="-9"/>
        </w:rPr>
        <w:t> 类人民币份额的登记结算机构为易方</w:t>
      </w:r>
      <w:r>
        <w:rPr/>
        <w:t>达基金管理有限公司。基金管理人也可以自行或委托其他机构担任登记结算机构。</w:t>
      </w:r>
    </w:p>
    <w:p>
      <w:pPr>
        <w:pStyle w:val="BodyText"/>
        <w:spacing w:before="0"/>
        <w:ind w:left="0" w:firstLine="0"/>
      </w:pPr>
    </w:p>
    <w:p>
      <w:pPr>
        <w:spacing w:line="364" w:lineRule="auto" w:before="164"/>
        <w:ind w:left="600" w:right="4603" w:firstLine="2"/>
        <w:jc w:val="left"/>
        <w:rPr>
          <w:sz w:val="24"/>
        </w:rPr>
      </w:pPr>
      <w:r>
        <w:rPr>
          <w:b/>
          <w:sz w:val="24"/>
        </w:rPr>
        <w:t>（三）基金登记结算机构的权利</w:t>
      </w:r>
      <w:r>
        <w:rPr>
          <w:sz w:val="24"/>
        </w:rPr>
        <w:t>基金登记结算机构享有以下权利： </w:t>
      </w:r>
      <w:r>
        <w:rPr>
          <w:rFonts w:ascii="Times New Roman" w:eastAsia="Times New Roman"/>
          <w:sz w:val="24"/>
        </w:rPr>
        <w:t>1</w:t>
      </w:r>
      <w:r>
        <w:rPr>
          <w:sz w:val="24"/>
        </w:rPr>
        <w:t>、收取登记结算费；</w:t>
      </w:r>
    </w:p>
    <w:p>
      <w:pPr>
        <w:pStyle w:val="BodyText"/>
        <w:spacing w:before="2"/>
        <w:ind w:left="600" w:firstLine="0"/>
      </w:pPr>
      <w:r>
        <w:rPr>
          <w:rFonts w:ascii="Times New Roman" w:eastAsia="Times New Roman"/>
        </w:rPr>
        <w:t>2</w:t>
      </w:r>
      <w:r>
        <w:rPr/>
        <w:t>、建立和管理投资者基金账户；</w:t>
      </w:r>
    </w:p>
    <w:p>
      <w:pPr>
        <w:pStyle w:val="BodyText"/>
        <w:ind w:left="600" w:firstLine="0"/>
      </w:pPr>
      <w:r>
        <w:rPr>
          <w:rFonts w:ascii="Times New Roman" w:eastAsia="Times New Roman"/>
        </w:rPr>
        <w:t>3</w:t>
      </w:r>
      <w:r>
        <w:rPr/>
        <w:t>、保管基金份额持有人开户资料、交易资料、基金份额持有人名册等；</w:t>
      </w:r>
    </w:p>
    <w:p>
      <w:pPr>
        <w:pStyle w:val="BodyText"/>
        <w:spacing w:line="364" w:lineRule="auto"/>
        <w:ind w:right="382"/>
      </w:pPr>
      <w:r>
        <w:rPr>
          <w:rFonts w:ascii="Times New Roman" w:eastAsia="Times New Roman"/>
        </w:rPr>
        <w:t>4</w:t>
      </w:r>
      <w:r>
        <w:rPr/>
        <w:t>、在法律法规允许的范围内，对登记结算业务的办理时间进行调整，并依照有关规定于开始实施前在指定媒介上公告；</w:t>
      </w:r>
    </w:p>
    <w:p>
      <w:pPr>
        <w:pStyle w:val="BodyText"/>
        <w:spacing w:before="1"/>
        <w:ind w:left="600" w:firstLine="0"/>
      </w:pPr>
      <w:r>
        <w:rPr>
          <w:rFonts w:ascii="Times New Roman" w:eastAsia="Times New Roman"/>
        </w:rPr>
        <w:t>5</w:t>
      </w:r>
      <w:r>
        <w:rPr/>
        <w:t>、法律法规规定的其他权利。</w:t>
      </w:r>
    </w:p>
    <w:p>
      <w:pPr>
        <w:pStyle w:val="BodyText"/>
        <w:spacing w:before="0"/>
        <w:ind w:left="0" w:firstLine="0"/>
        <w:rPr>
          <w:sz w:val="26"/>
        </w:rPr>
      </w:pPr>
    </w:p>
    <w:p>
      <w:pPr>
        <w:pStyle w:val="BodyText"/>
        <w:spacing w:before="0"/>
        <w:ind w:left="0" w:firstLine="0"/>
        <w:rPr>
          <w:sz w:val="23"/>
        </w:rPr>
      </w:pPr>
    </w:p>
    <w:p>
      <w:pPr>
        <w:spacing w:before="0"/>
        <w:ind w:left="602" w:right="0" w:firstLine="0"/>
        <w:jc w:val="left"/>
        <w:rPr>
          <w:b/>
          <w:sz w:val="24"/>
        </w:rPr>
      </w:pPr>
      <w:r>
        <w:rPr>
          <w:b/>
          <w:sz w:val="24"/>
        </w:rPr>
        <w:t>（四）基金登记结算机构的义务</w:t>
      </w:r>
    </w:p>
    <w:p>
      <w:pPr>
        <w:spacing w:after="0"/>
        <w:jc w:val="left"/>
        <w:rPr>
          <w:sz w:val="24"/>
        </w:rPr>
        <w:sectPr>
          <w:pgSz w:w="11910" w:h="16840"/>
          <w:pgMar w:header="0" w:footer="914" w:top="1580" w:bottom="1180" w:left="1680" w:right="1420"/>
        </w:sectPr>
      </w:pPr>
    </w:p>
    <w:p>
      <w:pPr>
        <w:pStyle w:val="BodyText"/>
        <w:spacing w:before="41"/>
        <w:ind w:left="600" w:firstLine="0"/>
      </w:pPr>
      <w:r>
        <w:rPr/>
        <w:t>基金登记结算机构承担以下义务：</w:t>
      </w:r>
    </w:p>
    <w:p>
      <w:pPr>
        <w:pStyle w:val="BodyText"/>
        <w:spacing w:before="160"/>
        <w:ind w:left="600" w:firstLine="0"/>
      </w:pPr>
      <w:r>
        <w:rPr>
          <w:rFonts w:ascii="Times New Roman" w:eastAsia="Times New Roman"/>
        </w:rPr>
        <w:t>1</w:t>
      </w:r>
      <w:r>
        <w:rPr/>
        <w:t>、配备足够的专业人员办理本基金份额的登记结算业务；</w:t>
      </w:r>
    </w:p>
    <w:p>
      <w:pPr>
        <w:pStyle w:val="BodyText"/>
        <w:spacing w:line="364" w:lineRule="auto"/>
        <w:ind w:right="380"/>
      </w:pPr>
      <w:r>
        <w:rPr>
          <w:rFonts w:ascii="Times New Roman" w:eastAsia="Times New Roman"/>
        </w:rPr>
        <w:t>2</w:t>
      </w:r>
      <w:r>
        <w:rPr/>
        <w:t>、严格按照法律法规和《基金合同》规定的条件办理本基金份额的登记结算业务；</w:t>
      </w:r>
    </w:p>
    <w:p>
      <w:pPr>
        <w:pStyle w:val="BodyText"/>
        <w:spacing w:line="364" w:lineRule="auto" w:before="1"/>
        <w:ind w:right="378"/>
      </w:pPr>
      <w:r>
        <w:rPr>
          <w:rFonts w:ascii="Times New Roman" w:eastAsia="Times New Roman"/>
        </w:rPr>
        <w:t>3</w:t>
      </w:r>
      <w:r>
        <w:rPr>
          <w:spacing w:val="-12"/>
        </w:rPr>
        <w:t>、保存基金份额持有人名册及相关的认购、申购与赎回等业务记录 </w:t>
      </w:r>
      <w:r>
        <w:rPr>
          <w:rFonts w:ascii="Times New Roman" w:eastAsia="Times New Roman"/>
        </w:rPr>
        <w:t>15 </w:t>
      </w:r>
      <w:r>
        <w:rPr>
          <w:spacing w:val="-8"/>
        </w:rPr>
        <w:t>年以</w:t>
      </w:r>
      <w:r>
        <w:rPr/>
        <w:t>上；</w:t>
      </w:r>
    </w:p>
    <w:p>
      <w:pPr>
        <w:pStyle w:val="BodyText"/>
        <w:spacing w:line="364" w:lineRule="auto" w:before="1"/>
        <w:ind w:right="379"/>
        <w:jc w:val="both"/>
      </w:pPr>
      <w:r>
        <w:rPr>
          <w:rFonts w:ascii="Times New Roman" w:eastAsia="Times New Roman"/>
        </w:rPr>
        <w:t>4</w:t>
      </w:r>
      <w:r>
        <w:rPr/>
        <w:t>、对基金份额持有人的基金账户信息负有保密义务，因违反该保密义务对</w:t>
      </w:r>
      <w:r>
        <w:rPr>
          <w:spacing w:val="-7"/>
        </w:rPr>
        <w:t>投资者或基金带来的损失，须承担相应的赔偿责任，但司法强制检查情形及法律</w:t>
      </w:r>
      <w:r>
        <w:rPr/>
        <w:t>法规规定的其他情形除外；</w:t>
      </w:r>
    </w:p>
    <w:p>
      <w:pPr>
        <w:pStyle w:val="BodyText"/>
        <w:spacing w:line="364" w:lineRule="auto" w:before="3"/>
        <w:ind w:right="384"/>
      </w:pPr>
      <w:r>
        <w:rPr>
          <w:rFonts w:ascii="Times New Roman" w:eastAsia="Times New Roman"/>
        </w:rPr>
        <w:t>5</w:t>
      </w:r>
      <w:r>
        <w:rPr/>
        <w:t>、按《基金合同》及《招募说明书》规定为投资者办理非交易过户业务、提供其他必要的服务；</w:t>
      </w:r>
    </w:p>
    <w:p>
      <w:pPr>
        <w:pStyle w:val="BodyText"/>
        <w:spacing w:line="364" w:lineRule="auto" w:before="1"/>
        <w:ind w:right="380"/>
      </w:pPr>
      <w:r>
        <w:rPr>
          <w:rFonts w:ascii="Times New Roman" w:eastAsia="Times New Roman"/>
        </w:rPr>
        <w:t>6</w:t>
      </w:r>
      <w:r>
        <w:rPr/>
        <w:t>、接受基金管理人的监督（</w:t>
      </w:r>
      <w:r>
        <w:rPr>
          <w:spacing w:val="-1"/>
        </w:rPr>
        <w:t>基金管理人委托其他机构办理本基金登记结算</w:t>
      </w:r>
      <w:r>
        <w:rPr/>
        <w:t>业务的</w:t>
      </w:r>
      <w:r>
        <w:rPr>
          <w:spacing w:val="-120"/>
        </w:rPr>
        <w:t>）</w:t>
      </w:r>
      <w:r>
        <w:rPr/>
        <w:t>；</w:t>
      </w:r>
    </w:p>
    <w:p>
      <w:pPr>
        <w:pStyle w:val="BodyText"/>
        <w:spacing w:before="1"/>
        <w:ind w:left="600" w:firstLine="0"/>
      </w:pPr>
      <w:r>
        <w:rPr>
          <w:rFonts w:ascii="Times New Roman" w:eastAsia="Times New Roman"/>
        </w:rPr>
        <w:t>7</w:t>
      </w:r>
      <w:r>
        <w:rPr/>
        <w:t>、法律法规规定的其他义务。</w:t>
      </w:r>
    </w:p>
    <w:p>
      <w:pPr>
        <w:spacing w:after="0"/>
        <w:sectPr>
          <w:pgSz w:w="11910" w:h="16840"/>
          <w:pgMar w:header="0" w:footer="914" w:top="1460" w:bottom="1180" w:left="1680" w:right="1420"/>
        </w:sectPr>
      </w:pPr>
    </w:p>
    <w:p>
      <w:pPr>
        <w:pStyle w:val="BodyText"/>
        <w:spacing w:before="2"/>
        <w:ind w:left="0" w:firstLine="0"/>
        <w:rPr>
          <w:sz w:val="28"/>
        </w:rPr>
      </w:pPr>
    </w:p>
    <w:p>
      <w:pPr>
        <w:pStyle w:val="Heading1"/>
        <w:spacing w:before="67"/>
        <w:ind w:left="425" w:right="262"/>
        <w:jc w:val="center"/>
      </w:pPr>
      <w:bookmarkStart w:name="_bookmark11" w:id="12"/>
      <w:bookmarkEnd w:id="12"/>
      <w:r>
        <w:rPr>
          <w:b w:val="0"/>
        </w:rPr>
      </w:r>
      <w:r>
        <w:rPr/>
        <w:t>十二、基金的投资</w:t>
      </w:r>
    </w:p>
    <w:p>
      <w:pPr>
        <w:pStyle w:val="BodyText"/>
        <w:spacing w:before="4"/>
        <w:ind w:left="0" w:firstLine="0"/>
        <w:rPr>
          <w:b/>
          <w:sz w:val="35"/>
        </w:rPr>
      </w:pPr>
    </w:p>
    <w:p>
      <w:pPr>
        <w:spacing w:before="0"/>
        <w:ind w:left="598" w:right="0" w:firstLine="0"/>
        <w:jc w:val="left"/>
        <w:rPr>
          <w:b/>
          <w:sz w:val="24"/>
        </w:rPr>
      </w:pPr>
      <w:r>
        <w:rPr>
          <w:b/>
          <w:sz w:val="24"/>
        </w:rPr>
        <w:t>（一）投资目标</w:t>
      </w:r>
    </w:p>
    <w:p>
      <w:pPr>
        <w:pStyle w:val="BodyText"/>
        <w:ind w:left="598" w:firstLine="0"/>
      </w:pPr>
      <w:r>
        <w:rPr/>
        <w:t>追求基金资产的长期稳定增值。</w:t>
      </w:r>
    </w:p>
    <w:p>
      <w:pPr>
        <w:pStyle w:val="BodyText"/>
        <w:spacing w:before="0"/>
        <w:ind w:left="0" w:firstLine="0"/>
      </w:pPr>
    </w:p>
    <w:p>
      <w:pPr>
        <w:pStyle w:val="BodyText"/>
        <w:spacing w:before="0"/>
        <w:ind w:left="0" w:firstLine="0"/>
        <w:rPr>
          <w:sz w:val="25"/>
        </w:rPr>
      </w:pPr>
    </w:p>
    <w:p>
      <w:pPr>
        <w:spacing w:before="1"/>
        <w:ind w:left="598" w:right="0" w:firstLine="0"/>
        <w:jc w:val="left"/>
        <w:rPr>
          <w:b/>
          <w:sz w:val="24"/>
        </w:rPr>
      </w:pPr>
      <w:r>
        <w:rPr>
          <w:b/>
          <w:sz w:val="24"/>
        </w:rPr>
        <w:t>（二）投资范围及工具</w:t>
      </w:r>
    </w:p>
    <w:p>
      <w:pPr>
        <w:pStyle w:val="BodyText"/>
        <w:spacing w:line="364" w:lineRule="auto" w:before="160"/>
        <w:ind w:right="376"/>
        <w:jc w:val="both"/>
      </w:pPr>
      <w:r>
        <w:rPr/>
        <w:t>本基金投资范围包括全球市场内依法可投资的公募基金（</w:t>
      </w:r>
      <w:r>
        <w:rPr>
          <w:spacing w:val="-21"/>
        </w:rPr>
        <w:t>含 </w:t>
      </w:r>
      <w:r>
        <w:rPr>
          <w:rFonts w:ascii="Times New Roman" w:eastAsia="Times New Roman"/>
          <w:spacing w:val="-1"/>
        </w:rPr>
        <w:t>ETF</w:t>
      </w:r>
      <w:r>
        <w:rPr>
          <w:spacing w:val="-120"/>
        </w:rPr>
        <w:t>）</w:t>
      </w:r>
      <w:r>
        <w:rPr>
          <w:spacing w:val="-4"/>
        </w:rPr>
        <w:t>、股票、</w:t>
      </w:r>
      <w:r>
        <w:rPr>
          <w:spacing w:val="-11"/>
        </w:rPr>
        <w:t>固定收益证券、货币市场工具、金融衍生产品及中国证监会允许本基金投资的其</w:t>
      </w:r>
      <w:r>
        <w:rPr/>
        <w:t>他金融工具。</w:t>
      </w:r>
    </w:p>
    <w:p>
      <w:pPr>
        <w:pStyle w:val="BodyText"/>
        <w:spacing w:line="364" w:lineRule="auto" w:before="2"/>
        <w:ind w:right="376"/>
        <w:jc w:val="both"/>
      </w:pPr>
      <w:r>
        <w:rPr>
          <w:spacing w:val="-8"/>
        </w:rPr>
        <w:t>本基金的投资组合比例范围为：投资于基金的资产合计不低于本基金基金资</w:t>
      </w:r>
      <w:r>
        <w:rPr>
          <w:spacing w:val="-2"/>
        </w:rPr>
        <w:t>产净值的 </w:t>
      </w:r>
      <w:r>
        <w:rPr>
          <w:rFonts w:ascii="Times New Roman" w:eastAsia="Times New Roman"/>
        </w:rPr>
        <w:t>60%</w:t>
      </w:r>
      <w:r>
        <w:rPr>
          <w:spacing w:val="-1"/>
        </w:rPr>
        <w:t>，投资于基金的资产中不低于 </w:t>
      </w:r>
      <w:r>
        <w:rPr>
          <w:rFonts w:ascii="Times New Roman" w:eastAsia="Times New Roman"/>
        </w:rPr>
        <w:t>80%</w:t>
      </w:r>
      <w:r>
        <w:rPr>
          <w:spacing w:val="-1"/>
        </w:rPr>
        <w:t>投资于黄金基金；现金或者到</w:t>
      </w:r>
      <w:r>
        <w:rPr>
          <w:spacing w:val="-2"/>
        </w:rPr>
        <w:t>期日在一年以内的政府债券的投资比例合计不低于本基金基金资产净值的 </w:t>
      </w:r>
      <w:r>
        <w:rPr>
          <w:rFonts w:ascii="Times New Roman" w:eastAsia="Times New Roman"/>
          <w:spacing w:val="-7"/>
        </w:rPr>
        <w:t>5%</w:t>
      </w:r>
      <w:r>
        <w:rPr>
          <w:spacing w:val="-7"/>
        </w:rPr>
        <w:t>， </w:t>
      </w:r>
      <w:r>
        <w:rPr>
          <w:spacing w:val="-8"/>
        </w:rPr>
        <w:t>现金不包括结算备付金、存出保证金、应收申购款等。黄金基金指黄金 </w:t>
      </w:r>
      <w:r>
        <w:rPr>
          <w:rFonts w:ascii="Times New Roman" w:eastAsia="Times New Roman"/>
          <w:spacing w:val="-7"/>
        </w:rPr>
        <w:t>ETF</w:t>
      </w:r>
      <w:r>
        <w:rPr>
          <w:spacing w:val="-7"/>
        </w:rPr>
        <w:t>（</w:t>
      </w:r>
      <w:r>
        <w:rPr>
          <w:spacing w:val="-14"/>
        </w:rPr>
        <w:t>即</w:t>
      </w:r>
      <w:r>
        <w:rPr>
          <w:spacing w:val="-4"/>
        </w:rPr>
        <w:t>跟踪黄金价格或黄金价格指数的 </w:t>
      </w:r>
      <w:r>
        <w:rPr>
          <w:rFonts w:ascii="Times New Roman" w:eastAsia="Times New Roman"/>
          <w:spacing w:val="-14"/>
        </w:rPr>
        <w:t>ETF</w:t>
      </w:r>
      <w:r>
        <w:rPr>
          <w:spacing w:val="-14"/>
        </w:rPr>
        <w:t>）</w:t>
      </w:r>
      <w:r>
        <w:rPr>
          <w:spacing w:val="-8"/>
        </w:rPr>
        <w:t>及黄金股票基金</w:t>
      </w:r>
      <w:r>
        <w:rPr/>
        <w:t>（</w:t>
      </w:r>
      <w:r>
        <w:rPr>
          <w:spacing w:val="-2"/>
        </w:rPr>
        <w:t>包括跟踪黄金股票指数</w:t>
      </w:r>
      <w:r>
        <w:rPr>
          <w:spacing w:val="-1"/>
        </w:rPr>
        <w:t>的指数基金和 </w:t>
      </w:r>
      <w:r>
        <w:rPr>
          <w:rFonts w:ascii="Times New Roman" w:eastAsia="Times New Roman"/>
        </w:rPr>
        <w:t>ETF</w:t>
      </w:r>
      <w:r>
        <w:rPr>
          <w:spacing w:val="-1"/>
        </w:rPr>
        <w:t>，以及 </w:t>
      </w:r>
      <w:r>
        <w:rPr>
          <w:rFonts w:ascii="Times New Roman" w:eastAsia="Times New Roman"/>
        </w:rPr>
        <w:t>80%</w:t>
      </w:r>
      <w:r>
        <w:rPr>
          <w:spacing w:val="-1"/>
        </w:rPr>
        <w:t>以上基金资产投资于黄金采掘公司股票的主动基</w:t>
      </w:r>
      <w:r>
        <w:rPr/>
        <w:t>金</w:t>
      </w:r>
      <w:r>
        <w:rPr>
          <w:spacing w:val="-120"/>
        </w:rPr>
        <w:t>）</w:t>
      </w:r>
      <w:r>
        <w:rPr/>
        <w:t>。</w:t>
      </w:r>
    </w:p>
    <w:p>
      <w:pPr>
        <w:pStyle w:val="BodyText"/>
        <w:spacing w:line="364" w:lineRule="auto" w:before="5"/>
        <w:ind w:right="377"/>
        <w:jc w:val="both"/>
      </w:pPr>
      <w:r>
        <w:rPr>
          <w:spacing w:val="-5"/>
        </w:rPr>
        <w:t>如法律法规或监管机构以后允许基金直接投资黄金实物、黄金凭证或与实物</w:t>
      </w:r>
      <w:r>
        <w:rPr>
          <w:spacing w:val="-4"/>
        </w:rPr>
        <w:t>商品挂钩的衍生品等其他工具</w:t>
      </w:r>
      <w:r>
        <w:rPr/>
        <w:t>（</w:t>
      </w:r>
      <w:r>
        <w:rPr>
          <w:spacing w:val="-5"/>
        </w:rPr>
        <w:t>包括但不限于以后在国内上市、以跟踪黄金价格或黄金价格指数为目的的 </w:t>
      </w:r>
      <w:r>
        <w:rPr>
          <w:rFonts w:ascii="Times New Roman" w:eastAsia="Times New Roman"/>
          <w:spacing w:val="-1"/>
        </w:rPr>
        <w:t>ET</w:t>
      </w:r>
      <w:r>
        <w:rPr>
          <w:rFonts w:ascii="Times New Roman" w:eastAsia="Times New Roman"/>
          <w:spacing w:val="-2"/>
        </w:rPr>
        <w:t>F</w:t>
      </w:r>
      <w:r>
        <w:rPr>
          <w:spacing w:val="-12"/>
        </w:rPr>
        <w:t>，以及在国内外上市的黄金期货合约及黄金期权合</w:t>
      </w:r>
      <w:r>
        <w:rPr/>
        <w:t>约</w:t>
      </w:r>
      <w:r>
        <w:rPr>
          <w:spacing w:val="-120"/>
        </w:rPr>
        <w:t>）</w:t>
      </w:r>
      <w:r>
        <w:rPr/>
        <w:t>，基金管理人可以将其纳入投资范围。</w:t>
      </w:r>
    </w:p>
    <w:p>
      <w:pPr>
        <w:pStyle w:val="BodyText"/>
        <w:spacing w:line="364" w:lineRule="auto" w:before="3"/>
        <w:ind w:right="376"/>
      </w:pPr>
      <w:r>
        <w:rPr>
          <w:spacing w:val="-5"/>
        </w:rPr>
        <w:t>如法律法规或监管机构以后允许本基金投资其他品种，基金管理人在履行适</w:t>
      </w:r>
      <w:r>
        <w:rPr/>
        <w:t>当程序后，可以将其纳入投资范围。</w:t>
      </w:r>
    </w:p>
    <w:p>
      <w:pPr>
        <w:pStyle w:val="BodyText"/>
        <w:spacing w:before="0"/>
        <w:ind w:left="0" w:firstLine="0"/>
      </w:pPr>
    </w:p>
    <w:p>
      <w:pPr>
        <w:spacing w:before="161"/>
        <w:ind w:left="598" w:right="0" w:firstLine="0"/>
        <w:jc w:val="left"/>
        <w:rPr>
          <w:b/>
          <w:sz w:val="24"/>
        </w:rPr>
      </w:pPr>
      <w:r>
        <w:rPr>
          <w:b/>
          <w:sz w:val="24"/>
        </w:rPr>
        <w:t>（三）投资理念</w:t>
      </w:r>
    </w:p>
    <w:p>
      <w:pPr>
        <w:pStyle w:val="BodyText"/>
        <w:spacing w:line="364" w:lineRule="auto"/>
        <w:ind w:right="368"/>
        <w:jc w:val="both"/>
      </w:pPr>
      <w:r>
        <w:rPr>
          <w:spacing w:val="4"/>
        </w:rPr>
        <w:t>通过对影响黄金价格的核心要素进行深入研究，把握黄金价格的中长期趋</w:t>
      </w:r>
      <w:r>
        <w:rPr>
          <w:spacing w:val="-9"/>
        </w:rPr>
        <w:t>势；通过主动配置黄金基金、黄金采掘公司股票及其他资产，追求基金资产的长期稳定增值。</w:t>
      </w:r>
    </w:p>
    <w:p>
      <w:pPr>
        <w:pStyle w:val="BodyText"/>
        <w:spacing w:before="0"/>
        <w:ind w:left="0" w:firstLine="0"/>
      </w:pPr>
    </w:p>
    <w:p>
      <w:pPr>
        <w:spacing w:before="163"/>
        <w:ind w:left="598" w:right="0" w:firstLine="0"/>
        <w:jc w:val="left"/>
        <w:rPr>
          <w:b/>
          <w:sz w:val="24"/>
        </w:rPr>
      </w:pPr>
      <w:r>
        <w:rPr>
          <w:b/>
          <w:sz w:val="24"/>
        </w:rPr>
        <w:t>（四）投资策略</w:t>
      </w:r>
    </w:p>
    <w:p>
      <w:pPr>
        <w:spacing w:after="0"/>
        <w:jc w:val="left"/>
        <w:rPr>
          <w:sz w:val="24"/>
        </w:rPr>
        <w:sectPr>
          <w:pgSz w:w="11910" w:h="16840"/>
          <w:pgMar w:header="0" w:footer="914" w:top="1580" w:bottom="1180" w:left="1680" w:right="1420"/>
        </w:sectPr>
      </w:pPr>
    </w:p>
    <w:p>
      <w:pPr>
        <w:pStyle w:val="BodyText"/>
        <w:spacing w:before="61"/>
        <w:ind w:left="540" w:firstLine="0"/>
      </w:pPr>
      <w:r>
        <w:rPr>
          <w:rFonts w:ascii="Times New Roman" w:eastAsia="Times New Roman"/>
        </w:rPr>
        <w:t>1</w:t>
      </w:r>
      <w:r>
        <w:rPr/>
        <w:t>、 资产配置策略</w:t>
      </w:r>
    </w:p>
    <w:p>
      <w:pPr>
        <w:pStyle w:val="BodyText"/>
        <w:spacing w:line="364" w:lineRule="auto" w:before="160"/>
        <w:ind w:right="282" w:firstLine="417"/>
      </w:pPr>
      <w:r>
        <w:rPr/>
        <w:t>本基金主要通过对国际黄金价格中长期趋势的判断，在不同资产类别中进行资产配置。在研究、分析黄金价格趋势的过程中，本基金将重点考察以下因素：</w:t>
      </w:r>
    </w:p>
    <w:p>
      <w:pPr>
        <w:pStyle w:val="ListParagraph"/>
        <w:numPr>
          <w:ilvl w:val="0"/>
          <w:numId w:val="30"/>
        </w:numPr>
        <w:tabs>
          <w:tab w:pos="1261" w:val="left" w:leader="none"/>
        </w:tabs>
        <w:spacing w:line="240" w:lineRule="auto" w:before="2" w:after="0"/>
        <w:ind w:left="1260" w:right="0" w:hanging="721"/>
        <w:jc w:val="left"/>
        <w:rPr>
          <w:sz w:val="24"/>
        </w:rPr>
      </w:pPr>
      <w:r>
        <w:rPr>
          <w:sz w:val="24"/>
        </w:rPr>
        <w:t>各国央行黄金储备量的变化以及政策变化；</w:t>
      </w:r>
    </w:p>
    <w:p>
      <w:pPr>
        <w:pStyle w:val="ListParagraph"/>
        <w:numPr>
          <w:ilvl w:val="0"/>
          <w:numId w:val="30"/>
        </w:numPr>
        <w:tabs>
          <w:tab w:pos="1261" w:val="left" w:leader="none"/>
        </w:tabs>
        <w:spacing w:line="240" w:lineRule="auto" w:before="160" w:after="0"/>
        <w:ind w:left="1260" w:right="0" w:hanging="721"/>
        <w:jc w:val="left"/>
        <w:rPr>
          <w:sz w:val="24"/>
        </w:rPr>
      </w:pPr>
      <w:r>
        <w:rPr>
          <w:sz w:val="24"/>
        </w:rPr>
        <w:t>全球黄金开采与回收量、开采与回收成本的变化等；</w:t>
      </w:r>
    </w:p>
    <w:p>
      <w:pPr>
        <w:pStyle w:val="ListParagraph"/>
        <w:numPr>
          <w:ilvl w:val="0"/>
          <w:numId w:val="30"/>
        </w:numPr>
        <w:tabs>
          <w:tab w:pos="1261" w:val="left" w:leader="none"/>
        </w:tabs>
        <w:spacing w:line="240" w:lineRule="auto" w:before="161" w:after="0"/>
        <w:ind w:left="1260" w:right="0" w:hanging="721"/>
        <w:jc w:val="left"/>
        <w:rPr>
          <w:sz w:val="24"/>
        </w:rPr>
      </w:pPr>
      <w:r>
        <w:rPr>
          <w:sz w:val="24"/>
        </w:rPr>
        <w:t>全球黄金工业需求、消费需求及投资需求的变化；</w:t>
      </w:r>
    </w:p>
    <w:p>
      <w:pPr>
        <w:pStyle w:val="ListParagraph"/>
        <w:numPr>
          <w:ilvl w:val="0"/>
          <w:numId w:val="30"/>
        </w:numPr>
        <w:tabs>
          <w:tab w:pos="1261" w:val="left" w:leader="none"/>
        </w:tabs>
        <w:spacing w:line="240" w:lineRule="auto" w:before="160" w:after="0"/>
        <w:ind w:left="1260" w:right="0" w:hanging="721"/>
        <w:jc w:val="left"/>
        <w:rPr>
          <w:sz w:val="24"/>
        </w:rPr>
      </w:pPr>
      <w:r>
        <w:rPr>
          <w:sz w:val="24"/>
        </w:rPr>
        <w:t>全球利率水平及变化、主要国家货币政策、通胀率变化等；</w:t>
      </w:r>
    </w:p>
    <w:p>
      <w:pPr>
        <w:pStyle w:val="ListParagraph"/>
        <w:numPr>
          <w:ilvl w:val="0"/>
          <w:numId w:val="30"/>
        </w:numPr>
        <w:tabs>
          <w:tab w:pos="1261" w:val="left" w:leader="none"/>
        </w:tabs>
        <w:spacing w:line="240" w:lineRule="auto" w:before="161" w:after="0"/>
        <w:ind w:left="1260" w:right="0" w:hanging="721"/>
        <w:jc w:val="left"/>
        <w:rPr>
          <w:sz w:val="24"/>
        </w:rPr>
      </w:pPr>
      <w:r>
        <w:rPr>
          <w:sz w:val="24"/>
        </w:rPr>
        <w:t>战争、危机等特殊事件的发生及对黄金价格的影响。</w:t>
      </w:r>
    </w:p>
    <w:p>
      <w:pPr>
        <w:pStyle w:val="BodyText"/>
        <w:ind w:left="538" w:firstLine="0"/>
      </w:pPr>
      <w:r>
        <w:rPr/>
        <w:t>根据以上分析结果，本基金将主要对以下类别资产进行主动配置：</w:t>
      </w:r>
    </w:p>
    <w:p>
      <w:pPr>
        <w:pStyle w:val="ListParagraph"/>
        <w:numPr>
          <w:ilvl w:val="0"/>
          <w:numId w:val="31"/>
        </w:numPr>
        <w:tabs>
          <w:tab w:pos="1261" w:val="left" w:leader="none"/>
        </w:tabs>
        <w:spacing w:line="240" w:lineRule="auto" w:before="160" w:after="0"/>
        <w:ind w:left="1260" w:right="0" w:hanging="721"/>
        <w:jc w:val="left"/>
        <w:rPr>
          <w:sz w:val="24"/>
        </w:rPr>
      </w:pPr>
      <w:r>
        <w:rPr>
          <w:spacing w:val="-21"/>
          <w:sz w:val="24"/>
        </w:rPr>
        <w:t>黄金 </w:t>
      </w:r>
      <w:r>
        <w:rPr>
          <w:rFonts w:ascii="Times New Roman" w:eastAsia="Times New Roman"/>
          <w:sz w:val="24"/>
        </w:rPr>
        <w:t>ETF</w:t>
      </w:r>
      <w:r>
        <w:rPr>
          <w:sz w:val="24"/>
        </w:rPr>
        <w:t>；</w:t>
      </w:r>
    </w:p>
    <w:p>
      <w:pPr>
        <w:pStyle w:val="ListParagraph"/>
        <w:numPr>
          <w:ilvl w:val="0"/>
          <w:numId w:val="31"/>
        </w:numPr>
        <w:tabs>
          <w:tab w:pos="1261" w:val="left" w:leader="none"/>
        </w:tabs>
        <w:spacing w:line="240" w:lineRule="auto" w:before="161" w:after="0"/>
        <w:ind w:left="1260" w:right="0" w:hanging="721"/>
        <w:jc w:val="left"/>
        <w:rPr>
          <w:sz w:val="24"/>
        </w:rPr>
      </w:pPr>
      <w:r>
        <w:rPr>
          <w:sz w:val="24"/>
        </w:rPr>
        <w:t>黄金股票类资产（包括黄金采掘公司股票及黄金股票基金</w:t>
      </w:r>
      <w:r>
        <w:rPr>
          <w:spacing w:val="-120"/>
          <w:sz w:val="24"/>
        </w:rPr>
        <w:t>）</w:t>
      </w:r>
      <w:r>
        <w:rPr>
          <w:sz w:val="24"/>
        </w:rPr>
        <w:t>；</w:t>
      </w:r>
    </w:p>
    <w:p>
      <w:pPr>
        <w:pStyle w:val="ListParagraph"/>
        <w:numPr>
          <w:ilvl w:val="0"/>
          <w:numId w:val="31"/>
        </w:numPr>
        <w:tabs>
          <w:tab w:pos="1261" w:val="left" w:leader="none"/>
        </w:tabs>
        <w:spacing w:line="240" w:lineRule="auto" w:before="160" w:after="0"/>
        <w:ind w:left="1260" w:right="0" w:hanging="721"/>
        <w:jc w:val="left"/>
        <w:rPr>
          <w:sz w:val="24"/>
        </w:rPr>
      </w:pPr>
      <w:r>
        <w:rPr>
          <w:sz w:val="24"/>
        </w:rPr>
        <w:t>其他资产。</w:t>
      </w:r>
    </w:p>
    <w:p>
      <w:pPr>
        <w:pStyle w:val="BodyText"/>
        <w:spacing w:line="364" w:lineRule="auto"/>
        <w:ind w:right="283"/>
      </w:pPr>
      <w:r>
        <w:rPr>
          <w:spacing w:val="-8"/>
        </w:rPr>
        <w:t>在其他因素不变的前提下，黄金价格的变动将引起黄金采掘企业的盈利水平</w:t>
      </w:r>
      <w:r>
        <w:rPr>
          <w:spacing w:val="-12"/>
        </w:rPr>
        <w:t>同方向且更大幅度的波动，但黄金采掘企业的套期保值策略、产量、生产成本等</w:t>
      </w:r>
      <w:r>
        <w:rPr>
          <w:spacing w:val="-13"/>
        </w:rPr>
        <w:t>实际经营情况也会影响企业的盈利；此外，市场对黄金价格和企业增长的预期、</w:t>
      </w:r>
      <w:r>
        <w:rPr>
          <w:spacing w:val="-3"/>
        </w:rPr>
        <w:t>行业板块的估值水平以及市场总体趋势会对黄金采掘企业的股价产生影响。黄金</w:t>
      </w:r>
      <w:r>
        <w:rPr/>
        <w:t>价格与黄金采掘企业股价的差异化波动给本基金提供了战胜业绩比较基准的投</w:t>
      </w:r>
      <w:r>
        <w:rPr>
          <w:spacing w:val="-9"/>
        </w:rPr>
        <w:t>资机会。当预期黄金价格下跌时，本基金管理人将从其他资产中，选择有望带来</w:t>
      </w:r>
      <w:r>
        <w:rPr>
          <w:spacing w:val="-13"/>
        </w:rPr>
        <w:t>稳健回报的品种进行投资，主要包括货币市场基金、债券基金、固定收益证券和</w:t>
      </w:r>
      <w:r>
        <w:rPr>
          <w:spacing w:val="-12"/>
        </w:rPr>
        <w:t>股票等。本基金管理人将在深入研究黄金价格趋势、黄金采掘企业盈利和估值水</w:t>
      </w:r>
      <w:r>
        <w:rPr>
          <w:spacing w:val="-13"/>
        </w:rPr>
        <w:t>平变化，以及考察其他品种的风险收益特征的基础上，进行黄金 </w:t>
      </w:r>
      <w:r>
        <w:rPr>
          <w:rFonts w:ascii="Times New Roman" w:eastAsia="Times New Roman"/>
        </w:rPr>
        <w:t>ETF</w:t>
      </w:r>
      <w:r>
        <w:rPr>
          <w:spacing w:val="-8"/>
        </w:rPr>
        <w:t>、黄金股票类资产以及其他资产的比例配置，并不断进行组合的优化。</w:t>
      </w:r>
    </w:p>
    <w:p>
      <w:pPr>
        <w:pStyle w:val="BodyText"/>
        <w:spacing w:before="6"/>
        <w:ind w:left="540" w:firstLine="0"/>
      </w:pPr>
      <w:r>
        <w:rPr>
          <w:rFonts w:ascii="Times New Roman" w:eastAsia="Times New Roman"/>
        </w:rPr>
        <w:t>2</w:t>
      </w:r>
      <w:r>
        <w:rPr/>
        <w:t>、 黄金 </w:t>
      </w:r>
      <w:r>
        <w:rPr>
          <w:rFonts w:ascii="Times New Roman" w:eastAsia="Times New Roman"/>
        </w:rPr>
        <w:t>ETF </w:t>
      </w:r>
      <w:r>
        <w:rPr/>
        <w:t>的选择标准</w:t>
      </w:r>
    </w:p>
    <w:p>
      <w:pPr>
        <w:pStyle w:val="BodyText"/>
        <w:spacing w:line="364" w:lineRule="auto"/>
        <w:ind w:right="277" w:firstLine="417"/>
      </w:pPr>
      <w:r>
        <w:rPr>
          <w:spacing w:val="-20"/>
        </w:rPr>
        <w:t>黄金 </w:t>
      </w:r>
      <w:r>
        <w:rPr>
          <w:rFonts w:ascii="Times New Roman" w:eastAsia="Times New Roman"/>
        </w:rPr>
        <w:t>ETF </w:t>
      </w:r>
      <w:r>
        <w:rPr>
          <w:spacing w:val="-1"/>
        </w:rPr>
        <w:t>以追踪黄金价格或黄金价格指数为目标，属于高度同质化的产品。</w:t>
      </w:r>
      <w:r>
        <w:rPr>
          <w:spacing w:val="-7"/>
        </w:rPr>
        <w:t>本基金在选择黄金 </w:t>
      </w:r>
      <w:r>
        <w:rPr>
          <w:rFonts w:ascii="Times New Roman" w:eastAsia="Times New Roman"/>
        </w:rPr>
        <w:t>ETF </w:t>
      </w:r>
      <w:r>
        <w:rPr/>
        <w:t>时将综合考虑基金规模、跟踪偏离度与跟踪误差、折溢</w:t>
      </w:r>
      <w:r>
        <w:rPr>
          <w:spacing w:val="-10"/>
        </w:rPr>
        <w:t>价、二级市场流动性、综合费率、信用风险与汇率风险等因素。此外，本基金将</w:t>
      </w:r>
      <w:r>
        <w:rPr>
          <w:spacing w:val="-19"/>
        </w:rPr>
        <w:t>不参与黄金 </w:t>
      </w:r>
      <w:r>
        <w:rPr>
          <w:rFonts w:ascii="Times New Roman" w:eastAsia="Times New Roman"/>
        </w:rPr>
        <w:t>ETF </w:t>
      </w:r>
      <w:r>
        <w:rPr/>
        <w:t>的实物申赎。</w:t>
      </w:r>
    </w:p>
    <w:p>
      <w:pPr>
        <w:pStyle w:val="BodyText"/>
        <w:spacing w:before="3"/>
        <w:ind w:left="540" w:firstLine="0"/>
      </w:pPr>
      <w:r>
        <w:rPr>
          <w:rFonts w:ascii="Times New Roman" w:eastAsia="Times New Roman"/>
        </w:rPr>
        <w:t>3</w:t>
      </w:r>
      <w:r>
        <w:rPr/>
        <w:t>、 黄金股票类资产的选择标准</w:t>
      </w:r>
    </w:p>
    <w:p>
      <w:pPr>
        <w:pStyle w:val="BodyText"/>
        <w:spacing w:before="160"/>
        <w:ind w:left="538" w:firstLine="0"/>
      </w:pPr>
      <w:r>
        <w:rPr/>
        <w:t>本基金对黄金采掘公司股票进行投资主要考虑以下因素：</w:t>
      </w:r>
    </w:p>
    <w:p>
      <w:pPr>
        <w:spacing w:after="0"/>
        <w:sectPr>
          <w:pgSz w:w="11910" w:h="16840"/>
          <w:pgMar w:header="0" w:footer="914" w:top="1440" w:bottom="1180" w:left="1680" w:right="1420"/>
        </w:sectPr>
      </w:pPr>
    </w:p>
    <w:p>
      <w:pPr>
        <w:pStyle w:val="ListParagraph"/>
        <w:numPr>
          <w:ilvl w:val="0"/>
          <w:numId w:val="32"/>
        </w:numPr>
        <w:tabs>
          <w:tab w:pos="1254" w:val="left" w:leader="none"/>
        </w:tabs>
        <w:spacing w:line="240" w:lineRule="auto" w:before="61" w:after="0"/>
        <w:ind w:left="1253" w:right="0" w:hanging="714"/>
        <w:jc w:val="left"/>
        <w:rPr>
          <w:sz w:val="24"/>
        </w:rPr>
      </w:pPr>
      <w:r>
        <w:rPr>
          <w:sz w:val="24"/>
        </w:rPr>
        <w:t>金矿的储量、开采难度等；</w:t>
      </w:r>
    </w:p>
    <w:p>
      <w:pPr>
        <w:pStyle w:val="ListParagraph"/>
        <w:numPr>
          <w:ilvl w:val="0"/>
          <w:numId w:val="32"/>
        </w:numPr>
        <w:tabs>
          <w:tab w:pos="1254" w:val="left" w:leader="none"/>
        </w:tabs>
        <w:spacing w:line="240" w:lineRule="auto" w:before="160" w:after="0"/>
        <w:ind w:left="1253" w:right="0" w:hanging="714"/>
        <w:jc w:val="left"/>
        <w:rPr>
          <w:sz w:val="24"/>
        </w:rPr>
      </w:pPr>
      <w:r>
        <w:rPr>
          <w:sz w:val="24"/>
        </w:rPr>
        <w:t>开采技术、生产能力以及产量的预期变化；</w:t>
      </w:r>
    </w:p>
    <w:p>
      <w:pPr>
        <w:pStyle w:val="ListParagraph"/>
        <w:numPr>
          <w:ilvl w:val="0"/>
          <w:numId w:val="32"/>
        </w:numPr>
        <w:tabs>
          <w:tab w:pos="1254" w:val="left" w:leader="none"/>
        </w:tabs>
        <w:spacing w:line="240" w:lineRule="auto" w:before="161" w:after="0"/>
        <w:ind w:left="1253" w:right="0" w:hanging="714"/>
        <w:jc w:val="left"/>
        <w:rPr>
          <w:sz w:val="24"/>
        </w:rPr>
      </w:pPr>
      <w:r>
        <w:rPr>
          <w:sz w:val="24"/>
        </w:rPr>
        <w:t>经营成本的变化；</w:t>
      </w:r>
    </w:p>
    <w:p>
      <w:pPr>
        <w:pStyle w:val="ListParagraph"/>
        <w:numPr>
          <w:ilvl w:val="0"/>
          <w:numId w:val="32"/>
        </w:numPr>
        <w:tabs>
          <w:tab w:pos="1254" w:val="left" w:leader="none"/>
        </w:tabs>
        <w:spacing w:line="240" w:lineRule="auto" w:before="160" w:after="0"/>
        <w:ind w:left="1253" w:right="0" w:hanging="714"/>
        <w:jc w:val="left"/>
        <w:rPr>
          <w:sz w:val="24"/>
        </w:rPr>
      </w:pPr>
      <w:r>
        <w:rPr>
          <w:sz w:val="24"/>
        </w:rPr>
        <w:t>黄金价格变动对企业盈利影响的敏感性；</w:t>
      </w:r>
    </w:p>
    <w:p>
      <w:pPr>
        <w:pStyle w:val="ListParagraph"/>
        <w:numPr>
          <w:ilvl w:val="0"/>
          <w:numId w:val="32"/>
        </w:numPr>
        <w:tabs>
          <w:tab w:pos="1254" w:val="left" w:leader="none"/>
        </w:tabs>
        <w:spacing w:line="240" w:lineRule="auto" w:before="161" w:after="0"/>
        <w:ind w:left="1253" w:right="0" w:hanging="714"/>
        <w:jc w:val="left"/>
        <w:rPr>
          <w:sz w:val="24"/>
        </w:rPr>
      </w:pPr>
      <w:r>
        <w:rPr>
          <w:sz w:val="24"/>
        </w:rPr>
        <w:t>在同行业、类似企业中，估值的比较分析等。</w:t>
      </w:r>
    </w:p>
    <w:p>
      <w:pPr>
        <w:pStyle w:val="BodyText"/>
        <w:spacing w:before="160"/>
        <w:ind w:left="538" w:firstLine="0"/>
      </w:pPr>
      <w:r>
        <w:rPr/>
        <w:t>对黄金股票基金进行研究与分析时，本基金将重点考察以下因素：</w:t>
      </w:r>
    </w:p>
    <w:p>
      <w:pPr>
        <w:pStyle w:val="ListParagraph"/>
        <w:numPr>
          <w:ilvl w:val="0"/>
          <w:numId w:val="33"/>
        </w:numPr>
        <w:tabs>
          <w:tab w:pos="1165" w:val="left" w:leader="none"/>
        </w:tabs>
        <w:spacing w:line="364" w:lineRule="auto" w:before="161" w:after="0"/>
        <w:ind w:left="1164" w:right="440" w:hanging="624"/>
        <w:jc w:val="left"/>
        <w:rPr>
          <w:sz w:val="24"/>
        </w:rPr>
      </w:pPr>
      <w:r>
        <w:rPr>
          <w:spacing w:val="-1"/>
          <w:sz w:val="24"/>
        </w:rPr>
        <w:t>基金的跟踪误差、超额收益、取得超额收益的持续性以及单位跟踪误</w:t>
      </w:r>
      <w:r>
        <w:rPr>
          <w:sz w:val="24"/>
        </w:rPr>
        <w:t>差风险的超额收益；</w:t>
      </w:r>
    </w:p>
    <w:p>
      <w:pPr>
        <w:pStyle w:val="ListParagraph"/>
        <w:numPr>
          <w:ilvl w:val="0"/>
          <w:numId w:val="33"/>
        </w:numPr>
        <w:tabs>
          <w:tab w:pos="1165" w:val="left" w:leader="none"/>
        </w:tabs>
        <w:spacing w:line="240" w:lineRule="auto" w:before="2" w:after="0"/>
        <w:ind w:left="1164" w:right="0" w:hanging="625"/>
        <w:jc w:val="left"/>
        <w:rPr>
          <w:sz w:val="24"/>
        </w:rPr>
      </w:pPr>
      <w:r>
        <w:rPr>
          <w:sz w:val="24"/>
        </w:rPr>
        <w:t>基金的投资策略以及投资风格的稳定性；</w:t>
      </w:r>
    </w:p>
    <w:p>
      <w:pPr>
        <w:pStyle w:val="ListParagraph"/>
        <w:numPr>
          <w:ilvl w:val="0"/>
          <w:numId w:val="33"/>
        </w:numPr>
        <w:tabs>
          <w:tab w:pos="1165" w:val="left" w:leader="none"/>
        </w:tabs>
        <w:spacing w:line="240" w:lineRule="auto" w:before="160" w:after="0"/>
        <w:ind w:left="1164" w:right="0" w:hanging="625"/>
        <w:jc w:val="left"/>
        <w:rPr>
          <w:sz w:val="24"/>
        </w:rPr>
      </w:pPr>
      <w:r>
        <w:rPr>
          <w:sz w:val="24"/>
        </w:rPr>
        <w:t>资产管理人的管理规模、组合经理的管理经验；</w:t>
      </w:r>
    </w:p>
    <w:p>
      <w:pPr>
        <w:pStyle w:val="ListParagraph"/>
        <w:numPr>
          <w:ilvl w:val="0"/>
          <w:numId w:val="33"/>
        </w:numPr>
        <w:tabs>
          <w:tab w:pos="1165" w:val="left" w:leader="none"/>
        </w:tabs>
        <w:spacing w:line="364" w:lineRule="auto" w:before="161" w:after="0"/>
        <w:ind w:left="1164" w:right="441" w:hanging="624"/>
        <w:jc w:val="left"/>
        <w:rPr>
          <w:sz w:val="24"/>
        </w:rPr>
      </w:pPr>
      <w:r>
        <w:rPr>
          <w:spacing w:val="-1"/>
          <w:sz w:val="24"/>
        </w:rPr>
        <w:t>基金的规模、成立时间、销售地域、申购手续的便捷性、基金的综合</w:t>
      </w:r>
      <w:r>
        <w:rPr>
          <w:sz w:val="24"/>
        </w:rPr>
        <w:t>费率等。</w:t>
      </w:r>
    </w:p>
    <w:p>
      <w:pPr>
        <w:pStyle w:val="BodyText"/>
        <w:spacing w:before="1"/>
        <w:ind w:left="540" w:firstLine="0"/>
      </w:pPr>
      <w:r>
        <w:rPr>
          <w:rFonts w:ascii="Times New Roman" w:eastAsia="Times New Roman"/>
        </w:rPr>
        <w:t>4</w:t>
      </w:r>
      <w:r>
        <w:rPr/>
        <w:t>、 其他资产的选择标准</w:t>
      </w:r>
    </w:p>
    <w:p>
      <w:pPr>
        <w:pStyle w:val="BodyText"/>
        <w:spacing w:line="364" w:lineRule="auto" w:before="160"/>
        <w:ind w:right="376"/>
        <w:jc w:val="both"/>
      </w:pPr>
      <w:r>
        <w:rPr>
          <w:spacing w:val="-7"/>
        </w:rPr>
        <w:t>如预期黄金价格处于下跌趋势，本基金将增加其他资产的投资比例。股票方</w:t>
      </w:r>
      <w:r>
        <w:rPr>
          <w:spacing w:val="-10"/>
        </w:rPr>
        <w:t>面，本基金将主要选择经营稳健、持续分红能力强、现金流充裕、股价被市场低估的股票进行投资，争取取得稳定回报。本基金还将根据对国际汇率和利率走势的判断，投资于能取得稳定回报固定收益类品种，包括国债和公司债；经营历史较长、单位风险的超额收益较高、下方风险较低的债券基金；投资回报优良，同</w:t>
      </w:r>
      <w:r>
        <w:rPr/>
        <w:t>时严格控制流动性风险和信用风险的货币市场基金等</w:t>
      </w:r>
      <w:r>
        <w:rPr>
          <w:color w:val="212121"/>
        </w:rPr>
        <w:t>。</w:t>
      </w:r>
    </w:p>
    <w:p>
      <w:pPr>
        <w:pStyle w:val="BodyText"/>
        <w:spacing w:before="4"/>
        <w:ind w:left="540" w:firstLine="0"/>
        <w:jc w:val="both"/>
      </w:pPr>
      <w:r>
        <w:rPr>
          <w:rFonts w:ascii="Times New Roman" w:eastAsia="Times New Roman"/>
        </w:rPr>
        <w:t>5</w:t>
      </w:r>
      <w:r>
        <w:rPr/>
        <w:t>、 衍生品投资及证券借贷策略</w:t>
      </w:r>
    </w:p>
    <w:p>
      <w:pPr>
        <w:pStyle w:val="BodyText"/>
        <w:spacing w:line="364" w:lineRule="auto"/>
        <w:ind w:right="375" w:firstLine="417"/>
        <w:jc w:val="both"/>
      </w:pPr>
      <w:r>
        <w:rPr>
          <w:spacing w:val="-5"/>
        </w:rPr>
        <w:t>为降低留存现金、汇率因素的影响，本基金还将本着谨慎原则，在风险可控</w:t>
      </w:r>
      <w:r>
        <w:rPr>
          <w:spacing w:val="-6"/>
        </w:rPr>
        <w:t>的前提下，投资于以黄金 </w:t>
      </w:r>
      <w:r>
        <w:rPr>
          <w:rFonts w:ascii="Times New Roman" w:eastAsia="Times New Roman"/>
        </w:rPr>
        <w:t>ETF</w:t>
      </w:r>
      <w:r>
        <w:rPr>
          <w:spacing w:val="-8"/>
        </w:rPr>
        <w:t>、黄金股票指数 </w:t>
      </w:r>
      <w:r>
        <w:rPr>
          <w:rFonts w:ascii="Times New Roman" w:eastAsia="Times New Roman"/>
        </w:rPr>
        <w:t>ETF </w:t>
      </w:r>
      <w:r>
        <w:rPr/>
        <w:t>或黄金采掘公司股票为标的资产的期货与期权，以及外汇远期合约等汇率衍生品。</w:t>
      </w:r>
    </w:p>
    <w:p>
      <w:pPr>
        <w:pStyle w:val="BodyText"/>
        <w:spacing w:before="2"/>
        <w:ind w:left="538" w:firstLine="0"/>
      </w:pPr>
      <w:r>
        <w:rPr/>
        <w:t>衍生品投资的主要策略包括：</w:t>
      </w:r>
    </w:p>
    <w:p>
      <w:pPr>
        <w:pStyle w:val="ListParagraph"/>
        <w:numPr>
          <w:ilvl w:val="0"/>
          <w:numId w:val="34"/>
        </w:numPr>
        <w:tabs>
          <w:tab w:pos="1321" w:val="left" w:leader="none"/>
        </w:tabs>
        <w:spacing w:line="364" w:lineRule="auto" w:before="161" w:after="0"/>
        <w:ind w:left="1308" w:right="378" w:hanging="768"/>
        <w:jc w:val="left"/>
        <w:rPr>
          <w:sz w:val="24"/>
        </w:rPr>
      </w:pPr>
      <w:r>
        <w:rPr>
          <w:sz w:val="24"/>
        </w:rPr>
        <w:t>避险。本基金可利用外汇远期合约规避外币资产对人民币的汇率风险，避免汇率剧烈波动对基金的业绩产生不良影响；可利用以黄金</w:t>
      </w:r>
      <w:r>
        <w:rPr>
          <w:rFonts w:ascii="Times New Roman" w:eastAsia="Times New Roman"/>
          <w:sz w:val="24"/>
        </w:rPr>
        <w:t>ETF</w:t>
      </w:r>
      <w:r>
        <w:rPr>
          <w:rFonts w:ascii="Times New Roman" w:eastAsia="Times New Roman"/>
          <w:spacing w:val="-2"/>
          <w:sz w:val="24"/>
        </w:rPr>
        <w:t> </w:t>
      </w:r>
      <w:r>
        <w:rPr>
          <w:spacing w:val="-8"/>
          <w:sz w:val="24"/>
        </w:rPr>
        <w:t>或黄金股票指数 </w:t>
      </w:r>
      <w:r>
        <w:rPr>
          <w:rFonts w:ascii="Times New Roman" w:eastAsia="Times New Roman"/>
          <w:sz w:val="24"/>
        </w:rPr>
        <w:t>ETF</w:t>
      </w:r>
      <w:r>
        <w:rPr>
          <w:rFonts w:ascii="Times New Roman" w:eastAsia="Times New Roman"/>
          <w:spacing w:val="-2"/>
          <w:sz w:val="24"/>
        </w:rPr>
        <w:t> </w:t>
      </w:r>
      <w:r>
        <w:rPr>
          <w:sz w:val="24"/>
        </w:rPr>
        <w:t>为标的资产的衍生工具，规避黄金市场的</w:t>
      </w:r>
      <w:r>
        <w:rPr>
          <w:spacing w:val="-10"/>
          <w:sz w:val="24"/>
        </w:rPr>
        <w:t>系统性风险；还可利用单只证券相关的衍生产品规避单个证券在短时</w:t>
      </w:r>
      <w:r>
        <w:rPr>
          <w:sz w:val="24"/>
        </w:rPr>
        <w:t>期内剧烈波动的风险等。</w:t>
      </w:r>
    </w:p>
    <w:p>
      <w:pPr>
        <w:spacing w:after="0" w:line="364" w:lineRule="auto"/>
        <w:jc w:val="left"/>
        <w:rPr>
          <w:sz w:val="24"/>
        </w:rPr>
        <w:sectPr>
          <w:pgSz w:w="11910" w:h="16840"/>
          <w:pgMar w:header="0" w:footer="914" w:top="1440" w:bottom="1180" w:left="1680" w:right="1420"/>
        </w:sectPr>
      </w:pPr>
    </w:p>
    <w:p>
      <w:pPr>
        <w:pStyle w:val="ListParagraph"/>
        <w:numPr>
          <w:ilvl w:val="0"/>
          <w:numId w:val="34"/>
        </w:numPr>
        <w:tabs>
          <w:tab w:pos="1321" w:val="left" w:leader="none"/>
        </w:tabs>
        <w:spacing w:line="364" w:lineRule="auto" w:before="61" w:after="0"/>
        <w:ind w:left="1308" w:right="376" w:hanging="768"/>
        <w:jc w:val="both"/>
        <w:rPr>
          <w:sz w:val="24"/>
        </w:rPr>
      </w:pPr>
      <w:r>
        <w:rPr>
          <w:spacing w:val="-10"/>
          <w:sz w:val="24"/>
        </w:rPr>
        <w:t>有效管理。主要包括对现金流量的有效管理、降低冲击成本等。在短</w:t>
      </w:r>
      <w:r>
        <w:rPr>
          <w:spacing w:val="-6"/>
          <w:sz w:val="24"/>
        </w:rPr>
        <w:t>期的申购赎回规模较大或市场大幅波动时，利用金融衍生品可迅速调</w:t>
      </w:r>
      <w:r>
        <w:rPr>
          <w:sz w:val="24"/>
        </w:rPr>
        <w:t>整现金头寸，同时管理风险以减少不利影响。</w:t>
      </w:r>
    </w:p>
    <w:p>
      <w:pPr>
        <w:pStyle w:val="BodyText"/>
        <w:spacing w:line="364" w:lineRule="auto" w:before="2"/>
        <w:ind w:right="332" w:firstLine="417"/>
      </w:pPr>
      <w:r>
        <w:rPr/>
        <w:t>此外，在符合有关法律法规的前提下，本基金还可在严格进行风险控制的前提下，进行证券借贷交易、回购交易等投资，以提高投资收益。</w:t>
      </w:r>
    </w:p>
    <w:p>
      <w:pPr>
        <w:pStyle w:val="BodyText"/>
        <w:spacing w:before="0"/>
        <w:ind w:left="0" w:firstLine="0"/>
      </w:pPr>
    </w:p>
    <w:p>
      <w:pPr>
        <w:spacing w:before="161"/>
        <w:ind w:left="598" w:right="0" w:firstLine="0"/>
        <w:jc w:val="left"/>
        <w:rPr>
          <w:b/>
          <w:sz w:val="24"/>
        </w:rPr>
      </w:pPr>
      <w:r>
        <w:rPr>
          <w:b/>
          <w:sz w:val="24"/>
        </w:rPr>
        <w:t>（五）投资决策依据和决策程序</w:t>
      </w:r>
    </w:p>
    <w:p>
      <w:pPr>
        <w:pStyle w:val="BodyText"/>
        <w:ind w:left="0" w:right="6644" w:firstLine="0"/>
        <w:jc w:val="right"/>
      </w:pPr>
      <w:r>
        <w:rPr>
          <w:rFonts w:ascii="Times New Roman" w:eastAsia="Times New Roman"/>
        </w:rPr>
        <w:t>1</w:t>
      </w:r>
      <w:r>
        <w:rPr/>
        <w:t>、决策依据</w:t>
      </w:r>
    </w:p>
    <w:p>
      <w:pPr>
        <w:pStyle w:val="ListParagraph"/>
        <w:numPr>
          <w:ilvl w:val="0"/>
          <w:numId w:val="35"/>
        </w:numPr>
        <w:tabs>
          <w:tab w:pos="1202" w:val="left" w:leader="none"/>
        </w:tabs>
        <w:spacing w:line="240" w:lineRule="auto" w:before="161" w:after="0"/>
        <w:ind w:left="1201" w:right="0" w:hanging="602"/>
        <w:jc w:val="left"/>
        <w:rPr>
          <w:sz w:val="24"/>
        </w:rPr>
      </w:pPr>
      <w:r>
        <w:rPr>
          <w:sz w:val="24"/>
        </w:rPr>
        <w:t>国家有关法律、法规和本基金合同的有关规定；</w:t>
      </w:r>
    </w:p>
    <w:p>
      <w:pPr>
        <w:pStyle w:val="ListParagraph"/>
        <w:numPr>
          <w:ilvl w:val="0"/>
          <w:numId w:val="35"/>
        </w:numPr>
        <w:tabs>
          <w:tab w:pos="1202" w:val="left" w:leader="none"/>
        </w:tabs>
        <w:spacing w:line="364" w:lineRule="auto" w:before="161" w:after="0"/>
        <w:ind w:left="120" w:right="403" w:firstLine="479"/>
        <w:jc w:val="left"/>
        <w:rPr>
          <w:sz w:val="24"/>
        </w:rPr>
      </w:pPr>
      <w:r>
        <w:rPr>
          <w:spacing w:val="-1"/>
          <w:sz w:val="24"/>
        </w:rPr>
        <w:t>宏观研究、行业研究、公司研究、固定收益研究、衍生品研究、投资</w:t>
      </w:r>
      <w:r>
        <w:rPr>
          <w:sz w:val="24"/>
        </w:rPr>
        <w:t>策略研究、基金研究等方面的报告；</w:t>
      </w:r>
    </w:p>
    <w:p>
      <w:pPr>
        <w:pStyle w:val="BodyText"/>
        <w:spacing w:before="1"/>
        <w:ind w:left="600" w:firstLine="0"/>
      </w:pPr>
      <w:r>
        <w:rPr>
          <w:rFonts w:ascii="Times New Roman" w:eastAsia="Times New Roman"/>
        </w:rPr>
        <w:t>2</w:t>
      </w:r>
      <w:r>
        <w:rPr/>
        <w:t>、决策程序</w:t>
      </w:r>
    </w:p>
    <w:p>
      <w:pPr>
        <w:pStyle w:val="ListParagraph"/>
        <w:numPr>
          <w:ilvl w:val="0"/>
          <w:numId w:val="36"/>
        </w:numPr>
        <w:tabs>
          <w:tab w:pos="601" w:val="left" w:leader="none"/>
        </w:tabs>
        <w:spacing w:line="240" w:lineRule="auto" w:before="160" w:after="0"/>
        <w:ind w:left="1201" w:right="6644" w:hanging="1202"/>
        <w:jc w:val="right"/>
        <w:rPr>
          <w:sz w:val="24"/>
        </w:rPr>
      </w:pPr>
      <w:r>
        <w:rPr>
          <w:sz w:val="24"/>
        </w:rPr>
        <w:t>投资研究</w:t>
      </w:r>
    </w:p>
    <w:p>
      <w:pPr>
        <w:pStyle w:val="BodyText"/>
        <w:spacing w:line="364" w:lineRule="auto"/>
        <w:ind w:right="379"/>
        <w:jc w:val="both"/>
      </w:pPr>
      <w:r>
        <w:rPr>
          <w:spacing w:val="-7"/>
        </w:rPr>
        <w:t>研究员充分利用外部研究成果、市场信息和公司资源展开宏观研究、策略研</w:t>
      </w:r>
      <w:r>
        <w:rPr>
          <w:spacing w:val="-11"/>
        </w:rPr>
        <w:t>究、行业研究、公司基本面研究、固定收益证券研究和金融衍生品研究，强调自</w:t>
      </w:r>
      <w:r>
        <w:rPr>
          <w:spacing w:val="-6"/>
        </w:rPr>
        <w:t>上而下和自下而上相结合的研究过程，注重研究的前瞻性和准确性，为各层次的</w:t>
      </w:r>
      <w:r>
        <w:rPr/>
        <w:t>投资决策提供支持。</w:t>
      </w:r>
    </w:p>
    <w:p>
      <w:pPr>
        <w:pStyle w:val="ListParagraph"/>
        <w:numPr>
          <w:ilvl w:val="0"/>
          <w:numId w:val="36"/>
        </w:numPr>
        <w:tabs>
          <w:tab w:pos="601" w:val="left" w:leader="none"/>
        </w:tabs>
        <w:spacing w:line="240" w:lineRule="auto" w:before="3" w:after="0"/>
        <w:ind w:left="1201" w:right="6644" w:hanging="1202"/>
        <w:jc w:val="right"/>
        <w:rPr>
          <w:sz w:val="24"/>
        </w:rPr>
      </w:pPr>
      <w:r>
        <w:rPr>
          <w:sz w:val="24"/>
        </w:rPr>
        <w:t>资产配置</w:t>
      </w:r>
    </w:p>
    <w:p>
      <w:pPr>
        <w:pStyle w:val="BodyText"/>
        <w:spacing w:line="364" w:lineRule="auto" w:before="160"/>
        <w:ind w:right="377"/>
        <w:jc w:val="both"/>
      </w:pPr>
      <w:r>
        <w:rPr>
          <w:spacing w:val="-4"/>
        </w:rPr>
        <w:t>在内外部研究支持下，基金经理向投资决策委员会提交《资产配置报告》， </w:t>
      </w:r>
      <w:r>
        <w:rPr>
          <w:spacing w:val="-9"/>
        </w:rPr>
        <w:t>投资决策委员会对全球主要经济体中长期宏观经济政策形势、黄金市场趋势以及</w:t>
      </w:r>
      <w:r>
        <w:rPr/>
        <w:t>黄金行业发展趋势进行研判，形成资产配置比例区间的决议。</w:t>
      </w:r>
    </w:p>
    <w:p>
      <w:pPr>
        <w:pStyle w:val="ListParagraph"/>
        <w:numPr>
          <w:ilvl w:val="0"/>
          <w:numId w:val="36"/>
        </w:numPr>
        <w:tabs>
          <w:tab w:pos="1202" w:val="left" w:leader="none"/>
        </w:tabs>
        <w:spacing w:line="240" w:lineRule="auto" w:before="2" w:after="0"/>
        <w:ind w:left="1201" w:right="0" w:hanging="602"/>
        <w:jc w:val="left"/>
        <w:rPr>
          <w:sz w:val="24"/>
        </w:rPr>
      </w:pPr>
      <w:r>
        <w:rPr>
          <w:sz w:val="24"/>
        </w:rPr>
        <w:t>基金投资组合的构建</w:t>
      </w:r>
    </w:p>
    <w:p>
      <w:pPr>
        <w:pStyle w:val="BodyText"/>
        <w:spacing w:line="364" w:lineRule="auto" w:before="160"/>
        <w:ind w:right="275"/>
      </w:pPr>
      <w:r>
        <w:rPr>
          <w:spacing w:val="-6"/>
        </w:rPr>
        <w:t>在决定资产配置比例的基础上，基金经理将主要关注基金管理团队、资产规模、流动性、投资策略、投资业绩、汇率风险等基本情况，确定基金投资对象。</w:t>
      </w:r>
      <w:r>
        <w:rPr>
          <w:spacing w:val="-10"/>
        </w:rPr>
        <w:t>同时，对于执行被动管理并上市交易的 </w:t>
      </w:r>
      <w:r>
        <w:rPr>
          <w:rFonts w:ascii="Times New Roman" w:eastAsia="Times New Roman"/>
        </w:rPr>
        <w:t>ETF</w:t>
      </w:r>
      <w:r>
        <w:rPr>
          <w:spacing w:val="-1"/>
        </w:rPr>
        <w:t>，基金经理还将考察其跟踪偏离度、</w:t>
      </w:r>
      <w:r>
        <w:rPr/>
        <w:t>成交金额以及折溢价率等指标。</w:t>
      </w:r>
    </w:p>
    <w:p>
      <w:pPr>
        <w:pStyle w:val="BodyText"/>
        <w:spacing w:line="364" w:lineRule="auto" w:before="3"/>
        <w:ind w:right="379"/>
        <w:jc w:val="both"/>
      </w:pPr>
      <w:r>
        <w:rPr>
          <w:spacing w:val="-6"/>
        </w:rPr>
        <w:t>基金经理将在充分考虑以上因素的情况下，选择有优秀的基金管理团队、资</w:t>
      </w:r>
      <w:r>
        <w:rPr>
          <w:spacing w:val="-9"/>
        </w:rPr>
        <w:t>产规模较大、流动性充裕、信用风险低、汇率风险小、跟踪误差与跟踪偏离度较</w:t>
      </w:r>
      <w:r>
        <w:rPr/>
        <w:t>低、折溢价率较低的基金，构造基金中基金投资组合。</w:t>
      </w:r>
    </w:p>
    <w:p>
      <w:pPr>
        <w:spacing w:after="0" w:line="364" w:lineRule="auto"/>
        <w:jc w:val="both"/>
        <w:sectPr>
          <w:pgSz w:w="11910" w:h="16840"/>
          <w:pgMar w:header="0" w:footer="914" w:top="1440" w:bottom="1180" w:left="1680" w:right="1420"/>
        </w:sectPr>
      </w:pPr>
    </w:p>
    <w:p>
      <w:pPr>
        <w:pStyle w:val="ListParagraph"/>
        <w:numPr>
          <w:ilvl w:val="0"/>
          <w:numId w:val="36"/>
        </w:numPr>
        <w:tabs>
          <w:tab w:pos="1202" w:val="left" w:leader="none"/>
        </w:tabs>
        <w:spacing w:line="240" w:lineRule="auto" w:before="61" w:after="0"/>
        <w:ind w:left="1201" w:right="0" w:hanging="602"/>
        <w:jc w:val="left"/>
        <w:rPr>
          <w:sz w:val="24"/>
        </w:rPr>
      </w:pPr>
      <w:r>
        <w:rPr>
          <w:sz w:val="24"/>
        </w:rPr>
        <w:t>股票投资组合的构建</w:t>
      </w:r>
    </w:p>
    <w:p>
      <w:pPr>
        <w:pStyle w:val="BodyText"/>
        <w:spacing w:line="364" w:lineRule="auto" w:before="160"/>
        <w:ind w:right="258"/>
      </w:pPr>
      <w:r>
        <w:rPr>
          <w:spacing w:val="-11"/>
        </w:rPr>
        <w:t>基金经理在参考内外部研究报告的基础上，通过“自上而下”与“自下而上” </w:t>
      </w:r>
      <w:r>
        <w:rPr>
          <w:spacing w:val="-8"/>
        </w:rPr>
        <w:t>相结合的方式，对上市公司基本面、估值水平、市场表现作出评估，挖掘驱动上</w:t>
      </w:r>
      <w:r>
        <w:rPr>
          <w:spacing w:val="-14"/>
        </w:rPr>
        <w:t>市公司股价表现的关键因素，形成对证券预期收益的合理预期，并在投资决策委员会的指导下，形成股票配置比例的决策。基金经理参考研究员的投资建议，构建股票组合。</w:t>
      </w:r>
    </w:p>
    <w:p>
      <w:pPr>
        <w:pStyle w:val="ListParagraph"/>
        <w:numPr>
          <w:ilvl w:val="0"/>
          <w:numId w:val="36"/>
        </w:numPr>
        <w:tabs>
          <w:tab w:pos="1202" w:val="left" w:leader="none"/>
        </w:tabs>
        <w:spacing w:line="240" w:lineRule="auto" w:before="3" w:after="0"/>
        <w:ind w:left="1201" w:right="0" w:hanging="602"/>
        <w:jc w:val="left"/>
        <w:rPr>
          <w:sz w:val="24"/>
        </w:rPr>
      </w:pPr>
      <w:r>
        <w:rPr>
          <w:sz w:val="24"/>
        </w:rPr>
        <w:t>债券投资组合的构建</w:t>
      </w:r>
    </w:p>
    <w:p>
      <w:pPr>
        <w:pStyle w:val="BodyText"/>
        <w:spacing w:line="364" w:lineRule="auto"/>
        <w:ind w:right="455"/>
      </w:pPr>
      <w:r>
        <w:rPr/>
        <w:t>基金经理基于资产配置决策以及对各国</w:t>
      </w:r>
      <w:r>
        <w:rPr>
          <w:rFonts w:ascii="Times New Roman" w:eastAsia="Times New Roman"/>
        </w:rPr>
        <w:t>/</w:t>
      </w:r>
      <w:r>
        <w:rPr/>
        <w:t>地区债券市场的研究，决定债券组合的期限结构、债券类别配置并选择具体债券，构建债券组合。</w:t>
      </w:r>
    </w:p>
    <w:p>
      <w:pPr>
        <w:pStyle w:val="ListParagraph"/>
        <w:numPr>
          <w:ilvl w:val="0"/>
          <w:numId w:val="36"/>
        </w:numPr>
        <w:tabs>
          <w:tab w:pos="1202" w:val="left" w:leader="none"/>
        </w:tabs>
        <w:spacing w:line="240" w:lineRule="auto" w:before="2" w:after="0"/>
        <w:ind w:left="1201" w:right="0" w:hanging="602"/>
        <w:jc w:val="left"/>
        <w:rPr>
          <w:sz w:val="24"/>
        </w:rPr>
      </w:pPr>
      <w:r>
        <w:rPr>
          <w:sz w:val="24"/>
        </w:rPr>
        <w:t>交易执行</w:t>
      </w:r>
    </w:p>
    <w:p>
      <w:pPr>
        <w:pStyle w:val="BodyText"/>
        <w:spacing w:line="364" w:lineRule="auto" w:before="160"/>
        <w:ind w:right="379"/>
        <w:jc w:val="both"/>
      </w:pPr>
      <w:r>
        <w:rPr>
          <w:spacing w:val="-6"/>
        </w:rPr>
        <w:t>基金经理可通过交易系统下达投资指令，经交易系统传递至集中交易室，集中交易室交易员接到指令后对指令进行审核，确认为合规有效指令后，选择合适</w:t>
      </w:r>
      <w:r>
        <w:rPr>
          <w:spacing w:val="-7"/>
        </w:rPr>
        <w:t>的交易经纪商完成指令的执行。每日交易结束后，交易员与基金经理确认最终成</w:t>
      </w:r>
      <w:r>
        <w:rPr/>
        <w:t>交结果。</w:t>
      </w:r>
    </w:p>
    <w:p>
      <w:pPr>
        <w:pStyle w:val="ListParagraph"/>
        <w:numPr>
          <w:ilvl w:val="0"/>
          <w:numId w:val="36"/>
        </w:numPr>
        <w:tabs>
          <w:tab w:pos="1202" w:val="left" w:leader="none"/>
        </w:tabs>
        <w:spacing w:line="240" w:lineRule="auto" w:before="3" w:after="0"/>
        <w:ind w:left="1201" w:right="0" w:hanging="602"/>
        <w:jc w:val="left"/>
        <w:rPr>
          <w:sz w:val="24"/>
        </w:rPr>
      </w:pPr>
      <w:r>
        <w:rPr>
          <w:sz w:val="24"/>
        </w:rPr>
        <w:t>绩效与风险评估</w:t>
      </w:r>
    </w:p>
    <w:p>
      <w:pPr>
        <w:pStyle w:val="BodyText"/>
        <w:spacing w:line="364" w:lineRule="auto" w:before="160"/>
        <w:ind w:right="257"/>
        <w:jc w:val="both"/>
      </w:pPr>
      <w:r>
        <w:rPr>
          <w:spacing w:val="-5"/>
        </w:rPr>
        <w:t>在定期召开的投资决策委员会会议上，投资风险管理部提交基金的《投资绩</w:t>
      </w:r>
      <w:r>
        <w:rPr>
          <w:spacing w:val="-13"/>
        </w:rPr>
        <w:t>效与风险评估报告》，对上一阶段的投资运作情况进行整体回顾和评估检讨。投</w:t>
      </w:r>
      <w:r>
        <w:rPr>
          <w:spacing w:val="-14"/>
        </w:rPr>
        <w:t>资风险管理部、研究部及基金经理将分别从不同的角度对基金投资运作情况进行</w:t>
      </w:r>
      <w:r>
        <w:rPr>
          <w:spacing w:val="-17"/>
        </w:rPr>
        <w:t>分析、检讨和评估，对投资运作中存在的问题，基金经理应提出调整和改进意见。</w:t>
      </w:r>
    </w:p>
    <w:p>
      <w:pPr>
        <w:pStyle w:val="ListParagraph"/>
        <w:numPr>
          <w:ilvl w:val="0"/>
          <w:numId w:val="36"/>
        </w:numPr>
        <w:tabs>
          <w:tab w:pos="1202" w:val="left" w:leader="none"/>
        </w:tabs>
        <w:spacing w:line="240" w:lineRule="auto" w:before="3" w:after="0"/>
        <w:ind w:left="1201" w:right="0" w:hanging="602"/>
        <w:jc w:val="left"/>
        <w:rPr>
          <w:sz w:val="24"/>
        </w:rPr>
      </w:pPr>
      <w:r>
        <w:rPr>
          <w:sz w:val="24"/>
        </w:rPr>
        <w:t>投资的合规性监控</w:t>
      </w:r>
    </w:p>
    <w:p>
      <w:pPr>
        <w:pStyle w:val="BodyText"/>
        <w:spacing w:line="364" w:lineRule="auto" w:before="160"/>
        <w:ind w:right="376"/>
        <w:jc w:val="both"/>
      </w:pPr>
      <w:r>
        <w:rPr>
          <w:spacing w:val="-5"/>
        </w:rPr>
        <w:t>监察部负责对基金投资运作的主要合规性指标进行日常监控，并检查督促各</w:t>
      </w:r>
      <w:r>
        <w:rPr>
          <w:spacing w:val="-7"/>
        </w:rPr>
        <w:t>岗位落实其相应的风控职责和制度措施。当监察部在发现基金投资运作中存在合</w:t>
      </w:r>
      <w:r>
        <w:rPr/>
        <w:t>规性问题或风险时，将向有关领导及基金经理进行风险提示，要求进行改正。</w:t>
      </w:r>
    </w:p>
    <w:p>
      <w:pPr>
        <w:pStyle w:val="BodyText"/>
        <w:spacing w:before="0"/>
        <w:ind w:left="0" w:firstLine="0"/>
      </w:pPr>
    </w:p>
    <w:p>
      <w:pPr>
        <w:spacing w:before="163"/>
        <w:ind w:left="598" w:right="0" w:firstLine="0"/>
        <w:jc w:val="left"/>
        <w:rPr>
          <w:b/>
          <w:sz w:val="24"/>
        </w:rPr>
      </w:pPr>
      <w:r>
        <w:rPr>
          <w:b/>
          <w:sz w:val="24"/>
        </w:rPr>
        <w:t>（六）投资限制</w:t>
      </w:r>
    </w:p>
    <w:p>
      <w:pPr>
        <w:pStyle w:val="BodyText"/>
        <w:ind w:left="600" w:firstLine="0"/>
      </w:pPr>
      <w:r>
        <w:rPr>
          <w:rFonts w:ascii="Times New Roman" w:eastAsia="Times New Roman"/>
        </w:rPr>
        <w:t>1</w:t>
      </w:r>
      <w:r>
        <w:rPr/>
        <w:t>、禁止行为</w:t>
      </w:r>
    </w:p>
    <w:p>
      <w:pPr>
        <w:pStyle w:val="BodyText"/>
        <w:spacing w:line="364" w:lineRule="auto" w:before="160"/>
        <w:ind w:right="378"/>
      </w:pPr>
      <w:r>
        <w:rPr>
          <w:spacing w:val="-6"/>
        </w:rPr>
        <w:t>为维护基金份额持有人的合法权益，除中国证监会另有规定外，本基金禁止</w:t>
      </w:r>
      <w:r>
        <w:rPr/>
        <w:t>从事下列行为：</w:t>
      </w:r>
    </w:p>
    <w:p>
      <w:pPr>
        <w:pStyle w:val="ListParagraph"/>
        <w:numPr>
          <w:ilvl w:val="0"/>
          <w:numId w:val="37"/>
        </w:numPr>
        <w:tabs>
          <w:tab w:pos="1202" w:val="left" w:leader="none"/>
        </w:tabs>
        <w:spacing w:line="240" w:lineRule="auto" w:before="1" w:after="0"/>
        <w:ind w:left="1201" w:right="0" w:hanging="602"/>
        <w:jc w:val="left"/>
        <w:rPr>
          <w:sz w:val="24"/>
        </w:rPr>
      </w:pPr>
      <w:r>
        <w:rPr>
          <w:sz w:val="24"/>
        </w:rPr>
        <w:t>承销证券；</w:t>
      </w:r>
    </w:p>
    <w:p>
      <w:pPr>
        <w:spacing w:after="0" w:line="240" w:lineRule="auto"/>
        <w:jc w:val="left"/>
        <w:rPr>
          <w:sz w:val="24"/>
        </w:rPr>
        <w:sectPr>
          <w:pgSz w:w="11910" w:h="16840"/>
          <w:pgMar w:header="0" w:footer="914" w:top="1440" w:bottom="1180" w:left="1680" w:right="1420"/>
        </w:sectPr>
      </w:pPr>
    </w:p>
    <w:p>
      <w:pPr>
        <w:pStyle w:val="ListParagraph"/>
        <w:numPr>
          <w:ilvl w:val="0"/>
          <w:numId w:val="37"/>
        </w:numPr>
        <w:tabs>
          <w:tab w:pos="1202" w:val="left" w:leader="none"/>
        </w:tabs>
        <w:spacing w:line="240" w:lineRule="auto" w:before="61" w:after="0"/>
        <w:ind w:left="1201" w:right="0" w:hanging="602"/>
        <w:jc w:val="left"/>
        <w:rPr>
          <w:sz w:val="24"/>
        </w:rPr>
      </w:pPr>
      <w:r>
        <w:rPr>
          <w:sz w:val="24"/>
        </w:rPr>
        <w:t>向他人贷款或提供担保；</w:t>
      </w:r>
    </w:p>
    <w:p>
      <w:pPr>
        <w:pStyle w:val="ListParagraph"/>
        <w:numPr>
          <w:ilvl w:val="0"/>
          <w:numId w:val="37"/>
        </w:numPr>
        <w:tabs>
          <w:tab w:pos="1202" w:val="left" w:leader="none"/>
        </w:tabs>
        <w:spacing w:line="240" w:lineRule="auto" w:before="160" w:after="0"/>
        <w:ind w:left="1201" w:right="0" w:hanging="602"/>
        <w:jc w:val="left"/>
        <w:rPr>
          <w:sz w:val="24"/>
        </w:rPr>
      </w:pPr>
      <w:r>
        <w:rPr>
          <w:sz w:val="24"/>
        </w:rPr>
        <w:t>从事承担无限责任的投资；</w:t>
      </w:r>
    </w:p>
    <w:p>
      <w:pPr>
        <w:pStyle w:val="ListParagraph"/>
        <w:numPr>
          <w:ilvl w:val="0"/>
          <w:numId w:val="37"/>
        </w:numPr>
        <w:tabs>
          <w:tab w:pos="1202" w:val="left" w:leader="none"/>
        </w:tabs>
        <w:spacing w:line="240" w:lineRule="auto" w:before="161" w:after="0"/>
        <w:ind w:left="1201" w:right="0" w:hanging="602"/>
        <w:jc w:val="left"/>
        <w:rPr>
          <w:sz w:val="24"/>
        </w:rPr>
      </w:pPr>
      <w:r>
        <w:rPr>
          <w:sz w:val="24"/>
        </w:rPr>
        <w:t>购买不动产；</w:t>
      </w:r>
    </w:p>
    <w:p>
      <w:pPr>
        <w:pStyle w:val="ListParagraph"/>
        <w:numPr>
          <w:ilvl w:val="0"/>
          <w:numId w:val="37"/>
        </w:numPr>
        <w:tabs>
          <w:tab w:pos="1202" w:val="left" w:leader="none"/>
        </w:tabs>
        <w:spacing w:line="240" w:lineRule="auto" w:before="160" w:after="0"/>
        <w:ind w:left="1201" w:right="0" w:hanging="602"/>
        <w:jc w:val="left"/>
        <w:rPr>
          <w:sz w:val="24"/>
        </w:rPr>
      </w:pPr>
      <w:r>
        <w:rPr>
          <w:sz w:val="24"/>
        </w:rPr>
        <w:t>购买房地产抵押按揭；</w:t>
      </w:r>
    </w:p>
    <w:p>
      <w:pPr>
        <w:pStyle w:val="ListParagraph"/>
        <w:numPr>
          <w:ilvl w:val="0"/>
          <w:numId w:val="37"/>
        </w:numPr>
        <w:tabs>
          <w:tab w:pos="1202" w:val="left" w:leader="none"/>
        </w:tabs>
        <w:spacing w:line="240" w:lineRule="auto" w:before="161" w:after="0"/>
        <w:ind w:left="1201" w:right="0" w:hanging="602"/>
        <w:jc w:val="left"/>
        <w:rPr>
          <w:sz w:val="24"/>
        </w:rPr>
      </w:pPr>
      <w:r>
        <w:rPr>
          <w:sz w:val="24"/>
        </w:rPr>
        <w:t>购买贵重金属或代表贵重金属的凭证；</w:t>
      </w:r>
    </w:p>
    <w:p>
      <w:pPr>
        <w:pStyle w:val="ListParagraph"/>
        <w:numPr>
          <w:ilvl w:val="0"/>
          <w:numId w:val="37"/>
        </w:numPr>
        <w:tabs>
          <w:tab w:pos="1202" w:val="left" w:leader="none"/>
        </w:tabs>
        <w:spacing w:line="240" w:lineRule="auto" w:before="160" w:after="0"/>
        <w:ind w:left="1201" w:right="0" w:hanging="602"/>
        <w:jc w:val="left"/>
        <w:rPr>
          <w:sz w:val="24"/>
        </w:rPr>
      </w:pPr>
      <w:r>
        <w:rPr>
          <w:sz w:val="24"/>
        </w:rPr>
        <w:t>购买实物商品；</w:t>
      </w:r>
    </w:p>
    <w:p>
      <w:pPr>
        <w:pStyle w:val="ListParagraph"/>
        <w:numPr>
          <w:ilvl w:val="0"/>
          <w:numId w:val="37"/>
        </w:numPr>
        <w:tabs>
          <w:tab w:pos="1202" w:val="left" w:leader="none"/>
        </w:tabs>
        <w:spacing w:line="240" w:lineRule="auto" w:before="161" w:after="0"/>
        <w:ind w:left="1201" w:right="0" w:hanging="602"/>
        <w:jc w:val="left"/>
        <w:rPr>
          <w:sz w:val="24"/>
        </w:rPr>
      </w:pPr>
      <w:r>
        <w:rPr>
          <w:sz w:val="24"/>
        </w:rPr>
        <w:t>除应付赎回、交易清算等临时用途以外，借入现金；</w:t>
      </w:r>
    </w:p>
    <w:p>
      <w:pPr>
        <w:pStyle w:val="ListParagraph"/>
        <w:numPr>
          <w:ilvl w:val="0"/>
          <w:numId w:val="37"/>
        </w:numPr>
        <w:tabs>
          <w:tab w:pos="1202" w:val="left" w:leader="none"/>
        </w:tabs>
        <w:spacing w:line="240" w:lineRule="auto" w:before="160" w:after="0"/>
        <w:ind w:left="1201" w:right="0" w:hanging="602"/>
        <w:jc w:val="left"/>
        <w:rPr>
          <w:sz w:val="24"/>
        </w:rPr>
      </w:pPr>
      <w:r>
        <w:rPr>
          <w:sz w:val="24"/>
        </w:rPr>
        <w:t>利用融资购买证券，但投资金融衍生品除外；</w:t>
      </w:r>
    </w:p>
    <w:p>
      <w:pPr>
        <w:pStyle w:val="ListParagraph"/>
        <w:numPr>
          <w:ilvl w:val="0"/>
          <w:numId w:val="37"/>
        </w:numPr>
        <w:tabs>
          <w:tab w:pos="1322" w:val="left" w:leader="none"/>
        </w:tabs>
        <w:spacing w:line="240" w:lineRule="auto" w:before="161" w:after="0"/>
        <w:ind w:left="1321" w:right="0" w:hanging="722"/>
        <w:jc w:val="left"/>
        <w:rPr>
          <w:sz w:val="24"/>
        </w:rPr>
      </w:pPr>
      <w:r>
        <w:rPr>
          <w:sz w:val="24"/>
        </w:rPr>
        <w:t>参与未持有基础资产的卖空交易；</w:t>
      </w:r>
    </w:p>
    <w:p>
      <w:pPr>
        <w:pStyle w:val="ListParagraph"/>
        <w:numPr>
          <w:ilvl w:val="0"/>
          <w:numId w:val="37"/>
        </w:numPr>
        <w:tabs>
          <w:tab w:pos="1312" w:val="left" w:leader="none"/>
        </w:tabs>
        <w:spacing w:line="240" w:lineRule="auto" w:before="161" w:after="0"/>
        <w:ind w:left="1311" w:right="0" w:hanging="712"/>
        <w:jc w:val="left"/>
        <w:rPr>
          <w:sz w:val="24"/>
        </w:rPr>
      </w:pPr>
      <w:r>
        <w:rPr>
          <w:sz w:val="24"/>
        </w:rPr>
        <w:t>购买证券用于控制或影响发行该证券的机构或其管理层；</w:t>
      </w:r>
    </w:p>
    <w:p>
      <w:pPr>
        <w:pStyle w:val="ListParagraph"/>
        <w:numPr>
          <w:ilvl w:val="0"/>
          <w:numId w:val="37"/>
        </w:numPr>
        <w:tabs>
          <w:tab w:pos="1322" w:val="left" w:leader="none"/>
        </w:tabs>
        <w:spacing w:line="240" w:lineRule="auto" w:before="161" w:after="0"/>
        <w:ind w:left="1321" w:right="0" w:hanging="722"/>
        <w:jc w:val="left"/>
        <w:rPr>
          <w:sz w:val="24"/>
        </w:rPr>
      </w:pPr>
      <w:r>
        <w:rPr>
          <w:sz w:val="24"/>
        </w:rPr>
        <w:t>直接投资与实物商品相关的衍生品；</w:t>
      </w:r>
    </w:p>
    <w:p>
      <w:pPr>
        <w:pStyle w:val="ListParagraph"/>
        <w:numPr>
          <w:ilvl w:val="0"/>
          <w:numId w:val="37"/>
        </w:numPr>
        <w:tabs>
          <w:tab w:pos="1322" w:val="left" w:leader="none"/>
        </w:tabs>
        <w:spacing w:line="364" w:lineRule="auto" w:before="160" w:after="0"/>
        <w:ind w:left="120" w:right="377" w:firstLine="479"/>
        <w:jc w:val="left"/>
        <w:rPr>
          <w:sz w:val="24"/>
        </w:rPr>
      </w:pPr>
      <w:r>
        <w:rPr>
          <w:spacing w:val="-7"/>
          <w:sz w:val="24"/>
        </w:rPr>
        <w:t>向基金管理人、基金托管人出资或者买卖其基金管理人、基金托管</w:t>
      </w:r>
      <w:r>
        <w:rPr>
          <w:spacing w:val="-4"/>
          <w:sz w:val="24"/>
        </w:rPr>
        <w:t>人发行的股票或债券；</w:t>
      </w:r>
    </w:p>
    <w:p>
      <w:pPr>
        <w:pStyle w:val="ListParagraph"/>
        <w:numPr>
          <w:ilvl w:val="0"/>
          <w:numId w:val="37"/>
        </w:numPr>
        <w:tabs>
          <w:tab w:pos="1322" w:val="left" w:leader="none"/>
        </w:tabs>
        <w:spacing w:line="364" w:lineRule="auto" w:before="1" w:after="0"/>
        <w:ind w:left="120" w:right="261" w:firstLine="479"/>
        <w:jc w:val="left"/>
        <w:rPr>
          <w:sz w:val="24"/>
        </w:rPr>
      </w:pPr>
      <w:r>
        <w:rPr>
          <w:spacing w:val="-11"/>
          <w:sz w:val="24"/>
        </w:rPr>
        <w:t>买卖与基金管理人、基金托管人有控股关系的股东或者与基金管理人</w:t>
      </w:r>
      <w:r>
        <w:rPr>
          <w:spacing w:val="-5"/>
          <w:sz w:val="24"/>
        </w:rPr>
        <w:t>、基金托管人有其他重大利害关系的公司发行的证券或者承销期内承销的证券；</w:t>
      </w:r>
    </w:p>
    <w:p>
      <w:pPr>
        <w:pStyle w:val="ListParagraph"/>
        <w:numPr>
          <w:ilvl w:val="0"/>
          <w:numId w:val="37"/>
        </w:numPr>
        <w:tabs>
          <w:tab w:pos="1322" w:val="left" w:leader="none"/>
        </w:tabs>
        <w:spacing w:line="240" w:lineRule="auto" w:before="1" w:after="0"/>
        <w:ind w:left="1321" w:right="0" w:hanging="722"/>
        <w:jc w:val="left"/>
        <w:rPr>
          <w:sz w:val="24"/>
        </w:rPr>
      </w:pPr>
      <w:r>
        <w:rPr>
          <w:sz w:val="24"/>
        </w:rPr>
        <w:t>从事内幕交易、操纵证券价格及其他不正当的证券交易活动；</w:t>
      </w:r>
    </w:p>
    <w:p>
      <w:pPr>
        <w:pStyle w:val="ListParagraph"/>
        <w:numPr>
          <w:ilvl w:val="0"/>
          <w:numId w:val="37"/>
        </w:numPr>
        <w:tabs>
          <w:tab w:pos="1322" w:val="left" w:leader="none"/>
        </w:tabs>
        <w:spacing w:line="240" w:lineRule="auto" w:before="161" w:after="0"/>
        <w:ind w:left="1321" w:right="0" w:hanging="722"/>
        <w:jc w:val="left"/>
        <w:rPr>
          <w:sz w:val="24"/>
        </w:rPr>
      </w:pPr>
      <w:r>
        <w:rPr>
          <w:sz w:val="24"/>
        </w:rPr>
        <w:t>基金中基金不得投资于以下基金：</w:t>
      </w:r>
    </w:p>
    <w:p>
      <w:pPr>
        <w:pStyle w:val="ListParagraph"/>
        <w:numPr>
          <w:ilvl w:val="1"/>
          <w:numId w:val="37"/>
        </w:numPr>
        <w:tabs>
          <w:tab w:pos="1615" w:val="left" w:leader="none"/>
        </w:tabs>
        <w:spacing w:line="240" w:lineRule="auto" w:before="161" w:after="0"/>
        <w:ind w:left="1614" w:right="0" w:hanging="362"/>
        <w:jc w:val="left"/>
        <w:rPr>
          <w:sz w:val="24"/>
        </w:rPr>
      </w:pPr>
      <w:r>
        <w:rPr>
          <w:sz w:val="24"/>
        </w:rPr>
        <w:t>其他基金中基金；</w:t>
      </w:r>
    </w:p>
    <w:p>
      <w:pPr>
        <w:pStyle w:val="ListParagraph"/>
        <w:numPr>
          <w:ilvl w:val="1"/>
          <w:numId w:val="37"/>
        </w:numPr>
        <w:tabs>
          <w:tab w:pos="1615" w:val="left" w:leader="none"/>
        </w:tabs>
        <w:spacing w:line="240" w:lineRule="auto" w:before="160" w:after="0"/>
        <w:ind w:left="1614" w:right="0" w:hanging="362"/>
        <w:jc w:val="left"/>
        <w:rPr>
          <w:sz w:val="24"/>
        </w:rPr>
      </w:pPr>
      <w:r>
        <w:rPr>
          <w:sz w:val="24"/>
        </w:rPr>
        <w:t>联接基金；</w:t>
      </w:r>
    </w:p>
    <w:p>
      <w:pPr>
        <w:pStyle w:val="ListParagraph"/>
        <w:numPr>
          <w:ilvl w:val="1"/>
          <w:numId w:val="37"/>
        </w:numPr>
        <w:tabs>
          <w:tab w:pos="1615" w:val="left" w:leader="none"/>
        </w:tabs>
        <w:spacing w:line="240" w:lineRule="auto" w:before="161" w:after="0"/>
        <w:ind w:left="1614" w:right="0" w:hanging="362"/>
        <w:jc w:val="left"/>
        <w:rPr>
          <w:sz w:val="24"/>
        </w:rPr>
      </w:pPr>
      <w:r>
        <w:rPr>
          <w:sz w:val="24"/>
        </w:rPr>
        <w:t>投资于前述两项基金的伞型基金子基金。</w:t>
      </w:r>
    </w:p>
    <w:p>
      <w:pPr>
        <w:pStyle w:val="ListParagraph"/>
        <w:numPr>
          <w:ilvl w:val="0"/>
          <w:numId w:val="37"/>
        </w:numPr>
        <w:tabs>
          <w:tab w:pos="1322" w:val="left" w:leader="none"/>
        </w:tabs>
        <w:spacing w:line="364" w:lineRule="auto" w:before="160" w:after="0"/>
        <w:ind w:left="120" w:right="381" w:firstLine="479"/>
        <w:jc w:val="left"/>
        <w:rPr>
          <w:sz w:val="24"/>
        </w:rPr>
      </w:pPr>
      <w:r>
        <w:rPr>
          <w:spacing w:val="-6"/>
          <w:sz w:val="24"/>
        </w:rPr>
        <w:t>当时有效的法律法规、中国证监会及《基金合同》规定禁止从事的</w:t>
      </w:r>
      <w:r>
        <w:rPr>
          <w:spacing w:val="-5"/>
          <w:sz w:val="24"/>
        </w:rPr>
        <w:t>其他行为。</w:t>
      </w:r>
    </w:p>
    <w:p>
      <w:pPr>
        <w:pStyle w:val="BodyText"/>
        <w:spacing w:line="364" w:lineRule="auto" w:before="2"/>
        <w:ind w:right="377"/>
      </w:pPr>
      <w:r>
        <w:rPr>
          <w:spacing w:val="-6"/>
        </w:rPr>
        <w:t>如法律法规或监管部门取消上述禁止性规定，本基金管理人可不受上述规定</w:t>
      </w:r>
      <w:r>
        <w:rPr/>
        <w:t>的限制。</w:t>
      </w:r>
    </w:p>
    <w:p>
      <w:pPr>
        <w:pStyle w:val="BodyText"/>
        <w:spacing w:before="1"/>
        <w:ind w:left="600" w:firstLine="0"/>
      </w:pPr>
      <w:r>
        <w:rPr>
          <w:rFonts w:ascii="Times New Roman" w:eastAsia="Times New Roman"/>
        </w:rPr>
        <w:t>2</w:t>
      </w:r>
      <w:r>
        <w:rPr/>
        <w:t>、投资组合限制</w:t>
      </w:r>
    </w:p>
    <w:p>
      <w:pPr>
        <w:pStyle w:val="BodyText"/>
        <w:ind w:left="600" w:firstLine="0"/>
      </w:pPr>
      <w:r>
        <w:rPr/>
        <w:t>本基金的投资组合将遵循以下限制：</w:t>
      </w:r>
    </w:p>
    <w:p>
      <w:pPr>
        <w:pStyle w:val="ListParagraph"/>
        <w:numPr>
          <w:ilvl w:val="0"/>
          <w:numId w:val="38"/>
        </w:numPr>
        <w:tabs>
          <w:tab w:pos="1208" w:val="left" w:leader="none"/>
        </w:tabs>
        <w:spacing w:line="364" w:lineRule="auto" w:before="160" w:after="0"/>
        <w:ind w:left="120" w:right="377" w:firstLine="479"/>
        <w:jc w:val="left"/>
        <w:rPr>
          <w:sz w:val="24"/>
        </w:rPr>
      </w:pPr>
      <w:r>
        <w:rPr>
          <w:sz w:val="24"/>
        </w:rPr>
        <w:t>基金持有同一家银行的存款不得超过基金净值的</w:t>
      </w:r>
      <w:r>
        <w:rPr>
          <w:rFonts w:ascii="Times New Roman" w:eastAsia="Times New Roman"/>
          <w:sz w:val="24"/>
        </w:rPr>
        <w:t>20%</w:t>
      </w:r>
      <w:r>
        <w:rPr>
          <w:sz w:val="24"/>
        </w:rPr>
        <w:t>。在基金托管账户的存款可以不受上述限制。</w:t>
      </w:r>
    </w:p>
    <w:p>
      <w:pPr>
        <w:pStyle w:val="ListParagraph"/>
        <w:numPr>
          <w:ilvl w:val="0"/>
          <w:numId w:val="38"/>
        </w:numPr>
        <w:tabs>
          <w:tab w:pos="1202" w:val="left" w:leader="none"/>
        </w:tabs>
        <w:spacing w:line="240" w:lineRule="auto" w:before="1" w:after="0"/>
        <w:ind w:left="1201" w:right="0" w:hanging="602"/>
        <w:jc w:val="left"/>
        <w:rPr>
          <w:sz w:val="24"/>
        </w:rPr>
      </w:pPr>
      <w:r>
        <w:rPr>
          <w:sz w:val="24"/>
        </w:rPr>
        <w:t>基金持有同一机构（政府、国际金融组织除外）发行的证券市值不得</w:t>
      </w:r>
    </w:p>
    <w:p>
      <w:pPr>
        <w:spacing w:after="0" w:line="240" w:lineRule="auto"/>
        <w:jc w:val="left"/>
        <w:rPr>
          <w:sz w:val="24"/>
        </w:rPr>
        <w:sectPr>
          <w:pgSz w:w="11910" w:h="16840"/>
          <w:pgMar w:header="0" w:footer="914" w:top="1440" w:bottom="1180" w:left="1680" w:right="1420"/>
        </w:sectPr>
      </w:pPr>
    </w:p>
    <w:p>
      <w:pPr>
        <w:pStyle w:val="BodyText"/>
        <w:spacing w:before="61"/>
        <w:ind w:firstLine="0"/>
      </w:pPr>
      <w:r>
        <w:rPr/>
        <w:t>超过基金净值的</w:t>
      </w:r>
      <w:r>
        <w:rPr>
          <w:rFonts w:ascii="Times New Roman" w:eastAsia="Times New Roman"/>
        </w:rPr>
        <w:t>10%</w:t>
      </w:r>
      <w:r>
        <w:rPr/>
        <w:t>。</w:t>
      </w:r>
    </w:p>
    <w:p>
      <w:pPr>
        <w:pStyle w:val="ListParagraph"/>
        <w:numPr>
          <w:ilvl w:val="0"/>
          <w:numId w:val="38"/>
        </w:numPr>
        <w:tabs>
          <w:tab w:pos="1202" w:val="left" w:leader="none"/>
        </w:tabs>
        <w:spacing w:line="364" w:lineRule="auto" w:before="160" w:after="0"/>
        <w:ind w:left="120" w:right="375" w:firstLine="479"/>
        <w:jc w:val="both"/>
        <w:rPr>
          <w:sz w:val="24"/>
        </w:rPr>
      </w:pPr>
      <w:r>
        <w:rPr>
          <w:sz w:val="24"/>
        </w:rPr>
        <w:t>基金持有与中国证监会签署双边监管合作谅解备忘录国家或地区以外的其他国家或地区证券市场挂牌交易的证券资产市值不得超过基金资产净值的</w:t>
      </w:r>
      <w:r>
        <w:rPr>
          <w:rFonts w:ascii="Times New Roman" w:eastAsia="Times New Roman"/>
          <w:spacing w:val="2"/>
          <w:sz w:val="24"/>
        </w:rPr>
        <w:t>10%</w:t>
      </w:r>
      <w:r>
        <w:rPr>
          <w:spacing w:val="2"/>
          <w:sz w:val="24"/>
        </w:rPr>
        <w:t>，其中持有任一国家或地区市场的证券资产市值不得超过基金资产净值的</w:t>
      </w:r>
    </w:p>
    <w:p>
      <w:pPr>
        <w:pStyle w:val="BodyText"/>
        <w:spacing w:before="2"/>
        <w:ind w:firstLine="0"/>
      </w:pPr>
      <w:r>
        <w:rPr>
          <w:rFonts w:ascii="Times New Roman" w:eastAsia="Times New Roman"/>
        </w:rPr>
        <w:t>3%</w:t>
      </w:r>
      <w:r>
        <w:rPr/>
        <w:t>；</w:t>
      </w:r>
    </w:p>
    <w:p>
      <w:pPr>
        <w:pStyle w:val="ListParagraph"/>
        <w:numPr>
          <w:ilvl w:val="0"/>
          <w:numId w:val="38"/>
        </w:numPr>
        <w:tabs>
          <w:tab w:pos="1208" w:val="left" w:leader="none"/>
        </w:tabs>
        <w:spacing w:line="364" w:lineRule="auto" w:before="161" w:after="0"/>
        <w:ind w:left="120" w:right="376" w:firstLine="479"/>
        <w:jc w:val="left"/>
        <w:rPr>
          <w:sz w:val="24"/>
        </w:rPr>
      </w:pPr>
      <w:r>
        <w:rPr>
          <w:sz w:val="24"/>
        </w:rPr>
        <w:t>同一基金管理人管理的全部基金不得持有同一机构</w:t>
      </w:r>
      <w:r>
        <w:rPr>
          <w:rFonts w:ascii="Times New Roman" w:eastAsia="Times New Roman"/>
          <w:sz w:val="24"/>
        </w:rPr>
        <w:t>10%</w:t>
      </w:r>
      <w:r>
        <w:rPr>
          <w:sz w:val="24"/>
        </w:rPr>
        <w:t>以上具有投票权的证券发行总量。</w:t>
      </w:r>
    </w:p>
    <w:p>
      <w:pPr>
        <w:pStyle w:val="BodyText"/>
        <w:spacing w:line="364" w:lineRule="auto" w:before="1"/>
        <w:ind w:right="377"/>
        <w:jc w:val="both"/>
      </w:pPr>
      <w:r>
        <w:rPr>
          <w:spacing w:val="-5"/>
        </w:rPr>
        <w:t>前项投资比例限制应当合并计算同一机构境内外上市的总股本，同时应当一并计算全球存托凭证和美国存托凭证所代表的基础证券，并假设对持有的股本权</w:t>
      </w:r>
      <w:r>
        <w:rPr/>
        <w:t>证行使转换。</w:t>
      </w:r>
    </w:p>
    <w:p>
      <w:pPr>
        <w:pStyle w:val="ListParagraph"/>
        <w:numPr>
          <w:ilvl w:val="0"/>
          <w:numId w:val="38"/>
        </w:numPr>
        <w:tabs>
          <w:tab w:pos="1202" w:val="left" w:leader="none"/>
        </w:tabs>
        <w:spacing w:line="240" w:lineRule="auto" w:before="2" w:after="0"/>
        <w:ind w:left="1201" w:right="0" w:hanging="602"/>
        <w:jc w:val="left"/>
        <w:rPr>
          <w:sz w:val="24"/>
        </w:rPr>
      </w:pPr>
      <w:r>
        <w:rPr>
          <w:sz w:val="24"/>
        </w:rPr>
        <w:t>基金持有非流动性资产市值不得超过基金资产净值的</w:t>
      </w:r>
      <w:r>
        <w:rPr>
          <w:rFonts w:ascii="Times New Roman" w:eastAsia="Times New Roman"/>
          <w:sz w:val="24"/>
        </w:rPr>
        <w:t>10%</w:t>
      </w:r>
      <w:r>
        <w:rPr>
          <w:sz w:val="24"/>
        </w:rPr>
        <w:t>。</w:t>
      </w:r>
    </w:p>
    <w:p>
      <w:pPr>
        <w:pStyle w:val="BodyText"/>
        <w:spacing w:line="364" w:lineRule="auto"/>
        <w:ind w:right="370"/>
      </w:pPr>
      <w:r>
        <w:rPr/>
        <w:t>前项非流动性资产是指法律或基金合同规定的流通受限证券以及中国证监会认定的其他资产。</w:t>
      </w:r>
    </w:p>
    <w:p>
      <w:pPr>
        <w:pStyle w:val="ListParagraph"/>
        <w:numPr>
          <w:ilvl w:val="0"/>
          <w:numId w:val="38"/>
        </w:numPr>
        <w:tabs>
          <w:tab w:pos="1208" w:val="left" w:leader="none"/>
        </w:tabs>
        <w:spacing w:line="364" w:lineRule="auto" w:before="1" w:after="0"/>
        <w:ind w:left="120" w:right="376" w:firstLine="479"/>
        <w:jc w:val="left"/>
        <w:rPr>
          <w:sz w:val="24"/>
        </w:rPr>
      </w:pPr>
      <w:r>
        <w:rPr>
          <w:sz w:val="24"/>
        </w:rPr>
        <w:t>每只境外基金投资比例不超过基金中基金资产净值的</w:t>
      </w:r>
      <w:r>
        <w:rPr>
          <w:rFonts w:ascii="Times New Roman" w:eastAsia="Times New Roman"/>
          <w:sz w:val="24"/>
        </w:rPr>
        <w:t>20%</w:t>
      </w:r>
      <w:r>
        <w:rPr>
          <w:spacing w:val="-3"/>
          <w:sz w:val="24"/>
        </w:rPr>
        <w:t>。如投资境</w:t>
      </w:r>
      <w:r>
        <w:rPr>
          <w:sz w:val="24"/>
        </w:rPr>
        <w:t>外伞型基金，该伞型基金应当视为一只基金。</w:t>
      </w:r>
    </w:p>
    <w:p>
      <w:pPr>
        <w:pStyle w:val="ListParagraph"/>
        <w:numPr>
          <w:ilvl w:val="0"/>
          <w:numId w:val="38"/>
        </w:numPr>
        <w:tabs>
          <w:tab w:pos="1202" w:val="left" w:leader="none"/>
        </w:tabs>
        <w:spacing w:line="364" w:lineRule="auto" w:before="1" w:after="0"/>
        <w:ind w:left="120" w:right="384" w:firstLine="479"/>
        <w:jc w:val="left"/>
        <w:rPr>
          <w:sz w:val="24"/>
        </w:rPr>
      </w:pPr>
      <w:r>
        <w:rPr>
          <w:spacing w:val="-1"/>
          <w:sz w:val="24"/>
        </w:rPr>
        <w:t>同一基金管理人管理的全部基金持有任何一只境外基金，不得超过该</w:t>
      </w:r>
      <w:r>
        <w:rPr>
          <w:sz w:val="24"/>
        </w:rPr>
        <w:t>境外基金总份额的</w:t>
      </w:r>
      <w:r>
        <w:rPr>
          <w:rFonts w:ascii="Times New Roman" w:eastAsia="Times New Roman"/>
          <w:sz w:val="24"/>
        </w:rPr>
        <w:t>20%</w:t>
      </w:r>
      <w:r>
        <w:rPr>
          <w:sz w:val="24"/>
        </w:rPr>
        <w:t>；</w:t>
      </w:r>
    </w:p>
    <w:p>
      <w:pPr>
        <w:pStyle w:val="ListParagraph"/>
        <w:numPr>
          <w:ilvl w:val="0"/>
          <w:numId w:val="38"/>
        </w:numPr>
        <w:tabs>
          <w:tab w:pos="1202" w:val="left" w:leader="none"/>
        </w:tabs>
        <w:spacing w:line="364" w:lineRule="auto" w:before="2" w:after="0"/>
        <w:ind w:left="120" w:right="384" w:firstLine="479"/>
        <w:jc w:val="left"/>
        <w:rPr>
          <w:sz w:val="24"/>
        </w:rPr>
      </w:pPr>
      <w:r>
        <w:rPr>
          <w:spacing w:val="-1"/>
          <w:sz w:val="24"/>
        </w:rPr>
        <w:t>为应付赎回、交易清算等临时用途借入现金的比例不得超过基金资产</w:t>
      </w:r>
      <w:r>
        <w:rPr>
          <w:sz w:val="24"/>
        </w:rPr>
        <w:t>净值的</w:t>
      </w:r>
      <w:r>
        <w:rPr>
          <w:rFonts w:ascii="Times New Roman" w:eastAsia="Times New Roman"/>
          <w:sz w:val="24"/>
        </w:rPr>
        <w:t>10%</w:t>
      </w:r>
      <w:r>
        <w:rPr>
          <w:sz w:val="24"/>
        </w:rPr>
        <w:t>。</w:t>
      </w:r>
    </w:p>
    <w:p>
      <w:pPr>
        <w:pStyle w:val="ListParagraph"/>
        <w:numPr>
          <w:ilvl w:val="0"/>
          <w:numId w:val="38"/>
        </w:numPr>
        <w:tabs>
          <w:tab w:pos="1202" w:val="left" w:leader="none"/>
        </w:tabs>
        <w:spacing w:line="364" w:lineRule="auto" w:before="1" w:after="0"/>
        <w:ind w:left="120" w:right="369" w:firstLine="479"/>
        <w:jc w:val="both"/>
        <w:rPr>
          <w:sz w:val="24"/>
        </w:rPr>
      </w:pPr>
      <w:r>
        <w:rPr>
          <w:sz w:val="24"/>
        </w:rPr>
        <w:t>本基金管理人管理的全部开放式基金持有一家上市公司发行的可流通</w:t>
      </w:r>
      <w:r>
        <w:rPr>
          <w:spacing w:val="-5"/>
          <w:sz w:val="24"/>
        </w:rPr>
        <w:t>股票，不得超过该上市公司可流通股票的</w:t>
      </w:r>
      <w:r>
        <w:rPr>
          <w:rFonts w:ascii="Times New Roman" w:eastAsia="Times New Roman"/>
          <w:spacing w:val="-7"/>
          <w:sz w:val="24"/>
        </w:rPr>
        <w:t>15%</w:t>
      </w:r>
      <w:r>
        <w:rPr>
          <w:spacing w:val="-3"/>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z w:val="24"/>
        </w:rPr>
        <w:t>。</w:t>
      </w:r>
    </w:p>
    <w:p>
      <w:pPr>
        <w:pStyle w:val="ListParagraph"/>
        <w:numPr>
          <w:ilvl w:val="0"/>
          <w:numId w:val="38"/>
        </w:numPr>
        <w:tabs>
          <w:tab w:pos="1322" w:val="left" w:leader="none"/>
        </w:tabs>
        <w:spacing w:line="364" w:lineRule="auto" w:before="2" w:after="0"/>
        <w:ind w:left="120" w:right="377" w:firstLine="479"/>
        <w:jc w:val="left"/>
        <w:rPr>
          <w:sz w:val="24"/>
        </w:rPr>
      </w:pPr>
      <w:r>
        <w:rPr>
          <w:sz w:val="24"/>
        </w:rPr>
        <w:t>本基金主动投资于流动性受限资产的市值合计不得超过该基金资产</w:t>
      </w:r>
      <w:r>
        <w:rPr>
          <w:spacing w:val="-6"/>
          <w:sz w:val="24"/>
        </w:rPr>
        <w:t>净值的</w:t>
      </w:r>
      <w:r>
        <w:rPr>
          <w:rFonts w:ascii="Times New Roman" w:eastAsia="Times New Roman"/>
          <w:sz w:val="24"/>
        </w:rPr>
        <w:t>15%</w:t>
      </w:r>
      <w:r>
        <w:rPr>
          <w:sz w:val="24"/>
        </w:rPr>
        <w:t>。</w:t>
      </w:r>
    </w:p>
    <w:p>
      <w:pPr>
        <w:pStyle w:val="BodyText"/>
        <w:spacing w:line="364" w:lineRule="auto" w:before="2"/>
        <w:ind w:right="377"/>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38"/>
        </w:numPr>
        <w:tabs>
          <w:tab w:pos="1312" w:val="left" w:leader="none"/>
        </w:tabs>
        <w:spacing w:line="240" w:lineRule="auto" w:before="2" w:after="0"/>
        <w:ind w:left="1311" w:right="0" w:hanging="712"/>
        <w:jc w:val="left"/>
        <w:rPr>
          <w:sz w:val="24"/>
        </w:rPr>
      </w:pPr>
      <w:r>
        <w:rPr>
          <w:sz w:val="24"/>
        </w:rPr>
        <w:t>本基金与私募类证券资管产品及中国证监会认定的其他主体为交易对</w:t>
      </w:r>
    </w:p>
    <w:p>
      <w:pPr>
        <w:spacing w:after="0" w:line="240" w:lineRule="auto"/>
        <w:jc w:val="left"/>
        <w:rPr>
          <w:sz w:val="24"/>
        </w:rPr>
        <w:sectPr>
          <w:pgSz w:w="11910" w:h="16840"/>
          <w:pgMar w:header="0" w:footer="914" w:top="1440" w:bottom="1180" w:left="1680" w:right="1420"/>
        </w:sectPr>
      </w:pPr>
    </w:p>
    <w:p>
      <w:pPr>
        <w:pStyle w:val="BodyText"/>
        <w:spacing w:line="364" w:lineRule="auto" w:before="41"/>
        <w:ind w:right="377" w:firstLine="0"/>
      </w:pPr>
      <w:r>
        <w:rPr>
          <w:spacing w:val="-11"/>
        </w:rPr>
        <w:t>手开展逆回购交易的，可接受质押品的资质要求应当与基金合同约定的投资范围</w:t>
      </w:r>
      <w:r>
        <w:rPr/>
        <w:t>保持一致。</w:t>
      </w:r>
    </w:p>
    <w:p>
      <w:pPr>
        <w:pStyle w:val="BodyText"/>
        <w:spacing w:line="364" w:lineRule="auto" w:before="1"/>
        <w:ind w:right="378"/>
        <w:jc w:val="both"/>
      </w:pPr>
      <w:r>
        <w:rPr/>
        <w:t>基金管理人应当在基金合同生效后</w:t>
      </w:r>
      <w:r>
        <w:rPr>
          <w:rFonts w:ascii="Times New Roman" w:eastAsia="Times New Roman"/>
        </w:rPr>
        <w:t>6</w:t>
      </w:r>
      <w:r>
        <w:rPr/>
        <w:t>个月内使基金的投资组合比例符合基金</w:t>
      </w:r>
      <w:r>
        <w:rPr>
          <w:spacing w:val="-2"/>
        </w:rPr>
        <w:t>合同的有关约定。在基金合同生效</w:t>
      </w:r>
      <w:r>
        <w:rPr>
          <w:rFonts w:ascii="Times New Roman" w:eastAsia="Times New Roman"/>
        </w:rPr>
        <w:t>6</w:t>
      </w:r>
      <w:r>
        <w:rPr>
          <w:spacing w:val="-4"/>
        </w:rPr>
        <w:t>个月后，若基金超过上述（</w:t>
      </w:r>
      <w:r>
        <w:rPr>
          <w:rFonts w:ascii="Times New Roman" w:eastAsia="Times New Roman"/>
          <w:spacing w:val="-4"/>
        </w:rPr>
        <w:t>1</w:t>
      </w:r>
      <w:r>
        <w:rPr>
          <w:spacing w:val="-4"/>
        </w:rPr>
        <w:t>）</w:t>
      </w:r>
      <w:r>
        <w:rPr>
          <w:rFonts w:ascii="Times New Roman" w:eastAsia="Times New Roman"/>
          <w:spacing w:val="-4"/>
        </w:rPr>
        <w:t>-</w:t>
      </w:r>
      <w:r>
        <w:rPr>
          <w:spacing w:val="-4"/>
        </w:rPr>
        <w:t>（</w:t>
      </w:r>
      <w:r>
        <w:rPr>
          <w:rFonts w:ascii="Times New Roman" w:eastAsia="Times New Roman"/>
          <w:spacing w:val="-4"/>
        </w:rPr>
        <w:t>8</w:t>
      </w:r>
      <w:r>
        <w:rPr>
          <w:spacing w:val="-4"/>
        </w:rPr>
        <w:t>）</w:t>
      </w:r>
      <w:r>
        <w:rPr>
          <w:spacing w:val="-5"/>
        </w:rPr>
        <w:t>项投资</w:t>
      </w:r>
      <w:r>
        <w:rPr>
          <w:spacing w:val="-7"/>
        </w:rPr>
        <w:t>比例限制，应当在超过比例后</w:t>
      </w:r>
      <w:r>
        <w:rPr>
          <w:rFonts w:ascii="Times New Roman" w:eastAsia="Times New Roman"/>
        </w:rPr>
        <w:t>30</w:t>
      </w:r>
      <w:r>
        <w:rPr>
          <w:spacing w:val="-4"/>
        </w:rPr>
        <w:t>个工作日内采用合理的商业措施减仓，以符合投</w:t>
      </w:r>
      <w:r>
        <w:rPr>
          <w:spacing w:val="-9"/>
        </w:rPr>
        <w:t>资比例限制要求。因证券市场波动、证券发行人合并、基金规模变动等基金管理</w:t>
      </w:r>
      <w:r>
        <w:rPr/>
        <w:t>人之外的因素致使基金投资比例不符合上述第（</w:t>
      </w:r>
      <w:r>
        <w:rPr>
          <w:rFonts w:ascii="Times New Roman" w:eastAsia="Times New Roman"/>
        </w:rPr>
        <w:t>9</w:t>
      </w:r>
      <w:r>
        <w:rPr/>
        <w:t>）</w:t>
      </w:r>
      <w:r>
        <w:rPr>
          <w:spacing w:val="-2"/>
        </w:rPr>
        <w:t>项规定投资比例的，基金管</w:t>
      </w:r>
      <w:r>
        <w:rPr/>
        <w:t>理人应当在</w:t>
      </w:r>
      <w:r>
        <w:rPr>
          <w:rFonts w:ascii="Times New Roman" w:eastAsia="Times New Roman"/>
        </w:rPr>
        <w:t>10</w:t>
      </w:r>
      <w:r>
        <w:rPr/>
        <w:t>个交易日内进行调整，但中国证监会规定的特殊情形除外。</w:t>
      </w:r>
    </w:p>
    <w:p>
      <w:pPr>
        <w:pStyle w:val="BodyText"/>
        <w:spacing w:line="364" w:lineRule="auto" w:before="4"/>
        <w:ind w:right="377"/>
        <w:jc w:val="both"/>
      </w:pPr>
      <w:r>
        <w:rPr>
          <w:spacing w:val="-6"/>
        </w:rPr>
        <w:t>如法律法规或中国有关监管部门取消上述限制，本基金将不受上述限制</w:t>
      </w:r>
      <w:r>
        <w:rPr>
          <w:spacing w:val="-81"/>
        </w:rPr>
        <w:t>。《基</w:t>
      </w:r>
      <w:r>
        <w:rPr>
          <w:spacing w:val="-10"/>
        </w:rPr>
        <w:t>金法》及其他有关法律法规或监管部门调整上述限制的，履行适当程序后，基金</w:t>
      </w:r>
      <w:r>
        <w:rPr/>
        <w:t>可依据届时有效的法律法规适时合理地调整上述限制。</w:t>
      </w:r>
    </w:p>
    <w:p>
      <w:pPr>
        <w:pStyle w:val="BodyText"/>
        <w:spacing w:before="2"/>
        <w:ind w:left="540" w:firstLine="0"/>
      </w:pPr>
      <w:r>
        <w:rPr>
          <w:rFonts w:ascii="Times New Roman" w:eastAsia="Times New Roman"/>
        </w:rPr>
        <w:t>3</w:t>
      </w:r>
      <w:r>
        <w:rPr/>
        <w:t>、金融衍生品投资</w:t>
      </w:r>
    </w:p>
    <w:p>
      <w:pPr>
        <w:pStyle w:val="BodyText"/>
        <w:spacing w:line="364" w:lineRule="auto"/>
        <w:ind w:right="377"/>
      </w:pPr>
      <w:r>
        <w:rPr>
          <w:spacing w:val="-5"/>
        </w:rPr>
        <w:t>本基金投资衍生品应当仅限于投资组合避险或有效管理，不得用于投机或放</w:t>
      </w:r>
      <w:r>
        <w:rPr/>
        <w:t>大交易，同时应当严格遵守下列规定：</w:t>
      </w:r>
    </w:p>
    <w:p>
      <w:pPr>
        <w:pStyle w:val="ListParagraph"/>
        <w:numPr>
          <w:ilvl w:val="0"/>
          <w:numId w:val="39"/>
        </w:numPr>
        <w:tabs>
          <w:tab w:pos="1381" w:val="left" w:leader="none"/>
        </w:tabs>
        <w:spacing w:line="240" w:lineRule="auto" w:before="1" w:after="0"/>
        <w:ind w:left="1380" w:right="0" w:hanging="781"/>
        <w:jc w:val="left"/>
        <w:rPr>
          <w:sz w:val="24"/>
        </w:rPr>
      </w:pPr>
      <w:r>
        <w:rPr>
          <w:sz w:val="24"/>
        </w:rPr>
        <w:t>本基金所持有的黄金基金和与黄金基金挂钩的衍生品合约价值合计</w:t>
      </w:r>
    </w:p>
    <w:p>
      <w:pPr>
        <w:pStyle w:val="BodyText"/>
        <w:spacing w:before="160"/>
        <w:ind w:firstLine="0"/>
      </w:pPr>
      <w:r>
        <w:rPr/>
        <w:t>（轧差计算）应符合本合同中关于黄金基金投资比例的有关约定。</w:t>
      </w:r>
    </w:p>
    <w:p>
      <w:pPr>
        <w:pStyle w:val="ListParagraph"/>
        <w:numPr>
          <w:ilvl w:val="0"/>
          <w:numId w:val="39"/>
        </w:numPr>
        <w:tabs>
          <w:tab w:pos="1381" w:val="left" w:leader="none"/>
        </w:tabs>
        <w:spacing w:line="240" w:lineRule="auto" w:before="161" w:after="0"/>
        <w:ind w:left="1380" w:right="0" w:hanging="781"/>
        <w:jc w:val="left"/>
        <w:rPr>
          <w:sz w:val="24"/>
        </w:rPr>
      </w:pPr>
      <w:r>
        <w:rPr>
          <w:spacing w:val="-3"/>
          <w:sz w:val="24"/>
        </w:rPr>
        <w:t>本基金的金融衍生品全部敞口不得高于基金资产净值的 </w:t>
      </w:r>
      <w:r>
        <w:rPr>
          <w:rFonts w:ascii="Times New Roman" w:eastAsia="Times New Roman"/>
          <w:sz w:val="24"/>
        </w:rPr>
        <w:t>100%</w:t>
      </w:r>
      <w:r>
        <w:rPr>
          <w:sz w:val="24"/>
        </w:rPr>
        <w:t>。</w:t>
      </w:r>
    </w:p>
    <w:p>
      <w:pPr>
        <w:pStyle w:val="ListParagraph"/>
        <w:numPr>
          <w:ilvl w:val="0"/>
          <w:numId w:val="39"/>
        </w:numPr>
        <w:tabs>
          <w:tab w:pos="1381" w:val="left" w:leader="none"/>
        </w:tabs>
        <w:spacing w:line="364" w:lineRule="auto" w:before="161" w:after="0"/>
        <w:ind w:left="120" w:right="258" w:firstLine="479"/>
        <w:jc w:val="left"/>
        <w:rPr>
          <w:sz w:val="24"/>
        </w:rPr>
      </w:pPr>
      <w:r>
        <w:rPr>
          <w:spacing w:val="-4"/>
          <w:sz w:val="24"/>
        </w:rPr>
        <w:t>本基金投资期货支付的初始保证金、投资期权支付或收取的期权费、</w:t>
      </w:r>
      <w:r>
        <w:rPr>
          <w:spacing w:val="-2"/>
          <w:sz w:val="24"/>
        </w:rPr>
        <w:t>投资柜台交易衍生品支付的初始费用的总额不得高于基金资产净值的 </w:t>
      </w:r>
      <w:r>
        <w:rPr>
          <w:rFonts w:ascii="Times New Roman" w:eastAsia="Times New Roman"/>
          <w:sz w:val="24"/>
        </w:rPr>
        <w:t>10</w:t>
      </w:r>
      <w:r>
        <w:rPr>
          <w:sz w:val="24"/>
        </w:rPr>
        <w:t>％。</w:t>
      </w:r>
    </w:p>
    <w:p>
      <w:pPr>
        <w:pStyle w:val="ListParagraph"/>
        <w:numPr>
          <w:ilvl w:val="0"/>
          <w:numId w:val="39"/>
        </w:numPr>
        <w:tabs>
          <w:tab w:pos="1381" w:val="left" w:leader="none"/>
        </w:tabs>
        <w:spacing w:line="364" w:lineRule="auto" w:before="1" w:after="0"/>
        <w:ind w:left="120" w:right="386" w:firstLine="479"/>
        <w:jc w:val="left"/>
        <w:rPr>
          <w:sz w:val="24"/>
        </w:rPr>
      </w:pPr>
      <w:r>
        <w:rPr>
          <w:sz w:val="24"/>
        </w:rPr>
        <w:t>本基金投资于远期合约、互换等柜台交易金融衍生品，应当符合以下要求：</w:t>
      </w:r>
    </w:p>
    <w:p>
      <w:pPr>
        <w:pStyle w:val="ListParagraph"/>
        <w:numPr>
          <w:ilvl w:val="1"/>
          <w:numId w:val="39"/>
        </w:numPr>
        <w:tabs>
          <w:tab w:pos="1381" w:val="left" w:leader="none"/>
        </w:tabs>
        <w:spacing w:line="364" w:lineRule="auto" w:before="1" w:after="0"/>
        <w:ind w:left="1390" w:right="386" w:hanging="454"/>
        <w:jc w:val="left"/>
        <w:rPr>
          <w:sz w:val="24"/>
        </w:rPr>
      </w:pPr>
      <w:r>
        <w:rPr>
          <w:sz w:val="24"/>
        </w:rPr>
        <w:t>所有参与交易的对手方（中资商业银行除外</w:t>
      </w:r>
      <w:r>
        <w:rPr>
          <w:spacing w:val="4"/>
          <w:sz w:val="24"/>
        </w:rPr>
        <w:t>）</w:t>
      </w:r>
      <w:r>
        <w:rPr>
          <w:sz w:val="24"/>
        </w:rPr>
        <w:t>应当具有不低于中国证监会认可的信用评级机构评级。</w:t>
      </w:r>
    </w:p>
    <w:p>
      <w:pPr>
        <w:pStyle w:val="ListParagraph"/>
        <w:numPr>
          <w:ilvl w:val="1"/>
          <w:numId w:val="39"/>
        </w:numPr>
        <w:tabs>
          <w:tab w:pos="1381" w:val="left" w:leader="none"/>
        </w:tabs>
        <w:spacing w:line="364" w:lineRule="auto" w:before="1" w:after="0"/>
        <w:ind w:left="1390" w:right="386" w:hanging="454"/>
        <w:jc w:val="left"/>
        <w:rPr>
          <w:sz w:val="24"/>
        </w:rPr>
      </w:pPr>
      <w:r>
        <w:rPr>
          <w:sz w:val="24"/>
        </w:rPr>
        <w:t>交易对手方应当至少每个工作日对交易进行估值，并且基金可在任何时候以公允价值终止交易。</w:t>
      </w:r>
    </w:p>
    <w:p>
      <w:pPr>
        <w:pStyle w:val="ListParagraph"/>
        <w:numPr>
          <w:ilvl w:val="1"/>
          <w:numId w:val="39"/>
        </w:numPr>
        <w:tabs>
          <w:tab w:pos="1381" w:val="left" w:leader="none"/>
        </w:tabs>
        <w:spacing w:line="240" w:lineRule="auto" w:before="2" w:after="0"/>
        <w:ind w:left="1380" w:right="0" w:hanging="445"/>
        <w:jc w:val="left"/>
        <w:rPr>
          <w:sz w:val="24"/>
        </w:rPr>
      </w:pPr>
      <w:r>
        <w:rPr>
          <w:spacing w:val="-3"/>
          <w:sz w:val="24"/>
        </w:rPr>
        <w:t>任一交易对手方的市值计价敞口不得超过基金资产净值的 </w:t>
      </w:r>
      <w:r>
        <w:rPr>
          <w:rFonts w:ascii="Times New Roman" w:eastAsia="Times New Roman"/>
          <w:sz w:val="24"/>
        </w:rPr>
        <w:t>20%</w:t>
      </w:r>
      <w:r>
        <w:rPr>
          <w:sz w:val="24"/>
        </w:rPr>
        <w:t>。</w:t>
      </w:r>
    </w:p>
    <w:p>
      <w:pPr>
        <w:pStyle w:val="ListParagraph"/>
        <w:numPr>
          <w:ilvl w:val="0"/>
          <w:numId w:val="39"/>
        </w:numPr>
        <w:tabs>
          <w:tab w:pos="1381" w:val="left" w:leader="none"/>
        </w:tabs>
        <w:spacing w:line="364" w:lineRule="auto" w:before="161" w:after="0"/>
        <w:ind w:left="120" w:right="376" w:firstLine="479"/>
        <w:jc w:val="left"/>
        <w:rPr>
          <w:sz w:val="24"/>
        </w:rPr>
      </w:pPr>
      <w:r>
        <w:rPr>
          <w:spacing w:val="-4"/>
          <w:sz w:val="24"/>
        </w:rPr>
        <w:t>基金管理人应当在本基金会计年度结束后 </w:t>
      </w:r>
      <w:r>
        <w:rPr>
          <w:rFonts w:ascii="Times New Roman" w:eastAsia="Times New Roman"/>
          <w:sz w:val="24"/>
        </w:rPr>
        <w:t>60</w:t>
      </w:r>
      <w:r>
        <w:rPr>
          <w:rFonts w:ascii="Times New Roman" w:eastAsia="Times New Roman"/>
          <w:spacing w:val="-17"/>
          <w:sz w:val="24"/>
        </w:rPr>
        <w:t> </w:t>
      </w:r>
      <w:r>
        <w:rPr>
          <w:spacing w:val="-2"/>
          <w:sz w:val="24"/>
        </w:rPr>
        <w:t>个工作日内向中国证监</w:t>
      </w:r>
      <w:r>
        <w:rPr>
          <w:sz w:val="24"/>
        </w:rPr>
        <w:t>会提交包括衍生品头寸及风险分析年度报告。</w:t>
      </w:r>
    </w:p>
    <w:p>
      <w:pPr>
        <w:pStyle w:val="BodyText"/>
        <w:spacing w:before="1"/>
        <w:ind w:left="600" w:firstLine="0"/>
      </w:pPr>
      <w:r>
        <w:rPr>
          <w:rFonts w:ascii="Times New Roman" w:eastAsia="Times New Roman"/>
        </w:rPr>
        <w:t>4</w:t>
      </w:r>
      <w:r>
        <w:rPr/>
        <w:t>、本基金可以参与证券借贷交易，并且应当遵守下列规定：</w:t>
      </w:r>
    </w:p>
    <w:p>
      <w:pPr>
        <w:spacing w:after="0"/>
        <w:sectPr>
          <w:pgSz w:w="11910" w:h="16840"/>
          <w:pgMar w:header="0" w:footer="914" w:top="1460" w:bottom="1180" w:left="1680" w:right="1420"/>
        </w:sectPr>
      </w:pPr>
    </w:p>
    <w:p>
      <w:pPr>
        <w:pStyle w:val="ListParagraph"/>
        <w:numPr>
          <w:ilvl w:val="0"/>
          <w:numId w:val="40"/>
        </w:numPr>
        <w:tabs>
          <w:tab w:pos="1202" w:val="left" w:leader="none"/>
        </w:tabs>
        <w:spacing w:line="364" w:lineRule="auto" w:before="61" w:after="0"/>
        <w:ind w:left="120" w:right="384" w:firstLine="479"/>
        <w:jc w:val="left"/>
        <w:rPr>
          <w:sz w:val="24"/>
        </w:rPr>
      </w:pPr>
      <w:r>
        <w:rPr>
          <w:sz w:val="24"/>
        </w:rPr>
        <w:t>所有参与交易的对手方（中资商业银行除外）</w:t>
      </w:r>
      <w:r>
        <w:rPr>
          <w:spacing w:val="-2"/>
          <w:sz w:val="24"/>
        </w:rPr>
        <w:t>应当具有中国证监会认</w:t>
      </w:r>
      <w:r>
        <w:rPr>
          <w:sz w:val="24"/>
        </w:rPr>
        <w:t>可的信用评级机构评级。</w:t>
      </w:r>
    </w:p>
    <w:p>
      <w:pPr>
        <w:pStyle w:val="ListParagraph"/>
        <w:numPr>
          <w:ilvl w:val="0"/>
          <w:numId w:val="40"/>
        </w:numPr>
        <w:tabs>
          <w:tab w:pos="1202" w:val="left" w:leader="none"/>
        </w:tabs>
        <w:spacing w:line="364" w:lineRule="auto" w:before="1" w:after="0"/>
        <w:ind w:left="120" w:right="384" w:firstLine="479"/>
        <w:jc w:val="left"/>
        <w:rPr>
          <w:sz w:val="24"/>
        </w:rPr>
      </w:pPr>
      <w:r>
        <w:rPr>
          <w:spacing w:val="-1"/>
          <w:sz w:val="24"/>
        </w:rPr>
        <w:t>应当采取市值计价制度进行调整以确保担保物市值不低于已借出证券</w:t>
      </w:r>
      <w:r>
        <w:rPr>
          <w:spacing w:val="-16"/>
          <w:sz w:val="24"/>
        </w:rPr>
        <w:t>市值的 </w:t>
      </w:r>
      <w:r>
        <w:rPr>
          <w:rFonts w:ascii="Times New Roman" w:eastAsia="Times New Roman"/>
          <w:sz w:val="24"/>
        </w:rPr>
        <w:t>102</w:t>
      </w:r>
      <w:r>
        <w:rPr>
          <w:sz w:val="24"/>
        </w:rPr>
        <w:t>％。</w:t>
      </w:r>
    </w:p>
    <w:p>
      <w:pPr>
        <w:pStyle w:val="ListParagraph"/>
        <w:numPr>
          <w:ilvl w:val="0"/>
          <w:numId w:val="40"/>
        </w:numPr>
        <w:tabs>
          <w:tab w:pos="1202" w:val="left" w:leader="none"/>
        </w:tabs>
        <w:spacing w:line="364" w:lineRule="auto" w:before="1" w:after="0"/>
        <w:ind w:left="120" w:right="379" w:firstLine="479"/>
        <w:jc w:val="both"/>
        <w:rPr>
          <w:sz w:val="24"/>
        </w:rPr>
      </w:pPr>
      <w:r>
        <w:rPr>
          <w:sz w:val="24"/>
        </w:rPr>
        <w:t>借方应当在交易期内及时向本基金支付已借出证券产生的所有股息、</w:t>
      </w:r>
      <w:r>
        <w:rPr>
          <w:spacing w:val="-12"/>
          <w:sz w:val="24"/>
        </w:rPr>
        <w:t>利息和分红。一旦借方违约，本基金根据协议和有关法律有权保留和处置担保物</w:t>
      </w:r>
      <w:r>
        <w:rPr>
          <w:sz w:val="24"/>
        </w:rPr>
        <w:t>以满足索赔需要。</w:t>
      </w:r>
    </w:p>
    <w:p>
      <w:pPr>
        <w:pStyle w:val="ListParagraph"/>
        <w:numPr>
          <w:ilvl w:val="0"/>
          <w:numId w:val="40"/>
        </w:numPr>
        <w:tabs>
          <w:tab w:pos="1202" w:val="left" w:leader="none"/>
        </w:tabs>
        <w:spacing w:line="240" w:lineRule="auto" w:before="2" w:after="0"/>
        <w:ind w:left="1201" w:right="0" w:hanging="602"/>
        <w:jc w:val="left"/>
        <w:rPr>
          <w:sz w:val="24"/>
        </w:rPr>
      </w:pPr>
      <w:r>
        <w:rPr>
          <w:sz w:val="24"/>
        </w:rPr>
        <w:t>除中国证监会另有规定外，担保物可以是以下金融工具或品种：</w:t>
      </w:r>
    </w:p>
    <w:p>
      <w:pPr>
        <w:pStyle w:val="ListParagraph"/>
        <w:numPr>
          <w:ilvl w:val="1"/>
          <w:numId w:val="40"/>
        </w:numPr>
        <w:tabs>
          <w:tab w:pos="1712" w:val="left" w:leader="none"/>
        </w:tabs>
        <w:spacing w:line="240" w:lineRule="auto" w:before="161" w:after="0"/>
        <w:ind w:left="1711" w:right="0" w:hanging="481"/>
        <w:jc w:val="both"/>
        <w:rPr>
          <w:sz w:val="24"/>
        </w:rPr>
      </w:pPr>
      <w:r>
        <w:rPr>
          <w:sz w:val="24"/>
        </w:rPr>
        <w:t>现金；</w:t>
      </w:r>
    </w:p>
    <w:p>
      <w:pPr>
        <w:pStyle w:val="ListParagraph"/>
        <w:numPr>
          <w:ilvl w:val="1"/>
          <w:numId w:val="40"/>
        </w:numPr>
        <w:tabs>
          <w:tab w:pos="1712" w:val="left" w:leader="none"/>
        </w:tabs>
        <w:spacing w:line="240" w:lineRule="auto" w:before="161" w:after="0"/>
        <w:ind w:left="1711" w:right="0" w:hanging="481"/>
        <w:jc w:val="both"/>
        <w:rPr>
          <w:sz w:val="24"/>
        </w:rPr>
      </w:pPr>
      <w:r>
        <w:rPr>
          <w:sz w:val="24"/>
        </w:rPr>
        <w:t>存款证明；</w:t>
      </w:r>
    </w:p>
    <w:p>
      <w:pPr>
        <w:pStyle w:val="ListParagraph"/>
        <w:numPr>
          <w:ilvl w:val="1"/>
          <w:numId w:val="40"/>
        </w:numPr>
        <w:tabs>
          <w:tab w:pos="1712" w:val="left" w:leader="none"/>
        </w:tabs>
        <w:spacing w:line="240" w:lineRule="auto" w:before="160" w:after="0"/>
        <w:ind w:left="1711" w:right="0" w:hanging="481"/>
        <w:jc w:val="both"/>
        <w:rPr>
          <w:sz w:val="24"/>
        </w:rPr>
      </w:pPr>
      <w:r>
        <w:rPr>
          <w:sz w:val="24"/>
        </w:rPr>
        <w:t>商业票据；</w:t>
      </w:r>
    </w:p>
    <w:p>
      <w:pPr>
        <w:pStyle w:val="ListParagraph"/>
        <w:numPr>
          <w:ilvl w:val="1"/>
          <w:numId w:val="40"/>
        </w:numPr>
        <w:tabs>
          <w:tab w:pos="1712" w:val="left" w:leader="none"/>
        </w:tabs>
        <w:spacing w:line="240" w:lineRule="auto" w:before="161" w:after="0"/>
        <w:ind w:left="1711" w:right="0" w:hanging="481"/>
        <w:jc w:val="both"/>
        <w:rPr>
          <w:sz w:val="24"/>
        </w:rPr>
      </w:pPr>
      <w:r>
        <w:rPr>
          <w:sz w:val="24"/>
        </w:rPr>
        <w:t>政府债券；</w:t>
      </w:r>
    </w:p>
    <w:p>
      <w:pPr>
        <w:pStyle w:val="ListParagraph"/>
        <w:numPr>
          <w:ilvl w:val="1"/>
          <w:numId w:val="40"/>
        </w:numPr>
        <w:tabs>
          <w:tab w:pos="1707" w:val="left" w:leader="none"/>
        </w:tabs>
        <w:spacing w:line="364" w:lineRule="auto" w:before="160" w:after="0"/>
        <w:ind w:left="1709" w:right="377" w:hanging="480"/>
        <w:jc w:val="both"/>
        <w:rPr>
          <w:sz w:val="24"/>
        </w:rPr>
      </w:pPr>
      <w:r>
        <w:rPr>
          <w:spacing w:val="-1"/>
          <w:sz w:val="24"/>
        </w:rPr>
        <w:t>中资商业银行或由不低于中国证监会认可的信用评级机构评级的境外金融机构</w:t>
      </w:r>
      <w:r>
        <w:rPr>
          <w:sz w:val="24"/>
        </w:rPr>
        <w:t>（作为交易对手方或其关联方的除外</w:t>
      </w:r>
      <w:r>
        <w:rPr>
          <w:spacing w:val="-3"/>
          <w:sz w:val="24"/>
        </w:rPr>
        <w:t>）出具的不可</w:t>
      </w:r>
      <w:r>
        <w:rPr>
          <w:sz w:val="24"/>
        </w:rPr>
        <w:t>撤销信用证。</w:t>
      </w:r>
    </w:p>
    <w:p>
      <w:pPr>
        <w:pStyle w:val="ListParagraph"/>
        <w:numPr>
          <w:ilvl w:val="0"/>
          <w:numId w:val="40"/>
        </w:numPr>
        <w:tabs>
          <w:tab w:pos="1148" w:val="left" w:leader="none"/>
        </w:tabs>
        <w:spacing w:line="364" w:lineRule="auto" w:before="2" w:after="0"/>
        <w:ind w:left="120" w:right="378" w:firstLine="419"/>
        <w:jc w:val="left"/>
        <w:rPr>
          <w:sz w:val="24"/>
        </w:rPr>
      </w:pPr>
      <w:r>
        <w:rPr>
          <w:sz w:val="24"/>
        </w:rPr>
        <w:t>本基金有权在任何时候终止证券借贷交易并在正常市场惯例的合理期限内要求归还任一或所有已借出的证券。</w:t>
      </w:r>
    </w:p>
    <w:p>
      <w:pPr>
        <w:pStyle w:val="ListParagraph"/>
        <w:numPr>
          <w:ilvl w:val="0"/>
          <w:numId w:val="40"/>
        </w:numPr>
        <w:tabs>
          <w:tab w:pos="1148" w:val="left" w:leader="none"/>
        </w:tabs>
        <w:spacing w:line="364" w:lineRule="auto" w:before="2" w:after="0"/>
        <w:ind w:left="120" w:right="378" w:firstLine="419"/>
        <w:jc w:val="left"/>
        <w:rPr>
          <w:sz w:val="24"/>
        </w:rPr>
      </w:pPr>
      <w:r>
        <w:rPr>
          <w:sz w:val="24"/>
        </w:rPr>
        <w:t>基金管理人应当对基金参与证券借贷交易中发生的任何损失负相应责任。</w:t>
      </w:r>
    </w:p>
    <w:p>
      <w:pPr>
        <w:pStyle w:val="BodyText"/>
        <w:spacing w:line="364" w:lineRule="auto" w:before="1"/>
        <w:ind w:right="377"/>
      </w:pPr>
      <w:r>
        <w:rPr>
          <w:spacing w:val="-11"/>
        </w:rPr>
        <w:t>上述比例限制计算，基金因参与证券借贷交易而持有的担保物不得计入基金</w:t>
      </w:r>
      <w:r>
        <w:rPr/>
        <w:t>总资产。</w:t>
      </w:r>
    </w:p>
    <w:p>
      <w:pPr>
        <w:pStyle w:val="BodyText"/>
        <w:spacing w:line="364" w:lineRule="auto" w:before="1"/>
        <w:ind w:right="384"/>
      </w:pPr>
      <w:r>
        <w:rPr>
          <w:rFonts w:ascii="Times New Roman" w:eastAsia="Times New Roman"/>
        </w:rPr>
        <w:t>5</w:t>
      </w:r>
      <w:r>
        <w:rPr/>
        <w:t>、基金可以根据正常市场惯例参与正回购交易、逆回购交易，并且应当遵守下列规定：</w:t>
      </w:r>
    </w:p>
    <w:p>
      <w:pPr>
        <w:pStyle w:val="ListParagraph"/>
        <w:numPr>
          <w:ilvl w:val="0"/>
          <w:numId w:val="41"/>
        </w:numPr>
        <w:tabs>
          <w:tab w:pos="1202" w:val="left" w:leader="none"/>
        </w:tabs>
        <w:spacing w:line="364" w:lineRule="auto" w:before="1" w:after="0"/>
        <w:ind w:left="120" w:right="382" w:firstLine="479"/>
        <w:jc w:val="left"/>
        <w:rPr>
          <w:sz w:val="24"/>
        </w:rPr>
      </w:pPr>
      <w:r>
        <w:rPr>
          <w:sz w:val="24"/>
        </w:rPr>
        <w:t>所有参与正回购交易的对手方（中资商业银行除外）</w:t>
      </w:r>
      <w:r>
        <w:rPr>
          <w:spacing w:val="-3"/>
          <w:sz w:val="24"/>
        </w:rPr>
        <w:t>应当具有中国证</w:t>
      </w:r>
      <w:r>
        <w:rPr>
          <w:sz w:val="24"/>
        </w:rPr>
        <w:t>监会认可的信用评级机构信用评级。</w:t>
      </w:r>
    </w:p>
    <w:p>
      <w:pPr>
        <w:pStyle w:val="ListParagraph"/>
        <w:numPr>
          <w:ilvl w:val="0"/>
          <w:numId w:val="41"/>
        </w:numPr>
        <w:tabs>
          <w:tab w:pos="1202" w:val="left" w:leader="none"/>
        </w:tabs>
        <w:spacing w:line="364" w:lineRule="auto" w:before="2" w:after="0"/>
        <w:ind w:left="120" w:right="378" w:firstLine="479"/>
        <w:jc w:val="both"/>
        <w:rPr>
          <w:sz w:val="24"/>
        </w:rPr>
      </w:pPr>
      <w:r>
        <w:rPr>
          <w:sz w:val="24"/>
        </w:rPr>
        <w:t>参与正回购交易，应当采取市值计价制度对卖出收益进行调整以确保</w:t>
      </w:r>
      <w:r>
        <w:rPr>
          <w:spacing w:val="-4"/>
          <w:sz w:val="24"/>
        </w:rPr>
        <w:t>现金不低于已售出证券市值的 </w:t>
      </w:r>
      <w:r>
        <w:rPr>
          <w:rFonts w:ascii="Times New Roman" w:eastAsia="Times New Roman"/>
          <w:sz w:val="24"/>
        </w:rPr>
        <w:t>102%</w:t>
      </w:r>
      <w:r>
        <w:rPr>
          <w:spacing w:val="-1"/>
          <w:sz w:val="24"/>
        </w:rPr>
        <w:t>。一旦买方违约，本基金根据协议和有关法</w:t>
      </w:r>
      <w:r>
        <w:rPr>
          <w:sz w:val="24"/>
        </w:rPr>
        <w:t>律有权保留或处置卖出收益以满足索赔需要。</w:t>
      </w:r>
    </w:p>
    <w:p>
      <w:pPr>
        <w:pStyle w:val="ListParagraph"/>
        <w:numPr>
          <w:ilvl w:val="0"/>
          <w:numId w:val="41"/>
        </w:numPr>
        <w:tabs>
          <w:tab w:pos="1202" w:val="left" w:leader="none"/>
        </w:tabs>
        <w:spacing w:line="240" w:lineRule="auto" w:before="2" w:after="0"/>
        <w:ind w:left="1201" w:right="0" w:hanging="602"/>
        <w:jc w:val="left"/>
        <w:rPr>
          <w:sz w:val="24"/>
        </w:rPr>
      </w:pPr>
      <w:r>
        <w:rPr>
          <w:sz w:val="24"/>
        </w:rPr>
        <w:t>买方应当在正回购交易期内及时向本基金支付售出证券产生的所有股</w:t>
      </w:r>
    </w:p>
    <w:p>
      <w:pPr>
        <w:spacing w:after="0" w:line="240" w:lineRule="auto"/>
        <w:jc w:val="left"/>
        <w:rPr>
          <w:sz w:val="24"/>
        </w:rPr>
        <w:sectPr>
          <w:pgSz w:w="11910" w:h="16840"/>
          <w:pgMar w:header="0" w:footer="914" w:top="1440" w:bottom="1180" w:left="1680" w:right="1420"/>
        </w:sectPr>
      </w:pPr>
    </w:p>
    <w:p>
      <w:pPr>
        <w:pStyle w:val="BodyText"/>
        <w:spacing w:before="41"/>
        <w:ind w:firstLine="0"/>
      </w:pPr>
      <w:r>
        <w:rPr/>
        <w:t>息、利息和分红。</w:t>
      </w:r>
    </w:p>
    <w:p>
      <w:pPr>
        <w:pStyle w:val="ListParagraph"/>
        <w:numPr>
          <w:ilvl w:val="0"/>
          <w:numId w:val="41"/>
        </w:numPr>
        <w:tabs>
          <w:tab w:pos="1202" w:val="left" w:leader="none"/>
        </w:tabs>
        <w:spacing w:line="364" w:lineRule="auto" w:before="160" w:after="0"/>
        <w:ind w:left="120" w:right="378" w:firstLine="479"/>
        <w:jc w:val="both"/>
        <w:rPr>
          <w:sz w:val="24"/>
        </w:rPr>
      </w:pPr>
      <w:r>
        <w:rPr>
          <w:sz w:val="24"/>
        </w:rPr>
        <w:t>参与逆回购交易，应当对购入证券采取市值计价制度进行调整以确保</w:t>
      </w:r>
      <w:r>
        <w:rPr>
          <w:spacing w:val="-4"/>
          <w:sz w:val="24"/>
        </w:rPr>
        <w:t>已购入证券市值不低于支付现金的 </w:t>
      </w:r>
      <w:r>
        <w:rPr>
          <w:rFonts w:ascii="Times New Roman" w:eastAsia="Times New Roman"/>
          <w:sz w:val="24"/>
        </w:rPr>
        <w:t>102%</w:t>
      </w:r>
      <w:r>
        <w:rPr>
          <w:spacing w:val="-2"/>
          <w:sz w:val="24"/>
        </w:rPr>
        <w:t>。一旦卖方违约，本基金根据协议和有</w:t>
      </w:r>
      <w:r>
        <w:rPr>
          <w:sz w:val="24"/>
        </w:rPr>
        <w:t>关法律有权保留或处置已购入证券以满足索赔需要。</w:t>
      </w:r>
    </w:p>
    <w:p>
      <w:pPr>
        <w:pStyle w:val="ListParagraph"/>
        <w:numPr>
          <w:ilvl w:val="0"/>
          <w:numId w:val="41"/>
        </w:numPr>
        <w:tabs>
          <w:tab w:pos="1202" w:val="left" w:leader="none"/>
        </w:tabs>
        <w:spacing w:line="364" w:lineRule="auto" w:before="2" w:after="0"/>
        <w:ind w:left="120" w:right="384" w:firstLine="479"/>
        <w:jc w:val="left"/>
        <w:rPr>
          <w:sz w:val="24"/>
        </w:rPr>
      </w:pPr>
      <w:r>
        <w:rPr>
          <w:spacing w:val="-1"/>
          <w:sz w:val="24"/>
        </w:rPr>
        <w:t>基金管理人应当对基金参与证券正回购交易、逆回购交易中发生的任</w:t>
      </w:r>
      <w:r>
        <w:rPr>
          <w:sz w:val="24"/>
        </w:rPr>
        <w:t>何损失负相应责任。</w:t>
      </w:r>
    </w:p>
    <w:p>
      <w:pPr>
        <w:pStyle w:val="BodyText"/>
        <w:spacing w:line="364" w:lineRule="auto" w:before="1"/>
        <w:ind w:right="382"/>
      </w:pPr>
      <w:r>
        <w:rPr>
          <w:rFonts w:ascii="Times New Roman" w:eastAsia="Times New Roman"/>
        </w:rPr>
        <w:t>6</w:t>
      </w:r>
      <w:r>
        <w:rPr/>
        <w:t>、基金参与证券借贷交易、正回购交易，所有已借出而未归还证券总市值或已售出而未回购证券总市值均不得超过基金总资产的 </w:t>
      </w:r>
      <w:r>
        <w:rPr>
          <w:rFonts w:ascii="Times New Roman" w:eastAsia="Times New Roman"/>
        </w:rPr>
        <w:t>50%</w:t>
      </w:r>
      <w:r>
        <w:rPr/>
        <w:t>。</w:t>
      </w:r>
    </w:p>
    <w:p>
      <w:pPr>
        <w:pStyle w:val="BodyText"/>
        <w:spacing w:line="364" w:lineRule="auto" w:before="2"/>
        <w:ind w:right="261"/>
      </w:pPr>
      <w:r>
        <w:rPr>
          <w:spacing w:val="-17"/>
        </w:rPr>
        <w:t>前项比例限制计算，基金因参与证券借贷交易、正回购交易而持有的担保物、</w:t>
      </w:r>
      <w:r>
        <w:rPr/>
        <w:t>现金不得计入基金总资产。</w:t>
      </w:r>
    </w:p>
    <w:p>
      <w:pPr>
        <w:pStyle w:val="BodyText"/>
        <w:spacing w:before="0"/>
        <w:ind w:left="0" w:firstLine="0"/>
      </w:pPr>
    </w:p>
    <w:p>
      <w:pPr>
        <w:spacing w:before="162"/>
        <w:ind w:left="598" w:right="0" w:firstLine="0"/>
        <w:jc w:val="left"/>
        <w:rPr>
          <w:b/>
          <w:sz w:val="24"/>
        </w:rPr>
      </w:pPr>
      <w:r>
        <w:rPr>
          <w:b/>
          <w:sz w:val="24"/>
        </w:rPr>
        <w:t>（七）相关法律、法规或部门规章规定的其他比例限制</w:t>
      </w:r>
    </w:p>
    <w:p>
      <w:pPr>
        <w:pStyle w:val="BodyText"/>
        <w:spacing w:line="364" w:lineRule="auto" w:before="160"/>
        <w:ind w:right="379"/>
        <w:jc w:val="both"/>
      </w:pPr>
      <w:r>
        <w:rPr>
          <w:spacing w:val="-10"/>
        </w:rPr>
        <w:t>《基金法》及其他有关法律法规或监管部门取消上述限制的，基金管理人履</w:t>
      </w:r>
      <w:r>
        <w:rPr>
          <w:spacing w:val="-9"/>
        </w:rPr>
        <w:t>行适当程序后，基金不受上述限制。《基金法》及其他有关法律法规或监管部门调整上述限制的，基金管理人履行适当程序后，基金可依据届时有效的法律法规</w:t>
      </w:r>
      <w:r>
        <w:rPr/>
        <w:t>适时合理地调整上述限制。</w:t>
      </w:r>
    </w:p>
    <w:p>
      <w:pPr>
        <w:pStyle w:val="BodyText"/>
        <w:spacing w:line="364" w:lineRule="auto" w:before="3"/>
        <w:ind w:right="377"/>
      </w:pPr>
      <w:r>
        <w:rPr>
          <w:spacing w:val="-11"/>
        </w:rPr>
        <w:t>除投资资产配置外，基金托管人对基金的投资的监督和检查自本基金合同生</w:t>
      </w:r>
      <w:r>
        <w:rPr/>
        <w:t>效之日起开始。</w:t>
      </w:r>
    </w:p>
    <w:p>
      <w:pPr>
        <w:pStyle w:val="BodyText"/>
        <w:spacing w:before="0"/>
        <w:ind w:left="0" w:firstLine="0"/>
      </w:pPr>
    </w:p>
    <w:p>
      <w:pPr>
        <w:spacing w:before="162"/>
        <w:ind w:left="598" w:right="0" w:firstLine="0"/>
        <w:jc w:val="left"/>
        <w:rPr>
          <w:b/>
          <w:sz w:val="24"/>
        </w:rPr>
      </w:pPr>
      <w:r>
        <w:rPr>
          <w:b/>
          <w:sz w:val="24"/>
        </w:rPr>
        <w:t>（八） 业绩比较基准</w:t>
      </w:r>
    </w:p>
    <w:p>
      <w:pPr>
        <w:pStyle w:val="BodyText"/>
        <w:spacing w:before="160"/>
        <w:ind w:left="600" w:firstLine="0"/>
      </w:pPr>
      <w:r>
        <w:rPr/>
        <w:t>以伦敦黄金市场下午定盘价计价的国际现货黄金（ 经汇率折算） ×</w:t>
      </w:r>
    </w:p>
    <w:p>
      <w:pPr>
        <w:pStyle w:val="BodyText"/>
        <w:ind w:firstLine="0"/>
      </w:pPr>
      <w:r>
        <w:rPr>
          <w:rFonts w:ascii="Times New Roman" w:eastAsia="Times New Roman"/>
        </w:rPr>
        <w:t>50%+MSCI </w:t>
      </w:r>
      <w:r>
        <w:rPr/>
        <w:t>全球金矿股指数（</w:t>
      </w:r>
      <w:r>
        <w:rPr>
          <w:rFonts w:ascii="Times New Roman" w:eastAsia="Times New Roman"/>
        </w:rPr>
        <w:t>MSCI ACWI SELECT GOLD MINERS IMI INDEX</w:t>
      </w:r>
      <w:r>
        <w:rPr/>
        <w:t>）</w:t>
      </w:r>
    </w:p>
    <w:p>
      <w:pPr>
        <w:pStyle w:val="BodyText"/>
        <w:spacing w:before="160"/>
        <w:ind w:firstLine="0"/>
      </w:pPr>
      <w:r>
        <w:rPr/>
        <w:t>×</w:t>
      </w:r>
      <w:r>
        <w:rPr>
          <w:rFonts w:ascii="Times New Roman" w:hAnsi="Times New Roman" w:eastAsia="Times New Roman"/>
        </w:rPr>
        <w:t>50%</w:t>
      </w:r>
      <w:r>
        <w:rPr/>
        <w:t>。</w:t>
      </w:r>
    </w:p>
    <w:p>
      <w:pPr>
        <w:pStyle w:val="BodyText"/>
        <w:spacing w:line="364" w:lineRule="auto"/>
        <w:ind w:right="377"/>
        <w:jc w:val="both"/>
        <w:rPr>
          <w:rFonts w:ascii="Times New Roman" w:eastAsia="Times New Roman"/>
        </w:rPr>
      </w:pPr>
      <w:r>
        <w:rPr>
          <w:spacing w:val="-10"/>
        </w:rPr>
        <w:t>本基金为黄金主题基金，投资于基金的资产合计不低于本基金基金资产净值</w:t>
      </w:r>
      <w:r>
        <w:rPr>
          <w:spacing w:val="-31"/>
        </w:rPr>
        <w:t>的 </w:t>
      </w:r>
      <w:r>
        <w:rPr>
          <w:rFonts w:ascii="Times New Roman" w:eastAsia="Times New Roman"/>
          <w:spacing w:val="-18"/>
        </w:rPr>
        <w:t>60%</w:t>
      </w:r>
      <w:r>
        <w:rPr>
          <w:spacing w:val="-8"/>
        </w:rPr>
        <w:t>，投资于基金的资产中不低于 </w:t>
      </w:r>
      <w:r>
        <w:rPr>
          <w:rFonts w:ascii="Times New Roman" w:eastAsia="Times New Roman"/>
        </w:rPr>
        <w:t>80%</w:t>
      </w:r>
      <w:r>
        <w:rPr>
          <w:spacing w:val="-12"/>
        </w:rPr>
        <w:t>投资于黄金基金，黄金基金指黄金 </w:t>
      </w:r>
      <w:r>
        <w:rPr>
          <w:rFonts w:ascii="Times New Roman" w:eastAsia="Times New Roman"/>
          <w:spacing w:val="-6"/>
        </w:rPr>
        <w:t>ETF</w:t>
      </w:r>
    </w:p>
    <w:p>
      <w:pPr>
        <w:pStyle w:val="BodyText"/>
        <w:spacing w:line="364" w:lineRule="auto" w:before="2"/>
        <w:ind w:right="375" w:firstLine="0"/>
        <w:jc w:val="both"/>
      </w:pPr>
      <w:r>
        <w:rPr/>
        <w:t>（</w:t>
      </w:r>
      <w:r>
        <w:rPr>
          <w:spacing w:val="-4"/>
        </w:rPr>
        <w:t>即跟踪黄金价格或黄金价格指数的 </w:t>
      </w:r>
      <w:r>
        <w:rPr>
          <w:rFonts w:ascii="Times New Roman" w:eastAsia="Times New Roman"/>
          <w:spacing w:val="-14"/>
        </w:rPr>
        <w:t>ETF</w:t>
      </w:r>
      <w:r>
        <w:rPr>
          <w:spacing w:val="-14"/>
        </w:rPr>
        <w:t>）</w:t>
      </w:r>
      <w:r>
        <w:rPr>
          <w:spacing w:val="-8"/>
        </w:rPr>
        <w:t>及黄金股票基金</w:t>
      </w:r>
      <w:r>
        <w:rPr/>
        <w:t>（</w:t>
      </w:r>
      <w:r>
        <w:rPr>
          <w:spacing w:val="-2"/>
        </w:rPr>
        <w:t>包括跟踪黄金股票</w:t>
      </w:r>
      <w:r>
        <w:rPr>
          <w:spacing w:val="-1"/>
        </w:rPr>
        <w:t>指数的指数基金和 </w:t>
      </w:r>
      <w:r>
        <w:rPr>
          <w:rFonts w:ascii="Times New Roman" w:eastAsia="Times New Roman"/>
        </w:rPr>
        <w:t>ETF</w:t>
      </w:r>
      <w:r>
        <w:rPr>
          <w:spacing w:val="-1"/>
        </w:rPr>
        <w:t>，以及 </w:t>
      </w:r>
      <w:r>
        <w:rPr>
          <w:rFonts w:ascii="Times New Roman" w:eastAsia="Times New Roman"/>
        </w:rPr>
        <w:t>80%</w:t>
      </w:r>
      <w:r>
        <w:rPr>
          <w:spacing w:val="-1"/>
        </w:rPr>
        <w:t>以上基金资产投资于黄金采掘公司股票的主</w:t>
      </w:r>
      <w:r>
        <w:rPr/>
        <w:t>动基金</w:t>
      </w:r>
      <w:r>
        <w:rPr>
          <w:spacing w:val="-118"/>
        </w:rPr>
        <w:t>）</w:t>
      </w:r>
      <w:r>
        <w:rPr/>
        <w:t>。基金管理人在对黄金基金、黄金采掘公司股票以及与其他资产进行主动配置的过程中，黄金价格和黄金采掘公司股票价格是影响投资判断的关键因</w:t>
      </w:r>
    </w:p>
    <w:p>
      <w:pPr>
        <w:spacing w:after="0" w:line="364" w:lineRule="auto"/>
        <w:jc w:val="both"/>
        <w:sectPr>
          <w:pgSz w:w="11910" w:h="16840"/>
          <w:pgMar w:header="0" w:footer="914" w:top="1460" w:bottom="1180" w:left="1680" w:right="1420"/>
        </w:sectPr>
      </w:pPr>
    </w:p>
    <w:p>
      <w:pPr>
        <w:pStyle w:val="BodyText"/>
        <w:spacing w:before="41"/>
        <w:ind w:firstLine="0"/>
      </w:pPr>
      <w:r>
        <w:rPr/>
        <w:t>素。采用“以伦敦黄金市场下午定盘价计价的国际现货黄金（经汇率折算）×</w:t>
      </w:r>
    </w:p>
    <w:p>
      <w:pPr>
        <w:pStyle w:val="BodyText"/>
        <w:spacing w:before="160"/>
        <w:ind w:firstLine="0"/>
      </w:pPr>
      <w:r>
        <w:rPr>
          <w:rFonts w:ascii="Times New Roman" w:eastAsia="Times New Roman"/>
        </w:rPr>
        <w:t>50%+MSCI </w:t>
      </w:r>
      <w:r>
        <w:rPr/>
        <w:t>全球金矿股指数（</w:t>
      </w:r>
      <w:r>
        <w:rPr>
          <w:rFonts w:ascii="Times New Roman" w:eastAsia="Times New Roman"/>
        </w:rPr>
        <w:t>MSCI ACWI SELECT GOLD MINERS IMI INDEX</w:t>
      </w:r>
      <w:r>
        <w:rPr/>
        <w:t>）</w:t>
      </w:r>
    </w:p>
    <w:p>
      <w:pPr>
        <w:pStyle w:val="BodyText"/>
        <w:spacing w:line="364" w:lineRule="auto"/>
        <w:ind w:right="314" w:firstLine="0"/>
      </w:pPr>
      <w:r>
        <w:rPr/>
        <w:t>×</w:t>
      </w:r>
      <w:r>
        <w:rPr>
          <w:rFonts w:ascii="Times New Roman" w:hAnsi="Times New Roman" w:eastAsia="Times New Roman"/>
        </w:rPr>
        <w:t>50%</w:t>
      </w:r>
      <w:r>
        <w:rPr/>
        <w:t>”作为业绩比较基准，能够相对比较真实、客观地反映本基金的风险收益特征。</w:t>
      </w:r>
    </w:p>
    <w:p>
      <w:pPr>
        <w:pStyle w:val="BodyText"/>
        <w:spacing w:line="364" w:lineRule="auto" w:before="1"/>
        <w:ind w:right="283"/>
      </w:pPr>
      <w:r>
        <w:rPr>
          <w:spacing w:val="-9"/>
        </w:rPr>
        <w:t>未来，如基金变更投资范围、或黄金市场中出现其他代表性更强、投资者认</w:t>
      </w:r>
      <w:r>
        <w:rPr>
          <w:spacing w:val="-13"/>
        </w:rPr>
        <w:t>同度更高的价格基准、或伦敦黄金市场变更定价方式或停止公告定盘价，本基金</w:t>
      </w:r>
      <w:r>
        <w:rPr>
          <w:spacing w:val="-14"/>
        </w:rPr>
        <w:t>管理人可依据维护基金份额持有人合法权益的原则，对业绩比较基准予以调整。</w:t>
      </w:r>
      <w:r>
        <w:rPr>
          <w:spacing w:val="-4"/>
        </w:rPr>
        <w:t>业绩比较基准的变更须经基金管理人和基金托管人协商一致，并在报中国证监会备案后在更新的招募说明书中列示。</w:t>
      </w:r>
    </w:p>
    <w:p>
      <w:pPr>
        <w:pStyle w:val="BodyText"/>
        <w:spacing w:before="0"/>
        <w:ind w:left="0" w:firstLine="0"/>
      </w:pPr>
    </w:p>
    <w:p>
      <w:pPr>
        <w:spacing w:before="164"/>
        <w:ind w:left="598" w:right="0" w:firstLine="0"/>
        <w:jc w:val="left"/>
        <w:rPr>
          <w:b/>
          <w:sz w:val="24"/>
        </w:rPr>
      </w:pPr>
      <w:r>
        <w:rPr>
          <w:b/>
          <w:sz w:val="24"/>
        </w:rPr>
        <w:t>（九）风险收益特征</w:t>
      </w:r>
    </w:p>
    <w:p>
      <w:pPr>
        <w:pStyle w:val="BodyText"/>
        <w:spacing w:line="364" w:lineRule="auto"/>
        <w:ind w:right="376"/>
        <w:jc w:val="both"/>
      </w:pPr>
      <w:r>
        <w:rPr>
          <w:spacing w:val="-6"/>
        </w:rPr>
        <w:t>基金管理人根据对黄金价格走势的判断，在黄金基金、黄金采掘公司股票及</w:t>
      </w:r>
      <w:r>
        <w:rPr>
          <w:spacing w:val="-7"/>
        </w:rPr>
        <w:t>其他资产之间进行主动配置。本基金的表现与黄金价格相关性较高，历史上黄金</w:t>
      </w:r>
      <w:r>
        <w:rPr>
          <w:spacing w:val="-9"/>
        </w:rPr>
        <w:t>价格波幅较大，波动周期较长，预期收益可能长期超过或低于股票、债券等传统金融资产，因此本基金是预期收益与预期风险较高的基金品种。此外，本基金主</w:t>
      </w:r>
      <w:r>
        <w:rPr/>
        <w:t>要投资海外，存在汇率风险。</w:t>
      </w:r>
    </w:p>
    <w:p>
      <w:pPr>
        <w:spacing w:after="0" w:line="364" w:lineRule="auto"/>
        <w:jc w:val="both"/>
        <w:sectPr>
          <w:pgSz w:w="11910" w:h="16840"/>
          <w:pgMar w:header="0" w:footer="914" w:top="1460" w:bottom="1180" w:left="1680" w:right="1420"/>
        </w:sectPr>
      </w:pPr>
    </w:p>
    <w:p>
      <w:pPr>
        <w:pStyle w:val="BodyText"/>
        <w:spacing w:before="2"/>
        <w:ind w:left="0" w:firstLine="0"/>
        <w:rPr>
          <w:sz w:val="28"/>
        </w:rPr>
      </w:pPr>
    </w:p>
    <w:p>
      <w:pPr>
        <w:pStyle w:val="Heading1"/>
        <w:spacing w:before="67"/>
        <w:ind w:left="425" w:right="262"/>
        <w:jc w:val="center"/>
      </w:pPr>
      <w:bookmarkStart w:name="_bookmark12" w:id="13"/>
      <w:bookmarkEnd w:id="13"/>
      <w:r>
        <w:rPr>
          <w:b w:val="0"/>
        </w:rPr>
      </w:r>
      <w:r>
        <w:rPr/>
        <w:t>十三、基金的财产</w:t>
      </w:r>
    </w:p>
    <w:p>
      <w:pPr>
        <w:pStyle w:val="BodyText"/>
        <w:spacing w:before="4"/>
        <w:ind w:left="0" w:firstLine="0"/>
        <w:rPr>
          <w:b/>
          <w:sz w:val="35"/>
        </w:rPr>
      </w:pPr>
    </w:p>
    <w:p>
      <w:pPr>
        <w:spacing w:before="0"/>
        <w:ind w:left="602" w:right="0" w:firstLine="0"/>
        <w:jc w:val="left"/>
        <w:rPr>
          <w:b/>
          <w:sz w:val="24"/>
        </w:rPr>
      </w:pPr>
      <w:r>
        <w:rPr>
          <w:b/>
          <w:sz w:val="24"/>
        </w:rPr>
        <w:t>（一）基金资产总值</w:t>
      </w:r>
    </w:p>
    <w:p>
      <w:pPr>
        <w:pStyle w:val="BodyText"/>
        <w:spacing w:line="364" w:lineRule="auto"/>
        <w:ind w:right="376"/>
      </w:pPr>
      <w:r>
        <w:rPr>
          <w:spacing w:val="-6"/>
        </w:rPr>
        <w:t>基金资产总值是指购买的各类证券及票据价值、银行存款本息和基金应收的</w:t>
      </w:r>
      <w:r>
        <w:rPr/>
        <w:t>申购基金款以及其他投资所形成的价值总和。</w:t>
      </w:r>
    </w:p>
    <w:p>
      <w:pPr>
        <w:pStyle w:val="BodyText"/>
        <w:spacing w:before="1"/>
        <w:ind w:left="600" w:firstLine="0"/>
      </w:pPr>
      <w:r>
        <w:rPr/>
        <w:t>其构成主要有：</w:t>
      </w:r>
    </w:p>
    <w:p>
      <w:pPr>
        <w:pStyle w:val="BodyText"/>
        <w:ind w:left="600" w:firstLine="0"/>
      </w:pPr>
      <w:r>
        <w:rPr>
          <w:rFonts w:ascii="Times New Roman" w:eastAsia="Times New Roman"/>
        </w:rPr>
        <w:t>1</w:t>
      </w:r>
      <w:r>
        <w:rPr/>
        <w:t>、银行存款及其应计利息；</w:t>
      </w:r>
    </w:p>
    <w:p>
      <w:pPr>
        <w:pStyle w:val="BodyText"/>
        <w:spacing w:before="160"/>
        <w:ind w:left="600" w:firstLine="0"/>
      </w:pPr>
      <w:r>
        <w:rPr>
          <w:rFonts w:ascii="Times New Roman" w:eastAsia="Times New Roman"/>
        </w:rPr>
        <w:t>2</w:t>
      </w:r>
      <w:r>
        <w:rPr/>
        <w:t>、清算备付金及其应计利息；</w:t>
      </w:r>
    </w:p>
    <w:p>
      <w:pPr>
        <w:pStyle w:val="BodyText"/>
        <w:ind w:left="600" w:firstLine="0"/>
      </w:pPr>
      <w:r>
        <w:rPr>
          <w:rFonts w:ascii="Times New Roman" w:eastAsia="Times New Roman"/>
        </w:rPr>
        <w:t>3</w:t>
      </w:r>
      <w:r>
        <w:rPr/>
        <w:t>、根据有关规定缴纳的保证金及其应收利息；</w:t>
      </w:r>
    </w:p>
    <w:p>
      <w:pPr>
        <w:pStyle w:val="BodyText"/>
        <w:ind w:left="600" w:firstLine="0"/>
      </w:pPr>
      <w:r>
        <w:rPr>
          <w:rFonts w:ascii="Times New Roman" w:eastAsia="Times New Roman"/>
        </w:rPr>
        <w:t>4</w:t>
      </w:r>
      <w:r>
        <w:rPr/>
        <w:t>、应收证券交易清算款；</w:t>
      </w:r>
    </w:p>
    <w:p>
      <w:pPr>
        <w:pStyle w:val="BodyText"/>
        <w:spacing w:before="160"/>
        <w:ind w:left="600" w:firstLine="0"/>
      </w:pPr>
      <w:r>
        <w:rPr>
          <w:rFonts w:ascii="Times New Roman" w:eastAsia="Times New Roman"/>
        </w:rPr>
        <w:t>5</w:t>
      </w:r>
      <w:r>
        <w:rPr/>
        <w:t>、应收申购款；</w:t>
      </w:r>
    </w:p>
    <w:p>
      <w:pPr>
        <w:pStyle w:val="BodyText"/>
        <w:ind w:left="600" w:firstLine="0"/>
      </w:pPr>
      <w:r>
        <w:rPr>
          <w:rFonts w:ascii="Times New Roman" w:eastAsia="Times New Roman"/>
        </w:rPr>
        <w:t>6</w:t>
      </w:r>
      <w:r>
        <w:rPr/>
        <w:t>、基金投资及其估值调整；</w:t>
      </w:r>
    </w:p>
    <w:p>
      <w:pPr>
        <w:pStyle w:val="BodyText"/>
        <w:spacing w:before="160"/>
        <w:ind w:left="600" w:firstLine="0"/>
      </w:pPr>
      <w:r>
        <w:rPr>
          <w:rFonts w:ascii="Times New Roman" w:eastAsia="Times New Roman"/>
        </w:rPr>
        <w:t>7</w:t>
      </w:r>
      <w:r>
        <w:rPr/>
        <w:t>、股票投资及其估值调整；</w:t>
      </w:r>
    </w:p>
    <w:p>
      <w:pPr>
        <w:pStyle w:val="BodyText"/>
        <w:ind w:left="600" w:firstLine="0"/>
      </w:pPr>
      <w:r>
        <w:rPr>
          <w:rFonts w:ascii="Times New Roman" w:eastAsia="Times New Roman"/>
        </w:rPr>
        <w:t>8</w:t>
      </w:r>
      <w:r>
        <w:rPr/>
        <w:t>、债券投资及其估值调整和应计利息；</w:t>
      </w:r>
    </w:p>
    <w:p>
      <w:pPr>
        <w:pStyle w:val="BodyText"/>
        <w:spacing w:before="160"/>
        <w:ind w:left="600" w:firstLine="0"/>
      </w:pPr>
      <w:r>
        <w:rPr>
          <w:rFonts w:ascii="Times New Roman" w:eastAsia="Times New Roman"/>
        </w:rPr>
        <w:t>9</w:t>
      </w:r>
      <w:r>
        <w:rPr/>
        <w:t>、其他投资及其估值调整；</w:t>
      </w:r>
    </w:p>
    <w:p>
      <w:pPr>
        <w:pStyle w:val="BodyText"/>
        <w:ind w:left="600" w:firstLine="0"/>
      </w:pPr>
      <w:r>
        <w:rPr>
          <w:rFonts w:ascii="Times New Roman" w:eastAsia="Times New Roman"/>
        </w:rPr>
        <w:t>10</w:t>
      </w:r>
      <w:r>
        <w:rPr/>
        <w:t>、其他资产等。</w:t>
      </w:r>
    </w:p>
    <w:p>
      <w:pPr>
        <w:spacing w:before="161"/>
        <w:ind w:left="602" w:right="0" w:firstLine="0"/>
        <w:jc w:val="left"/>
        <w:rPr>
          <w:b/>
          <w:sz w:val="24"/>
        </w:rPr>
      </w:pPr>
      <w:r>
        <w:rPr>
          <w:b/>
          <w:sz w:val="24"/>
        </w:rPr>
        <w:t>（二）基金资产净值</w:t>
      </w:r>
    </w:p>
    <w:p>
      <w:pPr>
        <w:pStyle w:val="BodyText"/>
        <w:spacing w:before="160"/>
        <w:ind w:left="600" w:firstLine="0"/>
      </w:pPr>
      <w:r>
        <w:rPr/>
        <w:t>基金资产净值是指基金资产总值减去基金负债后的价值。</w:t>
      </w:r>
    </w:p>
    <w:p>
      <w:pPr>
        <w:spacing w:before="161"/>
        <w:ind w:left="602" w:right="0" w:firstLine="0"/>
        <w:jc w:val="left"/>
        <w:rPr>
          <w:b/>
          <w:sz w:val="24"/>
        </w:rPr>
      </w:pPr>
      <w:r>
        <w:rPr>
          <w:b/>
          <w:sz w:val="24"/>
        </w:rPr>
        <w:t>（三）基金财产的账户</w:t>
      </w:r>
    </w:p>
    <w:p>
      <w:pPr>
        <w:pStyle w:val="BodyText"/>
        <w:spacing w:line="364" w:lineRule="auto" w:before="160"/>
        <w:ind w:right="285"/>
      </w:pPr>
      <w:r>
        <w:rPr/>
        <w:t>本基金根据相关法律法规开立基金资金账户及证券账户。基金托管人或境外资产托管人按照规定或境外市场惯例开设基金财产的所有资金账户和证券账户。有关境外证券的登记结算方式应符合投资当地市场的有关法律、法规和市场惯例。</w:t>
      </w:r>
    </w:p>
    <w:p>
      <w:pPr>
        <w:pStyle w:val="BodyText"/>
        <w:spacing w:line="364" w:lineRule="auto" w:before="3"/>
        <w:ind w:right="376"/>
        <w:jc w:val="both"/>
      </w:pPr>
      <w:r>
        <w:rPr>
          <w:spacing w:val="-6"/>
        </w:rPr>
        <w:t>开立的基金专用账户与基金管理人、基金托管人、境外托管人、境外投资顾</w:t>
      </w:r>
      <w:r>
        <w:rPr>
          <w:spacing w:val="-12"/>
        </w:rPr>
        <w:t>问、基金代销机构和基金登记结算机构自有的财产账户以及其他基金财产账户相</w:t>
      </w:r>
      <w:r>
        <w:rPr/>
        <w:t>独立。</w:t>
      </w:r>
    </w:p>
    <w:p>
      <w:pPr>
        <w:spacing w:before="2"/>
        <w:ind w:left="602" w:right="0" w:firstLine="0"/>
        <w:jc w:val="left"/>
        <w:rPr>
          <w:b/>
          <w:sz w:val="24"/>
        </w:rPr>
      </w:pPr>
      <w:r>
        <w:rPr>
          <w:b/>
          <w:sz w:val="24"/>
        </w:rPr>
        <w:t>（四）基金财产的保管和处分</w:t>
      </w:r>
    </w:p>
    <w:p>
      <w:pPr>
        <w:pStyle w:val="BodyText"/>
        <w:spacing w:line="364" w:lineRule="auto" w:before="160"/>
        <w:ind w:left="600" w:right="285" w:firstLine="0"/>
      </w:pPr>
      <w:r>
        <w:rPr/>
        <w:t>本基金财产独立于基金管理人和基金托管人的财产，并由基金托管人保管。基金管理人、基金托管人、境外托管人不得将基金财产归入其固有财产；基</w:t>
      </w:r>
    </w:p>
    <w:p>
      <w:pPr>
        <w:spacing w:after="0" w:line="364" w:lineRule="auto"/>
        <w:sectPr>
          <w:pgSz w:w="11910" w:h="16840"/>
          <w:pgMar w:header="0" w:footer="914" w:top="1580" w:bottom="1180" w:left="1680" w:right="1420"/>
        </w:sectPr>
      </w:pPr>
    </w:p>
    <w:p>
      <w:pPr>
        <w:pStyle w:val="BodyText"/>
        <w:spacing w:line="364" w:lineRule="auto" w:before="41"/>
        <w:ind w:right="378" w:firstLine="0"/>
        <w:jc w:val="both"/>
      </w:pPr>
      <w:r>
        <w:rPr>
          <w:spacing w:val="-11"/>
        </w:rPr>
        <w:t>金管理人、基金托管人、境外托管人因基金财产的管理、运用或者其他情形而取</w:t>
      </w:r>
      <w:r>
        <w:rPr>
          <w:spacing w:val="-9"/>
        </w:rPr>
        <w:t>得的财产和收益，归入基金财产。基金管理人、基金托管人、境外托管人、基金</w:t>
      </w:r>
      <w:r>
        <w:rPr>
          <w:spacing w:val="-5"/>
        </w:rPr>
        <w:t>登记结算机构和基金代销机构以其自有的财产承担其自身的法律责任，其债权人</w:t>
      </w:r>
      <w:r>
        <w:rPr/>
        <w:t>不得对本基金财产行使请求冻结、扣押或其他权利。</w:t>
      </w:r>
    </w:p>
    <w:p>
      <w:pPr>
        <w:pStyle w:val="BodyText"/>
        <w:spacing w:line="364" w:lineRule="auto" w:before="2"/>
        <w:ind w:right="378"/>
      </w:pPr>
      <w:r>
        <w:rPr>
          <w:spacing w:val="-11"/>
        </w:rPr>
        <w:t>基金管理人、基金托管人、境外托管人因依法解散、被依法撤销或者被依法</w:t>
      </w:r>
      <w:r>
        <w:rPr/>
        <w:t>宣告破产等原因进行清算的，基金财产不属于其清算财产。</w:t>
      </w:r>
    </w:p>
    <w:p>
      <w:pPr>
        <w:pStyle w:val="BodyText"/>
        <w:spacing w:line="364" w:lineRule="auto" w:before="2"/>
        <w:ind w:right="378"/>
      </w:pPr>
      <w:r>
        <w:rPr>
          <w:spacing w:val="-8"/>
        </w:rPr>
        <w:t>除依据法律法规和《基金合同》的规定处分外，基金财产不得被处分。非因</w:t>
      </w:r>
      <w:r>
        <w:rPr/>
        <w:t>基金财产本身承担的债务，不得对基金财产强制执行。</w:t>
      </w:r>
    </w:p>
    <w:p>
      <w:pPr>
        <w:pStyle w:val="BodyText"/>
        <w:spacing w:line="364" w:lineRule="auto" w:before="1"/>
        <w:ind w:right="377"/>
        <w:jc w:val="both"/>
      </w:pPr>
      <w:r>
        <w:rPr>
          <w:spacing w:val="-6"/>
        </w:rPr>
        <w:t>基金管理人管理运作基金财产所产生的债权，不得与其固有资产产生的债务</w:t>
      </w:r>
      <w:r>
        <w:rPr>
          <w:spacing w:val="-11"/>
        </w:rPr>
        <w:t>相互抵消；基金管理人管理运作不同基金的基金财产所产生的债权债务不得相互</w:t>
      </w:r>
      <w:r>
        <w:rPr/>
        <w:t>抵消。</w:t>
      </w:r>
    </w:p>
    <w:p>
      <w:pPr>
        <w:pStyle w:val="BodyText"/>
        <w:spacing w:line="364" w:lineRule="auto" w:before="2"/>
        <w:ind w:right="377"/>
        <w:jc w:val="both"/>
      </w:pPr>
      <w:r>
        <w:rPr>
          <w:spacing w:val="-6"/>
        </w:rPr>
        <w:t>在符合本合同和托管协议有关资产保管的要求下，对境外托管人的破产而产</w:t>
      </w:r>
      <w:r>
        <w:rPr>
          <w:spacing w:val="-11"/>
        </w:rPr>
        <w:t>生的损失，基金托管人应采取措施进行追偿，基金管理人配合基金托管人进行追</w:t>
      </w:r>
      <w:r>
        <w:rPr/>
        <w:t>偿，基金托管人存在故意或过失行为的，应承担相应责任。</w:t>
      </w:r>
    </w:p>
    <w:p>
      <w:pPr>
        <w:pStyle w:val="BodyText"/>
        <w:spacing w:line="364" w:lineRule="auto" w:before="2"/>
        <w:ind w:right="378"/>
      </w:pPr>
      <w:r>
        <w:rPr>
          <w:spacing w:val="-6"/>
        </w:rPr>
        <w:t>基金管理人和基金托管人可将其义务委托第三方，并对第三方处理有关本基</w:t>
      </w:r>
      <w:r>
        <w:rPr/>
        <w:t>金事务的行为承担责任。</w:t>
      </w:r>
    </w:p>
    <w:p>
      <w:pPr>
        <w:pStyle w:val="BodyText"/>
        <w:spacing w:line="364" w:lineRule="auto" w:before="2"/>
        <w:ind w:right="377"/>
        <w:jc w:val="both"/>
      </w:pPr>
      <w:r>
        <w:rPr>
          <w:spacing w:val="-6"/>
        </w:rPr>
        <w:t>由于全球投资涉及不同投资市场和结算规则，对于非因基金管理人、基金托</w:t>
      </w:r>
      <w:r>
        <w:rPr>
          <w:spacing w:val="-4"/>
        </w:rPr>
        <w:t>管人及其委托代理人的原因造成的延迟交收等情况导致基金财产损失的，基金管</w:t>
      </w:r>
      <w:r>
        <w:rPr>
          <w:spacing w:val="-11"/>
        </w:rPr>
        <w:t>理人、基金托管人不承担赔偿责任，但应当积极采取必要措施降低由此造成的影</w:t>
      </w:r>
      <w:r>
        <w:rPr/>
        <w:t>响。</w:t>
      </w:r>
    </w:p>
    <w:p>
      <w:pPr>
        <w:pStyle w:val="BodyText"/>
        <w:spacing w:line="364" w:lineRule="auto" w:before="2"/>
        <w:ind w:right="377"/>
        <w:jc w:val="both"/>
      </w:pPr>
      <w:r>
        <w:rPr>
          <w:spacing w:val="-8"/>
        </w:rPr>
        <w:t>除非基金管理人、基金托管人及其境外托管人存在过失、疏忽、欺诈或故意</w:t>
      </w:r>
      <w:r>
        <w:rPr>
          <w:spacing w:val="-12"/>
        </w:rPr>
        <w:t>不当行为，基金管理人、基金托管人将不保证托管人或境外托管人所接收基金财</w:t>
      </w:r>
      <w:r>
        <w:rPr/>
        <w:t>产中的证券的所有权、合法性或真实性（包括是否以良好形式转让</w:t>
      </w:r>
      <w:r>
        <w:rPr>
          <w:spacing w:val="-120"/>
        </w:rPr>
        <w:t>）</w:t>
      </w:r>
      <w:r>
        <w:rPr/>
        <w:t>。</w:t>
      </w:r>
    </w:p>
    <w:p>
      <w:pPr>
        <w:pStyle w:val="BodyText"/>
        <w:spacing w:line="364" w:lineRule="auto" w:before="2"/>
        <w:ind w:right="258"/>
      </w:pPr>
      <w:r>
        <w:rPr>
          <w:spacing w:val="-9"/>
        </w:rPr>
        <w:t>基金托管人和境外托管人应妥善保存基金管理人基金财产汇入、汇出、兑换、</w:t>
      </w:r>
      <w:r>
        <w:rPr/>
        <w:t>收汇、现金往来及证券交易的记录、凭证等相关资料，并按规定的期限保管 ， 但境外托管人持有的与境外托管人账户相关的资料应按照境外托管人的业务惯例保管。</w:t>
      </w:r>
    </w:p>
    <w:p>
      <w:pPr>
        <w:spacing w:after="0" w:line="364" w:lineRule="auto"/>
        <w:sectPr>
          <w:pgSz w:w="11910" w:h="16840"/>
          <w:pgMar w:header="0" w:footer="914" w:top="1460" w:bottom="1180" w:left="1680" w:right="1420"/>
        </w:sectPr>
      </w:pPr>
    </w:p>
    <w:p>
      <w:pPr>
        <w:pStyle w:val="BodyText"/>
        <w:spacing w:before="2"/>
        <w:ind w:left="0" w:firstLine="0"/>
        <w:rPr>
          <w:sz w:val="28"/>
        </w:rPr>
      </w:pPr>
    </w:p>
    <w:p>
      <w:pPr>
        <w:pStyle w:val="Heading1"/>
        <w:spacing w:before="67"/>
        <w:ind w:left="428" w:right="262"/>
        <w:jc w:val="center"/>
      </w:pPr>
      <w:bookmarkStart w:name="_bookmark13" w:id="14"/>
      <w:bookmarkEnd w:id="14"/>
      <w:r>
        <w:rPr>
          <w:b w:val="0"/>
        </w:rPr>
      </w:r>
      <w:r>
        <w:rPr/>
        <w:t>十四、基金资产估值</w:t>
      </w:r>
    </w:p>
    <w:p>
      <w:pPr>
        <w:pStyle w:val="BodyText"/>
        <w:spacing w:before="4"/>
        <w:ind w:left="0" w:firstLine="0"/>
        <w:rPr>
          <w:b/>
          <w:sz w:val="35"/>
        </w:rPr>
      </w:pPr>
    </w:p>
    <w:p>
      <w:pPr>
        <w:spacing w:before="0"/>
        <w:ind w:left="540" w:right="0" w:firstLine="0"/>
        <w:jc w:val="left"/>
        <w:rPr>
          <w:b/>
          <w:sz w:val="24"/>
        </w:rPr>
      </w:pPr>
      <w:r>
        <w:rPr>
          <w:b/>
          <w:sz w:val="24"/>
        </w:rPr>
        <w:t>（一）估值目的</w:t>
      </w:r>
    </w:p>
    <w:p>
      <w:pPr>
        <w:pStyle w:val="BodyText"/>
        <w:spacing w:line="364" w:lineRule="auto" w:before="82"/>
        <w:ind w:right="377"/>
        <w:jc w:val="both"/>
      </w:pPr>
      <w:r>
        <w:rPr>
          <w:spacing w:val="-7"/>
        </w:rPr>
        <w:t>基金资产估值的目的是客观、准确地反映基金资产是否保值、增值，依据经</w:t>
      </w:r>
      <w:r>
        <w:rPr>
          <w:spacing w:val="-5"/>
        </w:rPr>
        <w:t>基金资产估值后确定的基金资产净值而计算出的基金份额净值，是计算基金申购</w:t>
      </w:r>
      <w:r>
        <w:rPr/>
        <w:t>与赎回价格的基础。</w:t>
      </w:r>
    </w:p>
    <w:p>
      <w:pPr>
        <w:spacing w:before="78"/>
        <w:ind w:left="540" w:right="0" w:firstLine="0"/>
        <w:jc w:val="left"/>
        <w:rPr>
          <w:b/>
          <w:sz w:val="24"/>
        </w:rPr>
      </w:pPr>
      <w:r>
        <w:rPr>
          <w:b/>
          <w:sz w:val="24"/>
        </w:rPr>
        <w:t>（二）估值日</w:t>
      </w:r>
    </w:p>
    <w:p>
      <w:pPr>
        <w:pStyle w:val="BodyText"/>
        <w:spacing w:line="364" w:lineRule="auto" w:before="82"/>
        <w:ind w:right="370"/>
      </w:pPr>
      <w:r>
        <w:rPr/>
        <w:t>本基金的估值日为本基金的开放日以及国家法律法规规定需要对外披露基金净值的非开放日。</w:t>
      </w:r>
    </w:p>
    <w:p>
      <w:pPr>
        <w:spacing w:before="78"/>
        <w:ind w:left="540" w:right="0" w:firstLine="0"/>
        <w:jc w:val="left"/>
        <w:rPr>
          <w:b/>
          <w:sz w:val="24"/>
        </w:rPr>
      </w:pPr>
      <w:r>
        <w:rPr>
          <w:b/>
          <w:sz w:val="24"/>
        </w:rPr>
        <w:t>（三）估值对象</w:t>
      </w:r>
    </w:p>
    <w:p>
      <w:pPr>
        <w:pStyle w:val="BodyText"/>
        <w:spacing w:before="82"/>
        <w:ind w:left="600" w:firstLine="0"/>
      </w:pPr>
      <w:r>
        <w:rPr/>
        <w:t>本基金所拥有的各类有价证券及本基金依据相关法律法规持有的其它资产。</w:t>
      </w:r>
    </w:p>
    <w:p>
      <w:pPr>
        <w:spacing w:before="158"/>
        <w:ind w:left="602" w:right="0" w:firstLine="0"/>
        <w:jc w:val="left"/>
        <w:rPr>
          <w:b/>
          <w:sz w:val="24"/>
        </w:rPr>
      </w:pPr>
      <w:r>
        <w:rPr>
          <w:b/>
          <w:sz w:val="24"/>
        </w:rPr>
        <w:t>（四）估值方法</w:t>
      </w:r>
    </w:p>
    <w:p>
      <w:pPr>
        <w:pStyle w:val="BodyText"/>
        <w:spacing w:before="8"/>
        <w:ind w:left="0" w:firstLine="0"/>
        <w:rPr>
          <w:b/>
          <w:sz w:val="18"/>
        </w:rPr>
      </w:pPr>
    </w:p>
    <w:p>
      <w:pPr>
        <w:pStyle w:val="BodyText"/>
        <w:spacing w:before="1"/>
        <w:ind w:left="540" w:firstLine="0"/>
      </w:pPr>
      <w:r>
        <w:rPr/>
        <w:t>本基金按以下方式进行估值：</w:t>
      </w:r>
    </w:p>
    <w:p>
      <w:pPr>
        <w:pStyle w:val="BodyText"/>
        <w:spacing w:before="160"/>
        <w:ind w:left="547" w:firstLine="0"/>
      </w:pPr>
      <w:r>
        <w:rPr>
          <w:rFonts w:ascii="Times New Roman" w:eastAsia="Times New Roman"/>
        </w:rPr>
        <w:t>1</w:t>
      </w:r>
      <w:r>
        <w:rPr/>
        <w:t>、 基金估值方法</w:t>
      </w:r>
    </w:p>
    <w:p>
      <w:pPr>
        <w:pStyle w:val="ListParagraph"/>
        <w:numPr>
          <w:ilvl w:val="0"/>
          <w:numId w:val="42"/>
        </w:numPr>
        <w:tabs>
          <w:tab w:pos="1148" w:val="left" w:leader="none"/>
        </w:tabs>
        <w:spacing w:line="364" w:lineRule="auto" w:before="161" w:after="0"/>
        <w:ind w:left="120" w:right="378" w:firstLine="419"/>
        <w:jc w:val="left"/>
        <w:rPr>
          <w:sz w:val="24"/>
        </w:rPr>
      </w:pPr>
      <w:r>
        <w:rPr>
          <w:sz w:val="24"/>
        </w:rPr>
        <w:t>上市流通的基金按估值日在证券交易所的收盘价估值；估值日无交易</w:t>
      </w:r>
      <w:r>
        <w:rPr>
          <w:spacing w:val="-1"/>
          <w:sz w:val="24"/>
        </w:rPr>
        <w:t>的 ，以最近交易日的收盘价估值；</w:t>
      </w:r>
    </w:p>
    <w:p>
      <w:pPr>
        <w:pStyle w:val="ListParagraph"/>
        <w:numPr>
          <w:ilvl w:val="0"/>
          <w:numId w:val="42"/>
        </w:numPr>
        <w:tabs>
          <w:tab w:pos="1148" w:val="left" w:leader="none"/>
        </w:tabs>
        <w:spacing w:line="364" w:lineRule="auto" w:before="1" w:after="0"/>
        <w:ind w:left="120" w:right="378" w:firstLine="419"/>
        <w:jc w:val="left"/>
        <w:rPr>
          <w:sz w:val="24"/>
        </w:rPr>
      </w:pPr>
      <w:r>
        <w:rPr>
          <w:sz w:val="24"/>
        </w:rPr>
        <w:t>非上市流通基金以估值截止时点能够取得的最新基金份额净值进行估值。</w:t>
      </w:r>
    </w:p>
    <w:p>
      <w:pPr>
        <w:pStyle w:val="BodyText"/>
        <w:spacing w:before="1"/>
        <w:ind w:left="547" w:firstLine="0"/>
      </w:pPr>
      <w:r>
        <w:rPr>
          <w:rFonts w:ascii="Times New Roman" w:eastAsia="Times New Roman"/>
        </w:rPr>
        <w:t>2</w:t>
      </w:r>
      <w:r>
        <w:rPr/>
        <w:t>、 股票估值方法</w:t>
      </w:r>
    </w:p>
    <w:p>
      <w:pPr>
        <w:pStyle w:val="ListParagraph"/>
        <w:numPr>
          <w:ilvl w:val="0"/>
          <w:numId w:val="43"/>
        </w:numPr>
        <w:tabs>
          <w:tab w:pos="1148" w:val="left" w:leader="none"/>
        </w:tabs>
        <w:spacing w:line="364" w:lineRule="auto" w:before="161" w:after="0"/>
        <w:ind w:left="120" w:right="385" w:firstLine="419"/>
        <w:jc w:val="left"/>
        <w:rPr>
          <w:sz w:val="24"/>
        </w:rPr>
      </w:pPr>
      <w:r>
        <w:rPr>
          <w:sz w:val="24"/>
        </w:rPr>
        <w:t>上市流通的股票按估值日在证券交易所的收盘价估值；估值日无交易的，以最近交易日的收盘价估值。</w:t>
      </w:r>
    </w:p>
    <w:p>
      <w:pPr>
        <w:pStyle w:val="ListParagraph"/>
        <w:numPr>
          <w:ilvl w:val="0"/>
          <w:numId w:val="43"/>
        </w:numPr>
        <w:tabs>
          <w:tab w:pos="1142" w:val="left" w:leader="none"/>
        </w:tabs>
        <w:spacing w:line="240" w:lineRule="auto" w:before="1" w:after="0"/>
        <w:ind w:left="1141" w:right="0" w:hanging="602"/>
        <w:jc w:val="left"/>
        <w:rPr>
          <w:sz w:val="24"/>
        </w:rPr>
      </w:pPr>
      <w:r>
        <w:rPr>
          <w:sz w:val="24"/>
        </w:rPr>
        <w:t>处于未上市期间的股票应区分如下情况处理：</w:t>
      </w:r>
    </w:p>
    <w:p>
      <w:pPr>
        <w:pStyle w:val="BodyText"/>
        <w:spacing w:line="364" w:lineRule="auto"/>
        <w:ind w:right="376" w:firstLine="419"/>
      </w:pPr>
      <w:r>
        <w:rPr/>
        <w:t>① 首次发行未上市的股票，采用估值技术确定公允价值，在估值技术难以可靠计量公允价值的情况下，按成本价估值；</w:t>
      </w:r>
    </w:p>
    <w:p>
      <w:pPr>
        <w:pStyle w:val="BodyText"/>
        <w:spacing w:line="364" w:lineRule="auto" w:before="1"/>
        <w:ind w:right="380" w:firstLine="419"/>
      </w:pPr>
      <w:r>
        <w:rPr/>
        <w:t>② 送股、转增股、配股和增发新股，按估值日在证券交易所上市的同一股票的收盘价进行估值；该日无交易的，以最近一日的收盘价估值；</w:t>
      </w:r>
    </w:p>
    <w:p>
      <w:pPr>
        <w:pStyle w:val="BodyText"/>
        <w:spacing w:line="364" w:lineRule="auto" w:before="2"/>
        <w:ind w:right="376" w:firstLine="419"/>
      </w:pPr>
      <w:r>
        <w:rPr/>
        <w:t>③ 首次公开发行有明确锁定期的股票，同一股票在交易所上市后，按估值日在证券交易所上市的同一股票的收盘价进行估值。</w:t>
      </w:r>
    </w:p>
    <w:p>
      <w:pPr>
        <w:pStyle w:val="BodyText"/>
        <w:spacing w:before="1"/>
        <w:ind w:left="547" w:firstLine="0"/>
      </w:pPr>
      <w:r>
        <w:rPr>
          <w:rFonts w:ascii="Times New Roman" w:eastAsia="Times New Roman"/>
        </w:rPr>
        <w:t>3</w:t>
      </w:r>
      <w:r>
        <w:rPr/>
        <w:t>、 存托凭证估值方法</w:t>
      </w:r>
    </w:p>
    <w:p>
      <w:pPr>
        <w:spacing w:after="0"/>
        <w:sectPr>
          <w:pgSz w:w="11910" w:h="16840"/>
          <w:pgMar w:header="0" w:footer="914" w:top="1580" w:bottom="1180" w:left="1680" w:right="1420"/>
        </w:sectPr>
      </w:pPr>
    </w:p>
    <w:p>
      <w:pPr>
        <w:pStyle w:val="BodyText"/>
        <w:spacing w:line="364" w:lineRule="auto" w:before="41"/>
        <w:ind w:right="382" w:firstLine="419"/>
      </w:pPr>
      <w:r>
        <w:rPr/>
        <w:t>公开挂牌的存托凭证按估值日在证券交易所的收盘价估值；估值日无交易的，以最近交易日的收盘价估值。</w:t>
      </w:r>
    </w:p>
    <w:p>
      <w:pPr>
        <w:pStyle w:val="BodyText"/>
        <w:spacing w:before="1"/>
        <w:ind w:left="545" w:firstLine="0"/>
      </w:pPr>
      <w:r>
        <w:rPr>
          <w:rFonts w:ascii="Times New Roman" w:eastAsia="Times New Roman"/>
        </w:rPr>
        <w:t>4</w:t>
      </w:r>
      <w:r>
        <w:rPr/>
        <w:t>、 债券估值方法</w:t>
      </w:r>
    </w:p>
    <w:p>
      <w:pPr>
        <w:pStyle w:val="ListParagraph"/>
        <w:numPr>
          <w:ilvl w:val="0"/>
          <w:numId w:val="44"/>
        </w:numPr>
        <w:tabs>
          <w:tab w:pos="1148" w:val="left" w:leader="none"/>
        </w:tabs>
        <w:spacing w:line="364" w:lineRule="auto" w:before="161" w:after="0"/>
        <w:ind w:left="120" w:right="375" w:firstLine="419"/>
        <w:jc w:val="both"/>
        <w:rPr>
          <w:sz w:val="24"/>
        </w:rPr>
      </w:pPr>
      <w:r>
        <w:rPr>
          <w:sz w:val="24"/>
        </w:rPr>
        <w:t>对于上市流通的债券，证券交易所市场实行净价交易的债券按估值日</w:t>
      </w:r>
      <w:r>
        <w:rPr>
          <w:spacing w:val="-7"/>
          <w:sz w:val="24"/>
        </w:rPr>
        <w:t>在证券交易所的收盘价估值；估值日无交易的，以最近交易日的收盘价估值。证</w:t>
      </w:r>
      <w:r>
        <w:rPr>
          <w:sz w:val="24"/>
        </w:rPr>
        <w:t>券交易所市场未实行净价交易的债券按估值日收盘价减去债券收盘价中所含的</w:t>
      </w:r>
      <w:r>
        <w:rPr>
          <w:spacing w:val="-6"/>
          <w:sz w:val="24"/>
        </w:rPr>
        <w:t>债券应收利息得到的净价进行估值，估值日没有交易的，按最近交易日债券收盘</w:t>
      </w:r>
      <w:r>
        <w:rPr>
          <w:sz w:val="24"/>
        </w:rPr>
        <w:t>价减去所含的最近交易日债券应收利息后得到的净价估值。</w:t>
      </w:r>
    </w:p>
    <w:p>
      <w:pPr>
        <w:pStyle w:val="ListParagraph"/>
        <w:numPr>
          <w:ilvl w:val="0"/>
          <w:numId w:val="44"/>
        </w:numPr>
        <w:tabs>
          <w:tab w:pos="1142" w:val="left" w:leader="none"/>
        </w:tabs>
        <w:spacing w:line="364" w:lineRule="auto" w:before="3" w:after="0"/>
        <w:ind w:left="120" w:right="465" w:firstLine="419"/>
        <w:jc w:val="left"/>
        <w:rPr>
          <w:sz w:val="24"/>
        </w:rPr>
      </w:pPr>
      <w:r>
        <w:rPr>
          <w:spacing w:val="-1"/>
          <w:sz w:val="24"/>
        </w:rPr>
        <w:t>对于非上市债券，参照主要做市商或其他权威价格提供机构的报价进</w:t>
      </w:r>
      <w:r>
        <w:rPr>
          <w:sz w:val="24"/>
        </w:rPr>
        <w:t>行估值。</w:t>
      </w:r>
    </w:p>
    <w:p>
      <w:pPr>
        <w:pStyle w:val="BodyText"/>
        <w:spacing w:before="1"/>
        <w:ind w:left="545" w:firstLine="0"/>
      </w:pPr>
      <w:r>
        <w:rPr>
          <w:rFonts w:ascii="Times New Roman" w:eastAsia="Times New Roman"/>
        </w:rPr>
        <w:t>5</w:t>
      </w:r>
      <w:r>
        <w:rPr/>
        <w:t>、 衍生品估值方法</w:t>
      </w:r>
    </w:p>
    <w:p>
      <w:pPr>
        <w:pStyle w:val="ListParagraph"/>
        <w:numPr>
          <w:ilvl w:val="0"/>
          <w:numId w:val="45"/>
        </w:numPr>
        <w:tabs>
          <w:tab w:pos="1142" w:val="left" w:leader="none"/>
        </w:tabs>
        <w:spacing w:line="364" w:lineRule="auto" w:before="161" w:after="0"/>
        <w:ind w:left="120" w:right="465" w:firstLine="419"/>
        <w:jc w:val="left"/>
        <w:rPr>
          <w:sz w:val="24"/>
        </w:rPr>
      </w:pPr>
      <w:r>
        <w:rPr>
          <w:spacing w:val="-1"/>
          <w:sz w:val="24"/>
        </w:rPr>
        <w:t>上市流通衍生品按估值日在证券交易所的收盘价估值；估值日无交易</w:t>
      </w:r>
      <w:r>
        <w:rPr>
          <w:sz w:val="24"/>
        </w:rPr>
        <w:t>的，以最近交易日的收盘价估值。</w:t>
      </w:r>
    </w:p>
    <w:p>
      <w:pPr>
        <w:pStyle w:val="ListParagraph"/>
        <w:numPr>
          <w:ilvl w:val="0"/>
          <w:numId w:val="45"/>
        </w:numPr>
        <w:tabs>
          <w:tab w:pos="1142" w:val="left" w:leader="none"/>
        </w:tabs>
        <w:spacing w:line="364" w:lineRule="auto" w:before="1" w:after="0"/>
        <w:ind w:left="120" w:right="463" w:firstLine="419"/>
        <w:jc w:val="left"/>
        <w:rPr>
          <w:sz w:val="24"/>
        </w:rPr>
      </w:pPr>
      <w:r>
        <w:rPr>
          <w:spacing w:val="-1"/>
          <w:sz w:val="24"/>
        </w:rPr>
        <w:t>非上市衍生品采用估值技术确定公允价值，在估值技术难以可靠计量</w:t>
      </w:r>
      <w:r>
        <w:rPr>
          <w:sz w:val="24"/>
        </w:rPr>
        <w:t>公允价值的情况下，按成本估值。</w:t>
      </w:r>
    </w:p>
    <w:p>
      <w:pPr>
        <w:pStyle w:val="BodyText"/>
        <w:spacing w:before="1"/>
        <w:ind w:left="545" w:firstLine="0"/>
      </w:pPr>
      <w:r>
        <w:rPr>
          <w:rFonts w:ascii="Times New Roman" w:eastAsia="Times New Roman"/>
        </w:rPr>
        <w:t>6</w:t>
      </w:r>
      <w:r>
        <w:rPr/>
        <w:t>、 汇率</w:t>
      </w:r>
    </w:p>
    <w:p>
      <w:pPr>
        <w:pStyle w:val="ListParagraph"/>
        <w:numPr>
          <w:ilvl w:val="0"/>
          <w:numId w:val="46"/>
        </w:numPr>
        <w:tabs>
          <w:tab w:pos="1202" w:val="left" w:leader="none"/>
        </w:tabs>
        <w:spacing w:line="364" w:lineRule="auto" w:before="161" w:after="0"/>
        <w:ind w:left="120" w:right="378" w:firstLine="479"/>
        <w:jc w:val="both"/>
        <w:rPr>
          <w:sz w:val="24"/>
        </w:rPr>
      </w:pPr>
      <w:r>
        <w:rPr>
          <w:sz w:val="24"/>
        </w:rPr>
        <w:t>估值计算中涉及美元、港币、日元、欧元、英镑等主要货币对人民币</w:t>
      </w:r>
      <w:r>
        <w:rPr>
          <w:spacing w:val="-10"/>
          <w:sz w:val="24"/>
        </w:rPr>
        <w:t>汇率的，将依据下列信息提供机构所提供的汇率为基准：当日中国人民银行公布</w:t>
      </w:r>
      <w:r>
        <w:rPr>
          <w:spacing w:val="-8"/>
          <w:sz w:val="24"/>
        </w:rPr>
        <w:t>的人民币与主要货币的中间价。主要外汇种类以中国人民银行或其授权机构最新</w:t>
      </w:r>
      <w:r>
        <w:rPr>
          <w:sz w:val="24"/>
        </w:rPr>
        <w:t>公布为准。</w:t>
      </w:r>
    </w:p>
    <w:p>
      <w:pPr>
        <w:pStyle w:val="ListParagraph"/>
        <w:numPr>
          <w:ilvl w:val="0"/>
          <w:numId w:val="46"/>
        </w:numPr>
        <w:tabs>
          <w:tab w:pos="1202" w:val="left" w:leader="none"/>
        </w:tabs>
        <w:spacing w:line="364" w:lineRule="auto" w:before="3" w:after="0"/>
        <w:ind w:left="120" w:right="384" w:firstLine="479"/>
        <w:jc w:val="left"/>
        <w:rPr>
          <w:sz w:val="24"/>
        </w:rPr>
      </w:pPr>
      <w:r>
        <w:rPr>
          <w:spacing w:val="-1"/>
          <w:sz w:val="24"/>
        </w:rPr>
        <w:t>其他货币采用美元作为中间货币进行换算，具体汇率来源详见基金招</w:t>
      </w:r>
      <w:r>
        <w:rPr>
          <w:sz w:val="24"/>
        </w:rPr>
        <w:t>募说明书。</w:t>
      </w:r>
    </w:p>
    <w:p>
      <w:pPr>
        <w:pStyle w:val="BodyText"/>
        <w:spacing w:line="364" w:lineRule="auto" w:before="1"/>
        <w:ind w:right="376"/>
      </w:pPr>
      <w:r>
        <w:rPr>
          <w:spacing w:val="-8"/>
        </w:rPr>
        <w:t>若无法取得上述汇率价格信息时，以基金托管人或境外托管人所提供的合理</w:t>
      </w:r>
      <w:r>
        <w:rPr/>
        <w:t>公开外汇市场交易价格为准。</w:t>
      </w:r>
    </w:p>
    <w:p>
      <w:pPr>
        <w:pStyle w:val="BodyText"/>
        <w:spacing w:before="2"/>
        <w:ind w:left="545" w:firstLine="0"/>
        <w:jc w:val="both"/>
      </w:pPr>
      <w:r>
        <w:rPr>
          <w:rFonts w:ascii="Times New Roman" w:eastAsia="Times New Roman"/>
        </w:rPr>
        <w:t>7</w:t>
      </w:r>
      <w:r>
        <w:rPr/>
        <w:t>、 税收</w:t>
      </w:r>
    </w:p>
    <w:p>
      <w:pPr>
        <w:pStyle w:val="BodyText"/>
        <w:spacing w:line="364" w:lineRule="auto" w:before="160"/>
        <w:ind w:right="370"/>
        <w:jc w:val="both"/>
      </w:pPr>
      <w:r>
        <w:rPr>
          <w:spacing w:val="4"/>
        </w:rPr>
        <w:t>对于按照中国法律法规和基金投资所在地的法律法规规定应交纳的各项税</w:t>
      </w:r>
      <w:r>
        <w:rPr>
          <w:spacing w:val="-10"/>
        </w:rPr>
        <w:t>金，本基金将按权责发生制原则进行估值；对于因税收规定调整或其他原因导致</w:t>
      </w:r>
      <w:r>
        <w:rPr>
          <w:spacing w:val="-14"/>
        </w:rPr>
        <w:t>基金实际交纳税金与估算的应交税金有差异的，基金将在相关税金调整日或实际支付日进行相应的估值调整。</w:t>
      </w:r>
    </w:p>
    <w:p>
      <w:pPr>
        <w:spacing w:after="0" w:line="364" w:lineRule="auto"/>
        <w:jc w:val="both"/>
        <w:sectPr>
          <w:pgSz w:w="11910" w:h="16840"/>
          <w:pgMar w:header="0" w:footer="914" w:top="1460" w:bottom="1180" w:left="1680" w:right="1420"/>
        </w:sectPr>
      </w:pPr>
    </w:p>
    <w:p>
      <w:pPr>
        <w:pStyle w:val="BodyText"/>
        <w:spacing w:line="364" w:lineRule="auto" w:before="61"/>
        <w:ind w:right="313"/>
      </w:pPr>
      <w:r>
        <w:rPr>
          <w:rFonts w:ascii="Times New Roman" w:eastAsia="Times New Roman"/>
        </w:rPr>
        <w:t>8</w:t>
      </w:r>
      <w:r>
        <w:rPr/>
        <w:t>、在任何情况下，基金管理人如采用上述第</w:t>
      </w:r>
      <w:r>
        <w:rPr>
          <w:rFonts w:ascii="Times New Roman" w:eastAsia="Times New Roman"/>
        </w:rPr>
        <w:t>1-7</w:t>
      </w:r>
      <w:r>
        <w:rPr/>
        <w:t>项规定的方法对基金资产进行估值，均应被认为采用了适当的估值方法。</w:t>
      </w:r>
    </w:p>
    <w:p>
      <w:pPr>
        <w:pStyle w:val="BodyText"/>
        <w:spacing w:line="364" w:lineRule="auto" w:before="1"/>
        <w:ind w:right="375"/>
        <w:jc w:val="both"/>
      </w:pPr>
      <w:r>
        <w:rPr>
          <w:rFonts w:ascii="Times New Roman" w:eastAsia="Times New Roman"/>
        </w:rPr>
        <w:t>9</w:t>
      </w:r>
      <w:r>
        <w:rPr/>
        <w:t>、如有确凿证据表明按上述方法进行估值不能客观反映其公允价值的，基金管理人可根据具体情况与基金托管人商定后，按最能反映公允价值的价格估值。</w:t>
      </w:r>
    </w:p>
    <w:p>
      <w:pPr>
        <w:pStyle w:val="BodyText"/>
        <w:spacing w:line="364" w:lineRule="auto" w:before="2"/>
        <w:ind w:right="386"/>
        <w:jc w:val="both"/>
      </w:pPr>
      <w:r>
        <w:rPr>
          <w:rFonts w:ascii="Times New Roman" w:eastAsia="Times New Roman"/>
        </w:rPr>
        <w:t>10</w:t>
      </w:r>
      <w:r>
        <w:rPr/>
        <w:t>、 相关法律法规以及监管部门有强制规定的，从其规定。如有新增事项，按国家最新规定估值。</w:t>
      </w:r>
    </w:p>
    <w:p>
      <w:pPr>
        <w:pStyle w:val="BodyText"/>
        <w:spacing w:line="364" w:lineRule="auto" w:before="1"/>
        <w:ind w:right="283"/>
      </w:pPr>
      <w:r>
        <w:rPr>
          <w:spacing w:val="-1"/>
        </w:rPr>
        <w:t>根据《基金法》，基金管理人计算并公告基金资产净值，基金托管人复核、</w:t>
      </w:r>
      <w:r>
        <w:rPr>
          <w:spacing w:val="-5"/>
        </w:rPr>
        <w:t>审查基金管理人计算的基金资产净值。因此，就与本基金有关的会计问题，如经</w:t>
      </w:r>
      <w:r>
        <w:rPr>
          <w:spacing w:val="-10"/>
        </w:rPr>
        <w:t>相关各方在平等基础上充分讨论后，仍无法达成一致的意见，按照基金管理人对基金资产净值的计算结果对外予以公布。</w:t>
      </w:r>
    </w:p>
    <w:p>
      <w:pPr>
        <w:spacing w:before="3"/>
        <w:ind w:left="540" w:right="0" w:firstLine="0"/>
        <w:jc w:val="left"/>
        <w:rPr>
          <w:b/>
          <w:sz w:val="24"/>
        </w:rPr>
      </w:pPr>
      <w:r>
        <w:rPr>
          <w:b/>
          <w:sz w:val="24"/>
        </w:rPr>
        <w:t>（五）估值程序</w:t>
      </w:r>
    </w:p>
    <w:p>
      <w:pPr>
        <w:pStyle w:val="BodyText"/>
        <w:spacing w:line="364" w:lineRule="auto"/>
        <w:ind w:right="376" w:firstLine="419"/>
      </w:pPr>
      <w:r>
        <w:rPr/>
        <w:t>1</w:t>
      </w:r>
      <w:r>
        <w:rPr>
          <w:spacing w:val="-5"/>
        </w:rPr>
        <w:t>、本基金分别计算并披露不同币种各类基金份额对应的基金份额净值。</w:t>
      </w:r>
      <w:r>
        <w:rPr/>
        <w:t>A</w:t>
      </w:r>
      <w:r>
        <w:rPr>
          <w:spacing w:val="-16"/>
        </w:rPr>
        <w:t>类</w:t>
      </w:r>
      <w:r>
        <w:rPr/>
        <w:t>人民币基金份额的基金份额净值指以估值日A类基金资产净值除以估值日A类基金份额余额后得出的单位基金份额的价值，估值日A类基金份额余额为估值日A </w:t>
      </w:r>
      <w:r>
        <w:rPr>
          <w:spacing w:val="-4"/>
        </w:rPr>
        <w:t>类各币种基金份额余额的合计数；</w:t>
      </w:r>
      <w:r>
        <w:rPr>
          <w:spacing w:val="-47"/>
        </w:rPr>
        <w:t>A</w:t>
      </w:r>
      <w:r>
        <w:rPr/>
        <w:t>类美元现汇基金份额的基金份额净值以A</w:t>
      </w:r>
      <w:r>
        <w:rPr>
          <w:spacing w:val="-9"/>
        </w:rPr>
        <w:t>类人</w:t>
      </w:r>
      <w:r>
        <w:rPr/>
        <w:t>民币基金份额的基金份额净值为基础，按照估值日的估值汇率进行折算；C类人民币基金份额的基金份额净值指以估值日C类基金份额的基金资产净值除以估值日C</w:t>
      </w:r>
      <w:r>
        <w:rPr>
          <w:spacing w:val="-5"/>
        </w:rPr>
        <w:t>类基金份额余额后得出的单位基金份额的价值；估值日</w:t>
      </w:r>
      <w:r>
        <w:rPr/>
        <w:t>C</w:t>
      </w:r>
      <w:r>
        <w:rPr>
          <w:spacing w:val="-2"/>
        </w:rPr>
        <w:t>类基金份额余额为估</w:t>
      </w:r>
      <w:r>
        <w:rPr/>
        <w:t>值日C</w:t>
      </w:r>
      <w:r>
        <w:rPr>
          <w:spacing w:val="-4"/>
        </w:rPr>
        <w:t>类各币种基金份额余额的合计数；</w:t>
      </w:r>
      <w:r>
        <w:rPr>
          <w:spacing w:val="-47"/>
        </w:rPr>
        <w:t>C</w:t>
      </w:r>
      <w:r>
        <w:rPr>
          <w:spacing w:val="-1"/>
        </w:rPr>
        <w:t>类美元现汇基金份额的基金份额净值以</w:t>
      </w:r>
      <w:r>
        <w:rPr/>
        <w:t>C类人民币基金份额的基金份额净值为基础，按照估值日的估值汇率进行折算。</w:t>
      </w:r>
    </w:p>
    <w:p>
      <w:pPr>
        <w:pStyle w:val="BodyText"/>
        <w:spacing w:line="364" w:lineRule="auto" w:before="5"/>
        <w:ind w:right="283" w:firstLine="419"/>
      </w:pPr>
      <w:r>
        <w:rPr/>
        <w:t>人民币基金份额的基金份额净值精确到0.001元，美元现汇基金份额的基金份额净值精确到0.001</w:t>
      </w:r>
      <w:r>
        <w:rPr>
          <w:spacing w:val="-7"/>
        </w:rPr>
        <w:t>美元，小数点后第</w:t>
      </w:r>
      <w:r>
        <w:rPr/>
        <w:t>4</w:t>
      </w:r>
      <w:r>
        <w:rPr>
          <w:spacing w:val="-7"/>
        </w:rPr>
        <w:t>位四舍五入，由此产生的收益或损失由</w:t>
      </w:r>
      <w:r>
        <w:rPr>
          <w:spacing w:val="-8"/>
        </w:rPr>
        <w:t>基金财产承担。基金管理人可以设立大额赎回情形下的净值精度应急调整机制。</w:t>
      </w:r>
      <w:r>
        <w:rPr/>
        <w:t>国家另有规定的，从其规定。</w:t>
      </w:r>
    </w:p>
    <w:p>
      <w:pPr>
        <w:pStyle w:val="BodyText"/>
        <w:spacing w:line="364" w:lineRule="auto" w:before="3"/>
        <w:ind w:right="255" w:firstLine="419"/>
      </w:pPr>
      <w:r>
        <w:rPr>
          <w:rFonts w:ascii="Times New Roman" w:eastAsia="Times New Roman"/>
        </w:rPr>
        <w:t>2</w:t>
      </w:r>
      <w:r>
        <w:rPr/>
        <w:t>、基金日常估值由基金管理人进行。基金管理人于估值日的下一工作日完</w:t>
      </w:r>
      <w:r>
        <w:rPr>
          <w:spacing w:val="-16"/>
        </w:rPr>
        <w:t>成估值后，将估值结果发送至基金托管人，基金托管人按法律法规、《基金合同》</w:t>
      </w:r>
      <w:r>
        <w:rPr>
          <w:spacing w:val="-7"/>
        </w:rPr>
        <w:t>规定的估值方法、时间、程序进行复核无误后返回给基金管理人；月末、年中和年末估值复核与基金会计账目的核对同时进行。</w:t>
      </w:r>
    </w:p>
    <w:p>
      <w:pPr>
        <w:spacing w:after="0" w:line="364" w:lineRule="auto"/>
        <w:sectPr>
          <w:pgSz w:w="11910" w:h="16840"/>
          <w:pgMar w:header="0" w:footer="914" w:top="1440" w:bottom="1180" w:left="1680" w:right="1420"/>
        </w:sectPr>
      </w:pPr>
    </w:p>
    <w:p>
      <w:pPr>
        <w:pStyle w:val="BodyText"/>
        <w:spacing w:line="364" w:lineRule="auto" w:before="41"/>
        <w:ind w:right="377"/>
        <w:jc w:val="both"/>
      </w:pPr>
      <w:r>
        <w:rPr>
          <w:spacing w:val="-7"/>
        </w:rPr>
        <w:t>在法律法规和中国证监会允许的情况下，基金管理人与基金托管人可以各自委托第三方机构进行基金资产估值，但不改变基金管理人与基金托管人对基金资</w:t>
      </w:r>
      <w:r>
        <w:rPr/>
        <w:t>产估值各自承担的责任。</w:t>
      </w:r>
    </w:p>
    <w:p>
      <w:pPr>
        <w:spacing w:before="2"/>
        <w:ind w:left="602" w:right="0" w:firstLine="0"/>
        <w:jc w:val="left"/>
        <w:rPr>
          <w:b/>
          <w:sz w:val="24"/>
        </w:rPr>
      </w:pPr>
      <w:r>
        <w:rPr>
          <w:b/>
          <w:sz w:val="24"/>
        </w:rPr>
        <w:t>（六）基金份额净值的确认和估值错误的处理</w:t>
      </w:r>
    </w:p>
    <w:p>
      <w:pPr>
        <w:pStyle w:val="BodyText"/>
        <w:spacing w:line="364" w:lineRule="auto" w:before="160"/>
        <w:ind w:right="377" w:firstLine="419"/>
      </w:pPr>
      <w:r>
        <w:rPr/>
        <w:t>基金份额净值的计算保留到小数点后</w:t>
      </w:r>
      <w:r>
        <w:rPr>
          <w:rFonts w:ascii="Times New Roman" w:eastAsia="Times New Roman"/>
        </w:rPr>
        <w:t>3</w:t>
      </w:r>
      <w:r>
        <w:rPr/>
        <w:t>位。基金资产净值和基金份额净值由</w:t>
      </w:r>
      <w:r>
        <w:rPr>
          <w:spacing w:val="-8"/>
        </w:rPr>
        <w:t>基金管理人负责计算，基金托管人负责进行复核。基金管理人应于每个估值日计</w:t>
      </w:r>
      <w:r>
        <w:rPr>
          <w:spacing w:val="-7"/>
        </w:rPr>
        <w:t>算基金份额净值并发送给基金托管人。基金托管人对净值计算结果复核确认后发</w:t>
      </w:r>
      <w:r>
        <w:rPr/>
        <w:t>送给基金管理人，由基金管理人对基金份额净值予以公布。</w:t>
      </w:r>
    </w:p>
    <w:p>
      <w:pPr>
        <w:pStyle w:val="BodyText"/>
        <w:spacing w:line="364" w:lineRule="auto" w:before="3"/>
        <w:ind w:right="378" w:firstLine="419"/>
        <w:jc w:val="both"/>
      </w:pPr>
      <w:r>
        <w:rPr>
          <w:spacing w:val="-3"/>
        </w:rPr>
        <w:t>基金管理人和基金托管人将采取必要、适当、合理的措施确保基金资产估值</w:t>
      </w:r>
      <w:r>
        <w:rPr>
          <w:spacing w:val="-9"/>
        </w:rPr>
        <w:t>的准确性、及时性。当基金份额净值偏差达到基金份额净值的</w:t>
      </w:r>
      <w:r>
        <w:rPr>
          <w:rFonts w:ascii="Times New Roman" w:eastAsia="Times New Roman"/>
        </w:rPr>
        <w:t>0.5%</w:t>
      </w:r>
      <w:r>
        <w:rPr>
          <w:spacing w:val="-10"/>
        </w:rPr>
        <w:t>时，基金管理</w:t>
      </w:r>
      <w:r>
        <w:rPr>
          <w:spacing w:val="-9"/>
        </w:rPr>
        <w:t>人应当立即纠正，并采取合理的措施防止损失进一步扩大。当基金份额净值计算</w:t>
      </w:r>
      <w:r>
        <w:rPr/>
        <w:t>差错小于基金份额净值</w:t>
      </w:r>
      <w:r>
        <w:rPr>
          <w:rFonts w:ascii="Times New Roman" w:eastAsia="Times New Roman"/>
        </w:rPr>
        <w:t>0.5%</w:t>
      </w:r>
      <w:r>
        <w:rPr>
          <w:spacing w:val="-13"/>
        </w:rPr>
        <w:t>时，基金管理人与基金托管人应在发现日对账务进行</w:t>
      </w:r>
      <w:r>
        <w:rPr>
          <w:spacing w:val="-11"/>
        </w:rPr>
        <w:t>更正调整，不做追溯处理。当基金管理人将其义务委托第三方处理时，应当对第</w:t>
      </w:r>
      <w:r>
        <w:rPr/>
        <w:t>三方处理有关基金事务的行为承担责任。</w:t>
      </w:r>
    </w:p>
    <w:p>
      <w:pPr>
        <w:pStyle w:val="BodyText"/>
        <w:spacing w:before="4"/>
        <w:ind w:left="540" w:firstLine="0"/>
      </w:pPr>
      <w:r>
        <w:rPr/>
        <w:t>关于差错处理，本合同的当事人按照以下约定处理：</w:t>
      </w:r>
    </w:p>
    <w:p>
      <w:pPr>
        <w:pStyle w:val="BodyText"/>
        <w:spacing w:before="160"/>
        <w:ind w:left="540" w:firstLine="0"/>
      </w:pPr>
      <w:r>
        <w:rPr>
          <w:rFonts w:ascii="Times New Roman" w:eastAsia="Times New Roman"/>
        </w:rPr>
        <w:t>1</w:t>
      </w:r>
      <w:r>
        <w:rPr/>
        <w:t>、差错类型</w:t>
      </w:r>
    </w:p>
    <w:p>
      <w:pPr>
        <w:pStyle w:val="BodyText"/>
        <w:spacing w:line="364" w:lineRule="auto"/>
        <w:ind w:right="283" w:firstLine="419"/>
      </w:pPr>
      <w:r>
        <w:rPr/>
        <w:t>本基金运作过程中，如果由于基金管理人或基金托管人、或登记结算机构、或代理销售机构、或投资者自身的过错造成差错，导致其他当事人遭受损失的， 过错的责任人应当对由于该差错遭受损失的当事人（“受损方”）按下述“差错处理原则”给予赔偿承担赔偿责任。</w:t>
      </w:r>
    </w:p>
    <w:p>
      <w:pPr>
        <w:pStyle w:val="BodyText"/>
        <w:spacing w:line="364" w:lineRule="auto" w:before="3"/>
        <w:ind w:right="376" w:firstLine="419"/>
        <w:jc w:val="both"/>
      </w:pPr>
      <w:r>
        <w:rPr>
          <w:spacing w:val="-4"/>
        </w:rPr>
        <w:t>上述差错的主要类型包括但不限于：资料申报差错、数据传输差错、数据计</w:t>
      </w:r>
      <w:r>
        <w:rPr>
          <w:spacing w:val="-10"/>
        </w:rPr>
        <w:t>算差错、系统故障差错、下达指令差错等；对于因技术原因引起的差错，若系同</w:t>
      </w:r>
      <w:r>
        <w:rPr>
          <w:spacing w:val="-7"/>
        </w:rPr>
        <w:t>行业现有技术水平不能预见、不能避免、并不能克服的客观情况，按下列有关不</w:t>
      </w:r>
      <w:r>
        <w:rPr/>
        <w:t>可抗力的约定处理。</w:t>
      </w:r>
    </w:p>
    <w:p>
      <w:pPr>
        <w:pStyle w:val="BodyText"/>
        <w:spacing w:line="364" w:lineRule="auto" w:before="3"/>
        <w:ind w:right="379" w:firstLine="419"/>
      </w:pPr>
      <w:r>
        <w:rPr/>
        <w:t>由于不可抗力原因造成投资者的交易资料灭失或被错误处理或造成其他差</w:t>
      </w:r>
      <w:r>
        <w:rPr>
          <w:spacing w:val="-10"/>
        </w:rPr>
        <w:t>错，因不可抗力原因出现差错的当事人不对其他当事人承担赔偿责任，但因该差</w:t>
      </w:r>
      <w:r>
        <w:rPr/>
        <w:t>错取得不当得利的当事人仍应负有返还不当得利的义务。</w:t>
      </w:r>
    </w:p>
    <w:p>
      <w:pPr>
        <w:pStyle w:val="BodyText"/>
        <w:spacing w:before="1"/>
        <w:ind w:left="540" w:firstLine="0"/>
      </w:pPr>
      <w:r>
        <w:rPr>
          <w:rFonts w:ascii="Times New Roman" w:eastAsia="Times New Roman"/>
        </w:rPr>
        <w:t>2</w:t>
      </w:r>
      <w:r>
        <w:rPr/>
        <w:t>、差错处理原则</w:t>
      </w:r>
    </w:p>
    <w:p>
      <w:pPr>
        <w:pStyle w:val="BodyText"/>
        <w:ind w:left="540" w:firstLine="0"/>
      </w:pPr>
      <w:r>
        <w:rPr/>
        <w:t>因基金估值错误给投资者造成损失，在基金管理人可承担的范围内应先由基</w:t>
      </w:r>
    </w:p>
    <w:p>
      <w:pPr>
        <w:spacing w:after="0"/>
        <w:sectPr>
          <w:pgSz w:w="11910" w:h="16840"/>
          <w:pgMar w:header="0" w:footer="914" w:top="1460" w:bottom="1180" w:left="1680" w:right="1420"/>
        </w:sectPr>
      </w:pPr>
    </w:p>
    <w:p>
      <w:pPr>
        <w:pStyle w:val="BodyText"/>
        <w:spacing w:line="364" w:lineRule="auto" w:before="41"/>
        <w:ind w:right="377" w:firstLine="0"/>
      </w:pPr>
      <w:r>
        <w:rPr>
          <w:spacing w:val="-9"/>
        </w:rPr>
        <w:t>金管理人承担，基金管理人对不应由其承担的责任，有权根据过错原则，向过错</w:t>
      </w:r>
      <w:r>
        <w:rPr/>
        <w:t>人追偿，本协议的当事人应将按照以下约定处理。</w:t>
      </w:r>
    </w:p>
    <w:p>
      <w:pPr>
        <w:pStyle w:val="ListParagraph"/>
        <w:numPr>
          <w:ilvl w:val="0"/>
          <w:numId w:val="47"/>
        </w:numPr>
        <w:tabs>
          <w:tab w:pos="1142" w:val="left" w:leader="none"/>
        </w:tabs>
        <w:spacing w:line="364" w:lineRule="auto" w:before="1" w:after="0"/>
        <w:ind w:left="120" w:right="379" w:firstLine="419"/>
        <w:jc w:val="left"/>
        <w:rPr>
          <w:sz w:val="24"/>
        </w:rPr>
      </w:pPr>
      <w:r>
        <w:rPr>
          <w:sz w:val="24"/>
        </w:rPr>
        <w:t>当基金管理人计算的基金资产净值、基金份额净值已由基金托管人复</w:t>
      </w:r>
      <w:r>
        <w:rPr>
          <w:spacing w:val="-9"/>
          <w:sz w:val="24"/>
        </w:rPr>
        <w:t>核确认后公告的，由此造成的投资者或基金的损失，应根据法律法规的规定对投</w:t>
      </w:r>
      <w:r>
        <w:rPr>
          <w:spacing w:val="-8"/>
          <w:sz w:val="24"/>
        </w:rPr>
        <w:t>资者或基金支付赔偿金，就实际向投资者或基金支付的赔偿金额，由基金管理人</w:t>
      </w:r>
      <w:r>
        <w:rPr>
          <w:sz w:val="24"/>
        </w:rPr>
        <w:t>与基金托管人按照管理费率和托管费率的比例各自承担相应的责任。</w:t>
      </w:r>
    </w:p>
    <w:p>
      <w:pPr>
        <w:pStyle w:val="ListParagraph"/>
        <w:numPr>
          <w:ilvl w:val="0"/>
          <w:numId w:val="47"/>
        </w:numPr>
        <w:tabs>
          <w:tab w:pos="1142" w:val="left" w:leader="none"/>
        </w:tabs>
        <w:spacing w:line="364" w:lineRule="auto" w:before="3" w:after="0"/>
        <w:ind w:left="120" w:right="377" w:firstLine="419"/>
        <w:jc w:val="left"/>
        <w:rPr>
          <w:sz w:val="24"/>
        </w:rPr>
      </w:pPr>
      <w:r>
        <w:rPr>
          <w:sz w:val="24"/>
        </w:rPr>
        <w:t>由于一方当事人提供的信息错误，另一方当事人在采取了必要合理的</w:t>
      </w:r>
      <w:r>
        <w:rPr>
          <w:spacing w:val="-7"/>
          <w:sz w:val="24"/>
        </w:rPr>
        <w:t>措施后仍不能发现该错误，进而导致基金资产净值、基金份额净值计算错误造成</w:t>
      </w:r>
      <w:r>
        <w:rPr>
          <w:spacing w:val="-8"/>
          <w:sz w:val="24"/>
        </w:rPr>
        <w:t>投资者或基金的损失，以及由此造成以后交易日基金资产净值、基金份额净值计</w:t>
      </w:r>
      <w:r>
        <w:rPr>
          <w:spacing w:val="-6"/>
          <w:sz w:val="24"/>
        </w:rPr>
        <w:t>算顺延错误而引起的投资者或基金的损失，由提供错误信息的当事人一方负责赔</w:t>
      </w:r>
      <w:r>
        <w:rPr>
          <w:sz w:val="24"/>
        </w:rPr>
        <w:t>偿。</w:t>
      </w:r>
    </w:p>
    <w:p>
      <w:pPr>
        <w:pStyle w:val="ListParagraph"/>
        <w:numPr>
          <w:ilvl w:val="0"/>
          <w:numId w:val="47"/>
        </w:numPr>
        <w:tabs>
          <w:tab w:pos="1142" w:val="left" w:leader="none"/>
        </w:tabs>
        <w:spacing w:line="364" w:lineRule="auto" w:before="3" w:after="0"/>
        <w:ind w:left="120" w:right="377" w:firstLine="419"/>
        <w:jc w:val="left"/>
        <w:rPr>
          <w:sz w:val="24"/>
        </w:rPr>
      </w:pPr>
      <w:r>
        <w:rPr>
          <w:sz w:val="24"/>
        </w:rPr>
        <w:t>由于证券交易所，交易市场及登记结算公司及数据供应商发送的数据</w:t>
      </w:r>
      <w:r>
        <w:rPr>
          <w:spacing w:val="-10"/>
          <w:sz w:val="24"/>
        </w:rPr>
        <w:t>错误，券商或交易对家的成交回报错误或延误，或由于其他不可抗力原因，基金</w:t>
      </w:r>
      <w:r>
        <w:rPr>
          <w:spacing w:val="-6"/>
          <w:sz w:val="24"/>
        </w:rPr>
        <w:t>管理人和基金托管人虽然已经采取必要、适当、合理的措施进行检查，但是未能</w:t>
      </w:r>
      <w:r>
        <w:rPr>
          <w:spacing w:val="-10"/>
          <w:sz w:val="24"/>
        </w:rPr>
        <w:t>发现该错误的，由此造成的基金资产估值错误，基金管理人和基金托管人可以免</w:t>
      </w:r>
      <w:r>
        <w:rPr>
          <w:spacing w:val="-11"/>
          <w:sz w:val="24"/>
        </w:rPr>
        <w:t>除赔偿责任。但基金管理人和基金托管人应当积极采取必要的措施消除由此造成</w:t>
      </w:r>
      <w:r>
        <w:rPr>
          <w:sz w:val="24"/>
        </w:rPr>
        <w:t>的影响。</w:t>
      </w:r>
    </w:p>
    <w:p>
      <w:pPr>
        <w:pStyle w:val="ListParagraph"/>
        <w:numPr>
          <w:ilvl w:val="0"/>
          <w:numId w:val="47"/>
        </w:numPr>
        <w:tabs>
          <w:tab w:pos="1142" w:val="left" w:leader="none"/>
        </w:tabs>
        <w:spacing w:line="364" w:lineRule="auto" w:before="4" w:after="0"/>
        <w:ind w:left="120" w:right="257" w:firstLine="419"/>
        <w:jc w:val="left"/>
        <w:rPr>
          <w:sz w:val="24"/>
        </w:rPr>
      </w:pPr>
      <w:r>
        <w:rPr>
          <w:sz w:val="24"/>
        </w:rPr>
        <w:t>当基金管理人计算的基金资产净值与基金托管人的计算结果不一致时</w:t>
      </w:r>
      <w:r>
        <w:rPr>
          <w:spacing w:val="-8"/>
          <w:sz w:val="24"/>
        </w:rPr>
        <w:t>，相关各方应本着勤勉尽责的态度重新计算核对，如果最后仍无法达成一致，应</w:t>
      </w:r>
      <w:r>
        <w:rPr>
          <w:spacing w:val="-13"/>
          <w:sz w:val="24"/>
        </w:rPr>
        <w:t>以基金管理人的计算结果为准对外公布，由此造成的损失以及因该交易日基金资</w:t>
      </w:r>
      <w:r>
        <w:rPr>
          <w:spacing w:val="-16"/>
          <w:sz w:val="24"/>
        </w:rPr>
        <w:t>产净值计算顺延错误而引起的损失由基金管理人承担赔偿责任，基金托管人不负赔偿责任。</w:t>
      </w:r>
    </w:p>
    <w:p>
      <w:pPr>
        <w:pStyle w:val="ListParagraph"/>
        <w:numPr>
          <w:ilvl w:val="0"/>
          <w:numId w:val="47"/>
        </w:numPr>
        <w:tabs>
          <w:tab w:pos="1142" w:val="left" w:leader="none"/>
        </w:tabs>
        <w:spacing w:line="364" w:lineRule="auto" w:before="3" w:after="0"/>
        <w:ind w:left="120" w:right="261" w:firstLine="419"/>
        <w:jc w:val="left"/>
        <w:rPr>
          <w:sz w:val="24"/>
        </w:rPr>
      </w:pPr>
      <w:r>
        <w:rPr>
          <w:spacing w:val="-3"/>
          <w:sz w:val="24"/>
        </w:rPr>
        <w:t>法律法规或者监管部门另有规定的，从其规定。如果行业有通行做法， </w:t>
      </w:r>
      <w:r>
        <w:rPr>
          <w:sz w:val="24"/>
        </w:rPr>
        <w:t>基金管理人和基金托管人双方应本着平等和保护基金份额持有人利益的原则进 行协商。</w:t>
      </w:r>
    </w:p>
    <w:p>
      <w:pPr>
        <w:pStyle w:val="ListParagraph"/>
        <w:numPr>
          <w:ilvl w:val="0"/>
          <w:numId w:val="47"/>
        </w:numPr>
        <w:tabs>
          <w:tab w:pos="1142" w:val="left" w:leader="none"/>
        </w:tabs>
        <w:spacing w:line="364" w:lineRule="auto" w:before="2" w:after="0"/>
        <w:ind w:left="120" w:right="377" w:firstLine="419"/>
        <w:jc w:val="left"/>
        <w:rPr>
          <w:sz w:val="24"/>
        </w:rPr>
      </w:pPr>
      <w:r>
        <w:rPr>
          <w:sz w:val="24"/>
        </w:rPr>
        <w:t>差错已发生，但尚未给当事人造成损失时，差错责任方应及时协调各</w:t>
      </w:r>
      <w:r>
        <w:rPr>
          <w:spacing w:val="-11"/>
          <w:sz w:val="24"/>
        </w:rPr>
        <w:t>方，及时进行更正，因更正差错发生的费用由差错责任方承担；由于差错责任方</w:t>
      </w:r>
      <w:r>
        <w:rPr>
          <w:spacing w:val="-7"/>
          <w:sz w:val="24"/>
        </w:rPr>
        <w:t>未及时更正已产生的差错，给当事人造成损失的由差错责任方承担；若差错责任</w:t>
      </w:r>
      <w:r>
        <w:rPr>
          <w:spacing w:val="-9"/>
          <w:sz w:val="24"/>
        </w:rPr>
        <w:t>方已经积极协调，并且有协助义务的当事人有足够的时间进行更正而未更正，则</w:t>
      </w:r>
    </w:p>
    <w:p>
      <w:pPr>
        <w:spacing w:after="0" w:line="364" w:lineRule="auto"/>
        <w:jc w:val="left"/>
        <w:rPr>
          <w:sz w:val="24"/>
        </w:rPr>
        <w:sectPr>
          <w:pgSz w:w="11910" w:h="16840"/>
          <w:pgMar w:header="0" w:footer="914" w:top="1460" w:bottom="1180" w:left="1680" w:right="1420"/>
        </w:sectPr>
      </w:pPr>
    </w:p>
    <w:p>
      <w:pPr>
        <w:pStyle w:val="BodyText"/>
        <w:spacing w:line="364" w:lineRule="auto" w:before="41"/>
        <w:ind w:right="283" w:firstLine="0"/>
      </w:pPr>
      <w:r>
        <w:rPr/>
        <w:t>其应当承担相应赔偿责任。差错责任方应对更正的情况向有关当事人进行确认， 确保差错已得到更正。</w:t>
      </w:r>
    </w:p>
    <w:p>
      <w:pPr>
        <w:pStyle w:val="ListParagraph"/>
        <w:numPr>
          <w:ilvl w:val="0"/>
          <w:numId w:val="47"/>
        </w:numPr>
        <w:tabs>
          <w:tab w:pos="1142" w:val="left" w:leader="none"/>
        </w:tabs>
        <w:spacing w:line="364" w:lineRule="auto" w:before="1" w:after="0"/>
        <w:ind w:left="120" w:right="465" w:firstLine="419"/>
        <w:jc w:val="left"/>
        <w:rPr>
          <w:sz w:val="24"/>
        </w:rPr>
      </w:pPr>
      <w:r>
        <w:rPr>
          <w:spacing w:val="-1"/>
          <w:sz w:val="24"/>
        </w:rPr>
        <w:t>差错的责任方对可能导致有关当事人的直接损失负责，不对间接损失</w:t>
      </w:r>
      <w:r>
        <w:rPr>
          <w:sz w:val="24"/>
        </w:rPr>
        <w:t>负责，并且仅对差错的有关直接当事人负责，不对第三方负责。</w:t>
      </w:r>
    </w:p>
    <w:p>
      <w:pPr>
        <w:pStyle w:val="ListParagraph"/>
        <w:numPr>
          <w:ilvl w:val="0"/>
          <w:numId w:val="47"/>
        </w:numPr>
        <w:tabs>
          <w:tab w:pos="1142" w:val="left" w:leader="none"/>
        </w:tabs>
        <w:spacing w:line="364" w:lineRule="auto" w:before="1" w:after="0"/>
        <w:ind w:left="120" w:right="376" w:firstLine="419"/>
        <w:jc w:val="left"/>
        <w:rPr>
          <w:sz w:val="24"/>
        </w:rPr>
      </w:pPr>
      <w:r>
        <w:rPr>
          <w:sz w:val="24"/>
        </w:rPr>
        <w:t>因差错而获得不当得利的当事人负有及时返还不当得利的义务。但差</w:t>
      </w:r>
      <w:r>
        <w:rPr>
          <w:spacing w:val="-9"/>
          <w:sz w:val="24"/>
        </w:rPr>
        <w:t>错责任方仍应对差错负责，如果由于获得不当得利的当事人不返还或不全部返还</w:t>
      </w:r>
      <w:r>
        <w:rPr>
          <w:spacing w:val="-2"/>
          <w:sz w:val="24"/>
        </w:rPr>
        <w:t>不当得利造成其他当事人的利益损失</w:t>
      </w:r>
      <w:r>
        <w:rPr>
          <w:spacing w:val="-10"/>
          <w:sz w:val="24"/>
        </w:rPr>
        <w:t>（</w:t>
      </w:r>
      <w:r>
        <w:rPr>
          <w:spacing w:val="-7"/>
          <w:sz w:val="24"/>
        </w:rPr>
        <w:t>“受损方”</w:t>
      </w:r>
      <w:r>
        <w:rPr>
          <w:spacing w:val="-20"/>
          <w:sz w:val="24"/>
        </w:rPr>
        <w:t>）</w:t>
      </w:r>
      <w:r>
        <w:rPr>
          <w:spacing w:val="-6"/>
          <w:sz w:val="24"/>
        </w:rPr>
        <w:t>，则差错责任方应赔偿受损</w:t>
      </w:r>
      <w:r>
        <w:rPr>
          <w:spacing w:val="-11"/>
          <w:sz w:val="24"/>
        </w:rPr>
        <w:t>方的损失，并在其支付的赔偿金额的范围内对获得不当得利的当事人享有要求交付不当得利的权利；如果获得不当得利的当事人已经将此部分不当得利返还给受</w:t>
      </w:r>
      <w:r>
        <w:rPr>
          <w:spacing w:val="-12"/>
          <w:sz w:val="24"/>
        </w:rPr>
        <w:t>损方，则受损方应当将其已经获得的赔偿额加上已经获得的不当得利返还的总和</w:t>
      </w:r>
      <w:r>
        <w:rPr>
          <w:sz w:val="24"/>
        </w:rPr>
        <w:t>超过其实际损失的差额部分支付给差错责任方。</w:t>
      </w:r>
    </w:p>
    <w:p>
      <w:pPr>
        <w:pStyle w:val="ListParagraph"/>
        <w:numPr>
          <w:ilvl w:val="0"/>
          <w:numId w:val="47"/>
        </w:numPr>
        <w:tabs>
          <w:tab w:pos="1142" w:val="left" w:leader="none"/>
        </w:tabs>
        <w:spacing w:line="240" w:lineRule="auto" w:before="5" w:after="0"/>
        <w:ind w:left="1141" w:right="0" w:hanging="602"/>
        <w:jc w:val="left"/>
        <w:rPr>
          <w:sz w:val="24"/>
        </w:rPr>
      </w:pPr>
      <w:r>
        <w:rPr>
          <w:sz w:val="24"/>
        </w:rPr>
        <w:t>差错调整采用尽量恢复至假设未发生差错的正确情形的方式。</w:t>
      </w:r>
    </w:p>
    <w:p>
      <w:pPr>
        <w:pStyle w:val="ListParagraph"/>
        <w:numPr>
          <w:ilvl w:val="0"/>
          <w:numId w:val="47"/>
        </w:numPr>
        <w:tabs>
          <w:tab w:pos="1262" w:val="left" w:leader="none"/>
        </w:tabs>
        <w:spacing w:line="364" w:lineRule="auto" w:before="161" w:after="0"/>
        <w:ind w:left="120" w:right="377" w:firstLine="419"/>
        <w:jc w:val="both"/>
        <w:rPr>
          <w:sz w:val="24"/>
        </w:rPr>
      </w:pPr>
      <w:r>
        <w:rPr>
          <w:spacing w:val="-3"/>
          <w:sz w:val="24"/>
        </w:rPr>
        <w:t>差错责任方拒绝进行赔偿时，如果因基金管理人过错造成基金资产损</w:t>
      </w:r>
      <w:r>
        <w:rPr>
          <w:spacing w:val="-10"/>
          <w:sz w:val="24"/>
        </w:rPr>
        <w:t>失时，基金托管人应为基金的利益向基金管理人追偿，如果因基金托管人过错造</w:t>
      </w:r>
      <w:r>
        <w:rPr>
          <w:spacing w:val="-9"/>
          <w:sz w:val="24"/>
        </w:rPr>
        <w:t>成基金资产损失时，基金管理人应为基金的利益向基金托管人追偿。除基金管理</w:t>
      </w:r>
      <w:r>
        <w:rPr>
          <w:spacing w:val="-6"/>
          <w:sz w:val="24"/>
        </w:rPr>
        <w:t>人和基金托管人之外的第三方造成基金资产的损失，并拒绝进行赔偿时，由基金</w:t>
      </w:r>
      <w:r>
        <w:rPr>
          <w:spacing w:val="-7"/>
          <w:sz w:val="24"/>
        </w:rPr>
        <w:t>管理人负责向差错方追偿，但该第三方是由基金托管人委托的情况下，应由基金</w:t>
      </w:r>
      <w:r>
        <w:rPr>
          <w:sz w:val="24"/>
        </w:rPr>
        <w:t>托管人负责赔偿并向差错方追偿。</w:t>
      </w:r>
    </w:p>
    <w:p>
      <w:pPr>
        <w:pStyle w:val="ListParagraph"/>
        <w:numPr>
          <w:ilvl w:val="0"/>
          <w:numId w:val="47"/>
        </w:numPr>
        <w:tabs>
          <w:tab w:pos="1262" w:val="left" w:leader="none"/>
        </w:tabs>
        <w:spacing w:line="364" w:lineRule="auto" w:before="4" w:after="0"/>
        <w:ind w:left="120" w:right="283" w:firstLine="419"/>
        <w:jc w:val="both"/>
        <w:rPr>
          <w:sz w:val="24"/>
        </w:rPr>
      </w:pPr>
      <w:r>
        <w:rPr>
          <w:sz w:val="24"/>
        </w:rPr>
        <w:t>如果出现差错的当事人未按规定对受损方进行赔偿，并且依据法律、</w:t>
      </w:r>
      <w:r>
        <w:rPr>
          <w:spacing w:val="-10"/>
          <w:sz w:val="24"/>
        </w:rPr>
        <w:t>行政法规、《基金合同》或其他规定，基金管理人自行或依据法院判决、仲裁裁</w:t>
      </w:r>
      <w:r>
        <w:rPr>
          <w:spacing w:val="-11"/>
          <w:sz w:val="24"/>
        </w:rPr>
        <w:t>决对受损方承担了赔偿责任，则基金管理人有权向出现过错的当事人进行追索， </w:t>
      </w:r>
      <w:r>
        <w:rPr>
          <w:sz w:val="24"/>
        </w:rPr>
        <w:t>并有权要求其赔偿或补偿由此发生的费用和遭受的损失。</w:t>
      </w:r>
    </w:p>
    <w:p>
      <w:pPr>
        <w:pStyle w:val="ListParagraph"/>
        <w:numPr>
          <w:ilvl w:val="0"/>
          <w:numId w:val="47"/>
        </w:numPr>
        <w:tabs>
          <w:tab w:pos="1262" w:val="left" w:leader="none"/>
        </w:tabs>
        <w:spacing w:line="240" w:lineRule="auto" w:before="2" w:after="0"/>
        <w:ind w:left="1261" w:right="0" w:hanging="722"/>
        <w:jc w:val="left"/>
        <w:rPr>
          <w:sz w:val="24"/>
        </w:rPr>
      </w:pPr>
      <w:r>
        <w:rPr>
          <w:sz w:val="24"/>
        </w:rPr>
        <w:t>按法律法规规定的其他原则处理差错。</w:t>
      </w:r>
    </w:p>
    <w:p>
      <w:pPr>
        <w:pStyle w:val="BodyText"/>
        <w:spacing w:before="160"/>
        <w:ind w:left="540" w:firstLine="0"/>
      </w:pPr>
      <w:r>
        <w:rPr>
          <w:rFonts w:ascii="Times New Roman" w:eastAsia="Times New Roman"/>
        </w:rPr>
        <w:t>3</w:t>
      </w:r>
      <w:r>
        <w:rPr/>
        <w:t>、差错处理程序</w:t>
      </w:r>
    </w:p>
    <w:p>
      <w:pPr>
        <w:pStyle w:val="BodyText"/>
        <w:spacing w:before="162"/>
        <w:ind w:left="540" w:firstLine="0"/>
      </w:pPr>
      <w:r>
        <w:rPr/>
        <w:t>差错被发现后，有关的当事人应当及时进行处理，处理的程序如下：</w:t>
      </w:r>
    </w:p>
    <w:p>
      <w:pPr>
        <w:pStyle w:val="ListParagraph"/>
        <w:numPr>
          <w:ilvl w:val="0"/>
          <w:numId w:val="48"/>
        </w:numPr>
        <w:tabs>
          <w:tab w:pos="1142" w:val="left" w:leader="none"/>
        </w:tabs>
        <w:spacing w:line="364" w:lineRule="auto" w:before="160" w:after="0"/>
        <w:ind w:left="120" w:right="465" w:firstLine="419"/>
        <w:jc w:val="left"/>
        <w:rPr>
          <w:sz w:val="24"/>
        </w:rPr>
      </w:pPr>
      <w:r>
        <w:rPr>
          <w:spacing w:val="-1"/>
          <w:sz w:val="24"/>
        </w:rPr>
        <w:t>查明差错发生的原因，列明所有的当事人，并根据差错发生的原因确</w:t>
      </w:r>
      <w:r>
        <w:rPr>
          <w:sz w:val="24"/>
        </w:rPr>
        <w:t>定差错的责任方；</w:t>
      </w:r>
    </w:p>
    <w:p>
      <w:pPr>
        <w:pStyle w:val="ListParagraph"/>
        <w:numPr>
          <w:ilvl w:val="0"/>
          <w:numId w:val="48"/>
        </w:numPr>
        <w:tabs>
          <w:tab w:pos="1142" w:val="left" w:leader="none"/>
        </w:tabs>
        <w:spacing w:line="240" w:lineRule="auto" w:before="1" w:after="0"/>
        <w:ind w:left="1141" w:right="0" w:hanging="602"/>
        <w:jc w:val="left"/>
        <w:rPr>
          <w:sz w:val="24"/>
        </w:rPr>
      </w:pPr>
      <w:r>
        <w:rPr>
          <w:sz w:val="24"/>
        </w:rPr>
        <w:t>根据差错处理原则或当事人协商的方法对因差错造成的损失进行评估；</w:t>
      </w:r>
    </w:p>
    <w:p>
      <w:pPr>
        <w:pStyle w:val="ListParagraph"/>
        <w:numPr>
          <w:ilvl w:val="0"/>
          <w:numId w:val="48"/>
        </w:numPr>
        <w:tabs>
          <w:tab w:pos="1142" w:val="left" w:leader="none"/>
        </w:tabs>
        <w:spacing w:line="240" w:lineRule="auto" w:before="161" w:after="0"/>
        <w:ind w:left="1141" w:right="0" w:hanging="602"/>
        <w:jc w:val="left"/>
        <w:rPr>
          <w:sz w:val="24"/>
        </w:rPr>
      </w:pPr>
      <w:r>
        <w:rPr>
          <w:sz w:val="24"/>
        </w:rPr>
        <w:t>根据差错处理原则或当事人协商的方法由差错的责任方进行更正和赔</w:t>
      </w:r>
    </w:p>
    <w:p>
      <w:pPr>
        <w:spacing w:after="0" w:line="240" w:lineRule="auto"/>
        <w:jc w:val="left"/>
        <w:rPr>
          <w:sz w:val="24"/>
        </w:rPr>
        <w:sectPr>
          <w:pgSz w:w="11910" w:h="16840"/>
          <w:pgMar w:header="0" w:footer="914" w:top="1460" w:bottom="1180" w:left="1680" w:right="1420"/>
        </w:sectPr>
      </w:pPr>
    </w:p>
    <w:p>
      <w:pPr>
        <w:pStyle w:val="BodyText"/>
        <w:spacing w:before="41"/>
        <w:ind w:firstLine="0"/>
      </w:pPr>
      <w:r>
        <w:rPr/>
        <w:t>偿损失；</w:t>
      </w:r>
    </w:p>
    <w:p>
      <w:pPr>
        <w:pStyle w:val="ListParagraph"/>
        <w:numPr>
          <w:ilvl w:val="0"/>
          <w:numId w:val="48"/>
        </w:numPr>
        <w:tabs>
          <w:tab w:pos="1142" w:val="left" w:leader="none"/>
        </w:tabs>
        <w:spacing w:line="364" w:lineRule="auto" w:before="160" w:after="0"/>
        <w:ind w:left="120" w:right="465" w:firstLine="419"/>
        <w:jc w:val="left"/>
        <w:rPr>
          <w:sz w:val="24"/>
        </w:rPr>
      </w:pPr>
      <w:r>
        <w:rPr>
          <w:spacing w:val="-1"/>
          <w:sz w:val="24"/>
        </w:rPr>
        <w:t>根据差错处理的方法，需要修改基金登记结算机构的交易数据的，由</w:t>
      </w:r>
      <w:r>
        <w:rPr>
          <w:sz w:val="24"/>
        </w:rPr>
        <w:t>基金登记结算机构进行更正，并就差错的更正向有关当事人进行确认；</w:t>
      </w:r>
    </w:p>
    <w:p>
      <w:pPr>
        <w:pStyle w:val="ListParagraph"/>
        <w:numPr>
          <w:ilvl w:val="0"/>
          <w:numId w:val="48"/>
        </w:numPr>
        <w:tabs>
          <w:tab w:pos="1142" w:val="left" w:leader="none"/>
        </w:tabs>
        <w:spacing w:line="364" w:lineRule="auto" w:before="2" w:after="0"/>
        <w:ind w:left="120" w:right="465" w:firstLine="419"/>
        <w:jc w:val="left"/>
        <w:rPr>
          <w:sz w:val="24"/>
        </w:rPr>
      </w:pPr>
      <w:r>
        <w:rPr>
          <w:spacing w:val="-1"/>
          <w:sz w:val="24"/>
        </w:rPr>
        <w:t>基金管理人及基金托管人基金份额净值计算错误偏差达到基金份额净</w:t>
      </w:r>
      <w:r>
        <w:rPr>
          <w:sz w:val="24"/>
        </w:rPr>
        <w:t>值的</w:t>
      </w:r>
      <w:r>
        <w:rPr>
          <w:rFonts w:ascii="Times New Roman" w:eastAsia="Times New Roman"/>
          <w:sz w:val="24"/>
        </w:rPr>
        <w:t>0.5%</w:t>
      </w:r>
      <w:r>
        <w:rPr>
          <w:sz w:val="24"/>
        </w:rPr>
        <w:t>时，基金管理人应当公告并报中国证监会备案。</w:t>
      </w:r>
    </w:p>
    <w:p>
      <w:pPr>
        <w:spacing w:before="1"/>
        <w:ind w:left="540" w:right="0" w:firstLine="0"/>
        <w:jc w:val="left"/>
        <w:rPr>
          <w:b/>
          <w:sz w:val="24"/>
        </w:rPr>
      </w:pPr>
      <w:r>
        <w:rPr>
          <w:b/>
          <w:sz w:val="24"/>
        </w:rPr>
        <w:t>（七）暂停估值的情形</w:t>
      </w:r>
    </w:p>
    <w:p>
      <w:pPr>
        <w:pStyle w:val="BodyText"/>
        <w:spacing w:line="364" w:lineRule="auto" w:before="160"/>
        <w:ind w:right="382"/>
      </w:pPr>
      <w:r>
        <w:rPr>
          <w:rFonts w:ascii="Times New Roman" w:eastAsia="Times New Roman"/>
        </w:rPr>
        <w:t>1</w:t>
      </w:r>
      <w:r>
        <w:rPr/>
        <w:t>、基金投资所涉及的境外投资主要市场或外汇市场遇法定节假日或因其他原因停市或休市时；</w:t>
      </w:r>
    </w:p>
    <w:p>
      <w:pPr>
        <w:pStyle w:val="BodyText"/>
        <w:spacing w:before="2"/>
        <w:ind w:left="600" w:firstLine="0"/>
      </w:pPr>
      <w:r>
        <w:rPr>
          <w:rFonts w:ascii="Times New Roman" w:eastAsia="Times New Roman"/>
        </w:rPr>
        <w:t>2</w:t>
      </w:r>
      <w:r>
        <w:rPr/>
        <w:t>、因不可抗力或其他情形致使基金管理人无法准确评估基金资产价值时；</w:t>
      </w:r>
    </w:p>
    <w:p>
      <w:pPr>
        <w:pStyle w:val="BodyText"/>
        <w:spacing w:line="364" w:lineRule="auto"/>
        <w:ind w:right="384"/>
      </w:pPr>
      <w:r>
        <w:rPr>
          <w:rFonts w:ascii="Times New Roman" w:eastAsia="Times New Roman"/>
        </w:rPr>
        <w:t>3</w:t>
      </w:r>
      <w:r>
        <w:rPr/>
        <w:t>、占基金相当比例的投资品种的估值出现重大转变，而基金管理人为保障基金份额持有人的利益，已决定延迟估值；</w:t>
      </w:r>
    </w:p>
    <w:p>
      <w:pPr>
        <w:pStyle w:val="BodyText"/>
        <w:spacing w:line="364" w:lineRule="auto" w:before="1"/>
        <w:ind w:right="384"/>
      </w:pPr>
      <w:r>
        <w:rPr>
          <w:rFonts w:ascii="Times New Roman" w:eastAsia="Times New Roman"/>
        </w:rPr>
        <w:t>4</w:t>
      </w:r>
      <w:r>
        <w:rPr/>
        <w:t>、出现基金管理人认为属于紧急事故的任何情况，导致基金管理人不能出售或评估基金资产时；</w:t>
      </w:r>
    </w:p>
    <w:p>
      <w:pPr>
        <w:pStyle w:val="BodyText"/>
        <w:spacing w:line="364" w:lineRule="auto" w:before="1"/>
        <w:ind w:right="376"/>
        <w:jc w:val="both"/>
      </w:pPr>
      <w:r>
        <w:rPr>
          <w:rFonts w:ascii="Times New Roman" w:eastAsia="Times New Roman"/>
        </w:rPr>
        <w:t>5</w:t>
      </w:r>
      <w:r>
        <w:rPr>
          <w:spacing w:val="-8"/>
        </w:rPr>
        <w:t>、前一估值日基金资产净值 </w:t>
      </w:r>
      <w:r>
        <w:rPr>
          <w:rFonts w:ascii="Times New Roman" w:eastAsia="Times New Roman"/>
        </w:rPr>
        <w:t>50%</w:t>
      </w:r>
      <w:r>
        <w:rPr>
          <w:spacing w:val="-1"/>
        </w:rPr>
        <w:t>以上的资产出现无可参考的活跃市场价格</w:t>
      </w:r>
      <w:r>
        <w:rPr>
          <w:spacing w:val="-5"/>
        </w:rPr>
        <w:t>且采用估值技术仍导致公允价值存在重大不确定性时，经与基金托管人协商一致</w:t>
      </w:r>
      <w:r>
        <w:rPr/>
        <w:t>的；</w:t>
      </w:r>
    </w:p>
    <w:p>
      <w:pPr>
        <w:pStyle w:val="BodyText"/>
        <w:spacing w:before="2"/>
        <w:ind w:left="600" w:firstLine="0"/>
      </w:pPr>
      <w:r>
        <w:rPr>
          <w:rFonts w:ascii="Times New Roman" w:eastAsia="Times New Roman"/>
        </w:rPr>
        <w:t>6</w:t>
      </w:r>
      <w:r>
        <w:rPr/>
        <w:t>、中国证监会认定的其他情形。</w:t>
      </w:r>
    </w:p>
    <w:p>
      <w:pPr>
        <w:spacing w:before="161"/>
        <w:ind w:left="540" w:right="0" w:firstLine="0"/>
        <w:jc w:val="left"/>
        <w:rPr>
          <w:b/>
          <w:sz w:val="24"/>
        </w:rPr>
      </w:pPr>
      <w:r>
        <w:rPr>
          <w:b/>
          <w:sz w:val="24"/>
        </w:rPr>
        <w:t>（八）特殊情形的处理</w:t>
      </w:r>
    </w:p>
    <w:p>
      <w:pPr>
        <w:pStyle w:val="BodyText"/>
        <w:spacing w:line="364" w:lineRule="auto" w:before="160"/>
        <w:ind w:right="378"/>
      </w:pPr>
      <w:r>
        <w:rPr>
          <w:rFonts w:ascii="Times New Roman" w:eastAsia="Times New Roman"/>
        </w:rPr>
        <w:t>1</w:t>
      </w:r>
      <w:r>
        <w:rPr>
          <w:spacing w:val="-7"/>
        </w:rPr>
        <w:t>、基金管理人按估值方法的第</w:t>
      </w:r>
      <w:r>
        <w:rPr>
          <w:rFonts w:ascii="Times New Roman" w:eastAsia="Times New Roman"/>
        </w:rPr>
        <w:t>9</w:t>
      </w:r>
      <w:r>
        <w:rPr>
          <w:spacing w:val="-8"/>
        </w:rPr>
        <w:t>项进行估值时，所造成的误差不作为基金资</w:t>
      </w:r>
      <w:r>
        <w:rPr/>
        <w:t>产估值错误处理；</w:t>
      </w:r>
    </w:p>
    <w:p>
      <w:pPr>
        <w:pStyle w:val="BodyText"/>
        <w:spacing w:line="364" w:lineRule="auto" w:before="1"/>
        <w:ind w:right="377"/>
        <w:jc w:val="both"/>
      </w:pPr>
      <w:r>
        <w:rPr>
          <w:rFonts w:ascii="Times New Roman" w:eastAsia="Times New Roman"/>
        </w:rPr>
        <w:t>2</w:t>
      </w:r>
      <w:r>
        <w:rPr/>
        <w:t>、对于因税收规定调整或其他原因导致基金实际交纳税金与基金按照权责</w:t>
      </w:r>
      <w:r>
        <w:rPr>
          <w:spacing w:val="-7"/>
        </w:rPr>
        <w:t>发生制进行估值的应交税金有差异的，相关估值调整不作为基金资产估值错误处</w:t>
      </w:r>
      <w:r>
        <w:rPr/>
        <w:t>理。</w:t>
      </w:r>
    </w:p>
    <w:p>
      <w:pPr>
        <w:pStyle w:val="BodyText"/>
        <w:spacing w:line="364" w:lineRule="auto" w:before="2"/>
        <w:ind w:right="377"/>
        <w:jc w:val="both"/>
      </w:pPr>
      <w:r>
        <w:rPr>
          <w:rFonts w:ascii="Times New Roman" w:eastAsia="Times New Roman"/>
        </w:rPr>
        <w:t>3</w:t>
      </w:r>
      <w:r>
        <w:rPr/>
        <w:t>、由于不可抗力原因，或由于各家数据服务机构发送的数据错误，本基金</w:t>
      </w:r>
      <w:r>
        <w:rPr>
          <w:spacing w:val="-6"/>
        </w:rPr>
        <w:t>管理人和本基金托管人虽然已经采取必要、适当、合理的措施进行检查，但未能</w:t>
      </w:r>
      <w:r>
        <w:rPr>
          <w:spacing w:val="-11"/>
        </w:rPr>
        <w:t>发现错误的，由此造成的基金资产估值错误，本基金管理人和本基金托管人可以</w:t>
      </w:r>
      <w:r>
        <w:rPr/>
        <w:t>免除赔偿责任。但基金托管人应当积极采取必要的措施消除由此造成的影响。</w:t>
      </w:r>
    </w:p>
    <w:p>
      <w:pPr>
        <w:spacing w:after="0" w:line="364" w:lineRule="auto"/>
        <w:jc w:val="both"/>
        <w:sectPr>
          <w:pgSz w:w="11910" w:h="16840"/>
          <w:pgMar w:header="0" w:footer="914" w:top="1460" w:bottom="1180" w:left="1680" w:right="1420"/>
        </w:sectPr>
      </w:pPr>
    </w:p>
    <w:p>
      <w:pPr>
        <w:pStyle w:val="BodyText"/>
        <w:spacing w:before="11"/>
        <w:ind w:left="0" w:firstLine="0"/>
        <w:rPr>
          <w:sz w:val="11"/>
        </w:rPr>
      </w:pPr>
    </w:p>
    <w:p>
      <w:pPr>
        <w:pStyle w:val="Heading1"/>
        <w:spacing w:before="67"/>
        <w:ind w:left="3" w:right="262"/>
        <w:jc w:val="center"/>
      </w:pPr>
      <w:bookmarkStart w:name="_bookmark14" w:id="15"/>
      <w:bookmarkEnd w:id="15"/>
      <w:r>
        <w:rPr>
          <w:b w:val="0"/>
        </w:rPr>
      </w:r>
      <w:r>
        <w:rPr/>
        <w:t>十五、基金的费用与税收</w:t>
      </w:r>
    </w:p>
    <w:p>
      <w:pPr>
        <w:pStyle w:val="BodyText"/>
        <w:spacing w:before="4"/>
        <w:ind w:left="0" w:firstLine="0"/>
        <w:rPr>
          <w:b/>
          <w:sz w:val="35"/>
        </w:rPr>
      </w:pPr>
    </w:p>
    <w:p>
      <w:pPr>
        <w:spacing w:before="0"/>
        <w:ind w:left="602" w:right="0" w:firstLine="0"/>
        <w:jc w:val="left"/>
        <w:rPr>
          <w:b/>
          <w:sz w:val="24"/>
        </w:rPr>
      </w:pPr>
      <w:r>
        <w:rPr>
          <w:b/>
          <w:sz w:val="24"/>
        </w:rPr>
        <w:t>（一）基金费用的种类</w:t>
      </w:r>
    </w:p>
    <w:p>
      <w:pPr>
        <w:pStyle w:val="BodyText"/>
        <w:ind w:left="600" w:firstLine="0"/>
      </w:pPr>
      <w:r>
        <w:rPr>
          <w:rFonts w:ascii="Times New Roman" w:eastAsia="Times New Roman"/>
        </w:rPr>
        <w:t>1</w:t>
      </w:r>
      <w:r>
        <w:rPr/>
        <w:t>、基金的管理费；</w:t>
      </w:r>
    </w:p>
    <w:p>
      <w:pPr>
        <w:pStyle w:val="BodyText"/>
        <w:spacing w:before="160"/>
        <w:ind w:left="600" w:firstLine="0"/>
      </w:pPr>
      <w:r>
        <w:rPr>
          <w:rFonts w:ascii="Times New Roman" w:eastAsia="Times New Roman"/>
        </w:rPr>
        <w:t>2</w:t>
      </w:r>
      <w:r>
        <w:rPr/>
        <w:t>、基金的托管费；</w:t>
      </w:r>
    </w:p>
    <w:p>
      <w:pPr>
        <w:pStyle w:val="BodyText"/>
        <w:ind w:left="600" w:firstLine="0"/>
      </w:pPr>
      <w:r>
        <w:rPr>
          <w:rFonts w:ascii="Times New Roman" w:eastAsia="Times New Roman"/>
        </w:rPr>
        <w:t>3</w:t>
      </w:r>
      <w:r>
        <w:rPr/>
        <w:t>、销售服务费；</w:t>
      </w:r>
    </w:p>
    <w:p>
      <w:pPr>
        <w:pStyle w:val="BodyText"/>
        <w:spacing w:before="160"/>
        <w:ind w:left="600" w:firstLine="0"/>
      </w:pPr>
      <w:r>
        <w:rPr>
          <w:rFonts w:ascii="Times New Roman" w:eastAsia="Times New Roman"/>
        </w:rPr>
        <w:t>4</w:t>
      </w:r>
      <w:r>
        <w:rPr/>
        <w:t>、《基金合同》生效以后与基金相关的信息披露费用；</w:t>
      </w:r>
    </w:p>
    <w:p>
      <w:pPr>
        <w:pStyle w:val="BodyText"/>
        <w:ind w:left="600" w:firstLine="0"/>
      </w:pPr>
      <w:r>
        <w:rPr>
          <w:rFonts w:ascii="Times New Roman" w:eastAsia="Times New Roman"/>
        </w:rPr>
        <w:t>5</w:t>
      </w:r>
      <w:r>
        <w:rPr/>
        <w:t>、《基金合同》生效以后与基金相关的会计师费、律师费等；</w:t>
      </w:r>
    </w:p>
    <w:p>
      <w:pPr>
        <w:pStyle w:val="BodyText"/>
        <w:spacing w:line="364" w:lineRule="auto"/>
        <w:ind w:right="261"/>
      </w:pPr>
      <w:r>
        <w:rPr>
          <w:rFonts w:ascii="Times New Roman" w:eastAsia="Times New Roman"/>
        </w:rPr>
        <w:t>6</w:t>
      </w:r>
      <w:r>
        <w:rPr>
          <w:spacing w:val="-10"/>
        </w:rPr>
        <w:t>、基金依照有关法律法规应当缴纳或预提的任何税收、征费及相关的利息、</w:t>
      </w:r>
      <w:r>
        <w:rPr/>
        <w:t>费用和罚金，以及直接为处理基金税务事项产生的税务代理费；</w:t>
      </w:r>
    </w:p>
    <w:p>
      <w:pPr>
        <w:pStyle w:val="BodyText"/>
        <w:spacing w:before="1"/>
        <w:ind w:left="600" w:firstLine="0"/>
      </w:pPr>
      <w:r>
        <w:rPr>
          <w:rFonts w:ascii="Times New Roman" w:eastAsia="Times New Roman"/>
        </w:rPr>
        <w:t>7</w:t>
      </w:r>
      <w:r>
        <w:rPr/>
        <w:t>、基金份额持有人大会费用；</w:t>
      </w:r>
    </w:p>
    <w:p>
      <w:pPr>
        <w:pStyle w:val="BodyText"/>
        <w:spacing w:line="364" w:lineRule="auto"/>
        <w:ind w:right="380"/>
      </w:pPr>
      <w:r>
        <w:rPr>
          <w:rFonts w:ascii="Times New Roman" w:eastAsia="Times New Roman"/>
        </w:rPr>
        <w:t>8</w:t>
      </w:r>
      <w:r>
        <w:rPr/>
        <w:t>、基金的证券交易或结算所产生的费用，以及在境外市场的开户、交易、结算、登记等各项费用；</w:t>
      </w:r>
    </w:p>
    <w:p>
      <w:pPr>
        <w:pStyle w:val="BodyText"/>
        <w:spacing w:before="1"/>
        <w:ind w:left="600" w:firstLine="0"/>
      </w:pPr>
      <w:r>
        <w:rPr>
          <w:rFonts w:ascii="Times New Roman" w:eastAsia="Times New Roman"/>
        </w:rPr>
        <w:t>9</w:t>
      </w:r>
      <w:r>
        <w:rPr/>
        <w:t>、基金的银行汇划费用；</w:t>
      </w:r>
    </w:p>
    <w:p>
      <w:pPr>
        <w:pStyle w:val="BodyText"/>
        <w:spacing w:line="364" w:lineRule="auto" w:before="160"/>
        <w:ind w:right="376"/>
      </w:pPr>
      <w:r>
        <w:rPr>
          <w:rFonts w:ascii="Times New Roman" w:eastAsia="Times New Roman"/>
        </w:rPr>
        <w:t>10</w:t>
      </w:r>
      <w:r>
        <w:rPr>
          <w:spacing w:val="-11"/>
        </w:rPr>
        <w:t>、为了基金利益，除去基金管理人与基金托管人因自身原因而导致的、与</w:t>
      </w:r>
      <w:r>
        <w:rPr/>
        <w:t>基金有关的诉讼、追索费用；</w:t>
      </w:r>
    </w:p>
    <w:p>
      <w:pPr>
        <w:pStyle w:val="BodyText"/>
        <w:spacing w:before="2"/>
        <w:ind w:left="600" w:firstLine="0"/>
      </w:pPr>
      <w:r>
        <w:rPr>
          <w:rFonts w:ascii="Times New Roman" w:eastAsia="Times New Roman"/>
        </w:rPr>
        <w:t>11</w:t>
      </w:r>
      <w:r>
        <w:rPr/>
        <w:t>、外汇兑换交易的相关费用；</w:t>
      </w:r>
    </w:p>
    <w:p>
      <w:pPr>
        <w:pStyle w:val="BodyText"/>
        <w:ind w:left="600" w:firstLine="0"/>
      </w:pPr>
      <w:r>
        <w:rPr>
          <w:rFonts w:ascii="Times New Roman" w:eastAsia="Times New Roman"/>
        </w:rPr>
        <w:t>12</w:t>
      </w:r>
      <w:r>
        <w:rPr/>
        <w:t>、基金上市费及年费；</w:t>
      </w:r>
    </w:p>
    <w:p>
      <w:pPr>
        <w:pStyle w:val="BodyText"/>
        <w:spacing w:line="364" w:lineRule="auto" w:before="160"/>
        <w:ind w:right="378"/>
      </w:pPr>
      <w:r>
        <w:rPr>
          <w:rFonts w:ascii="Times New Roman" w:eastAsia="Times New Roman"/>
        </w:rPr>
        <w:t>13</w:t>
      </w:r>
      <w:r>
        <w:rPr>
          <w:spacing w:val="-12"/>
        </w:rPr>
        <w:t>、按照国家有关规定、基金合同约定或行业惯例可以在基金财产中列支的</w:t>
      </w:r>
      <w:r>
        <w:rPr/>
        <w:t>其他费用。</w:t>
      </w:r>
    </w:p>
    <w:p>
      <w:pPr>
        <w:pStyle w:val="BodyText"/>
        <w:spacing w:before="1"/>
        <w:ind w:left="600" w:firstLine="0"/>
      </w:pPr>
      <w:r>
        <w:rPr/>
        <w:t>本基金终止清算时所发生费用，按实际支出额从基金财产总值中扣除。</w:t>
      </w:r>
    </w:p>
    <w:p>
      <w:pPr>
        <w:pStyle w:val="BodyText"/>
        <w:spacing w:before="0"/>
        <w:ind w:left="0" w:firstLine="0"/>
      </w:pPr>
    </w:p>
    <w:p>
      <w:pPr>
        <w:pStyle w:val="BodyText"/>
        <w:spacing w:before="1"/>
        <w:ind w:left="0" w:firstLine="0"/>
        <w:rPr>
          <w:sz w:val="25"/>
        </w:rPr>
      </w:pPr>
    </w:p>
    <w:p>
      <w:pPr>
        <w:spacing w:before="0"/>
        <w:ind w:left="602" w:right="0" w:firstLine="0"/>
        <w:jc w:val="left"/>
        <w:rPr>
          <w:b/>
          <w:sz w:val="24"/>
        </w:rPr>
      </w:pPr>
      <w:r>
        <w:rPr>
          <w:b/>
          <w:sz w:val="24"/>
        </w:rPr>
        <w:t>（二）基金费用计提方法、计提标准和支付方式</w:t>
      </w:r>
    </w:p>
    <w:p>
      <w:pPr>
        <w:pStyle w:val="BodyText"/>
        <w:spacing w:before="160"/>
        <w:ind w:left="540" w:firstLine="0"/>
      </w:pPr>
      <w:r>
        <w:rPr>
          <w:rFonts w:ascii="Times New Roman" w:eastAsia="Times New Roman"/>
        </w:rPr>
        <w:t>1</w:t>
      </w:r>
      <w:r>
        <w:rPr/>
        <w:t>、基金的管理费</w:t>
      </w:r>
    </w:p>
    <w:p>
      <w:pPr>
        <w:pStyle w:val="BodyText"/>
        <w:spacing w:line="364" w:lineRule="auto" w:before="162"/>
        <w:ind w:right="376"/>
      </w:pPr>
      <w:r>
        <w:rPr>
          <w:spacing w:val="-5"/>
        </w:rPr>
        <w:t>本基金的管理费</w:t>
      </w:r>
      <w:r>
        <w:rPr/>
        <w:t>（</w:t>
      </w:r>
      <w:r>
        <w:rPr>
          <w:spacing w:val="-3"/>
        </w:rPr>
        <w:t>如基金管理人委托投资顾问，包括投资顾问费</w:t>
      </w:r>
      <w:r>
        <w:rPr>
          <w:spacing w:val="-32"/>
        </w:rPr>
        <w:t>）</w:t>
      </w:r>
      <w:r>
        <w:rPr>
          <w:spacing w:val="-4"/>
        </w:rPr>
        <w:t>按前一日</w:t>
      </w:r>
      <w:r>
        <w:rPr>
          <w:spacing w:val="-8"/>
        </w:rPr>
        <w:t>基金资产净值的 </w:t>
      </w:r>
      <w:r>
        <w:rPr>
          <w:rFonts w:ascii="Times New Roman" w:eastAsia="Times New Roman"/>
        </w:rPr>
        <w:t>1.2%</w:t>
      </w:r>
      <w:r>
        <w:rPr/>
        <w:t>年费率计提。计算方法如下：</w:t>
      </w:r>
    </w:p>
    <w:p>
      <w:pPr>
        <w:pStyle w:val="BodyText"/>
        <w:spacing w:before="1"/>
        <w:ind w:left="600" w:firstLine="0"/>
      </w:pPr>
      <w:r>
        <w:rPr>
          <w:rFonts w:ascii="Times New Roman" w:hAnsi="Times New Roman" w:eastAsia="Times New Roman"/>
        </w:rPr>
        <w:t>H</w:t>
      </w:r>
      <w:r>
        <w:rPr/>
        <w:t>＝</w:t>
      </w:r>
      <w:r>
        <w:rPr>
          <w:rFonts w:ascii="Times New Roman" w:hAnsi="Times New Roman" w:eastAsia="Times New Roman"/>
        </w:rPr>
        <w:t>E×1. 2%÷</w:t>
      </w:r>
      <w:r>
        <w:rPr/>
        <w:t>当年天数</w:t>
      </w:r>
    </w:p>
    <w:p>
      <w:pPr>
        <w:pStyle w:val="BodyText"/>
        <w:spacing w:before="160"/>
        <w:ind w:left="600" w:firstLine="0"/>
      </w:pPr>
      <w:r>
        <w:rPr>
          <w:rFonts w:ascii="Times New Roman" w:eastAsia="Times New Roman"/>
        </w:rPr>
        <w:t>H </w:t>
      </w:r>
      <w:r>
        <w:rPr/>
        <w:t>为每日应计提的基金的管理费</w:t>
      </w:r>
    </w:p>
    <w:p>
      <w:pPr>
        <w:pStyle w:val="BodyText"/>
        <w:ind w:left="600" w:firstLine="0"/>
      </w:pPr>
      <w:r>
        <w:rPr>
          <w:rFonts w:ascii="Times New Roman" w:eastAsia="Times New Roman"/>
        </w:rPr>
        <w:t>E </w:t>
      </w:r>
      <w:r>
        <w:rPr/>
        <w:t>为前一日的基金资产净值</w:t>
      </w:r>
    </w:p>
    <w:p>
      <w:pPr>
        <w:spacing w:after="0"/>
        <w:sectPr>
          <w:pgSz w:w="11910" w:h="16840"/>
          <w:pgMar w:header="0" w:footer="914" w:top="1580" w:bottom="1180" w:left="1680" w:right="1420"/>
        </w:sectPr>
      </w:pPr>
    </w:p>
    <w:p>
      <w:pPr>
        <w:pStyle w:val="BodyText"/>
        <w:spacing w:line="364" w:lineRule="auto" w:before="41"/>
        <w:ind w:right="376"/>
        <w:jc w:val="both"/>
      </w:pPr>
      <w:r>
        <w:rPr>
          <w:spacing w:val="-8"/>
        </w:rPr>
        <w:t>基金的管理费每日计算，逐日累计至每月月末，按月支付。经基金管理人和</w:t>
      </w:r>
      <w:r>
        <w:rPr>
          <w:spacing w:val="-12"/>
        </w:rPr>
        <w:t>基金托管人核对一致后，基金托管人于次月前 </w:t>
      </w:r>
      <w:r>
        <w:rPr>
          <w:rFonts w:ascii="Times New Roman" w:eastAsia="Times New Roman"/>
        </w:rPr>
        <w:t>3 </w:t>
      </w:r>
      <w:r>
        <w:rPr>
          <w:spacing w:val="-2"/>
        </w:rPr>
        <w:t>个工作日内从基金财产中一次性</w:t>
      </w:r>
      <w:r>
        <w:rPr/>
        <w:t>支付给基金管理人。</w:t>
      </w:r>
    </w:p>
    <w:p>
      <w:pPr>
        <w:pStyle w:val="BodyText"/>
        <w:spacing w:before="2"/>
        <w:ind w:left="600" w:firstLine="0"/>
      </w:pPr>
      <w:r>
        <w:rPr>
          <w:rFonts w:ascii="Times New Roman" w:eastAsia="Times New Roman"/>
        </w:rPr>
        <w:t>2</w:t>
      </w:r>
      <w:r>
        <w:rPr/>
        <w:t>、基金的托管费</w:t>
      </w:r>
    </w:p>
    <w:p>
      <w:pPr>
        <w:pStyle w:val="BodyText"/>
        <w:spacing w:line="364" w:lineRule="auto" w:before="160"/>
        <w:ind w:right="376"/>
      </w:pPr>
      <w:r>
        <w:rPr>
          <w:spacing w:val="-5"/>
        </w:rPr>
        <w:t>本基金的托管费</w:t>
      </w:r>
      <w:r>
        <w:rPr/>
        <w:t>（</w:t>
      </w:r>
      <w:r>
        <w:rPr>
          <w:spacing w:val="-3"/>
        </w:rPr>
        <w:t>如基金托管人委托境外托管人，包括境外托管费</w:t>
      </w:r>
      <w:r>
        <w:rPr>
          <w:spacing w:val="-32"/>
        </w:rPr>
        <w:t>）</w:t>
      </w:r>
      <w:r>
        <w:rPr>
          <w:spacing w:val="-5"/>
        </w:rPr>
        <w:t>按前一</w:t>
      </w:r>
      <w:r>
        <w:rPr>
          <w:spacing w:val="-7"/>
        </w:rPr>
        <w:t>日基金资产净值的 </w:t>
      </w:r>
      <w:r>
        <w:rPr>
          <w:rFonts w:ascii="Times New Roman" w:eastAsia="Times New Roman"/>
        </w:rPr>
        <w:t>0.2%</w:t>
      </w:r>
      <w:r>
        <w:rPr/>
        <w:t>的年费率计提。托管费的计算方法如下：</w:t>
      </w:r>
    </w:p>
    <w:p>
      <w:pPr>
        <w:pStyle w:val="BodyText"/>
        <w:spacing w:before="1"/>
        <w:ind w:left="600" w:firstLine="0"/>
      </w:pPr>
      <w:r>
        <w:rPr>
          <w:rFonts w:ascii="Times New Roman" w:hAnsi="Times New Roman" w:eastAsia="Times New Roman"/>
        </w:rPr>
        <w:t>H</w:t>
      </w:r>
      <w:r>
        <w:rPr/>
        <w:t>＝</w:t>
      </w:r>
      <w:r>
        <w:rPr>
          <w:rFonts w:ascii="Times New Roman" w:hAnsi="Times New Roman" w:eastAsia="Times New Roman"/>
        </w:rPr>
        <w:t>E×0. 2%÷</w:t>
      </w:r>
      <w:r>
        <w:rPr/>
        <w:t>当年天数</w:t>
      </w:r>
    </w:p>
    <w:p>
      <w:pPr>
        <w:pStyle w:val="BodyText"/>
        <w:ind w:left="600" w:firstLine="0"/>
      </w:pPr>
      <w:r>
        <w:rPr>
          <w:rFonts w:ascii="Times New Roman" w:eastAsia="Times New Roman"/>
        </w:rPr>
        <w:t>H </w:t>
      </w:r>
      <w:r>
        <w:rPr/>
        <w:t>为每日应计提的基金托管费</w:t>
      </w:r>
    </w:p>
    <w:p>
      <w:pPr>
        <w:pStyle w:val="BodyText"/>
        <w:ind w:left="600" w:firstLine="0"/>
        <w:jc w:val="both"/>
      </w:pPr>
      <w:r>
        <w:rPr>
          <w:rFonts w:ascii="Times New Roman" w:eastAsia="Times New Roman"/>
        </w:rPr>
        <w:t>E </w:t>
      </w:r>
      <w:r>
        <w:rPr/>
        <w:t>为前一日的基金资产净值</w:t>
      </w:r>
    </w:p>
    <w:p>
      <w:pPr>
        <w:pStyle w:val="BodyText"/>
        <w:spacing w:line="364" w:lineRule="auto"/>
        <w:ind w:right="376"/>
        <w:jc w:val="both"/>
      </w:pPr>
      <w:r>
        <w:rPr>
          <w:spacing w:val="-9"/>
        </w:rPr>
        <w:t>基金托管费每日计提，逐日累计至每月月末，按月支付。经基金管理人和基</w:t>
      </w:r>
      <w:r>
        <w:rPr>
          <w:spacing w:val="-13"/>
        </w:rPr>
        <w:t>金托管人核对一致后，基金托管人于次月前 </w:t>
      </w:r>
      <w:r>
        <w:rPr>
          <w:rFonts w:ascii="Times New Roman" w:eastAsia="Times New Roman"/>
        </w:rPr>
        <w:t>3 </w:t>
      </w:r>
      <w:r>
        <w:rPr>
          <w:spacing w:val="-2"/>
        </w:rPr>
        <w:t>个工作日内从基金财产中一次性支</w:t>
      </w:r>
      <w:r>
        <w:rPr/>
        <w:t>付托管费给基金托管人。</w:t>
      </w:r>
    </w:p>
    <w:p>
      <w:pPr>
        <w:pStyle w:val="BodyText"/>
        <w:spacing w:before="1"/>
        <w:ind w:left="600" w:firstLine="0"/>
      </w:pPr>
      <w:r>
        <w:rPr>
          <w:rFonts w:ascii="Times New Roman" w:eastAsia="Times New Roman"/>
        </w:rPr>
        <w:t>3</w:t>
      </w:r>
      <w:r>
        <w:rPr/>
        <w:t>、销售服务费</w:t>
      </w:r>
    </w:p>
    <w:p>
      <w:pPr>
        <w:pStyle w:val="BodyText"/>
        <w:spacing w:line="364" w:lineRule="auto"/>
        <w:ind w:right="376"/>
        <w:jc w:val="both"/>
      </w:pPr>
      <w:r>
        <w:rPr>
          <w:spacing w:val="-7"/>
        </w:rPr>
        <w:t>销售服务费可用于本基金市场推广、销售以及基金份额持有人服务等各项费</w:t>
      </w:r>
      <w:r>
        <w:rPr>
          <w:spacing w:val="-9"/>
        </w:rPr>
        <w:t>用。本基金份额分为不同的类别，适用不同的销售服务费率。其中，</w:t>
      </w:r>
      <w:r>
        <w:rPr>
          <w:rFonts w:ascii="Times New Roman" w:eastAsia="Times New Roman"/>
          <w:spacing w:val="-11"/>
        </w:rPr>
        <w:t>A </w:t>
      </w:r>
      <w:r>
        <w:rPr>
          <w:spacing w:val="-4"/>
        </w:rPr>
        <w:t>类人民币</w:t>
      </w:r>
      <w:r>
        <w:rPr>
          <w:spacing w:val="-6"/>
        </w:rPr>
        <w:t>份额、</w:t>
      </w:r>
      <w:r>
        <w:rPr>
          <w:rFonts w:ascii="Times New Roman" w:eastAsia="Times New Roman"/>
        </w:rPr>
        <w:t>A </w:t>
      </w:r>
      <w:r>
        <w:rPr>
          <w:spacing w:val="-1"/>
        </w:rPr>
        <w:t>类美元份额均不收取销售服务费，</w:t>
      </w:r>
      <w:r>
        <w:rPr>
          <w:rFonts w:ascii="Times New Roman" w:eastAsia="Times New Roman"/>
          <w:spacing w:val="-8"/>
        </w:rPr>
        <w:t>C </w:t>
      </w:r>
      <w:r>
        <w:rPr>
          <w:spacing w:val="-3"/>
        </w:rPr>
        <w:t>类人民币份额、</w:t>
      </w:r>
      <w:r>
        <w:rPr>
          <w:rFonts w:ascii="Times New Roman" w:eastAsia="Times New Roman"/>
        </w:rPr>
        <w:t>C </w:t>
      </w:r>
      <w:r>
        <w:rPr>
          <w:spacing w:val="-3"/>
        </w:rPr>
        <w:t>类美元份额的销</w:t>
      </w:r>
      <w:r>
        <w:rPr>
          <w:spacing w:val="-7"/>
        </w:rPr>
        <w:t>售服务费年费率为 </w:t>
      </w:r>
      <w:r>
        <w:rPr>
          <w:rFonts w:ascii="Times New Roman" w:eastAsia="Times New Roman"/>
        </w:rPr>
        <w:t>0.1%</w:t>
      </w:r>
      <w:r>
        <w:rPr/>
        <w:t>。</w:t>
      </w:r>
    </w:p>
    <w:p>
      <w:pPr>
        <w:pStyle w:val="BodyText"/>
        <w:spacing w:before="3"/>
        <w:ind w:left="600" w:firstLine="0"/>
      </w:pPr>
      <w:r>
        <w:rPr/>
        <w:t>销售服务费计算方法如下：</w:t>
      </w:r>
    </w:p>
    <w:p>
      <w:pPr>
        <w:pStyle w:val="BodyText"/>
        <w:spacing w:before="160"/>
        <w:ind w:left="600" w:firstLine="0"/>
      </w:pP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0.1%</w:t>
      </w:r>
      <w:r>
        <w:rPr/>
        <w:t>÷当年天数</w:t>
      </w:r>
    </w:p>
    <w:p>
      <w:pPr>
        <w:pStyle w:val="BodyText"/>
        <w:ind w:left="600" w:firstLine="0"/>
        <w:jc w:val="both"/>
      </w:pPr>
      <w:r>
        <w:rPr>
          <w:rFonts w:ascii="Times New Roman" w:eastAsia="Times New Roman"/>
        </w:rPr>
        <w:t>H </w:t>
      </w:r>
      <w:r>
        <w:rPr/>
        <w:t>为 </w:t>
      </w:r>
      <w:r>
        <w:rPr>
          <w:rFonts w:ascii="Times New Roman" w:eastAsia="Times New Roman"/>
        </w:rPr>
        <w:t>C </w:t>
      </w:r>
      <w:r>
        <w:rPr/>
        <w:t>类基金份额每日应计提的销售服务费</w:t>
      </w:r>
    </w:p>
    <w:p>
      <w:pPr>
        <w:pStyle w:val="BodyText"/>
        <w:spacing w:before="160"/>
        <w:ind w:left="600" w:firstLine="0"/>
        <w:jc w:val="both"/>
      </w:pPr>
      <w:r>
        <w:rPr>
          <w:rFonts w:ascii="Times New Roman" w:eastAsia="Times New Roman"/>
        </w:rPr>
        <w:t>E </w:t>
      </w:r>
      <w:r>
        <w:rPr/>
        <w:t>为本基金 </w:t>
      </w:r>
      <w:r>
        <w:rPr>
          <w:rFonts w:ascii="Times New Roman" w:eastAsia="Times New Roman"/>
        </w:rPr>
        <w:t>C </w:t>
      </w:r>
      <w:r>
        <w:rPr/>
        <w:t>类基金份额前一日基金资产净值</w:t>
      </w:r>
    </w:p>
    <w:p>
      <w:pPr>
        <w:pStyle w:val="BodyText"/>
        <w:spacing w:line="364" w:lineRule="auto"/>
        <w:ind w:right="376"/>
        <w:jc w:val="both"/>
      </w:pPr>
      <w:r>
        <w:rPr>
          <w:spacing w:val="-7"/>
        </w:rPr>
        <w:t>基金销售服务费每日计提，逐日累计至每月月末，按月支付。经基金管理人</w:t>
      </w:r>
      <w:r>
        <w:rPr>
          <w:spacing w:val="-9"/>
        </w:rPr>
        <w:t>与基金托管人核对一致后，基金托管人按照与基金管理人协商一致的方式于次月</w:t>
      </w:r>
      <w:r>
        <w:rPr>
          <w:spacing w:val="-31"/>
        </w:rPr>
        <w:t>前 </w:t>
      </w:r>
      <w:r>
        <w:rPr>
          <w:rFonts w:ascii="Times New Roman" w:eastAsia="Times New Roman"/>
        </w:rPr>
        <w:t>3 </w:t>
      </w:r>
      <w:r>
        <w:rPr>
          <w:spacing w:val="-5"/>
        </w:rPr>
        <w:t>个工作日内从基金财产中一次性支付至登记结算机构，由登记结算机构代付</w:t>
      </w:r>
      <w:r>
        <w:rPr/>
        <w:t>给销售机构。若遇法定节假日、公休假等，支付日期顺延。</w:t>
      </w:r>
    </w:p>
    <w:p>
      <w:pPr>
        <w:pStyle w:val="BodyText"/>
        <w:spacing w:line="364" w:lineRule="auto" w:before="3"/>
        <w:ind w:right="282"/>
        <w:jc w:val="both"/>
      </w:pPr>
      <w:r>
        <w:rPr/>
        <w:t>上述</w:t>
      </w:r>
      <w:r>
        <w:rPr>
          <w:rFonts w:ascii="Times New Roman" w:hAnsi="Times New Roman" w:eastAsia="Times New Roman"/>
          <w:spacing w:val="-12"/>
        </w:rPr>
        <w:t>“</w:t>
      </w:r>
      <w:r>
        <w:rPr>
          <w:spacing w:val="-12"/>
        </w:rPr>
        <w:t>（</w:t>
      </w:r>
      <w:r>
        <w:rPr/>
        <w:t>一</w:t>
      </w:r>
      <w:r>
        <w:rPr>
          <w:spacing w:val="-22"/>
        </w:rPr>
        <w:t>）</w:t>
      </w:r>
      <w:r>
        <w:rPr/>
        <w:t>基金费用的种类</w:t>
      </w:r>
      <w:r>
        <w:rPr>
          <w:rFonts w:ascii="Times New Roman" w:hAnsi="Times New Roman" w:eastAsia="Times New Roman"/>
        </w:rPr>
        <w:t>”</w:t>
      </w:r>
      <w:r>
        <w:rPr>
          <w:spacing w:val="-20"/>
        </w:rPr>
        <w:t>中第 </w:t>
      </w:r>
      <w:r>
        <w:rPr>
          <w:rFonts w:ascii="Times New Roman" w:hAnsi="Times New Roman" w:eastAsia="Times New Roman"/>
        </w:rPr>
        <w:t>4</w:t>
      </w:r>
      <w:r>
        <w:rPr/>
        <w:t>－</w:t>
      </w:r>
      <w:r>
        <w:rPr>
          <w:rFonts w:ascii="Times New Roman" w:hAnsi="Times New Roman" w:eastAsia="Times New Roman"/>
        </w:rPr>
        <w:t>13 </w:t>
      </w:r>
      <w:r>
        <w:rPr>
          <w:spacing w:val="-5"/>
        </w:rPr>
        <w:t>项费用，根据有关法规及相应协议</w:t>
      </w:r>
      <w:r>
        <w:rPr>
          <w:spacing w:val="-6"/>
        </w:rPr>
        <w:t>的规定，按费用实际支出金额列入当期费用，由基金托管人从基金财产中支付。</w:t>
      </w:r>
    </w:p>
    <w:p>
      <w:pPr>
        <w:pStyle w:val="BodyText"/>
        <w:spacing w:before="0"/>
        <w:ind w:left="0" w:firstLine="0"/>
      </w:pPr>
    </w:p>
    <w:p>
      <w:pPr>
        <w:spacing w:before="161"/>
        <w:ind w:left="602" w:right="0" w:firstLine="0"/>
        <w:jc w:val="left"/>
        <w:rPr>
          <w:b/>
          <w:sz w:val="24"/>
        </w:rPr>
      </w:pPr>
      <w:r>
        <w:rPr>
          <w:b/>
          <w:sz w:val="24"/>
        </w:rPr>
        <w:t>（三）不列入基金费用的项目</w:t>
      </w:r>
    </w:p>
    <w:p>
      <w:pPr>
        <w:spacing w:after="0"/>
        <w:jc w:val="left"/>
        <w:rPr>
          <w:sz w:val="24"/>
        </w:rPr>
        <w:sectPr>
          <w:pgSz w:w="11910" w:h="16840"/>
          <w:pgMar w:header="0" w:footer="914" w:top="1460" w:bottom="1180" w:left="1680" w:right="1420"/>
        </w:sectPr>
      </w:pPr>
    </w:p>
    <w:p>
      <w:pPr>
        <w:pStyle w:val="BodyText"/>
        <w:spacing w:before="41"/>
        <w:ind w:left="600" w:firstLine="0"/>
      </w:pPr>
      <w:r>
        <w:rPr/>
        <w:t>下列费用不列入基金费用：</w:t>
      </w:r>
    </w:p>
    <w:p>
      <w:pPr>
        <w:pStyle w:val="BodyText"/>
        <w:spacing w:line="364" w:lineRule="auto" w:before="160"/>
        <w:ind w:right="384"/>
      </w:pPr>
      <w:r>
        <w:rPr>
          <w:rFonts w:ascii="Times New Roman" w:eastAsia="Times New Roman"/>
        </w:rPr>
        <w:t>1</w:t>
      </w:r>
      <w:r>
        <w:rPr/>
        <w:t>、基金管理人和基金托管人因未履行或未完全履行义务导致的费用支出或基金财产的损失；</w:t>
      </w:r>
    </w:p>
    <w:p>
      <w:pPr>
        <w:pStyle w:val="BodyText"/>
        <w:spacing w:before="2"/>
        <w:ind w:left="600" w:firstLine="0"/>
      </w:pPr>
      <w:r>
        <w:rPr>
          <w:rFonts w:ascii="Times New Roman" w:eastAsia="Times New Roman"/>
        </w:rPr>
        <w:t>2</w:t>
      </w:r>
      <w:r>
        <w:rPr/>
        <w:t>、基金管理人和基金托管人处理与基金运作无关的事项发生的费用；</w:t>
      </w:r>
    </w:p>
    <w:p>
      <w:pPr>
        <w:pStyle w:val="BodyText"/>
        <w:spacing w:line="364" w:lineRule="auto" w:before="160"/>
        <w:ind w:right="257"/>
      </w:pPr>
      <w:r>
        <w:rPr>
          <w:rFonts w:ascii="Times New Roman" w:eastAsia="Times New Roman"/>
        </w:rPr>
        <w:t>3</w:t>
      </w:r>
      <w:r>
        <w:rPr>
          <w:spacing w:val="-21"/>
        </w:rPr>
        <w:t>、《基金合同》生效前的相关费用，包括但不限于验资费、会计师和律师费、</w:t>
      </w:r>
      <w:r>
        <w:rPr/>
        <w:t>信息披露费用等费用；</w:t>
      </w:r>
    </w:p>
    <w:p>
      <w:pPr>
        <w:pStyle w:val="BodyText"/>
        <w:spacing w:line="364" w:lineRule="auto" w:before="1"/>
        <w:ind w:right="384"/>
      </w:pPr>
      <w:r>
        <w:rPr>
          <w:rFonts w:ascii="Times New Roman" w:eastAsia="Times New Roman"/>
        </w:rPr>
        <w:t>4</w:t>
      </w:r>
      <w:r>
        <w:rPr/>
        <w:t>、其他根据相关法律法规及中国证监会的有关规定不得列入基金费用的项目。</w:t>
      </w:r>
    </w:p>
    <w:p>
      <w:pPr>
        <w:pStyle w:val="BodyText"/>
        <w:spacing w:before="0"/>
        <w:ind w:left="0" w:firstLine="0"/>
      </w:pPr>
    </w:p>
    <w:p>
      <w:pPr>
        <w:spacing w:before="163"/>
        <w:ind w:left="602" w:right="0" w:firstLine="0"/>
        <w:jc w:val="left"/>
        <w:rPr>
          <w:b/>
          <w:sz w:val="24"/>
        </w:rPr>
      </w:pPr>
      <w:r>
        <w:rPr>
          <w:b/>
          <w:sz w:val="24"/>
        </w:rPr>
        <w:t>（四）费用调整</w:t>
      </w:r>
    </w:p>
    <w:p>
      <w:pPr>
        <w:pStyle w:val="BodyText"/>
        <w:spacing w:line="364" w:lineRule="auto" w:before="160"/>
        <w:ind w:right="377"/>
      </w:pPr>
      <w:r>
        <w:rPr>
          <w:spacing w:val="-7"/>
        </w:rPr>
        <w:t>基金管理人和基金托管人协商一致后，可根据基金发展情况调整基金管理费</w:t>
      </w:r>
      <w:r>
        <w:rPr/>
        <w:t>率、基金托管费率、销售服务费率等相关费率。</w:t>
      </w:r>
    </w:p>
    <w:p>
      <w:pPr>
        <w:pStyle w:val="BodyText"/>
        <w:spacing w:line="364" w:lineRule="auto" w:before="1"/>
        <w:ind w:right="376"/>
        <w:jc w:val="both"/>
      </w:pPr>
      <w:r>
        <w:rPr>
          <w:spacing w:val="-9"/>
        </w:rPr>
        <w:t>调高基金管理费率、基金托管费率、销售服务费率，须召开基金份额持有人</w:t>
      </w:r>
      <w:r>
        <w:rPr>
          <w:spacing w:val="-11"/>
        </w:rPr>
        <w:t>大会审议，除非基金合同、相关法律法规或监管机构另有规定；调低基金管理费</w:t>
      </w:r>
      <w:r>
        <w:rPr/>
        <w:t>率、基金托管费率、销售服务费率，无须召开基金份额持有人大会。</w:t>
      </w:r>
    </w:p>
    <w:p>
      <w:pPr>
        <w:pStyle w:val="BodyText"/>
        <w:spacing w:before="2"/>
        <w:ind w:left="600" w:firstLine="0"/>
      </w:pPr>
      <w:r>
        <w:rPr/>
        <w:t>基金管理人必须最迟于新的费率实施日前在指定媒介上公告。</w:t>
      </w:r>
    </w:p>
    <w:p>
      <w:pPr>
        <w:pStyle w:val="BodyText"/>
        <w:spacing w:before="0"/>
        <w:ind w:left="0" w:firstLine="0"/>
      </w:pPr>
    </w:p>
    <w:p>
      <w:pPr>
        <w:pStyle w:val="BodyText"/>
        <w:spacing w:before="1"/>
        <w:ind w:left="0" w:firstLine="0"/>
        <w:rPr>
          <w:sz w:val="25"/>
        </w:rPr>
      </w:pPr>
    </w:p>
    <w:p>
      <w:pPr>
        <w:spacing w:before="0"/>
        <w:ind w:left="602" w:right="0" w:firstLine="0"/>
        <w:jc w:val="left"/>
        <w:rPr>
          <w:b/>
          <w:sz w:val="24"/>
        </w:rPr>
      </w:pPr>
      <w:r>
        <w:rPr>
          <w:b/>
          <w:sz w:val="24"/>
        </w:rPr>
        <w:t>（五）基金税收</w:t>
      </w:r>
    </w:p>
    <w:p>
      <w:pPr>
        <w:pStyle w:val="BodyText"/>
        <w:spacing w:line="364" w:lineRule="auto"/>
        <w:ind w:right="381"/>
      </w:pPr>
      <w:r>
        <w:rPr>
          <w:spacing w:val="-6"/>
        </w:rPr>
        <w:t>本基金运作过程中涉及的各纳税主体，其纳税义务按各个国家税收法律、法</w:t>
      </w:r>
      <w:r>
        <w:rPr/>
        <w:t>规执行。</w:t>
      </w:r>
    </w:p>
    <w:p>
      <w:pPr>
        <w:pStyle w:val="BodyText"/>
        <w:spacing w:line="364" w:lineRule="auto" w:before="1"/>
        <w:ind w:right="377"/>
      </w:pPr>
      <w:r>
        <w:rPr>
          <w:spacing w:val="-7"/>
        </w:rPr>
        <w:t>除因基金管理人或基金托管人疏忽、故意行为导致的基金在税收方面造成的</w:t>
      </w:r>
      <w:r>
        <w:rPr/>
        <w:t>损失外，基金管理人和基金托管人不承担责任。</w:t>
      </w:r>
    </w:p>
    <w:p>
      <w:pPr>
        <w:spacing w:after="0" w:line="364" w:lineRule="auto"/>
        <w:sectPr>
          <w:pgSz w:w="11910" w:h="16840"/>
          <w:pgMar w:header="0" w:footer="914" w:top="1460" w:bottom="1180" w:left="1680" w:right="1420"/>
        </w:sectPr>
      </w:pPr>
    </w:p>
    <w:p>
      <w:pPr>
        <w:pStyle w:val="BodyText"/>
        <w:spacing w:before="0"/>
        <w:ind w:left="0" w:firstLine="0"/>
        <w:rPr>
          <w:sz w:val="20"/>
        </w:rPr>
      </w:pPr>
    </w:p>
    <w:p>
      <w:pPr>
        <w:pStyle w:val="BodyText"/>
        <w:spacing w:before="5"/>
        <w:ind w:left="0" w:firstLine="0"/>
        <w:rPr>
          <w:sz w:val="28"/>
        </w:rPr>
      </w:pPr>
    </w:p>
    <w:p>
      <w:pPr>
        <w:pStyle w:val="Heading1"/>
        <w:spacing w:before="67"/>
        <w:ind w:left="428" w:right="262"/>
        <w:jc w:val="center"/>
      </w:pPr>
      <w:bookmarkStart w:name="_bookmark15" w:id="16"/>
      <w:bookmarkEnd w:id="16"/>
      <w:r>
        <w:rPr>
          <w:b w:val="0"/>
        </w:rPr>
      </w:r>
      <w:r>
        <w:rPr>
          <w:rFonts w:ascii="黑体" w:eastAsia="黑体" w:hint="eastAsia"/>
        </w:rPr>
        <w:t>十六、</w:t>
      </w:r>
      <w:r>
        <w:rPr/>
        <w:t>基金的收益与分配</w:t>
      </w:r>
    </w:p>
    <w:p>
      <w:pPr>
        <w:pStyle w:val="BodyText"/>
        <w:spacing w:before="4"/>
        <w:ind w:left="0" w:firstLine="0"/>
        <w:rPr>
          <w:b/>
          <w:sz w:val="35"/>
        </w:rPr>
      </w:pPr>
    </w:p>
    <w:p>
      <w:pPr>
        <w:spacing w:before="0"/>
        <w:ind w:left="602" w:right="0" w:firstLine="0"/>
        <w:jc w:val="left"/>
        <w:rPr>
          <w:b/>
          <w:sz w:val="24"/>
        </w:rPr>
      </w:pPr>
      <w:r>
        <w:rPr>
          <w:b/>
          <w:sz w:val="24"/>
        </w:rPr>
        <w:t>（一）基金利润的构成</w:t>
      </w:r>
    </w:p>
    <w:p>
      <w:pPr>
        <w:pStyle w:val="BodyText"/>
        <w:spacing w:line="364" w:lineRule="auto"/>
        <w:ind w:right="283"/>
      </w:pPr>
      <w:r>
        <w:rPr>
          <w:spacing w:val="-7"/>
        </w:rPr>
        <w:t>基金利润指基金利息收入、投资收益、公允价值变动收益和其他收入扣除相</w:t>
      </w:r>
      <w:r>
        <w:rPr>
          <w:spacing w:val="-8"/>
        </w:rPr>
        <w:t>关费用后的余额；基金已实现收益指基金利润减去公允价值变动收益后的余额。</w:t>
      </w:r>
    </w:p>
    <w:p>
      <w:pPr>
        <w:pStyle w:val="BodyText"/>
        <w:spacing w:before="0"/>
        <w:ind w:left="0" w:firstLine="0"/>
      </w:pPr>
    </w:p>
    <w:p>
      <w:pPr>
        <w:spacing w:before="162"/>
        <w:ind w:left="602" w:right="0" w:firstLine="0"/>
        <w:jc w:val="left"/>
        <w:rPr>
          <w:b/>
          <w:sz w:val="24"/>
        </w:rPr>
      </w:pPr>
      <w:r>
        <w:rPr>
          <w:b/>
          <w:sz w:val="24"/>
        </w:rPr>
        <w:t>（二）基金可供分配利润</w:t>
      </w:r>
    </w:p>
    <w:p>
      <w:pPr>
        <w:pStyle w:val="BodyText"/>
        <w:spacing w:line="364" w:lineRule="auto"/>
        <w:ind w:right="370"/>
      </w:pPr>
      <w:r>
        <w:rPr/>
        <w:t>基金可供分配利润指截至收益分配基准日基金未分配利润与未分配利润中已实现收益的孰低数。</w:t>
      </w:r>
    </w:p>
    <w:p>
      <w:pPr>
        <w:pStyle w:val="BodyText"/>
        <w:spacing w:before="0"/>
        <w:ind w:left="0" w:firstLine="0"/>
      </w:pPr>
    </w:p>
    <w:p>
      <w:pPr>
        <w:spacing w:before="161"/>
        <w:ind w:left="602" w:right="0" w:firstLine="0"/>
        <w:jc w:val="left"/>
        <w:rPr>
          <w:b/>
          <w:sz w:val="24"/>
        </w:rPr>
      </w:pPr>
      <w:r>
        <w:rPr>
          <w:b/>
          <w:sz w:val="24"/>
        </w:rPr>
        <w:t>（三）收益分配原则</w:t>
      </w:r>
    </w:p>
    <w:p>
      <w:pPr>
        <w:pStyle w:val="BodyText"/>
        <w:ind w:left="600" w:firstLine="0"/>
      </w:pPr>
      <w:r>
        <w:rPr/>
        <w:t>本基金收益分配应遵循下列原则：</w:t>
      </w:r>
    </w:p>
    <w:p>
      <w:pPr>
        <w:pStyle w:val="BodyText"/>
        <w:spacing w:line="364" w:lineRule="auto" w:before="160"/>
        <w:ind w:right="378"/>
        <w:jc w:val="both"/>
      </w:pPr>
      <w:r>
        <w:rPr>
          <w:rFonts w:ascii="Times New Roman" w:eastAsia="Times New Roman"/>
        </w:rPr>
        <w:t>1</w:t>
      </w:r>
      <w:r>
        <w:rPr>
          <w:spacing w:val="-20"/>
        </w:rPr>
        <w:t>、本基金 </w:t>
      </w:r>
      <w:r>
        <w:rPr>
          <w:rFonts w:ascii="Times New Roman" w:eastAsia="Times New Roman"/>
        </w:rPr>
        <w:t>A </w:t>
      </w:r>
      <w:r>
        <w:rPr>
          <w:spacing w:val="-9"/>
        </w:rPr>
        <w:t>类基金份额和 </w:t>
      </w:r>
      <w:r>
        <w:rPr>
          <w:rFonts w:ascii="Times New Roman" w:eastAsia="Times New Roman"/>
        </w:rPr>
        <w:t>C </w:t>
      </w:r>
      <w:r>
        <w:rPr>
          <w:spacing w:val="-4"/>
        </w:rPr>
        <w:t>类基金份额在费用收取上不同，其分别对应的</w:t>
      </w:r>
      <w:r>
        <w:rPr/>
        <w:t>可分配收益可能有所不同。同一类别的每一基金份额享有同等分配权；</w:t>
      </w:r>
    </w:p>
    <w:p>
      <w:pPr>
        <w:pStyle w:val="BodyText"/>
        <w:spacing w:line="364" w:lineRule="auto" w:before="2"/>
        <w:ind w:right="377"/>
        <w:jc w:val="both"/>
      </w:pPr>
      <w:r>
        <w:rPr>
          <w:rFonts w:ascii="Times New Roman" w:eastAsia="Times New Roman"/>
        </w:rPr>
        <w:t>2</w:t>
      </w:r>
      <w:r>
        <w:rPr/>
        <w:t>、基金收益分配基准日的基金份额净值减去每单位基金份额收益分配金额</w:t>
      </w:r>
      <w:r>
        <w:rPr>
          <w:spacing w:val="-11"/>
        </w:rPr>
        <w:t>后不能低于面值；即基金收益分配基准日人民币基金份额的基金份额净值减去每</w:t>
      </w:r>
      <w:r>
        <w:rPr>
          <w:spacing w:val="-6"/>
        </w:rPr>
        <w:t>单位基金份额收益分配金额后不能低于面值；对于美元现汇基金份额，由于汇率</w:t>
      </w:r>
      <w:r>
        <w:rPr>
          <w:spacing w:val="-11"/>
        </w:rPr>
        <w:t>因素影响，收益分配后美元现汇基金份额的基金份额净值可能低于对应的基金份</w:t>
      </w:r>
      <w:r>
        <w:rPr/>
        <w:t>额面值；</w:t>
      </w:r>
    </w:p>
    <w:p>
      <w:pPr>
        <w:pStyle w:val="BodyText"/>
        <w:spacing w:line="364" w:lineRule="auto" w:before="3"/>
        <w:ind w:right="376"/>
        <w:jc w:val="both"/>
      </w:pPr>
      <w:r>
        <w:rPr>
          <w:rFonts w:ascii="Times New Roman" w:eastAsia="Times New Roman"/>
        </w:rPr>
        <w:t>3</w:t>
      </w:r>
      <w:r>
        <w:rPr>
          <w:spacing w:val="-7"/>
        </w:rPr>
        <w:t>、在符合有关基金分红条件的前提下，本基金每年收益分配次数最多为 </w:t>
      </w:r>
      <w:r>
        <w:rPr>
          <w:rFonts w:ascii="Times New Roman" w:eastAsia="Times New Roman"/>
          <w:spacing w:val="-8"/>
        </w:rPr>
        <w:t>12 </w:t>
      </w:r>
      <w:r>
        <w:rPr>
          <w:spacing w:val="-12"/>
        </w:rPr>
        <w:t>次，每份基金份额每次收益分配比例不低于收益分配基准日每份基金份额可供分</w:t>
      </w:r>
      <w:r>
        <w:rPr>
          <w:spacing w:val="-13"/>
        </w:rPr>
        <w:t>配利润的 </w:t>
      </w:r>
      <w:r>
        <w:rPr>
          <w:rFonts w:ascii="Times New Roman" w:eastAsia="Times New Roman"/>
        </w:rPr>
        <w:t>10%</w:t>
      </w:r>
      <w:r>
        <w:rPr>
          <w:spacing w:val="-5"/>
        </w:rPr>
        <w:t>；若《基金合同》生效不满 </w:t>
      </w:r>
      <w:r>
        <w:rPr>
          <w:rFonts w:ascii="Times New Roman" w:eastAsia="Times New Roman"/>
        </w:rPr>
        <w:t>3 </w:t>
      </w:r>
      <w:r>
        <w:rPr/>
        <w:t>个月可不进行收益分配；</w:t>
      </w:r>
    </w:p>
    <w:p>
      <w:pPr>
        <w:pStyle w:val="BodyText"/>
        <w:spacing w:line="364" w:lineRule="auto" w:before="2"/>
        <w:ind w:right="375"/>
        <w:jc w:val="both"/>
      </w:pPr>
      <w:r>
        <w:rPr>
          <w:rFonts w:ascii="Times New Roman" w:eastAsia="Times New Roman"/>
        </w:rPr>
        <w:t>4</w:t>
      </w:r>
      <w:r>
        <w:rPr/>
        <w:t>、本基金场外份额收益分配方式分为现金分红与红利再投资，基金份额持有人可选择获取现金红利或将现金红利自动转为对应类别的基金份额进行再投</w:t>
      </w:r>
      <w:r>
        <w:rPr>
          <w:spacing w:val="-10"/>
        </w:rPr>
        <w:t>资，红利再投资的计算方法等有关事项遵循登记结算机构的相关规定；若基金份</w:t>
      </w:r>
      <w:r>
        <w:rPr>
          <w:spacing w:val="-9"/>
        </w:rPr>
        <w:t>额持有人不选择，本基金场外份额默认的收益分配方式是现金分红。本基金场内</w:t>
      </w:r>
      <w:r>
        <w:rPr/>
        <w:t>份额只能采取现金分红方式，基金份额持有人不能选择红利再投资；</w:t>
      </w:r>
    </w:p>
    <w:p>
      <w:pPr>
        <w:pStyle w:val="BodyText"/>
        <w:spacing w:before="3"/>
        <w:ind w:left="600" w:firstLine="0"/>
      </w:pPr>
      <w:r>
        <w:rPr>
          <w:rFonts w:ascii="Times New Roman" w:eastAsia="Times New Roman"/>
        </w:rPr>
        <w:t>5</w:t>
      </w:r>
      <w:r>
        <w:rPr/>
        <w:t>、人民币基金份额的现金分红分配币种为人民币，美元基金份额现金分红</w:t>
      </w:r>
    </w:p>
    <w:p>
      <w:pPr>
        <w:spacing w:after="0"/>
        <w:sectPr>
          <w:pgSz w:w="11910" w:h="16840"/>
          <w:pgMar w:header="0" w:footer="914" w:top="1580" w:bottom="1180" w:left="1680" w:right="1420"/>
        </w:sectPr>
      </w:pPr>
    </w:p>
    <w:p>
      <w:pPr>
        <w:pStyle w:val="BodyText"/>
        <w:spacing w:line="364" w:lineRule="auto" w:before="41"/>
        <w:ind w:right="375" w:firstLine="0"/>
        <w:jc w:val="both"/>
      </w:pPr>
      <w:r>
        <w:rPr>
          <w:spacing w:val="-10"/>
        </w:rPr>
        <w:t>币种为美元；不同币种份额红利再投资适用的净值为该币种份额的净值；不同类</w:t>
      </w:r>
      <w:r>
        <w:rPr/>
        <w:t>别美元份额的每份额分配金额为对应类别人民币份额的每份额分配数额按照汇率进行折算，具体见招募说明书；</w:t>
      </w:r>
    </w:p>
    <w:p>
      <w:pPr>
        <w:pStyle w:val="BodyText"/>
        <w:spacing w:before="2"/>
        <w:ind w:left="600" w:firstLine="0"/>
      </w:pPr>
      <w:r>
        <w:rPr>
          <w:rFonts w:ascii="Times New Roman" w:eastAsia="Times New Roman"/>
        </w:rPr>
        <w:t>6</w:t>
      </w:r>
      <w:r>
        <w:rPr/>
        <w:t>、法律法规或监管机构另有规定的，从其规定。</w:t>
      </w:r>
    </w:p>
    <w:p>
      <w:pPr>
        <w:pStyle w:val="BodyText"/>
        <w:spacing w:before="0"/>
        <w:ind w:left="0" w:firstLine="0"/>
        <w:rPr>
          <w:sz w:val="26"/>
        </w:rPr>
      </w:pPr>
    </w:p>
    <w:p>
      <w:pPr>
        <w:pStyle w:val="BodyText"/>
        <w:spacing w:before="0"/>
        <w:ind w:left="0" w:firstLine="0"/>
        <w:rPr>
          <w:sz w:val="23"/>
        </w:rPr>
      </w:pPr>
    </w:p>
    <w:p>
      <w:pPr>
        <w:spacing w:before="0"/>
        <w:ind w:left="602" w:right="0" w:firstLine="0"/>
        <w:jc w:val="left"/>
        <w:rPr>
          <w:b/>
          <w:sz w:val="24"/>
        </w:rPr>
      </w:pPr>
      <w:r>
        <w:rPr>
          <w:b/>
          <w:sz w:val="24"/>
        </w:rPr>
        <w:t>（四）收益分配方案</w:t>
      </w:r>
    </w:p>
    <w:p>
      <w:pPr>
        <w:pStyle w:val="BodyText"/>
        <w:spacing w:line="364" w:lineRule="auto"/>
        <w:ind w:right="376"/>
      </w:pPr>
      <w:r>
        <w:rPr>
          <w:spacing w:val="-5"/>
        </w:rPr>
        <w:t>基金收益分配方案中应载明基金截至收益分配基准日的可供分配利润、基金</w:t>
      </w:r>
      <w:r>
        <w:rPr/>
        <w:t>收益分配对象、分配时间、分配数额及比例、分配方式等内容。</w:t>
      </w:r>
    </w:p>
    <w:p>
      <w:pPr>
        <w:pStyle w:val="BodyText"/>
        <w:spacing w:before="0"/>
        <w:ind w:left="0" w:firstLine="0"/>
      </w:pPr>
    </w:p>
    <w:p>
      <w:pPr>
        <w:spacing w:before="162"/>
        <w:ind w:left="602" w:right="0" w:firstLine="0"/>
        <w:jc w:val="left"/>
        <w:rPr>
          <w:b/>
          <w:sz w:val="24"/>
        </w:rPr>
      </w:pPr>
      <w:r>
        <w:rPr>
          <w:b/>
          <w:sz w:val="24"/>
        </w:rPr>
        <w:t>（五）收益分配方案的确定、公告与实施</w:t>
      </w:r>
    </w:p>
    <w:p>
      <w:pPr>
        <w:pStyle w:val="BodyText"/>
        <w:spacing w:line="360" w:lineRule="auto" w:before="209"/>
        <w:ind w:right="378"/>
      </w:pPr>
      <w:r>
        <w:rPr>
          <w:spacing w:val="-6"/>
        </w:rPr>
        <w:t>本基金收益分配方案由基金管理人拟定，并由基金托管人复核，在指定媒介</w:t>
      </w:r>
      <w:r>
        <w:rPr/>
        <w:t>上公告。</w:t>
      </w:r>
    </w:p>
    <w:p>
      <w:pPr>
        <w:pStyle w:val="BodyText"/>
        <w:spacing w:line="256" w:lineRule="exact" w:before="0"/>
        <w:ind w:left="600" w:firstLine="0"/>
      </w:pPr>
      <w:r>
        <w:rPr/>
        <w:t>本基金收益分配的发放日距离收益分配基准日的时间不超过 </w:t>
      </w:r>
      <w:r>
        <w:rPr>
          <w:rFonts w:ascii="Times New Roman" w:eastAsia="Times New Roman"/>
        </w:rPr>
        <w:t>15 </w:t>
      </w:r>
      <w:r>
        <w:rPr/>
        <w:t>个工作日。</w:t>
      </w:r>
    </w:p>
    <w:p>
      <w:pPr>
        <w:pStyle w:val="BodyText"/>
        <w:spacing w:before="160"/>
        <w:ind w:left="600" w:firstLine="0"/>
      </w:pPr>
      <w:r>
        <w:rPr/>
        <w:t>法律法规或监管机关另有规定的，从其规定。</w:t>
      </w:r>
    </w:p>
    <w:p>
      <w:pPr>
        <w:pStyle w:val="BodyText"/>
        <w:spacing w:before="0"/>
        <w:ind w:left="0" w:firstLine="0"/>
      </w:pPr>
    </w:p>
    <w:p>
      <w:pPr>
        <w:pStyle w:val="BodyText"/>
        <w:spacing w:before="1"/>
        <w:ind w:left="0" w:firstLine="0"/>
        <w:rPr>
          <w:sz w:val="25"/>
        </w:rPr>
      </w:pPr>
    </w:p>
    <w:p>
      <w:pPr>
        <w:spacing w:before="0"/>
        <w:ind w:left="602" w:right="0" w:firstLine="0"/>
        <w:jc w:val="left"/>
        <w:rPr>
          <w:b/>
          <w:sz w:val="24"/>
        </w:rPr>
      </w:pPr>
      <w:r>
        <w:rPr>
          <w:b/>
          <w:sz w:val="24"/>
        </w:rPr>
        <w:t>（六）基金收益分配中发生的费用</w:t>
      </w:r>
    </w:p>
    <w:p>
      <w:pPr>
        <w:pStyle w:val="BodyText"/>
        <w:spacing w:line="360" w:lineRule="auto" w:before="209"/>
        <w:ind w:right="282"/>
      </w:pPr>
      <w:r>
        <w:rPr>
          <w:spacing w:val="-4"/>
        </w:rPr>
        <w:t>收益分配时所发生的银行汇划费用由投资者自行承担。当投资者的现金红利</w:t>
      </w:r>
      <w:r>
        <w:rPr>
          <w:spacing w:val="-11"/>
        </w:rPr>
        <w:t>小于一定金额，不足于支付银行转账或其他手续费用时，登记结算机构可将基金</w:t>
      </w:r>
      <w:r>
        <w:rPr>
          <w:spacing w:val="-12"/>
        </w:rPr>
        <w:t>份额持有人的现金红利自动转为对应类别的基金份额。红利再投资的计算方法， </w:t>
      </w:r>
      <w:r>
        <w:rPr/>
        <w:t>依照业务规则执行。</w:t>
      </w:r>
    </w:p>
    <w:p>
      <w:pPr>
        <w:spacing w:after="0" w:line="360" w:lineRule="auto"/>
        <w:sectPr>
          <w:pgSz w:w="11910" w:h="16840"/>
          <w:pgMar w:header="0" w:footer="914" w:top="1460" w:bottom="1180" w:left="1680" w:right="1420"/>
        </w:sectPr>
      </w:pPr>
    </w:p>
    <w:p>
      <w:pPr>
        <w:pStyle w:val="BodyText"/>
        <w:spacing w:before="0"/>
        <w:ind w:left="0" w:firstLine="0"/>
        <w:rPr>
          <w:sz w:val="20"/>
        </w:rPr>
      </w:pPr>
    </w:p>
    <w:p>
      <w:pPr>
        <w:pStyle w:val="BodyText"/>
        <w:spacing w:before="11"/>
        <w:ind w:left="0" w:firstLine="0"/>
        <w:rPr>
          <w:sz w:val="27"/>
        </w:rPr>
      </w:pPr>
    </w:p>
    <w:p>
      <w:pPr>
        <w:pStyle w:val="Heading1"/>
        <w:spacing w:before="66"/>
        <w:ind w:left="427" w:right="262"/>
        <w:jc w:val="center"/>
      </w:pPr>
      <w:bookmarkStart w:name="_bookmark16" w:id="17"/>
      <w:bookmarkEnd w:id="17"/>
      <w:r>
        <w:rPr>
          <w:b w:val="0"/>
        </w:rPr>
      </w:r>
      <w:r>
        <w:rPr/>
        <w:t>十七、基金的会计与审计</w:t>
      </w:r>
    </w:p>
    <w:p>
      <w:pPr>
        <w:pStyle w:val="BodyText"/>
        <w:spacing w:before="5"/>
        <w:ind w:left="0" w:firstLine="0"/>
        <w:rPr>
          <w:b/>
          <w:sz w:val="35"/>
        </w:rPr>
      </w:pPr>
    </w:p>
    <w:p>
      <w:pPr>
        <w:spacing w:before="0"/>
        <w:ind w:left="602" w:right="0" w:firstLine="0"/>
        <w:jc w:val="left"/>
        <w:rPr>
          <w:b/>
          <w:sz w:val="24"/>
        </w:rPr>
      </w:pPr>
      <w:r>
        <w:rPr>
          <w:b/>
          <w:sz w:val="24"/>
        </w:rPr>
        <w:t>（一）基金会计政策</w:t>
      </w:r>
    </w:p>
    <w:p>
      <w:pPr>
        <w:pStyle w:val="BodyText"/>
        <w:spacing w:before="160"/>
        <w:ind w:left="600" w:firstLine="0"/>
      </w:pPr>
      <w:r>
        <w:rPr>
          <w:rFonts w:ascii="Times New Roman" w:eastAsia="Times New Roman"/>
        </w:rPr>
        <w:t>1</w:t>
      </w:r>
      <w:r>
        <w:rPr/>
        <w:t>、基金管理人为本基金的基金会计责任方；</w:t>
      </w:r>
    </w:p>
    <w:p>
      <w:pPr>
        <w:pStyle w:val="BodyText"/>
        <w:ind w:left="600" w:firstLine="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160"/>
        <w:ind w:left="600" w:firstLine="0"/>
      </w:pPr>
      <w:r>
        <w:rPr>
          <w:rFonts w:ascii="Times New Roman" w:eastAsia="Times New Roman"/>
        </w:rPr>
        <w:t>3</w:t>
      </w:r>
      <w:r>
        <w:rPr/>
        <w:t>、基金核算以人民币为记账本位币，以人民币元为记账单位；</w:t>
      </w:r>
    </w:p>
    <w:p>
      <w:pPr>
        <w:pStyle w:val="BodyText"/>
        <w:ind w:left="600" w:firstLine="0"/>
      </w:pPr>
      <w:r>
        <w:rPr>
          <w:rFonts w:ascii="Times New Roman" w:eastAsia="Times New Roman"/>
        </w:rPr>
        <w:t>4</w:t>
      </w:r>
      <w:r>
        <w:rPr/>
        <w:t>、会计制度执行国家有关会计制度；</w:t>
      </w:r>
    </w:p>
    <w:p>
      <w:pPr>
        <w:pStyle w:val="BodyText"/>
        <w:ind w:left="600" w:firstLine="0"/>
      </w:pPr>
      <w:r>
        <w:rPr>
          <w:rFonts w:ascii="Times New Roman" w:eastAsia="Times New Roman"/>
        </w:rPr>
        <w:t>5</w:t>
      </w:r>
      <w:r>
        <w:rPr/>
        <w:t>、本基金独立建账、独立核算；</w:t>
      </w:r>
    </w:p>
    <w:p>
      <w:pPr>
        <w:pStyle w:val="BodyText"/>
        <w:spacing w:line="364" w:lineRule="auto"/>
        <w:ind w:right="384"/>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before="1"/>
        <w:ind w:right="384"/>
      </w:pPr>
      <w:r>
        <w:rPr>
          <w:rFonts w:ascii="Times New Roman" w:eastAsia="Times New Roman"/>
        </w:rPr>
        <w:t>7</w:t>
      </w:r>
      <w:r>
        <w:rPr/>
        <w:t>、基金托管人定期与基金管理人就基金的会计核算、报表编制等进行核对并以书面方式确认。</w:t>
      </w:r>
    </w:p>
    <w:p>
      <w:pPr>
        <w:pStyle w:val="BodyText"/>
        <w:spacing w:line="364" w:lineRule="auto" w:before="1"/>
        <w:ind w:right="378"/>
      </w:pPr>
      <w:r>
        <w:rPr>
          <w:rFonts w:ascii="Times New Roman" w:eastAsia="Times New Roman"/>
        </w:rPr>
        <w:t>8</w:t>
      </w:r>
      <w:r>
        <w:rPr>
          <w:spacing w:val="-15"/>
        </w:rPr>
        <w:t>、基金管理人在会计年度结束后 </w:t>
      </w:r>
      <w:r>
        <w:rPr>
          <w:rFonts w:ascii="Times New Roman" w:eastAsia="Times New Roman"/>
        </w:rPr>
        <w:t>60 </w:t>
      </w:r>
      <w:r>
        <w:rPr>
          <w:spacing w:val="-1"/>
        </w:rPr>
        <w:t>个工作日内向证监会提交包括衍生品头</w:t>
      </w:r>
      <w:r>
        <w:rPr/>
        <w:t>寸及风险分析年度报告。</w:t>
      </w:r>
    </w:p>
    <w:p>
      <w:pPr>
        <w:pStyle w:val="BodyText"/>
        <w:spacing w:before="0"/>
        <w:ind w:left="0" w:firstLine="0"/>
      </w:pPr>
    </w:p>
    <w:p>
      <w:pPr>
        <w:spacing w:before="162"/>
        <w:ind w:left="602" w:right="0" w:firstLine="0"/>
        <w:jc w:val="left"/>
        <w:rPr>
          <w:b/>
          <w:sz w:val="24"/>
        </w:rPr>
      </w:pPr>
      <w:r>
        <w:rPr>
          <w:b/>
          <w:sz w:val="24"/>
        </w:rPr>
        <w:t>（二）基金的年度审计</w:t>
      </w:r>
    </w:p>
    <w:p>
      <w:pPr>
        <w:pStyle w:val="BodyText"/>
        <w:spacing w:line="364" w:lineRule="auto"/>
        <w:ind w:right="380"/>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1"/>
        <w:ind w:left="600" w:firstLine="0"/>
      </w:pPr>
      <w:r>
        <w:rPr>
          <w:rFonts w:ascii="Times New Roman" w:eastAsia="Times New Roman"/>
        </w:rPr>
        <w:t>2</w:t>
      </w:r>
      <w:r>
        <w:rPr/>
        <w:t>、会计师事务所更换经办注册会计师，应事先征得基金管理人同意；</w:t>
      </w:r>
    </w:p>
    <w:p>
      <w:pPr>
        <w:pStyle w:val="BodyText"/>
        <w:spacing w:line="364" w:lineRule="auto"/>
        <w:ind w:right="384"/>
      </w:pPr>
      <w:r>
        <w:rPr>
          <w:rFonts w:ascii="Times New Roman" w:eastAsia="Times New Roman"/>
        </w:rPr>
        <w:t>3</w:t>
      </w:r>
      <w:r>
        <w:rPr/>
        <w:t>、基金管理人认为有充足理由更换会计师事务所，须通知基金托管人。更换会计师事务所需在 </w:t>
      </w:r>
      <w:r>
        <w:rPr>
          <w:rFonts w:ascii="Times New Roman" w:eastAsia="Times New Roman"/>
        </w:rPr>
        <w:t>2 </w:t>
      </w:r>
      <w:r>
        <w:rPr/>
        <w:t>日内在指定媒介上公告。</w:t>
      </w:r>
    </w:p>
    <w:p>
      <w:pPr>
        <w:spacing w:after="0" w:line="364" w:lineRule="auto"/>
        <w:sectPr>
          <w:pgSz w:w="11910" w:h="16840"/>
          <w:pgMar w:header="0" w:footer="914" w:top="1580" w:bottom="1180" w:left="1680" w:right="1420"/>
        </w:sectPr>
      </w:pPr>
    </w:p>
    <w:p>
      <w:pPr>
        <w:pStyle w:val="BodyText"/>
        <w:spacing w:before="0"/>
        <w:ind w:left="0" w:firstLine="0"/>
        <w:rPr>
          <w:sz w:val="16"/>
        </w:rPr>
      </w:pPr>
    </w:p>
    <w:p>
      <w:pPr>
        <w:pStyle w:val="Heading1"/>
        <w:spacing w:before="66"/>
        <w:ind w:left="3" w:right="262"/>
        <w:jc w:val="center"/>
      </w:pPr>
      <w:bookmarkStart w:name="_bookmark17" w:id="18"/>
      <w:bookmarkEnd w:id="18"/>
      <w:r>
        <w:rPr>
          <w:b w:val="0"/>
        </w:rPr>
      </w:r>
      <w:r>
        <w:rPr/>
        <w:t>十八、基金的信息披露</w:t>
      </w:r>
    </w:p>
    <w:p>
      <w:pPr>
        <w:pStyle w:val="BodyText"/>
        <w:spacing w:before="5"/>
        <w:ind w:left="0" w:firstLine="0"/>
        <w:rPr>
          <w:b/>
          <w:sz w:val="35"/>
        </w:rPr>
      </w:pPr>
    </w:p>
    <w:p>
      <w:pPr>
        <w:spacing w:before="0"/>
        <w:ind w:left="602" w:right="0" w:firstLine="0"/>
        <w:jc w:val="left"/>
        <w:rPr>
          <w:b/>
          <w:sz w:val="24"/>
        </w:rPr>
      </w:pPr>
      <w:r>
        <w:rPr>
          <w:b/>
          <w:sz w:val="24"/>
        </w:rPr>
        <w:t>（一</w:t>
      </w:r>
      <w:r>
        <w:rPr>
          <w:b/>
          <w:spacing w:val="-32"/>
          <w:sz w:val="24"/>
        </w:rPr>
        <w:t>）</w:t>
      </w:r>
      <w:r>
        <w:rPr>
          <w:b/>
          <w:spacing w:val="-11"/>
          <w:sz w:val="24"/>
        </w:rPr>
        <w:t>本基金的信息披露应符合《基金法》</w:t>
      </w:r>
      <w:r>
        <w:rPr>
          <w:b/>
          <w:spacing w:val="-35"/>
          <w:sz w:val="24"/>
        </w:rPr>
        <w:t>、《运作办法》、《信息披露办法》、</w:t>
      </w:r>
    </w:p>
    <w:p>
      <w:pPr>
        <w:spacing w:before="161"/>
        <w:ind w:left="0" w:right="5190" w:firstLine="0"/>
        <w:jc w:val="center"/>
        <w:rPr>
          <w:b/>
          <w:sz w:val="24"/>
        </w:rPr>
      </w:pPr>
      <w:r>
        <w:rPr>
          <w:b/>
          <w:sz w:val="24"/>
        </w:rPr>
        <w:t>《基金合同》及其他有关规定。</w:t>
      </w:r>
    </w:p>
    <w:p>
      <w:pPr>
        <w:spacing w:before="160"/>
        <w:ind w:left="103" w:right="5293" w:firstLine="0"/>
        <w:jc w:val="center"/>
        <w:rPr>
          <w:b/>
          <w:sz w:val="24"/>
        </w:rPr>
      </w:pPr>
      <w:r>
        <w:rPr>
          <w:b/>
          <w:sz w:val="24"/>
        </w:rPr>
        <w:t>（二）信息披露义务人</w:t>
      </w:r>
    </w:p>
    <w:p>
      <w:pPr>
        <w:pStyle w:val="BodyText"/>
        <w:spacing w:line="364" w:lineRule="auto"/>
        <w:ind w:right="377" w:firstLine="419"/>
        <w:jc w:val="both"/>
      </w:pPr>
      <w:r>
        <w:rPr>
          <w:spacing w:val="-3"/>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2"/>
        <w:ind w:right="283" w:firstLine="419"/>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before="2"/>
        <w:ind w:right="376"/>
        <w:jc w:val="both"/>
      </w:pPr>
      <w:r>
        <w:rPr>
          <w:spacing w:val="-5"/>
        </w:rPr>
        <w:t>本基金信息披露义务人应当在中国证监会规定时间内，将应予披露的基金信</w:t>
      </w:r>
      <w:r>
        <w:rPr>
          <w:spacing w:val="-6"/>
        </w:rPr>
        <w:t>息通过中国证监会指定的媒介披露，并保证投资者能够按照《基金合同》约定的</w:t>
      </w:r>
      <w:r>
        <w:rPr/>
        <w:t>时间和方式查阅或者复制公开披露的信息资料。</w:t>
      </w:r>
    </w:p>
    <w:p>
      <w:pPr>
        <w:spacing w:before="2"/>
        <w:ind w:left="602" w:right="0" w:firstLine="0"/>
        <w:jc w:val="left"/>
        <w:rPr>
          <w:b/>
          <w:sz w:val="24"/>
        </w:rPr>
      </w:pPr>
      <w:r>
        <w:rPr>
          <w:b/>
          <w:sz w:val="24"/>
        </w:rPr>
        <w:t>（三）本基金信息披露义务人承诺公开披露的基金信息，不得有下列行为：</w:t>
      </w:r>
    </w:p>
    <w:p>
      <w:pPr>
        <w:pStyle w:val="BodyText"/>
        <w:spacing w:before="160"/>
        <w:ind w:left="600" w:firstLine="0"/>
      </w:pPr>
      <w:r>
        <w:rPr>
          <w:rFonts w:ascii="Times New Roman" w:eastAsia="Times New Roman"/>
        </w:rPr>
        <w:t>1</w:t>
      </w:r>
      <w:r>
        <w:rPr/>
        <w:t>、虚假记载、误导性陈述或者重大遗漏；</w:t>
      </w:r>
    </w:p>
    <w:p>
      <w:pPr>
        <w:pStyle w:val="BodyText"/>
        <w:ind w:left="600" w:firstLine="0"/>
      </w:pPr>
      <w:r>
        <w:rPr>
          <w:rFonts w:ascii="Times New Roman" w:eastAsia="Times New Roman"/>
        </w:rPr>
        <w:t>2</w:t>
      </w:r>
      <w:r>
        <w:rPr/>
        <w:t>、对证券投资业绩进行预测；</w:t>
      </w:r>
    </w:p>
    <w:p>
      <w:pPr>
        <w:pStyle w:val="BodyText"/>
        <w:ind w:left="600" w:firstLine="0"/>
      </w:pPr>
      <w:r>
        <w:rPr>
          <w:rFonts w:ascii="Times New Roman" w:eastAsia="Times New Roman"/>
        </w:rPr>
        <w:t>3</w:t>
      </w:r>
      <w:r>
        <w:rPr/>
        <w:t>、违规承诺收益或者承担损失；</w:t>
      </w:r>
    </w:p>
    <w:p>
      <w:pPr>
        <w:pStyle w:val="BodyText"/>
        <w:spacing w:before="160"/>
        <w:ind w:left="600" w:firstLine="0"/>
      </w:pPr>
      <w:r>
        <w:rPr>
          <w:rFonts w:ascii="Times New Roman" w:eastAsia="Times New Roman"/>
        </w:rPr>
        <w:t>4</w:t>
      </w:r>
      <w:r>
        <w:rPr/>
        <w:t>、诋毁其他基金管理人、基金托管人或者基金销售机构；</w:t>
      </w:r>
    </w:p>
    <w:p>
      <w:pPr>
        <w:pStyle w:val="BodyText"/>
        <w:ind w:left="600" w:firstLine="0"/>
      </w:pPr>
      <w:r>
        <w:rPr>
          <w:rFonts w:ascii="Times New Roman" w:eastAsia="Times New Roman"/>
        </w:rPr>
        <w:t>5</w:t>
      </w:r>
      <w:r>
        <w:rPr/>
        <w:t>、登载任何自然人、法人和非法人组织的祝贺性、恭维性或推荐性的文字；</w:t>
      </w:r>
    </w:p>
    <w:p>
      <w:pPr>
        <w:pStyle w:val="BodyText"/>
        <w:spacing w:before="160"/>
        <w:ind w:left="600" w:firstLine="0"/>
      </w:pPr>
      <w:r>
        <w:rPr>
          <w:rFonts w:ascii="Times New Roman" w:eastAsia="Times New Roman"/>
        </w:rPr>
        <w:t>6</w:t>
      </w:r>
      <w:r>
        <w:rPr/>
        <w:t>、中国证监会禁止的其他行为。</w:t>
      </w:r>
    </w:p>
    <w:p>
      <w:pPr>
        <w:spacing w:line="364" w:lineRule="auto" w:before="161"/>
        <w:ind w:left="120" w:right="376" w:firstLine="482"/>
        <w:jc w:val="both"/>
        <w:rPr>
          <w:sz w:val="24"/>
        </w:rPr>
      </w:pPr>
      <w:r>
        <w:rPr>
          <w:b/>
          <w:sz w:val="24"/>
        </w:rPr>
        <w:t>（四</w:t>
      </w:r>
      <w:r>
        <w:rPr>
          <w:b/>
          <w:spacing w:val="-39"/>
          <w:sz w:val="24"/>
        </w:rPr>
        <w:t>）</w:t>
      </w:r>
      <w:r>
        <w:rPr>
          <w:b/>
          <w:spacing w:val="-2"/>
          <w:sz w:val="24"/>
        </w:rPr>
        <w:t>本基金公开披露的信息应采用中文文本。</w:t>
      </w:r>
      <w:r>
        <w:rPr>
          <w:spacing w:val="-6"/>
          <w:sz w:val="24"/>
        </w:rPr>
        <w:t>如同时采用外文文本的，基金信息披露义务人应保证不同文本的内容一致。不同文本之间发生歧义的，以中</w:t>
      </w:r>
      <w:r>
        <w:rPr>
          <w:sz w:val="24"/>
        </w:rPr>
        <w:t>文文本为准。</w:t>
      </w:r>
    </w:p>
    <w:p>
      <w:pPr>
        <w:pStyle w:val="BodyText"/>
        <w:spacing w:line="364" w:lineRule="auto" w:before="2"/>
        <w:ind w:right="376"/>
        <w:jc w:val="both"/>
      </w:pPr>
      <w:r>
        <w:rPr>
          <w:spacing w:val="-7"/>
        </w:rPr>
        <w:t>本基金公开披露的信息采用阿拉伯数字；本基金的人民币份额以人民币计算</w:t>
      </w:r>
      <w:r>
        <w:rPr>
          <w:spacing w:val="-8"/>
        </w:rPr>
        <w:t>并披露净值及相关信息；美元份额以美元计算并披露净值及相关信息；其他外币</w:t>
      </w:r>
      <w:r>
        <w:rPr>
          <w:spacing w:val="-10"/>
        </w:rPr>
        <w:t>份额</w:t>
      </w:r>
      <w:r>
        <w:rPr/>
        <w:t>（如有</w:t>
      </w:r>
      <w:r>
        <w:rPr>
          <w:spacing w:val="-20"/>
        </w:rPr>
        <w:t>）</w:t>
      </w:r>
      <w:r>
        <w:rPr>
          <w:spacing w:val="-8"/>
        </w:rPr>
        <w:t>以此类推。除特别说明外，人民币份额的货币单位为人民币元，美</w:t>
      </w:r>
      <w:r>
        <w:rPr/>
        <w:t>元份额的货币单位为美元。</w:t>
      </w:r>
    </w:p>
    <w:p>
      <w:pPr>
        <w:spacing w:before="2"/>
        <w:ind w:left="602" w:right="0" w:firstLine="0"/>
        <w:jc w:val="left"/>
        <w:rPr>
          <w:b/>
          <w:sz w:val="24"/>
        </w:rPr>
      </w:pPr>
      <w:r>
        <w:rPr>
          <w:b/>
          <w:sz w:val="24"/>
        </w:rPr>
        <w:t>（五）公开披露的基金信息</w:t>
      </w:r>
    </w:p>
    <w:p>
      <w:pPr>
        <w:spacing w:after="0"/>
        <w:jc w:val="left"/>
        <w:rPr>
          <w:sz w:val="24"/>
        </w:rPr>
        <w:sectPr>
          <w:pgSz w:w="11910" w:h="16840"/>
          <w:pgMar w:header="0" w:footer="914" w:top="1580" w:bottom="1180" w:left="1680" w:right="1420"/>
        </w:sectPr>
      </w:pPr>
    </w:p>
    <w:p>
      <w:pPr>
        <w:pStyle w:val="BodyText"/>
        <w:spacing w:before="41"/>
        <w:ind w:left="600" w:firstLine="0"/>
      </w:pPr>
      <w:r>
        <w:rPr/>
        <w:t>公开披露的基金信息包括：</w:t>
      </w:r>
    </w:p>
    <w:p>
      <w:pPr>
        <w:pStyle w:val="BodyText"/>
        <w:spacing w:before="160"/>
        <w:ind w:left="600" w:firstLine="0"/>
      </w:pPr>
      <w:r>
        <w:rPr>
          <w:rFonts w:ascii="Times New Roman" w:eastAsia="Times New Roman"/>
        </w:rPr>
        <w:t>1</w:t>
      </w:r>
      <w:r>
        <w:rPr/>
        <w:t>、《招募说明书》、《基金合同》、《托管协议》、基金产品资料概要</w:t>
      </w:r>
    </w:p>
    <w:p>
      <w:pPr>
        <w:pStyle w:val="BodyText"/>
        <w:spacing w:line="364" w:lineRule="auto"/>
        <w:ind w:right="282"/>
      </w:pPr>
      <w:r>
        <w:rPr>
          <w:spacing w:val="-2"/>
        </w:rPr>
        <w:t>基金募集申请经中国证监会核准后，基金管理人在基金份额发售的 </w:t>
      </w:r>
      <w:r>
        <w:rPr>
          <w:rFonts w:ascii="Times New Roman" w:eastAsia="Times New Roman"/>
        </w:rPr>
        <w:t>3 </w:t>
      </w:r>
      <w:r>
        <w:rPr>
          <w:spacing w:val="-6"/>
        </w:rPr>
        <w:t>日前， </w:t>
      </w:r>
      <w:r>
        <w:rPr>
          <w:spacing w:val="-20"/>
        </w:rPr>
        <w:t>将《招募说明书》、《基金合同》摘要登载在指定媒介；基金管理人、基金托管人</w:t>
      </w:r>
      <w:r>
        <w:rPr>
          <w:spacing w:val="-22"/>
        </w:rPr>
        <w:t>应当将《基金合同》、《托管协议》登载在网站上。</w:t>
      </w:r>
    </w:p>
    <w:p>
      <w:pPr>
        <w:pStyle w:val="ListParagraph"/>
        <w:numPr>
          <w:ilvl w:val="0"/>
          <w:numId w:val="49"/>
        </w:numPr>
        <w:tabs>
          <w:tab w:pos="1202" w:val="left" w:leader="none"/>
        </w:tabs>
        <w:spacing w:line="364" w:lineRule="auto" w:before="2" w:after="0"/>
        <w:ind w:left="120" w:right="376" w:firstLine="479"/>
        <w:jc w:val="both"/>
        <w:rPr>
          <w:sz w:val="24"/>
        </w:rPr>
      </w:pPr>
      <w:r>
        <w:rPr>
          <w:spacing w:val="-6"/>
          <w:sz w:val="24"/>
        </w:rPr>
        <w:t>《招募说明书》应当最大限度地披露影响投资者决策的全部事项，说</w:t>
      </w:r>
      <w:r>
        <w:rPr>
          <w:spacing w:val="-10"/>
          <w:sz w:val="24"/>
        </w:rPr>
        <w:t>明基金认购、申购和赎回安排、基金投资、基金产品特性、风险揭示、信息披露</w:t>
      </w:r>
      <w:r>
        <w:rPr>
          <w:spacing w:val="-15"/>
          <w:sz w:val="24"/>
        </w:rPr>
        <w:t>及基金份额持有人服务等内容。基金合同生效后，基金招募说明书的信息发生重</w:t>
      </w:r>
      <w:r>
        <w:rPr>
          <w:spacing w:val="-10"/>
          <w:sz w:val="24"/>
        </w:rPr>
        <w:t>大变更的，基金管理人应当在三个工作日内，更新基金招募说明书并登载在指定网站上；基金招募说明书其他信息发生变更的，基金管理人至少每年更新一次。</w:t>
      </w:r>
      <w:r>
        <w:rPr>
          <w:spacing w:val="-4"/>
          <w:sz w:val="24"/>
        </w:rPr>
        <w:t>基金终止运作的，基金管理人不再更新基金招募说明书。</w:t>
      </w:r>
    </w:p>
    <w:p>
      <w:pPr>
        <w:pStyle w:val="ListParagraph"/>
        <w:numPr>
          <w:ilvl w:val="0"/>
          <w:numId w:val="49"/>
        </w:numPr>
        <w:tabs>
          <w:tab w:pos="1202" w:val="left" w:leader="none"/>
        </w:tabs>
        <w:spacing w:line="364" w:lineRule="auto" w:before="4" w:after="0"/>
        <w:ind w:left="120" w:right="377" w:firstLine="479"/>
        <w:jc w:val="both"/>
        <w:rPr>
          <w:sz w:val="24"/>
        </w:rPr>
      </w:pPr>
      <w:r>
        <w:rPr>
          <w:spacing w:val="-6"/>
          <w:sz w:val="24"/>
        </w:rPr>
        <w:t>《基金合同》是界定基金合同当事人的各项权利、义务关系，明确基</w:t>
      </w:r>
      <w:r>
        <w:rPr>
          <w:spacing w:val="-9"/>
          <w:sz w:val="24"/>
        </w:rPr>
        <w:t>金份额持有人大会召开的规则及具体程序，说明基金产品的特性等涉及投资者重</w:t>
      </w:r>
      <w:r>
        <w:rPr>
          <w:spacing w:val="-4"/>
          <w:sz w:val="24"/>
        </w:rPr>
        <w:t>大利益的事项的法律文件。</w:t>
      </w:r>
    </w:p>
    <w:p>
      <w:pPr>
        <w:pStyle w:val="ListParagraph"/>
        <w:numPr>
          <w:ilvl w:val="0"/>
          <w:numId w:val="49"/>
        </w:numPr>
        <w:tabs>
          <w:tab w:pos="1202" w:val="left" w:leader="none"/>
        </w:tabs>
        <w:spacing w:line="364" w:lineRule="auto" w:before="2" w:after="0"/>
        <w:ind w:left="120" w:right="377" w:firstLine="479"/>
        <w:jc w:val="left"/>
        <w:rPr>
          <w:sz w:val="24"/>
        </w:rPr>
      </w:pPr>
      <w:r>
        <w:rPr>
          <w:spacing w:val="-7"/>
          <w:sz w:val="24"/>
        </w:rPr>
        <w:t>《托管协议》是界定基金托管人和基金管理人在基金财产保管及基金</w:t>
      </w:r>
      <w:r>
        <w:rPr>
          <w:spacing w:val="-4"/>
          <w:sz w:val="24"/>
        </w:rPr>
        <w:t>运作监督等活动中的权利、义务关系的法律文件。</w:t>
      </w:r>
    </w:p>
    <w:p>
      <w:pPr>
        <w:pStyle w:val="ListParagraph"/>
        <w:numPr>
          <w:ilvl w:val="0"/>
          <w:numId w:val="49"/>
        </w:numPr>
        <w:tabs>
          <w:tab w:pos="1202" w:val="left" w:leader="none"/>
        </w:tabs>
        <w:spacing w:line="364" w:lineRule="auto" w:before="1" w:after="0"/>
        <w:ind w:left="120" w:right="375" w:firstLine="479"/>
        <w:jc w:val="both"/>
        <w:rPr>
          <w:sz w:val="24"/>
        </w:rPr>
      </w:pPr>
      <w:r>
        <w:rPr>
          <w:sz w:val="24"/>
        </w:rPr>
        <w:t>基金产品资料概要是基金招募说明书的摘要文件，用于向投资者提供</w:t>
      </w:r>
      <w:r>
        <w:rPr>
          <w:spacing w:val="-11"/>
          <w:sz w:val="24"/>
        </w:rPr>
        <w:t>简明的基金概要信息。《基金合同》生效后，基金产品资料概要的信息发生重大</w:t>
      </w:r>
      <w:r>
        <w:rPr>
          <w:spacing w:val="-13"/>
          <w:sz w:val="24"/>
        </w:rPr>
        <w:t>变更的，基金管理人应当在三个工作日内，更新基金产品资料概要，并登载在指</w:t>
      </w:r>
      <w:r>
        <w:rPr>
          <w:sz w:val="24"/>
        </w:rPr>
        <w:t>定网站及基金销售机构网站或营业网点；基金产品资料概要其他信息发生变更</w:t>
      </w:r>
      <w:r>
        <w:rPr>
          <w:spacing w:val="-10"/>
          <w:sz w:val="24"/>
        </w:rPr>
        <w:t>的，基金管理人至少每年更新一次。基金终止运作的，基金管理人不再更新基金</w:t>
      </w:r>
      <w:r>
        <w:rPr>
          <w:sz w:val="24"/>
        </w:rPr>
        <w:t>产品资料概要。</w:t>
      </w:r>
    </w:p>
    <w:p>
      <w:pPr>
        <w:pStyle w:val="BodyText"/>
        <w:spacing w:before="4"/>
        <w:ind w:left="600" w:firstLine="0"/>
      </w:pPr>
      <w:r>
        <w:rPr>
          <w:rFonts w:ascii="Times New Roman" w:eastAsia="Times New Roman"/>
        </w:rPr>
        <w:t>2</w:t>
      </w:r>
      <w:r>
        <w:rPr/>
        <w:t>、《发售公告》</w:t>
      </w:r>
    </w:p>
    <w:p>
      <w:pPr>
        <w:pStyle w:val="BodyText"/>
        <w:spacing w:line="364" w:lineRule="auto" w:before="160"/>
        <w:ind w:right="377"/>
      </w:pPr>
      <w:r>
        <w:rPr>
          <w:spacing w:val="-15"/>
        </w:rPr>
        <w:t>基金管理人应当就基金份额发售的具体事宜编制《发售公告》，并在披露《招</w:t>
      </w:r>
      <w:r>
        <w:rPr/>
        <w:t>募说明书》的当日登载于指定媒介。</w:t>
      </w:r>
    </w:p>
    <w:p>
      <w:pPr>
        <w:pStyle w:val="BodyText"/>
        <w:spacing w:before="2"/>
        <w:ind w:left="600" w:firstLine="0"/>
      </w:pPr>
      <w:r>
        <w:rPr>
          <w:rFonts w:ascii="Times New Roman" w:eastAsia="Times New Roman"/>
        </w:rPr>
        <w:t>3</w:t>
      </w:r>
      <w:r>
        <w:rPr/>
        <w:t>、《基金合同》生效公告</w:t>
      </w:r>
    </w:p>
    <w:p>
      <w:pPr>
        <w:pStyle w:val="BodyText"/>
        <w:spacing w:line="364" w:lineRule="auto"/>
        <w:ind w:right="379"/>
      </w:pPr>
      <w:r>
        <w:rPr>
          <w:spacing w:val="-8"/>
        </w:rPr>
        <w:t>基金管理人应当在《基金合同》生效的次日在指定媒介登载《基金合同》生</w:t>
      </w:r>
      <w:r>
        <w:rPr/>
        <w:t>效公告。</w:t>
      </w:r>
    </w:p>
    <w:p>
      <w:pPr>
        <w:pStyle w:val="BodyText"/>
        <w:spacing w:before="1"/>
        <w:ind w:left="600" w:firstLine="0"/>
      </w:pPr>
      <w:r>
        <w:rPr>
          <w:rFonts w:ascii="Times New Roman" w:eastAsia="Times New Roman"/>
        </w:rPr>
        <w:t>4</w:t>
      </w:r>
      <w:r>
        <w:rPr/>
        <w:t>、基金净值信息</w:t>
      </w:r>
    </w:p>
    <w:p>
      <w:pPr>
        <w:spacing w:after="0"/>
        <w:sectPr>
          <w:pgSz w:w="11910" w:h="16840"/>
          <w:pgMar w:header="0" w:footer="914" w:top="1460" w:bottom="1180" w:left="1680" w:right="1420"/>
        </w:sectPr>
      </w:pPr>
    </w:p>
    <w:p>
      <w:pPr>
        <w:pStyle w:val="BodyText"/>
        <w:spacing w:line="364" w:lineRule="auto" w:before="41"/>
        <w:ind w:right="374"/>
        <w:jc w:val="both"/>
      </w:pPr>
      <w:r>
        <w:rPr>
          <w:spacing w:val="-11"/>
        </w:rPr>
        <w:t>《基金合同》生效后，在开始办理基金份额申购或者赎回前，基金管理人应</w:t>
      </w:r>
      <w:r>
        <w:rPr/>
        <w:t>当至少每周在指定网站披露一次人民币基金份额的基金份额净值和基金份额累</w:t>
      </w:r>
      <w:r>
        <w:rPr>
          <w:spacing w:val="-12"/>
        </w:rPr>
        <w:t>计净值，至少每周通过基金管理人网站披露一次美元现汇基金份额的基金份额净</w:t>
      </w:r>
      <w:r>
        <w:rPr/>
        <w:t>值和基金份额累计净值。</w:t>
      </w:r>
    </w:p>
    <w:p>
      <w:pPr>
        <w:pStyle w:val="BodyText"/>
        <w:spacing w:line="364" w:lineRule="auto" w:before="2"/>
        <w:ind w:right="376"/>
        <w:jc w:val="both"/>
      </w:pPr>
      <w:r>
        <w:rPr>
          <w:spacing w:val="-7"/>
        </w:rPr>
        <w:t>在开始办理基金份额申购或者赎回后，基金管理人应当在不晚于每个开放日</w:t>
      </w:r>
      <w:r>
        <w:rPr>
          <w:spacing w:val="-8"/>
        </w:rPr>
        <w:t>后的第二个工作日，通过指定网站、基金销售机构网站或者营业网点，披露开放</w:t>
      </w:r>
      <w:r>
        <w:rPr>
          <w:spacing w:val="-5"/>
        </w:rPr>
        <w:t>日人民币基金份额的基金份额净值和基金份额累计净值，通过基金管理人网站披</w:t>
      </w:r>
      <w:r>
        <w:rPr/>
        <w:t>露开放日美元现汇基金份额的基金份额净值和基金份额累计净值。</w:t>
      </w:r>
    </w:p>
    <w:p>
      <w:pPr>
        <w:pStyle w:val="BodyText"/>
        <w:spacing w:line="364" w:lineRule="auto" w:before="3"/>
        <w:ind w:right="374"/>
        <w:jc w:val="both"/>
      </w:pPr>
      <w:r>
        <w:rPr>
          <w:spacing w:val="-5"/>
        </w:rPr>
        <w:t>基金管理人应当在不晚于半年度和年度最后一日后的第二个工作日，在指定</w:t>
      </w:r>
      <w:r>
        <w:rPr/>
        <w:t>网站披露半年度和年度最后一日人民币基金份额的基金份额净值和基金份额累</w:t>
      </w:r>
      <w:r>
        <w:rPr>
          <w:spacing w:val="-12"/>
        </w:rPr>
        <w:t>计净值，在基金管理人网站披露半年度和年度最后一日美元现汇基金份额的基金</w:t>
      </w:r>
      <w:r>
        <w:rPr/>
        <w:t>份额净值和基金份额累计净值。</w:t>
      </w:r>
    </w:p>
    <w:p>
      <w:pPr>
        <w:pStyle w:val="BodyText"/>
        <w:spacing w:before="3"/>
        <w:ind w:left="600" w:firstLine="0"/>
      </w:pPr>
      <w:r>
        <w:rPr>
          <w:rFonts w:ascii="Times New Roman" w:eastAsia="Times New Roman"/>
        </w:rPr>
        <w:t>5</w:t>
      </w:r>
      <w:r>
        <w:rPr/>
        <w:t>、基金份额申购、赎回价格</w:t>
      </w:r>
    </w:p>
    <w:p>
      <w:pPr>
        <w:pStyle w:val="BodyText"/>
        <w:spacing w:line="364" w:lineRule="auto" w:before="160"/>
        <w:ind w:right="376"/>
        <w:jc w:val="both"/>
      </w:pPr>
      <w:r>
        <w:rPr>
          <w:spacing w:val="-13"/>
        </w:rPr>
        <w:t>基金管理人应当在《基金合同》</w:t>
      </w:r>
      <w:r>
        <w:rPr>
          <w:spacing w:val="-15"/>
        </w:rPr>
        <w:t>、《招募说明书》等信息披露文件上载明基金</w:t>
      </w:r>
      <w:r>
        <w:rPr>
          <w:spacing w:val="-10"/>
        </w:rPr>
        <w:t>份额申购、赎回价格的计算方式及有关申购、赎回费率，并保证投资者能够在基</w:t>
      </w:r>
      <w:r>
        <w:rPr/>
        <w:t>金销售机构网站或营业网点查阅或者复制前述信息资料。</w:t>
      </w:r>
    </w:p>
    <w:p>
      <w:pPr>
        <w:pStyle w:val="BodyText"/>
        <w:spacing w:before="2"/>
        <w:ind w:left="600" w:firstLine="0"/>
      </w:pPr>
      <w:r>
        <w:rPr>
          <w:rFonts w:ascii="Times New Roman" w:eastAsia="Times New Roman"/>
        </w:rPr>
        <w:t>6</w:t>
      </w:r>
      <w:r>
        <w:rPr/>
        <w:t>、基金定期报告，包括基金年度报告、基金中期报告和基金季度报告</w:t>
      </w:r>
    </w:p>
    <w:p>
      <w:pPr>
        <w:pStyle w:val="BodyText"/>
        <w:spacing w:line="364" w:lineRule="auto"/>
        <w:ind w:right="377"/>
        <w:jc w:val="both"/>
      </w:pPr>
      <w:r>
        <w:rPr>
          <w:spacing w:val="-6"/>
        </w:rPr>
        <w:t>基金管理人应当在每年结束之日起三个月内，编制完成基金年度报告，将年</w:t>
      </w: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379"/>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before="1"/>
        <w:ind w:right="256"/>
      </w:pPr>
      <w:r>
        <w:rPr>
          <w:spacing w:val="-4"/>
        </w:rPr>
        <w:t>基金管理人应当在季度结束之日起 </w:t>
      </w:r>
      <w:r>
        <w:rPr>
          <w:rFonts w:ascii="Times New Roman" w:eastAsia="Times New Roman"/>
        </w:rPr>
        <w:t>15 </w:t>
      </w:r>
      <w:r>
        <w:rPr>
          <w:spacing w:val="-11"/>
        </w:rPr>
        <w:t>个工作日内，编制完成基金季度报告， </w:t>
      </w:r>
      <w:r>
        <w:rPr/>
        <w:t>将季度报告登载在指定网站上，并将季度报告提示性公告登载在指定报刊上。</w:t>
      </w:r>
    </w:p>
    <w:p>
      <w:pPr>
        <w:pStyle w:val="BodyText"/>
        <w:spacing w:line="364" w:lineRule="auto" w:before="2"/>
        <w:ind w:right="378"/>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before="2"/>
        <w:ind w:right="376"/>
      </w:pPr>
      <w:r>
        <w:rPr>
          <w:spacing w:val="-3"/>
        </w:rPr>
        <w:t>报告期内出现单一投资者持有基金份额比例达到或超过 </w:t>
      </w:r>
      <w:r>
        <w:rPr>
          <w:rFonts w:ascii="Times New Roman" w:eastAsia="Times New Roman"/>
        </w:rPr>
        <w:t>20%</w:t>
      </w:r>
      <w:r>
        <w:rPr>
          <w:spacing w:val="-20"/>
        </w:rPr>
        <w:t>的情形，基金管</w:t>
      </w:r>
      <w:r>
        <w:rPr>
          <w:spacing w:val="-9"/>
        </w:rPr>
        <w:t>理人应当在季度报告、中期报告、年度报告等定期报告文件中披露该投资者的类</w:t>
      </w:r>
    </w:p>
    <w:p>
      <w:pPr>
        <w:spacing w:after="0" w:line="364" w:lineRule="auto"/>
        <w:sectPr>
          <w:pgSz w:w="11910" w:h="16840"/>
          <w:pgMar w:header="0" w:footer="914" w:top="1460" w:bottom="1180" w:left="1680" w:right="1420"/>
        </w:sectPr>
      </w:pPr>
    </w:p>
    <w:p>
      <w:pPr>
        <w:pStyle w:val="BodyText"/>
        <w:spacing w:line="364" w:lineRule="auto" w:before="41"/>
        <w:ind w:right="282" w:firstLine="0"/>
      </w:pPr>
      <w:r>
        <w:rPr/>
        <w:t>别、报告期末持有份额及占比、报告期内持有份额变化情况及产品的特有风险， 中国证监会认定的特殊情形除外。</w:t>
      </w:r>
    </w:p>
    <w:p>
      <w:pPr>
        <w:pStyle w:val="BodyText"/>
        <w:spacing w:line="364" w:lineRule="auto" w:before="1"/>
        <w:ind w:right="376"/>
      </w:pPr>
      <w:r>
        <w:rPr>
          <w:spacing w:val="-11"/>
        </w:rPr>
        <w:t>基金持续运作过程中，基金管理人应当在基金年度报告和中期报告中披露基</w:t>
      </w:r>
      <w:r>
        <w:rPr/>
        <w:t>金组合资产情况及其流动性风险分析等。</w:t>
      </w:r>
    </w:p>
    <w:p>
      <w:pPr>
        <w:pStyle w:val="BodyText"/>
        <w:spacing w:before="1"/>
        <w:ind w:left="600" w:firstLine="0"/>
      </w:pPr>
      <w:r>
        <w:rPr>
          <w:rFonts w:ascii="Times New Roman" w:eastAsia="Times New Roman"/>
        </w:rPr>
        <w:t>7</w:t>
      </w:r>
      <w:r>
        <w:rPr/>
        <w:t>、临时报告</w:t>
      </w:r>
    </w:p>
    <w:p>
      <w:pPr>
        <w:pStyle w:val="BodyText"/>
        <w:spacing w:line="364" w:lineRule="auto"/>
        <w:ind w:right="217"/>
      </w:pPr>
      <w:r>
        <w:rPr/>
        <w:t>本基金发生重大事件，有关信息披露义务人应当在 </w:t>
      </w:r>
      <w:r>
        <w:rPr>
          <w:rFonts w:ascii="Times New Roman" w:eastAsia="Times New Roman"/>
        </w:rPr>
        <w:t>2 </w:t>
      </w:r>
      <w:r>
        <w:rPr/>
        <w:t>日内编制临时报告书， 并登载在指定报刊和指定网站上。</w:t>
      </w:r>
    </w:p>
    <w:p>
      <w:pPr>
        <w:pStyle w:val="BodyText"/>
        <w:spacing w:line="364" w:lineRule="auto" w:before="1"/>
        <w:ind w:right="377"/>
      </w:pPr>
      <w:r>
        <w:rPr>
          <w:spacing w:val="-11"/>
        </w:rPr>
        <w:t>前款所称重大事件，是指可能对基金份额持有人权益或者基金份额的价格产</w:t>
      </w:r>
      <w:r>
        <w:rPr/>
        <w:t>生重大影响的下列事件：</w:t>
      </w:r>
    </w:p>
    <w:p>
      <w:pPr>
        <w:pStyle w:val="ListParagraph"/>
        <w:numPr>
          <w:ilvl w:val="0"/>
          <w:numId w:val="50"/>
        </w:numPr>
        <w:tabs>
          <w:tab w:pos="1202" w:val="left" w:leader="none"/>
        </w:tabs>
        <w:spacing w:line="240" w:lineRule="auto" w:before="2" w:after="0"/>
        <w:ind w:left="1201" w:right="0" w:hanging="602"/>
        <w:jc w:val="left"/>
        <w:rPr>
          <w:sz w:val="24"/>
        </w:rPr>
      </w:pPr>
      <w:r>
        <w:rPr>
          <w:sz w:val="24"/>
        </w:rPr>
        <w:t>基金份额持有人大会的召开及决定的事项；</w:t>
      </w:r>
    </w:p>
    <w:p>
      <w:pPr>
        <w:pStyle w:val="ListParagraph"/>
        <w:numPr>
          <w:ilvl w:val="0"/>
          <w:numId w:val="50"/>
        </w:numPr>
        <w:tabs>
          <w:tab w:pos="1202" w:val="left" w:leader="none"/>
        </w:tabs>
        <w:spacing w:line="240" w:lineRule="auto" w:before="160" w:after="0"/>
        <w:ind w:left="1201" w:right="0" w:hanging="602"/>
        <w:jc w:val="left"/>
        <w:rPr>
          <w:sz w:val="24"/>
        </w:rPr>
      </w:pPr>
      <w:r>
        <w:rPr>
          <w:sz w:val="24"/>
        </w:rPr>
        <w:t>基金终止上市交易、基金合同终止、基金清算；</w:t>
      </w:r>
    </w:p>
    <w:p>
      <w:pPr>
        <w:pStyle w:val="ListParagraph"/>
        <w:numPr>
          <w:ilvl w:val="0"/>
          <w:numId w:val="50"/>
        </w:numPr>
        <w:tabs>
          <w:tab w:pos="1202" w:val="left" w:leader="none"/>
        </w:tabs>
        <w:spacing w:line="240" w:lineRule="auto" w:before="161" w:after="0"/>
        <w:ind w:left="1201" w:right="0" w:hanging="602"/>
        <w:jc w:val="left"/>
        <w:rPr>
          <w:sz w:val="24"/>
        </w:rPr>
      </w:pPr>
      <w:r>
        <w:rPr>
          <w:sz w:val="24"/>
        </w:rPr>
        <w:t>转换基金运作方式、基金合并；</w:t>
      </w:r>
    </w:p>
    <w:p>
      <w:pPr>
        <w:pStyle w:val="ListParagraph"/>
        <w:numPr>
          <w:ilvl w:val="0"/>
          <w:numId w:val="50"/>
        </w:numPr>
        <w:tabs>
          <w:tab w:pos="1202" w:val="left" w:leader="none"/>
        </w:tabs>
        <w:spacing w:line="364" w:lineRule="auto" w:before="160" w:after="0"/>
        <w:ind w:left="120" w:right="384" w:firstLine="479"/>
        <w:jc w:val="left"/>
        <w:rPr>
          <w:sz w:val="24"/>
        </w:rPr>
      </w:pPr>
      <w:r>
        <w:rPr>
          <w:spacing w:val="-1"/>
          <w:sz w:val="24"/>
        </w:rPr>
        <w:t>更换基金管理人、基金托管人、基金份额登记机构，基金改聘会计师</w:t>
      </w:r>
      <w:r>
        <w:rPr>
          <w:sz w:val="24"/>
        </w:rPr>
        <w:t>事务所；</w:t>
      </w:r>
    </w:p>
    <w:p>
      <w:pPr>
        <w:pStyle w:val="ListParagraph"/>
        <w:numPr>
          <w:ilvl w:val="0"/>
          <w:numId w:val="50"/>
        </w:numPr>
        <w:tabs>
          <w:tab w:pos="1202" w:val="left" w:leader="none"/>
        </w:tabs>
        <w:spacing w:line="364" w:lineRule="auto" w:before="2" w:after="0"/>
        <w:ind w:left="120" w:right="257" w:firstLine="479"/>
        <w:jc w:val="left"/>
        <w:rPr>
          <w:sz w:val="24"/>
        </w:rPr>
      </w:pPr>
      <w:r>
        <w:rPr>
          <w:sz w:val="24"/>
        </w:rPr>
        <w:t>基金管理人委托基金服务机构代为办理基金的份额登记、核算、估值</w:t>
      </w:r>
      <w:r>
        <w:rPr>
          <w:spacing w:val="-15"/>
          <w:sz w:val="24"/>
        </w:rPr>
        <w:t>等事项，基金托管人委托基金服务机构代为办理基金的核算、估值、复核等事项；</w:t>
      </w:r>
    </w:p>
    <w:p>
      <w:pPr>
        <w:pStyle w:val="ListParagraph"/>
        <w:numPr>
          <w:ilvl w:val="0"/>
          <w:numId w:val="50"/>
        </w:numPr>
        <w:tabs>
          <w:tab w:pos="1202" w:val="left" w:leader="none"/>
        </w:tabs>
        <w:spacing w:line="240" w:lineRule="auto" w:before="1" w:after="0"/>
        <w:ind w:left="1201" w:right="0" w:hanging="602"/>
        <w:jc w:val="left"/>
        <w:rPr>
          <w:sz w:val="24"/>
        </w:rPr>
      </w:pPr>
      <w:r>
        <w:rPr>
          <w:sz w:val="24"/>
        </w:rPr>
        <w:t>基金管理人、基金托管人的法定名称、住所发生变更；</w:t>
      </w:r>
    </w:p>
    <w:p>
      <w:pPr>
        <w:pStyle w:val="ListParagraph"/>
        <w:numPr>
          <w:ilvl w:val="0"/>
          <w:numId w:val="50"/>
        </w:numPr>
        <w:tabs>
          <w:tab w:pos="1202" w:val="left" w:leader="none"/>
        </w:tabs>
        <w:spacing w:line="364" w:lineRule="auto" w:before="161" w:after="0"/>
        <w:ind w:left="120" w:right="384" w:firstLine="479"/>
        <w:jc w:val="left"/>
        <w:rPr>
          <w:sz w:val="24"/>
        </w:rPr>
      </w:pPr>
      <w:r>
        <w:rPr>
          <w:spacing w:val="-1"/>
          <w:sz w:val="24"/>
        </w:rPr>
        <w:t>基金管理公司变更持有百分之五以上股权的股东、基金管理人的实际</w:t>
      </w:r>
      <w:r>
        <w:rPr>
          <w:sz w:val="24"/>
        </w:rPr>
        <w:t>控制人变更；</w:t>
      </w:r>
    </w:p>
    <w:p>
      <w:pPr>
        <w:pStyle w:val="ListParagraph"/>
        <w:numPr>
          <w:ilvl w:val="0"/>
          <w:numId w:val="50"/>
        </w:numPr>
        <w:tabs>
          <w:tab w:pos="1202" w:val="left" w:leader="none"/>
        </w:tabs>
        <w:spacing w:line="240" w:lineRule="auto" w:before="1" w:after="0"/>
        <w:ind w:left="1201" w:right="0" w:hanging="602"/>
        <w:jc w:val="left"/>
        <w:rPr>
          <w:sz w:val="24"/>
        </w:rPr>
      </w:pPr>
      <w:r>
        <w:rPr>
          <w:sz w:val="24"/>
        </w:rPr>
        <w:t>基金募集期延长或提前结束募集；</w:t>
      </w:r>
    </w:p>
    <w:p>
      <w:pPr>
        <w:pStyle w:val="ListParagraph"/>
        <w:numPr>
          <w:ilvl w:val="0"/>
          <w:numId w:val="50"/>
        </w:numPr>
        <w:tabs>
          <w:tab w:pos="1202" w:val="left" w:leader="none"/>
        </w:tabs>
        <w:spacing w:line="364" w:lineRule="auto" w:before="160" w:after="0"/>
        <w:ind w:left="120" w:right="384" w:firstLine="479"/>
        <w:jc w:val="left"/>
        <w:rPr>
          <w:sz w:val="24"/>
        </w:rPr>
      </w:pPr>
      <w:r>
        <w:rPr>
          <w:spacing w:val="-1"/>
          <w:sz w:val="24"/>
        </w:rPr>
        <w:t>基金管理人的高级管理人员、基金经理和基金托管人专门基金托管部</w:t>
      </w:r>
      <w:r>
        <w:rPr>
          <w:sz w:val="24"/>
        </w:rPr>
        <w:t>门负责人发生变动；</w:t>
      </w:r>
    </w:p>
    <w:p>
      <w:pPr>
        <w:pStyle w:val="ListParagraph"/>
        <w:numPr>
          <w:ilvl w:val="0"/>
          <w:numId w:val="50"/>
        </w:numPr>
        <w:tabs>
          <w:tab w:pos="1322" w:val="left" w:leader="none"/>
        </w:tabs>
        <w:spacing w:line="240" w:lineRule="auto" w:before="2" w:after="0"/>
        <w:ind w:left="1321" w:right="0" w:hanging="722"/>
        <w:jc w:val="left"/>
        <w:rPr>
          <w:sz w:val="24"/>
        </w:rPr>
      </w:pPr>
      <w:r>
        <w:rPr>
          <w:spacing w:val="-4"/>
          <w:sz w:val="24"/>
        </w:rPr>
        <w:t>基金管理人的董事在最近 </w:t>
      </w:r>
      <w:r>
        <w:rPr>
          <w:rFonts w:ascii="Times New Roman" w:eastAsia="Times New Roman"/>
          <w:sz w:val="24"/>
        </w:rPr>
        <w:t>12</w:t>
      </w:r>
      <w:r>
        <w:rPr>
          <w:rFonts w:ascii="Times New Roman" w:eastAsia="Times New Roman"/>
          <w:spacing w:val="12"/>
          <w:sz w:val="24"/>
        </w:rPr>
        <w:t> </w:t>
      </w:r>
      <w:r>
        <w:rPr>
          <w:sz w:val="24"/>
        </w:rPr>
        <w:t>个月内变更超过百分之五十，基金管理</w:t>
      </w:r>
    </w:p>
    <w:p>
      <w:pPr>
        <w:pStyle w:val="BodyText"/>
        <w:spacing w:line="364" w:lineRule="auto" w:before="160"/>
        <w:ind w:right="323" w:firstLine="0"/>
      </w:pPr>
      <w:r>
        <w:rPr/>
        <w:t>人、基金托管人专门基金托管部门的主要业务人员在最近 </w:t>
      </w:r>
      <w:r>
        <w:rPr>
          <w:rFonts w:ascii="Times New Roman" w:eastAsia="Times New Roman"/>
        </w:rPr>
        <w:t>12 </w:t>
      </w:r>
      <w:r>
        <w:rPr/>
        <w:t>个月内变动超过百分之三十；</w:t>
      </w:r>
    </w:p>
    <w:p>
      <w:pPr>
        <w:pStyle w:val="ListParagraph"/>
        <w:numPr>
          <w:ilvl w:val="0"/>
          <w:numId w:val="50"/>
        </w:numPr>
        <w:tabs>
          <w:tab w:pos="1312" w:val="left" w:leader="none"/>
        </w:tabs>
        <w:spacing w:line="240" w:lineRule="auto" w:before="2" w:after="0"/>
        <w:ind w:left="1311" w:right="0" w:hanging="712"/>
        <w:jc w:val="left"/>
        <w:rPr>
          <w:sz w:val="24"/>
        </w:rPr>
      </w:pPr>
      <w:r>
        <w:rPr>
          <w:sz w:val="24"/>
        </w:rPr>
        <w:t>涉及基金财产、基金管理业务、基金托管业务的诉讼或仲裁；</w:t>
      </w:r>
    </w:p>
    <w:p>
      <w:pPr>
        <w:pStyle w:val="ListParagraph"/>
        <w:numPr>
          <w:ilvl w:val="0"/>
          <w:numId w:val="50"/>
        </w:numPr>
        <w:tabs>
          <w:tab w:pos="1322" w:val="left" w:leader="none"/>
        </w:tabs>
        <w:spacing w:line="364" w:lineRule="auto" w:before="160" w:after="0"/>
        <w:ind w:left="120" w:right="379" w:firstLine="479"/>
        <w:jc w:val="both"/>
        <w:rPr>
          <w:sz w:val="24"/>
        </w:rPr>
      </w:pPr>
      <w:r>
        <w:rPr>
          <w:spacing w:val="-4"/>
          <w:sz w:val="24"/>
        </w:rPr>
        <w:t>基金管理人或其高级管理人员、基金经理因基金管理业务相关行为</w:t>
      </w:r>
      <w:r>
        <w:rPr>
          <w:spacing w:val="-12"/>
          <w:sz w:val="24"/>
        </w:rPr>
        <w:t>受到重大行政处罚、刑事处罚，基金托管人或其专门基金托管部门负责人因基金</w:t>
      </w:r>
      <w:r>
        <w:rPr>
          <w:spacing w:val="-4"/>
          <w:sz w:val="24"/>
        </w:rPr>
        <w:t>托管业务相关行为受到重大行政处罚、刑事处罚；</w:t>
      </w:r>
    </w:p>
    <w:p>
      <w:pPr>
        <w:spacing w:after="0" w:line="364" w:lineRule="auto"/>
        <w:jc w:val="both"/>
        <w:rPr>
          <w:sz w:val="24"/>
        </w:rPr>
        <w:sectPr>
          <w:pgSz w:w="11910" w:h="16840"/>
          <w:pgMar w:header="0" w:footer="914" w:top="1460" w:bottom="1180" w:left="1680" w:right="1420"/>
        </w:sectPr>
      </w:pPr>
    </w:p>
    <w:p>
      <w:pPr>
        <w:pStyle w:val="ListParagraph"/>
        <w:numPr>
          <w:ilvl w:val="0"/>
          <w:numId w:val="50"/>
        </w:numPr>
        <w:tabs>
          <w:tab w:pos="1322" w:val="left" w:leader="none"/>
        </w:tabs>
        <w:spacing w:line="364" w:lineRule="auto" w:before="61" w:after="0"/>
        <w:ind w:left="120" w:right="261" w:firstLine="479"/>
        <w:jc w:val="left"/>
        <w:rPr>
          <w:sz w:val="24"/>
        </w:rPr>
      </w:pPr>
      <w:r>
        <w:rPr>
          <w:spacing w:val="-6"/>
          <w:sz w:val="24"/>
        </w:rPr>
        <w:t>基金管理人运用基金财产买卖基金管理人、基金托管人及其控股股东</w:t>
      </w:r>
      <w:r>
        <w:rPr>
          <w:spacing w:val="-1"/>
          <w:sz w:val="24"/>
        </w:rPr>
        <w:t>、实际控制人或者与其有重大利害关系的公司发行的证券或者承销期内承销的证券，或者从事其他重大关联交易事项，中国证监会另有规定的情形除外；</w:t>
      </w:r>
    </w:p>
    <w:p>
      <w:pPr>
        <w:pStyle w:val="ListParagraph"/>
        <w:numPr>
          <w:ilvl w:val="0"/>
          <w:numId w:val="50"/>
        </w:numPr>
        <w:tabs>
          <w:tab w:pos="1322" w:val="left" w:leader="none"/>
        </w:tabs>
        <w:spacing w:line="240" w:lineRule="auto" w:before="2" w:after="0"/>
        <w:ind w:left="1321" w:right="0" w:hanging="722"/>
        <w:jc w:val="left"/>
        <w:rPr>
          <w:sz w:val="24"/>
        </w:rPr>
      </w:pPr>
      <w:r>
        <w:rPr>
          <w:sz w:val="24"/>
        </w:rPr>
        <w:t>基金收益分配事项；</w:t>
      </w:r>
    </w:p>
    <w:p>
      <w:pPr>
        <w:pStyle w:val="ListParagraph"/>
        <w:numPr>
          <w:ilvl w:val="0"/>
          <w:numId w:val="50"/>
        </w:numPr>
        <w:tabs>
          <w:tab w:pos="1322" w:val="left" w:leader="none"/>
        </w:tabs>
        <w:spacing w:line="364" w:lineRule="auto" w:before="160" w:after="0"/>
        <w:ind w:left="120" w:right="377" w:firstLine="479"/>
        <w:jc w:val="left"/>
        <w:rPr>
          <w:sz w:val="24"/>
        </w:rPr>
      </w:pPr>
      <w:r>
        <w:rPr>
          <w:spacing w:val="-10"/>
          <w:sz w:val="24"/>
        </w:rPr>
        <w:t>管理费、托管费、销售服务费、申购费、赎回费等费用计提标准、计</w:t>
      </w:r>
      <w:r>
        <w:rPr>
          <w:sz w:val="24"/>
        </w:rPr>
        <w:t>提方式和费率发生变更；</w:t>
      </w:r>
    </w:p>
    <w:p>
      <w:pPr>
        <w:pStyle w:val="ListParagraph"/>
        <w:numPr>
          <w:ilvl w:val="0"/>
          <w:numId w:val="50"/>
        </w:numPr>
        <w:tabs>
          <w:tab w:pos="1322" w:val="left" w:leader="none"/>
        </w:tabs>
        <w:spacing w:line="240" w:lineRule="auto" w:before="1" w:after="0"/>
        <w:ind w:left="1321" w:right="0" w:hanging="722"/>
        <w:jc w:val="left"/>
        <w:rPr>
          <w:sz w:val="24"/>
        </w:rPr>
      </w:pPr>
      <w:r>
        <w:rPr>
          <w:sz w:val="24"/>
        </w:rPr>
        <w:t>基金份额净值计价错误达基金份额净值百分之零点五；</w:t>
      </w:r>
    </w:p>
    <w:p>
      <w:pPr>
        <w:pStyle w:val="ListParagraph"/>
        <w:numPr>
          <w:ilvl w:val="0"/>
          <w:numId w:val="50"/>
        </w:numPr>
        <w:tabs>
          <w:tab w:pos="1322" w:val="left" w:leader="none"/>
        </w:tabs>
        <w:spacing w:line="240" w:lineRule="auto" w:before="161" w:after="0"/>
        <w:ind w:left="1321" w:right="0" w:hanging="722"/>
        <w:jc w:val="left"/>
        <w:rPr>
          <w:sz w:val="24"/>
        </w:rPr>
      </w:pPr>
      <w:r>
        <w:rPr>
          <w:sz w:val="24"/>
        </w:rPr>
        <w:t>本基金开始办理申购、赎回；</w:t>
      </w:r>
    </w:p>
    <w:p>
      <w:pPr>
        <w:pStyle w:val="ListParagraph"/>
        <w:numPr>
          <w:ilvl w:val="0"/>
          <w:numId w:val="50"/>
        </w:numPr>
        <w:tabs>
          <w:tab w:pos="1322" w:val="left" w:leader="none"/>
        </w:tabs>
        <w:spacing w:line="240" w:lineRule="auto" w:before="161" w:after="0"/>
        <w:ind w:left="1321" w:right="0" w:hanging="722"/>
        <w:jc w:val="left"/>
        <w:rPr>
          <w:sz w:val="24"/>
        </w:rPr>
      </w:pPr>
      <w:r>
        <w:rPr>
          <w:sz w:val="24"/>
        </w:rPr>
        <w:t>本基金暂停接受申购、赎回申请或重新接受申购、赎回申请；</w:t>
      </w:r>
    </w:p>
    <w:p>
      <w:pPr>
        <w:pStyle w:val="ListParagraph"/>
        <w:numPr>
          <w:ilvl w:val="0"/>
          <w:numId w:val="50"/>
        </w:numPr>
        <w:tabs>
          <w:tab w:pos="1322" w:val="left" w:leader="none"/>
        </w:tabs>
        <w:spacing w:line="240" w:lineRule="auto" w:before="161" w:after="0"/>
        <w:ind w:left="1321" w:right="0" w:hanging="722"/>
        <w:jc w:val="left"/>
        <w:rPr>
          <w:sz w:val="24"/>
        </w:rPr>
      </w:pPr>
      <w:r>
        <w:rPr>
          <w:sz w:val="24"/>
        </w:rPr>
        <w:t>基金份额停牌、复牌、暂停上市、恢复上市或终止上市交易；</w:t>
      </w:r>
    </w:p>
    <w:p>
      <w:pPr>
        <w:pStyle w:val="ListParagraph"/>
        <w:numPr>
          <w:ilvl w:val="0"/>
          <w:numId w:val="50"/>
        </w:numPr>
        <w:tabs>
          <w:tab w:pos="1322" w:val="left" w:leader="none"/>
        </w:tabs>
        <w:spacing w:line="240" w:lineRule="auto" w:before="160" w:after="0"/>
        <w:ind w:left="1321" w:right="0" w:hanging="722"/>
        <w:jc w:val="left"/>
        <w:rPr>
          <w:sz w:val="24"/>
        </w:rPr>
      </w:pPr>
      <w:r>
        <w:rPr>
          <w:sz w:val="24"/>
        </w:rPr>
        <w:t>调整基金份额类别的设置；</w:t>
      </w:r>
    </w:p>
    <w:p>
      <w:pPr>
        <w:pStyle w:val="ListParagraph"/>
        <w:numPr>
          <w:ilvl w:val="0"/>
          <w:numId w:val="50"/>
        </w:numPr>
        <w:tabs>
          <w:tab w:pos="1322" w:val="left" w:leader="none"/>
        </w:tabs>
        <w:spacing w:line="240" w:lineRule="auto" w:before="160" w:after="0"/>
        <w:ind w:left="1321" w:right="0" w:hanging="722"/>
        <w:jc w:val="left"/>
        <w:rPr>
          <w:sz w:val="24"/>
        </w:rPr>
      </w:pPr>
      <w:r>
        <w:rPr>
          <w:sz w:val="24"/>
        </w:rPr>
        <w:t>基金推出新业务或服务；</w:t>
      </w:r>
    </w:p>
    <w:p>
      <w:pPr>
        <w:pStyle w:val="ListParagraph"/>
        <w:numPr>
          <w:ilvl w:val="0"/>
          <w:numId w:val="50"/>
        </w:numPr>
        <w:tabs>
          <w:tab w:pos="1322" w:val="left" w:leader="none"/>
        </w:tabs>
        <w:spacing w:line="364" w:lineRule="auto" w:before="161" w:after="0"/>
        <w:ind w:left="120" w:right="376" w:firstLine="479"/>
        <w:jc w:val="left"/>
        <w:rPr>
          <w:sz w:val="24"/>
        </w:rPr>
      </w:pPr>
      <w:r>
        <w:rPr>
          <w:sz w:val="24"/>
        </w:rPr>
        <w:t>基金信息披露义务人认为可能对基金份额持有人权益或者基金份额</w:t>
      </w:r>
      <w:r>
        <w:rPr>
          <w:spacing w:val="-4"/>
          <w:sz w:val="24"/>
        </w:rPr>
        <w:t>的价格产生重大影响的其他事项或中国证监会规定的其他事项。</w:t>
      </w:r>
    </w:p>
    <w:p>
      <w:pPr>
        <w:pStyle w:val="BodyText"/>
        <w:spacing w:before="1"/>
        <w:ind w:left="600" w:firstLine="0"/>
      </w:pPr>
      <w:r>
        <w:rPr>
          <w:rFonts w:ascii="Times New Roman" w:eastAsia="Times New Roman"/>
        </w:rPr>
        <w:t>8</w:t>
      </w:r>
      <w:r>
        <w:rPr/>
        <w:t>、澄清公告</w:t>
      </w:r>
    </w:p>
    <w:p>
      <w:pPr>
        <w:pStyle w:val="BodyText"/>
        <w:spacing w:line="364" w:lineRule="auto"/>
        <w:ind w:right="377"/>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情况立即报告中国证监会、基金上市交易的证券交易所。</w:t>
      </w:r>
    </w:p>
    <w:p>
      <w:pPr>
        <w:pStyle w:val="BodyText"/>
        <w:spacing w:before="2"/>
        <w:ind w:left="600" w:firstLine="0"/>
      </w:pPr>
      <w:r>
        <w:rPr>
          <w:rFonts w:ascii="Times New Roman" w:eastAsia="Times New Roman"/>
        </w:rPr>
        <w:t>9</w:t>
      </w:r>
      <w:r>
        <w:rPr/>
        <w:t>、清算报告</w:t>
      </w:r>
    </w:p>
    <w:p>
      <w:pPr>
        <w:pStyle w:val="BodyText"/>
        <w:spacing w:line="364" w:lineRule="auto"/>
        <w:ind w:right="283"/>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before="2"/>
        <w:ind w:left="600" w:firstLine="0"/>
      </w:pPr>
      <w:r>
        <w:rPr>
          <w:rFonts w:ascii="Times New Roman" w:eastAsia="Times New Roman"/>
        </w:rPr>
        <w:t>10</w:t>
      </w:r>
      <w:r>
        <w:rPr/>
        <w:t>、基金份额持有人大会决议</w:t>
      </w:r>
    </w:p>
    <w:p>
      <w:pPr>
        <w:pStyle w:val="BodyText"/>
        <w:spacing w:line="364" w:lineRule="auto"/>
        <w:ind w:right="283"/>
        <w:jc w:val="both"/>
      </w:pPr>
      <w:r>
        <w:rPr>
          <w:spacing w:val="-6"/>
        </w:rPr>
        <w:t>基金份额持有人大会决定的事项，应当依法报中国证监会核准或者备案，并</w:t>
      </w:r>
      <w:r>
        <w:rPr>
          <w:spacing w:val="-8"/>
        </w:rPr>
        <w:t>予以公告。召开基金份额持有人大会的，召集人应当至少提前 </w:t>
      </w:r>
      <w:r>
        <w:rPr>
          <w:rFonts w:ascii="Times New Roman" w:eastAsia="Times New Roman"/>
        </w:rPr>
        <w:t>40</w:t>
      </w:r>
      <w:r>
        <w:rPr>
          <w:rFonts w:ascii="Times New Roman" w:eastAsia="Times New Roman"/>
          <w:spacing w:val="13"/>
        </w:rPr>
        <w:t> </w:t>
      </w:r>
      <w:r>
        <w:rPr/>
        <w:t>日公告基金份</w:t>
      </w:r>
      <w:r>
        <w:rPr>
          <w:spacing w:val="-1"/>
        </w:rPr>
        <w:t>额持有人大会的召开时间、会议形式、审议事项、议事程序和表决方式等事项。</w:t>
      </w:r>
    </w:p>
    <w:p>
      <w:pPr>
        <w:pStyle w:val="BodyText"/>
        <w:spacing w:line="364" w:lineRule="auto" w:before="2"/>
        <w:ind w:right="377"/>
      </w:pPr>
      <w:r>
        <w:rPr>
          <w:spacing w:val="-6"/>
        </w:rPr>
        <w:t>基金份额持有人依法自行召集基金份额持有人大会，基金管理人、基金托管</w:t>
      </w:r>
      <w:r>
        <w:rPr>
          <w:spacing w:val="-5"/>
        </w:rPr>
        <w:t>人对基金份额持有人大会决定的事项不依法履行信息披露义务的，召集人应当履</w:t>
      </w:r>
    </w:p>
    <w:p>
      <w:pPr>
        <w:spacing w:after="0" w:line="364" w:lineRule="auto"/>
        <w:sectPr>
          <w:pgSz w:w="11910" w:h="16840"/>
          <w:pgMar w:header="0" w:footer="914" w:top="1440" w:bottom="1180" w:left="1680" w:right="1420"/>
        </w:sectPr>
      </w:pPr>
    </w:p>
    <w:p>
      <w:pPr>
        <w:pStyle w:val="BodyText"/>
        <w:spacing w:before="41"/>
        <w:ind w:firstLine="0"/>
      </w:pPr>
      <w:r>
        <w:rPr/>
        <w:t>行相关信息披露义务。</w:t>
      </w:r>
    </w:p>
    <w:p>
      <w:pPr>
        <w:pStyle w:val="BodyText"/>
        <w:spacing w:before="160"/>
        <w:ind w:left="600" w:firstLine="0"/>
      </w:pPr>
      <w:r>
        <w:rPr>
          <w:rFonts w:ascii="Times New Roman" w:eastAsia="Times New Roman"/>
        </w:rPr>
        <w:t>11</w:t>
      </w:r>
      <w:r>
        <w:rPr/>
        <w:t>、中国证监会规定的其他信息。</w:t>
      </w:r>
    </w:p>
    <w:p>
      <w:pPr>
        <w:spacing w:before="161"/>
        <w:ind w:left="602" w:right="0" w:firstLine="0"/>
        <w:jc w:val="left"/>
        <w:rPr>
          <w:b/>
          <w:sz w:val="24"/>
        </w:rPr>
      </w:pPr>
      <w:r>
        <w:rPr>
          <w:b/>
          <w:sz w:val="24"/>
        </w:rPr>
        <w:t>（六）信息披露事务管理</w:t>
      </w:r>
    </w:p>
    <w:p>
      <w:pPr>
        <w:pStyle w:val="BodyText"/>
        <w:spacing w:line="364" w:lineRule="auto" w:before="160"/>
        <w:ind w:right="378"/>
      </w:pPr>
      <w:r>
        <w:rPr>
          <w:spacing w:val="-10"/>
        </w:rPr>
        <w:t>基金管理人、基金托管人应当建立健全信息披露管理制度，指定专门部门及</w:t>
      </w:r>
      <w:r>
        <w:rPr/>
        <w:t>高级管理人员负责管理信息披露事务。</w:t>
      </w:r>
    </w:p>
    <w:p>
      <w:pPr>
        <w:pStyle w:val="BodyText"/>
        <w:spacing w:line="364" w:lineRule="auto" w:before="2"/>
        <w:ind w:right="377"/>
      </w:pPr>
      <w:r>
        <w:rPr>
          <w:spacing w:val="-7"/>
        </w:rPr>
        <w:t>基金信息披露义务人公开披露基金信息，应当符合中国证监会相关基金信息</w:t>
      </w:r>
      <w:r>
        <w:rPr/>
        <w:t>披露内容与格式准则等法规的规定。</w:t>
      </w:r>
    </w:p>
    <w:p>
      <w:pPr>
        <w:pStyle w:val="BodyText"/>
        <w:spacing w:line="364" w:lineRule="auto" w:before="1"/>
        <w:ind w:right="376"/>
        <w:jc w:val="both"/>
      </w:pPr>
      <w:r>
        <w:rPr>
          <w:spacing w:val="-6"/>
        </w:rPr>
        <w:t>基金托管人应当按照相关法律法规、中国证监会的规定和《基金合同》的约</w:t>
      </w:r>
      <w:r>
        <w:rPr>
          <w:spacing w:val="-10"/>
        </w:rPr>
        <w:t>定，对基金管理人编制的基金资产净值、各类基金份额的基金份额净值、基金份</w:t>
      </w:r>
      <w:r>
        <w:rPr>
          <w:spacing w:val="-8"/>
        </w:rPr>
        <w:t>额申购赎回价格、基金定期报告、更新的招募说明书、基金产品资料概要、基金</w:t>
      </w:r>
      <w:r>
        <w:rPr>
          <w:spacing w:val="-6"/>
        </w:rPr>
        <w:t>清算报告等公开披露的相关基金信息进行复核、审查，并向基金管理人进行书面</w:t>
      </w:r>
      <w:r>
        <w:rPr/>
        <w:t>或电子确认。</w:t>
      </w:r>
    </w:p>
    <w:p>
      <w:pPr>
        <w:pStyle w:val="BodyText"/>
        <w:spacing w:line="364" w:lineRule="auto" w:before="3"/>
        <w:ind w:right="282"/>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64" w:lineRule="auto" w:before="2"/>
        <w:ind w:right="380"/>
        <w:jc w:val="both"/>
      </w:pPr>
      <w:r>
        <w:rPr>
          <w:spacing w:val="-10"/>
        </w:rPr>
        <w:t>基金管理人、基金托管人除依法在指定媒介披露信息外，还可以根据需要在</w:t>
      </w:r>
      <w:r>
        <w:rPr>
          <w:spacing w:val="-8"/>
        </w:rPr>
        <w:t>其他公共媒介披露信息，但是其他公共媒介不得早于指定媒介披露信息，并且在</w:t>
      </w:r>
      <w:r>
        <w:rPr/>
        <w:t>不同媒介上披露同一信息的内容应当一致。</w:t>
      </w:r>
    </w:p>
    <w:p>
      <w:pPr>
        <w:pStyle w:val="BodyText"/>
        <w:spacing w:line="364" w:lineRule="auto" w:before="2"/>
        <w:ind w:right="377"/>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spacing w:before="3"/>
        <w:ind w:left="602" w:right="0" w:firstLine="0"/>
        <w:jc w:val="left"/>
        <w:rPr>
          <w:b/>
          <w:sz w:val="24"/>
        </w:rPr>
      </w:pPr>
      <w:r>
        <w:rPr>
          <w:b/>
          <w:sz w:val="24"/>
        </w:rPr>
        <w:t>（七）信息披露文件的存放与查阅</w:t>
      </w:r>
    </w:p>
    <w:p>
      <w:pPr>
        <w:pStyle w:val="BodyText"/>
        <w:spacing w:line="364" w:lineRule="auto" w:before="162"/>
        <w:ind w:right="377"/>
        <w:jc w:val="both"/>
      </w:pPr>
      <w:r>
        <w:rPr>
          <w:spacing w:val="-8"/>
        </w:rPr>
        <w:t>依法必须披露的信息发布后，基金管理人、基金托管人应当按照相关法律法</w:t>
      </w:r>
      <w:r>
        <w:rPr>
          <w:spacing w:val="-6"/>
        </w:rPr>
        <w:t>规规定将信息置备于公司办公场所、基金上市交易的证券交易所，供社会公众查</w:t>
      </w:r>
      <w:r>
        <w:rPr/>
        <w:t>阅、复制。</w:t>
      </w:r>
    </w:p>
    <w:p>
      <w:pPr>
        <w:spacing w:after="0" w:line="364" w:lineRule="auto"/>
        <w:jc w:val="both"/>
        <w:sectPr>
          <w:pgSz w:w="11910" w:h="16840"/>
          <w:pgMar w:header="0" w:footer="914" w:top="1460" w:bottom="1180" w:left="1680" w:right="1420"/>
        </w:sectPr>
      </w:pPr>
    </w:p>
    <w:p>
      <w:pPr>
        <w:pStyle w:val="BodyText"/>
        <w:spacing w:before="2"/>
        <w:ind w:left="0" w:firstLine="0"/>
        <w:rPr>
          <w:sz w:val="28"/>
        </w:rPr>
      </w:pPr>
    </w:p>
    <w:p>
      <w:pPr>
        <w:pStyle w:val="Heading1"/>
        <w:spacing w:before="67"/>
        <w:ind w:left="2" w:right="262"/>
        <w:jc w:val="center"/>
      </w:pPr>
      <w:bookmarkStart w:name="_bookmark18" w:id="19"/>
      <w:bookmarkEnd w:id="19"/>
      <w:r>
        <w:rPr>
          <w:b w:val="0"/>
        </w:rPr>
      </w:r>
      <w:r>
        <w:rPr>
          <w:rFonts w:ascii="黑体" w:eastAsia="黑体" w:hint="eastAsia"/>
        </w:rPr>
        <w:t>十九、</w:t>
      </w:r>
      <w:r>
        <w:rPr/>
        <w:t>基金合同的变更、终止与基金财产的清算</w:t>
      </w:r>
    </w:p>
    <w:p>
      <w:pPr>
        <w:pStyle w:val="BodyText"/>
        <w:spacing w:before="4"/>
        <w:ind w:left="0" w:firstLine="0"/>
        <w:rPr>
          <w:b/>
          <w:sz w:val="35"/>
        </w:rPr>
      </w:pPr>
    </w:p>
    <w:p>
      <w:pPr>
        <w:spacing w:before="0"/>
        <w:ind w:left="602" w:right="0" w:firstLine="0"/>
        <w:jc w:val="left"/>
        <w:rPr>
          <w:b/>
          <w:sz w:val="24"/>
        </w:rPr>
      </w:pPr>
      <w:r>
        <w:rPr>
          <w:b/>
          <w:sz w:val="24"/>
        </w:rPr>
        <w:t>（一</w:t>
      </w:r>
      <w:r>
        <w:rPr>
          <w:b/>
          <w:spacing w:val="-120"/>
          <w:sz w:val="24"/>
        </w:rPr>
        <w:t>）</w:t>
      </w:r>
      <w:r>
        <w:rPr>
          <w:b/>
          <w:sz w:val="24"/>
        </w:rPr>
        <w:t>《基金合同》的变更</w:t>
      </w:r>
    </w:p>
    <w:p>
      <w:pPr>
        <w:pStyle w:val="BodyText"/>
        <w:ind w:left="840" w:firstLine="0"/>
      </w:pPr>
      <w:r>
        <w:rPr>
          <w:rFonts w:ascii="Times New Roman" w:eastAsia="Times New Roman"/>
        </w:rPr>
        <w:t>1</w:t>
      </w:r>
      <w:r>
        <w:rPr/>
        <w:t>、以下变更《基金合同》的事项应经基金份额持有人大会决议通过：</w:t>
      </w:r>
    </w:p>
    <w:p>
      <w:pPr>
        <w:pStyle w:val="ListParagraph"/>
        <w:numPr>
          <w:ilvl w:val="1"/>
          <w:numId w:val="50"/>
        </w:numPr>
        <w:tabs>
          <w:tab w:pos="1413" w:val="left" w:leader="none"/>
        </w:tabs>
        <w:spacing w:line="240" w:lineRule="auto" w:before="160" w:after="0"/>
        <w:ind w:left="1412" w:right="0" w:hanging="602"/>
        <w:jc w:val="left"/>
        <w:rPr>
          <w:sz w:val="24"/>
        </w:rPr>
      </w:pPr>
      <w:r>
        <w:rPr>
          <w:spacing w:val="-11"/>
          <w:sz w:val="24"/>
        </w:rPr>
        <w:t>提前终止《基金合同》；</w:t>
      </w:r>
    </w:p>
    <w:p>
      <w:pPr>
        <w:pStyle w:val="ListParagraph"/>
        <w:numPr>
          <w:ilvl w:val="1"/>
          <w:numId w:val="50"/>
        </w:numPr>
        <w:tabs>
          <w:tab w:pos="1413" w:val="left" w:leader="none"/>
        </w:tabs>
        <w:spacing w:line="240" w:lineRule="auto" w:before="161" w:after="0"/>
        <w:ind w:left="1412" w:right="0" w:hanging="602"/>
        <w:jc w:val="left"/>
        <w:rPr>
          <w:sz w:val="24"/>
        </w:rPr>
      </w:pPr>
      <w:r>
        <w:rPr>
          <w:sz w:val="24"/>
        </w:rPr>
        <w:t>更换基金管理人；</w:t>
      </w:r>
    </w:p>
    <w:p>
      <w:pPr>
        <w:pStyle w:val="ListParagraph"/>
        <w:numPr>
          <w:ilvl w:val="1"/>
          <w:numId w:val="50"/>
        </w:numPr>
        <w:tabs>
          <w:tab w:pos="1413" w:val="left" w:leader="none"/>
        </w:tabs>
        <w:spacing w:line="240" w:lineRule="auto" w:before="160" w:after="0"/>
        <w:ind w:left="1412" w:right="0" w:hanging="602"/>
        <w:jc w:val="left"/>
        <w:rPr>
          <w:sz w:val="24"/>
        </w:rPr>
      </w:pPr>
      <w:r>
        <w:rPr>
          <w:sz w:val="24"/>
        </w:rPr>
        <w:t>更换基金托管人；</w:t>
      </w:r>
    </w:p>
    <w:p>
      <w:pPr>
        <w:pStyle w:val="ListParagraph"/>
        <w:numPr>
          <w:ilvl w:val="1"/>
          <w:numId w:val="50"/>
        </w:numPr>
        <w:tabs>
          <w:tab w:pos="1413" w:val="left" w:leader="none"/>
        </w:tabs>
        <w:spacing w:line="240" w:lineRule="auto" w:before="161" w:after="0"/>
        <w:ind w:left="1412" w:right="0" w:hanging="602"/>
        <w:jc w:val="left"/>
        <w:rPr>
          <w:sz w:val="24"/>
        </w:rPr>
      </w:pPr>
      <w:r>
        <w:rPr>
          <w:sz w:val="24"/>
        </w:rPr>
        <w:t>转换基金运作方式；</w:t>
      </w:r>
    </w:p>
    <w:p>
      <w:pPr>
        <w:pStyle w:val="ListParagraph"/>
        <w:numPr>
          <w:ilvl w:val="1"/>
          <w:numId w:val="50"/>
        </w:numPr>
        <w:tabs>
          <w:tab w:pos="1419" w:val="left" w:leader="none"/>
        </w:tabs>
        <w:spacing w:line="364" w:lineRule="auto" w:before="161" w:after="0"/>
        <w:ind w:left="331" w:right="374" w:firstLine="480"/>
        <w:jc w:val="left"/>
        <w:rPr>
          <w:sz w:val="24"/>
        </w:rPr>
      </w:pPr>
      <w:r>
        <w:rPr>
          <w:spacing w:val="-1"/>
          <w:sz w:val="24"/>
        </w:rPr>
        <w:t>提高基金管理人、基金托管人的报酬标准或销售服务费。但根据法</w:t>
      </w:r>
      <w:r>
        <w:rPr>
          <w:sz w:val="24"/>
        </w:rPr>
        <w:t>律法规的要求提高该等报酬标准或销售服务费的除外；</w:t>
      </w:r>
    </w:p>
    <w:p>
      <w:pPr>
        <w:pStyle w:val="ListParagraph"/>
        <w:numPr>
          <w:ilvl w:val="1"/>
          <w:numId w:val="50"/>
        </w:numPr>
        <w:tabs>
          <w:tab w:pos="1413" w:val="left" w:leader="none"/>
        </w:tabs>
        <w:spacing w:line="240" w:lineRule="auto" w:before="1" w:after="0"/>
        <w:ind w:left="1412" w:right="0" w:hanging="602"/>
        <w:jc w:val="left"/>
        <w:rPr>
          <w:sz w:val="24"/>
        </w:rPr>
      </w:pPr>
      <w:r>
        <w:rPr>
          <w:sz w:val="24"/>
        </w:rPr>
        <w:t>变更基金类别；</w:t>
      </w:r>
    </w:p>
    <w:p>
      <w:pPr>
        <w:pStyle w:val="ListParagraph"/>
        <w:numPr>
          <w:ilvl w:val="1"/>
          <w:numId w:val="50"/>
        </w:numPr>
        <w:tabs>
          <w:tab w:pos="1413" w:val="left" w:leader="none"/>
        </w:tabs>
        <w:spacing w:line="240" w:lineRule="auto" w:before="161" w:after="0"/>
        <w:ind w:left="1412" w:right="0" w:hanging="602"/>
        <w:jc w:val="left"/>
        <w:rPr>
          <w:sz w:val="24"/>
        </w:rPr>
      </w:pPr>
      <w:r>
        <w:rPr>
          <w:sz w:val="24"/>
        </w:rPr>
        <w:t>本基金与其他基金的合并；</w:t>
      </w:r>
    </w:p>
    <w:p>
      <w:pPr>
        <w:pStyle w:val="ListParagraph"/>
        <w:numPr>
          <w:ilvl w:val="1"/>
          <w:numId w:val="50"/>
        </w:numPr>
        <w:tabs>
          <w:tab w:pos="1413" w:val="left" w:leader="none"/>
        </w:tabs>
        <w:spacing w:line="240" w:lineRule="auto" w:before="160" w:after="0"/>
        <w:ind w:left="1412" w:right="0" w:hanging="602"/>
        <w:jc w:val="left"/>
        <w:rPr>
          <w:sz w:val="24"/>
        </w:rPr>
      </w:pPr>
      <w:r>
        <w:rPr>
          <w:sz w:val="24"/>
        </w:rPr>
        <w:t>变更基金投资目标、范围或策略；</w:t>
      </w:r>
    </w:p>
    <w:p>
      <w:pPr>
        <w:pStyle w:val="ListParagraph"/>
        <w:numPr>
          <w:ilvl w:val="1"/>
          <w:numId w:val="50"/>
        </w:numPr>
        <w:tabs>
          <w:tab w:pos="1413" w:val="left" w:leader="none"/>
        </w:tabs>
        <w:spacing w:line="240" w:lineRule="auto" w:before="161" w:after="0"/>
        <w:ind w:left="1412" w:right="0" w:hanging="602"/>
        <w:jc w:val="left"/>
        <w:rPr>
          <w:sz w:val="24"/>
        </w:rPr>
      </w:pPr>
      <w:r>
        <w:rPr>
          <w:sz w:val="24"/>
        </w:rPr>
        <w:t>变更基金份额持有人大会程序；</w:t>
      </w:r>
    </w:p>
    <w:p>
      <w:pPr>
        <w:pStyle w:val="ListParagraph"/>
        <w:numPr>
          <w:ilvl w:val="1"/>
          <w:numId w:val="50"/>
        </w:numPr>
        <w:tabs>
          <w:tab w:pos="1533" w:val="left" w:leader="none"/>
        </w:tabs>
        <w:spacing w:line="240" w:lineRule="auto" w:before="160" w:after="0"/>
        <w:ind w:left="1532" w:right="0" w:hanging="722"/>
        <w:jc w:val="left"/>
        <w:rPr>
          <w:sz w:val="24"/>
        </w:rPr>
      </w:pPr>
      <w:r>
        <w:rPr>
          <w:sz w:val="24"/>
        </w:rPr>
        <w:t>对基金当事人权利和义务产生重大影响的其他事项。</w:t>
      </w:r>
    </w:p>
    <w:p>
      <w:pPr>
        <w:pStyle w:val="ListParagraph"/>
        <w:numPr>
          <w:ilvl w:val="1"/>
          <w:numId w:val="50"/>
        </w:numPr>
        <w:tabs>
          <w:tab w:pos="1523" w:val="left" w:leader="none"/>
        </w:tabs>
        <w:spacing w:line="364" w:lineRule="auto" w:before="161" w:after="0"/>
        <w:ind w:left="331" w:right="374" w:firstLine="480"/>
        <w:jc w:val="both"/>
        <w:rPr>
          <w:sz w:val="24"/>
        </w:rPr>
      </w:pPr>
      <w:r>
        <w:rPr>
          <w:sz w:val="24"/>
        </w:rPr>
        <w:t>单独或合计持有本基金总份额</w:t>
      </w:r>
      <w:r>
        <w:rPr>
          <w:rFonts w:ascii="Times New Roman" w:eastAsia="Times New Roman"/>
          <w:sz w:val="24"/>
        </w:rPr>
        <w:t>10</w:t>
      </w:r>
      <w:r>
        <w:rPr>
          <w:spacing w:val="-7"/>
          <w:sz w:val="24"/>
        </w:rPr>
        <w:t>％以上</w:t>
      </w:r>
      <w:r>
        <w:rPr>
          <w:sz w:val="24"/>
        </w:rPr>
        <w:t>（含</w:t>
      </w:r>
      <w:r>
        <w:rPr>
          <w:rFonts w:ascii="Times New Roman" w:eastAsia="Times New Roman"/>
          <w:spacing w:val="-5"/>
          <w:sz w:val="24"/>
        </w:rPr>
        <w:t>10</w:t>
      </w:r>
      <w:r>
        <w:rPr>
          <w:spacing w:val="-5"/>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22"/>
          <w:sz w:val="24"/>
        </w:rPr>
        <w:t>）</w:t>
      </w:r>
      <w:r>
        <w:rPr>
          <w:spacing w:val="-3"/>
          <w:sz w:val="24"/>
        </w:rPr>
        <w:t>就同一事项</w:t>
      </w:r>
      <w:r>
        <w:rPr>
          <w:sz w:val="24"/>
        </w:rPr>
        <w:t>书面要求召开基金份额持有人大会；</w:t>
      </w:r>
    </w:p>
    <w:p>
      <w:pPr>
        <w:pStyle w:val="ListParagraph"/>
        <w:numPr>
          <w:ilvl w:val="1"/>
          <w:numId w:val="50"/>
        </w:numPr>
        <w:tabs>
          <w:tab w:pos="1533" w:val="left" w:leader="none"/>
        </w:tabs>
        <w:spacing w:line="364" w:lineRule="auto" w:before="2" w:after="0"/>
        <w:ind w:left="331" w:right="431" w:firstLine="480"/>
        <w:jc w:val="left"/>
        <w:rPr>
          <w:sz w:val="24"/>
        </w:rPr>
      </w:pPr>
      <w:r>
        <w:rPr>
          <w:spacing w:val="-13"/>
          <w:sz w:val="24"/>
        </w:rPr>
        <w:t>法律法规、《基金合同》或中国证监会规定的其他应当召开基金份</w:t>
      </w:r>
      <w:r>
        <w:rPr>
          <w:sz w:val="24"/>
        </w:rPr>
        <w:t>额持有人大会的事项。</w:t>
      </w:r>
    </w:p>
    <w:p>
      <w:pPr>
        <w:pStyle w:val="BodyText"/>
        <w:spacing w:line="364" w:lineRule="auto" w:before="1"/>
        <w:ind w:left="331" w:right="432" w:firstLine="480"/>
      </w:pPr>
      <w:r>
        <w:rPr>
          <w:rFonts w:ascii="Times New Roman" w:eastAsia="Times New Roman"/>
        </w:rPr>
        <w:t>2</w:t>
      </w:r>
      <w:r>
        <w:rPr>
          <w:spacing w:val="-1"/>
        </w:rPr>
        <w:t>、以下情况可由基金管理人和基金托管人协商后修改，不需召开基金份</w:t>
      </w:r>
      <w:r>
        <w:rPr/>
        <w:t>额持有人大会：</w:t>
      </w:r>
    </w:p>
    <w:p>
      <w:pPr>
        <w:pStyle w:val="ListParagraph"/>
        <w:numPr>
          <w:ilvl w:val="0"/>
          <w:numId w:val="51"/>
        </w:numPr>
        <w:tabs>
          <w:tab w:pos="1413" w:val="left" w:leader="none"/>
        </w:tabs>
        <w:spacing w:line="240" w:lineRule="auto" w:before="1" w:after="0"/>
        <w:ind w:left="1412" w:right="0" w:hanging="602"/>
        <w:jc w:val="left"/>
        <w:rPr>
          <w:sz w:val="24"/>
        </w:rPr>
      </w:pPr>
      <w:r>
        <w:rPr>
          <w:sz w:val="24"/>
        </w:rPr>
        <w:t>调低基金管理费、基金托管费、销售服务费；</w:t>
      </w:r>
    </w:p>
    <w:p>
      <w:pPr>
        <w:pStyle w:val="ListParagraph"/>
        <w:numPr>
          <w:ilvl w:val="0"/>
          <w:numId w:val="51"/>
        </w:numPr>
        <w:tabs>
          <w:tab w:pos="1413" w:val="left" w:leader="none"/>
        </w:tabs>
        <w:spacing w:line="240" w:lineRule="auto" w:before="161" w:after="0"/>
        <w:ind w:left="1412" w:right="0" w:hanging="602"/>
        <w:jc w:val="left"/>
        <w:rPr>
          <w:sz w:val="24"/>
        </w:rPr>
      </w:pPr>
      <w:r>
        <w:rPr>
          <w:sz w:val="24"/>
        </w:rPr>
        <w:t>法律法规要求增加的基金费用的收取；</w:t>
      </w:r>
    </w:p>
    <w:p>
      <w:pPr>
        <w:pStyle w:val="ListParagraph"/>
        <w:numPr>
          <w:ilvl w:val="0"/>
          <w:numId w:val="51"/>
        </w:numPr>
        <w:tabs>
          <w:tab w:pos="1419" w:val="left" w:leader="none"/>
        </w:tabs>
        <w:spacing w:line="364" w:lineRule="auto" w:before="161" w:after="0"/>
        <w:ind w:left="331" w:right="373" w:firstLine="480"/>
        <w:jc w:val="left"/>
        <w:rPr>
          <w:sz w:val="24"/>
        </w:rPr>
      </w:pPr>
      <w:r>
        <w:rPr>
          <w:spacing w:val="-1"/>
          <w:sz w:val="24"/>
        </w:rPr>
        <w:t>在《基金合同》规定的范围内变更本基金的申购费率、降低赎回费</w:t>
      </w:r>
      <w:r>
        <w:rPr>
          <w:sz w:val="24"/>
        </w:rPr>
        <w:t>率；</w:t>
      </w:r>
    </w:p>
    <w:p>
      <w:pPr>
        <w:pStyle w:val="ListParagraph"/>
        <w:numPr>
          <w:ilvl w:val="0"/>
          <w:numId w:val="51"/>
        </w:numPr>
        <w:tabs>
          <w:tab w:pos="1413" w:val="left" w:leader="none"/>
        </w:tabs>
        <w:spacing w:line="240" w:lineRule="auto" w:before="1" w:after="0"/>
        <w:ind w:left="1412" w:right="0" w:hanging="602"/>
        <w:jc w:val="left"/>
        <w:rPr>
          <w:sz w:val="24"/>
        </w:rPr>
      </w:pPr>
      <w:r>
        <w:rPr>
          <w:sz w:val="24"/>
        </w:rPr>
        <w:t>因相应的法律法规发生变动而应当对《基金合同》进行修改；</w:t>
      </w:r>
    </w:p>
    <w:p>
      <w:pPr>
        <w:pStyle w:val="ListParagraph"/>
        <w:numPr>
          <w:ilvl w:val="0"/>
          <w:numId w:val="51"/>
        </w:numPr>
        <w:tabs>
          <w:tab w:pos="1413" w:val="left" w:leader="none"/>
        </w:tabs>
        <w:spacing w:line="364" w:lineRule="auto" w:before="161" w:after="0"/>
        <w:ind w:left="331" w:right="377" w:firstLine="480"/>
        <w:jc w:val="left"/>
        <w:rPr>
          <w:sz w:val="24"/>
        </w:rPr>
      </w:pPr>
      <w:r>
        <w:rPr>
          <w:spacing w:val="-6"/>
          <w:sz w:val="24"/>
        </w:rPr>
        <w:t>《基金合同》的修改对基金份额持有人利益无实质性不利影响或修</w:t>
      </w:r>
      <w:r>
        <w:rPr>
          <w:spacing w:val="-4"/>
          <w:sz w:val="24"/>
        </w:rPr>
        <w:t>改不涉及基金合同当事人权利义务关系发生变化；</w:t>
      </w:r>
    </w:p>
    <w:p>
      <w:pPr>
        <w:spacing w:after="0" w:line="364" w:lineRule="auto"/>
        <w:jc w:val="left"/>
        <w:rPr>
          <w:sz w:val="24"/>
        </w:rPr>
        <w:sectPr>
          <w:pgSz w:w="11910" w:h="16840"/>
          <w:pgMar w:header="0" w:footer="914" w:top="1580" w:bottom="1180" w:left="1680" w:right="1420"/>
        </w:sectPr>
      </w:pPr>
    </w:p>
    <w:p>
      <w:pPr>
        <w:pStyle w:val="ListParagraph"/>
        <w:numPr>
          <w:ilvl w:val="0"/>
          <w:numId w:val="51"/>
        </w:numPr>
        <w:tabs>
          <w:tab w:pos="1419" w:val="left" w:leader="none"/>
        </w:tabs>
        <w:spacing w:line="364" w:lineRule="auto" w:before="61" w:after="0"/>
        <w:ind w:left="331" w:right="375" w:firstLine="480"/>
        <w:jc w:val="left"/>
        <w:rPr>
          <w:sz w:val="24"/>
        </w:rPr>
      </w:pPr>
      <w:r>
        <w:rPr>
          <w:spacing w:val="-1"/>
          <w:sz w:val="24"/>
        </w:rPr>
        <w:t>除按照法律法规和《基金合同》规定应当召开基金份额持有人大会</w:t>
      </w:r>
      <w:r>
        <w:rPr>
          <w:sz w:val="24"/>
        </w:rPr>
        <w:t>的以外的其他情形。</w:t>
      </w:r>
    </w:p>
    <w:p>
      <w:pPr>
        <w:pStyle w:val="BodyText"/>
        <w:spacing w:line="364" w:lineRule="auto" w:before="1"/>
        <w:ind w:left="331" w:right="373" w:firstLine="480"/>
        <w:jc w:val="both"/>
      </w:pPr>
      <w:r>
        <w:rPr>
          <w:rFonts w:ascii="Times New Roman" w:eastAsia="Times New Roman"/>
        </w:rPr>
        <w:t>3</w:t>
      </w:r>
      <w:r>
        <w:rPr>
          <w:spacing w:val="-16"/>
        </w:rPr>
        <w:t>、《基金合同》生效后的存续期内，出现以下情形之一的，基金管理人应</w:t>
      </w:r>
      <w:r>
        <w:rPr>
          <w:spacing w:val="-5"/>
        </w:rPr>
        <w:t>召集基金份额持有人大会，并由基金份额持有人大会就是否变更、终止基金合</w:t>
      </w:r>
      <w:r>
        <w:rPr/>
        <w:t>同或将本基金与其他基金合并进行表决：</w:t>
      </w:r>
    </w:p>
    <w:p>
      <w:pPr>
        <w:pStyle w:val="ListParagraph"/>
        <w:numPr>
          <w:ilvl w:val="0"/>
          <w:numId w:val="52"/>
        </w:numPr>
        <w:tabs>
          <w:tab w:pos="1539" w:val="left" w:leader="none"/>
        </w:tabs>
        <w:spacing w:line="240" w:lineRule="auto" w:before="2" w:after="0"/>
        <w:ind w:left="1538" w:right="0" w:hanging="728"/>
        <w:jc w:val="both"/>
        <w:rPr>
          <w:sz w:val="24"/>
        </w:rPr>
      </w:pPr>
      <w:r>
        <w:rPr>
          <w:spacing w:val="-5"/>
          <w:sz w:val="24"/>
        </w:rPr>
        <w:t>基金份额持有人数量连续 </w:t>
      </w:r>
      <w:r>
        <w:rPr>
          <w:rFonts w:ascii="Times New Roman" w:eastAsia="Times New Roman"/>
          <w:sz w:val="24"/>
        </w:rPr>
        <w:t>60 </w:t>
      </w:r>
      <w:r>
        <w:rPr>
          <w:spacing w:val="-8"/>
          <w:sz w:val="24"/>
        </w:rPr>
        <w:t>个工作日达不到 </w:t>
      </w:r>
      <w:r>
        <w:rPr>
          <w:rFonts w:ascii="Times New Roman" w:eastAsia="Times New Roman"/>
          <w:sz w:val="24"/>
        </w:rPr>
        <w:t>200 </w:t>
      </w:r>
      <w:r>
        <w:rPr>
          <w:sz w:val="24"/>
        </w:rPr>
        <w:t>人；</w:t>
      </w:r>
    </w:p>
    <w:p>
      <w:pPr>
        <w:pStyle w:val="ListParagraph"/>
        <w:numPr>
          <w:ilvl w:val="0"/>
          <w:numId w:val="52"/>
        </w:numPr>
        <w:tabs>
          <w:tab w:pos="1539" w:val="left" w:leader="none"/>
        </w:tabs>
        <w:spacing w:line="240" w:lineRule="auto" w:before="160" w:after="0"/>
        <w:ind w:left="1538" w:right="0" w:hanging="728"/>
        <w:jc w:val="left"/>
        <w:rPr>
          <w:sz w:val="24"/>
        </w:rPr>
      </w:pPr>
      <w:r>
        <w:rPr>
          <w:spacing w:val="-7"/>
          <w:sz w:val="24"/>
        </w:rPr>
        <w:t>基金资产净值连续 </w:t>
      </w:r>
      <w:r>
        <w:rPr>
          <w:rFonts w:ascii="Times New Roman" w:eastAsia="Times New Roman"/>
          <w:sz w:val="24"/>
        </w:rPr>
        <w:t>60 </w:t>
      </w:r>
      <w:r>
        <w:rPr>
          <w:spacing w:val="-9"/>
          <w:sz w:val="24"/>
        </w:rPr>
        <w:t>个工作日低于 </w:t>
      </w:r>
      <w:r>
        <w:rPr>
          <w:rFonts w:ascii="Times New Roman" w:eastAsia="Times New Roman"/>
          <w:sz w:val="24"/>
        </w:rPr>
        <w:t>3000 </w:t>
      </w:r>
      <w:r>
        <w:rPr>
          <w:sz w:val="24"/>
        </w:rPr>
        <w:t>万元人民币。</w:t>
      </w:r>
    </w:p>
    <w:p>
      <w:pPr>
        <w:pStyle w:val="BodyText"/>
        <w:spacing w:line="364" w:lineRule="auto"/>
        <w:ind w:right="384"/>
      </w:pPr>
      <w:r>
        <w:rPr>
          <w:rFonts w:ascii="Times New Roman" w:eastAsia="Times New Roman"/>
        </w:rPr>
        <w:t>4</w:t>
      </w:r>
      <w:r>
        <w:rPr/>
        <w:t>、关于《基金合同》变更的基金份额持有人大会决议经中国证监会核准生效后方可执行，自《基金合同》变更生效之日起在指定媒介上公告。</w:t>
      </w:r>
    </w:p>
    <w:p>
      <w:pPr>
        <w:spacing w:before="2"/>
        <w:ind w:left="602" w:right="0" w:firstLine="0"/>
        <w:jc w:val="left"/>
        <w:rPr>
          <w:b/>
          <w:sz w:val="24"/>
        </w:rPr>
      </w:pPr>
      <w:r>
        <w:rPr>
          <w:b/>
          <w:sz w:val="24"/>
        </w:rPr>
        <w:t>（二</w:t>
      </w:r>
      <w:r>
        <w:rPr>
          <w:b/>
          <w:spacing w:val="-120"/>
          <w:sz w:val="24"/>
        </w:rPr>
        <w:t>）</w:t>
      </w:r>
      <w:r>
        <w:rPr>
          <w:b/>
          <w:sz w:val="24"/>
        </w:rPr>
        <w:t>《基金合同》的终止</w:t>
      </w:r>
    </w:p>
    <w:p>
      <w:pPr>
        <w:pStyle w:val="BodyText"/>
        <w:spacing w:before="160"/>
        <w:ind w:left="600" w:firstLine="0"/>
      </w:pPr>
      <w:r>
        <w:rPr/>
        <w:t>有下列情形之一的，《基金合同》应当终止：</w:t>
      </w:r>
    </w:p>
    <w:p>
      <w:pPr>
        <w:pStyle w:val="BodyText"/>
        <w:ind w:left="600" w:firstLine="0"/>
      </w:pPr>
      <w:r>
        <w:rPr>
          <w:rFonts w:ascii="Times New Roman" w:eastAsia="Times New Roman"/>
        </w:rPr>
        <w:t>1</w:t>
      </w:r>
      <w:r>
        <w:rPr/>
        <w:t>、基金份额持有人大会决定终止的；</w:t>
      </w:r>
    </w:p>
    <w:p>
      <w:pPr>
        <w:pStyle w:val="BodyText"/>
        <w:spacing w:line="364" w:lineRule="auto" w:before="160"/>
        <w:ind w:right="323"/>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1"/>
        <w:ind w:left="600" w:firstLine="0"/>
      </w:pPr>
      <w:r>
        <w:rPr>
          <w:rFonts w:ascii="Times New Roman" w:eastAsia="Times New Roman"/>
        </w:rPr>
        <w:t>3</w:t>
      </w:r>
      <w:r>
        <w:rPr/>
        <w:t>、《基金合同》约定的其他情形；</w:t>
      </w:r>
    </w:p>
    <w:p>
      <w:pPr>
        <w:pStyle w:val="BodyText"/>
        <w:ind w:left="600" w:firstLine="0"/>
      </w:pPr>
      <w:r>
        <w:rPr>
          <w:rFonts w:ascii="Times New Roman" w:eastAsia="Times New Roman"/>
        </w:rPr>
        <w:t>4</w:t>
      </w:r>
      <w:r>
        <w:rPr/>
        <w:t>、相关法律法规和中国证监会规定的其他情况。</w:t>
      </w:r>
    </w:p>
    <w:p>
      <w:pPr>
        <w:spacing w:before="161"/>
        <w:ind w:left="602" w:right="0" w:firstLine="0"/>
        <w:jc w:val="left"/>
        <w:rPr>
          <w:b/>
          <w:sz w:val="24"/>
        </w:rPr>
      </w:pPr>
      <w:r>
        <w:rPr>
          <w:b/>
          <w:sz w:val="24"/>
        </w:rPr>
        <w:t>（三）基金财产的清算</w:t>
      </w:r>
    </w:p>
    <w:p>
      <w:pPr>
        <w:pStyle w:val="BodyText"/>
        <w:spacing w:line="364" w:lineRule="auto" w:before="160"/>
        <w:ind w:right="376"/>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0"/>
        </w:rPr>
        <w:t>成立基金财产清算小组，基金管理人组织基金财产清算小组并在中国证监会的监</w:t>
      </w:r>
      <w:r>
        <w:rPr/>
        <w:t>督下进行基金清算。</w:t>
      </w:r>
    </w:p>
    <w:p>
      <w:pPr>
        <w:pStyle w:val="BodyText"/>
        <w:spacing w:line="364" w:lineRule="auto" w:before="2"/>
        <w:ind w:right="37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57"/>
      </w:pPr>
      <w:r>
        <w:rPr>
          <w:rFonts w:ascii="Times New Roman" w:eastAsia="Times New Roman"/>
        </w:rPr>
        <w:t>3</w:t>
      </w:r>
      <w:r>
        <w:rPr>
          <w:spacing w:val="-11"/>
        </w:rPr>
        <w:t>、基金财产清算小组职责：基金财产清算小组负责基金财产的保管、清理、</w:t>
      </w:r>
      <w:r>
        <w:rPr/>
        <w:t>估价、变现和分配。基金财产清算小组可以依法进行必要的民事活动。</w:t>
      </w:r>
    </w:p>
    <w:p>
      <w:pPr>
        <w:pStyle w:val="BodyText"/>
        <w:spacing w:before="2"/>
        <w:ind w:left="600" w:firstLine="0"/>
      </w:pPr>
      <w:r>
        <w:rPr>
          <w:rFonts w:ascii="Times New Roman" w:eastAsia="Times New Roman"/>
        </w:rPr>
        <w:t>4</w:t>
      </w:r>
      <w:r>
        <w:rPr/>
        <w:t>、基金财产清算程序：</w:t>
      </w:r>
    </w:p>
    <w:p>
      <w:pPr>
        <w:pStyle w:val="ListParagraph"/>
        <w:numPr>
          <w:ilvl w:val="0"/>
          <w:numId w:val="53"/>
        </w:numPr>
        <w:tabs>
          <w:tab w:pos="1202" w:val="left" w:leader="none"/>
        </w:tabs>
        <w:spacing w:line="240" w:lineRule="auto" w:before="160" w:after="0"/>
        <w:ind w:left="1201" w:right="0" w:hanging="602"/>
        <w:jc w:val="left"/>
        <w:rPr>
          <w:sz w:val="24"/>
        </w:rPr>
      </w:pPr>
      <w:r>
        <w:rPr>
          <w:sz w:val="24"/>
        </w:rPr>
        <w:t>《基金合同》终止后，由基金财产清算小组统一接管基金财产；</w:t>
      </w:r>
    </w:p>
    <w:p>
      <w:pPr>
        <w:pStyle w:val="ListParagraph"/>
        <w:numPr>
          <w:ilvl w:val="0"/>
          <w:numId w:val="53"/>
        </w:numPr>
        <w:tabs>
          <w:tab w:pos="1202" w:val="left" w:leader="none"/>
        </w:tabs>
        <w:spacing w:line="240" w:lineRule="auto" w:before="161" w:after="0"/>
        <w:ind w:left="1201" w:right="0" w:hanging="602"/>
        <w:jc w:val="left"/>
        <w:rPr>
          <w:sz w:val="24"/>
        </w:rPr>
      </w:pPr>
      <w:r>
        <w:rPr>
          <w:sz w:val="24"/>
        </w:rPr>
        <w:t>对基金财产和债权债务进行清理和确认；</w:t>
      </w:r>
    </w:p>
    <w:p>
      <w:pPr>
        <w:pStyle w:val="ListParagraph"/>
        <w:numPr>
          <w:ilvl w:val="0"/>
          <w:numId w:val="53"/>
        </w:numPr>
        <w:tabs>
          <w:tab w:pos="1202" w:val="left" w:leader="none"/>
        </w:tabs>
        <w:spacing w:line="240" w:lineRule="auto" w:before="160" w:after="0"/>
        <w:ind w:left="1201" w:right="0" w:hanging="602"/>
        <w:jc w:val="left"/>
        <w:rPr>
          <w:sz w:val="24"/>
        </w:rPr>
      </w:pPr>
      <w:r>
        <w:rPr>
          <w:sz w:val="24"/>
        </w:rPr>
        <w:t>对基金财产进行估值和变现；</w:t>
      </w:r>
    </w:p>
    <w:p>
      <w:pPr>
        <w:spacing w:after="0" w:line="240" w:lineRule="auto"/>
        <w:jc w:val="left"/>
        <w:rPr>
          <w:sz w:val="24"/>
        </w:rPr>
        <w:sectPr>
          <w:pgSz w:w="11910" w:h="16840"/>
          <w:pgMar w:header="0" w:footer="914" w:top="1440" w:bottom="1180" w:left="1680" w:right="1420"/>
        </w:sectPr>
      </w:pPr>
    </w:p>
    <w:p>
      <w:pPr>
        <w:pStyle w:val="ListParagraph"/>
        <w:numPr>
          <w:ilvl w:val="0"/>
          <w:numId w:val="53"/>
        </w:numPr>
        <w:tabs>
          <w:tab w:pos="1202" w:val="left" w:leader="none"/>
        </w:tabs>
        <w:spacing w:line="240" w:lineRule="auto" w:before="61" w:after="0"/>
        <w:ind w:left="1201" w:right="0" w:hanging="602"/>
        <w:jc w:val="left"/>
        <w:rPr>
          <w:sz w:val="24"/>
        </w:rPr>
      </w:pPr>
      <w:r>
        <w:rPr>
          <w:sz w:val="24"/>
        </w:rPr>
        <w:t>制作清算报告；</w:t>
      </w:r>
    </w:p>
    <w:p>
      <w:pPr>
        <w:pStyle w:val="ListParagraph"/>
        <w:numPr>
          <w:ilvl w:val="0"/>
          <w:numId w:val="53"/>
        </w:numPr>
        <w:tabs>
          <w:tab w:pos="1202" w:val="left" w:leader="none"/>
        </w:tabs>
        <w:spacing w:line="364" w:lineRule="auto" w:before="160" w:after="0"/>
        <w:ind w:left="120" w:right="384"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53"/>
        </w:numPr>
        <w:tabs>
          <w:tab w:pos="1202" w:val="left" w:leader="none"/>
        </w:tabs>
        <w:spacing w:line="240" w:lineRule="auto" w:before="2" w:after="0"/>
        <w:ind w:left="1201" w:right="0" w:hanging="602"/>
        <w:jc w:val="left"/>
        <w:rPr>
          <w:sz w:val="24"/>
        </w:rPr>
      </w:pPr>
      <w:r>
        <w:rPr>
          <w:sz w:val="24"/>
        </w:rPr>
        <w:t>将清算报告报中国证监会备案并公告。</w:t>
      </w:r>
    </w:p>
    <w:p>
      <w:pPr>
        <w:pStyle w:val="ListParagraph"/>
        <w:numPr>
          <w:ilvl w:val="0"/>
          <w:numId w:val="53"/>
        </w:numPr>
        <w:tabs>
          <w:tab w:pos="1202" w:val="left" w:leader="none"/>
        </w:tabs>
        <w:spacing w:line="240" w:lineRule="auto" w:before="160" w:after="0"/>
        <w:ind w:left="1201" w:right="0" w:hanging="602"/>
        <w:jc w:val="left"/>
        <w:rPr>
          <w:sz w:val="24"/>
        </w:rPr>
      </w:pPr>
      <w:r>
        <w:rPr>
          <w:sz w:val="24"/>
        </w:rPr>
        <w:t>对基金剩余财产进行分配。</w:t>
      </w:r>
    </w:p>
    <w:p>
      <w:pPr>
        <w:spacing w:before="161"/>
        <w:ind w:left="602" w:right="0" w:firstLine="0"/>
        <w:jc w:val="left"/>
        <w:rPr>
          <w:b/>
          <w:sz w:val="24"/>
        </w:rPr>
      </w:pPr>
      <w:r>
        <w:rPr>
          <w:b/>
          <w:sz w:val="24"/>
        </w:rPr>
        <w:t>（四）清算费用</w:t>
      </w:r>
    </w:p>
    <w:p>
      <w:pPr>
        <w:pStyle w:val="BodyText"/>
        <w:spacing w:line="364" w:lineRule="auto" w:before="160"/>
        <w:ind w:right="370"/>
      </w:pPr>
      <w:r>
        <w:rPr/>
        <w:t>清算费用是指基金财产清算小组在进行基金财产清算过程中发生的所有合理费用，清算费用由基金财产清算小组优先从基金财产中支付。</w:t>
      </w:r>
    </w:p>
    <w:p>
      <w:pPr>
        <w:spacing w:line="364" w:lineRule="auto" w:before="2"/>
        <w:ind w:left="600" w:right="4222" w:firstLine="2"/>
        <w:jc w:val="left"/>
        <w:rPr>
          <w:sz w:val="24"/>
        </w:rPr>
      </w:pPr>
      <w:r>
        <w:rPr>
          <w:b/>
          <w:sz w:val="24"/>
        </w:rPr>
        <w:t>（五） 基金财产清算剩余资产的分配</w:t>
      </w:r>
      <w:r>
        <w:rPr>
          <w:sz w:val="24"/>
        </w:rPr>
        <w:t>基金财产按下列顺序清偿：</w:t>
      </w:r>
    </w:p>
    <w:p>
      <w:pPr>
        <w:pStyle w:val="ListParagraph"/>
        <w:numPr>
          <w:ilvl w:val="0"/>
          <w:numId w:val="54"/>
        </w:numPr>
        <w:tabs>
          <w:tab w:pos="1202" w:val="left" w:leader="none"/>
        </w:tabs>
        <w:spacing w:line="240" w:lineRule="auto" w:before="1" w:after="0"/>
        <w:ind w:left="1201" w:right="0" w:hanging="602"/>
        <w:jc w:val="left"/>
        <w:rPr>
          <w:sz w:val="24"/>
        </w:rPr>
      </w:pPr>
      <w:r>
        <w:rPr>
          <w:sz w:val="24"/>
        </w:rPr>
        <w:t>支付清算费用；</w:t>
      </w:r>
    </w:p>
    <w:p>
      <w:pPr>
        <w:pStyle w:val="ListParagraph"/>
        <w:numPr>
          <w:ilvl w:val="0"/>
          <w:numId w:val="54"/>
        </w:numPr>
        <w:tabs>
          <w:tab w:pos="1202" w:val="left" w:leader="none"/>
        </w:tabs>
        <w:spacing w:line="240" w:lineRule="auto" w:before="161" w:after="0"/>
        <w:ind w:left="1201" w:right="0" w:hanging="602"/>
        <w:jc w:val="left"/>
        <w:rPr>
          <w:sz w:val="24"/>
        </w:rPr>
      </w:pPr>
      <w:r>
        <w:rPr>
          <w:sz w:val="24"/>
        </w:rPr>
        <w:t>交纳所欠税款；</w:t>
      </w:r>
    </w:p>
    <w:p>
      <w:pPr>
        <w:pStyle w:val="ListParagraph"/>
        <w:numPr>
          <w:ilvl w:val="0"/>
          <w:numId w:val="54"/>
        </w:numPr>
        <w:tabs>
          <w:tab w:pos="1202" w:val="left" w:leader="none"/>
        </w:tabs>
        <w:spacing w:line="240" w:lineRule="auto" w:before="160" w:after="0"/>
        <w:ind w:left="1201" w:right="0" w:hanging="602"/>
        <w:jc w:val="left"/>
        <w:rPr>
          <w:sz w:val="24"/>
        </w:rPr>
      </w:pPr>
      <w:r>
        <w:rPr>
          <w:sz w:val="24"/>
        </w:rPr>
        <w:t>清偿基金债务；</w:t>
      </w:r>
    </w:p>
    <w:p>
      <w:pPr>
        <w:pStyle w:val="ListParagraph"/>
        <w:numPr>
          <w:ilvl w:val="0"/>
          <w:numId w:val="54"/>
        </w:numPr>
        <w:tabs>
          <w:tab w:pos="1202" w:val="left" w:leader="none"/>
        </w:tabs>
        <w:spacing w:line="240" w:lineRule="auto" w:before="161" w:after="0"/>
        <w:ind w:left="1201" w:right="0" w:hanging="602"/>
        <w:jc w:val="left"/>
        <w:rPr>
          <w:sz w:val="24"/>
        </w:rPr>
      </w:pPr>
      <w:r>
        <w:rPr>
          <w:sz w:val="24"/>
        </w:rPr>
        <w:t>按基金份额持有人持有的基金份额比例进行分配。</w:t>
      </w:r>
    </w:p>
    <w:p>
      <w:pPr>
        <w:pStyle w:val="BodyText"/>
        <w:spacing w:line="364" w:lineRule="auto" w:before="160"/>
        <w:ind w:right="380"/>
      </w:pPr>
      <w:r>
        <w:rPr/>
        <w:t>基金财产未按前款</w:t>
      </w:r>
      <w:r>
        <w:rPr>
          <w:spacing w:val="1"/>
        </w:rPr>
        <w:t>（</w:t>
      </w:r>
      <w:r>
        <w:rPr>
          <w:rFonts w:ascii="Times New Roman" w:eastAsia="Times New Roman"/>
        </w:rPr>
        <w:t>1</w:t>
      </w:r>
      <w:r>
        <w:rPr>
          <w:spacing w:val="-118"/>
        </w:rPr>
        <w:t>）</w:t>
      </w:r>
      <w:r>
        <w:rPr>
          <w:spacing w:val="-120"/>
        </w:rPr>
        <w:t>、</w:t>
      </w:r>
      <w:r>
        <w:rPr/>
        <w:t>（</w:t>
      </w:r>
      <w:r>
        <w:rPr>
          <w:rFonts w:ascii="Times New Roman" w:eastAsia="Times New Roman"/>
        </w:rPr>
        <w:t>2</w:t>
      </w:r>
      <w:r>
        <w:rPr>
          <w:spacing w:val="-118"/>
        </w:rPr>
        <w:t>）</w:t>
      </w:r>
      <w:r>
        <w:rPr>
          <w:spacing w:val="-120"/>
        </w:rPr>
        <w:t>、</w:t>
      </w:r>
      <w:r>
        <w:rPr/>
        <w:t>（</w:t>
      </w:r>
      <w:r>
        <w:rPr>
          <w:rFonts w:ascii="Times New Roman" w:eastAsia="Times New Roman"/>
          <w:spacing w:val="2"/>
        </w:rPr>
        <w:t>3</w:t>
      </w:r>
      <w:r>
        <w:rPr/>
        <w:t>）</w:t>
      </w:r>
      <w:r>
        <w:rPr>
          <w:spacing w:val="-1"/>
        </w:rPr>
        <w:t>小项规定清偿前，不分配给基金份额持</w:t>
      </w:r>
      <w:r>
        <w:rPr/>
        <w:t>有人。</w:t>
      </w:r>
    </w:p>
    <w:p>
      <w:pPr>
        <w:spacing w:before="2"/>
        <w:ind w:left="602" w:right="0" w:firstLine="0"/>
        <w:jc w:val="left"/>
        <w:rPr>
          <w:b/>
          <w:sz w:val="24"/>
        </w:rPr>
      </w:pPr>
      <w:r>
        <w:rPr>
          <w:b/>
          <w:sz w:val="24"/>
        </w:rPr>
        <w:t>（六） 基金财产清算的公告</w:t>
      </w:r>
    </w:p>
    <w:p>
      <w:pPr>
        <w:pStyle w:val="BodyText"/>
        <w:spacing w:line="364" w:lineRule="auto" w:before="160"/>
        <w:ind w:right="376"/>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spacing w:val="-13"/>
        </w:rPr>
        <w:t>公告于《基金合同》终止并报中国证监会备案后 </w:t>
      </w:r>
      <w:r>
        <w:rPr>
          <w:rFonts w:ascii="Times New Roman" w:eastAsia="Times New Roman"/>
        </w:rPr>
        <w:t>5 </w:t>
      </w:r>
      <w:r>
        <w:rPr>
          <w:spacing w:val="-2"/>
        </w:rPr>
        <w:t>个工作日内由基金财产清算小</w:t>
      </w:r>
      <w:r>
        <w:rPr/>
        <w:t>组进行公告。</w:t>
      </w:r>
    </w:p>
    <w:p>
      <w:pPr>
        <w:spacing w:before="3"/>
        <w:ind w:left="602" w:right="0" w:firstLine="0"/>
        <w:jc w:val="both"/>
        <w:rPr>
          <w:b/>
          <w:sz w:val="24"/>
        </w:rPr>
      </w:pPr>
      <w:r>
        <w:rPr>
          <w:b/>
          <w:sz w:val="24"/>
        </w:rPr>
        <w:t>（七） 基金财产清算账册及文件的保存</w:t>
      </w:r>
    </w:p>
    <w:p>
      <w:pPr>
        <w:pStyle w:val="BodyText"/>
        <w:spacing w:before="160"/>
        <w:ind w:left="600" w:firstLine="0"/>
        <w:jc w:val="both"/>
      </w:pPr>
      <w:r>
        <w:rPr/>
        <w:t>基金财产清算账册及有关文件由基金托管人保存 </w:t>
      </w:r>
      <w:r>
        <w:rPr>
          <w:rFonts w:ascii="Times New Roman" w:eastAsia="Times New Roman"/>
        </w:rPr>
        <w:t>15 </w:t>
      </w:r>
      <w:r>
        <w:rPr/>
        <w:t>年以上。</w:t>
      </w:r>
    </w:p>
    <w:p>
      <w:pPr>
        <w:spacing w:after="0"/>
        <w:jc w:val="both"/>
        <w:sectPr>
          <w:pgSz w:w="11910" w:h="16840"/>
          <w:pgMar w:header="0" w:footer="914" w:top="1440" w:bottom="1180" w:left="1680" w:right="1420"/>
        </w:sectPr>
      </w:pPr>
    </w:p>
    <w:p>
      <w:pPr>
        <w:pStyle w:val="BodyText"/>
        <w:spacing w:before="2"/>
        <w:ind w:left="0" w:firstLine="0"/>
        <w:rPr>
          <w:sz w:val="28"/>
        </w:rPr>
      </w:pPr>
    </w:p>
    <w:p>
      <w:pPr>
        <w:pStyle w:val="Heading1"/>
        <w:spacing w:before="67"/>
        <w:ind w:left="6" w:right="262"/>
        <w:jc w:val="center"/>
      </w:pPr>
      <w:bookmarkStart w:name="_bookmark19" w:id="20"/>
      <w:bookmarkEnd w:id="20"/>
      <w:r>
        <w:rPr>
          <w:b w:val="0"/>
        </w:rPr>
      </w:r>
      <w:r>
        <w:rPr/>
        <w:t>二十、业务规则</w:t>
      </w:r>
    </w:p>
    <w:p>
      <w:pPr>
        <w:pStyle w:val="BodyText"/>
        <w:spacing w:before="4"/>
        <w:ind w:left="0" w:firstLine="0"/>
        <w:rPr>
          <w:b/>
          <w:sz w:val="35"/>
        </w:rPr>
      </w:pPr>
    </w:p>
    <w:p>
      <w:pPr>
        <w:pStyle w:val="BodyText"/>
        <w:spacing w:line="364" w:lineRule="auto" w:before="0"/>
        <w:ind w:right="282"/>
      </w:pPr>
      <w:r>
        <w:rPr>
          <w:spacing w:val="-6"/>
        </w:rPr>
        <w:t>基金份额持有人应遵守基金管理人、深圳证券交易所和基金登记结算机构的</w:t>
      </w:r>
      <w:r>
        <w:rPr>
          <w:spacing w:val="-11"/>
        </w:rPr>
        <w:t>相关业务规则。相关业务规则由基金管理人、深圳证券交易所和基金登记结算机</w:t>
      </w:r>
      <w:r>
        <w:rPr>
          <w:spacing w:val="-12"/>
        </w:rPr>
        <w:t>构制订，并由其解释与修改，但业务规则的修改若引致须对《基金合同》进行相</w:t>
      </w:r>
      <w:r>
        <w:rPr>
          <w:spacing w:val="-13"/>
        </w:rPr>
        <w:t>应修改且属于法律法规及本合同规定的应召开基金份额持有人大会审议的情形， </w:t>
      </w:r>
      <w:r>
        <w:rPr/>
        <w:t>则应召开基金份额持有人大会，对《基金合同》的修改达成决议。</w:t>
      </w:r>
    </w:p>
    <w:p>
      <w:pPr>
        <w:spacing w:after="0" w:line="364" w:lineRule="auto"/>
        <w:sectPr>
          <w:pgSz w:w="11910" w:h="16840"/>
          <w:pgMar w:header="0" w:footer="914" w:top="1580" w:bottom="1180" w:left="1680" w:right="1420"/>
        </w:sectPr>
      </w:pPr>
    </w:p>
    <w:p>
      <w:pPr>
        <w:pStyle w:val="BodyText"/>
        <w:spacing w:before="0"/>
        <w:ind w:left="0" w:firstLine="0"/>
        <w:rPr>
          <w:sz w:val="20"/>
        </w:rPr>
      </w:pPr>
    </w:p>
    <w:p>
      <w:pPr>
        <w:pStyle w:val="BodyText"/>
        <w:spacing w:before="5"/>
        <w:ind w:left="0" w:firstLine="0"/>
        <w:rPr>
          <w:sz w:val="28"/>
        </w:rPr>
      </w:pPr>
    </w:p>
    <w:p>
      <w:pPr>
        <w:pStyle w:val="Heading1"/>
        <w:spacing w:before="67"/>
        <w:ind w:left="6" w:right="262"/>
        <w:jc w:val="center"/>
      </w:pPr>
      <w:bookmarkStart w:name="_bookmark20" w:id="21"/>
      <w:bookmarkEnd w:id="21"/>
      <w:r>
        <w:rPr>
          <w:b w:val="0"/>
        </w:rPr>
      </w:r>
      <w:r>
        <w:rPr/>
        <w:t>二十一、违约责任</w:t>
      </w:r>
    </w:p>
    <w:p>
      <w:pPr>
        <w:pStyle w:val="BodyText"/>
        <w:spacing w:before="4"/>
        <w:ind w:left="0" w:firstLine="0"/>
        <w:rPr>
          <w:b/>
          <w:sz w:val="35"/>
        </w:rPr>
      </w:pPr>
    </w:p>
    <w:p>
      <w:pPr>
        <w:pStyle w:val="BodyText"/>
        <w:spacing w:line="364" w:lineRule="auto" w:before="0"/>
        <w:ind w:right="377"/>
        <w:jc w:val="both"/>
      </w:pPr>
      <w:r>
        <w:rPr/>
        <w:t>（一</w:t>
      </w:r>
      <w:r>
        <w:rPr>
          <w:spacing w:val="-32"/>
        </w:rPr>
        <w:t>）</w:t>
      </w:r>
      <w:r>
        <w:rPr>
          <w:spacing w:val="-6"/>
        </w:rPr>
        <w:t>因基金合同当事人的违约行为造成《基金合同》不能履行或者不能完</w:t>
      </w:r>
      <w:r>
        <w:rPr>
          <w:spacing w:val="-10"/>
        </w:rPr>
        <w:t>全履行的，由违约的一方承担违约责任；如属《基金合同》当事人双方或多方当事人的违约，根据实际情况，由违约方分别承担各自应负的违约责任。但是发生</w:t>
      </w:r>
      <w:r>
        <w:rPr/>
        <w:t>下列情况，当事人可以免责：</w:t>
      </w:r>
    </w:p>
    <w:p>
      <w:pPr>
        <w:pStyle w:val="BodyText"/>
        <w:spacing w:line="364" w:lineRule="auto" w:before="3"/>
        <w:ind w:right="384"/>
      </w:pPr>
      <w:r>
        <w:rPr>
          <w:rFonts w:ascii="Times New Roman" w:eastAsia="Times New Roman"/>
        </w:rPr>
        <w:t>1</w:t>
      </w:r>
      <w:r>
        <w:rPr/>
        <w:t>、基金管理人及基金托管人按照中国证监会的规定或当时有效的法律法规的作为或不作为而造成的损失等；</w:t>
      </w:r>
    </w:p>
    <w:p>
      <w:pPr>
        <w:pStyle w:val="BodyText"/>
        <w:spacing w:line="364" w:lineRule="auto" w:before="2"/>
        <w:ind w:right="380"/>
      </w:pPr>
      <w:r>
        <w:rPr>
          <w:rFonts w:ascii="Times New Roman" w:eastAsia="Times New Roman"/>
        </w:rPr>
        <w:t>2</w:t>
      </w:r>
      <w:r>
        <w:rPr/>
        <w:t>、基金管理人由于按照《基金合同》规定的投资原则而行使或不行使其投资权而造成的损失等；</w:t>
      </w:r>
    </w:p>
    <w:p>
      <w:pPr>
        <w:pStyle w:val="BodyText"/>
        <w:spacing w:before="1"/>
        <w:ind w:left="600" w:firstLine="0"/>
      </w:pPr>
      <w:r>
        <w:rPr>
          <w:rFonts w:ascii="Times New Roman" w:eastAsia="Times New Roman"/>
        </w:rPr>
        <w:t>3</w:t>
      </w:r>
      <w:r>
        <w:rPr/>
        <w:t>、不可抗力；</w:t>
      </w:r>
    </w:p>
    <w:p>
      <w:pPr>
        <w:pStyle w:val="BodyText"/>
        <w:spacing w:line="364" w:lineRule="auto" w:before="160"/>
        <w:ind w:right="372"/>
        <w:jc w:val="both"/>
      </w:pPr>
      <w:r>
        <w:rPr>
          <w:rFonts w:ascii="Times New Roman" w:eastAsia="Times New Roman"/>
        </w:rPr>
        <w:t>4</w:t>
      </w:r>
      <w:r>
        <w:rPr/>
        <w:t>、对于因境外托管行为所在地的法律、法规、监管规章之规定或监管机构之要求导致基金托管人和</w:t>
      </w:r>
      <w:r>
        <w:rPr>
          <w:rFonts w:ascii="Times New Roman" w:eastAsia="Times New Roman"/>
        </w:rPr>
        <w:t>/</w:t>
      </w:r>
      <w:r>
        <w:rPr/>
        <w:t>或境外托管人无法履行本协议项下义务或基金财产损失的；</w:t>
      </w:r>
    </w:p>
    <w:p>
      <w:pPr>
        <w:pStyle w:val="BodyText"/>
        <w:spacing w:line="364" w:lineRule="auto" w:before="2"/>
        <w:ind w:right="379"/>
        <w:jc w:val="both"/>
      </w:pPr>
      <w:r>
        <w:rPr>
          <w:rFonts w:ascii="Times New Roman" w:eastAsia="Times New Roman"/>
        </w:rPr>
        <w:t>5</w:t>
      </w:r>
      <w:r>
        <w:rPr/>
        <w:t>、在基金运作过程中，基金管理人及基金托管人按照《基金法》和《试行</w:t>
      </w:r>
      <w:r>
        <w:rPr>
          <w:spacing w:val="-10"/>
        </w:rPr>
        <w:t>办法》的规定以及本基金合同的约定履行了相关职责，但由于其控制能力之外的</w:t>
      </w:r>
      <w:r>
        <w:rPr/>
        <w:t>第三方原因或其他原因而造成运作不畅、出现差错和损失的。</w:t>
      </w:r>
    </w:p>
    <w:p>
      <w:pPr>
        <w:pStyle w:val="BodyText"/>
        <w:spacing w:before="0"/>
        <w:ind w:left="0" w:firstLine="0"/>
      </w:pPr>
    </w:p>
    <w:p>
      <w:pPr>
        <w:pStyle w:val="BodyText"/>
        <w:spacing w:line="364" w:lineRule="auto" w:before="163"/>
        <w:ind w:right="283"/>
      </w:pPr>
      <w:r>
        <w:rPr/>
        <w:t>（二）</w:t>
      </w:r>
      <w:r>
        <w:rPr>
          <w:spacing w:val="-1"/>
        </w:rPr>
        <w:t>基金管理人、基金托管人在履行各自职责的过程中，违反《基金法》</w:t>
      </w:r>
      <w:r>
        <w:rPr>
          <w:spacing w:val="-8"/>
        </w:rPr>
        <w:t>等法律法规的规定或者《基金合同》约定，给基金财产或者基金份额持有人造成</w:t>
      </w:r>
      <w:r>
        <w:rPr>
          <w:spacing w:val="-11"/>
        </w:rPr>
        <w:t>损害的，应当分别对各自的行为依法承担赔偿责任；因共同行为给基金财产或者</w:t>
      </w:r>
      <w:r>
        <w:rPr>
          <w:spacing w:val="-15"/>
        </w:rPr>
        <w:t>基金份额持有人造成损害的，应当承担连带赔偿责任。因第三方的过错而导致本</w:t>
      </w:r>
      <w:r>
        <w:rPr>
          <w:spacing w:val="-16"/>
        </w:rPr>
        <w:t>基金合同当事人一方违约造成其他当事人损失的，违约方并不免除其赔偿责任。</w:t>
      </w:r>
    </w:p>
    <w:p>
      <w:pPr>
        <w:pStyle w:val="BodyText"/>
        <w:spacing w:before="0"/>
        <w:ind w:left="0" w:firstLine="0"/>
      </w:pPr>
    </w:p>
    <w:p>
      <w:pPr>
        <w:pStyle w:val="BodyText"/>
        <w:spacing w:line="364" w:lineRule="auto" w:before="164"/>
        <w:ind w:right="379"/>
        <w:jc w:val="both"/>
      </w:pPr>
      <w:r>
        <w:rPr/>
        <w:t>（三</w:t>
      </w:r>
      <w:r>
        <w:rPr>
          <w:spacing w:val="-48"/>
        </w:rPr>
        <w:t>）</w:t>
      </w:r>
      <w:r>
        <w:rPr>
          <w:spacing w:val="-5"/>
        </w:rPr>
        <w:t>发生一方或多方违约的情况时，在最大限度地保护基金份额持有人利</w:t>
      </w:r>
      <w:r>
        <w:rPr>
          <w:spacing w:val="-12"/>
        </w:rPr>
        <w:t>益的前提下，《基金合同》能够继续履行的应当继续履行。非违约方当事人在职</w:t>
      </w:r>
      <w:r>
        <w:rPr>
          <w:spacing w:val="-6"/>
        </w:rPr>
        <w:t>责范围内有义务及时采取必要的措施，防止损失的扩大。没有采取适当措施致使</w:t>
      </w:r>
      <w:r>
        <w:rPr>
          <w:spacing w:val="-9"/>
        </w:rPr>
        <w:t>损失进一步扩大的，不得就扩大的损失要求赔偿。非违约方因防止损失扩大而支</w:t>
      </w:r>
    </w:p>
    <w:p>
      <w:pPr>
        <w:spacing w:after="0" w:line="364" w:lineRule="auto"/>
        <w:jc w:val="both"/>
        <w:sectPr>
          <w:pgSz w:w="11910" w:h="16840"/>
          <w:pgMar w:header="0" w:footer="914" w:top="1580" w:bottom="1180" w:left="1680" w:right="1420"/>
        </w:sectPr>
      </w:pPr>
    </w:p>
    <w:p>
      <w:pPr>
        <w:pStyle w:val="BodyText"/>
        <w:spacing w:before="41"/>
        <w:ind w:firstLine="0"/>
      </w:pPr>
      <w:r>
        <w:rPr/>
        <w:t>出的合理费用由违约方承担。</w:t>
      </w:r>
    </w:p>
    <w:p>
      <w:pPr>
        <w:pStyle w:val="BodyText"/>
        <w:spacing w:line="364" w:lineRule="auto" w:before="160"/>
        <w:ind w:right="381"/>
      </w:pPr>
      <w:r>
        <w:rPr/>
        <w:t>（四</w:t>
      </w:r>
      <w:r>
        <w:rPr>
          <w:spacing w:val="-48"/>
        </w:rPr>
        <w:t>）</w:t>
      </w:r>
      <w:r>
        <w:rPr>
          <w:spacing w:val="-4"/>
        </w:rPr>
        <w:t>对于境外托管人履行职责过程中因本身过错、疏忽等原因而导致基金</w:t>
      </w:r>
      <w:r>
        <w:rPr/>
        <w:t>财产受到损失的，基金托管人应承担相应责任。</w:t>
      </w:r>
    </w:p>
    <w:p>
      <w:pPr>
        <w:spacing w:after="0" w:line="364" w:lineRule="auto"/>
        <w:sectPr>
          <w:pgSz w:w="11910" w:h="16840"/>
          <w:pgMar w:header="0" w:footer="914" w:top="1460" w:bottom="1180" w:left="1680" w:right="1420"/>
        </w:sectPr>
      </w:pPr>
    </w:p>
    <w:p>
      <w:pPr>
        <w:pStyle w:val="BodyText"/>
        <w:spacing w:before="2"/>
        <w:ind w:left="0" w:firstLine="0"/>
        <w:rPr>
          <w:sz w:val="28"/>
        </w:rPr>
      </w:pPr>
    </w:p>
    <w:p>
      <w:pPr>
        <w:pStyle w:val="Heading1"/>
        <w:spacing w:before="67"/>
        <w:ind w:left="3" w:right="262"/>
        <w:jc w:val="center"/>
      </w:pPr>
      <w:bookmarkStart w:name="_bookmark21" w:id="22"/>
      <w:bookmarkEnd w:id="22"/>
      <w:r>
        <w:rPr>
          <w:b w:val="0"/>
        </w:rPr>
      </w:r>
      <w:r>
        <w:rPr>
          <w:rFonts w:ascii="黑体" w:eastAsia="黑体" w:hint="eastAsia"/>
        </w:rPr>
        <w:t>二十二、</w:t>
      </w:r>
      <w:r>
        <w:rPr/>
        <w:t>争议的处理和适用的法律</w:t>
      </w:r>
    </w:p>
    <w:p>
      <w:pPr>
        <w:pStyle w:val="BodyText"/>
        <w:spacing w:before="4"/>
        <w:ind w:left="0" w:firstLine="0"/>
        <w:rPr>
          <w:b/>
          <w:sz w:val="35"/>
        </w:rPr>
      </w:pPr>
    </w:p>
    <w:p>
      <w:pPr>
        <w:pStyle w:val="BodyText"/>
        <w:spacing w:line="364" w:lineRule="auto" w:before="0"/>
        <w:ind w:right="379"/>
        <w:jc w:val="both"/>
      </w:pPr>
      <w:r>
        <w:rPr>
          <w:spacing w:val="-9"/>
        </w:rPr>
        <w:t>各方当事人同意，因《基金合同》而产生的或与《基金合同》有关的一切争</w:t>
      </w:r>
      <w:r>
        <w:rPr>
          <w:spacing w:val="-11"/>
        </w:rPr>
        <w:t>议，如经友好协商未能解决的，应提交中国国际经济贸易仲裁委员会根据该会当</w:t>
      </w:r>
      <w:r>
        <w:rPr>
          <w:spacing w:val="-8"/>
        </w:rPr>
        <w:t>时有效的仲裁规则进行仲裁，仲裁地点为北京，仲裁裁决是终局性的并对各方当</w:t>
      </w:r>
      <w:r>
        <w:rPr/>
        <w:t>事人具有约束力，仲裁费由败诉方承担。</w:t>
      </w:r>
    </w:p>
    <w:p>
      <w:pPr>
        <w:pStyle w:val="BodyText"/>
        <w:spacing w:before="3"/>
        <w:ind w:left="600" w:firstLine="0"/>
      </w:pPr>
      <w:r>
        <w:rPr/>
        <w:t>《基金合同》受中国法律管辖。</w:t>
      </w:r>
    </w:p>
    <w:p>
      <w:pPr>
        <w:spacing w:after="0"/>
        <w:sectPr>
          <w:pgSz w:w="11910" w:h="16840"/>
          <w:pgMar w:header="0" w:footer="914" w:top="1580" w:bottom="1180" w:left="1680" w:right="1420"/>
        </w:sectPr>
      </w:pPr>
    </w:p>
    <w:p>
      <w:pPr>
        <w:pStyle w:val="BodyText"/>
        <w:spacing w:before="2"/>
        <w:ind w:left="0" w:firstLine="0"/>
        <w:rPr>
          <w:sz w:val="28"/>
        </w:rPr>
      </w:pPr>
    </w:p>
    <w:p>
      <w:pPr>
        <w:pStyle w:val="Heading1"/>
        <w:spacing w:before="67"/>
        <w:ind w:left="4" w:right="262"/>
        <w:jc w:val="center"/>
      </w:pPr>
      <w:bookmarkStart w:name="_bookmark22" w:id="23"/>
      <w:bookmarkEnd w:id="23"/>
      <w:r>
        <w:rPr>
          <w:b w:val="0"/>
        </w:rPr>
      </w:r>
      <w:r>
        <w:rPr>
          <w:rFonts w:ascii="黑体" w:eastAsia="黑体" w:hint="eastAsia"/>
        </w:rPr>
        <w:t>二十三、</w:t>
      </w:r>
      <w:r>
        <w:rPr/>
        <w:t>基金合同的效力</w:t>
      </w:r>
    </w:p>
    <w:p>
      <w:pPr>
        <w:pStyle w:val="BodyText"/>
        <w:spacing w:before="4"/>
        <w:ind w:left="0" w:firstLine="0"/>
        <w:rPr>
          <w:b/>
          <w:sz w:val="35"/>
        </w:rPr>
      </w:pPr>
    </w:p>
    <w:p>
      <w:pPr>
        <w:pStyle w:val="BodyText"/>
        <w:spacing w:line="364" w:lineRule="auto" w:before="0"/>
        <w:ind w:right="379"/>
      </w:pPr>
      <w:r>
        <w:rPr>
          <w:spacing w:val="-11"/>
        </w:rPr>
        <w:t>《基金合同》是约定基金合同当事人之间、基金与基金合同当事人之间权利</w:t>
      </w:r>
      <w:r>
        <w:rPr/>
        <w:t>义务关系的法律文件。</w:t>
      </w:r>
    </w:p>
    <w:p>
      <w:pPr>
        <w:pStyle w:val="BodyText"/>
        <w:spacing w:line="364" w:lineRule="auto" w:before="2"/>
        <w:ind w:right="377"/>
        <w:jc w:val="both"/>
      </w:pPr>
      <w:r>
        <w:rPr>
          <w:rFonts w:ascii="Times New Roman" w:eastAsia="Times New Roman"/>
        </w:rPr>
        <w:t>1</w:t>
      </w:r>
      <w:r>
        <w:rPr>
          <w:spacing w:val="-16"/>
        </w:rPr>
        <w:t>、《基金合同》经基金管理人、基金托管人双方盖章以及双方法定代表人或</w:t>
      </w:r>
      <w:r>
        <w:rPr>
          <w:spacing w:val="-4"/>
        </w:rPr>
        <w:t>授权代表签字并在募集结束后经基金管理人向中国证监会办理基金备案手续，并</w:t>
      </w:r>
      <w:r>
        <w:rPr/>
        <w:t>经中国证监会书面确认后生效。</w:t>
      </w:r>
    </w:p>
    <w:p>
      <w:pPr>
        <w:pStyle w:val="BodyText"/>
        <w:spacing w:line="364" w:lineRule="auto" w:before="1"/>
        <w:ind w:right="377"/>
      </w:pPr>
      <w:r>
        <w:rPr>
          <w:rFonts w:ascii="Times New Roman" w:eastAsia="Times New Roman"/>
        </w:rPr>
        <w:t>2</w:t>
      </w:r>
      <w:r>
        <w:rPr>
          <w:spacing w:val="-16"/>
        </w:rPr>
        <w:t>、《基金合同》的有效期自其生效之日起至基金财产清算报告报中国证监会</w:t>
      </w:r>
      <w:r>
        <w:rPr/>
        <w:t>备案并公告之日止。</w:t>
      </w:r>
    </w:p>
    <w:p>
      <w:pPr>
        <w:pStyle w:val="BodyText"/>
        <w:spacing w:line="364" w:lineRule="auto" w:before="2"/>
        <w:ind w:right="377"/>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before="1"/>
        <w:ind w:right="379"/>
      </w:pPr>
      <w:r>
        <w:rPr>
          <w:rFonts w:ascii="Times New Roman" w:eastAsia="Times New Roman"/>
        </w:rPr>
        <w:t>4</w:t>
      </w:r>
      <w:r>
        <w:rPr>
          <w:spacing w:val="-17"/>
        </w:rPr>
        <w:t>、《基金合同》正本一式六份，除报送相关监管机构一式二份外，基金管理</w:t>
      </w:r>
      <w:r>
        <w:rPr/>
        <w:t>人、基金托管人各持有二份，每份具有同等的法律效力。</w:t>
      </w:r>
    </w:p>
    <w:p>
      <w:pPr>
        <w:pStyle w:val="BodyText"/>
        <w:spacing w:line="364" w:lineRule="auto" w:before="2"/>
        <w:ind w:right="377"/>
        <w:jc w:val="both"/>
      </w:pPr>
      <w:r>
        <w:rPr>
          <w:rFonts w:ascii="Times New Roman" w:eastAsia="Times New Roman"/>
        </w:rPr>
        <w:t>5</w:t>
      </w:r>
      <w:r>
        <w:rPr>
          <w:spacing w:val="-17"/>
        </w:rPr>
        <w:t>、《基金合同》可印制成册，供投资者在基金管理人、基金托管人、基金代</w:t>
      </w:r>
      <w:r>
        <w:rPr>
          <w:spacing w:val="-19"/>
        </w:rPr>
        <w:t>销机构的办公场所和营业场所查阅；投资者也可按工本费购买《基金合同》复制</w:t>
      </w:r>
      <w:r>
        <w:rPr/>
        <w:t>件或复印件，但内容应以《基金合同》正本为准。</w:t>
      </w:r>
    </w:p>
    <w:p>
      <w:pPr>
        <w:spacing w:after="0" w:line="364" w:lineRule="auto"/>
        <w:jc w:val="both"/>
        <w:sectPr>
          <w:pgSz w:w="11910" w:h="16840"/>
          <w:pgMar w:header="0" w:footer="914" w:top="1580" w:bottom="1180" w:left="1680" w:right="1420"/>
        </w:sectPr>
      </w:pPr>
    </w:p>
    <w:p>
      <w:pPr>
        <w:pStyle w:val="BodyText"/>
        <w:spacing w:before="2"/>
        <w:ind w:left="0" w:firstLine="0"/>
        <w:rPr>
          <w:sz w:val="28"/>
        </w:rPr>
      </w:pPr>
    </w:p>
    <w:p>
      <w:pPr>
        <w:pStyle w:val="Heading1"/>
        <w:spacing w:before="67"/>
        <w:ind w:left="6" w:right="262"/>
        <w:jc w:val="center"/>
      </w:pPr>
      <w:bookmarkStart w:name="_bookmark23" w:id="24"/>
      <w:bookmarkEnd w:id="24"/>
      <w:r>
        <w:rPr>
          <w:b w:val="0"/>
        </w:rPr>
      </w:r>
      <w:r>
        <w:rPr>
          <w:rFonts w:ascii="黑体" w:eastAsia="黑体" w:hint="eastAsia"/>
        </w:rPr>
        <w:t>二十四、</w:t>
      </w:r>
      <w:r>
        <w:rPr/>
        <w:t>其他事项</w:t>
      </w:r>
    </w:p>
    <w:p>
      <w:pPr>
        <w:pStyle w:val="BodyText"/>
        <w:spacing w:before="4"/>
        <w:ind w:left="0" w:firstLine="0"/>
        <w:rPr>
          <w:b/>
          <w:sz w:val="35"/>
        </w:rPr>
      </w:pPr>
    </w:p>
    <w:p>
      <w:pPr>
        <w:pStyle w:val="BodyText"/>
        <w:spacing w:line="364" w:lineRule="auto" w:before="0"/>
        <w:ind w:right="376"/>
      </w:pPr>
      <w:r>
        <w:rPr>
          <w:spacing w:val="-10"/>
        </w:rPr>
        <w:t>《基金合同》如有未尽事宜，由《基金合同》当事人各方按有关法律法规协</w:t>
      </w:r>
      <w:r>
        <w:rPr/>
        <w:t>商解决。</w:t>
      </w:r>
    </w:p>
    <w:p>
      <w:pPr>
        <w:spacing w:after="0" w:line="364" w:lineRule="auto"/>
        <w:sectPr>
          <w:pgSz w:w="11910" w:h="16840"/>
          <w:pgMar w:header="0" w:footer="914" w:top="1580" w:bottom="1180" w:left="1680" w:right="1420"/>
        </w:sectPr>
      </w:pPr>
    </w:p>
    <w:p>
      <w:pPr>
        <w:pStyle w:val="BodyText"/>
        <w:spacing w:before="2"/>
        <w:ind w:left="0" w:firstLine="0"/>
        <w:rPr>
          <w:sz w:val="28"/>
        </w:rPr>
      </w:pPr>
    </w:p>
    <w:p>
      <w:pPr>
        <w:pStyle w:val="Heading1"/>
        <w:spacing w:before="67"/>
        <w:ind w:left="4" w:right="262"/>
        <w:jc w:val="center"/>
      </w:pPr>
      <w:bookmarkStart w:name="_bookmark24" w:id="25"/>
      <w:bookmarkEnd w:id="25"/>
      <w:r>
        <w:rPr>
          <w:b w:val="0"/>
        </w:rPr>
      </w:r>
      <w:r>
        <w:rPr>
          <w:rFonts w:ascii="黑体" w:eastAsia="黑体" w:hint="eastAsia"/>
        </w:rPr>
        <w:t>二十五、</w:t>
      </w:r>
      <w:r>
        <w:rPr/>
        <w:t>基金合同摘要</w:t>
      </w:r>
    </w:p>
    <w:p>
      <w:pPr>
        <w:pStyle w:val="BodyText"/>
        <w:spacing w:before="4"/>
        <w:ind w:left="0" w:firstLine="0"/>
        <w:rPr>
          <w:b/>
          <w:sz w:val="35"/>
        </w:rPr>
      </w:pPr>
    </w:p>
    <w:p>
      <w:pPr>
        <w:spacing w:before="0"/>
        <w:ind w:left="602" w:right="0" w:firstLine="0"/>
        <w:jc w:val="left"/>
        <w:rPr>
          <w:b/>
          <w:sz w:val="24"/>
        </w:rPr>
      </w:pPr>
      <w:r>
        <w:rPr>
          <w:b/>
          <w:sz w:val="24"/>
        </w:rPr>
        <w:t>（一）基金份额持有人、基金管理人和基金托管人的权利、义务</w:t>
      </w:r>
    </w:p>
    <w:p>
      <w:pPr>
        <w:spacing w:before="161"/>
        <w:ind w:left="602" w:right="0" w:firstLine="0"/>
        <w:jc w:val="left"/>
        <w:rPr>
          <w:b/>
          <w:sz w:val="24"/>
        </w:rPr>
      </w:pPr>
      <w:r>
        <w:rPr>
          <w:rFonts w:ascii="Times New Roman" w:eastAsia="Times New Roman"/>
          <w:b/>
          <w:sz w:val="24"/>
        </w:rPr>
        <w:t>1</w:t>
      </w:r>
      <w:r>
        <w:rPr>
          <w:b/>
          <w:sz w:val="24"/>
        </w:rPr>
        <w:t>、基金份额持有人的权利与义务</w:t>
      </w:r>
    </w:p>
    <w:p>
      <w:pPr>
        <w:pStyle w:val="BodyText"/>
        <w:spacing w:line="364" w:lineRule="auto" w:before="160"/>
        <w:ind w:right="257"/>
      </w:pPr>
      <w:r>
        <w:rPr>
          <w:spacing w:val="-11"/>
        </w:rPr>
        <w:t>基金投资者购买本基金基金份额的行为即视为对《基金合同》的承认和接受， </w:t>
      </w:r>
      <w:r>
        <w:rPr>
          <w:spacing w:val="-8"/>
        </w:rPr>
        <w:t>基金投资者自取得依据《基金合同》募集的基金份额，即成为本基金份额持有人</w:t>
      </w:r>
      <w:r>
        <w:rPr>
          <w:spacing w:val="-10"/>
        </w:rPr>
        <w:t>和《基金合同》的当事人，直至其不再持有本基金的基金份额。基金份额持有人作为《基金合同》当事人并不以在《基金合同》上书面签章或签字为必要条件。</w:t>
      </w:r>
    </w:p>
    <w:p>
      <w:pPr>
        <w:pStyle w:val="BodyText"/>
        <w:spacing w:before="3"/>
        <w:ind w:left="600" w:firstLine="0"/>
      </w:pPr>
      <w:r>
        <w:rPr/>
        <w:t>同一类别每份基金份额具有同等的合法权益。</w:t>
      </w:r>
    </w:p>
    <w:p>
      <w:pPr>
        <w:pStyle w:val="ListParagraph"/>
        <w:numPr>
          <w:ilvl w:val="0"/>
          <w:numId w:val="55"/>
        </w:numPr>
        <w:tabs>
          <w:tab w:pos="1202" w:val="left" w:leader="none"/>
        </w:tabs>
        <w:spacing w:line="364" w:lineRule="auto" w:before="161" w:after="0"/>
        <w:ind w:left="120" w:right="381" w:firstLine="479"/>
        <w:jc w:val="left"/>
        <w:rPr>
          <w:sz w:val="24"/>
        </w:rPr>
      </w:pPr>
      <w:r>
        <w:rPr>
          <w:spacing w:val="-17"/>
          <w:sz w:val="24"/>
        </w:rPr>
        <w:t>根据《基金法》、《运作办法》及其他有关规定，基金份额持有人的权</w:t>
      </w:r>
      <w:r>
        <w:rPr>
          <w:sz w:val="24"/>
        </w:rPr>
        <w:t>利包括但不限于：</w:t>
      </w:r>
    </w:p>
    <w:p>
      <w:pPr>
        <w:pStyle w:val="ListParagraph"/>
        <w:numPr>
          <w:ilvl w:val="0"/>
          <w:numId w:val="56"/>
        </w:numPr>
        <w:tabs>
          <w:tab w:pos="1380" w:val="left" w:leader="none"/>
          <w:tab w:pos="1381" w:val="left" w:leader="none"/>
        </w:tabs>
        <w:spacing w:line="240" w:lineRule="auto" w:before="1" w:after="0"/>
        <w:ind w:left="1380" w:right="0" w:hanging="781"/>
        <w:jc w:val="left"/>
        <w:rPr>
          <w:sz w:val="24"/>
        </w:rPr>
      </w:pPr>
      <w:r>
        <w:rPr>
          <w:sz w:val="24"/>
        </w:rPr>
        <w:t>分享基金财产收益；</w:t>
      </w:r>
    </w:p>
    <w:p>
      <w:pPr>
        <w:pStyle w:val="ListParagraph"/>
        <w:numPr>
          <w:ilvl w:val="0"/>
          <w:numId w:val="56"/>
        </w:numPr>
        <w:tabs>
          <w:tab w:pos="1380" w:val="left" w:leader="none"/>
          <w:tab w:pos="1381" w:val="left" w:leader="none"/>
        </w:tabs>
        <w:spacing w:line="240" w:lineRule="auto" w:before="161" w:after="0"/>
        <w:ind w:left="1380" w:right="0" w:hanging="781"/>
        <w:jc w:val="left"/>
        <w:rPr>
          <w:sz w:val="24"/>
        </w:rPr>
      </w:pPr>
      <w:r>
        <w:rPr>
          <w:sz w:val="24"/>
        </w:rPr>
        <w:t>参与分配清算后的剩余基金财产；</w:t>
      </w:r>
    </w:p>
    <w:p>
      <w:pPr>
        <w:pStyle w:val="ListParagraph"/>
        <w:numPr>
          <w:ilvl w:val="0"/>
          <w:numId w:val="56"/>
        </w:numPr>
        <w:tabs>
          <w:tab w:pos="1380" w:val="left" w:leader="none"/>
          <w:tab w:pos="1381" w:val="left" w:leader="none"/>
        </w:tabs>
        <w:spacing w:line="240" w:lineRule="auto" w:before="160" w:after="0"/>
        <w:ind w:left="1380" w:right="0" w:hanging="781"/>
        <w:jc w:val="left"/>
        <w:rPr>
          <w:sz w:val="24"/>
        </w:rPr>
      </w:pPr>
      <w:r>
        <w:rPr>
          <w:sz w:val="24"/>
        </w:rPr>
        <w:t>依法申请赎回其持有的基金份额；</w:t>
      </w:r>
    </w:p>
    <w:p>
      <w:pPr>
        <w:pStyle w:val="ListParagraph"/>
        <w:numPr>
          <w:ilvl w:val="0"/>
          <w:numId w:val="56"/>
        </w:numPr>
        <w:tabs>
          <w:tab w:pos="1380" w:val="left" w:leader="none"/>
          <w:tab w:pos="1381" w:val="left" w:leader="none"/>
        </w:tabs>
        <w:spacing w:line="240" w:lineRule="auto" w:before="161" w:after="0"/>
        <w:ind w:left="1380" w:right="0" w:hanging="781"/>
        <w:jc w:val="left"/>
        <w:rPr>
          <w:sz w:val="24"/>
        </w:rPr>
      </w:pPr>
      <w:r>
        <w:rPr>
          <w:sz w:val="24"/>
        </w:rPr>
        <w:t>按照规定要求召开基金份额持有人大会；</w:t>
      </w:r>
    </w:p>
    <w:p>
      <w:pPr>
        <w:pStyle w:val="ListParagraph"/>
        <w:numPr>
          <w:ilvl w:val="0"/>
          <w:numId w:val="56"/>
        </w:numPr>
        <w:tabs>
          <w:tab w:pos="1380" w:val="left" w:leader="none"/>
          <w:tab w:pos="1381" w:val="left" w:leader="none"/>
        </w:tabs>
        <w:spacing w:line="364" w:lineRule="auto" w:before="160" w:after="0"/>
        <w:ind w:left="120" w:right="382" w:firstLine="479"/>
        <w:jc w:val="left"/>
        <w:rPr>
          <w:sz w:val="24"/>
        </w:rPr>
      </w:pPr>
      <w:r>
        <w:rPr>
          <w:sz w:val="24"/>
        </w:rPr>
        <w:t>出席或者委派代表出席基金份额持有人大会，对基金份额持有人大会审议事项行使表决权；</w:t>
      </w:r>
    </w:p>
    <w:p>
      <w:pPr>
        <w:pStyle w:val="ListParagraph"/>
        <w:numPr>
          <w:ilvl w:val="0"/>
          <w:numId w:val="56"/>
        </w:numPr>
        <w:tabs>
          <w:tab w:pos="1380" w:val="left" w:leader="none"/>
          <w:tab w:pos="1381" w:val="left" w:leader="none"/>
        </w:tabs>
        <w:spacing w:line="240" w:lineRule="auto" w:before="2" w:after="0"/>
        <w:ind w:left="1380" w:right="0" w:hanging="781"/>
        <w:jc w:val="left"/>
        <w:rPr>
          <w:sz w:val="24"/>
        </w:rPr>
      </w:pPr>
      <w:r>
        <w:rPr>
          <w:sz w:val="24"/>
        </w:rPr>
        <w:t>查阅或者复制公开披露的基金信息资料；</w:t>
      </w:r>
    </w:p>
    <w:p>
      <w:pPr>
        <w:pStyle w:val="ListParagraph"/>
        <w:numPr>
          <w:ilvl w:val="0"/>
          <w:numId w:val="56"/>
        </w:numPr>
        <w:tabs>
          <w:tab w:pos="1380" w:val="left" w:leader="none"/>
          <w:tab w:pos="1381" w:val="left" w:leader="none"/>
        </w:tabs>
        <w:spacing w:line="240" w:lineRule="auto" w:before="160" w:after="0"/>
        <w:ind w:left="1380" w:right="0" w:hanging="781"/>
        <w:jc w:val="left"/>
        <w:rPr>
          <w:sz w:val="24"/>
        </w:rPr>
      </w:pPr>
      <w:r>
        <w:rPr>
          <w:sz w:val="24"/>
        </w:rPr>
        <w:t>监督基金管理人的投资运作；</w:t>
      </w:r>
    </w:p>
    <w:p>
      <w:pPr>
        <w:pStyle w:val="ListParagraph"/>
        <w:numPr>
          <w:ilvl w:val="0"/>
          <w:numId w:val="56"/>
        </w:numPr>
        <w:tabs>
          <w:tab w:pos="1380" w:val="left" w:leader="none"/>
          <w:tab w:pos="1381" w:val="left" w:leader="none"/>
        </w:tabs>
        <w:spacing w:line="364" w:lineRule="auto" w:before="161" w:after="0"/>
        <w:ind w:left="120" w:right="386" w:firstLine="479"/>
        <w:jc w:val="left"/>
        <w:rPr>
          <w:sz w:val="24"/>
        </w:rPr>
      </w:pPr>
      <w:r>
        <w:rPr>
          <w:sz w:val="24"/>
        </w:rPr>
        <w:t>对基金管理人、基金托管人、基金销售机构损害其合法权益的行为依法提起诉讼；</w:t>
      </w:r>
    </w:p>
    <w:p>
      <w:pPr>
        <w:pStyle w:val="ListParagraph"/>
        <w:numPr>
          <w:ilvl w:val="0"/>
          <w:numId w:val="56"/>
        </w:numPr>
        <w:tabs>
          <w:tab w:pos="1380" w:val="left" w:leader="none"/>
          <w:tab w:pos="1381" w:val="left" w:leader="none"/>
        </w:tabs>
        <w:spacing w:line="240" w:lineRule="auto" w:before="1" w:after="0"/>
        <w:ind w:left="1380" w:right="0" w:hanging="781"/>
        <w:jc w:val="left"/>
        <w:rPr>
          <w:sz w:val="24"/>
        </w:rPr>
      </w:pPr>
      <w:r>
        <w:rPr>
          <w:sz w:val="24"/>
        </w:rPr>
        <w:t>法律法规和《基金合同》规定的其他权利。</w:t>
      </w:r>
    </w:p>
    <w:p>
      <w:pPr>
        <w:pStyle w:val="ListParagraph"/>
        <w:numPr>
          <w:ilvl w:val="0"/>
          <w:numId w:val="55"/>
        </w:numPr>
        <w:tabs>
          <w:tab w:pos="1202" w:val="left" w:leader="none"/>
        </w:tabs>
        <w:spacing w:line="364" w:lineRule="auto" w:before="160" w:after="0"/>
        <w:ind w:left="120" w:right="381" w:firstLine="479"/>
        <w:jc w:val="left"/>
        <w:rPr>
          <w:sz w:val="24"/>
        </w:rPr>
      </w:pPr>
      <w:r>
        <w:rPr>
          <w:spacing w:val="-17"/>
          <w:sz w:val="24"/>
        </w:rPr>
        <w:t>根据《基金法》、《运作办法》及其他有关规定，基金份额持有人的义</w:t>
      </w:r>
      <w:r>
        <w:rPr>
          <w:sz w:val="24"/>
        </w:rPr>
        <w:t>务包括但不限于：</w:t>
      </w:r>
    </w:p>
    <w:p>
      <w:pPr>
        <w:pStyle w:val="ListParagraph"/>
        <w:numPr>
          <w:ilvl w:val="0"/>
          <w:numId w:val="57"/>
        </w:numPr>
        <w:tabs>
          <w:tab w:pos="1380" w:val="left" w:leader="none"/>
          <w:tab w:pos="1381" w:val="left" w:leader="none"/>
        </w:tabs>
        <w:spacing w:line="240" w:lineRule="auto" w:before="2" w:after="0"/>
        <w:ind w:left="1380" w:right="0" w:hanging="781"/>
        <w:jc w:val="left"/>
        <w:rPr>
          <w:sz w:val="24"/>
        </w:rPr>
      </w:pPr>
      <w:r>
        <w:rPr>
          <w:spacing w:val="-14"/>
          <w:sz w:val="24"/>
        </w:rPr>
        <w:t>遵守《基金合同》；</w:t>
      </w:r>
    </w:p>
    <w:p>
      <w:pPr>
        <w:pStyle w:val="ListParagraph"/>
        <w:numPr>
          <w:ilvl w:val="0"/>
          <w:numId w:val="57"/>
        </w:numPr>
        <w:tabs>
          <w:tab w:pos="1380" w:val="left" w:leader="none"/>
          <w:tab w:pos="1381" w:val="left" w:leader="none"/>
        </w:tabs>
        <w:spacing w:line="240" w:lineRule="auto" w:before="161" w:after="0"/>
        <w:ind w:left="1380" w:right="0" w:hanging="781"/>
        <w:jc w:val="left"/>
        <w:rPr>
          <w:sz w:val="24"/>
        </w:rPr>
      </w:pPr>
      <w:r>
        <w:rPr>
          <w:spacing w:val="-4"/>
          <w:sz w:val="24"/>
        </w:rPr>
        <w:t>交纳基金认购、申购款项及法律法规和《基金合同》所规定的费用；</w:t>
      </w:r>
    </w:p>
    <w:p>
      <w:pPr>
        <w:pStyle w:val="ListParagraph"/>
        <w:numPr>
          <w:ilvl w:val="0"/>
          <w:numId w:val="57"/>
        </w:numPr>
        <w:tabs>
          <w:tab w:pos="1380" w:val="left" w:leader="none"/>
          <w:tab w:pos="1381" w:val="left" w:leader="none"/>
        </w:tabs>
        <w:spacing w:line="364" w:lineRule="auto" w:before="160" w:after="0"/>
        <w:ind w:left="120" w:right="386" w:firstLine="479"/>
        <w:jc w:val="left"/>
        <w:rPr>
          <w:sz w:val="24"/>
        </w:rPr>
      </w:pPr>
      <w:r>
        <w:rPr>
          <w:sz w:val="24"/>
        </w:rPr>
        <w:t>在其持有的基金份额范围内，承担基金亏损或者《基金合同》终止的有限责任；</w:t>
      </w:r>
    </w:p>
    <w:p>
      <w:pPr>
        <w:pStyle w:val="ListParagraph"/>
        <w:numPr>
          <w:ilvl w:val="0"/>
          <w:numId w:val="57"/>
        </w:numPr>
        <w:tabs>
          <w:tab w:pos="1380" w:val="left" w:leader="none"/>
          <w:tab w:pos="1381" w:val="left" w:leader="none"/>
        </w:tabs>
        <w:spacing w:line="240" w:lineRule="auto" w:before="1" w:after="0"/>
        <w:ind w:left="1380" w:right="0" w:hanging="781"/>
        <w:jc w:val="left"/>
        <w:rPr>
          <w:sz w:val="24"/>
        </w:rPr>
      </w:pPr>
      <w:r>
        <w:rPr>
          <w:sz w:val="24"/>
        </w:rPr>
        <w:t>不从事任何有损基金及其他基金合同当事人合法权益的活动；</w:t>
      </w:r>
    </w:p>
    <w:p>
      <w:pPr>
        <w:spacing w:after="0" w:line="240" w:lineRule="auto"/>
        <w:jc w:val="left"/>
        <w:rPr>
          <w:sz w:val="24"/>
        </w:rPr>
        <w:sectPr>
          <w:pgSz w:w="11910" w:h="16840"/>
          <w:pgMar w:header="0" w:footer="914" w:top="1580" w:bottom="1180" w:left="1680" w:right="1420"/>
        </w:sectPr>
      </w:pPr>
    </w:p>
    <w:p>
      <w:pPr>
        <w:pStyle w:val="ListParagraph"/>
        <w:numPr>
          <w:ilvl w:val="0"/>
          <w:numId w:val="57"/>
        </w:numPr>
        <w:tabs>
          <w:tab w:pos="1380" w:val="left" w:leader="none"/>
          <w:tab w:pos="1381" w:val="left" w:leader="none"/>
        </w:tabs>
        <w:spacing w:line="364" w:lineRule="auto" w:before="61" w:after="0"/>
        <w:ind w:left="120" w:right="386" w:firstLine="479"/>
        <w:jc w:val="left"/>
        <w:rPr>
          <w:sz w:val="24"/>
        </w:rPr>
      </w:pPr>
      <w:r>
        <w:rPr>
          <w:sz w:val="24"/>
        </w:rPr>
        <w:t>返还在基金交易过程中因任何原因，自基金管理人、基金托管人及基金代销机构处获得的不当得利；</w:t>
      </w:r>
    </w:p>
    <w:p>
      <w:pPr>
        <w:pStyle w:val="ListParagraph"/>
        <w:numPr>
          <w:ilvl w:val="0"/>
          <w:numId w:val="57"/>
        </w:numPr>
        <w:tabs>
          <w:tab w:pos="1380" w:val="left" w:leader="none"/>
          <w:tab w:pos="1381" w:val="left" w:leader="none"/>
        </w:tabs>
        <w:spacing w:line="240" w:lineRule="auto" w:before="1" w:after="0"/>
        <w:ind w:left="1380" w:right="0" w:hanging="781"/>
        <w:jc w:val="left"/>
        <w:rPr>
          <w:sz w:val="24"/>
        </w:rPr>
      </w:pPr>
      <w:r>
        <w:rPr>
          <w:sz w:val="24"/>
        </w:rPr>
        <w:t>执行生效的基金份额持有人大会的决定；</w:t>
      </w:r>
    </w:p>
    <w:p>
      <w:pPr>
        <w:pStyle w:val="ListParagraph"/>
        <w:numPr>
          <w:ilvl w:val="0"/>
          <w:numId w:val="57"/>
        </w:numPr>
        <w:tabs>
          <w:tab w:pos="1380" w:val="left" w:leader="none"/>
          <w:tab w:pos="1381" w:val="left" w:leader="none"/>
        </w:tabs>
        <w:spacing w:line="240" w:lineRule="auto" w:before="161" w:after="0"/>
        <w:ind w:left="1380" w:right="0" w:hanging="781"/>
        <w:jc w:val="left"/>
        <w:rPr>
          <w:sz w:val="24"/>
        </w:rPr>
      </w:pPr>
      <w:r>
        <w:rPr>
          <w:sz w:val="24"/>
        </w:rPr>
        <w:t>法律法规及中国证监会规定的和《基金合同》约定的其他义务。</w:t>
      </w:r>
    </w:p>
    <w:p>
      <w:pPr>
        <w:spacing w:before="160"/>
        <w:ind w:left="602" w:right="0" w:firstLine="0"/>
        <w:jc w:val="left"/>
        <w:rPr>
          <w:b/>
          <w:sz w:val="24"/>
        </w:rPr>
      </w:pPr>
      <w:r>
        <w:rPr>
          <w:rFonts w:ascii="Times New Roman" w:eastAsia="Times New Roman"/>
          <w:b/>
          <w:sz w:val="24"/>
        </w:rPr>
        <w:t>2</w:t>
      </w:r>
      <w:r>
        <w:rPr>
          <w:b/>
          <w:sz w:val="24"/>
        </w:rPr>
        <w:t>、基金管理人的权利与义务</w:t>
      </w:r>
    </w:p>
    <w:p>
      <w:pPr>
        <w:pStyle w:val="ListParagraph"/>
        <w:numPr>
          <w:ilvl w:val="0"/>
          <w:numId w:val="58"/>
        </w:numPr>
        <w:tabs>
          <w:tab w:pos="1202" w:val="left" w:leader="none"/>
        </w:tabs>
        <w:spacing w:line="364" w:lineRule="auto" w:before="161" w:after="0"/>
        <w:ind w:left="120" w:right="381" w:firstLine="479"/>
        <w:jc w:val="left"/>
        <w:rPr>
          <w:sz w:val="24"/>
        </w:rPr>
      </w:pPr>
      <w:r>
        <w:rPr>
          <w:spacing w:val="-17"/>
          <w:sz w:val="24"/>
        </w:rPr>
        <w:t>根据《基金法》、《运作办法》及其他有关规定，基金管理人的权利包</w:t>
      </w:r>
      <w:r>
        <w:rPr>
          <w:sz w:val="24"/>
        </w:rPr>
        <w:t>括但不限于：</w:t>
      </w:r>
    </w:p>
    <w:p>
      <w:pPr>
        <w:pStyle w:val="ListParagraph"/>
        <w:numPr>
          <w:ilvl w:val="0"/>
          <w:numId w:val="59"/>
        </w:numPr>
        <w:tabs>
          <w:tab w:pos="1081" w:val="left" w:leader="none"/>
        </w:tabs>
        <w:spacing w:line="240" w:lineRule="auto" w:before="1" w:after="0"/>
        <w:ind w:left="1080" w:right="0" w:hanging="481"/>
        <w:jc w:val="left"/>
        <w:rPr>
          <w:sz w:val="24"/>
        </w:rPr>
      </w:pPr>
      <w:r>
        <w:rPr>
          <w:sz w:val="24"/>
        </w:rPr>
        <w:t>依法募集基金；</w:t>
      </w:r>
    </w:p>
    <w:p>
      <w:pPr>
        <w:pStyle w:val="ListParagraph"/>
        <w:numPr>
          <w:ilvl w:val="0"/>
          <w:numId w:val="59"/>
        </w:numPr>
        <w:tabs>
          <w:tab w:pos="1064" w:val="left" w:leader="none"/>
        </w:tabs>
        <w:spacing w:line="364" w:lineRule="auto" w:before="161" w:after="0"/>
        <w:ind w:left="120" w:right="378" w:firstLine="479"/>
        <w:jc w:val="left"/>
        <w:rPr>
          <w:sz w:val="24"/>
        </w:rPr>
      </w:pPr>
      <w:r>
        <w:rPr>
          <w:spacing w:val="-10"/>
          <w:sz w:val="24"/>
        </w:rPr>
        <w:t>自《基金合同》生效之日起，根据法律法规和《基金合同》独立运用并</w:t>
      </w:r>
      <w:r>
        <w:rPr>
          <w:sz w:val="24"/>
        </w:rPr>
        <w:t>管理基金财产；</w:t>
      </w:r>
    </w:p>
    <w:p>
      <w:pPr>
        <w:pStyle w:val="ListParagraph"/>
        <w:numPr>
          <w:ilvl w:val="0"/>
          <w:numId w:val="59"/>
        </w:numPr>
        <w:tabs>
          <w:tab w:pos="1050" w:val="left" w:leader="none"/>
        </w:tabs>
        <w:spacing w:line="364" w:lineRule="auto" w:before="1" w:after="0"/>
        <w:ind w:left="120" w:right="378" w:firstLine="479"/>
        <w:jc w:val="left"/>
        <w:rPr>
          <w:sz w:val="24"/>
        </w:rPr>
      </w:pPr>
      <w:r>
        <w:rPr>
          <w:spacing w:val="-10"/>
          <w:sz w:val="24"/>
        </w:rPr>
        <w:t>依照《基金合同》收取基金管理费以及法律法规规定或中国证监会批准</w:t>
      </w:r>
      <w:r>
        <w:rPr>
          <w:sz w:val="24"/>
        </w:rPr>
        <w:t>的其他费用；</w:t>
      </w:r>
    </w:p>
    <w:p>
      <w:pPr>
        <w:pStyle w:val="ListParagraph"/>
        <w:numPr>
          <w:ilvl w:val="0"/>
          <w:numId w:val="59"/>
        </w:numPr>
        <w:tabs>
          <w:tab w:pos="1081" w:val="left" w:leader="none"/>
        </w:tabs>
        <w:spacing w:line="240" w:lineRule="auto" w:before="1" w:after="0"/>
        <w:ind w:left="1080" w:right="0" w:hanging="481"/>
        <w:jc w:val="left"/>
        <w:rPr>
          <w:sz w:val="24"/>
        </w:rPr>
      </w:pPr>
      <w:r>
        <w:rPr>
          <w:sz w:val="24"/>
        </w:rPr>
        <w:t>销售基金份额；</w:t>
      </w:r>
    </w:p>
    <w:p>
      <w:pPr>
        <w:pStyle w:val="ListParagraph"/>
        <w:numPr>
          <w:ilvl w:val="0"/>
          <w:numId w:val="59"/>
        </w:numPr>
        <w:tabs>
          <w:tab w:pos="1081" w:val="left" w:leader="none"/>
        </w:tabs>
        <w:spacing w:line="240" w:lineRule="auto" w:before="161" w:after="0"/>
        <w:ind w:left="1080" w:right="0" w:hanging="481"/>
        <w:jc w:val="both"/>
        <w:rPr>
          <w:sz w:val="24"/>
        </w:rPr>
      </w:pPr>
      <w:r>
        <w:rPr>
          <w:sz w:val="24"/>
        </w:rPr>
        <w:t>召集基金份额持有人大会；</w:t>
      </w:r>
    </w:p>
    <w:p>
      <w:pPr>
        <w:pStyle w:val="ListParagraph"/>
        <w:numPr>
          <w:ilvl w:val="0"/>
          <w:numId w:val="59"/>
        </w:numPr>
        <w:tabs>
          <w:tab w:pos="1057" w:val="left" w:leader="none"/>
        </w:tabs>
        <w:spacing w:line="364" w:lineRule="auto" w:before="160" w:after="0"/>
        <w:ind w:left="120" w:right="377" w:firstLine="479"/>
        <w:jc w:val="both"/>
        <w:rPr>
          <w:sz w:val="24"/>
        </w:rPr>
      </w:pPr>
      <w:r>
        <w:rPr>
          <w:spacing w:val="-10"/>
          <w:sz w:val="24"/>
        </w:rPr>
        <w:t>依据《基金合同》及有关法律法规规定监督基金托管人，如认为基金托</w:t>
      </w:r>
      <w:r>
        <w:rPr>
          <w:spacing w:val="-11"/>
          <w:sz w:val="24"/>
        </w:rPr>
        <w:t>管人违反了《基金合同》及国家有关法律法规规定，应呈报中国证监会和其他监</w:t>
      </w:r>
      <w:r>
        <w:rPr>
          <w:sz w:val="24"/>
        </w:rPr>
        <w:t>管部门，并采取必要措施保护投资者的利益；</w:t>
      </w:r>
    </w:p>
    <w:p>
      <w:pPr>
        <w:pStyle w:val="ListParagraph"/>
        <w:numPr>
          <w:ilvl w:val="0"/>
          <w:numId w:val="59"/>
        </w:numPr>
        <w:tabs>
          <w:tab w:pos="1081" w:val="left" w:leader="none"/>
        </w:tabs>
        <w:spacing w:line="240" w:lineRule="auto" w:before="3" w:after="0"/>
        <w:ind w:left="1080" w:right="0" w:hanging="481"/>
        <w:jc w:val="both"/>
        <w:rPr>
          <w:sz w:val="24"/>
        </w:rPr>
      </w:pPr>
      <w:r>
        <w:rPr>
          <w:sz w:val="24"/>
        </w:rPr>
        <w:t>在基金托管人更换时，提名新的基金托管人；</w:t>
      </w:r>
    </w:p>
    <w:p>
      <w:pPr>
        <w:pStyle w:val="ListParagraph"/>
        <w:numPr>
          <w:ilvl w:val="0"/>
          <w:numId w:val="59"/>
        </w:numPr>
        <w:tabs>
          <w:tab w:pos="1057" w:val="left" w:leader="none"/>
        </w:tabs>
        <w:spacing w:line="364" w:lineRule="auto" w:before="160" w:after="0"/>
        <w:ind w:left="120" w:right="377" w:firstLine="479"/>
        <w:jc w:val="left"/>
        <w:rPr>
          <w:sz w:val="24"/>
        </w:rPr>
      </w:pPr>
      <w:r>
        <w:rPr>
          <w:spacing w:val="-10"/>
          <w:sz w:val="24"/>
        </w:rPr>
        <w:t>选择、委托、更换基金代销机构，对基金代销机构的相关行为进行监督</w:t>
      </w:r>
      <w:r>
        <w:rPr>
          <w:sz w:val="24"/>
        </w:rPr>
        <w:t>和处理；</w:t>
      </w:r>
    </w:p>
    <w:p>
      <w:pPr>
        <w:pStyle w:val="ListParagraph"/>
        <w:numPr>
          <w:ilvl w:val="0"/>
          <w:numId w:val="59"/>
        </w:numPr>
        <w:tabs>
          <w:tab w:pos="987" w:val="left" w:leader="none"/>
        </w:tabs>
        <w:spacing w:line="364" w:lineRule="auto" w:before="1" w:after="0"/>
        <w:ind w:left="120" w:right="376" w:firstLine="479"/>
        <w:jc w:val="left"/>
        <w:rPr>
          <w:sz w:val="24"/>
        </w:rPr>
      </w:pPr>
      <w:r>
        <w:rPr>
          <w:spacing w:val="-1"/>
          <w:sz w:val="24"/>
        </w:rPr>
        <w:t>担任或委托其他符合条件的机构担任登记结算机构办理基金登记结算业</w:t>
      </w:r>
      <w:r>
        <w:rPr>
          <w:sz w:val="24"/>
        </w:rPr>
        <w:t>务并获得《基金合同》规定的费用；</w:t>
      </w:r>
    </w:p>
    <w:p>
      <w:pPr>
        <w:pStyle w:val="ListParagraph"/>
        <w:numPr>
          <w:ilvl w:val="0"/>
          <w:numId w:val="59"/>
        </w:numPr>
        <w:tabs>
          <w:tab w:pos="1082" w:val="left" w:leader="none"/>
        </w:tabs>
        <w:spacing w:line="240" w:lineRule="auto" w:before="1" w:after="0"/>
        <w:ind w:left="1081" w:right="0" w:hanging="482"/>
        <w:jc w:val="left"/>
        <w:rPr>
          <w:sz w:val="24"/>
        </w:rPr>
      </w:pPr>
      <w:r>
        <w:rPr>
          <w:sz w:val="24"/>
        </w:rPr>
        <w:t>依据《基金合同》及有关法律法规规定决定基金收益的分配方案；</w:t>
      </w:r>
    </w:p>
    <w:p>
      <w:pPr>
        <w:pStyle w:val="ListParagraph"/>
        <w:numPr>
          <w:ilvl w:val="0"/>
          <w:numId w:val="59"/>
        </w:numPr>
        <w:tabs>
          <w:tab w:pos="1072" w:val="left" w:leader="none"/>
        </w:tabs>
        <w:spacing w:line="240" w:lineRule="auto" w:before="161" w:after="0"/>
        <w:ind w:left="1071" w:right="0" w:hanging="472"/>
        <w:jc w:val="left"/>
        <w:rPr>
          <w:sz w:val="24"/>
        </w:rPr>
      </w:pPr>
      <w:r>
        <w:rPr>
          <w:sz w:val="24"/>
        </w:rPr>
        <w:t>在《基金合同》约定的范围内，拒绝或暂停受理申购与赎回申请；</w:t>
      </w:r>
    </w:p>
    <w:p>
      <w:pPr>
        <w:pStyle w:val="ListParagraph"/>
        <w:numPr>
          <w:ilvl w:val="0"/>
          <w:numId w:val="59"/>
        </w:numPr>
        <w:tabs>
          <w:tab w:pos="1082" w:val="left" w:leader="none"/>
        </w:tabs>
        <w:spacing w:line="364" w:lineRule="auto" w:before="161" w:after="0"/>
        <w:ind w:left="120" w:right="282" w:firstLine="479"/>
        <w:jc w:val="left"/>
        <w:rPr>
          <w:sz w:val="24"/>
        </w:rPr>
      </w:pPr>
      <w:r>
        <w:rPr>
          <w:spacing w:val="-1"/>
          <w:sz w:val="24"/>
        </w:rPr>
        <w:t>在符合有关法律法规和《基金合同》的前提下，制订和调整业务规则， </w:t>
      </w:r>
      <w:r>
        <w:rPr>
          <w:sz w:val="24"/>
        </w:rPr>
        <w:t>决定和调整除调高管理费率和托管费率之外的基金相关费率和收费方式；</w:t>
      </w:r>
    </w:p>
    <w:p>
      <w:pPr>
        <w:pStyle w:val="ListParagraph"/>
        <w:numPr>
          <w:ilvl w:val="0"/>
          <w:numId w:val="59"/>
        </w:numPr>
        <w:tabs>
          <w:tab w:pos="1082" w:val="left" w:leader="none"/>
        </w:tabs>
        <w:spacing w:line="364" w:lineRule="auto" w:before="1" w:after="0"/>
        <w:ind w:left="120" w:right="376" w:firstLine="479"/>
        <w:jc w:val="left"/>
        <w:rPr>
          <w:sz w:val="24"/>
        </w:rPr>
      </w:pPr>
      <w:r>
        <w:rPr>
          <w:spacing w:val="-2"/>
          <w:sz w:val="24"/>
        </w:rPr>
        <w:t>依照法律法规为基金的利益行使因基金财产投资于证券</w:t>
      </w:r>
      <w:r>
        <w:rPr>
          <w:sz w:val="24"/>
        </w:rPr>
        <w:t>（包括基金</w:t>
      </w:r>
      <w:r>
        <w:rPr>
          <w:spacing w:val="-31"/>
          <w:sz w:val="24"/>
        </w:rPr>
        <w:t>） </w:t>
      </w:r>
      <w:r>
        <w:rPr>
          <w:spacing w:val="-4"/>
          <w:sz w:val="24"/>
        </w:rPr>
        <w:t>所产生的权利；</w:t>
      </w:r>
    </w:p>
    <w:p>
      <w:pPr>
        <w:pStyle w:val="ListParagraph"/>
        <w:numPr>
          <w:ilvl w:val="0"/>
          <w:numId w:val="59"/>
        </w:numPr>
        <w:tabs>
          <w:tab w:pos="1082" w:val="left" w:leader="none"/>
        </w:tabs>
        <w:spacing w:line="240" w:lineRule="auto" w:before="1" w:after="0"/>
        <w:ind w:left="1081" w:right="0" w:hanging="482"/>
        <w:jc w:val="left"/>
        <w:rPr>
          <w:sz w:val="24"/>
        </w:rPr>
      </w:pPr>
      <w:r>
        <w:rPr>
          <w:sz w:val="24"/>
        </w:rPr>
        <w:t>在法律法规允许的前提下，为基金的利益依法为基金进行融资；</w:t>
      </w:r>
    </w:p>
    <w:p>
      <w:pPr>
        <w:spacing w:after="0" w:line="240" w:lineRule="auto"/>
        <w:jc w:val="left"/>
        <w:rPr>
          <w:sz w:val="24"/>
        </w:rPr>
        <w:sectPr>
          <w:pgSz w:w="11910" w:h="16840"/>
          <w:pgMar w:header="0" w:footer="914" w:top="1440" w:bottom="1180" w:left="1680" w:right="1420"/>
        </w:sectPr>
      </w:pPr>
    </w:p>
    <w:p>
      <w:pPr>
        <w:pStyle w:val="ListParagraph"/>
        <w:numPr>
          <w:ilvl w:val="0"/>
          <w:numId w:val="59"/>
        </w:numPr>
        <w:tabs>
          <w:tab w:pos="1082" w:val="left" w:leader="none"/>
        </w:tabs>
        <w:spacing w:line="364" w:lineRule="auto" w:before="61" w:after="0"/>
        <w:ind w:left="120" w:right="381" w:firstLine="479"/>
        <w:jc w:val="left"/>
        <w:rPr>
          <w:sz w:val="24"/>
        </w:rPr>
      </w:pPr>
      <w:r>
        <w:rPr>
          <w:spacing w:val="-5"/>
          <w:sz w:val="24"/>
        </w:rPr>
        <w:t>以基金管理人的名义，代表基金份额持有人的利益行使诉讼权利或者实施其他法律行为；</w:t>
      </w:r>
    </w:p>
    <w:p>
      <w:pPr>
        <w:pStyle w:val="ListParagraph"/>
        <w:numPr>
          <w:ilvl w:val="0"/>
          <w:numId w:val="59"/>
        </w:numPr>
        <w:tabs>
          <w:tab w:pos="1082" w:val="left" w:leader="none"/>
        </w:tabs>
        <w:spacing w:line="364" w:lineRule="auto" w:before="1" w:after="0"/>
        <w:ind w:left="120" w:right="381" w:firstLine="479"/>
        <w:jc w:val="left"/>
        <w:rPr>
          <w:sz w:val="24"/>
        </w:rPr>
      </w:pPr>
      <w:r>
        <w:rPr>
          <w:spacing w:val="-8"/>
          <w:sz w:val="24"/>
        </w:rPr>
        <w:t>选择、更换律师事务所、会计师事务所、证券经纪商或其他为基金提</w:t>
      </w:r>
      <w:r>
        <w:rPr>
          <w:spacing w:val="-5"/>
          <w:sz w:val="24"/>
        </w:rPr>
        <w:t>供服务的外部机构；</w:t>
      </w:r>
    </w:p>
    <w:p>
      <w:pPr>
        <w:pStyle w:val="ListParagraph"/>
        <w:numPr>
          <w:ilvl w:val="0"/>
          <w:numId w:val="59"/>
        </w:numPr>
        <w:tabs>
          <w:tab w:pos="1082" w:val="left" w:leader="none"/>
        </w:tabs>
        <w:spacing w:line="240" w:lineRule="auto" w:before="1" w:after="0"/>
        <w:ind w:left="1081" w:right="0" w:hanging="482"/>
        <w:jc w:val="left"/>
        <w:rPr>
          <w:sz w:val="24"/>
        </w:rPr>
      </w:pPr>
      <w:r>
        <w:rPr>
          <w:sz w:val="24"/>
        </w:rPr>
        <w:t>选择、更换或撤销境外投资顾问；</w:t>
      </w:r>
    </w:p>
    <w:p>
      <w:pPr>
        <w:pStyle w:val="ListParagraph"/>
        <w:numPr>
          <w:ilvl w:val="0"/>
          <w:numId w:val="59"/>
        </w:numPr>
        <w:tabs>
          <w:tab w:pos="1082" w:val="left" w:leader="none"/>
        </w:tabs>
        <w:spacing w:line="240" w:lineRule="auto" w:before="161" w:after="0"/>
        <w:ind w:left="1081" w:right="0" w:hanging="482"/>
        <w:jc w:val="left"/>
        <w:rPr>
          <w:sz w:val="24"/>
        </w:rPr>
      </w:pPr>
      <w:r>
        <w:rPr>
          <w:sz w:val="24"/>
        </w:rPr>
        <w:t>法律法规和《基金合同》规定的其他权利。</w:t>
      </w:r>
    </w:p>
    <w:p>
      <w:pPr>
        <w:pStyle w:val="ListParagraph"/>
        <w:numPr>
          <w:ilvl w:val="0"/>
          <w:numId w:val="58"/>
        </w:numPr>
        <w:tabs>
          <w:tab w:pos="1202" w:val="left" w:leader="none"/>
        </w:tabs>
        <w:spacing w:line="364" w:lineRule="auto" w:before="160" w:after="0"/>
        <w:ind w:left="120" w:right="381" w:firstLine="479"/>
        <w:jc w:val="left"/>
        <w:rPr>
          <w:sz w:val="24"/>
        </w:rPr>
      </w:pPr>
      <w:r>
        <w:rPr>
          <w:spacing w:val="-17"/>
          <w:sz w:val="24"/>
        </w:rPr>
        <w:t>根据《基金法》、《运作办法》及其他有关规定，基金管理人的义务包</w:t>
      </w:r>
      <w:r>
        <w:rPr>
          <w:sz w:val="24"/>
        </w:rPr>
        <w:t>括但不限于：</w:t>
      </w:r>
    </w:p>
    <w:p>
      <w:pPr>
        <w:pStyle w:val="ListParagraph"/>
        <w:numPr>
          <w:ilvl w:val="0"/>
          <w:numId w:val="60"/>
        </w:numPr>
        <w:tabs>
          <w:tab w:pos="962" w:val="left" w:leader="none"/>
        </w:tabs>
        <w:spacing w:line="364" w:lineRule="auto" w:before="2" w:after="0"/>
        <w:ind w:left="120" w:right="384" w:firstLine="479"/>
        <w:jc w:val="left"/>
        <w:rPr>
          <w:sz w:val="24"/>
        </w:rPr>
      </w:pPr>
      <w:r>
        <w:rPr>
          <w:spacing w:val="-1"/>
          <w:sz w:val="24"/>
        </w:rPr>
        <w:t>依法募集基金，办理或者委托经中国证监会认定的其他机构代为办理基</w:t>
      </w:r>
      <w:r>
        <w:rPr>
          <w:sz w:val="24"/>
        </w:rPr>
        <w:t>金份额的发售、申购、赎回和登记事宜；</w:t>
      </w:r>
    </w:p>
    <w:p>
      <w:pPr>
        <w:pStyle w:val="ListParagraph"/>
        <w:numPr>
          <w:ilvl w:val="0"/>
          <w:numId w:val="60"/>
        </w:numPr>
        <w:tabs>
          <w:tab w:pos="962" w:val="left" w:leader="none"/>
        </w:tabs>
        <w:spacing w:line="240" w:lineRule="auto" w:before="1" w:after="0"/>
        <w:ind w:left="961" w:right="0" w:hanging="362"/>
        <w:jc w:val="left"/>
        <w:rPr>
          <w:sz w:val="24"/>
        </w:rPr>
      </w:pPr>
      <w:r>
        <w:rPr>
          <w:sz w:val="24"/>
        </w:rPr>
        <w:t>办理基金备案手续；</w:t>
      </w:r>
    </w:p>
    <w:p>
      <w:pPr>
        <w:pStyle w:val="ListParagraph"/>
        <w:numPr>
          <w:ilvl w:val="0"/>
          <w:numId w:val="60"/>
        </w:numPr>
        <w:tabs>
          <w:tab w:pos="962" w:val="left" w:leader="none"/>
        </w:tabs>
        <w:spacing w:line="364" w:lineRule="auto" w:before="161" w:after="0"/>
        <w:ind w:left="120" w:right="378" w:firstLine="479"/>
        <w:jc w:val="left"/>
        <w:rPr>
          <w:sz w:val="24"/>
        </w:rPr>
      </w:pPr>
      <w:r>
        <w:rPr>
          <w:spacing w:val="-4"/>
          <w:sz w:val="24"/>
        </w:rPr>
        <w:t>自《基金合同》生效之日起</w:t>
      </w:r>
      <w:r>
        <w:rPr>
          <w:rFonts w:ascii="Times New Roman" w:eastAsia="Times New Roman"/>
          <w:sz w:val="24"/>
        </w:rPr>
        <w:t>,</w:t>
      </w:r>
      <w:r>
        <w:rPr>
          <w:spacing w:val="-3"/>
          <w:sz w:val="24"/>
        </w:rPr>
        <w:t>以诚实信用、勤勉尽责的原则管理和运用基</w:t>
      </w:r>
      <w:r>
        <w:rPr>
          <w:sz w:val="24"/>
        </w:rPr>
        <w:t>金财产；</w:t>
      </w:r>
    </w:p>
    <w:p>
      <w:pPr>
        <w:pStyle w:val="ListParagraph"/>
        <w:numPr>
          <w:ilvl w:val="0"/>
          <w:numId w:val="60"/>
        </w:numPr>
        <w:tabs>
          <w:tab w:pos="962" w:val="left" w:leader="none"/>
        </w:tabs>
        <w:spacing w:line="364" w:lineRule="auto" w:before="1" w:after="0"/>
        <w:ind w:left="120" w:right="381" w:firstLine="479"/>
        <w:jc w:val="left"/>
        <w:rPr>
          <w:sz w:val="24"/>
        </w:rPr>
      </w:pPr>
      <w:r>
        <w:rPr>
          <w:spacing w:val="-1"/>
          <w:sz w:val="24"/>
        </w:rPr>
        <w:t>配备足够的具有专业资格的人员进行基金投资分析、决策，以专业化的</w:t>
      </w:r>
      <w:r>
        <w:rPr>
          <w:sz w:val="24"/>
        </w:rPr>
        <w:t>经营方式管理和运作基金财产；</w:t>
      </w:r>
    </w:p>
    <w:p>
      <w:pPr>
        <w:pStyle w:val="ListParagraph"/>
        <w:numPr>
          <w:ilvl w:val="0"/>
          <w:numId w:val="60"/>
        </w:numPr>
        <w:tabs>
          <w:tab w:pos="962" w:val="left" w:leader="none"/>
        </w:tabs>
        <w:spacing w:line="364" w:lineRule="auto" w:before="1" w:after="0"/>
        <w:ind w:left="120" w:right="376" w:firstLine="479"/>
        <w:jc w:val="both"/>
        <w:rPr>
          <w:sz w:val="24"/>
        </w:rPr>
      </w:pPr>
      <w:r>
        <w:rPr>
          <w:sz w:val="24"/>
        </w:rPr>
        <w:t>建立健全内部风险控制、监察与稽核、财务管理及人事管理等制度，保证所管理的基金财产和基金管理人的财产相互独立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60"/>
        </w:numPr>
        <w:tabs>
          <w:tab w:pos="962" w:val="left" w:leader="none"/>
        </w:tabs>
        <w:spacing w:line="364" w:lineRule="auto" w:before="2" w:after="0"/>
        <w:ind w:left="120" w:right="376" w:firstLine="479"/>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不得利用基金财产为</w:t>
      </w:r>
      <w:r>
        <w:rPr>
          <w:sz w:val="24"/>
        </w:rPr>
        <w:t>自己及任何第三人谋取利益，不得委托第三人运作基金财产；</w:t>
      </w:r>
    </w:p>
    <w:p>
      <w:pPr>
        <w:pStyle w:val="ListParagraph"/>
        <w:numPr>
          <w:ilvl w:val="0"/>
          <w:numId w:val="60"/>
        </w:numPr>
        <w:tabs>
          <w:tab w:pos="962" w:val="left" w:leader="none"/>
        </w:tabs>
        <w:spacing w:line="240" w:lineRule="auto" w:before="2" w:after="0"/>
        <w:ind w:left="961" w:right="0" w:hanging="362"/>
        <w:jc w:val="left"/>
        <w:rPr>
          <w:sz w:val="24"/>
        </w:rPr>
      </w:pPr>
      <w:r>
        <w:rPr>
          <w:sz w:val="24"/>
        </w:rPr>
        <w:t>依法接受基金托管人的监督；</w:t>
      </w:r>
    </w:p>
    <w:p>
      <w:pPr>
        <w:pStyle w:val="ListParagraph"/>
        <w:numPr>
          <w:ilvl w:val="0"/>
          <w:numId w:val="60"/>
        </w:numPr>
        <w:tabs>
          <w:tab w:pos="962" w:val="left" w:leader="none"/>
        </w:tabs>
        <w:spacing w:line="240" w:lineRule="auto" w:before="160" w:after="0"/>
        <w:ind w:left="961" w:right="0" w:hanging="362"/>
        <w:jc w:val="left"/>
        <w:rPr>
          <w:sz w:val="24"/>
        </w:rPr>
      </w:pPr>
      <w:r>
        <w:rPr>
          <w:sz w:val="24"/>
        </w:rPr>
        <w:t>采取适当合理的措施使计算基金份额认购、申购和赎回价格的方法符合</w:t>
      </w:r>
    </w:p>
    <w:p>
      <w:pPr>
        <w:pStyle w:val="BodyText"/>
        <w:spacing w:line="364" w:lineRule="auto"/>
        <w:ind w:right="376" w:firstLine="0"/>
      </w:pPr>
      <w:r>
        <w:rPr>
          <w:spacing w:val="-10"/>
        </w:rPr>
        <w:t>《基金合同》等法律文件的规定，按有关规定计算并公告基金净值信息，确定基</w:t>
      </w:r>
      <w:r>
        <w:rPr/>
        <w:t>金份额申购、赎回的价格；</w:t>
      </w:r>
    </w:p>
    <w:p>
      <w:pPr>
        <w:pStyle w:val="ListParagraph"/>
        <w:numPr>
          <w:ilvl w:val="0"/>
          <w:numId w:val="60"/>
        </w:numPr>
        <w:tabs>
          <w:tab w:pos="962" w:val="left" w:leader="none"/>
        </w:tabs>
        <w:spacing w:line="240" w:lineRule="auto" w:before="1" w:after="0"/>
        <w:ind w:left="961" w:right="0" w:hanging="362"/>
        <w:jc w:val="left"/>
        <w:rPr>
          <w:sz w:val="24"/>
        </w:rPr>
      </w:pPr>
      <w:r>
        <w:rPr>
          <w:sz w:val="24"/>
        </w:rPr>
        <w:t>进行基金会计核算并编制基金财务会计报告；</w:t>
      </w:r>
    </w:p>
    <w:p>
      <w:pPr>
        <w:pStyle w:val="ListParagraph"/>
        <w:numPr>
          <w:ilvl w:val="0"/>
          <w:numId w:val="60"/>
        </w:numPr>
        <w:tabs>
          <w:tab w:pos="1082" w:val="left" w:leader="none"/>
        </w:tabs>
        <w:spacing w:line="240" w:lineRule="auto" w:before="161" w:after="0"/>
        <w:ind w:left="1081" w:right="0" w:hanging="482"/>
        <w:jc w:val="left"/>
        <w:rPr>
          <w:sz w:val="24"/>
        </w:rPr>
      </w:pPr>
      <w:r>
        <w:rPr>
          <w:sz w:val="24"/>
        </w:rPr>
        <w:t>编制季度报告、中期报告和年度报告；</w:t>
      </w:r>
    </w:p>
    <w:p>
      <w:pPr>
        <w:pStyle w:val="ListParagraph"/>
        <w:numPr>
          <w:ilvl w:val="0"/>
          <w:numId w:val="60"/>
        </w:numPr>
        <w:tabs>
          <w:tab w:pos="1072" w:val="left" w:leader="none"/>
        </w:tabs>
        <w:spacing w:line="364" w:lineRule="auto" w:before="160" w:after="0"/>
        <w:ind w:left="120" w:right="377" w:firstLine="479"/>
        <w:jc w:val="left"/>
        <w:rPr>
          <w:sz w:val="24"/>
        </w:rPr>
      </w:pPr>
      <w:r>
        <w:rPr>
          <w:spacing w:val="-19"/>
          <w:sz w:val="24"/>
        </w:rPr>
        <w:t>严格按照《基金法》、《基金合同》及其他有关规定，履行信息披露及报</w:t>
      </w:r>
      <w:r>
        <w:rPr>
          <w:sz w:val="24"/>
        </w:rPr>
        <w:t>告义务；</w:t>
      </w:r>
    </w:p>
    <w:p>
      <w:pPr>
        <w:pStyle w:val="ListParagraph"/>
        <w:numPr>
          <w:ilvl w:val="0"/>
          <w:numId w:val="60"/>
        </w:numPr>
        <w:tabs>
          <w:tab w:pos="1082" w:val="left" w:leader="none"/>
        </w:tabs>
        <w:spacing w:line="240" w:lineRule="auto" w:before="2" w:after="0"/>
        <w:ind w:left="1081" w:right="0" w:hanging="482"/>
        <w:jc w:val="left"/>
        <w:rPr>
          <w:sz w:val="24"/>
        </w:rPr>
      </w:pPr>
      <w:r>
        <w:rPr>
          <w:spacing w:val="-10"/>
          <w:sz w:val="24"/>
        </w:rPr>
        <w:t>保守基金商业秘密，不泄露基金投资计划、投资意向等。除《基金法》、</w:t>
      </w:r>
    </w:p>
    <w:p>
      <w:pPr>
        <w:spacing w:after="0" w:line="240" w:lineRule="auto"/>
        <w:jc w:val="left"/>
        <w:rPr>
          <w:sz w:val="24"/>
        </w:rPr>
        <w:sectPr>
          <w:pgSz w:w="11910" w:h="16840"/>
          <w:pgMar w:header="0" w:footer="914" w:top="1440" w:bottom="1180" w:left="1680" w:right="1420"/>
        </w:sectPr>
      </w:pPr>
    </w:p>
    <w:p>
      <w:pPr>
        <w:pStyle w:val="BodyText"/>
        <w:spacing w:line="364" w:lineRule="auto" w:before="41"/>
        <w:ind w:right="377" w:firstLine="0"/>
      </w:pPr>
      <w:r>
        <w:rPr>
          <w:spacing w:val="-10"/>
        </w:rPr>
        <w:t>《基金合同》及其他有关规定另有规定外，在基金信息公开披露前应予保密，不</w:t>
      </w:r>
      <w:r>
        <w:rPr/>
        <w:t>向他人泄露；</w:t>
      </w:r>
    </w:p>
    <w:p>
      <w:pPr>
        <w:pStyle w:val="ListParagraph"/>
        <w:numPr>
          <w:ilvl w:val="0"/>
          <w:numId w:val="60"/>
        </w:numPr>
        <w:tabs>
          <w:tab w:pos="1082" w:val="left" w:leader="none"/>
        </w:tabs>
        <w:spacing w:line="364" w:lineRule="auto" w:before="1" w:after="0"/>
        <w:ind w:left="120" w:right="377" w:firstLine="479"/>
        <w:jc w:val="left"/>
        <w:rPr>
          <w:sz w:val="24"/>
        </w:rPr>
      </w:pPr>
      <w:r>
        <w:rPr>
          <w:spacing w:val="-9"/>
          <w:sz w:val="24"/>
        </w:rPr>
        <w:t>按《基金合同》的约定确定基金收益分配方案，及时向基金份额持有人</w:t>
      </w:r>
      <w:r>
        <w:rPr>
          <w:sz w:val="24"/>
        </w:rPr>
        <w:t>分配基金收益；</w:t>
      </w:r>
    </w:p>
    <w:p>
      <w:pPr>
        <w:pStyle w:val="ListParagraph"/>
        <w:numPr>
          <w:ilvl w:val="0"/>
          <w:numId w:val="60"/>
        </w:numPr>
        <w:tabs>
          <w:tab w:pos="1082" w:val="left" w:leader="none"/>
        </w:tabs>
        <w:spacing w:line="240" w:lineRule="auto" w:before="1" w:after="0"/>
        <w:ind w:left="1081" w:right="0" w:hanging="482"/>
        <w:jc w:val="left"/>
        <w:rPr>
          <w:sz w:val="24"/>
        </w:rPr>
      </w:pPr>
      <w:r>
        <w:rPr>
          <w:sz w:val="24"/>
        </w:rPr>
        <w:t>按规定受理申购与赎回申请，及时、足额支付赎回款项；</w:t>
      </w:r>
    </w:p>
    <w:p>
      <w:pPr>
        <w:pStyle w:val="ListParagraph"/>
        <w:numPr>
          <w:ilvl w:val="0"/>
          <w:numId w:val="60"/>
        </w:numPr>
        <w:tabs>
          <w:tab w:pos="1082" w:val="left" w:leader="none"/>
        </w:tabs>
        <w:spacing w:line="364" w:lineRule="auto" w:before="161" w:after="0"/>
        <w:ind w:left="120" w:right="378" w:firstLine="479"/>
        <w:jc w:val="left"/>
        <w:rPr>
          <w:sz w:val="24"/>
        </w:rPr>
      </w:pPr>
      <w:r>
        <w:rPr>
          <w:spacing w:val="-19"/>
          <w:sz w:val="24"/>
        </w:rPr>
        <w:t>依据《基金法》、《基金合同》及其他有关规定召集基金份额持有人大会</w:t>
      </w:r>
      <w:r>
        <w:rPr>
          <w:sz w:val="24"/>
        </w:rPr>
        <w:t>或配合基金托管人、基金份额持有人依法召集基金份额持有人大会；</w:t>
      </w:r>
    </w:p>
    <w:p>
      <w:pPr>
        <w:pStyle w:val="ListParagraph"/>
        <w:numPr>
          <w:ilvl w:val="0"/>
          <w:numId w:val="60"/>
        </w:numPr>
        <w:tabs>
          <w:tab w:pos="1082" w:val="left" w:leader="none"/>
        </w:tabs>
        <w:spacing w:line="364" w:lineRule="auto" w:before="1" w:after="0"/>
        <w:ind w:left="120" w:right="377" w:firstLine="479"/>
        <w:jc w:val="left"/>
        <w:rPr>
          <w:sz w:val="24"/>
        </w:rPr>
      </w:pPr>
      <w:r>
        <w:rPr>
          <w:spacing w:val="-4"/>
          <w:sz w:val="24"/>
        </w:rPr>
        <w:t>按规定保存基金财产管理业务活动的会计账册、报表、记录和其他相</w:t>
      </w:r>
      <w:r>
        <w:rPr>
          <w:spacing w:val="-19"/>
          <w:sz w:val="24"/>
        </w:rPr>
        <w:t>关资料 </w:t>
      </w:r>
      <w:r>
        <w:rPr>
          <w:rFonts w:ascii="Times New Roman" w:eastAsia="Times New Roman"/>
          <w:sz w:val="24"/>
        </w:rPr>
        <w:t>15 </w:t>
      </w:r>
      <w:r>
        <w:rPr>
          <w:sz w:val="24"/>
        </w:rPr>
        <w:t>年以上；</w:t>
      </w:r>
    </w:p>
    <w:p>
      <w:pPr>
        <w:pStyle w:val="ListParagraph"/>
        <w:numPr>
          <w:ilvl w:val="0"/>
          <w:numId w:val="60"/>
        </w:numPr>
        <w:tabs>
          <w:tab w:pos="1082" w:val="left" w:leader="none"/>
        </w:tabs>
        <w:spacing w:line="364" w:lineRule="auto" w:before="2" w:after="0"/>
        <w:ind w:left="120" w:right="377" w:firstLine="479"/>
        <w:jc w:val="both"/>
        <w:rPr>
          <w:sz w:val="24"/>
        </w:rPr>
      </w:pPr>
      <w:r>
        <w:rPr>
          <w:spacing w:val="-2"/>
          <w:sz w:val="24"/>
        </w:rPr>
        <w:t>确保需要向投资者提供的各项文件或资料在规定时间发出，并且保证</w:t>
      </w:r>
      <w:r>
        <w:rPr>
          <w:spacing w:val="-11"/>
          <w:sz w:val="24"/>
        </w:rPr>
        <w:t>投资者能够按照《基金合同》规定的时间和方式，随时查阅到与基金有关的公开</w:t>
      </w:r>
      <w:r>
        <w:rPr>
          <w:spacing w:val="-4"/>
          <w:sz w:val="24"/>
        </w:rPr>
        <w:t>资料，并在支付合理成本的条件下得到有关资料的复印件；</w:t>
      </w:r>
    </w:p>
    <w:p>
      <w:pPr>
        <w:pStyle w:val="ListParagraph"/>
        <w:numPr>
          <w:ilvl w:val="0"/>
          <w:numId w:val="60"/>
        </w:numPr>
        <w:tabs>
          <w:tab w:pos="1082" w:val="left" w:leader="none"/>
        </w:tabs>
        <w:spacing w:line="364" w:lineRule="auto" w:before="2" w:after="0"/>
        <w:ind w:left="120" w:right="379" w:firstLine="479"/>
        <w:jc w:val="left"/>
        <w:rPr>
          <w:sz w:val="24"/>
        </w:rPr>
      </w:pPr>
      <w:r>
        <w:rPr>
          <w:spacing w:val="-6"/>
          <w:sz w:val="24"/>
        </w:rPr>
        <w:t>组织并参加基金财产清算小组，参与基金财产的保管、清理、估价、变</w:t>
      </w:r>
      <w:r>
        <w:rPr>
          <w:sz w:val="24"/>
        </w:rPr>
        <w:t>现和分配；</w:t>
      </w:r>
    </w:p>
    <w:p>
      <w:pPr>
        <w:pStyle w:val="ListParagraph"/>
        <w:numPr>
          <w:ilvl w:val="0"/>
          <w:numId w:val="60"/>
        </w:numPr>
        <w:tabs>
          <w:tab w:pos="1082" w:val="left" w:leader="none"/>
        </w:tabs>
        <w:spacing w:line="364" w:lineRule="auto" w:before="1" w:after="0"/>
        <w:ind w:left="120" w:right="376" w:firstLine="479"/>
        <w:jc w:val="left"/>
        <w:rPr>
          <w:sz w:val="24"/>
        </w:rPr>
      </w:pPr>
      <w:r>
        <w:rPr>
          <w:spacing w:val="-8"/>
          <w:sz w:val="24"/>
        </w:rPr>
        <w:t>面临解散、依法被撤销或者被依法宣告破产时，及时报告中国证监会</w:t>
      </w:r>
      <w:r>
        <w:rPr>
          <w:spacing w:val="-4"/>
          <w:sz w:val="24"/>
        </w:rPr>
        <w:t>并通知基金托管人；</w:t>
      </w:r>
    </w:p>
    <w:p>
      <w:pPr>
        <w:pStyle w:val="ListParagraph"/>
        <w:numPr>
          <w:ilvl w:val="0"/>
          <w:numId w:val="60"/>
        </w:numPr>
        <w:tabs>
          <w:tab w:pos="1082" w:val="left" w:leader="none"/>
        </w:tabs>
        <w:spacing w:line="364" w:lineRule="auto" w:before="1" w:after="0"/>
        <w:ind w:left="120" w:right="377" w:firstLine="479"/>
        <w:jc w:val="left"/>
        <w:rPr>
          <w:sz w:val="24"/>
        </w:rPr>
      </w:pPr>
      <w:r>
        <w:rPr>
          <w:spacing w:val="-9"/>
          <w:sz w:val="24"/>
        </w:rPr>
        <w:t>因违反《基金合同》导致基金财产的损失或损害基金份额持有人合法</w:t>
      </w:r>
      <w:r>
        <w:rPr>
          <w:spacing w:val="-4"/>
          <w:sz w:val="24"/>
        </w:rPr>
        <w:t>权益时，应当承担赔偿责任，其赔偿责任不因其退任而免除；</w:t>
      </w:r>
    </w:p>
    <w:p>
      <w:pPr>
        <w:pStyle w:val="ListParagraph"/>
        <w:numPr>
          <w:ilvl w:val="0"/>
          <w:numId w:val="60"/>
        </w:numPr>
        <w:tabs>
          <w:tab w:pos="1082" w:val="left" w:leader="none"/>
        </w:tabs>
        <w:spacing w:line="364" w:lineRule="auto" w:before="2" w:after="0"/>
        <w:ind w:left="120" w:right="377" w:firstLine="479"/>
        <w:jc w:val="both"/>
        <w:rPr>
          <w:sz w:val="24"/>
        </w:rPr>
      </w:pPr>
      <w:r>
        <w:rPr>
          <w:spacing w:val="-5"/>
          <w:sz w:val="24"/>
        </w:rPr>
        <w:t>监督基金托管人按法律法规和《基金合同》规定履行自己的义务，基</w:t>
      </w:r>
      <w:r>
        <w:rPr>
          <w:spacing w:val="-11"/>
          <w:sz w:val="24"/>
        </w:rPr>
        <w:t>金托管人违反《基金合同》造成基金财产损失时，基金管理人应为基金份额持有</w:t>
      </w:r>
      <w:r>
        <w:rPr>
          <w:spacing w:val="-4"/>
          <w:sz w:val="24"/>
        </w:rPr>
        <w:t>人利益向基金托管人追偿；</w:t>
      </w:r>
    </w:p>
    <w:p>
      <w:pPr>
        <w:pStyle w:val="ListParagraph"/>
        <w:numPr>
          <w:ilvl w:val="0"/>
          <w:numId w:val="60"/>
        </w:numPr>
        <w:tabs>
          <w:tab w:pos="1082" w:val="left" w:leader="none"/>
        </w:tabs>
        <w:spacing w:line="364" w:lineRule="auto" w:before="1" w:after="0"/>
        <w:ind w:left="120" w:right="381" w:firstLine="479"/>
        <w:jc w:val="left"/>
        <w:rPr>
          <w:sz w:val="24"/>
        </w:rPr>
      </w:pPr>
      <w:r>
        <w:rPr>
          <w:spacing w:val="-6"/>
          <w:sz w:val="24"/>
        </w:rPr>
        <w:t>以基金管理人名义，代表基金份额持有人利益行使诉讼权利或实施其</w:t>
      </w:r>
      <w:r>
        <w:rPr>
          <w:spacing w:val="-5"/>
          <w:sz w:val="24"/>
        </w:rPr>
        <w:t>他法律行为；</w:t>
      </w:r>
    </w:p>
    <w:p>
      <w:pPr>
        <w:pStyle w:val="ListParagraph"/>
        <w:numPr>
          <w:ilvl w:val="0"/>
          <w:numId w:val="60"/>
        </w:numPr>
        <w:tabs>
          <w:tab w:pos="1082" w:val="left" w:leader="none"/>
        </w:tabs>
        <w:spacing w:line="364" w:lineRule="auto" w:before="2" w:after="0"/>
        <w:ind w:left="120" w:right="380" w:firstLine="479"/>
        <w:jc w:val="both"/>
        <w:rPr>
          <w:sz w:val="24"/>
        </w:rPr>
      </w:pPr>
      <w:r>
        <w:rPr>
          <w:spacing w:val="-7"/>
          <w:sz w:val="24"/>
        </w:rPr>
        <w:t>基金管理人在募集期间未能达到基金的备案条件，《基金合同》不能生</w:t>
      </w:r>
      <w:r>
        <w:rPr>
          <w:spacing w:val="-10"/>
          <w:sz w:val="24"/>
        </w:rPr>
        <w:t>效，基金管理人承担因募集行为而产生的债务和费用，将已募集资金并加计银行</w:t>
      </w:r>
      <w:r>
        <w:rPr>
          <w:spacing w:val="-4"/>
          <w:sz w:val="24"/>
        </w:rPr>
        <w:t>同期存款利息在基金募集期结束后 </w:t>
      </w:r>
      <w:r>
        <w:rPr>
          <w:rFonts w:ascii="Times New Roman" w:eastAsia="Times New Roman"/>
          <w:sz w:val="24"/>
        </w:rPr>
        <w:t>30 </w:t>
      </w:r>
      <w:r>
        <w:rPr>
          <w:sz w:val="24"/>
        </w:rPr>
        <w:t>日内退还基金认购人；</w:t>
      </w:r>
    </w:p>
    <w:p>
      <w:pPr>
        <w:pStyle w:val="ListParagraph"/>
        <w:numPr>
          <w:ilvl w:val="0"/>
          <w:numId w:val="60"/>
        </w:numPr>
        <w:tabs>
          <w:tab w:pos="1082" w:val="left" w:leader="none"/>
        </w:tabs>
        <w:spacing w:line="240" w:lineRule="auto" w:before="2" w:after="0"/>
        <w:ind w:left="1081" w:right="0" w:hanging="482"/>
        <w:jc w:val="left"/>
        <w:rPr>
          <w:sz w:val="24"/>
        </w:rPr>
      </w:pPr>
      <w:r>
        <w:rPr>
          <w:sz w:val="24"/>
        </w:rPr>
        <w:t>执行生效的基金份额持有人大会的决定；</w:t>
      </w:r>
    </w:p>
    <w:p>
      <w:pPr>
        <w:pStyle w:val="ListParagraph"/>
        <w:numPr>
          <w:ilvl w:val="0"/>
          <w:numId w:val="60"/>
        </w:numPr>
        <w:tabs>
          <w:tab w:pos="1082" w:val="left" w:leader="none"/>
        </w:tabs>
        <w:spacing w:line="364" w:lineRule="auto" w:before="161" w:after="0"/>
        <w:ind w:left="120" w:right="381" w:firstLine="479"/>
        <w:jc w:val="left"/>
        <w:rPr>
          <w:sz w:val="24"/>
        </w:rPr>
      </w:pPr>
      <w:r>
        <w:rPr>
          <w:spacing w:val="-4"/>
          <w:sz w:val="24"/>
        </w:rPr>
        <w:t>建立并保存基金份额持有人名册，定期或不定期向基金托管人提供基</w:t>
      </w:r>
      <w:r>
        <w:rPr>
          <w:spacing w:val="-5"/>
          <w:sz w:val="24"/>
        </w:rPr>
        <w:t>金份额持有人名册；</w:t>
      </w:r>
    </w:p>
    <w:p>
      <w:pPr>
        <w:spacing w:after="0" w:line="364" w:lineRule="auto"/>
        <w:jc w:val="left"/>
        <w:rPr>
          <w:sz w:val="24"/>
        </w:rPr>
        <w:sectPr>
          <w:pgSz w:w="11910" w:h="16840"/>
          <w:pgMar w:header="0" w:footer="914" w:top="1460" w:bottom="1180" w:left="1680" w:right="1420"/>
        </w:sectPr>
      </w:pPr>
    </w:p>
    <w:p>
      <w:pPr>
        <w:pStyle w:val="ListParagraph"/>
        <w:numPr>
          <w:ilvl w:val="0"/>
          <w:numId w:val="60"/>
        </w:numPr>
        <w:tabs>
          <w:tab w:pos="1082" w:val="left" w:leader="none"/>
        </w:tabs>
        <w:spacing w:line="240" w:lineRule="auto" w:before="61" w:after="0"/>
        <w:ind w:left="1081" w:right="0" w:hanging="482"/>
        <w:jc w:val="left"/>
        <w:rPr>
          <w:sz w:val="24"/>
        </w:rPr>
      </w:pPr>
      <w:r>
        <w:rPr>
          <w:sz w:val="24"/>
        </w:rPr>
        <w:t>法律法规及中国证监会规定的和《基金合同》约定的其他义务。</w:t>
      </w:r>
    </w:p>
    <w:p>
      <w:pPr>
        <w:spacing w:before="160"/>
        <w:ind w:left="602" w:right="0" w:firstLine="0"/>
        <w:jc w:val="left"/>
        <w:rPr>
          <w:b/>
          <w:sz w:val="24"/>
        </w:rPr>
      </w:pPr>
      <w:r>
        <w:rPr>
          <w:rFonts w:ascii="Times New Roman" w:eastAsia="Times New Roman"/>
          <w:b/>
          <w:sz w:val="24"/>
        </w:rPr>
        <w:t>3</w:t>
      </w:r>
      <w:r>
        <w:rPr>
          <w:b/>
          <w:sz w:val="24"/>
        </w:rPr>
        <w:t>、基金托管人的权利与义务</w:t>
      </w:r>
    </w:p>
    <w:p>
      <w:pPr>
        <w:pStyle w:val="ListParagraph"/>
        <w:numPr>
          <w:ilvl w:val="0"/>
          <w:numId w:val="61"/>
        </w:numPr>
        <w:tabs>
          <w:tab w:pos="1202" w:val="left" w:leader="none"/>
        </w:tabs>
        <w:spacing w:line="364" w:lineRule="auto" w:before="161" w:after="0"/>
        <w:ind w:left="120" w:right="381" w:firstLine="479"/>
        <w:jc w:val="left"/>
        <w:rPr>
          <w:sz w:val="24"/>
        </w:rPr>
      </w:pPr>
      <w:r>
        <w:rPr>
          <w:spacing w:val="-17"/>
          <w:sz w:val="24"/>
        </w:rPr>
        <w:t>根据《基金法》、《运作办法》及其他有关规定，基金托管人的权利包</w:t>
      </w:r>
      <w:r>
        <w:rPr>
          <w:sz w:val="24"/>
        </w:rPr>
        <w:t>括但不限于：</w:t>
      </w:r>
    </w:p>
    <w:p>
      <w:pPr>
        <w:pStyle w:val="ListParagraph"/>
        <w:numPr>
          <w:ilvl w:val="0"/>
          <w:numId w:val="62"/>
        </w:numPr>
        <w:tabs>
          <w:tab w:pos="962" w:val="left" w:leader="none"/>
        </w:tabs>
        <w:spacing w:line="364" w:lineRule="auto" w:before="1" w:after="0"/>
        <w:ind w:left="120" w:right="384" w:firstLine="479"/>
        <w:jc w:val="left"/>
        <w:rPr>
          <w:sz w:val="24"/>
        </w:rPr>
      </w:pPr>
      <w:r>
        <w:rPr>
          <w:spacing w:val="-1"/>
          <w:sz w:val="24"/>
        </w:rPr>
        <w:t>自《基金合同》生效之日起，依法律法规和《基金合同》的规定安全保</w:t>
      </w:r>
      <w:r>
        <w:rPr>
          <w:sz w:val="24"/>
        </w:rPr>
        <w:t>管基金财产；</w:t>
      </w:r>
    </w:p>
    <w:p>
      <w:pPr>
        <w:pStyle w:val="ListParagraph"/>
        <w:numPr>
          <w:ilvl w:val="0"/>
          <w:numId w:val="62"/>
        </w:numPr>
        <w:tabs>
          <w:tab w:pos="962" w:val="left" w:leader="none"/>
        </w:tabs>
        <w:spacing w:line="364" w:lineRule="auto" w:before="1" w:after="0"/>
        <w:ind w:left="120" w:right="382" w:firstLine="479"/>
        <w:jc w:val="left"/>
        <w:rPr>
          <w:sz w:val="24"/>
        </w:rPr>
      </w:pPr>
      <w:r>
        <w:rPr>
          <w:spacing w:val="-1"/>
          <w:sz w:val="24"/>
        </w:rPr>
        <w:t>依《基金合同》约定获得基金托管费以及法律法规规定或监管部门批准</w:t>
      </w:r>
      <w:r>
        <w:rPr>
          <w:sz w:val="24"/>
        </w:rPr>
        <w:t>的其他收入；</w:t>
      </w:r>
    </w:p>
    <w:p>
      <w:pPr>
        <w:pStyle w:val="ListParagraph"/>
        <w:numPr>
          <w:ilvl w:val="0"/>
          <w:numId w:val="62"/>
        </w:numPr>
        <w:tabs>
          <w:tab w:pos="962" w:val="left" w:leader="none"/>
        </w:tabs>
        <w:spacing w:line="364" w:lineRule="auto" w:before="2" w:after="0"/>
        <w:ind w:left="120" w:right="377" w:firstLine="479"/>
        <w:jc w:val="both"/>
        <w:rPr>
          <w:sz w:val="24"/>
        </w:rPr>
      </w:pPr>
      <w:r>
        <w:rPr>
          <w:sz w:val="24"/>
        </w:rPr>
        <w:t>监督基金管理人对本基金的投资运作，如发现基金管理人有违反《基金</w:t>
      </w:r>
      <w:r>
        <w:rPr>
          <w:spacing w:val="-11"/>
          <w:sz w:val="24"/>
        </w:rPr>
        <w:t>合同》及国家法律法规行为，对基金财产、其他基金合同当事人的利益造成重大</w:t>
      </w:r>
      <w:r>
        <w:rPr>
          <w:sz w:val="24"/>
        </w:rPr>
        <w:t>损失的情形，应呈报中国证监会，并采取必要措施保护投资者的利益；</w:t>
      </w:r>
    </w:p>
    <w:p>
      <w:pPr>
        <w:pStyle w:val="ListParagraph"/>
        <w:numPr>
          <w:ilvl w:val="0"/>
          <w:numId w:val="62"/>
        </w:numPr>
        <w:tabs>
          <w:tab w:pos="962" w:val="left" w:leader="none"/>
        </w:tabs>
        <w:spacing w:line="240" w:lineRule="auto" w:before="2" w:after="0"/>
        <w:ind w:left="961" w:right="0" w:hanging="362"/>
        <w:jc w:val="left"/>
        <w:rPr>
          <w:sz w:val="24"/>
        </w:rPr>
      </w:pPr>
      <w:r>
        <w:rPr>
          <w:sz w:val="24"/>
        </w:rPr>
        <w:t>选择、更换或撤销境外托管人；</w:t>
      </w:r>
    </w:p>
    <w:p>
      <w:pPr>
        <w:pStyle w:val="ListParagraph"/>
        <w:numPr>
          <w:ilvl w:val="0"/>
          <w:numId w:val="62"/>
        </w:numPr>
        <w:tabs>
          <w:tab w:pos="962" w:val="left" w:leader="none"/>
        </w:tabs>
        <w:spacing w:line="240" w:lineRule="auto" w:before="160" w:after="0"/>
        <w:ind w:left="961" w:right="0" w:hanging="362"/>
        <w:jc w:val="left"/>
        <w:rPr>
          <w:sz w:val="24"/>
        </w:rPr>
      </w:pPr>
      <w:r>
        <w:rPr>
          <w:sz w:val="24"/>
        </w:rPr>
        <w:t>按规定开设基金财产的资金账户和证券账户；</w:t>
      </w:r>
    </w:p>
    <w:p>
      <w:pPr>
        <w:pStyle w:val="ListParagraph"/>
        <w:numPr>
          <w:ilvl w:val="0"/>
          <w:numId w:val="62"/>
        </w:numPr>
        <w:tabs>
          <w:tab w:pos="962" w:val="left" w:leader="none"/>
        </w:tabs>
        <w:spacing w:line="240" w:lineRule="auto" w:before="161" w:after="0"/>
        <w:ind w:left="961" w:right="0" w:hanging="362"/>
        <w:jc w:val="left"/>
        <w:rPr>
          <w:sz w:val="24"/>
        </w:rPr>
      </w:pPr>
      <w:r>
        <w:rPr>
          <w:sz w:val="24"/>
        </w:rPr>
        <w:t>提议召开或召集基金份额持有人大会；</w:t>
      </w:r>
    </w:p>
    <w:p>
      <w:pPr>
        <w:pStyle w:val="ListParagraph"/>
        <w:numPr>
          <w:ilvl w:val="0"/>
          <w:numId w:val="62"/>
        </w:numPr>
        <w:tabs>
          <w:tab w:pos="962" w:val="left" w:leader="none"/>
        </w:tabs>
        <w:spacing w:line="240" w:lineRule="auto" w:before="160" w:after="0"/>
        <w:ind w:left="961" w:right="0" w:hanging="362"/>
        <w:jc w:val="left"/>
        <w:rPr>
          <w:sz w:val="24"/>
        </w:rPr>
      </w:pPr>
      <w:r>
        <w:rPr>
          <w:sz w:val="24"/>
        </w:rPr>
        <w:t>在基金管理人更换时，提名新的基金管理人；</w:t>
      </w:r>
    </w:p>
    <w:p>
      <w:pPr>
        <w:pStyle w:val="ListParagraph"/>
        <w:numPr>
          <w:ilvl w:val="0"/>
          <w:numId w:val="62"/>
        </w:numPr>
        <w:tabs>
          <w:tab w:pos="962" w:val="left" w:leader="none"/>
        </w:tabs>
        <w:spacing w:line="240" w:lineRule="auto" w:before="161" w:after="0"/>
        <w:ind w:left="961" w:right="0" w:hanging="362"/>
        <w:jc w:val="left"/>
        <w:rPr>
          <w:sz w:val="24"/>
        </w:rPr>
      </w:pPr>
      <w:r>
        <w:rPr>
          <w:sz w:val="24"/>
        </w:rPr>
        <w:t>法律法规和《基金合同》规定的其他权利。</w:t>
      </w:r>
    </w:p>
    <w:p>
      <w:pPr>
        <w:pStyle w:val="ListParagraph"/>
        <w:numPr>
          <w:ilvl w:val="0"/>
          <w:numId w:val="61"/>
        </w:numPr>
        <w:tabs>
          <w:tab w:pos="1202" w:val="left" w:leader="none"/>
        </w:tabs>
        <w:spacing w:line="364" w:lineRule="auto" w:before="161" w:after="0"/>
        <w:ind w:left="120" w:right="378" w:firstLine="479"/>
        <w:jc w:val="left"/>
        <w:rPr>
          <w:sz w:val="24"/>
        </w:rPr>
      </w:pPr>
      <w:r>
        <w:rPr>
          <w:spacing w:val="-17"/>
          <w:sz w:val="24"/>
        </w:rPr>
        <w:t>根据《基金法》、《运作办法》及其他有关规定，基金托管人的义务包</w:t>
      </w:r>
      <w:r>
        <w:rPr>
          <w:sz w:val="24"/>
        </w:rPr>
        <w:t>括但不限于：</w:t>
      </w:r>
    </w:p>
    <w:p>
      <w:pPr>
        <w:pStyle w:val="ListParagraph"/>
        <w:numPr>
          <w:ilvl w:val="0"/>
          <w:numId w:val="63"/>
        </w:numPr>
        <w:tabs>
          <w:tab w:pos="962" w:val="left" w:leader="none"/>
        </w:tabs>
        <w:spacing w:line="240" w:lineRule="auto" w:before="1" w:after="0"/>
        <w:ind w:left="961" w:right="0" w:hanging="362"/>
        <w:jc w:val="left"/>
        <w:rPr>
          <w:sz w:val="24"/>
        </w:rPr>
      </w:pPr>
      <w:r>
        <w:rPr>
          <w:sz w:val="24"/>
        </w:rPr>
        <w:t>以诚实信用、勤勉尽责的原则持有并安全保管基金财产；</w:t>
      </w:r>
    </w:p>
    <w:p>
      <w:pPr>
        <w:pStyle w:val="ListParagraph"/>
        <w:numPr>
          <w:ilvl w:val="0"/>
          <w:numId w:val="63"/>
        </w:numPr>
        <w:tabs>
          <w:tab w:pos="962" w:val="left" w:leader="none"/>
        </w:tabs>
        <w:spacing w:line="364" w:lineRule="auto" w:before="160" w:after="0"/>
        <w:ind w:left="120" w:right="384" w:firstLine="479"/>
        <w:jc w:val="left"/>
        <w:rPr>
          <w:sz w:val="24"/>
        </w:rPr>
      </w:pPr>
      <w:r>
        <w:rPr>
          <w:spacing w:val="-1"/>
          <w:sz w:val="24"/>
        </w:rPr>
        <w:t>设立专门的基金托管部门，具有符合要求的营业场所，配备足够的、合</w:t>
      </w:r>
      <w:r>
        <w:rPr>
          <w:sz w:val="24"/>
        </w:rPr>
        <w:t>格的熟悉基金托管业务的专职人员，负责基金财产托管事宜；</w:t>
      </w:r>
    </w:p>
    <w:p>
      <w:pPr>
        <w:pStyle w:val="ListParagraph"/>
        <w:numPr>
          <w:ilvl w:val="0"/>
          <w:numId w:val="63"/>
        </w:numPr>
        <w:tabs>
          <w:tab w:pos="962" w:val="left" w:leader="none"/>
        </w:tabs>
        <w:spacing w:line="364" w:lineRule="auto" w:before="2" w:after="0"/>
        <w:ind w:left="120" w:right="257" w:firstLine="479"/>
        <w:jc w:val="left"/>
        <w:rPr>
          <w:sz w:val="24"/>
        </w:rPr>
      </w:pPr>
      <w:r>
        <w:rPr>
          <w:sz w:val="24"/>
        </w:rPr>
        <w:t>建立健全内部风险控制、监察与稽核、财务管理及人事管理等制度，确</w:t>
      </w:r>
      <w:r>
        <w:rPr>
          <w:spacing w:val="-10"/>
          <w:sz w:val="24"/>
        </w:rPr>
        <w:t>保基金财产的安全，保证其托管的基金财产与基金托管人固有财产以及不同的基金财产相互独立；对所托管的不同的基金分别设置账户，独立核算，分账管理， </w:t>
      </w:r>
      <w:r>
        <w:rPr>
          <w:spacing w:val="-21"/>
          <w:sz w:val="24"/>
        </w:rPr>
        <w:t>保证不同基金之间在名册登记、账户设置、资金划拨、账册记录等方面相互独立；</w:t>
      </w:r>
    </w:p>
    <w:p>
      <w:pPr>
        <w:pStyle w:val="ListParagraph"/>
        <w:numPr>
          <w:ilvl w:val="0"/>
          <w:numId w:val="63"/>
        </w:numPr>
        <w:tabs>
          <w:tab w:pos="962" w:val="left" w:leader="none"/>
        </w:tabs>
        <w:spacing w:line="364" w:lineRule="auto" w:before="3" w:after="0"/>
        <w:ind w:left="120" w:right="379" w:firstLine="479"/>
        <w:jc w:val="left"/>
        <w:rPr>
          <w:sz w:val="24"/>
        </w:rPr>
      </w:pPr>
      <w:r>
        <w:rPr>
          <w:spacing w:val="-17"/>
          <w:sz w:val="24"/>
        </w:rPr>
        <w:t>除依据《基金法》、《基金合同》及其他有关规定外，不得利用基金财产</w:t>
      </w:r>
      <w:r>
        <w:rPr>
          <w:sz w:val="24"/>
        </w:rPr>
        <w:t>为自己及任何第三人谋取利益；</w:t>
      </w:r>
    </w:p>
    <w:p>
      <w:pPr>
        <w:pStyle w:val="ListParagraph"/>
        <w:numPr>
          <w:ilvl w:val="0"/>
          <w:numId w:val="63"/>
        </w:numPr>
        <w:tabs>
          <w:tab w:pos="962" w:val="left" w:leader="none"/>
        </w:tabs>
        <w:spacing w:line="240" w:lineRule="auto" w:before="1" w:after="0"/>
        <w:ind w:left="961" w:right="0" w:hanging="362"/>
        <w:jc w:val="left"/>
        <w:rPr>
          <w:sz w:val="24"/>
        </w:rPr>
      </w:pPr>
      <w:r>
        <w:rPr>
          <w:sz w:val="24"/>
        </w:rPr>
        <w:t>保管由基金管理人代表基金签订的与基金有关的重大合同及有关凭证；</w:t>
      </w:r>
    </w:p>
    <w:p>
      <w:pPr>
        <w:pStyle w:val="ListParagraph"/>
        <w:numPr>
          <w:ilvl w:val="0"/>
          <w:numId w:val="63"/>
        </w:numPr>
        <w:tabs>
          <w:tab w:pos="962" w:val="left" w:leader="none"/>
        </w:tabs>
        <w:spacing w:line="240" w:lineRule="auto" w:before="160" w:after="0"/>
        <w:ind w:left="961" w:right="0" w:hanging="362"/>
        <w:jc w:val="left"/>
        <w:rPr>
          <w:sz w:val="24"/>
        </w:rPr>
      </w:pPr>
      <w:r>
        <w:rPr>
          <w:sz w:val="24"/>
        </w:rPr>
        <w:t>按规定开设基金财产的资金账户和证券账户，按照有关法律法规和《基</w:t>
      </w:r>
    </w:p>
    <w:p>
      <w:pPr>
        <w:spacing w:after="0" w:line="240" w:lineRule="auto"/>
        <w:jc w:val="left"/>
        <w:rPr>
          <w:sz w:val="24"/>
        </w:rPr>
        <w:sectPr>
          <w:pgSz w:w="11910" w:h="16840"/>
          <w:pgMar w:header="0" w:footer="914" w:top="1440" w:bottom="1180" w:left="1680" w:right="1420"/>
        </w:sectPr>
      </w:pPr>
    </w:p>
    <w:p>
      <w:pPr>
        <w:pStyle w:val="BodyText"/>
        <w:spacing w:line="364" w:lineRule="auto" w:before="41"/>
        <w:ind w:right="380" w:firstLine="0"/>
      </w:pPr>
      <w:r>
        <w:rPr>
          <w:spacing w:val="-11"/>
        </w:rPr>
        <w:t>金合同》的约定，根据基金管理人或其授权人的投资指令，及时办理清算、交割</w:t>
      </w:r>
      <w:r>
        <w:rPr/>
        <w:t>事宜；</w:t>
      </w:r>
    </w:p>
    <w:p>
      <w:pPr>
        <w:pStyle w:val="ListParagraph"/>
        <w:numPr>
          <w:ilvl w:val="0"/>
          <w:numId w:val="63"/>
        </w:numPr>
        <w:tabs>
          <w:tab w:pos="962" w:val="left" w:leader="none"/>
        </w:tabs>
        <w:spacing w:line="364" w:lineRule="auto" w:before="1" w:after="0"/>
        <w:ind w:left="120" w:right="382" w:firstLine="479"/>
        <w:jc w:val="left"/>
        <w:rPr>
          <w:sz w:val="24"/>
        </w:rPr>
      </w:pPr>
      <w:r>
        <w:rPr>
          <w:spacing w:val="-15"/>
          <w:sz w:val="24"/>
        </w:rPr>
        <w:t>保守基金商业秘密，除《基金法》、《基金合同》及其他有关规定另有规</w:t>
      </w:r>
      <w:r>
        <w:rPr>
          <w:sz w:val="24"/>
        </w:rPr>
        <w:t>定外，在基金信息公开披露前予以保密，不得向他人泄露；</w:t>
      </w:r>
    </w:p>
    <w:p>
      <w:pPr>
        <w:pStyle w:val="ListParagraph"/>
        <w:numPr>
          <w:ilvl w:val="0"/>
          <w:numId w:val="63"/>
        </w:numPr>
        <w:tabs>
          <w:tab w:pos="962" w:val="left" w:leader="none"/>
        </w:tabs>
        <w:spacing w:line="364" w:lineRule="auto" w:before="1" w:after="0"/>
        <w:ind w:left="120" w:right="379" w:firstLine="479"/>
        <w:jc w:val="both"/>
        <w:rPr>
          <w:sz w:val="24"/>
        </w:rPr>
      </w:pPr>
      <w:r>
        <w:rPr>
          <w:sz w:val="24"/>
        </w:rPr>
        <w:t>确保基金份额净值按照有关法律法规、基金合同规定的方法进行计算， </w:t>
      </w:r>
      <w:r>
        <w:rPr>
          <w:spacing w:val="-9"/>
          <w:sz w:val="24"/>
        </w:rPr>
        <w:t>复核、审查基金管理人计算的基金资产净值、基金份额净值、基金份额申购、赎</w:t>
      </w:r>
      <w:r>
        <w:rPr>
          <w:sz w:val="24"/>
        </w:rPr>
        <w:t>回价格；</w:t>
      </w:r>
    </w:p>
    <w:p>
      <w:pPr>
        <w:pStyle w:val="ListParagraph"/>
        <w:numPr>
          <w:ilvl w:val="0"/>
          <w:numId w:val="63"/>
        </w:numPr>
        <w:tabs>
          <w:tab w:pos="962" w:val="left" w:leader="none"/>
        </w:tabs>
        <w:spacing w:line="240" w:lineRule="auto" w:before="2" w:after="0"/>
        <w:ind w:left="961" w:right="0" w:hanging="362"/>
        <w:jc w:val="left"/>
        <w:rPr>
          <w:sz w:val="24"/>
        </w:rPr>
      </w:pPr>
      <w:r>
        <w:rPr>
          <w:sz w:val="24"/>
        </w:rPr>
        <w:t>办理与基金托管业务活动有关的信息披露事项；</w:t>
      </w:r>
    </w:p>
    <w:p>
      <w:pPr>
        <w:pStyle w:val="ListParagraph"/>
        <w:numPr>
          <w:ilvl w:val="0"/>
          <w:numId w:val="63"/>
        </w:numPr>
        <w:tabs>
          <w:tab w:pos="1082" w:val="left" w:leader="none"/>
        </w:tabs>
        <w:spacing w:line="364" w:lineRule="auto" w:before="161" w:after="0"/>
        <w:ind w:left="120" w:right="377" w:firstLine="479"/>
        <w:jc w:val="both"/>
        <w:rPr>
          <w:sz w:val="24"/>
        </w:rPr>
      </w:pPr>
      <w:r>
        <w:rPr>
          <w:spacing w:val="-6"/>
          <w:sz w:val="24"/>
        </w:rPr>
        <w:t>对基金财务会计报告、季度报告、中期报告和年度报告出具意见，说</w:t>
      </w:r>
      <w:r>
        <w:rPr>
          <w:spacing w:val="-8"/>
          <w:sz w:val="24"/>
        </w:rPr>
        <w:t>明基金管理人在各重要方面的运作是否严格按照《基金合同》的规定进行；如果</w:t>
      </w:r>
      <w:r>
        <w:rPr>
          <w:spacing w:val="-12"/>
          <w:sz w:val="24"/>
        </w:rPr>
        <w:t>基金管理人有未执行《基金合同》规定的行为，还应当说明基金托管人是否采取</w:t>
      </w:r>
      <w:r>
        <w:rPr>
          <w:spacing w:val="-4"/>
          <w:sz w:val="24"/>
        </w:rPr>
        <w:t>了适当的措施；</w:t>
      </w:r>
    </w:p>
    <w:p>
      <w:pPr>
        <w:pStyle w:val="ListParagraph"/>
        <w:numPr>
          <w:ilvl w:val="0"/>
          <w:numId w:val="63"/>
        </w:numPr>
        <w:tabs>
          <w:tab w:pos="1072" w:val="left" w:leader="none"/>
        </w:tabs>
        <w:spacing w:line="240" w:lineRule="auto" w:before="3" w:after="0"/>
        <w:ind w:left="1071" w:right="0" w:hanging="472"/>
        <w:jc w:val="both"/>
        <w:rPr>
          <w:sz w:val="24"/>
        </w:rPr>
      </w:pPr>
      <w:r>
        <w:rPr>
          <w:spacing w:val="-7"/>
          <w:sz w:val="24"/>
        </w:rPr>
        <w:t>保存基金托管业务活动的记录、账册、报表和其他相关资料 </w:t>
      </w:r>
      <w:r>
        <w:rPr>
          <w:rFonts w:ascii="Times New Roman" w:eastAsia="Times New Roman"/>
          <w:sz w:val="24"/>
        </w:rPr>
        <w:t>15 </w:t>
      </w:r>
      <w:r>
        <w:rPr>
          <w:sz w:val="24"/>
        </w:rPr>
        <w:t>年以上；</w:t>
      </w:r>
    </w:p>
    <w:p>
      <w:pPr>
        <w:pStyle w:val="ListParagraph"/>
        <w:numPr>
          <w:ilvl w:val="0"/>
          <w:numId w:val="63"/>
        </w:numPr>
        <w:tabs>
          <w:tab w:pos="1082" w:val="left" w:leader="none"/>
        </w:tabs>
        <w:spacing w:line="240" w:lineRule="auto" w:before="160" w:after="0"/>
        <w:ind w:left="1081" w:right="0" w:hanging="482"/>
        <w:jc w:val="left"/>
        <w:rPr>
          <w:sz w:val="24"/>
        </w:rPr>
      </w:pPr>
      <w:r>
        <w:rPr>
          <w:sz w:val="24"/>
        </w:rPr>
        <w:t>建立并保存基金份额持有人名册；</w:t>
      </w:r>
    </w:p>
    <w:p>
      <w:pPr>
        <w:pStyle w:val="ListParagraph"/>
        <w:numPr>
          <w:ilvl w:val="0"/>
          <w:numId w:val="63"/>
        </w:numPr>
        <w:tabs>
          <w:tab w:pos="1082" w:val="left" w:leader="none"/>
        </w:tabs>
        <w:spacing w:line="240" w:lineRule="auto" w:before="161" w:after="0"/>
        <w:ind w:left="1081" w:right="0" w:hanging="482"/>
        <w:jc w:val="left"/>
        <w:rPr>
          <w:sz w:val="24"/>
        </w:rPr>
      </w:pPr>
      <w:r>
        <w:rPr>
          <w:sz w:val="24"/>
        </w:rPr>
        <w:t>按规定制作相关账册并与基金管理人核对；</w:t>
      </w:r>
    </w:p>
    <w:p>
      <w:pPr>
        <w:pStyle w:val="ListParagraph"/>
        <w:numPr>
          <w:ilvl w:val="0"/>
          <w:numId w:val="63"/>
        </w:numPr>
        <w:tabs>
          <w:tab w:pos="1082" w:val="left" w:leader="none"/>
        </w:tabs>
        <w:spacing w:line="364" w:lineRule="auto" w:before="160" w:after="0"/>
        <w:ind w:left="120" w:right="376" w:firstLine="479"/>
        <w:jc w:val="left"/>
        <w:rPr>
          <w:sz w:val="24"/>
        </w:rPr>
      </w:pPr>
      <w:r>
        <w:rPr>
          <w:sz w:val="24"/>
        </w:rPr>
        <w:t>依据基金管理人的指令或有关规定向基金份额持有人支付基金收益和</w:t>
      </w:r>
      <w:r>
        <w:rPr>
          <w:spacing w:val="-4"/>
          <w:sz w:val="24"/>
        </w:rPr>
        <w:t>赎回款项；</w:t>
      </w:r>
    </w:p>
    <w:p>
      <w:pPr>
        <w:pStyle w:val="ListParagraph"/>
        <w:numPr>
          <w:ilvl w:val="0"/>
          <w:numId w:val="63"/>
        </w:numPr>
        <w:tabs>
          <w:tab w:pos="1082" w:val="left" w:leader="none"/>
        </w:tabs>
        <w:spacing w:line="364" w:lineRule="auto" w:before="2" w:after="0"/>
        <w:ind w:left="120" w:right="377" w:firstLine="479"/>
        <w:jc w:val="left"/>
        <w:rPr>
          <w:sz w:val="24"/>
        </w:rPr>
      </w:pPr>
      <w:r>
        <w:rPr>
          <w:sz w:val="24"/>
        </w:rPr>
        <w:t>按照规定召集基金份额持有人大会或配合基金份额持有人依法自行召</w:t>
      </w:r>
      <w:r>
        <w:rPr>
          <w:spacing w:val="-4"/>
          <w:sz w:val="24"/>
        </w:rPr>
        <w:t>集基金份额持有人大会；</w:t>
      </w:r>
    </w:p>
    <w:p>
      <w:pPr>
        <w:pStyle w:val="ListParagraph"/>
        <w:numPr>
          <w:ilvl w:val="0"/>
          <w:numId w:val="63"/>
        </w:numPr>
        <w:tabs>
          <w:tab w:pos="1082" w:val="left" w:leader="none"/>
        </w:tabs>
        <w:spacing w:line="240" w:lineRule="auto" w:before="1" w:after="0"/>
        <w:ind w:left="1081" w:right="0" w:hanging="482"/>
        <w:jc w:val="left"/>
        <w:rPr>
          <w:sz w:val="24"/>
        </w:rPr>
      </w:pPr>
      <w:r>
        <w:rPr>
          <w:sz w:val="24"/>
        </w:rPr>
        <w:t>按照法律法规和《基金合同》的规定监督基金管理人的投资运作；</w:t>
      </w:r>
    </w:p>
    <w:p>
      <w:pPr>
        <w:pStyle w:val="ListParagraph"/>
        <w:numPr>
          <w:ilvl w:val="0"/>
          <w:numId w:val="63"/>
        </w:numPr>
        <w:tabs>
          <w:tab w:pos="1082" w:val="left" w:leader="none"/>
        </w:tabs>
        <w:spacing w:line="364" w:lineRule="auto" w:before="160" w:after="0"/>
        <w:ind w:left="120" w:right="377" w:firstLine="479"/>
        <w:jc w:val="left"/>
        <w:rPr>
          <w:sz w:val="24"/>
        </w:rPr>
      </w:pPr>
      <w:r>
        <w:rPr>
          <w:spacing w:val="-6"/>
          <w:sz w:val="24"/>
        </w:rPr>
        <w:t>参加基金财产清算小组，参与基金财产的保管、清理、估价、变现和分</w:t>
      </w:r>
      <w:r>
        <w:rPr>
          <w:sz w:val="24"/>
        </w:rPr>
        <w:t>配；</w:t>
      </w:r>
    </w:p>
    <w:p>
      <w:pPr>
        <w:pStyle w:val="ListParagraph"/>
        <w:numPr>
          <w:ilvl w:val="0"/>
          <w:numId w:val="63"/>
        </w:numPr>
        <w:tabs>
          <w:tab w:pos="1082" w:val="left" w:leader="none"/>
        </w:tabs>
        <w:spacing w:line="364" w:lineRule="auto" w:before="2" w:after="0"/>
        <w:ind w:left="120" w:right="377" w:firstLine="479"/>
        <w:jc w:val="left"/>
        <w:rPr>
          <w:sz w:val="24"/>
        </w:rPr>
      </w:pPr>
      <w:r>
        <w:rPr>
          <w:spacing w:val="-8"/>
          <w:sz w:val="24"/>
        </w:rPr>
        <w:t>面临解散、依法被撤销或者被依法宣告破产时，及时报告中国证监会</w:t>
      </w:r>
      <w:r>
        <w:rPr>
          <w:spacing w:val="-4"/>
          <w:sz w:val="24"/>
        </w:rPr>
        <w:t>和银行监管机构，并通知基金管理人；</w:t>
      </w:r>
    </w:p>
    <w:p>
      <w:pPr>
        <w:pStyle w:val="ListParagraph"/>
        <w:numPr>
          <w:ilvl w:val="0"/>
          <w:numId w:val="63"/>
        </w:numPr>
        <w:tabs>
          <w:tab w:pos="1082" w:val="left" w:leader="none"/>
        </w:tabs>
        <w:spacing w:line="364" w:lineRule="auto" w:before="1" w:after="0"/>
        <w:ind w:left="120" w:right="381" w:firstLine="479"/>
        <w:jc w:val="left"/>
        <w:rPr>
          <w:sz w:val="24"/>
        </w:rPr>
      </w:pPr>
      <w:r>
        <w:rPr>
          <w:spacing w:val="-10"/>
          <w:sz w:val="24"/>
        </w:rPr>
        <w:t>因违反《基金合同》导致基金财产损失时，应承担赔偿责任，其赔偿责</w:t>
      </w:r>
      <w:r>
        <w:rPr>
          <w:sz w:val="24"/>
        </w:rPr>
        <w:t>任不因其退任而免除；</w:t>
      </w:r>
    </w:p>
    <w:p>
      <w:pPr>
        <w:pStyle w:val="ListParagraph"/>
        <w:numPr>
          <w:ilvl w:val="0"/>
          <w:numId w:val="63"/>
        </w:numPr>
        <w:tabs>
          <w:tab w:pos="1082" w:val="left" w:leader="none"/>
        </w:tabs>
        <w:spacing w:line="364" w:lineRule="auto" w:before="2" w:after="0"/>
        <w:ind w:left="120" w:right="261" w:firstLine="479"/>
        <w:jc w:val="left"/>
        <w:rPr>
          <w:sz w:val="24"/>
        </w:rPr>
      </w:pPr>
      <w:r>
        <w:rPr>
          <w:spacing w:val="-9"/>
          <w:sz w:val="24"/>
        </w:rPr>
        <w:t>按规定监督基金管理人按法律法规和《基金合同》规定履行自己的义务</w:t>
      </w:r>
      <w:r>
        <w:rPr>
          <w:spacing w:val="-11"/>
          <w:sz w:val="24"/>
        </w:rPr>
        <w:t>，基金管理人因违反《基金合同》造成基金财产损失时，应为基金利益向基金管理人追偿；</w:t>
      </w:r>
    </w:p>
    <w:p>
      <w:pPr>
        <w:spacing w:after="0" w:line="364" w:lineRule="auto"/>
        <w:jc w:val="left"/>
        <w:rPr>
          <w:sz w:val="24"/>
        </w:rPr>
        <w:sectPr>
          <w:pgSz w:w="11910" w:h="16840"/>
          <w:pgMar w:header="0" w:footer="914" w:top="1460" w:bottom="1180" w:left="1680" w:right="1420"/>
        </w:sectPr>
      </w:pPr>
    </w:p>
    <w:p>
      <w:pPr>
        <w:pStyle w:val="ListParagraph"/>
        <w:numPr>
          <w:ilvl w:val="0"/>
          <w:numId w:val="63"/>
        </w:numPr>
        <w:tabs>
          <w:tab w:pos="1082" w:val="left" w:leader="none"/>
        </w:tabs>
        <w:spacing w:line="240" w:lineRule="auto" w:before="61" w:after="0"/>
        <w:ind w:left="1081" w:right="0" w:hanging="482"/>
        <w:jc w:val="left"/>
        <w:rPr>
          <w:sz w:val="24"/>
        </w:rPr>
      </w:pPr>
      <w:r>
        <w:rPr>
          <w:sz w:val="24"/>
        </w:rPr>
        <w:t>执行生效的基金份额持有人大会的决定；</w:t>
      </w:r>
    </w:p>
    <w:p>
      <w:pPr>
        <w:pStyle w:val="ListParagraph"/>
        <w:numPr>
          <w:ilvl w:val="0"/>
          <w:numId w:val="63"/>
        </w:numPr>
        <w:tabs>
          <w:tab w:pos="1082" w:val="left" w:leader="none"/>
        </w:tabs>
        <w:spacing w:line="364" w:lineRule="auto" w:before="160" w:after="0"/>
        <w:ind w:left="120" w:right="377" w:firstLine="479"/>
        <w:jc w:val="both"/>
        <w:rPr>
          <w:sz w:val="24"/>
        </w:rPr>
      </w:pPr>
      <w:r>
        <w:rPr>
          <w:spacing w:val="-6"/>
          <w:sz w:val="24"/>
        </w:rPr>
        <w:t>对基金的境外财产，基金托管人可授权境外托管人代为履行其承担的</w:t>
      </w:r>
      <w:r>
        <w:rPr>
          <w:spacing w:val="-10"/>
          <w:sz w:val="24"/>
        </w:rPr>
        <w:t>职责，但应及时通知基金管理人境外托管人选定结果，并确保境外托管人履行相应托管职责。境外托管人在履行职责过程中，因本身过错、疏忽原因而导致的基</w:t>
      </w:r>
      <w:r>
        <w:rPr>
          <w:spacing w:val="-4"/>
          <w:sz w:val="24"/>
        </w:rPr>
        <w:t>金财产受损的，基金托管人承担相应赔偿责任；</w:t>
      </w:r>
    </w:p>
    <w:p>
      <w:pPr>
        <w:pStyle w:val="ListParagraph"/>
        <w:numPr>
          <w:ilvl w:val="0"/>
          <w:numId w:val="63"/>
        </w:numPr>
        <w:tabs>
          <w:tab w:pos="1022" w:val="left" w:leader="none"/>
        </w:tabs>
        <w:spacing w:line="364" w:lineRule="auto" w:before="63" w:after="0"/>
        <w:ind w:left="120" w:right="377" w:firstLine="419"/>
        <w:jc w:val="both"/>
        <w:rPr>
          <w:sz w:val="24"/>
        </w:rPr>
      </w:pPr>
      <w:r>
        <w:rPr>
          <w:spacing w:val="-3"/>
          <w:sz w:val="24"/>
        </w:rPr>
        <w:t>保护基金份额持有人利益，按照规定对基金日常投资行为和资金汇出入</w:t>
      </w:r>
      <w:r>
        <w:rPr>
          <w:spacing w:val="-9"/>
          <w:sz w:val="24"/>
        </w:rPr>
        <w:t>情况实施监督，如发现投资指令或资金汇出入违法、违规，应当及时向中国证监</w:t>
      </w:r>
      <w:r>
        <w:rPr>
          <w:sz w:val="24"/>
        </w:rPr>
        <w:t>会、国家外汇局报告；</w:t>
      </w:r>
    </w:p>
    <w:p>
      <w:pPr>
        <w:pStyle w:val="ListParagraph"/>
        <w:numPr>
          <w:ilvl w:val="0"/>
          <w:numId w:val="63"/>
        </w:numPr>
        <w:tabs>
          <w:tab w:pos="1022" w:val="left" w:leader="none"/>
        </w:tabs>
        <w:spacing w:line="364" w:lineRule="auto" w:before="62" w:after="0"/>
        <w:ind w:left="120" w:right="377" w:firstLine="419"/>
        <w:jc w:val="both"/>
        <w:rPr>
          <w:sz w:val="24"/>
        </w:rPr>
      </w:pPr>
      <w:r>
        <w:rPr>
          <w:spacing w:val="-3"/>
          <w:sz w:val="24"/>
        </w:rPr>
        <w:t>安全保护基金财产，准时将公司行为信息通知基金管理人或根据基金管</w:t>
      </w:r>
      <w:r>
        <w:rPr>
          <w:sz w:val="24"/>
        </w:rPr>
        <w:t>理人的通知</w:t>
      </w:r>
      <w:r>
        <w:rPr>
          <w:rFonts w:ascii="Times New Roman" w:eastAsia="Times New Roman"/>
          <w:spacing w:val="29"/>
          <w:sz w:val="24"/>
        </w:rPr>
        <w:t>, </w:t>
      </w:r>
      <w:r>
        <w:rPr>
          <w:spacing w:val="-3"/>
          <w:sz w:val="24"/>
        </w:rPr>
        <w:t>准时将公司行为信息通知境外投资顾问，确保基金及时收取所有应</w:t>
      </w:r>
      <w:r>
        <w:rPr>
          <w:sz w:val="24"/>
        </w:rPr>
        <w:t>得收入；</w:t>
      </w:r>
    </w:p>
    <w:p>
      <w:pPr>
        <w:pStyle w:val="ListParagraph"/>
        <w:numPr>
          <w:ilvl w:val="0"/>
          <w:numId w:val="63"/>
        </w:numPr>
        <w:tabs>
          <w:tab w:pos="1022" w:val="left" w:leader="none"/>
        </w:tabs>
        <w:spacing w:line="364" w:lineRule="auto" w:before="62" w:after="0"/>
        <w:ind w:left="120" w:right="378" w:firstLine="419"/>
        <w:jc w:val="both"/>
        <w:rPr>
          <w:sz w:val="24"/>
        </w:rPr>
      </w:pPr>
      <w:r>
        <w:rPr>
          <w:spacing w:val="-10"/>
          <w:sz w:val="24"/>
        </w:rPr>
        <w:t>每月结束后 </w:t>
      </w:r>
      <w:r>
        <w:rPr>
          <w:rFonts w:ascii="Times New Roman" w:eastAsia="Times New Roman"/>
          <w:sz w:val="24"/>
        </w:rPr>
        <w:t>7 </w:t>
      </w:r>
      <w:r>
        <w:rPr>
          <w:spacing w:val="-4"/>
          <w:sz w:val="24"/>
        </w:rPr>
        <w:t>个工作日内，向中国证监会和国家外汇局报告基金管理人</w:t>
      </w:r>
      <w:r>
        <w:rPr>
          <w:sz w:val="24"/>
        </w:rPr>
        <w:t>境外投资情况，并按相关规定进行国际收支申报；</w:t>
      </w:r>
    </w:p>
    <w:p>
      <w:pPr>
        <w:pStyle w:val="ListParagraph"/>
        <w:numPr>
          <w:ilvl w:val="0"/>
          <w:numId w:val="63"/>
        </w:numPr>
        <w:tabs>
          <w:tab w:pos="1022" w:val="left" w:leader="none"/>
        </w:tabs>
        <w:spacing w:line="364" w:lineRule="auto" w:before="61" w:after="0"/>
        <w:ind w:left="120" w:right="378" w:firstLine="419"/>
        <w:jc w:val="left"/>
        <w:rPr>
          <w:sz w:val="24"/>
        </w:rPr>
      </w:pPr>
      <w:r>
        <w:rPr>
          <w:spacing w:val="-4"/>
          <w:sz w:val="24"/>
        </w:rPr>
        <w:t>办理基金管理人就管理本基金的有关结汇、售汇、收汇、付汇和人民币</w:t>
      </w:r>
      <w:r>
        <w:rPr>
          <w:sz w:val="24"/>
        </w:rPr>
        <w:t>资金结算业务；</w:t>
      </w:r>
    </w:p>
    <w:p>
      <w:pPr>
        <w:pStyle w:val="ListParagraph"/>
        <w:numPr>
          <w:ilvl w:val="0"/>
          <w:numId w:val="63"/>
        </w:numPr>
        <w:tabs>
          <w:tab w:pos="1022" w:val="left" w:leader="none"/>
        </w:tabs>
        <w:spacing w:line="364" w:lineRule="auto" w:before="61" w:after="0"/>
        <w:ind w:left="120" w:right="345" w:firstLine="419"/>
        <w:jc w:val="left"/>
        <w:rPr>
          <w:sz w:val="24"/>
        </w:rPr>
      </w:pPr>
      <w:r>
        <w:rPr>
          <w:spacing w:val="-1"/>
          <w:sz w:val="24"/>
        </w:rPr>
        <w:t>保存基金管理人就管理本基金的资金汇出、汇入、兑换、收汇、付汇、</w:t>
      </w:r>
      <w:r>
        <w:rPr>
          <w:spacing w:val="-2"/>
          <w:sz w:val="24"/>
        </w:rPr>
        <w:t>资金往来、委托及成交记录等相关资料，其保存的时间应当不少于 </w:t>
      </w:r>
      <w:r>
        <w:rPr>
          <w:rFonts w:ascii="Times New Roman" w:eastAsia="Times New Roman"/>
          <w:sz w:val="24"/>
        </w:rPr>
        <w:t>20 </w:t>
      </w:r>
      <w:r>
        <w:rPr>
          <w:sz w:val="24"/>
        </w:rPr>
        <w:t>年；</w:t>
      </w:r>
    </w:p>
    <w:p>
      <w:pPr>
        <w:pStyle w:val="ListParagraph"/>
        <w:numPr>
          <w:ilvl w:val="0"/>
          <w:numId w:val="63"/>
        </w:numPr>
        <w:tabs>
          <w:tab w:pos="1082" w:val="left" w:leader="none"/>
        </w:tabs>
        <w:spacing w:line="364" w:lineRule="auto" w:before="62" w:after="0"/>
        <w:ind w:left="120" w:right="377" w:firstLine="479"/>
        <w:jc w:val="left"/>
        <w:rPr>
          <w:sz w:val="24"/>
        </w:rPr>
      </w:pPr>
      <w:r>
        <w:rPr>
          <w:sz w:val="24"/>
        </w:rPr>
        <w:t>确保本基金按照有关法律法规和基金合同约定的投资目标和限制进行</w:t>
      </w:r>
      <w:r>
        <w:rPr>
          <w:spacing w:val="-6"/>
          <w:sz w:val="24"/>
        </w:rPr>
        <w:t>管理；</w:t>
      </w:r>
    </w:p>
    <w:p>
      <w:pPr>
        <w:pStyle w:val="ListParagraph"/>
        <w:numPr>
          <w:ilvl w:val="0"/>
          <w:numId w:val="63"/>
        </w:numPr>
        <w:tabs>
          <w:tab w:pos="1082" w:val="left" w:leader="none"/>
        </w:tabs>
        <w:spacing w:line="364" w:lineRule="auto" w:before="1" w:after="0"/>
        <w:ind w:left="120" w:right="377" w:firstLine="479"/>
        <w:jc w:val="left"/>
        <w:rPr>
          <w:sz w:val="24"/>
        </w:rPr>
      </w:pPr>
      <w:r>
        <w:rPr>
          <w:spacing w:val="-4"/>
          <w:sz w:val="24"/>
        </w:rPr>
        <w:t>确保本基金按照有关法律法规和基金合同的规定进行认购、申购、赎回等日常交易；</w:t>
      </w:r>
    </w:p>
    <w:p>
      <w:pPr>
        <w:pStyle w:val="ListParagraph"/>
        <w:numPr>
          <w:ilvl w:val="0"/>
          <w:numId w:val="63"/>
        </w:numPr>
        <w:tabs>
          <w:tab w:pos="1082" w:val="left" w:leader="none"/>
        </w:tabs>
        <w:spacing w:line="364" w:lineRule="auto" w:before="1" w:after="0"/>
        <w:ind w:left="120" w:right="377" w:firstLine="479"/>
        <w:jc w:val="left"/>
        <w:rPr>
          <w:sz w:val="24"/>
        </w:rPr>
      </w:pPr>
      <w:r>
        <w:rPr>
          <w:sz w:val="24"/>
        </w:rPr>
        <w:t>确保本基金按照有关法律法规和基金合同的规定确定并实施收益分配</w:t>
      </w:r>
      <w:r>
        <w:rPr>
          <w:spacing w:val="-6"/>
          <w:sz w:val="24"/>
        </w:rPr>
        <w:t>方案；</w:t>
      </w:r>
    </w:p>
    <w:p>
      <w:pPr>
        <w:pStyle w:val="ListParagraph"/>
        <w:numPr>
          <w:ilvl w:val="0"/>
          <w:numId w:val="63"/>
        </w:numPr>
        <w:tabs>
          <w:tab w:pos="1082" w:val="left" w:leader="none"/>
        </w:tabs>
        <w:spacing w:line="364" w:lineRule="auto" w:before="2" w:after="0"/>
        <w:ind w:left="120" w:right="377" w:firstLine="479"/>
        <w:jc w:val="left"/>
        <w:rPr>
          <w:sz w:val="24"/>
        </w:rPr>
      </w:pPr>
      <w:r>
        <w:rPr>
          <w:sz w:val="24"/>
        </w:rPr>
        <w:t>按照有关法律法规和基金合同的规定以受托人名义或其指定的代理人</w:t>
      </w:r>
      <w:r>
        <w:rPr>
          <w:spacing w:val="-4"/>
          <w:sz w:val="24"/>
        </w:rPr>
        <w:t>名义登记资产；</w:t>
      </w:r>
    </w:p>
    <w:p>
      <w:pPr>
        <w:pStyle w:val="ListParagraph"/>
        <w:numPr>
          <w:ilvl w:val="0"/>
          <w:numId w:val="63"/>
        </w:numPr>
        <w:tabs>
          <w:tab w:pos="1082" w:val="left" w:leader="none"/>
        </w:tabs>
        <w:spacing w:line="364" w:lineRule="auto" w:before="1" w:after="0"/>
        <w:ind w:left="120" w:right="376" w:firstLine="479"/>
        <w:jc w:val="left"/>
        <w:rPr>
          <w:sz w:val="24"/>
        </w:rPr>
      </w:pPr>
      <w:r>
        <w:rPr>
          <w:spacing w:val="-9"/>
          <w:sz w:val="24"/>
        </w:rPr>
        <w:t>法律法规、《基金合同》规定的其他义务以及中国证监会和国家外汇 </w:t>
      </w:r>
      <w:r>
        <w:rPr>
          <w:spacing w:val="-4"/>
          <w:sz w:val="24"/>
        </w:rPr>
        <w:t>局根据审慎监管原则规定的基金托管人的其他职责。</w:t>
      </w:r>
    </w:p>
    <w:p>
      <w:pPr>
        <w:pStyle w:val="BodyText"/>
        <w:spacing w:before="0"/>
        <w:ind w:left="0" w:firstLine="0"/>
      </w:pPr>
    </w:p>
    <w:p>
      <w:pPr>
        <w:spacing w:before="162"/>
        <w:ind w:left="602" w:right="0" w:firstLine="0"/>
        <w:jc w:val="left"/>
        <w:rPr>
          <w:b/>
          <w:sz w:val="24"/>
        </w:rPr>
      </w:pPr>
      <w:r>
        <w:rPr>
          <w:b/>
          <w:sz w:val="24"/>
        </w:rPr>
        <w:t>（二）基金份额持有人大会召集、议事及表决的程序和规则</w:t>
      </w:r>
    </w:p>
    <w:p>
      <w:pPr>
        <w:spacing w:after="0"/>
        <w:jc w:val="left"/>
        <w:rPr>
          <w:sz w:val="24"/>
        </w:rPr>
        <w:sectPr>
          <w:pgSz w:w="11910" w:h="16840"/>
          <w:pgMar w:header="0" w:footer="914" w:top="1440" w:bottom="1180" w:left="1680" w:right="1420"/>
        </w:sectPr>
      </w:pPr>
    </w:p>
    <w:p>
      <w:pPr>
        <w:pStyle w:val="BodyText"/>
        <w:spacing w:line="364" w:lineRule="auto" w:before="41"/>
        <w:ind w:right="376"/>
      </w:pPr>
      <w:r>
        <w:rPr>
          <w:spacing w:val="-6"/>
        </w:rPr>
        <w:t>基金份额持有人大会由基金份额持有人组成。基金份额持有人持有的每一基</w:t>
      </w:r>
      <w:r>
        <w:rPr/>
        <w:t>金份额拥有平等的投票权。</w:t>
      </w:r>
    </w:p>
    <w:p>
      <w:pPr>
        <w:spacing w:before="1"/>
        <w:ind w:left="602" w:right="0" w:firstLine="0"/>
        <w:jc w:val="left"/>
        <w:rPr>
          <w:b/>
          <w:sz w:val="24"/>
        </w:rPr>
      </w:pPr>
      <w:r>
        <w:rPr>
          <w:rFonts w:ascii="Times New Roman" w:eastAsia="Times New Roman"/>
          <w:b/>
          <w:sz w:val="24"/>
        </w:rPr>
        <w:t>1</w:t>
      </w:r>
      <w:r>
        <w:rPr>
          <w:b/>
          <w:sz w:val="24"/>
        </w:rPr>
        <w:t>、召开事由</w:t>
      </w:r>
    </w:p>
    <w:p>
      <w:pPr>
        <w:pStyle w:val="ListParagraph"/>
        <w:numPr>
          <w:ilvl w:val="0"/>
          <w:numId w:val="64"/>
        </w:numPr>
        <w:tabs>
          <w:tab w:pos="1202" w:val="left" w:leader="none"/>
        </w:tabs>
        <w:spacing w:line="240" w:lineRule="auto" w:before="81" w:after="0"/>
        <w:ind w:left="1201" w:right="0" w:hanging="602"/>
        <w:jc w:val="left"/>
        <w:rPr>
          <w:sz w:val="24"/>
        </w:rPr>
      </w:pPr>
      <w:r>
        <w:rPr>
          <w:sz w:val="24"/>
        </w:rPr>
        <w:t>当出现或需要决定下列事由之一的，应当召开基金份额持有人大会：</w:t>
      </w:r>
    </w:p>
    <w:p>
      <w:pPr>
        <w:pStyle w:val="ListParagraph"/>
        <w:numPr>
          <w:ilvl w:val="0"/>
          <w:numId w:val="65"/>
        </w:numPr>
        <w:tabs>
          <w:tab w:pos="962" w:val="left" w:leader="none"/>
        </w:tabs>
        <w:spacing w:line="240" w:lineRule="auto" w:before="161" w:after="0"/>
        <w:ind w:left="961" w:right="0" w:hanging="362"/>
        <w:jc w:val="left"/>
        <w:rPr>
          <w:sz w:val="24"/>
        </w:rPr>
      </w:pPr>
      <w:r>
        <w:rPr>
          <w:spacing w:val="-11"/>
          <w:sz w:val="24"/>
        </w:rPr>
        <w:t>提前终止《基金合同》；</w:t>
      </w:r>
    </w:p>
    <w:p>
      <w:pPr>
        <w:pStyle w:val="ListParagraph"/>
        <w:numPr>
          <w:ilvl w:val="0"/>
          <w:numId w:val="65"/>
        </w:numPr>
        <w:tabs>
          <w:tab w:pos="962" w:val="left" w:leader="none"/>
        </w:tabs>
        <w:spacing w:line="240" w:lineRule="auto" w:before="158" w:after="0"/>
        <w:ind w:left="961" w:right="0" w:hanging="362"/>
        <w:jc w:val="left"/>
        <w:rPr>
          <w:sz w:val="24"/>
        </w:rPr>
      </w:pPr>
      <w:r>
        <w:rPr>
          <w:sz w:val="24"/>
        </w:rPr>
        <w:t>更换基金管理人；</w:t>
      </w:r>
    </w:p>
    <w:p>
      <w:pPr>
        <w:pStyle w:val="ListParagraph"/>
        <w:numPr>
          <w:ilvl w:val="0"/>
          <w:numId w:val="65"/>
        </w:numPr>
        <w:tabs>
          <w:tab w:pos="962" w:val="left" w:leader="none"/>
        </w:tabs>
        <w:spacing w:line="240" w:lineRule="auto" w:before="161" w:after="0"/>
        <w:ind w:left="961" w:right="0" w:hanging="362"/>
        <w:jc w:val="left"/>
        <w:rPr>
          <w:sz w:val="24"/>
        </w:rPr>
      </w:pPr>
      <w:r>
        <w:rPr>
          <w:sz w:val="24"/>
        </w:rPr>
        <w:t>更换基金托管人；</w:t>
      </w:r>
    </w:p>
    <w:p>
      <w:pPr>
        <w:pStyle w:val="ListParagraph"/>
        <w:numPr>
          <w:ilvl w:val="0"/>
          <w:numId w:val="65"/>
        </w:numPr>
        <w:tabs>
          <w:tab w:pos="962" w:val="left" w:leader="none"/>
        </w:tabs>
        <w:spacing w:line="240" w:lineRule="auto" w:before="158" w:after="0"/>
        <w:ind w:left="961" w:right="0" w:hanging="362"/>
        <w:jc w:val="left"/>
        <w:rPr>
          <w:sz w:val="24"/>
        </w:rPr>
      </w:pPr>
      <w:r>
        <w:rPr>
          <w:sz w:val="24"/>
        </w:rPr>
        <w:t>转换基金运作方式；</w:t>
      </w:r>
    </w:p>
    <w:p>
      <w:pPr>
        <w:pStyle w:val="ListParagraph"/>
        <w:numPr>
          <w:ilvl w:val="0"/>
          <w:numId w:val="65"/>
        </w:numPr>
        <w:tabs>
          <w:tab w:pos="962" w:val="left" w:leader="none"/>
        </w:tabs>
        <w:spacing w:line="364" w:lineRule="auto" w:before="160" w:after="0"/>
        <w:ind w:left="120" w:right="381" w:firstLine="479"/>
        <w:jc w:val="left"/>
        <w:rPr>
          <w:sz w:val="24"/>
        </w:rPr>
      </w:pPr>
      <w:r>
        <w:rPr>
          <w:spacing w:val="-1"/>
          <w:sz w:val="24"/>
        </w:rPr>
        <w:t>提高基金管理人和基金托管人的报酬标准或销售服务费。但根据法律法</w:t>
      </w:r>
      <w:r>
        <w:rPr>
          <w:sz w:val="24"/>
        </w:rPr>
        <w:t>规的要求提高该等报酬标准或销售服务费的除外；</w:t>
      </w:r>
    </w:p>
    <w:p>
      <w:pPr>
        <w:pStyle w:val="ListParagraph"/>
        <w:numPr>
          <w:ilvl w:val="0"/>
          <w:numId w:val="65"/>
        </w:numPr>
        <w:tabs>
          <w:tab w:pos="962" w:val="left" w:leader="none"/>
        </w:tabs>
        <w:spacing w:line="307" w:lineRule="exact" w:before="0" w:after="0"/>
        <w:ind w:left="961" w:right="0" w:hanging="362"/>
        <w:jc w:val="left"/>
        <w:rPr>
          <w:sz w:val="24"/>
        </w:rPr>
      </w:pPr>
      <w:r>
        <w:rPr>
          <w:sz w:val="24"/>
        </w:rPr>
        <w:t>变更基金类别；</w:t>
      </w:r>
    </w:p>
    <w:p>
      <w:pPr>
        <w:pStyle w:val="ListParagraph"/>
        <w:numPr>
          <w:ilvl w:val="0"/>
          <w:numId w:val="65"/>
        </w:numPr>
        <w:tabs>
          <w:tab w:pos="962" w:val="left" w:leader="none"/>
        </w:tabs>
        <w:spacing w:line="240" w:lineRule="auto" w:before="158" w:after="0"/>
        <w:ind w:left="961" w:right="0" w:hanging="362"/>
        <w:jc w:val="left"/>
        <w:rPr>
          <w:sz w:val="24"/>
        </w:rPr>
      </w:pPr>
      <w:r>
        <w:rPr>
          <w:sz w:val="24"/>
        </w:rPr>
        <w:t>本基金与其他基金的合并；</w:t>
      </w:r>
    </w:p>
    <w:p>
      <w:pPr>
        <w:pStyle w:val="ListParagraph"/>
        <w:numPr>
          <w:ilvl w:val="0"/>
          <w:numId w:val="65"/>
        </w:numPr>
        <w:tabs>
          <w:tab w:pos="962" w:val="left" w:leader="none"/>
        </w:tabs>
        <w:spacing w:line="240" w:lineRule="auto" w:before="161" w:after="0"/>
        <w:ind w:left="961" w:right="0" w:hanging="362"/>
        <w:jc w:val="left"/>
        <w:rPr>
          <w:sz w:val="24"/>
        </w:rPr>
      </w:pPr>
      <w:r>
        <w:rPr>
          <w:sz w:val="24"/>
        </w:rPr>
        <w:t>变更基金投资目标、范围或策略；</w:t>
      </w:r>
    </w:p>
    <w:p>
      <w:pPr>
        <w:pStyle w:val="ListParagraph"/>
        <w:numPr>
          <w:ilvl w:val="0"/>
          <w:numId w:val="65"/>
        </w:numPr>
        <w:tabs>
          <w:tab w:pos="962" w:val="left" w:leader="none"/>
        </w:tabs>
        <w:spacing w:line="240" w:lineRule="auto" w:before="158" w:after="0"/>
        <w:ind w:left="961" w:right="0" w:hanging="362"/>
        <w:jc w:val="left"/>
        <w:rPr>
          <w:sz w:val="24"/>
        </w:rPr>
      </w:pPr>
      <w:r>
        <w:rPr>
          <w:sz w:val="24"/>
        </w:rPr>
        <w:t>变更基金份额持有人大会程序；</w:t>
      </w:r>
    </w:p>
    <w:p>
      <w:pPr>
        <w:pStyle w:val="BodyText"/>
        <w:spacing w:before="9"/>
        <w:ind w:left="0" w:firstLine="0"/>
        <w:rPr>
          <w:sz w:val="18"/>
        </w:rPr>
      </w:pPr>
    </w:p>
    <w:p>
      <w:pPr>
        <w:pStyle w:val="ListParagraph"/>
        <w:numPr>
          <w:ilvl w:val="0"/>
          <w:numId w:val="65"/>
        </w:numPr>
        <w:tabs>
          <w:tab w:pos="1082" w:val="left" w:leader="none"/>
        </w:tabs>
        <w:spacing w:line="240" w:lineRule="auto" w:before="0" w:after="0"/>
        <w:ind w:left="1081" w:right="0" w:hanging="482"/>
        <w:jc w:val="left"/>
        <w:rPr>
          <w:sz w:val="24"/>
        </w:rPr>
      </w:pPr>
      <w:r>
        <w:rPr>
          <w:sz w:val="24"/>
        </w:rPr>
        <w:t>对基金合同当事人权利和义务产生重大影响的其他事项；</w:t>
      </w:r>
    </w:p>
    <w:p>
      <w:pPr>
        <w:pStyle w:val="ListParagraph"/>
        <w:numPr>
          <w:ilvl w:val="0"/>
          <w:numId w:val="65"/>
        </w:numPr>
        <w:tabs>
          <w:tab w:pos="1072" w:val="left" w:leader="none"/>
        </w:tabs>
        <w:spacing w:line="364" w:lineRule="auto" w:before="160" w:after="0"/>
        <w:ind w:left="120" w:right="377" w:firstLine="479"/>
        <w:jc w:val="both"/>
        <w:rPr>
          <w:sz w:val="24"/>
        </w:rPr>
      </w:pPr>
      <w:r>
        <w:rPr>
          <w:spacing w:val="-4"/>
          <w:sz w:val="24"/>
        </w:rPr>
        <w:t>单独或合计持有本基金总份额 </w:t>
      </w:r>
      <w:r>
        <w:rPr>
          <w:rFonts w:ascii="Times New Roman" w:eastAsia="Times New Roman"/>
          <w:sz w:val="24"/>
        </w:rPr>
        <w:t>10</w:t>
      </w:r>
      <w:r>
        <w:rPr>
          <w:sz w:val="24"/>
        </w:rPr>
        <w:t>％以上（</w:t>
      </w:r>
      <w:r>
        <w:rPr>
          <w:spacing w:val="-22"/>
          <w:sz w:val="24"/>
        </w:rPr>
        <w:t>含 </w:t>
      </w:r>
      <w:r>
        <w:rPr>
          <w:rFonts w:ascii="Times New Roman" w:eastAsia="Times New Roman"/>
          <w:sz w:val="24"/>
        </w:rPr>
        <w:t>10</w:t>
      </w:r>
      <w:r>
        <w:rPr>
          <w:sz w:val="24"/>
        </w:rPr>
        <w:t>％）</w:t>
      </w:r>
      <w:r>
        <w:rPr>
          <w:spacing w:val="-2"/>
          <w:sz w:val="24"/>
        </w:rPr>
        <w:t>基金份额的基金份</w:t>
      </w:r>
      <w:r>
        <w:rPr>
          <w:spacing w:val="-8"/>
          <w:sz w:val="24"/>
        </w:rPr>
        <w:t>额持有人</w:t>
      </w:r>
      <w:r>
        <w:rPr>
          <w:sz w:val="24"/>
        </w:rPr>
        <w:t>（</w:t>
      </w:r>
      <w:r>
        <w:rPr>
          <w:spacing w:val="-2"/>
          <w:sz w:val="24"/>
        </w:rPr>
        <w:t>以基金管理人收到提议当日的基金份额计算，下同</w:t>
      </w:r>
      <w:r>
        <w:rPr>
          <w:spacing w:val="-32"/>
          <w:sz w:val="24"/>
        </w:rPr>
        <w:t>）</w:t>
      </w:r>
      <w:r>
        <w:rPr>
          <w:spacing w:val="-3"/>
          <w:sz w:val="24"/>
        </w:rPr>
        <w:t>就同一事项书面</w:t>
      </w:r>
      <w:r>
        <w:rPr>
          <w:sz w:val="24"/>
        </w:rPr>
        <w:t>要求召开基金份额持有人大会；</w:t>
      </w:r>
    </w:p>
    <w:p>
      <w:pPr>
        <w:pStyle w:val="ListParagraph"/>
        <w:numPr>
          <w:ilvl w:val="0"/>
          <w:numId w:val="65"/>
        </w:numPr>
        <w:tabs>
          <w:tab w:pos="1082" w:val="left" w:leader="none"/>
        </w:tabs>
        <w:spacing w:line="364" w:lineRule="auto" w:before="3" w:after="0"/>
        <w:ind w:left="120" w:right="384" w:firstLine="479"/>
        <w:jc w:val="left"/>
        <w:rPr>
          <w:sz w:val="24"/>
        </w:rPr>
      </w:pPr>
      <w:r>
        <w:rPr>
          <w:spacing w:val="-13"/>
          <w:sz w:val="24"/>
        </w:rPr>
        <w:t>法律法规、《基金合同》或中国证监会规定的其他应当召开基金份额持</w:t>
      </w:r>
      <w:r>
        <w:rPr>
          <w:sz w:val="24"/>
        </w:rPr>
        <w:t>有人大会的事项。</w:t>
      </w:r>
    </w:p>
    <w:p>
      <w:pPr>
        <w:pStyle w:val="ListParagraph"/>
        <w:numPr>
          <w:ilvl w:val="0"/>
          <w:numId w:val="64"/>
        </w:numPr>
        <w:tabs>
          <w:tab w:pos="1202" w:val="left" w:leader="none"/>
        </w:tabs>
        <w:spacing w:line="364" w:lineRule="auto" w:before="1" w:after="0"/>
        <w:ind w:left="120" w:right="384" w:firstLine="479"/>
        <w:jc w:val="left"/>
        <w:rPr>
          <w:sz w:val="24"/>
        </w:rPr>
      </w:pPr>
      <w:r>
        <w:rPr>
          <w:spacing w:val="-1"/>
          <w:sz w:val="24"/>
        </w:rPr>
        <w:t>以下情况可由基金管理人和基金托管人协商后修改，不需召开基金份</w:t>
      </w:r>
      <w:r>
        <w:rPr>
          <w:sz w:val="24"/>
        </w:rPr>
        <w:t>额持有人大会：</w:t>
      </w:r>
    </w:p>
    <w:p>
      <w:pPr>
        <w:pStyle w:val="ListParagraph"/>
        <w:numPr>
          <w:ilvl w:val="0"/>
          <w:numId w:val="66"/>
        </w:numPr>
        <w:tabs>
          <w:tab w:pos="962" w:val="left" w:leader="none"/>
        </w:tabs>
        <w:spacing w:line="240" w:lineRule="auto" w:before="1" w:after="0"/>
        <w:ind w:left="961" w:right="0" w:hanging="362"/>
        <w:jc w:val="left"/>
        <w:rPr>
          <w:sz w:val="24"/>
        </w:rPr>
      </w:pPr>
      <w:r>
        <w:rPr>
          <w:sz w:val="24"/>
        </w:rPr>
        <w:t>调低基金管理费、基金托管费、销售服务费；</w:t>
      </w:r>
    </w:p>
    <w:p>
      <w:pPr>
        <w:pStyle w:val="ListParagraph"/>
        <w:numPr>
          <w:ilvl w:val="0"/>
          <w:numId w:val="66"/>
        </w:numPr>
        <w:tabs>
          <w:tab w:pos="962" w:val="left" w:leader="none"/>
        </w:tabs>
        <w:spacing w:line="240" w:lineRule="auto" w:before="160" w:after="0"/>
        <w:ind w:left="961" w:right="0" w:hanging="362"/>
        <w:jc w:val="left"/>
        <w:rPr>
          <w:sz w:val="24"/>
        </w:rPr>
      </w:pPr>
      <w:r>
        <w:rPr>
          <w:sz w:val="24"/>
        </w:rPr>
        <w:t>法律法规要求增加的基金费用的收取；</w:t>
      </w:r>
    </w:p>
    <w:p>
      <w:pPr>
        <w:pStyle w:val="ListParagraph"/>
        <w:numPr>
          <w:ilvl w:val="0"/>
          <w:numId w:val="66"/>
        </w:numPr>
        <w:tabs>
          <w:tab w:pos="962" w:val="left" w:leader="none"/>
        </w:tabs>
        <w:spacing w:line="240" w:lineRule="auto" w:before="162" w:after="0"/>
        <w:ind w:left="961" w:right="0" w:hanging="362"/>
        <w:jc w:val="left"/>
        <w:rPr>
          <w:sz w:val="24"/>
        </w:rPr>
      </w:pPr>
      <w:r>
        <w:rPr>
          <w:sz w:val="24"/>
        </w:rPr>
        <w:t>在《基金合同》规定的范围内变更本基金的申购费率、降低赎回费率；</w:t>
      </w:r>
    </w:p>
    <w:p>
      <w:pPr>
        <w:pStyle w:val="ListParagraph"/>
        <w:numPr>
          <w:ilvl w:val="0"/>
          <w:numId w:val="66"/>
        </w:numPr>
        <w:tabs>
          <w:tab w:pos="962" w:val="left" w:leader="none"/>
        </w:tabs>
        <w:spacing w:line="240" w:lineRule="auto" w:before="160" w:after="0"/>
        <w:ind w:left="961" w:right="0" w:hanging="362"/>
        <w:jc w:val="left"/>
        <w:rPr>
          <w:sz w:val="24"/>
        </w:rPr>
      </w:pPr>
      <w:r>
        <w:rPr>
          <w:sz w:val="24"/>
        </w:rPr>
        <w:t>因相应的法律法规发生变动而应当对《基金合同》进行修改；</w:t>
      </w:r>
    </w:p>
    <w:p>
      <w:pPr>
        <w:pStyle w:val="ListParagraph"/>
        <w:numPr>
          <w:ilvl w:val="0"/>
          <w:numId w:val="66"/>
        </w:numPr>
        <w:tabs>
          <w:tab w:pos="962" w:val="left" w:leader="none"/>
        </w:tabs>
        <w:spacing w:line="364" w:lineRule="auto" w:before="161" w:after="0"/>
        <w:ind w:left="120" w:right="377" w:firstLine="479"/>
        <w:jc w:val="left"/>
        <w:rPr>
          <w:sz w:val="24"/>
        </w:rPr>
      </w:pPr>
      <w:r>
        <w:rPr>
          <w:spacing w:val="-7"/>
          <w:sz w:val="24"/>
        </w:rPr>
        <w:t>《基金合同》的修改对基金份额持有人利益无实质性不利影响或修改不</w:t>
      </w:r>
      <w:r>
        <w:rPr>
          <w:spacing w:val="-4"/>
          <w:sz w:val="24"/>
        </w:rPr>
        <w:t>涉及基金合同当事人权利义务关系发生变化；</w:t>
      </w:r>
    </w:p>
    <w:p>
      <w:pPr>
        <w:pStyle w:val="ListParagraph"/>
        <w:numPr>
          <w:ilvl w:val="0"/>
          <w:numId w:val="66"/>
        </w:numPr>
        <w:tabs>
          <w:tab w:pos="962" w:val="left" w:leader="none"/>
        </w:tabs>
        <w:spacing w:line="364" w:lineRule="auto" w:before="1" w:after="0"/>
        <w:ind w:left="120" w:right="384" w:firstLine="479"/>
        <w:jc w:val="left"/>
        <w:rPr>
          <w:sz w:val="24"/>
        </w:rPr>
      </w:pPr>
      <w:r>
        <w:rPr>
          <w:spacing w:val="-1"/>
          <w:sz w:val="24"/>
        </w:rPr>
        <w:t>除按照法律法规和《基金合同》规定应当召开基金份额持有人大会的以</w:t>
      </w:r>
      <w:r>
        <w:rPr>
          <w:sz w:val="24"/>
        </w:rPr>
        <w:t>外的其他情形。</w:t>
      </w:r>
    </w:p>
    <w:p>
      <w:pPr>
        <w:spacing w:after="0" w:line="364" w:lineRule="auto"/>
        <w:jc w:val="left"/>
        <w:rPr>
          <w:sz w:val="24"/>
        </w:rPr>
        <w:sectPr>
          <w:pgSz w:w="11910" w:h="16840"/>
          <w:pgMar w:header="0" w:footer="914" w:top="1460" w:bottom="1180" w:left="1680" w:right="1420"/>
        </w:sectPr>
      </w:pPr>
    </w:p>
    <w:p>
      <w:pPr>
        <w:pStyle w:val="BodyText"/>
        <w:spacing w:before="7"/>
        <w:ind w:left="0" w:firstLine="0"/>
      </w:pPr>
    </w:p>
    <w:p>
      <w:pPr>
        <w:spacing w:before="74"/>
        <w:ind w:left="602" w:right="0" w:firstLine="0"/>
        <w:jc w:val="left"/>
        <w:rPr>
          <w:b/>
          <w:sz w:val="24"/>
        </w:rPr>
      </w:pPr>
      <w:r>
        <w:rPr>
          <w:rFonts w:ascii="Times New Roman" w:eastAsia="Times New Roman"/>
          <w:b/>
          <w:sz w:val="24"/>
        </w:rPr>
        <w:t>2</w:t>
      </w:r>
      <w:r>
        <w:rPr>
          <w:b/>
          <w:sz w:val="24"/>
        </w:rPr>
        <w:t>、会议召集人及召集方式</w:t>
      </w:r>
    </w:p>
    <w:p>
      <w:pPr>
        <w:pStyle w:val="ListParagraph"/>
        <w:numPr>
          <w:ilvl w:val="0"/>
          <w:numId w:val="67"/>
        </w:numPr>
        <w:tabs>
          <w:tab w:pos="1202" w:val="left" w:leader="none"/>
        </w:tabs>
        <w:spacing w:line="364" w:lineRule="auto" w:before="82" w:after="0"/>
        <w:ind w:left="120" w:right="384" w:firstLine="479"/>
        <w:jc w:val="left"/>
        <w:rPr>
          <w:sz w:val="24"/>
        </w:rPr>
      </w:pPr>
      <w:r>
        <w:rPr>
          <w:spacing w:val="-1"/>
          <w:sz w:val="24"/>
        </w:rPr>
        <w:t>除法律法规规定或《基金合同》另有约定外，基金份额持有人大会由</w:t>
      </w:r>
      <w:r>
        <w:rPr>
          <w:sz w:val="24"/>
        </w:rPr>
        <w:t>基金管理人召集。</w:t>
      </w:r>
    </w:p>
    <w:p>
      <w:pPr>
        <w:pStyle w:val="ListParagraph"/>
        <w:numPr>
          <w:ilvl w:val="0"/>
          <w:numId w:val="67"/>
        </w:numPr>
        <w:tabs>
          <w:tab w:pos="1202" w:val="left" w:leader="none"/>
        </w:tabs>
        <w:spacing w:line="306" w:lineRule="exact" w:before="0" w:after="0"/>
        <w:ind w:left="1201" w:right="0" w:hanging="602"/>
        <w:jc w:val="left"/>
        <w:rPr>
          <w:sz w:val="24"/>
        </w:rPr>
      </w:pPr>
      <w:r>
        <w:rPr>
          <w:sz w:val="24"/>
        </w:rPr>
        <w:t>基金管理人未按规定召集或不能召集时，由基金托管人召集。</w:t>
      </w:r>
    </w:p>
    <w:p>
      <w:pPr>
        <w:pStyle w:val="ListParagraph"/>
        <w:numPr>
          <w:ilvl w:val="0"/>
          <w:numId w:val="67"/>
        </w:numPr>
        <w:tabs>
          <w:tab w:pos="1202" w:val="left" w:leader="none"/>
        </w:tabs>
        <w:spacing w:line="364" w:lineRule="auto" w:before="160" w:after="0"/>
        <w:ind w:left="120" w:right="256" w:firstLine="479"/>
        <w:jc w:val="left"/>
        <w:rPr>
          <w:sz w:val="24"/>
        </w:rPr>
      </w:pPr>
      <w:r>
        <w:rPr>
          <w:sz w:val="24"/>
        </w:rPr>
        <w:t>基金托管人认为有必要召开基金份额持有人大会的，应当向基金管理</w:t>
      </w:r>
      <w:r>
        <w:rPr>
          <w:spacing w:val="-12"/>
          <w:sz w:val="24"/>
        </w:rPr>
        <w:t>人提出书面提议。基金管理人应当自收到书面提议之日起 </w:t>
      </w:r>
      <w:r>
        <w:rPr>
          <w:rFonts w:ascii="Times New Roman" w:eastAsia="Times New Roman"/>
          <w:sz w:val="24"/>
        </w:rPr>
        <w:t>10 </w:t>
      </w:r>
      <w:r>
        <w:rPr>
          <w:spacing w:val="-2"/>
          <w:sz w:val="24"/>
        </w:rPr>
        <w:t>日内决定是否召集， </w:t>
      </w:r>
      <w:r>
        <w:rPr>
          <w:sz w:val="24"/>
        </w:rPr>
        <w:t>并书面告知基金托管人。基金管理人决定召集的，应当自出具书面决定之日起</w:t>
      </w:r>
      <w:r>
        <w:rPr>
          <w:rFonts w:ascii="Times New Roman" w:eastAsia="Times New Roman"/>
          <w:sz w:val="24"/>
        </w:rPr>
        <w:t>60</w:t>
      </w:r>
      <w:r>
        <w:rPr>
          <w:rFonts w:ascii="Times New Roman" w:eastAsia="Times New Roman"/>
          <w:spacing w:val="7"/>
          <w:sz w:val="24"/>
        </w:rPr>
        <w:t> </w:t>
      </w:r>
      <w:r>
        <w:rPr>
          <w:sz w:val="24"/>
        </w:rPr>
        <w:t>日内召开；基金管理人决定不召集，基金托管人仍认为有必要召开的，应当由基金托管人自行召集。</w:t>
      </w:r>
    </w:p>
    <w:p>
      <w:pPr>
        <w:pStyle w:val="ListParagraph"/>
        <w:numPr>
          <w:ilvl w:val="0"/>
          <w:numId w:val="67"/>
        </w:numPr>
        <w:tabs>
          <w:tab w:pos="1202" w:val="left" w:leader="none"/>
        </w:tabs>
        <w:spacing w:line="364" w:lineRule="auto" w:before="76" w:after="0"/>
        <w:ind w:left="120" w:right="376" w:firstLine="479"/>
        <w:jc w:val="both"/>
        <w:rPr>
          <w:sz w:val="24"/>
        </w:rPr>
      </w:pPr>
      <w:r>
        <w:rPr>
          <w:spacing w:val="-9"/>
          <w:sz w:val="24"/>
        </w:rPr>
        <w:t>代表基金份额 </w:t>
      </w:r>
      <w:r>
        <w:rPr>
          <w:rFonts w:ascii="Times New Roman" w:eastAsia="Times New Roman"/>
          <w:sz w:val="24"/>
        </w:rPr>
        <w:t>10%</w:t>
      </w:r>
      <w:r>
        <w:rPr>
          <w:spacing w:val="-3"/>
          <w:sz w:val="24"/>
        </w:rPr>
        <w:t>以上</w:t>
      </w:r>
      <w:r>
        <w:rPr>
          <w:sz w:val="24"/>
        </w:rPr>
        <w:t>（</w:t>
      </w:r>
      <w:r>
        <w:rPr>
          <w:spacing w:val="-31"/>
          <w:sz w:val="24"/>
        </w:rPr>
        <w:t>含 </w:t>
      </w:r>
      <w:r>
        <w:rPr>
          <w:rFonts w:ascii="Times New Roman" w:eastAsia="Times New Roman"/>
          <w:sz w:val="24"/>
        </w:rPr>
        <w:t>10%</w:t>
      </w:r>
      <w:r>
        <w:rPr>
          <w:sz w:val="24"/>
        </w:rPr>
        <w:t>）</w:t>
      </w:r>
      <w:r>
        <w:rPr>
          <w:spacing w:val="-1"/>
          <w:sz w:val="24"/>
        </w:rPr>
        <w:t>的基金份额持有人就同一事项书面</w:t>
      </w:r>
      <w:r>
        <w:rPr>
          <w:spacing w:val="-7"/>
          <w:sz w:val="24"/>
        </w:rPr>
        <w:t>要求召开基金份额持有人大会，应当向基金管理人提出书面提议。基金管理人应</w:t>
      </w:r>
      <w:r>
        <w:rPr>
          <w:spacing w:val="-4"/>
          <w:sz w:val="24"/>
        </w:rPr>
        <w:t>当自收到书面提议之日起 </w:t>
      </w:r>
      <w:r>
        <w:rPr>
          <w:rFonts w:ascii="Times New Roman" w:eastAsia="Times New Roman"/>
          <w:sz w:val="24"/>
        </w:rPr>
        <w:t>10</w:t>
      </w:r>
      <w:r>
        <w:rPr>
          <w:rFonts w:ascii="Times New Roman" w:eastAsia="Times New Roman"/>
          <w:spacing w:val="13"/>
          <w:sz w:val="24"/>
        </w:rPr>
        <w:t> </w:t>
      </w:r>
      <w:r>
        <w:rPr>
          <w:spacing w:val="-1"/>
          <w:sz w:val="24"/>
        </w:rPr>
        <w:t>日内决定是否召集，并书面告知提出提议的基金份</w:t>
      </w:r>
      <w:r>
        <w:rPr>
          <w:spacing w:val="-7"/>
          <w:sz w:val="24"/>
        </w:rPr>
        <w:t>额持有人代表和基金托管人。基金管理人决定召集的，应当自出具书面决定之日</w:t>
      </w:r>
      <w:r>
        <w:rPr>
          <w:spacing w:val="-31"/>
          <w:sz w:val="24"/>
        </w:rPr>
        <w:t>起 </w:t>
      </w:r>
      <w:r>
        <w:rPr>
          <w:rFonts w:ascii="Times New Roman" w:eastAsia="Times New Roman"/>
          <w:sz w:val="24"/>
        </w:rPr>
        <w:t>60</w:t>
      </w:r>
      <w:r>
        <w:rPr>
          <w:rFonts w:ascii="Times New Roman" w:eastAsia="Times New Roman"/>
          <w:spacing w:val="-2"/>
          <w:sz w:val="24"/>
        </w:rPr>
        <w:t> </w:t>
      </w:r>
      <w:r>
        <w:rPr>
          <w:spacing w:val="-5"/>
          <w:sz w:val="24"/>
        </w:rPr>
        <w:t>日内召开；基金管理人决定不召集，代表基金份额 </w:t>
      </w:r>
      <w:r>
        <w:rPr>
          <w:rFonts w:ascii="Times New Roman" w:eastAsia="Times New Roman"/>
          <w:sz w:val="24"/>
        </w:rPr>
        <w:t>10%</w:t>
      </w:r>
      <w:r>
        <w:rPr>
          <w:spacing w:val="-2"/>
          <w:sz w:val="24"/>
        </w:rPr>
        <w:t>以上</w:t>
      </w:r>
      <w:r>
        <w:rPr>
          <w:sz w:val="24"/>
        </w:rPr>
        <w:t>（</w:t>
      </w:r>
      <w:r>
        <w:rPr>
          <w:spacing w:val="-31"/>
          <w:sz w:val="24"/>
        </w:rPr>
        <w:t>含 </w:t>
      </w:r>
      <w:r>
        <w:rPr>
          <w:rFonts w:ascii="Times New Roman" w:eastAsia="Times New Roman"/>
          <w:sz w:val="24"/>
        </w:rPr>
        <w:t>10%</w:t>
      </w:r>
      <w:r>
        <w:rPr>
          <w:sz w:val="24"/>
        </w:rPr>
        <w:t>）</w:t>
      </w:r>
      <w:r>
        <w:rPr>
          <w:spacing w:val="-15"/>
          <w:sz w:val="24"/>
        </w:rPr>
        <w:t>的</w:t>
      </w:r>
      <w:r>
        <w:rPr>
          <w:spacing w:val="-6"/>
          <w:sz w:val="24"/>
        </w:rPr>
        <w:t>基金份额持有人仍认为有必要召开的，应当向基金托管人提出书面提议。基金托</w:t>
      </w:r>
      <w:r>
        <w:rPr>
          <w:spacing w:val="-4"/>
          <w:sz w:val="24"/>
        </w:rPr>
        <w:t>管人应当自收到书面提议之日起 </w:t>
      </w:r>
      <w:r>
        <w:rPr>
          <w:rFonts w:ascii="Times New Roman" w:eastAsia="Times New Roman"/>
          <w:sz w:val="24"/>
        </w:rPr>
        <w:t>10</w:t>
      </w:r>
      <w:r>
        <w:rPr>
          <w:rFonts w:ascii="Times New Roman" w:eastAsia="Times New Roman"/>
          <w:spacing w:val="13"/>
          <w:sz w:val="24"/>
        </w:rPr>
        <w:t> </w:t>
      </w:r>
      <w:r>
        <w:rPr>
          <w:spacing w:val="-1"/>
          <w:sz w:val="24"/>
        </w:rPr>
        <w:t>日内决定是否召集，并书面告知提出提议的</w:t>
      </w:r>
      <w:r>
        <w:rPr>
          <w:spacing w:val="-6"/>
          <w:sz w:val="24"/>
        </w:rPr>
        <w:t>基金份额持有人代表和基金管理人；基金托管人决定召集的，应当自出具书面决</w:t>
      </w:r>
      <w:r>
        <w:rPr>
          <w:spacing w:val="-13"/>
          <w:sz w:val="24"/>
        </w:rPr>
        <w:t>定之日起 </w:t>
      </w:r>
      <w:r>
        <w:rPr>
          <w:rFonts w:ascii="Times New Roman" w:eastAsia="Times New Roman"/>
          <w:sz w:val="24"/>
        </w:rPr>
        <w:t>60 </w:t>
      </w:r>
      <w:r>
        <w:rPr>
          <w:sz w:val="24"/>
        </w:rPr>
        <w:t>日内召开。</w:t>
      </w:r>
    </w:p>
    <w:p>
      <w:pPr>
        <w:pStyle w:val="ListParagraph"/>
        <w:numPr>
          <w:ilvl w:val="0"/>
          <w:numId w:val="67"/>
        </w:numPr>
        <w:tabs>
          <w:tab w:pos="1202" w:val="left" w:leader="none"/>
        </w:tabs>
        <w:spacing w:line="364" w:lineRule="auto" w:before="6" w:after="0"/>
        <w:ind w:left="120" w:right="376" w:firstLine="479"/>
        <w:jc w:val="both"/>
        <w:rPr>
          <w:sz w:val="24"/>
        </w:rPr>
      </w:pPr>
      <w:r>
        <w:rPr>
          <w:spacing w:val="-9"/>
          <w:sz w:val="24"/>
        </w:rPr>
        <w:t>代表基金份额 </w:t>
      </w:r>
      <w:r>
        <w:rPr>
          <w:rFonts w:ascii="Times New Roman" w:eastAsia="Times New Roman"/>
          <w:sz w:val="24"/>
        </w:rPr>
        <w:t>10%</w:t>
      </w:r>
      <w:r>
        <w:rPr>
          <w:spacing w:val="-3"/>
          <w:sz w:val="24"/>
        </w:rPr>
        <w:t>以上</w:t>
      </w:r>
      <w:r>
        <w:rPr>
          <w:sz w:val="24"/>
        </w:rPr>
        <w:t>（</w:t>
      </w:r>
      <w:r>
        <w:rPr>
          <w:spacing w:val="-31"/>
          <w:sz w:val="24"/>
        </w:rPr>
        <w:t>含 </w:t>
      </w:r>
      <w:r>
        <w:rPr>
          <w:rFonts w:ascii="Times New Roman" w:eastAsia="Times New Roman"/>
          <w:sz w:val="24"/>
        </w:rPr>
        <w:t>10%</w:t>
      </w:r>
      <w:r>
        <w:rPr>
          <w:sz w:val="24"/>
        </w:rPr>
        <w:t>）</w:t>
      </w:r>
      <w:r>
        <w:rPr>
          <w:spacing w:val="-1"/>
          <w:sz w:val="24"/>
        </w:rPr>
        <w:t>的基金份额持有人就同一事项要求</w:t>
      </w:r>
      <w:r>
        <w:rPr>
          <w:spacing w:val="-7"/>
          <w:sz w:val="24"/>
        </w:rPr>
        <w:t>召开基金份额持有人大会，而基金管理人、基金托管人都不召集的，单独或合计</w:t>
      </w:r>
      <w:r>
        <w:rPr>
          <w:spacing w:val="-2"/>
          <w:sz w:val="24"/>
        </w:rPr>
        <w:t>代表基金份额 </w:t>
      </w:r>
      <w:r>
        <w:rPr>
          <w:rFonts w:ascii="Times New Roman" w:eastAsia="Times New Roman"/>
          <w:sz w:val="24"/>
        </w:rPr>
        <w:t>10%</w:t>
      </w:r>
      <w:r>
        <w:rPr>
          <w:sz w:val="24"/>
        </w:rPr>
        <w:t>以上（</w:t>
      </w:r>
      <w:r>
        <w:rPr>
          <w:spacing w:val="-5"/>
          <w:sz w:val="24"/>
        </w:rPr>
        <w:t>含 </w:t>
      </w:r>
      <w:r>
        <w:rPr>
          <w:rFonts w:ascii="Times New Roman" w:eastAsia="Times New Roman"/>
          <w:sz w:val="24"/>
        </w:rPr>
        <w:t>10%</w:t>
      </w:r>
      <w:r>
        <w:rPr>
          <w:sz w:val="24"/>
        </w:rPr>
        <w:t>）</w:t>
      </w:r>
      <w:r>
        <w:rPr>
          <w:spacing w:val="-1"/>
          <w:sz w:val="24"/>
        </w:rPr>
        <w:t>的基金份额持有人有权自行召集，并至少提</w:t>
      </w:r>
      <w:r>
        <w:rPr>
          <w:spacing w:val="-25"/>
          <w:sz w:val="24"/>
        </w:rPr>
        <w:t>前 </w:t>
      </w:r>
      <w:r>
        <w:rPr>
          <w:rFonts w:ascii="Times New Roman" w:eastAsia="Times New Roman"/>
          <w:sz w:val="24"/>
        </w:rPr>
        <w:t>30</w:t>
      </w:r>
      <w:r>
        <w:rPr>
          <w:rFonts w:ascii="Times New Roman" w:eastAsia="Times New Roman"/>
          <w:spacing w:val="12"/>
          <w:sz w:val="24"/>
        </w:rPr>
        <w:t> </w:t>
      </w:r>
      <w:r>
        <w:rPr>
          <w:spacing w:val="-1"/>
          <w:sz w:val="24"/>
        </w:rPr>
        <w:t>日报中国证监会备案。基金份额持有人依法自行召集基金份额持有人大会</w:t>
      </w:r>
      <w:r>
        <w:rPr>
          <w:sz w:val="24"/>
        </w:rPr>
        <w:t>的，基金管理人、基金托管人应当配合，不得阻碍、干扰。</w:t>
      </w:r>
    </w:p>
    <w:p>
      <w:pPr>
        <w:pStyle w:val="ListParagraph"/>
        <w:numPr>
          <w:ilvl w:val="0"/>
          <w:numId w:val="67"/>
        </w:numPr>
        <w:tabs>
          <w:tab w:pos="1202" w:val="left" w:leader="none"/>
        </w:tabs>
        <w:spacing w:line="364" w:lineRule="auto" w:before="3" w:after="0"/>
        <w:ind w:left="120" w:right="384" w:firstLine="479"/>
        <w:jc w:val="left"/>
        <w:rPr>
          <w:sz w:val="24"/>
        </w:rPr>
      </w:pPr>
      <w:r>
        <w:rPr>
          <w:spacing w:val="-1"/>
          <w:sz w:val="24"/>
        </w:rPr>
        <w:t>基金份额持有人会议的召集人负责选择确定开会时间、地点、方式和</w:t>
      </w:r>
      <w:r>
        <w:rPr>
          <w:sz w:val="24"/>
        </w:rPr>
        <w:t>权益登记日。</w:t>
      </w:r>
    </w:p>
    <w:p>
      <w:pPr>
        <w:spacing w:before="1"/>
        <w:ind w:left="602" w:right="0" w:firstLine="0"/>
        <w:jc w:val="left"/>
        <w:rPr>
          <w:b/>
          <w:sz w:val="24"/>
        </w:rPr>
      </w:pPr>
      <w:r>
        <w:rPr>
          <w:rFonts w:ascii="Times New Roman" w:eastAsia="Times New Roman"/>
          <w:b/>
          <w:sz w:val="24"/>
        </w:rPr>
        <w:t>3</w:t>
      </w:r>
      <w:r>
        <w:rPr>
          <w:b/>
          <w:sz w:val="24"/>
        </w:rPr>
        <w:t>、召开基金份额持有人大会的通知时间、通知内容、通知方式</w:t>
      </w:r>
    </w:p>
    <w:p>
      <w:pPr>
        <w:pStyle w:val="ListParagraph"/>
        <w:numPr>
          <w:ilvl w:val="0"/>
          <w:numId w:val="68"/>
        </w:numPr>
        <w:tabs>
          <w:tab w:pos="1202" w:val="left" w:leader="none"/>
        </w:tabs>
        <w:spacing w:line="364" w:lineRule="auto" w:before="161" w:after="0"/>
        <w:ind w:left="120" w:right="376" w:firstLine="479"/>
        <w:jc w:val="left"/>
        <w:rPr>
          <w:sz w:val="24"/>
        </w:rPr>
      </w:pPr>
      <w:r>
        <w:rPr>
          <w:spacing w:val="-6"/>
          <w:sz w:val="24"/>
        </w:rPr>
        <w:t>召开基金份额持有人大会，召集人应于会议召开前 </w:t>
      </w:r>
      <w:r>
        <w:rPr>
          <w:rFonts w:ascii="Times New Roman" w:eastAsia="Times New Roman"/>
          <w:sz w:val="24"/>
        </w:rPr>
        <w:t>40 </w:t>
      </w:r>
      <w:r>
        <w:rPr>
          <w:spacing w:val="-7"/>
          <w:sz w:val="24"/>
        </w:rPr>
        <w:t>天，在指定媒</w:t>
      </w:r>
      <w:r>
        <w:rPr>
          <w:spacing w:val="-4"/>
          <w:sz w:val="24"/>
        </w:rPr>
        <w:t>介上公告。基金份额持有人大会通知应至少载明以下内容：</w:t>
      </w:r>
    </w:p>
    <w:p>
      <w:pPr>
        <w:pStyle w:val="ListParagraph"/>
        <w:numPr>
          <w:ilvl w:val="0"/>
          <w:numId w:val="69"/>
        </w:numPr>
        <w:tabs>
          <w:tab w:pos="962" w:val="left" w:leader="none"/>
        </w:tabs>
        <w:spacing w:line="240" w:lineRule="auto" w:before="1" w:after="0"/>
        <w:ind w:left="961" w:right="0" w:hanging="362"/>
        <w:jc w:val="left"/>
        <w:rPr>
          <w:sz w:val="24"/>
        </w:rPr>
      </w:pPr>
      <w:r>
        <w:rPr>
          <w:sz w:val="24"/>
        </w:rPr>
        <w:t>会议召开的时间、地点、方式和会议形式；</w:t>
      </w:r>
    </w:p>
    <w:p>
      <w:pPr>
        <w:spacing w:after="0" w:line="240" w:lineRule="auto"/>
        <w:jc w:val="left"/>
        <w:rPr>
          <w:sz w:val="24"/>
        </w:rPr>
        <w:sectPr>
          <w:pgSz w:w="11910" w:h="16840"/>
          <w:pgMar w:header="0" w:footer="914" w:top="1580" w:bottom="1180" w:left="1680" w:right="1420"/>
        </w:sectPr>
      </w:pPr>
    </w:p>
    <w:p>
      <w:pPr>
        <w:pStyle w:val="ListParagraph"/>
        <w:numPr>
          <w:ilvl w:val="0"/>
          <w:numId w:val="69"/>
        </w:numPr>
        <w:tabs>
          <w:tab w:pos="962" w:val="left" w:leader="none"/>
        </w:tabs>
        <w:spacing w:line="240" w:lineRule="auto" w:before="61" w:after="0"/>
        <w:ind w:left="961" w:right="0" w:hanging="362"/>
        <w:jc w:val="left"/>
        <w:rPr>
          <w:sz w:val="24"/>
        </w:rPr>
      </w:pPr>
      <w:r>
        <w:rPr>
          <w:sz w:val="24"/>
        </w:rPr>
        <w:t>会议拟审议的事项、议事程序和表决形式；</w:t>
      </w:r>
    </w:p>
    <w:p>
      <w:pPr>
        <w:pStyle w:val="ListParagraph"/>
        <w:numPr>
          <w:ilvl w:val="0"/>
          <w:numId w:val="69"/>
        </w:numPr>
        <w:tabs>
          <w:tab w:pos="962" w:val="left" w:leader="none"/>
        </w:tabs>
        <w:spacing w:line="240" w:lineRule="auto" w:before="160" w:after="0"/>
        <w:ind w:left="961" w:right="0" w:hanging="362"/>
        <w:jc w:val="left"/>
        <w:rPr>
          <w:sz w:val="24"/>
        </w:rPr>
      </w:pPr>
      <w:r>
        <w:rPr>
          <w:sz w:val="24"/>
        </w:rPr>
        <w:t>有权出席基金份额持有人大会的基金份额持有人的权益登记日；</w:t>
      </w:r>
    </w:p>
    <w:p>
      <w:pPr>
        <w:pStyle w:val="ListParagraph"/>
        <w:numPr>
          <w:ilvl w:val="0"/>
          <w:numId w:val="69"/>
        </w:numPr>
        <w:tabs>
          <w:tab w:pos="962" w:val="left" w:leader="none"/>
        </w:tabs>
        <w:spacing w:line="364" w:lineRule="auto" w:before="161" w:after="0"/>
        <w:ind w:left="120" w:right="384" w:firstLine="479"/>
        <w:jc w:val="left"/>
        <w:rPr>
          <w:sz w:val="24"/>
        </w:rPr>
      </w:pPr>
      <w:r>
        <w:rPr>
          <w:sz w:val="24"/>
        </w:rPr>
        <w:t>授权委托书的内容要求（</w:t>
      </w:r>
      <w:r>
        <w:rPr>
          <w:spacing w:val="-1"/>
          <w:sz w:val="24"/>
        </w:rPr>
        <w:t>包括但不限于代理人身份，代理权限和代理有</w:t>
      </w:r>
      <w:r>
        <w:rPr>
          <w:sz w:val="24"/>
        </w:rPr>
        <w:t>效期限等</w:t>
      </w:r>
      <w:r>
        <w:rPr>
          <w:spacing w:val="-120"/>
          <w:sz w:val="24"/>
        </w:rPr>
        <w:t>）</w:t>
      </w:r>
      <w:r>
        <w:rPr>
          <w:sz w:val="24"/>
        </w:rPr>
        <w:t>、送达时间和地点；</w:t>
      </w:r>
    </w:p>
    <w:p>
      <w:pPr>
        <w:pStyle w:val="ListParagraph"/>
        <w:numPr>
          <w:ilvl w:val="0"/>
          <w:numId w:val="69"/>
        </w:numPr>
        <w:tabs>
          <w:tab w:pos="962" w:val="left" w:leader="none"/>
        </w:tabs>
        <w:spacing w:line="240" w:lineRule="auto" w:before="1" w:after="0"/>
        <w:ind w:left="961" w:right="0" w:hanging="362"/>
        <w:jc w:val="left"/>
        <w:rPr>
          <w:sz w:val="24"/>
        </w:rPr>
      </w:pPr>
      <w:r>
        <w:rPr>
          <w:sz w:val="24"/>
        </w:rPr>
        <w:t>会务常设联系人姓名及联系电话。</w:t>
      </w:r>
    </w:p>
    <w:p>
      <w:pPr>
        <w:pStyle w:val="ListParagraph"/>
        <w:numPr>
          <w:ilvl w:val="0"/>
          <w:numId w:val="68"/>
        </w:numPr>
        <w:tabs>
          <w:tab w:pos="1202" w:val="left" w:leader="none"/>
        </w:tabs>
        <w:spacing w:line="364" w:lineRule="auto" w:before="161" w:after="0"/>
        <w:ind w:left="120" w:right="377" w:firstLine="479"/>
        <w:jc w:val="both"/>
        <w:rPr>
          <w:sz w:val="24"/>
        </w:rPr>
      </w:pPr>
      <w:r>
        <w:rPr>
          <w:sz w:val="24"/>
        </w:rPr>
        <w:t>采取通讯开会方式并进行表决的情况下，由会议召集人决定通讯方式</w:t>
      </w:r>
      <w:r>
        <w:rPr>
          <w:spacing w:val="-11"/>
          <w:sz w:val="24"/>
        </w:rPr>
        <w:t>和书面表决方式，并在会议通知中说明本次基金份额持有人大会所采取的具体通</w:t>
      </w:r>
      <w:r>
        <w:rPr>
          <w:spacing w:val="-10"/>
          <w:sz w:val="24"/>
        </w:rPr>
        <w:t>讯方式、委托的公证机关及其联系方式和联系人、书面表决意见提交的截止时间</w:t>
      </w:r>
      <w:r>
        <w:rPr>
          <w:sz w:val="24"/>
        </w:rPr>
        <w:t>和收取方式。</w:t>
      </w:r>
    </w:p>
    <w:p>
      <w:pPr>
        <w:pStyle w:val="ListParagraph"/>
        <w:numPr>
          <w:ilvl w:val="0"/>
          <w:numId w:val="68"/>
        </w:numPr>
        <w:tabs>
          <w:tab w:pos="1202" w:val="left" w:leader="none"/>
        </w:tabs>
        <w:spacing w:line="364" w:lineRule="auto" w:before="3" w:after="0"/>
        <w:ind w:left="120" w:right="374" w:firstLine="479"/>
        <w:jc w:val="both"/>
        <w:rPr>
          <w:sz w:val="24"/>
        </w:rPr>
      </w:pPr>
      <w:r>
        <w:rPr>
          <w:sz w:val="24"/>
        </w:rPr>
        <w:t>如召集人为基金管理人，还应另行书面通知基金托管人到指定地点对</w:t>
      </w:r>
      <w:r>
        <w:rPr>
          <w:spacing w:val="-7"/>
          <w:sz w:val="24"/>
        </w:rPr>
        <w:t>书面表决意见的计票进行监督；如召集人为基金托管人，则应另行书面通知基金</w:t>
      </w:r>
      <w:r>
        <w:rPr>
          <w:sz w:val="24"/>
        </w:rPr>
        <w:t>管理人到指定地点对书面表决意见的计票进行监督；如召集人为基金份额持有</w:t>
      </w:r>
      <w:r>
        <w:rPr>
          <w:spacing w:val="-12"/>
          <w:sz w:val="24"/>
        </w:rPr>
        <w:t>人，则应另行书面通知基金管理人和基金托管人到指定地点对书面表决意见的计</w:t>
      </w:r>
      <w:r>
        <w:rPr>
          <w:spacing w:val="-11"/>
          <w:sz w:val="24"/>
        </w:rPr>
        <w:t>票进行监督。基金管理人或基金托管人拒不派代表对书面表决意见的计票进行监</w:t>
      </w:r>
      <w:r>
        <w:rPr>
          <w:sz w:val="24"/>
        </w:rPr>
        <w:t>督的，不影响表决意见的计票结果。</w:t>
      </w:r>
    </w:p>
    <w:p>
      <w:pPr>
        <w:spacing w:before="3"/>
        <w:ind w:left="602" w:right="0" w:firstLine="0"/>
        <w:jc w:val="left"/>
        <w:rPr>
          <w:b/>
          <w:sz w:val="24"/>
        </w:rPr>
      </w:pPr>
      <w:r>
        <w:rPr>
          <w:rFonts w:ascii="Times New Roman" w:eastAsia="Times New Roman"/>
          <w:b/>
          <w:sz w:val="24"/>
        </w:rPr>
        <w:t>4</w:t>
      </w:r>
      <w:r>
        <w:rPr>
          <w:b/>
          <w:sz w:val="24"/>
        </w:rPr>
        <w:t>、基金份额持有人出席会议的方式</w:t>
      </w:r>
    </w:p>
    <w:p>
      <w:pPr>
        <w:pStyle w:val="BodyText"/>
        <w:ind w:left="600" w:firstLine="0"/>
      </w:pPr>
      <w:r>
        <w:rPr/>
        <w:t>基金份额持有人大会可通过现场开会方式或通讯开会方式召开。</w:t>
      </w:r>
    </w:p>
    <w:p>
      <w:pPr>
        <w:pStyle w:val="BodyText"/>
        <w:spacing w:line="364" w:lineRule="auto"/>
        <w:ind w:right="378"/>
      </w:pPr>
      <w:r>
        <w:rPr>
          <w:spacing w:val="-7"/>
        </w:rPr>
        <w:t>会议的召开方式由会议召集人确定，但更换基金管理人和基金托管人必须以</w:t>
      </w:r>
      <w:r>
        <w:rPr/>
        <w:t>现场开会方式召开。</w:t>
      </w:r>
    </w:p>
    <w:p>
      <w:pPr>
        <w:pStyle w:val="ListParagraph"/>
        <w:numPr>
          <w:ilvl w:val="0"/>
          <w:numId w:val="70"/>
        </w:numPr>
        <w:tabs>
          <w:tab w:pos="1202" w:val="left" w:leader="none"/>
        </w:tabs>
        <w:spacing w:line="364" w:lineRule="auto" w:before="1" w:after="0"/>
        <w:ind w:left="120" w:right="376" w:firstLine="479"/>
        <w:jc w:val="both"/>
        <w:rPr>
          <w:sz w:val="24"/>
        </w:rPr>
      </w:pPr>
      <w:r>
        <w:rPr>
          <w:sz w:val="24"/>
        </w:rPr>
        <w:t>现场开会。由基金份额持有人本人出席或以代理投票授权委托书委派</w:t>
      </w:r>
      <w:r>
        <w:rPr>
          <w:spacing w:val="-11"/>
          <w:sz w:val="24"/>
        </w:rPr>
        <w:t>代表出席，现场开会时基金管理人和基金托管人的授权代表应当列席基金份额持</w:t>
      </w:r>
      <w:r>
        <w:rPr>
          <w:spacing w:val="-10"/>
          <w:sz w:val="24"/>
        </w:rPr>
        <w:t>有人大会，基金管理人或托管人不派代表列席的，不影响表决效力。现场开会同</w:t>
      </w:r>
      <w:r>
        <w:rPr>
          <w:sz w:val="24"/>
        </w:rPr>
        <w:t>时符合以下条件时，可以进行基金份额持有人大会议程：</w:t>
      </w:r>
    </w:p>
    <w:p>
      <w:pPr>
        <w:pStyle w:val="ListParagraph"/>
        <w:numPr>
          <w:ilvl w:val="0"/>
          <w:numId w:val="71"/>
        </w:numPr>
        <w:tabs>
          <w:tab w:pos="962" w:val="left" w:leader="none"/>
        </w:tabs>
        <w:spacing w:line="364" w:lineRule="auto" w:before="2" w:after="0"/>
        <w:ind w:left="120" w:right="375" w:firstLine="479"/>
        <w:jc w:val="both"/>
        <w:rPr>
          <w:sz w:val="24"/>
        </w:rPr>
      </w:pPr>
      <w:r>
        <w:rPr>
          <w:sz w:val="24"/>
        </w:rPr>
        <w:t>亲自出席会议者持有基金份额的凭证、受托出席会议者出具的委托人持</w:t>
      </w:r>
      <w:r>
        <w:rPr>
          <w:spacing w:val="-5"/>
          <w:sz w:val="24"/>
        </w:rPr>
        <w:t>有基金份额的凭证及委托人的代理投票授权委托书符合法律法规、《基金合同》</w:t>
      </w:r>
      <w:r>
        <w:rPr>
          <w:sz w:val="24"/>
        </w:rPr>
        <w:t>和会议通知的规定，并且持有基金份额的凭证与基金管理人持有的登记资料相符；</w:t>
      </w:r>
    </w:p>
    <w:p>
      <w:pPr>
        <w:pStyle w:val="ListParagraph"/>
        <w:numPr>
          <w:ilvl w:val="0"/>
          <w:numId w:val="71"/>
        </w:numPr>
        <w:tabs>
          <w:tab w:pos="962" w:val="left" w:leader="none"/>
        </w:tabs>
        <w:spacing w:line="364" w:lineRule="auto" w:before="3" w:after="0"/>
        <w:ind w:left="120" w:right="384" w:firstLine="479"/>
        <w:jc w:val="both"/>
        <w:rPr>
          <w:sz w:val="24"/>
        </w:rPr>
      </w:pPr>
      <w:r>
        <w:rPr>
          <w:spacing w:val="-1"/>
          <w:sz w:val="24"/>
        </w:rPr>
        <w:t>经核对，汇总到会者出示的在权益登记日持有基金份额的凭证显示，有</w:t>
      </w:r>
      <w:r>
        <w:rPr>
          <w:spacing w:val="-3"/>
          <w:sz w:val="24"/>
        </w:rPr>
        <w:t>效的基金份额不少于本基金在权益登记日基金总份额的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2"/>
          <w:sz w:val="24"/>
        </w:rPr>
        <w:t>%</w:t>
      </w:r>
      <w:r>
        <w:rPr>
          <w:spacing w:val="-120"/>
          <w:sz w:val="24"/>
        </w:rPr>
        <w:t>）。</w:t>
      </w:r>
    </w:p>
    <w:p>
      <w:pPr>
        <w:spacing w:after="0" w:line="364" w:lineRule="auto"/>
        <w:jc w:val="both"/>
        <w:rPr>
          <w:sz w:val="24"/>
        </w:rPr>
        <w:sectPr>
          <w:pgSz w:w="11910" w:h="16840"/>
          <w:pgMar w:header="0" w:footer="914" w:top="1440" w:bottom="1180" w:left="1680" w:right="1420"/>
        </w:sectPr>
      </w:pPr>
    </w:p>
    <w:p>
      <w:pPr>
        <w:pStyle w:val="ListParagraph"/>
        <w:numPr>
          <w:ilvl w:val="0"/>
          <w:numId w:val="70"/>
        </w:numPr>
        <w:tabs>
          <w:tab w:pos="1202" w:val="left" w:leader="none"/>
        </w:tabs>
        <w:spacing w:line="364" w:lineRule="auto" w:before="61" w:after="0"/>
        <w:ind w:left="120" w:right="376" w:firstLine="479"/>
        <w:jc w:val="both"/>
        <w:rPr>
          <w:sz w:val="24"/>
        </w:rPr>
      </w:pPr>
      <w:r>
        <w:rPr>
          <w:sz w:val="24"/>
        </w:rPr>
        <w:t>通讯开会。通讯开会系指基金份额持有人将其对表决事项的投票以书</w:t>
      </w:r>
      <w:r>
        <w:rPr>
          <w:spacing w:val="-6"/>
          <w:sz w:val="24"/>
        </w:rPr>
        <w:t>面形式在表决截至日以前提交至召集人指定的地址。通讯开会应以书面方式进行</w:t>
      </w:r>
      <w:r>
        <w:rPr>
          <w:sz w:val="24"/>
        </w:rPr>
        <w:t>表决。</w:t>
      </w:r>
    </w:p>
    <w:p>
      <w:pPr>
        <w:pStyle w:val="BodyText"/>
        <w:spacing w:before="2"/>
        <w:ind w:left="600" w:firstLine="0"/>
      </w:pPr>
      <w:r>
        <w:rPr/>
        <w:t>在同时符合以下条件时，通讯开会的方式视为有效：</w:t>
      </w:r>
    </w:p>
    <w:p>
      <w:pPr>
        <w:pStyle w:val="ListParagraph"/>
        <w:numPr>
          <w:ilvl w:val="0"/>
          <w:numId w:val="72"/>
        </w:numPr>
        <w:tabs>
          <w:tab w:pos="962" w:val="left" w:leader="none"/>
        </w:tabs>
        <w:spacing w:line="364" w:lineRule="auto" w:before="160" w:after="0"/>
        <w:ind w:left="120" w:right="376" w:firstLine="479"/>
        <w:jc w:val="left"/>
        <w:rPr>
          <w:sz w:val="24"/>
        </w:rPr>
      </w:pPr>
      <w:r>
        <w:rPr>
          <w:spacing w:val="-2"/>
          <w:sz w:val="24"/>
        </w:rPr>
        <w:t>会议召集人按《基金合同》规定公布会议通知后，在 </w:t>
      </w:r>
      <w:r>
        <w:rPr>
          <w:rFonts w:ascii="Times New Roman" w:eastAsia="Times New Roman"/>
          <w:sz w:val="24"/>
        </w:rPr>
        <w:t>2</w:t>
      </w:r>
      <w:r>
        <w:rPr>
          <w:rFonts w:ascii="Times New Roman" w:eastAsia="Times New Roman"/>
          <w:spacing w:val="13"/>
          <w:sz w:val="24"/>
        </w:rPr>
        <w:t> </w:t>
      </w:r>
      <w:r>
        <w:rPr>
          <w:spacing w:val="-3"/>
          <w:sz w:val="24"/>
        </w:rPr>
        <w:t>个工作日内连续</w:t>
      </w:r>
      <w:r>
        <w:rPr>
          <w:sz w:val="24"/>
        </w:rPr>
        <w:t>公布相关提示性公告；</w:t>
      </w:r>
    </w:p>
    <w:p>
      <w:pPr>
        <w:pStyle w:val="ListParagraph"/>
        <w:numPr>
          <w:ilvl w:val="0"/>
          <w:numId w:val="72"/>
        </w:numPr>
        <w:tabs>
          <w:tab w:pos="962" w:val="left" w:leader="none"/>
        </w:tabs>
        <w:spacing w:line="364" w:lineRule="auto" w:before="1" w:after="0"/>
        <w:ind w:left="120" w:right="257" w:firstLine="479"/>
        <w:jc w:val="left"/>
        <w:rPr>
          <w:sz w:val="24"/>
        </w:rPr>
      </w:pPr>
      <w:r>
        <w:rPr>
          <w:spacing w:val="-3"/>
          <w:sz w:val="24"/>
        </w:rPr>
        <w:t>会议召集人在基金托管人</w:t>
      </w:r>
      <w:r>
        <w:rPr>
          <w:sz w:val="24"/>
        </w:rPr>
        <w:t>（</w:t>
      </w:r>
      <w:r>
        <w:rPr>
          <w:spacing w:val="-3"/>
          <w:sz w:val="24"/>
        </w:rPr>
        <w:t>如果基金托管人为召集人，则为基金管理人</w:t>
      </w:r>
      <w:r>
        <w:rPr>
          <w:spacing w:val="-14"/>
          <w:sz w:val="24"/>
        </w:rPr>
        <w:t>）</w:t>
      </w:r>
      <w:r>
        <w:rPr>
          <w:spacing w:val="1"/>
          <w:sz w:val="24"/>
        </w:rPr>
        <w:t>和公证机关的监督下按照会议通知规定的方式收取基金份额持有人的书面表</w:t>
      </w:r>
      <w:r>
        <w:rPr>
          <w:spacing w:val="-9"/>
          <w:sz w:val="24"/>
        </w:rPr>
        <w:t>决意见；基金托管人或基金管理人经通知不参加收取书面表决意见的，不影响表决效力；</w:t>
      </w:r>
    </w:p>
    <w:p>
      <w:pPr>
        <w:pStyle w:val="ListParagraph"/>
        <w:numPr>
          <w:ilvl w:val="0"/>
          <w:numId w:val="72"/>
        </w:numPr>
        <w:tabs>
          <w:tab w:pos="1022" w:val="left" w:leader="none"/>
        </w:tabs>
        <w:spacing w:line="364" w:lineRule="auto" w:before="3" w:after="0"/>
        <w:ind w:left="120" w:right="376" w:firstLine="539"/>
        <w:jc w:val="left"/>
        <w:rPr>
          <w:sz w:val="24"/>
        </w:rPr>
      </w:pPr>
      <w:r>
        <w:rPr>
          <w:spacing w:val="-2"/>
          <w:sz w:val="24"/>
        </w:rPr>
        <w:t>本人直接出具书面意见或授权他人代表出具书面意见的，基金份额持有</w:t>
      </w:r>
      <w:r>
        <w:rPr>
          <w:spacing w:val="-3"/>
          <w:sz w:val="24"/>
        </w:rPr>
        <w:t>人所持有的基金份额不小于在权益登记日基金总份额的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2"/>
          <w:sz w:val="24"/>
        </w:rPr>
        <w:t>%</w:t>
      </w:r>
      <w:r>
        <w:rPr>
          <w:spacing w:val="-120"/>
          <w:sz w:val="24"/>
        </w:rPr>
        <w:t>）；</w:t>
      </w:r>
    </w:p>
    <w:p>
      <w:pPr>
        <w:pStyle w:val="ListParagraph"/>
        <w:numPr>
          <w:ilvl w:val="0"/>
          <w:numId w:val="72"/>
        </w:numPr>
        <w:tabs>
          <w:tab w:pos="962" w:val="left" w:leader="none"/>
        </w:tabs>
        <w:spacing w:line="364" w:lineRule="auto" w:before="2" w:after="0"/>
        <w:ind w:left="120" w:right="374" w:firstLine="479"/>
        <w:jc w:val="both"/>
        <w:rPr>
          <w:sz w:val="24"/>
        </w:rPr>
      </w:pPr>
      <w:r>
        <w:rPr>
          <w:spacing w:val="4"/>
          <w:sz w:val="24"/>
        </w:rPr>
        <w:t>上述第 </w:t>
      </w:r>
      <w:r>
        <w:rPr>
          <w:rFonts w:ascii="Times New Roman" w:eastAsia="Times New Roman"/>
          <w:sz w:val="24"/>
        </w:rPr>
        <w:t>3</w:t>
      </w:r>
      <w:r>
        <w:rPr>
          <w:sz w:val="24"/>
        </w:rPr>
        <w:t>）项中直接出具书面意见的基金份额持有人或受托代表他人出</w:t>
      </w:r>
      <w:r>
        <w:rPr>
          <w:spacing w:val="-8"/>
          <w:sz w:val="24"/>
        </w:rPr>
        <w:t>具书面意见的代理人，同时提交的持有基金份额的凭证、受托出具书面意见的代</w:t>
      </w:r>
      <w:r>
        <w:rPr>
          <w:sz w:val="24"/>
        </w:rPr>
        <w:t>理人出具的委托人持有基金份额的凭证及委托人的代理投票授权委托书符合法</w:t>
      </w:r>
      <w:r>
        <w:rPr>
          <w:spacing w:val="-12"/>
          <w:sz w:val="24"/>
        </w:rPr>
        <w:t>律法规、《基金合同》和会议通知的规定，并与基金登记注册机构记录相符；</w:t>
      </w:r>
    </w:p>
    <w:p>
      <w:pPr>
        <w:pStyle w:val="ListParagraph"/>
        <w:numPr>
          <w:ilvl w:val="0"/>
          <w:numId w:val="72"/>
        </w:numPr>
        <w:tabs>
          <w:tab w:pos="962" w:val="left" w:leader="none"/>
        </w:tabs>
        <w:spacing w:line="240" w:lineRule="auto" w:before="2" w:after="0"/>
        <w:ind w:left="961" w:right="0" w:hanging="362"/>
        <w:jc w:val="left"/>
        <w:rPr>
          <w:sz w:val="24"/>
        </w:rPr>
      </w:pPr>
      <w:r>
        <w:rPr>
          <w:sz w:val="24"/>
        </w:rPr>
        <w:t>会议通知公布前报中国证监会备案。</w:t>
      </w:r>
    </w:p>
    <w:p>
      <w:pPr>
        <w:pStyle w:val="ListParagraph"/>
        <w:numPr>
          <w:ilvl w:val="0"/>
          <w:numId w:val="70"/>
        </w:numPr>
        <w:tabs>
          <w:tab w:pos="1202" w:val="left" w:leader="none"/>
        </w:tabs>
        <w:spacing w:line="364" w:lineRule="auto" w:before="161" w:after="0"/>
        <w:ind w:left="120" w:right="376" w:firstLine="479"/>
        <w:jc w:val="both"/>
        <w:rPr>
          <w:sz w:val="24"/>
        </w:rPr>
      </w:pPr>
      <w:r>
        <w:rPr>
          <w:sz w:val="24"/>
        </w:rPr>
        <w:t>在法律法规、监管机构允许的情况下，经会议通知载明，基金份额持</w:t>
      </w:r>
      <w:r>
        <w:rPr>
          <w:spacing w:val="-8"/>
          <w:sz w:val="24"/>
        </w:rPr>
        <w:t>有人也可以采用网络、电话或其他方式进行表决，或者采用网络、电话或其他方</w:t>
      </w:r>
      <w:r>
        <w:rPr>
          <w:sz w:val="24"/>
        </w:rPr>
        <w:t>式授权他人代为出席会议并表决。</w:t>
      </w:r>
    </w:p>
    <w:p>
      <w:pPr>
        <w:spacing w:before="2"/>
        <w:ind w:left="602" w:right="0" w:firstLine="0"/>
        <w:jc w:val="left"/>
        <w:rPr>
          <w:b/>
          <w:sz w:val="24"/>
        </w:rPr>
      </w:pPr>
      <w:r>
        <w:rPr>
          <w:rFonts w:ascii="Times New Roman" w:eastAsia="Times New Roman"/>
          <w:b/>
          <w:sz w:val="24"/>
        </w:rPr>
        <w:t>5</w:t>
      </w:r>
      <w:r>
        <w:rPr>
          <w:b/>
          <w:sz w:val="24"/>
        </w:rPr>
        <w:t>、议事内容与程序</w:t>
      </w:r>
    </w:p>
    <w:p>
      <w:pPr>
        <w:pStyle w:val="ListParagraph"/>
        <w:numPr>
          <w:ilvl w:val="0"/>
          <w:numId w:val="73"/>
        </w:numPr>
        <w:tabs>
          <w:tab w:pos="1202" w:val="left" w:leader="none"/>
        </w:tabs>
        <w:spacing w:line="240" w:lineRule="auto" w:before="160" w:after="0"/>
        <w:ind w:left="1201" w:right="0" w:hanging="602"/>
        <w:jc w:val="left"/>
        <w:rPr>
          <w:sz w:val="24"/>
        </w:rPr>
      </w:pPr>
      <w:r>
        <w:rPr>
          <w:sz w:val="24"/>
        </w:rPr>
        <w:t>议事内容及提案权</w:t>
      </w:r>
    </w:p>
    <w:p>
      <w:pPr>
        <w:pStyle w:val="BodyText"/>
        <w:spacing w:line="364" w:lineRule="auto"/>
        <w:ind w:right="377"/>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378"/>
        <w:jc w:val="both"/>
      </w:pPr>
      <w:r>
        <w:rPr>
          <w:spacing w:val="-11"/>
        </w:rPr>
        <w:t>基金管理人、基金托管人、单独或合并持有权益登记日基金总份额 </w:t>
      </w:r>
      <w:r>
        <w:rPr>
          <w:rFonts w:ascii="Times New Roman" w:eastAsia="Times New Roman"/>
          <w:spacing w:val="-10"/>
        </w:rPr>
        <w:t>10%</w:t>
      </w:r>
      <w:r>
        <w:rPr>
          <w:spacing w:val="-10"/>
        </w:rPr>
        <w:t>（</w:t>
      </w:r>
      <w:r>
        <w:rPr>
          <w:spacing w:val="-14"/>
        </w:rPr>
        <w:t>含</w:t>
      </w:r>
      <w:r>
        <w:rPr>
          <w:rFonts w:ascii="Times New Roman" w:eastAsia="Times New Roman"/>
          <w:spacing w:val="-14"/>
        </w:rPr>
        <w:t>10%</w:t>
      </w:r>
      <w:r>
        <w:rPr>
          <w:spacing w:val="-14"/>
        </w:rPr>
        <w:t>）</w:t>
      </w:r>
      <w:r>
        <w:rPr>
          <w:spacing w:val="-1"/>
        </w:rPr>
        <w:t>以上的基金份额持有人可以在大会召集人发出会议通知前向大会召集人提</w:t>
      </w:r>
      <w:r>
        <w:rPr>
          <w:spacing w:val="-6"/>
        </w:rPr>
        <w:t>交需由基金份额持有人大会审议表决的提案；也可以在会议通知发出后向大会召</w:t>
      </w:r>
    </w:p>
    <w:p>
      <w:pPr>
        <w:spacing w:after="0" w:line="364" w:lineRule="auto"/>
        <w:jc w:val="both"/>
        <w:sectPr>
          <w:pgSz w:w="11910" w:h="16840"/>
          <w:pgMar w:header="0" w:footer="914" w:top="1440" w:bottom="1180" w:left="1680" w:right="1420"/>
        </w:sectPr>
      </w:pPr>
    </w:p>
    <w:p>
      <w:pPr>
        <w:pStyle w:val="BodyText"/>
        <w:spacing w:line="364" w:lineRule="auto" w:before="61"/>
        <w:ind w:right="323" w:firstLine="0"/>
      </w:pPr>
      <w:r>
        <w:rPr/>
        <w:t>集人提交临时提案，临时提案应当在大会召开日至少 </w:t>
      </w:r>
      <w:r>
        <w:rPr>
          <w:rFonts w:ascii="Times New Roman" w:eastAsia="Times New Roman"/>
        </w:rPr>
        <w:t>35 </w:t>
      </w:r>
      <w:r>
        <w:rPr/>
        <w:t>天前提交召集人并由召集人公告。</w:t>
      </w:r>
    </w:p>
    <w:p>
      <w:pPr>
        <w:pStyle w:val="BodyText"/>
        <w:spacing w:line="364" w:lineRule="auto" w:before="1"/>
        <w:ind w:right="377"/>
      </w:pPr>
      <w:r>
        <w:rPr>
          <w:spacing w:val="-5"/>
        </w:rPr>
        <w:t>基金份额持有人大会的召集人发出召集会议的通知后，对原有提案的修改应</w:t>
      </w:r>
      <w:r>
        <w:rPr>
          <w:spacing w:val="-4"/>
        </w:rPr>
        <w:t>当在基金份额持有人大会召开日 </w:t>
      </w:r>
      <w:r>
        <w:rPr>
          <w:rFonts w:ascii="Times New Roman" w:eastAsia="Times New Roman"/>
        </w:rPr>
        <w:t>30 </w:t>
      </w:r>
      <w:r>
        <w:rPr/>
        <w:t>天前公告。</w:t>
      </w:r>
    </w:p>
    <w:p>
      <w:pPr>
        <w:pStyle w:val="BodyText"/>
        <w:spacing w:before="1"/>
        <w:ind w:left="600" w:firstLine="0"/>
      </w:pPr>
      <w:r>
        <w:rPr/>
        <w:t>基金份额持有人大会不得对未事先公告的议事内容进行表决。</w:t>
      </w:r>
    </w:p>
    <w:p>
      <w:pPr>
        <w:pStyle w:val="BodyText"/>
        <w:spacing w:line="364" w:lineRule="auto"/>
        <w:ind w:right="377"/>
        <w:jc w:val="both"/>
      </w:pPr>
      <w:r>
        <w:rPr>
          <w:spacing w:val="-10"/>
        </w:rPr>
        <w:t>召集人对于基金管理人、基金托管人和基金份额持有人提交的临时提案进行</w:t>
      </w:r>
      <w:r>
        <w:rPr>
          <w:spacing w:val="-3"/>
        </w:rPr>
        <w:t>审核，符合条件的应当在大会召开日 </w:t>
      </w:r>
      <w:r>
        <w:rPr>
          <w:rFonts w:ascii="Times New Roman" w:eastAsia="Times New Roman"/>
        </w:rPr>
        <w:t>30 </w:t>
      </w:r>
      <w:r>
        <w:rPr>
          <w:spacing w:val="-1"/>
        </w:rPr>
        <w:t>天前公告。大会召集人应当按照以下原</w:t>
      </w:r>
      <w:r>
        <w:rPr/>
        <w:t>则对提案进行审核：</w:t>
      </w:r>
    </w:p>
    <w:p>
      <w:pPr>
        <w:pStyle w:val="ListParagraph"/>
        <w:numPr>
          <w:ilvl w:val="0"/>
          <w:numId w:val="74"/>
        </w:numPr>
        <w:tabs>
          <w:tab w:pos="962" w:val="left" w:leader="none"/>
        </w:tabs>
        <w:spacing w:line="364" w:lineRule="auto" w:before="2" w:after="0"/>
        <w:ind w:left="120" w:right="377" w:firstLine="479"/>
        <w:jc w:val="both"/>
        <w:rPr>
          <w:sz w:val="24"/>
        </w:rPr>
      </w:pPr>
      <w:r>
        <w:rPr>
          <w:sz w:val="24"/>
        </w:rPr>
        <w:t>关联性。大会召集人对于提案涉及事项与基金有直接关系，并且不超出</w:t>
      </w:r>
      <w:r>
        <w:rPr>
          <w:spacing w:val="-11"/>
          <w:sz w:val="24"/>
        </w:rPr>
        <w:t>法律法规和《基金合同》规定的基金份额持有人大会职权范围的，应提交大会审</w:t>
      </w:r>
      <w:r>
        <w:rPr>
          <w:spacing w:val="-10"/>
          <w:sz w:val="24"/>
        </w:rPr>
        <w:t>议；对于不符合上述要求的，不提交基金份额持有人大会审议。如果召集人决定</w:t>
      </w:r>
      <w:r>
        <w:rPr>
          <w:spacing w:val="-7"/>
          <w:sz w:val="24"/>
        </w:rPr>
        <w:t>不将基金份额持有人提案提交大会表决，应当在该次基金份额持有人大会上进行</w:t>
      </w:r>
      <w:r>
        <w:rPr>
          <w:sz w:val="24"/>
        </w:rPr>
        <w:t>解释和说明。</w:t>
      </w:r>
    </w:p>
    <w:p>
      <w:pPr>
        <w:pStyle w:val="ListParagraph"/>
        <w:numPr>
          <w:ilvl w:val="0"/>
          <w:numId w:val="74"/>
        </w:numPr>
        <w:tabs>
          <w:tab w:pos="962" w:val="left" w:leader="none"/>
        </w:tabs>
        <w:spacing w:line="364" w:lineRule="auto" w:before="3" w:after="0"/>
        <w:ind w:left="120" w:right="377" w:firstLine="479"/>
        <w:jc w:val="both"/>
        <w:rPr>
          <w:sz w:val="24"/>
        </w:rPr>
      </w:pPr>
      <w:r>
        <w:rPr>
          <w:sz w:val="24"/>
        </w:rPr>
        <w:t>程序性。大会召集人可以对提案涉及的程序性问题做出决定。如将提案</w:t>
      </w:r>
      <w:r>
        <w:rPr>
          <w:spacing w:val="-8"/>
          <w:sz w:val="24"/>
        </w:rPr>
        <w:t>进行分拆或合并表决，需征得原提案人同意；原提案人不同意变更的，大会主持</w:t>
      </w:r>
      <w:r>
        <w:rPr>
          <w:spacing w:val="-5"/>
          <w:sz w:val="24"/>
        </w:rPr>
        <w:t>人可以就程序性问题提请基金份额持有人大会做出决定，并按照基金份额持有人</w:t>
      </w:r>
      <w:r>
        <w:rPr>
          <w:sz w:val="24"/>
        </w:rPr>
        <w:t>大会决定的程序进行审议。</w:t>
      </w:r>
    </w:p>
    <w:p>
      <w:pPr>
        <w:pStyle w:val="BodyText"/>
        <w:spacing w:line="364" w:lineRule="auto" w:before="3"/>
        <w:ind w:right="377"/>
        <w:jc w:val="both"/>
      </w:pPr>
      <w:r>
        <w:rPr>
          <w:spacing w:val="-1"/>
        </w:rPr>
        <w:t>单独或合并持有权益登记日基金总份额 </w:t>
      </w:r>
      <w:r>
        <w:rPr>
          <w:rFonts w:ascii="Times New Roman" w:eastAsia="Times New Roman"/>
        </w:rPr>
        <w:t>10%</w:t>
      </w:r>
      <w:r>
        <w:rPr/>
        <w:t>（</w:t>
      </w:r>
      <w:r>
        <w:rPr>
          <w:spacing w:val="-5"/>
        </w:rPr>
        <w:t>含 </w:t>
      </w:r>
      <w:r>
        <w:rPr>
          <w:rFonts w:ascii="Times New Roman" w:eastAsia="Times New Roman"/>
        </w:rPr>
        <w:t>10%</w:t>
      </w:r>
      <w:r>
        <w:rPr/>
        <w:t>）</w:t>
      </w:r>
      <w:r>
        <w:rPr>
          <w:spacing w:val="-2"/>
        </w:rPr>
        <w:t>以上的基金份额持</w:t>
      </w:r>
      <w:r>
        <w:rPr>
          <w:spacing w:val="-6"/>
        </w:rPr>
        <w:t>有人提交基金份额持有人大会审议表决的提案，或基金管理人或基金托管人提交基金份额持有人大会审议表决的提案，未获基金份额持有人大会审议通过，就同一提案再次提请基金份额持有人大会审议，其时间间隔不少于 </w:t>
      </w:r>
      <w:r>
        <w:rPr>
          <w:rFonts w:ascii="Times New Roman" w:eastAsia="Times New Roman"/>
        </w:rPr>
        <w:t>6 </w:t>
      </w:r>
      <w:r>
        <w:rPr>
          <w:spacing w:val="-10"/>
        </w:rPr>
        <w:t>个月。法律法规</w:t>
      </w:r>
      <w:r>
        <w:rPr/>
        <w:t>另有规定除外。</w:t>
      </w:r>
    </w:p>
    <w:p>
      <w:pPr>
        <w:pStyle w:val="BodyText"/>
        <w:spacing w:line="364" w:lineRule="auto" w:before="3"/>
        <w:ind w:right="376"/>
        <w:jc w:val="both"/>
      </w:pPr>
      <w:r>
        <w:rPr>
          <w:spacing w:val="-5"/>
        </w:rPr>
        <w:t>基金份额持有人大会的召集人发出召开会议的通知后，如果需要对原有提案</w:t>
      </w:r>
      <w:r>
        <w:rPr>
          <w:spacing w:val="-3"/>
        </w:rPr>
        <w:t>进行修改，应当最迟在基金份额持有人大会召开前 </w:t>
      </w:r>
      <w:r>
        <w:rPr>
          <w:rFonts w:ascii="Times New Roman" w:eastAsia="Times New Roman"/>
        </w:rPr>
        <w:t>30 </w:t>
      </w:r>
      <w:r>
        <w:rPr>
          <w:spacing w:val="-2"/>
        </w:rPr>
        <w:t>日公告。否则，会议的召</w:t>
      </w:r>
    </w:p>
    <w:p>
      <w:pPr>
        <w:pStyle w:val="BodyText"/>
        <w:spacing w:before="2"/>
        <w:ind w:firstLine="0"/>
        <w:jc w:val="both"/>
      </w:pPr>
      <w:r>
        <w:rPr/>
        <w:t>开日期应当顺延并保证至少与公告日期有 </w:t>
      </w:r>
      <w:r>
        <w:rPr>
          <w:rFonts w:ascii="Times New Roman" w:eastAsia="Times New Roman"/>
        </w:rPr>
        <w:t>30 </w:t>
      </w:r>
      <w:r>
        <w:rPr/>
        <w:t>日的间隔期。</w:t>
      </w:r>
    </w:p>
    <w:p>
      <w:pPr>
        <w:pStyle w:val="ListParagraph"/>
        <w:numPr>
          <w:ilvl w:val="0"/>
          <w:numId w:val="73"/>
        </w:numPr>
        <w:tabs>
          <w:tab w:pos="1202" w:val="left" w:leader="none"/>
        </w:tabs>
        <w:spacing w:line="240" w:lineRule="auto" w:before="160" w:after="0"/>
        <w:ind w:left="1201" w:right="0" w:hanging="602"/>
        <w:jc w:val="left"/>
        <w:rPr>
          <w:sz w:val="24"/>
        </w:rPr>
      </w:pPr>
      <w:r>
        <w:rPr>
          <w:sz w:val="24"/>
        </w:rPr>
        <w:t>议事程序</w:t>
      </w:r>
    </w:p>
    <w:p>
      <w:pPr>
        <w:pStyle w:val="ListParagraph"/>
        <w:numPr>
          <w:ilvl w:val="0"/>
          <w:numId w:val="75"/>
        </w:numPr>
        <w:tabs>
          <w:tab w:pos="962" w:val="left" w:leader="none"/>
        </w:tabs>
        <w:spacing w:line="240" w:lineRule="auto" w:before="161" w:after="0"/>
        <w:ind w:left="961" w:right="0" w:hanging="362"/>
        <w:jc w:val="left"/>
        <w:rPr>
          <w:sz w:val="24"/>
        </w:rPr>
      </w:pPr>
      <w:r>
        <w:rPr>
          <w:sz w:val="24"/>
        </w:rPr>
        <w:t>现场开会</w:t>
      </w:r>
    </w:p>
    <w:p>
      <w:pPr>
        <w:pStyle w:val="BodyText"/>
        <w:spacing w:line="364" w:lineRule="auto" w:before="160"/>
        <w:ind w:right="283"/>
      </w:pPr>
      <w:r>
        <w:rPr>
          <w:spacing w:val="-10"/>
        </w:rPr>
        <w:t>在现场开会的方式下，首先由大会主持人按照下列第七条规定程序确定和公</w:t>
      </w:r>
      <w:r>
        <w:rPr>
          <w:spacing w:val="-11"/>
        </w:rPr>
        <w:t>布监票人，然后由大会主持人宣读提案，经讨论后进行表决，并形成大会决议。</w:t>
      </w:r>
    </w:p>
    <w:p>
      <w:pPr>
        <w:spacing w:after="0" w:line="364" w:lineRule="auto"/>
        <w:sectPr>
          <w:pgSz w:w="11910" w:h="16840"/>
          <w:pgMar w:header="0" w:footer="914" w:top="1440" w:bottom="1180" w:left="1680" w:right="1420"/>
        </w:sectPr>
      </w:pPr>
    </w:p>
    <w:p>
      <w:pPr>
        <w:pStyle w:val="BodyText"/>
        <w:spacing w:line="364" w:lineRule="auto" w:before="41"/>
        <w:ind w:right="377" w:firstLine="0"/>
        <w:jc w:val="both"/>
      </w:pPr>
      <w:r>
        <w:rPr>
          <w:spacing w:val="-6"/>
        </w:rPr>
        <w:t>大会主持人为基金管理人授权出席会议的代表，在基金管理人授权代表未能主持</w:t>
      </w:r>
      <w:r>
        <w:rPr>
          <w:spacing w:val="-10"/>
        </w:rPr>
        <w:t>大会的情况下，由基金托管人授权其出席会议的代表主持；如果基金管理人授权</w:t>
      </w:r>
      <w:r>
        <w:rPr>
          <w:spacing w:val="-6"/>
        </w:rPr>
        <w:t>代表和基金托管人授权代表均未能主持大会，则由出席大会的基金份额持有人所</w:t>
      </w:r>
      <w:r>
        <w:rPr>
          <w:spacing w:val="-2"/>
        </w:rPr>
        <w:t>持表决权的 </w:t>
      </w:r>
      <w:r>
        <w:rPr>
          <w:rFonts w:ascii="Times New Roman" w:eastAsia="Times New Roman"/>
        </w:rPr>
        <w:t>50%</w:t>
      </w:r>
      <w:r>
        <w:rPr/>
        <w:t>以上（</w:t>
      </w:r>
      <w:r>
        <w:rPr>
          <w:spacing w:val="-4"/>
        </w:rPr>
        <w:t>含 </w:t>
      </w:r>
      <w:r>
        <w:rPr>
          <w:rFonts w:ascii="Times New Roman" w:eastAsia="Times New Roman"/>
        </w:rPr>
        <w:t>50%</w:t>
      </w:r>
      <w:r>
        <w:rPr/>
        <w:t>）</w:t>
      </w:r>
      <w:r>
        <w:rPr>
          <w:spacing w:val="-1"/>
        </w:rPr>
        <w:t>选举产生一名基金份额持有人作为该次基金份</w:t>
      </w:r>
      <w:r>
        <w:rPr>
          <w:spacing w:val="-10"/>
        </w:rPr>
        <w:t>额持有人大会的主持人。基金管理人和基金托管人不出席或主持基金份额持有人</w:t>
      </w:r>
      <w:r>
        <w:rPr/>
        <w:t>大会，不影响基金份额持有人大会作出的决议的效力。</w:t>
      </w:r>
    </w:p>
    <w:p>
      <w:pPr>
        <w:pStyle w:val="BodyText"/>
        <w:spacing w:before="4"/>
        <w:ind w:left="600" w:firstLine="0"/>
      </w:pPr>
      <w:r>
        <w:rPr/>
        <w:t>会议召集人应当制作出席会议人员的签名册。签名册载明参加会议人员姓名</w:t>
      </w:r>
    </w:p>
    <w:p>
      <w:pPr>
        <w:pStyle w:val="BodyText"/>
        <w:spacing w:line="364" w:lineRule="auto" w:before="160"/>
        <w:ind w:right="384" w:firstLine="0"/>
      </w:pPr>
      <w:r>
        <w:rPr/>
        <w:t>（或单位名称</w:t>
      </w:r>
      <w:r>
        <w:rPr>
          <w:spacing w:val="-118"/>
        </w:rPr>
        <w:t>）</w:t>
      </w:r>
      <w:r>
        <w:rPr>
          <w:spacing w:val="-1"/>
        </w:rPr>
        <w:t>、身份证号码、住所地址、持有或代表有表决权的基金份额、委</w:t>
      </w:r>
      <w:r>
        <w:rPr/>
        <w:t>托人姓名（或单位名称）等事项。</w:t>
      </w:r>
    </w:p>
    <w:p>
      <w:pPr>
        <w:pStyle w:val="ListParagraph"/>
        <w:numPr>
          <w:ilvl w:val="0"/>
          <w:numId w:val="75"/>
        </w:numPr>
        <w:tabs>
          <w:tab w:pos="962" w:val="left" w:leader="none"/>
        </w:tabs>
        <w:spacing w:line="240" w:lineRule="auto" w:before="2" w:after="0"/>
        <w:ind w:left="961" w:right="0" w:hanging="362"/>
        <w:jc w:val="left"/>
        <w:rPr>
          <w:sz w:val="24"/>
        </w:rPr>
      </w:pPr>
      <w:r>
        <w:rPr>
          <w:sz w:val="24"/>
        </w:rPr>
        <w:t>通讯开会</w:t>
      </w:r>
    </w:p>
    <w:p>
      <w:pPr>
        <w:pStyle w:val="BodyText"/>
        <w:spacing w:before="160"/>
        <w:ind w:left="600" w:firstLine="0"/>
      </w:pPr>
      <w:r>
        <w:rPr/>
        <w:t>在通讯开会的情况下，首先由召集人提前 </w:t>
      </w:r>
      <w:r>
        <w:rPr>
          <w:rFonts w:ascii="Times New Roman" w:eastAsia="Times New Roman"/>
        </w:rPr>
        <w:t>30 </w:t>
      </w:r>
      <w:r>
        <w:rPr/>
        <w:t>日公布提案，在所通知的表决</w:t>
      </w:r>
    </w:p>
    <w:p>
      <w:pPr>
        <w:pStyle w:val="BodyText"/>
        <w:spacing w:line="364" w:lineRule="auto"/>
        <w:ind w:right="377" w:firstLine="0"/>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spacing w:before="1"/>
        <w:ind w:left="602" w:right="0" w:firstLine="0"/>
        <w:jc w:val="left"/>
        <w:rPr>
          <w:b/>
          <w:sz w:val="24"/>
        </w:rPr>
      </w:pPr>
      <w:r>
        <w:rPr>
          <w:rFonts w:ascii="Times New Roman" w:eastAsia="Times New Roman"/>
          <w:b/>
          <w:sz w:val="24"/>
        </w:rPr>
        <w:t>6</w:t>
      </w:r>
      <w:r>
        <w:rPr>
          <w:b/>
          <w:sz w:val="24"/>
        </w:rPr>
        <w:t>、表决</w:t>
      </w:r>
    </w:p>
    <w:p>
      <w:pPr>
        <w:pStyle w:val="BodyText"/>
        <w:spacing w:line="364" w:lineRule="auto"/>
        <w:ind w:left="600" w:right="2685" w:firstLine="0"/>
      </w:pPr>
      <w:r>
        <w:rPr/>
        <w:t>基金份额持有人所持每份基金份额有一票表决权。 </w:t>
      </w:r>
      <w:r>
        <w:rPr>
          <w:spacing w:val="-1"/>
        </w:rPr>
        <w:t>基金份额持有人大会决议分为一般决议和特别决议：</w:t>
      </w:r>
    </w:p>
    <w:p>
      <w:pPr>
        <w:pStyle w:val="ListParagraph"/>
        <w:numPr>
          <w:ilvl w:val="0"/>
          <w:numId w:val="76"/>
        </w:numPr>
        <w:tabs>
          <w:tab w:pos="1202" w:val="left" w:leader="none"/>
        </w:tabs>
        <w:spacing w:line="364" w:lineRule="auto" w:before="1" w:after="0"/>
        <w:ind w:left="120" w:right="379" w:firstLine="479"/>
        <w:jc w:val="both"/>
        <w:rPr>
          <w:sz w:val="24"/>
        </w:rPr>
      </w:pPr>
      <w:r>
        <w:rPr>
          <w:sz w:val="24"/>
        </w:rPr>
        <w:t>一般决议，一般决议须经参加大会的基金份额持有人或其代理人所持</w:t>
      </w:r>
      <w:r>
        <w:rPr>
          <w:spacing w:val="-7"/>
          <w:sz w:val="24"/>
        </w:rPr>
        <w:t>表决权的 </w:t>
      </w:r>
      <w:r>
        <w:rPr>
          <w:rFonts w:ascii="Times New Roman" w:eastAsia="Times New Roman"/>
          <w:sz w:val="24"/>
        </w:rPr>
        <w:t>50%</w:t>
      </w:r>
      <w:r>
        <w:rPr>
          <w:sz w:val="24"/>
        </w:rPr>
        <w:t>以上（</w:t>
      </w:r>
      <w:r>
        <w:rPr>
          <w:spacing w:val="-17"/>
          <w:sz w:val="24"/>
        </w:rPr>
        <w:t>含 </w:t>
      </w:r>
      <w:r>
        <w:rPr>
          <w:rFonts w:ascii="Times New Roman" w:eastAsia="Times New Roman"/>
          <w:sz w:val="24"/>
        </w:rPr>
        <w:t>50%</w:t>
      </w:r>
      <w:r>
        <w:rPr>
          <w:sz w:val="24"/>
        </w:rPr>
        <w:t>）</w:t>
      </w:r>
      <w:r>
        <w:rPr>
          <w:spacing w:val="-3"/>
          <w:sz w:val="24"/>
        </w:rPr>
        <w:t>通过方为有效；除下列第 </w:t>
      </w:r>
      <w:r>
        <w:rPr>
          <w:rFonts w:ascii="Times New Roman" w:eastAsia="Times New Roman"/>
          <w:sz w:val="24"/>
        </w:rPr>
        <w:t>2</w:t>
      </w:r>
      <w:r>
        <w:rPr>
          <w:rFonts w:ascii="Times New Roman" w:eastAsia="Times New Roman"/>
          <w:spacing w:val="26"/>
          <w:sz w:val="24"/>
        </w:rPr>
        <w:t> </w:t>
      </w:r>
      <w:r>
        <w:rPr>
          <w:spacing w:val="-2"/>
          <w:sz w:val="24"/>
        </w:rPr>
        <w:t>项所规定的须以特别</w:t>
      </w:r>
      <w:r>
        <w:rPr>
          <w:sz w:val="24"/>
        </w:rPr>
        <w:t>决议通过事项以外的其他事项均以一般决议的方式通过。</w:t>
      </w:r>
    </w:p>
    <w:p>
      <w:pPr>
        <w:pStyle w:val="ListParagraph"/>
        <w:numPr>
          <w:ilvl w:val="0"/>
          <w:numId w:val="76"/>
        </w:numPr>
        <w:tabs>
          <w:tab w:pos="1202" w:val="left" w:leader="none"/>
        </w:tabs>
        <w:spacing w:line="364" w:lineRule="auto" w:before="2" w:after="0"/>
        <w:ind w:left="120" w:right="379" w:firstLine="479"/>
        <w:jc w:val="both"/>
        <w:rPr>
          <w:sz w:val="24"/>
        </w:rPr>
      </w:pPr>
      <w:r>
        <w:rPr>
          <w:sz w:val="24"/>
        </w:rPr>
        <w:t>特别决议，特别决议应当经参加大会的基金份额持有人或其代理人所</w:t>
      </w:r>
      <w:r>
        <w:rPr>
          <w:spacing w:val="-3"/>
          <w:sz w:val="24"/>
        </w:rPr>
        <w:t>持表决权的三分之二以上</w:t>
      </w:r>
      <w:r>
        <w:rPr>
          <w:sz w:val="24"/>
        </w:rPr>
        <w:t>（含三分之二</w:t>
      </w:r>
      <w:r>
        <w:rPr>
          <w:spacing w:val="-24"/>
          <w:sz w:val="24"/>
        </w:rPr>
        <w:t>）</w:t>
      </w:r>
      <w:r>
        <w:rPr>
          <w:spacing w:val="-7"/>
          <w:sz w:val="24"/>
        </w:rPr>
        <w:t>通过方可做出。转换基金运作方式、更</w:t>
      </w:r>
      <w:r>
        <w:rPr>
          <w:sz w:val="24"/>
        </w:rPr>
        <w:t>换基金管理人或者基金托管人、终止《基金合同》以特别决议通过方为有效。</w:t>
      </w:r>
    </w:p>
    <w:p>
      <w:pPr>
        <w:pStyle w:val="BodyText"/>
        <w:spacing w:before="2"/>
        <w:ind w:left="600" w:firstLine="0"/>
      </w:pPr>
      <w:r>
        <w:rPr/>
        <w:t>基金份额持有人大会采取记名方式进行投票表决。</w:t>
      </w:r>
    </w:p>
    <w:p>
      <w:pPr>
        <w:pStyle w:val="BodyText"/>
        <w:spacing w:line="364" w:lineRule="auto" w:before="160"/>
        <w:ind w:right="376"/>
        <w:jc w:val="both"/>
      </w:pPr>
      <w:r>
        <w:rPr>
          <w:spacing w:val="-7"/>
        </w:rPr>
        <w:t>采取通讯方式进行表决时，除非在计票时有充分的相反证据证明，提交符合</w:t>
      </w:r>
      <w:r>
        <w:rPr>
          <w:spacing w:val="-5"/>
        </w:rPr>
        <w:t>会议通知中规定的确认投资者身份文件的表决视为有效出席的投资者，符合会议</w:t>
      </w:r>
      <w:r>
        <w:rPr>
          <w:spacing w:val="-7"/>
        </w:rPr>
        <w:t>通知规定的书面表决意见视为有效表决，表决意见模糊不清或相互矛盾的视为弃</w:t>
      </w:r>
      <w:r>
        <w:rPr/>
        <w:t>权表决，但应当计入出具书面意见的基金份额持有人所代表的基金份额总数。</w:t>
      </w:r>
    </w:p>
    <w:p>
      <w:pPr>
        <w:pStyle w:val="BodyText"/>
        <w:spacing w:line="364" w:lineRule="auto" w:before="3"/>
        <w:ind w:right="370"/>
      </w:pPr>
      <w:r>
        <w:rPr/>
        <w:t>基金份额持有人大会的各项提案或同一项提案内并列的各项议题应当分开审议、逐项表决。</w:t>
      </w:r>
    </w:p>
    <w:p>
      <w:pPr>
        <w:spacing w:after="0" w:line="364" w:lineRule="auto"/>
        <w:sectPr>
          <w:pgSz w:w="11910" w:h="16840"/>
          <w:pgMar w:header="0" w:footer="914" w:top="1460" w:bottom="1180" w:left="1680" w:right="1420"/>
        </w:sectPr>
      </w:pPr>
    </w:p>
    <w:p>
      <w:pPr>
        <w:spacing w:before="61"/>
        <w:ind w:left="602" w:right="0" w:firstLine="0"/>
        <w:jc w:val="left"/>
        <w:rPr>
          <w:b/>
          <w:sz w:val="24"/>
        </w:rPr>
      </w:pPr>
      <w:r>
        <w:rPr>
          <w:rFonts w:ascii="Times New Roman" w:eastAsia="Times New Roman"/>
          <w:b/>
          <w:sz w:val="24"/>
        </w:rPr>
        <w:t>7</w:t>
      </w:r>
      <w:r>
        <w:rPr>
          <w:b/>
          <w:sz w:val="24"/>
        </w:rPr>
        <w:t>、计票</w:t>
      </w:r>
    </w:p>
    <w:p>
      <w:pPr>
        <w:pStyle w:val="ListParagraph"/>
        <w:numPr>
          <w:ilvl w:val="0"/>
          <w:numId w:val="77"/>
        </w:numPr>
        <w:tabs>
          <w:tab w:pos="1202" w:val="left" w:leader="none"/>
        </w:tabs>
        <w:spacing w:line="240" w:lineRule="auto" w:before="160" w:after="0"/>
        <w:ind w:left="1201" w:right="0" w:hanging="602"/>
        <w:jc w:val="left"/>
        <w:rPr>
          <w:sz w:val="24"/>
        </w:rPr>
      </w:pPr>
      <w:r>
        <w:rPr>
          <w:sz w:val="24"/>
        </w:rPr>
        <w:t>现场开会</w:t>
      </w:r>
    </w:p>
    <w:p>
      <w:pPr>
        <w:pStyle w:val="ListParagraph"/>
        <w:numPr>
          <w:ilvl w:val="0"/>
          <w:numId w:val="78"/>
        </w:numPr>
        <w:tabs>
          <w:tab w:pos="962" w:val="left" w:leader="none"/>
        </w:tabs>
        <w:spacing w:line="364" w:lineRule="auto" w:before="161" w:after="0"/>
        <w:ind w:left="120" w:right="375" w:firstLine="479"/>
        <w:jc w:val="both"/>
        <w:rPr>
          <w:sz w:val="24"/>
        </w:rPr>
      </w:pPr>
      <w:r>
        <w:rPr>
          <w:sz w:val="24"/>
        </w:rPr>
        <w:t>如大会由基金管理人或基金托管人召集，基金份额持有人大会的主持人应当在会议开始后宣布在出席会议的基金份额持有人中选举两名基金份额持有</w:t>
      </w:r>
      <w:r>
        <w:rPr>
          <w:spacing w:val="-5"/>
          <w:sz w:val="24"/>
        </w:rPr>
        <w:t>人代表与大会召集人授权的一名监督员共同担任监票人；如大会由基金份额持有人自行召集或大会虽然由基金管理人或基金托管人召集，但是基金管理人或基金</w:t>
      </w:r>
      <w:r>
        <w:rPr>
          <w:spacing w:val="-11"/>
          <w:sz w:val="24"/>
        </w:rPr>
        <w:t>托管人未出席大会的，基金份额持有人大会的主持人应当在会议开始后宣布在出</w:t>
      </w:r>
      <w:r>
        <w:rPr>
          <w:spacing w:val="-5"/>
          <w:sz w:val="24"/>
        </w:rPr>
        <w:t>席会议的基金份额持有人中选举三名基金份额持有人代表担任监票人。基金管理</w:t>
      </w:r>
      <w:r>
        <w:rPr>
          <w:sz w:val="24"/>
        </w:rPr>
        <w:t>人或基金托管人不出席大会的，不影响计票的效力。</w:t>
      </w:r>
    </w:p>
    <w:p>
      <w:pPr>
        <w:pStyle w:val="ListParagraph"/>
        <w:numPr>
          <w:ilvl w:val="0"/>
          <w:numId w:val="78"/>
        </w:numPr>
        <w:tabs>
          <w:tab w:pos="962" w:val="left" w:leader="none"/>
        </w:tabs>
        <w:spacing w:line="364" w:lineRule="auto" w:before="5" w:after="0"/>
        <w:ind w:left="120" w:right="384" w:firstLine="479"/>
        <w:jc w:val="left"/>
        <w:rPr>
          <w:sz w:val="24"/>
        </w:rPr>
      </w:pPr>
      <w:r>
        <w:rPr>
          <w:spacing w:val="-1"/>
          <w:sz w:val="24"/>
        </w:rPr>
        <w:t>监票人应当在基金份额持有人表决后立即进行清点并由大会主持人当场</w:t>
      </w:r>
      <w:r>
        <w:rPr>
          <w:sz w:val="24"/>
        </w:rPr>
        <w:t>公布计票结果。</w:t>
      </w:r>
    </w:p>
    <w:p>
      <w:pPr>
        <w:pStyle w:val="ListParagraph"/>
        <w:numPr>
          <w:ilvl w:val="0"/>
          <w:numId w:val="78"/>
        </w:numPr>
        <w:tabs>
          <w:tab w:pos="962" w:val="left" w:leader="none"/>
        </w:tabs>
        <w:spacing w:line="364" w:lineRule="auto" w:before="1" w:after="0"/>
        <w:ind w:left="120" w:right="283" w:firstLine="479"/>
        <w:jc w:val="left"/>
        <w:rPr>
          <w:sz w:val="24"/>
        </w:rPr>
      </w:pPr>
      <w:r>
        <w:rPr>
          <w:sz w:val="24"/>
        </w:rPr>
        <w:t>如果会议主持人或基金份额持有人对于提交的表决结果有怀疑，可以在</w:t>
      </w:r>
      <w:r>
        <w:rPr>
          <w:spacing w:val="-1"/>
          <w:sz w:val="24"/>
        </w:rPr>
        <w:t>宣布表决结果后立即对所投票数要求进行重新清点。监票人应当进行重新清点， </w:t>
      </w:r>
      <w:r>
        <w:rPr>
          <w:sz w:val="24"/>
        </w:rPr>
        <w:t>重新清点以一次为限。重新清点后，大会主持人应当当场公布重新清点结果。</w:t>
      </w:r>
    </w:p>
    <w:p>
      <w:pPr>
        <w:pStyle w:val="ListParagraph"/>
        <w:numPr>
          <w:ilvl w:val="0"/>
          <w:numId w:val="78"/>
        </w:numPr>
        <w:tabs>
          <w:tab w:pos="962" w:val="left" w:leader="none"/>
        </w:tabs>
        <w:spacing w:line="364" w:lineRule="auto" w:before="2" w:after="0"/>
        <w:ind w:left="120" w:right="376"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基金管理人或基金托管人拒不出席大</w:t>
      </w:r>
      <w:r>
        <w:rPr>
          <w:spacing w:val="-4"/>
          <w:sz w:val="24"/>
        </w:rPr>
        <w:t>会的，不影响计票的效力。</w:t>
      </w:r>
    </w:p>
    <w:p>
      <w:pPr>
        <w:pStyle w:val="ListParagraph"/>
        <w:numPr>
          <w:ilvl w:val="0"/>
          <w:numId w:val="77"/>
        </w:numPr>
        <w:tabs>
          <w:tab w:pos="1202" w:val="left" w:leader="none"/>
        </w:tabs>
        <w:spacing w:line="240" w:lineRule="auto" w:before="1" w:after="0"/>
        <w:ind w:left="1201" w:right="0" w:hanging="602"/>
        <w:jc w:val="left"/>
        <w:rPr>
          <w:sz w:val="24"/>
        </w:rPr>
      </w:pPr>
      <w:r>
        <w:rPr>
          <w:sz w:val="24"/>
        </w:rPr>
        <w:t>通讯开会</w:t>
      </w:r>
    </w:p>
    <w:p>
      <w:pPr>
        <w:pStyle w:val="BodyText"/>
        <w:spacing w:line="364" w:lineRule="auto"/>
        <w:ind w:right="377"/>
        <w:jc w:val="both"/>
      </w:pPr>
      <w:r>
        <w:rPr>
          <w:spacing w:val="-9"/>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3"/>
        </w:rPr>
        <w:t>的监督下进</w:t>
      </w:r>
      <w:r>
        <w:rPr>
          <w:spacing w:val="-10"/>
        </w:rPr>
        <w:t>行计票，并由公证机关对其计票过程予以公证。基金管理人或基金托管人拒派代</w:t>
      </w:r>
      <w:r>
        <w:rPr/>
        <w:t>表对表决意见的计票进行监督的，不影响计票和表决结果。</w:t>
      </w:r>
    </w:p>
    <w:p>
      <w:pPr>
        <w:spacing w:before="2"/>
        <w:ind w:left="602" w:right="0" w:firstLine="0"/>
        <w:jc w:val="left"/>
        <w:rPr>
          <w:b/>
          <w:sz w:val="24"/>
        </w:rPr>
      </w:pPr>
      <w:r>
        <w:rPr>
          <w:rFonts w:ascii="Times New Roman" w:eastAsia="Times New Roman"/>
          <w:b/>
          <w:sz w:val="24"/>
        </w:rPr>
        <w:t>8</w:t>
      </w:r>
      <w:r>
        <w:rPr>
          <w:b/>
          <w:sz w:val="24"/>
        </w:rPr>
        <w:t>、生效与公告</w:t>
      </w:r>
    </w:p>
    <w:p>
      <w:pPr>
        <w:pStyle w:val="BodyText"/>
        <w:spacing w:line="364" w:lineRule="auto"/>
        <w:ind w:right="376"/>
      </w:pPr>
      <w:r>
        <w:rPr>
          <w:spacing w:val="-11"/>
        </w:rPr>
        <w:t>基金份额持有人大会的决议，召集人应当自通过之日起 </w:t>
      </w:r>
      <w:r>
        <w:rPr>
          <w:rFonts w:ascii="Times New Roman" w:eastAsia="Times New Roman"/>
        </w:rPr>
        <w:t>5 </w:t>
      </w:r>
      <w:r>
        <w:rPr>
          <w:spacing w:val="-2"/>
        </w:rPr>
        <w:t>日内报中国证监会</w:t>
      </w:r>
      <w:r>
        <w:rPr/>
        <w:t>核准或者备案。</w:t>
      </w:r>
    </w:p>
    <w:p>
      <w:pPr>
        <w:pStyle w:val="BodyText"/>
        <w:spacing w:line="364" w:lineRule="auto" w:before="2"/>
        <w:ind w:right="370"/>
      </w:pPr>
      <w:r>
        <w:rPr>
          <w:spacing w:val="4"/>
        </w:rPr>
        <w:t>基金份额持有人大会决定的事项自中国证监会依法核准或者出具无异议意</w:t>
      </w:r>
      <w:r>
        <w:rPr/>
        <w:t>见之日起生效。</w:t>
      </w:r>
    </w:p>
    <w:p>
      <w:pPr>
        <w:pStyle w:val="BodyText"/>
        <w:spacing w:line="364" w:lineRule="auto" w:before="1"/>
        <w:ind w:right="376"/>
        <w:jc w:val="both"/>
      </w:pPr>
      <w:r>
        <w:rPr>
          <w:spacing w:val="-4"/>
        </w:rPr>
        <w:t>基金份额持有人大会决议自生效之日起 </w:t>
      </w:r>
      <w:r>
        <w:rPr>
          <w:rFonts w:ascii="Times New Roman" w:eastAsia="Times New Roman"/>
        </w:rPr>
        <w:t>2 </w:t>
      </w:r>
      <w:r>
        <w:rPr>
          <w:spacing w:val="-11"/>
        </w:rPr>
        <w:t>日内在指定媒介公告。如果采用通</w:t>
      </w:r>
      <w:r>
        <w:rPr>
          <w:spacing w:val="-8"/>
        </w:rPr>
        <w:t>讯方式进行表决，在公告基金份额持有人大会决议时，必须将公证书全文、公证</w:t>
      </w:r>
      <w:r>
        <w:rPr/>
        <w:t>机构、公证员姓名等一同公告。</w:t>
      </w:r>
    </w:p>
    <w:p>
      <w:pPr>
        <w:spacing w:after="0" w:line="364" w:lineRule="auto"/>
        <w:jc w:val="both"/>
        <w:sectPr>
          <w:pgSz w:w="11910" w:h="16840"/>
          <w:pgMar w:header="0" w:footer="914" w:top="1440" w:bottom="1180" w:left="1680" w:right="1420"/>
        </w:sectPr>
      </w:pPr>
    </w:p>
    <w:p>
      <w:pPr>
        <w:pStyle w:val="BodyText"/>
        <w:spacing w:line="364" w:lineRule="auto" w:before="41"/>
        <w:ind w:right="377"/>
      </w:pPr>
      <w:r>
        <w:rPr>
          <w:spacing w:val="-11"/>
        </w:rPr>
        <w:t>基金管理人、基金托管人和基金份额持有人应当执行生效的基金份额持有人</w:t>
      </w:r>
      <w:r>
        <w:rPr/>
        <w:t>大会的决议。</w:t>
      </w:r>
    </w:p>
    <w:p>
      <w:pPr>
        <w:spacing w:line="364" w:lineRule="auto" w:before="1"/>
        <w:ind w:left="120" w:right="375" w:firstLine="482"/>
        <w:jc w:val="left"/>
        <w:rPr>
          <w:b/>
          <w:sz w:val="24"/>
        </w:rPr>
      </w:pPr>
      <w:r>
        <w:rPr>
          <w:b/>
          <w:w w:val="95"/>
          <w:sz w:val="24"/>
        </w:rPr>
        <w:t>基金份额持有人大会决议对全体基金份额持有人、基金管理人、基金托管  </w:t>
      </w:r>
      <w:r>
        <w:rPr>
          <w:b/>
          <w:sz w:val="24"/>
        </w:rPr>
        <w:t>人均有约束力。</w:t>
      </w:r>
    </w:p>
    <w:p>
      <w:pPr>
        <w:pStyle w:val="BodyText"/>
        <w:spacing w:before="6"/>
        <w:ind w:left="0" w:firstLine="0"/>
        <w:rPr>
          <w:b/>
          <w:sz w:val="30"/>
        </w:rPr>
      </w:pPr>
    </w:p>
    <w:p>
      <w:pPr>
        <w:spacing w:before="0"/>
        <w:ind w:left="602" w:right="0" w:firstLine="0"/>
        <w:jc w:val="left"/>
        <w:rPr>
          <w:b/>
          <w:sz w:val="24"/>
        </w:rPr>
      </w:pPr>
      <w:r>
        <w:rPr>
          <w:b/>
          <w:sz w:val="24"/>
        </w:rPr>
        <w:t>（三）基金收益分配原则、执行方式</w:t>
      </w:r>
    </w:p>
    <w:p>
      <w:pPr>
        <w:pStyle w:val="BodyText"/>
        <w:spacing w:before="9"/>
        <w:ind w:left="0" w:firstLine="0"/>
        <w:rPr>
          <w:b/>
          <w:sz w:val="18"/>
        </w:rPr>
      </w:pPr>
    </w:p>
    <w:p>
      <w:pPr>
        <w:pStyle w:val="BodyText"/>
        <w:spacing w:before="0"/>
        <w:ind w:left="600" w:firstLine="0"/>
      </w:pPr>
      <w:r>
        <w:rPr>
          <w:rFonts w:ascii="Times New Roman" w:eastAsia="Times New Roman"/>
        </w:rPr>
        <w:t>1</w:t>
      </w:r>
      <w:r>
        <w:rPr/>
        <w:t>、收益分配原则</w:t>
      </w:r>
    </w:p>
    <w:p>
      <w:pPr>
        <w:pStyle w:val="BodyText"/>
        <w:spacing w:before="160"/>
        <w:ind w:left="600" w:firstLine="0"/>
      </w:pPr>
      <w:r>
        <w:rPr/>
        <w:t>本基金收益分配应遵循下列原则：</w:t>
      </w:r>
    </w:p>
    <w:p>
      <w:pPr>
        <w:pStyle w:val="ListParagraph"/>
        <w:numPr>
          <w:ilvl w:val="0"/>
          <w:numId w:val="79"/>
        </w:numPr>
        <w:tabs>
          <w:tab w:pos="1202" w:val="left" w:leader="none"/>
        </w:tabs>
        <w:spacing w:line="364" w:lineRule="auto" w:before="161" w:after="0"/>
        <w:ind w:left="120" w:right="378" w:firstLine="479"/>
        <w:jc w:val="both"/>
        <w:rPr>
          <w:sz w:val="24"/>
        </w:rPr>
      </w:pPr>
      <w:r>
        <w:rPr>
          <w:spacing w:val="-15"/>
          <w:sz w:val="24"/>
        </w:rPr>
        <w:t>本基金 </w:t>
      </w:r>
      <w:r>
        <w:rPr>
          <w:rFonts w:ascii="Times New Roman" w:eastAsia="Times New Roman"/>
          <w:sz w:val="24"/>
        </w:rPr>
        <w:t>A</w:t>
      </w:r>
      <w:r>
        <w:rPr>
          <w:rFonts w:ascii="Times New Roman" w:eastAsia="Times New Roman"/>
          <w:spacing w:val="-1"/>
          <w:sz w:val="24"/>
        </w:rPr>
        <w:t> </w:t>
      </w:r>
      <w:r>
        <w:rPr>
          <w:spacing w:val="-9"/>
          <w:sz w:val="24"/>
        </w:rPr>
        <w:t>类基金份额和 </w:t>
      </w:r>
      <w:r>
        <w:rPr>
          <w:rFonts w:ascii="Times New Roman" w:eastAsia="Times New Roman"/>
          <w:sz w:val="24"/>
        </w:rPr>
        <w:t>C </w:t>
      </w:r>
      <w:r>
        <w:rPr>
          <w:spacing w:val="-3"/>
          <w:sz w:val="24"/>
        </w:rPr>
        <w:t>类基金份额在费用收取上不同，其分别对</w:t>
      </w:r>
      <w:r>
        <w:rPr>
          <w:spacing w:val="-4"/>
          <w:sz w:val="24"/>
        </w:rPr>
        <w:t>应的可分配收益可能有所不同。同一类别的每一基金份额享有同等分配权；</w:t>
      </w:r>
    </w:p>
    <w:p>
      <w:pPr>
        <w:pStyle w:val="ListParagraph"/>
        <w:numPr>
          <w:ilvl w:val="0"/>
          <w:numId w:val="79"/>
        </w:numPr>
        <w:tabs>
          <w:tab w:pos="1202" w:val="left" w:leader="none"/>
        </w:tabs>
        <w:spacing w:line="364" w:lineRule="auto" w:before="2" w:after="0"/>
        <w:ind w:left="120" w:right="378" w:firstLine="479"/>
        <w:jc w:val="both"/>
        <w:rPr>
          <w:sz w:val="24"/>
        </w:rPr>
      </w:pPr>
      <w:r>
        <w:rPr>
          <w:sz w:val="24"/>
        </w:rPr>
        <w:t>基金收益分配基准日的基金份额净值减去每单位基金份额收益分配金</w:t>
      </w:r>
      <w:r>
        <w:rPr>
          <w:spacing w:val="-11"/>
          <w:sz w:val="24"/>
        </w:rPr>
        <w:t>额后不能低于面值；即基金收益分配基准日人民币基金份额的基金份额净值减去</w:t>
      </w:r>
      <w:r>
        <w:rPr>
          <w:spacing w:val="-6"/>
          <w:sz w:val="24"/>
        </w:rPr>
        <w:t>每单位基金份额收益分配金额后不能低于面值；对于美元现汇基金份额，由于汇</w:t>
      </w:r>
      <w:r>
        <w:rPr>
          <w:spacing w:val="-11"/>
          <w:sz w:val="24"/>
        </w:rPr>
        <w:t>率因素影响，收益分配后美元现汇基金份额的基金份额净值可能低于对应的基金</w:t>
      </w:r>
      <w:r>
        <w:rPr>
          <w:sz w:val="24"/>
        </w:rPr>
        <w:t>份额面值；</w:t>
      </w:r>
    </w:p>
    <w:p>
      <w:pPr>
        <w:pStyle w:val="ListParagraph"/>
        <w:numPr>
          <w:ilvl w:val="0"/>
          <w:numId w:val="79"/>
        </w:numPr>
        <w:tabs>
          <w:tab w:pos="1202" w:val="left" w:leader="none"/>
        </w:tabs>
        <w:spacing w:line="364" w:lineRule="auto" w:before="0" w:after="0"/>
        <w:ind w:left="120" w:right="380" w:firstLine="479"/>
        <w:jc w:val="both"/>
        <w:rPr>
          <w:sz w:val="24"/>
        </w:rPr>
      </w:pPr>
      <w:r>
        <w:rPr>
          <w:spacing w:val="-1"/>
          <w:sz w:val="24"/>
        </w:rPr>
        <w:t>在符合有关基金分红条件的前提下，本基金每年收益分配次数最多为</w:t>
      </w:r>
      <w:r>
        <w:rPr>
          <w:rFonts w:ascii="Times New Roman" w:eastAsia="Times New Roman"/>
          <w:sz w:val="24"/>
        </w:rPr>
        <w:t>12</w:t>
      </w:r>
      <w:r>
        <w:rPr>
          <w:rFonts w:ascii="Times New Roman" w:eastAsia="Times New Roman"/>
          <w:spacing w:val="13"/>
          <w:sz w:val="24"/>
        </w:rPr>
        <w:t> </w:t>
      </w:r>
      <w:r>
        <w:rPr>
          <w:spacing w:val="-1"/>
          <w:sz w:val="24"/>
        </w:rPr>
        <w:t>次，每份基金份额每次收益分配比例不低于收益分配基准日每份基金份额可</w:t>
      </w:r>
      <w:r>
        <w:rPr>
          <w:spacing w:val="-9"/>
          <w:sz w:val="24"/>
        </w:rPr>
        <w:t>供分配利润的 </w:t>
      </w:r>
      <w:r>
        <w:rPr>
          <w:rFonts w:ascii="Times New Roman" w:eastAsia="Times New Roman"/>
          <w:sz w:val="24"/>
        </w:rPr>
        <w:t>10%</w:t>
      </w:r>
      <w:r>
        <w:rPr>
          <w:spacing w:val="-5"/>
          <w:sz w:val="24"/>
        </w:rPr>
        <w:t>；若《基金合同》生效不满 </w:t>
      </w:r>
      <w:r>
        <w:rPr>
          <w:rFonts w:ascii="Times New Roman" w:eastAsia="Times New Roman"/>
          <w:sz w:val="24"/>
        </w:rPr>
        <w:t>3 </w:t>
      </w:r>
      <w:r>
        <w:rPr>
          <w:sz w:val="24"/>
        </w:rPr>
        <w:t>个月可不进行收益分配；</w:t>
      </w:r>
    </w:p>
    <w:p>
      <w:pPr>
        <w:pStyle w:val="ListParagraph"/>
        <w:numPr>
          <w:ilvl w:val="0"/>
          <w:numId w:val="79"/>
        </w:numPr>
        <w:tabs>
          <w:tab w:pos="1202" w:val="left" w:leader="none"/>
        </w:tabs>
        <w:spacing w:line="364" w:lineRule="auto" w:before="2" w:after="0"/>
        <w:ind w:left="120" w:right="375" w:firstLine="479"/>
        <w:jc w:val="both"/>
        <w:rPr>
          <w:sz w:val="24"/>
        </w:rPr>
      </w:pPr>
      <w:r>
        <w:rPr>
          <w:sz w:val="24"/>
        </w:rPr>
        <w:t>本基金场外份额收益分配方式分为现金分红与红利再投资，基金份额持有人可选择获取现金红利或将现金红利自动转为对应类别的基金份额进行再</w:t>
      </w:r>
      <w:r>
        <w:rPr>
          <w:spacing w:val="-10"/>
          <w:sz w:val="24"/>
        </w:rPr>
        <w:t>投资，红利再投资的计算方法等有关事项遵循登记结算机构的相关规定；若基金</w:t>
      </w:r>
      <w:r>
        <w:rPr>
          <w:spacing w:val="-9"/>
          <w:sz w:val="24"/>
        </w:rPr>
        <w:t>份额持有人不选择，本基金场外份额默认的收益分配方式是现金分红。本基金场</w:t>
      </w:r>
      <w:r>
        <w:rPr>
          <w:sz w:val="24"/>
        </w:rPr>
        <w:t>内份额只能采取现金分红方式，基金份额持有人不能选择红利再投资；</w:t>
      </w:r>
    </w:p>
    <w:p>
      <w:pPr>
        <w:pStyle w:val="ListParagraph"/>
        <w:numPr>
          <w:ilvl w:val="0"/>
          <w:numId w:val="79"/>
        </w:numPr>
        <w:tabs>
          <w:tab w:pos="1202" w:val="left" w:leader="none"/>
        </w:tabs>
        <w:spacing w:line="364" w:lineRule="auto" w:before="3" w:after="0"/>
        <w:ind w:left="120" w:right="376" w:firstLine="479"/>
        <w:jc w:val="both"/>
        <w:rPr>
          <w:sz w:val="24"/>
        </w:rPr>
      </w:pPr>
      <w:r>
        <w:rPr>
          <w:sz w:val="24"/>
        </w:rPr>
        <w:t>人民币基金份额的现金分红分配币种为人民币，美元基金份额现金分</w:t>
      </w:r>
      <w:r>
        <w:rPr>
          <w:spacing w:val="-10"/>
          <w:sz w:val="24"/>
        </w:rPr>
        <w:t>红币种为美元；不同币种份额红利再投资适用的净值为该币种份额的净值；不同</w:t>
      </w:r>
      <w:r>
        <w:rPr>
          <w:sz w:val="24"/>
        </w:rPr>
        <w:t>类别美元份额的每份额分配金额为对应类别人民币份额的每份额分配数额按照汇率进行折算，具体见招募说明书；</w:t>
      </w:r>
    </w:p>
    <w:p>
      <w:pPr>
        <w:pStyle w:val="ListParagraph"/>
        <w:numPr>
          <w:ilvl w:val="0"/>
          <w:numId w:val="79"/>
        </w:numPr>
        <w:tabs>
          <w:tab w:pos="1202" w:val="left" w:leader="none"/>
        </w:tabs>
        <w:spacing w:line="240" w:lineRule="auto" w:before="3" w:after="0"/>
        <w:ind w:left="1201" w:right="0" w:hanging="602"/>
        <w:jc w:val="left"/>
        <w:rPr>
          <w:sz w:val="24"/>
        </w:rPr>
      </w:pPr>
      <w:r>
        <w:rPr>
          <w:sz w:val="24"/>
        </w:rPr>
        <w:t>法律法规或监管机构另有规定的，从其规定。</w:t>
      </w:r>
    </w:p>
    <w:p>
      <w:pPr>
        <w:pStyle w:val="BodyText"/>
        <w:ind w:left="600" w:firstLine="0"/>
      </w:pPr>
      <w:r>
        <w:rPr>
          <w:rFonts w:ascii="Times New Roman" w:eastAsia="Times New Roman"/>
        </w:rPr>
        <w:t>2</w:t>
      </w:r>
      <w:r>
        <w:rPr/>
        <w:t>、收益分配方案</w:t>
      </w:r>
    </w:p>
    <w:p>
      <w:pPr>
        <w:spacing w:after="0"/>
        <w:sectPr>
          <w:pgSz w:w="11910" w:h="16840"/>
          <w:pgMar w:header="0" w:footer="914" w:top="1460" w:bottom="1180" w:left="1680" w:right="1420"/>
        </w:sectPr>
      </w:pPr>
    </w:p>
    <w:p>
      <w:pPr>
        <w:pStyle w:val="BodyText"/>
        <w:spacing w:line="364" w:lineRule="auto" w:before="41"/>
        <w:ind w:right="323" w:firstLine="419"/>
      </w:pPr>
      <w:r>
        <w:rPr/>
        <w:t>基金收益分配方案中应载明基金截至收益分配基准日的可供分配利润、基金收益分配对象、分配时间、分配数额及比例、分配方式等内容。</w:t>
      </w:r>
    </w:p>
    <w:p>
      <w:pPr>
        <w:pStyle w:val="BodyText"/>
        <w:spacing w:before="1"/>
        <w:ind w:left="600" w:firstLine="0"/>
      </w:pPr>
      <w:r>
        <w:rPr>
          <w:rFonts w:ascii="Times New Roman" w:eastAsia="Times New Roman"/>
        </w:rPr>
        <w:t>3</w:t>
      </w:r>
      <w:r>
        <w:rPr/>
        <w:t>、收益分配的确定、公告与实施</w:t>
      </w:r>
    </w:p>
    <w:p>
      <w:pPr>
        <w:pStyle w:val="BodyText"/>
        <w:spacing w:line="364" w:lineRule="auto"/>
        <w:ind w:right="378"/>
      </w:pPr>
      <w:r>
        <w:rPr>
          <w:spacing w:val="-6"/>
        </w:rPr>
        <w:t>本基金收益分配方案由基金管理人拟定，并由基金托管人复核，在指定媒介</w:t>
      </w:r>
      <w:r>
        <w:rPr/>
        <w:t>上公告。</w:t>
      </w:r>
    </w:p>
    <w:p>
      <w:pPr>
        <w:pStyle w:val="BodyText"/>
        <w:spacing w:line="364" w:lineRule="auto" w:before="1"/>
        <w:ind w:left="600" w:right="336" w:firstLine="0"/>
      </w:pPr>
      <w:r>
        <w:rPr/>
        <w:t>本基金收益分配的发放日距离收益分配基准日的时间不超过 </w:t>
      </w:r>
      <w:r>
        <w:rPr>
          <w:rFonts w:ascii="Times New Roman" w:eastAsia="Times New Roman"/>
        </w:rPr>
        <w:t>15 </w:t>
      </w:r>
      <w:r>
        <w:rPr/>
        <w:t>个工作日。法律法规或监管机关另有规定的，从其规定。</w:t>
      </w:r>
    </w:p>
    <w:p>
      <w:pPr>
        <w:pStyle w:val="BodyText"/>
        <w:spacing w:before="1"/>
        <w:ind w:left="600" w:firstLine="0"/>
      </w:pPr>
      <w:r>
        <w:rPr>
          <w:rFonts w:ascii="Times New Roman" w:eastAsia="Times New Roman"/>
        </w:rPr>
        <w:t>4</w:t>
      </w:r>
      <w:r>
        <w:rPr/>
        <w:t>、收益分配中发生的费用</w:t>
      </w:r>
    </w:p>
    <w:p>
      <w:pPr>
        <w:pStyle w:val="BodyText"/>
        <w:spacing w:line="364" w:lineRule="auto"/>
        <w:ind w:right="282"/>
      </w:pPr>
      <w:r>
        <w:rPr>
          <w:spacing w:val="-4"/>
        </w:rPr>
        <w:t>收益分配时所发生的银行汇划费用由投资者自行承担。当投资者的现金红利</w:t>
      </w:r>
      <w:r>
        <w:rPr>
          <w:spacing w:val="-11"/>
        </w:rPr>
        <w:t>小于一定金额，不足于支付银行转账或其他手续费用时，登记结算机构可将基金</w:t>
      </w:r>
      <w:r>
        <w:rPr>
          <w:spacing w:val="-12"/>
        </w:rPr>
        <w:t>份额持有人的现金红利自动转为对应类别的基金份额。红利再投资的计算方法， </w:t>
      </w:r>
      <w:r>
        <w:rPr/>
        <w:t>依照业务规则执行。</w:t>
      </w:r>
    </w:p>
    <w:p>
      <w:pPr>
        <w:pStyle w:val="BodyText"/>
        <w:spacing w:before="3"/>
        <w:ind w:left="0" w:firstLine="0"/>
        <w:rPr>
          <w:sz w:val="26"/>
        </w:rPr>
      </w:pPr>
    </w:p>
    <w:p>
      <w:pPr>
        <w:spacing w:before="0"/>
        <w:ind w:left="602" w:right="0" w:firstLine="0"/>
        <w:jc w:val="left"/>
        <w:rPr>
          <w:b/>
          <w:sz w:val="24"/>
        </w:rPr>
      </w:pPr>
      <w:r>
        <w:rPr>
          <w:b/>
          <w:sz w:val="24"/>
        </w:rPr>
        <w:t>（四）与基金财产管理、运用有关的费用</w:t>
      </w:r>
    </w:p>
    <w:p>
      <w:pPr>
        <w:pStyle w:val="BodyText"/>
        <w:spacing w:before="9"/>
        <w:ind w:left="0" w:firstLine="0"/>
        <w:rPr>
          <w:b/>
          <w:sz w:val="18"/>
        </w:rPr>
      </w:pPr>
    </w:p>
    <w:p>
      <w:pPr>
        <w:pStyle w:val="BodyText"/>
        <w:spacing w:before="0"/>
        <w:ind w:left="600" w:firstLine="0"/>
      </w:pPr>
      <w:r>
        <w:rPr>
          <w:rFonts w:ascii="Times New Roman" w:eastAsia="Times New Roman"/>
        </w:rPr>
        <w:t>1</w:t>
      </w:r>
      <w:r>
        <w:rPr/>
        <w:t>、基金费用的种类</w:t>
      </w:r>
    </w:p>
    <w:p>
      <w:pPr>
        <w:pStyle w:val="ListParagraph"/>
        <w:numPr>
          <w:ilvl w:val="0"/>
          <w:numId w:val="80"/>
        </w:numPr>
        <w:tabs>
          <w:tab w:pos="1380" w:val="left" w:leader="none"/>
          <w:tab w:pos="1381" w:val="left" w:leader="none"/>
        </w:tabs>
        <w:spacing w:line="240" w:lineRule="auto" w:before="161" w:after="0"/>
        <w:ind w:left="1380" w:right="0" w:hanging="841"/>
        <w:jc w:val="left"/>
        <w:rPr>
          <w:sz w:val="24"/>
        </w:rPr>
      </w:pPr>
      <w:r>
        <w:rPr>
          <w:sz w:val="24"/>
        </w:rPr>
        <w:t>基金的管理费；</w:t>
      </w:r>
    </w:p>
    <w:p>
      <w:pPr>
        <w:pStyle w:val="ListParagraph"/>
        <w:numPr>
          <w:ilvl w:val="0"/>
          <w:numId w:val="80"/>
        </w:numPr>
        <w:tabs>
          <w:tab w:pos="1380" w:val="left" w:leader="none"/>
          <w:tab w:pos="1381" w:val="left" w:leader="none"/>
        </w:tabs>
        <w:spacing w:line="240" w:lineRule="auto" w:before="160" w:after="0"/>
        <w:ind w:left="1380" w:right="0" w:hanging="841"/>
        <w:jc w:val="left"/>
        <w:rPr>
          <w:sz w:val="24"/>
        </w:rPr>
      </w:pPr>
      <w:r>
        <w:rPr>
          <w:sz w:val="24"/>
        </w:rPr>
        <w:t>基金的托管费；</w:t>
      </w:r>
    </w:p>
    <w:p>
      <w:pPr>
        <w:pStyle w:val="ListParagraph"/>
        <w:numPr>
          <w:ilvl w:val="0"/>
          <w:numId w:val="80"/>
        </w:numPr>
        <w:tabs>
          <w:tab w:pos="1380" w:val="left" w:leader="none"/>
          <w:tab w:pos="1381" w:val="left" w:leader="none"/>
        </w:tabs>
        <w:spacing w:line="240" w:lineRule="auto" w:before="161" w:after="0"/>
        <w:ind w:left="1380" w:right="0" w:hanging="841"/>
        <w:jc w:val="left"/>
        <w:rPr>
          <w:sz w:val="24"/>
        </w:rPr>
      </w:pPr>
      <w:r>
        <w:rPr>
          <w:sz w:val="24"/>
        </w:rPr>
        <w:t>销售服务费；</w:t>
      </w:r>
    </w:p>
    <w:p>
      <w:pPr>
        <w:pStyle w:val="ListParagraph"/>
        <w:numPr>
          <w:ilvl w:val="0"/>
          <w:numId w:val="80"/>
        </w:numPr>
        <w:tabs>
          <w:tab w:pos="1380" w:val="left" w:leader="none"/>
          <w:tab w:pos="1381" w:val="left" w:leader="none"/>
        </w:tabs>
        <w:spacing w:line="240" w:lineRule="auto" w:before="160" w:after="0"/>
        <w:ind w:left="1380" w:right="0" w:hanging="841"/>
        <w:jc w:val="left"/>
        <w:rPr>
          <w:sz w:val="24"/>
        </w:rPr>
      </w:pPr>
      <w:r>
        <w:rPr>
          <w:sz w:val="24"/>
        </w:rPr>
        <w:t>《基金合同》生效后与基金相关的信息披露费用；</w:t>
      </w:r>
    </w:p>
    <w:p>
      <w:pPr>
        <w:pStyle w:val="ListParagraph"/>
        <w:numPr>
          <w:ilvl w:val="0"/>
          <w:numId w:val="80"/>
        </w:numPr>
        <w:tabs>
          <w:tab w:pos="1380" w:val="left" w:leader="none"/>
          <w:tab w:pos="1381" w:val="left" w:leader="none"/>
        </w:tabs>
        <w:spacing w:line="240" w:lineRule="auto" w:before="161" w:after="0"/>
        <w:ind w:left="1380" w:right="0" w:hanging="841"/>
        <w:jc w:val="left"/>
        <w:rPr>
          <w:sz w:val="24"/>
        </w:rPr>
      </w:pPr>
      <w:r>
        <w:rPr>
          <w:sz w:val="24"/>
        </w:rPr>
        <w:t>《基金合同》生效后与基金相关的会计师费、律师费等；</w:t>
      </w:r>
    </w:p>
    <w:p>
      <w:pPr>
        <w:pStyle w:val="ListParagraph"/>
        <w:numPr>
          <w:ilvl w:val="0"/>
          <w:numId w:val="80"/>
        </w:numPr>
        <w:tabs>
          <w:tab w:pos="1380" w:val="left" w:leader="none"/>
          <w:tab w:pos="1381" w:val="left" w:leader="none"/>
        </w:tabs>
        <w:spacing w:line="364" w:lineRule="auto" w:before="160" w:after="0"/>
        <w:ind w:left="540" w:right="386" w:firstLine="0"/>
        <w:jc w:val="left"/>
        <w:rPr>
          <w:sz w:val="24"/>
        </w:rPr>
      </w:pPr>
      <w:r>
        <w:rPr>
          <w:sz w:val="24"/>
        </w:rPr>
        <w:t>基金依照有关法律法规应当缴纳或预提的任何税收、征费以及相关的利息、罚金，以及直接为处理基金税务事项产生的税务代理费；</w:t>
      </w:r>
    </w:p>
    <w:p>
      <w:pPr>
        <w:pStyle w:val="ListParagraph"/>
        <w:numPr>
          <w:ilvl w:val="0"/>
          <w:numId w:val="80"/>
        </w:numPr>
        <w:tabs>
          <w:tab w:pos="1380" w:val="left" w:leader="none"/>
          <w:tab w:pos="1381" w:val="left" w:leader="none"/>
        </w:tabs>
        <w:spacing w:line="240" w:lineRule="auto" w:before="2" w:after="0"/>
        <w:ind w:left="1380" w:right="0" w:hanging="841"/>
        <w:jc w:val="left"/>
        <w:rPr>
          <w:sz w:val="24"/>
        </w:rPr>
      </w:pPr>
      <w:r>
        <w:rPr>
          <w:sz w:val="24"/>
        </w:rPr>
        <w:t>基金份额持有人大会费用；</w:t>
      </w:r>
    </w:p>
    <w:p>
      <w:pPr>
        <w:pStyle w:val="ListParagraph"/>
        <w:numPr>
          <w:ilvl w:val="0"/>
          <w:numId w:val="80"/>
        </w:numPr>
        <w:tabs>
          <w:tab w:pos="1380" w:val="left" w:leader="none"/>
          <w:tab w:pos="1381" w:val="left" w:leader="none"/>
        </w:tabs>
        <w:spacing w:line="364" w:lineRule="auto" w:before="160" w:after="0"/>
        <w:ind w:left="540" w:right="378" w:firstLine="0"/>
        <w:jc w:val="left"/>
        <w:rPr>
          <w:sz w:val="24"/>
        </w:rPr>
      </w:pPr>
      <w:r>
        <w:rPr>
          <w:sz w:val="24"/>
        </w:rPr>
        <w:t>基金的证券交易或结算所产生的费用，以及在境外市场的开户、交易、结算、登记等各项费用；</w:t>
      </w:r>
    </w:p>
    <w:p>
      <w:pPr>
        <w:pStyle w:val="ListParagraph"/>
        <w:numPr>
          <w:ilvl w:val="0"/>
          <w:numId w:val="80"/>
        </w:numPr>
        <w:tabs>
          <w:tab w:pos="1380" w:val="left" w:leader="none"/>
          <w:tab w:pos="1381" w:val="left" w:leader="none"/>
        </w:tabs>
        <w:spacing w:line="240" w:lineRule="auto" w:before="2" w:after="0"/>
        <w:ind w:left="1380" w:right="0" w:hanging="841"/>
        <w:jc w:val="left"/>
        <w:rPr>
          <w:sz w:val="24"/>
        </w:rPr>
      </w:pPr>
      <w:r>
        <w:rPr>
          <w:sz w:val="24"/>
        </w:rPr>
        <w:t>基金的银行汇划费用；</w:t>
      </w:r>
    </w:p>
    <w:p>
      <w:pPr>
        <w:pStyle w:val="ListParagraph"/>
        <w:numPr>
          <w:ilvl w:val="0"/>
          <w:numId w:val="80"/>
        </w:numPr>
        <w:tabs>
          <w:tab w:pos="1381" w:val="left" w:leader="none"/>
        </w:tabs>
        <w:spacing w:line="364" w:lineRule="auto" w:before="160" w:after="0"/>
        <w:ind w:left="540" w:right="257" w:firstLine="0"/>
        <w:jc w:val="left"/>
        <w:rPr>
          <w:sz w:val="24"/>
        </w:rPr>
      </w:pPr>
      <w:r>
        <w:rPr>
          <w:spacing w:val="-6"/>
          <w:sz w:val="24"/>
        </w:rPr>
        <w:t>为了基金利益，除去基金管理人与基金托管人因自身原因而导致的、</w:t>
      </w:r>
      <w:r>
        <w:rPr>
          <w:sz w:val="24"/>
        </w:rPr>
        <w:t>与基金有关的诉讼、追索费用；</w:t>
      </w:r>
    </w:p>
    <w:p>
      <w:pPr>
        <w:pStyle w:val="ListParagraph"/>
        <w:numPr>
          <w:ilvl w:val="0"/>
          <w:numId w:val="80"/>
        </w:numPr>
        <w:tabs>
          <w:tab w:pos="1381" w:val="left" w:leader="none"/>
        </w:tabs>
        <w:spacing w:line="240" w:lineRule="auto" w:before="2" w:after="0"/>
        <w:ind w:left="1380" w:right="0" w:hanging="841"/>
        <w:jc w:val="left"/>
        <w:rPr>
          <w:sz w:val="24"/>
        </w:rPr>
      </w:pPr>
      <w:r>
        <w:rPr>
          <w:sz w:val="24"/>
        </w:rPr>
        <w:t>外汇兑换交易的相关费用；</w:t>
      </w:r>
    </w:p>
    <w:p>
      <w:pPr>
        <w:pStyle w:val="ListParagraph"/>
        <w:numPr>
          <w:ilvl w:val="0"/>
          <w:numId w:val="80"/>
        </w:numPr>
        <w:tabs>
          <w:tab w:pos="1381" w:val="left" w:leader="none"/>
        </w:tabs>
        <w:spacing w:line="240" w:lineRule="auto" w:before="160" w:after="0"/>
        <w:ind w:left="1380" w:right="0" w:hanging="841"/>
        <w:jc w:val="left"/>
        <w:rPr>
          <w:sz w:val="24"/>
        </w:rPr>
      </w:pPr>
      <w:r>
        <w:rPr>
          <w:sz w:val="24"/>
        </w:rPr>
        <w:t>基金上市费及年费；</w:t>
      </w:r>
    </w:p>
    <w:p>
      <w:pPr>
        <w:spacing w:after="0" w:line="240" w:lineRule="auto"/>
        <w:jc w:val="left"/>
        <w:rPr>
          <w:sz w:val="24"/>
        </w:rPr>
        <w:sectPr>
          <w:pgSz w:w="11910" w:h="16840"/>
          <w:pgMar w:header="0" w:footer="914" w:top="1460" w:bottom="1180" w:left="1680" w:right="1420"/>
        </w:sectPr>
      </w:pPr>
    </w:p>
    <w:p>
      <w:pPr>
        <w:pStyle w:val="ListParagraph"/>
        <w:numPr>
          <w:ilvl w:val="0"/>
          <w:numId w:val="80"/>
        </w:numPr>
        <w:tabs>
          <w:tab w:pos="1381" w:val="left" w:leader="none"/>
        </w:tabs>
        <w:spacing w:line="364" w:lineRule="auto" w:before="61" w:after="0"/>
        <w:ind w:left="540" w:right="379" w:firstLine="0"/>
        <w:jc w:val="left"/>
        <w:rPr>
          <w:sz w:val="24"/>
        </w:rPr>
      </w:pPr>
      <w:r>
        <w:rPr>
          <w:spacing w:val="-13"/>
          <w:sz w:val="24"/>
        </w:rPr>
        <w:t>按照国家有关规定、《基金合同》约定或行业惯例，可以在基金财产</w:t>
      </w:r>
      <w:r>
        <w:rPr>
          <w:sz w:val="24"/>
        </w:rPr>
        <w:t>中列支的其他费用。</w:t>
      </w:r>
    </w:p>
    <w:p>
      <w:pPr>
        <w:pStyle w:val="BodyText"/>
        <w:spacing w:before="1"/>
        <w:ind w:left="540" w:firstLine="0"/>
      </w:pPr>
      <w:r>
        <w:rPr/>
        <w:t>本基金终止清算时所发生费用，按实际支出额从基金财产总值中扣除。</w:t>
      </w:r>
    </w:p>
    <w:p>
      <w:pPr>
        <w:pStyle w:val="BodyText"/>
        <w:spacing w:before="81"/>
        <w:ind w:left="600" w:firstLine="0"/>
      </w:pPr>
      <w:r>
        <w:rPr>
          <w:rFonts w:ascii="Times New Roman" w:eastAsia="Times New Roman"/>
        </w:rPr>
        <w:t>2</w:t>
      </w:r>
      <w:r>
        <w:rPr/>
        <w:t>、基金费用计提方法、计提标准和支付方式</w:t>
      </w:r>
    </w:p>
    <w:p>
      <w:pPr>
        <w:pStyle w:val="ListParagraph"/>
        <w:numPr>
          <w:ilvl w:val="0"/>
          <w:numId w:val="81"/>
        </w:numPr>
        <w:tabs>
          <w:tab w:pos="1202" w:val="left" w:leader="none"/>
        </w:tabs>
        <w:spacing w:line="240" w:lineRule="auto" w:before="161" w:after="0"/>
        <w:ind w:left="1201" w:right="0" w:hanging="602"/>
        <w:jc w:val="left"/>
        <w:rPr>
          <w:sz w:val="24"/>
        </w:rPr>
      </w:pPr>
      <w:r>
        <w:rPr>
          <w:sz w:val="24"/>
        </w:rPr>
        <w:t>基金的管理费</w:t>
      </w:r>
    </w:p>
    <w:p>
      <w:pPr>
        <w:pStyle w:val="BodyText"/>
        <w:spacing w:before="6"/>
        <w:ind w:left="0" w:firstLine="0"/>
        <w:rPr>
          <w:sz w:val="18"/>
        </w:rPr>
      </w:pPr>
    </w:p>
    <w:p>
      <w:pPr>
        <w:pStyle w:val="BodyText"/>
        <w:spacing w:line="364" w:lineRule="auto" w:before="1"/>
        <w:ind w:right="376"/>
        <w:jc w:val="both"/>
      </w:pPr>
      <w:r>
        <w:rPr>
          <w:spacing w:val="-5"/>
        </w:rPr>
        <w:t>本基金的管理费</w:t>
      </w:r>
      <w:r>
        <w:rPr/>
        <w:t>（</w:t>
      </w:r>
      <w:r>
        <w:rPr>
          <w:spacing w:val="-3"/>
        </w:rPr>
        <w:t>如基金管理人委托投资顾问，包括投资顾问费</w:t>
      </w:r>
      <w:r>
        <w:rPr>
          <w:spacing w:val="-32"/>
        </w:rPr>
        <w:t>）</w:t>
      </w:r>
      <w:r>
        <w:rPr>
          <w:spacing w:val="-4"/>
        </w:rPr>
        <w:t>按前一日</w:t>
      </w:r>
      <w:r>
        <w:rPr>
          <w:spacing w:val="-8"/>
        </w:rPr>
        <w:t>基金资产净值的 </w:t>
      </w:r>
      <w:r>
        <w:rPr>
          <w:rFonts w:ascii="Times New Roman" w:eastAsia="Times New Roman"/>
        </w:rPr>
        <w:t>1.2%</w:t>
      </w:r>
      <w:r>
        <w:rPr/>
        <w:t>年费率计提。计算方法如下：</w:t>
      </w:r>
    </w:p>
    <w:p>
      <w:pPr>
        <w:pStyle w:val="BodyText"/>
        <w:spacing w:before="1"/>
        <w:ind w:left="600" w:firstLine="0"/>
      </w:pPr>
      <w:r>
        <w:rPr>
          <w:rFonts w:ascii="Times New Roman" w:hAnsi="Times New Roman" w:eastAsia="Times New Roman"/>
        </w:rPr>
        <w:t>H</w:t>
      </w:r>
      <w:r>
        <w:rPr/>
        <w:t>＝</w:t>
      </w:r>
      <w:r>
        <w:rPr>
          <w:rFonts w:ascii="Times New Roman" w:hAnsi="Times New Roman" w:eastAsia="Times New Roman"/>
        </w:rPr>
        <w:t>E×1.2%÷</w:t>
      </w:r>
      <w:r>
        <w:rPr/>
        <w:t>当年天数</w:t>
      </w:r>
    </w:p>
    <w:p>
      <w:pPr>
        <w:pStyle w:val="BodyText"/>
        <w:ind w:left="600" w:firstLine="0"/>
      </w:pPr>
      <w:r>
        <w:rPr>
          <w:rFonts w:ascii="Times New Roman" w:eastAsia="Times New Roman"/>
        </w:rPr>
        <w:t>H </w:t>
      </w:r>
      <w:r>
        <w:rPr/>
        <w:t>为每日应计提的基金的管理费</w:t>
      </w:r>
    </w:p>
    <w:p>
      <w:pPr>
        <w:pStyle w:val="BodyText"/>
        <w:spacing w:before="160"/>
        <w:ind w:left="600" w:firstLine="0"/>
        <w:jc w:val="both"/>
      </w:pPr>
      <w:r>
        <w:rPr>
          <w:rFonts w:ascii="Times New Roman" w:eastAsia="Times New Roman"/>
        </w:rPr>
        <w:t>E </w:t>
      </w:r>
      <w:r>
        <w:rPr/>
        <w:t>为前一日的基金资产净值</w:t>
      </w:r>
    </w:p>
    <w:p>
      <w:pPr>
        <w:pStyle w:val="BodyText"/>
        <w:spacing w:line="364" w:lineRule="auto"/>
        <w:ind w:right="376"/>
        <w:jc w:val="both"/>
      </w:pPr>
      <w:r>
        <w:rPr>
          <w:spacing w:val="-8"/>
        </w:rPr>
        <w:t>基金的管理费每日计算，逐日累计至每月月末，按月支付。经基金管理人和</w:t>
      </w:r>
      <w:r>
        <w:rPr>
          <w:spacing w:val="-12"/>
        </w:rPr>
        <w:t>基金托管人核对一致后，基金托管人于次月前 </w:t>
      </w:r>
      <w:r>
        <w:rPr>
          <w:rFonts w:ascii="Times New Roman" w:eastAsia="Times New Roman"/>
        </w:rPr>
        <w:t>3 </w:t>
      </w:r>
      <w:r>
        <w:rPr>
          <w:spacing w:val="-2"/>
        </w:rPr>
        <w:t>个工作日内从基金财产中一次性</w:t>
      </w:r>
      <w:r>
        <w:rPr/>
        <w:t>支付给基金管理人。</w:t>
      </w:r>
    </w:p>
    <w:p>
      <w:pPr>
        <w:pStyle w:val="ListParagraph"/>
        <w:numPr>
          <w:ilvl w:val="0"/>
          <w:numId w:val="81"/>
        </w:numPr>
        <w:tabs>
          <w:tab w:pos="1202" w:val="left" w:leader="none"/>
        </w:tabs>
        <w:spacing w:line="240" w:lineRule="auto" w:before="2" w:after="0"/>
        <w:ind w:left="1201" w:right="0" w:hanging="602"/>
        <w:jc w:val="left"/>
        <w:rPr>
          <w:sz w:val="24"/>
        </w:rPr>
      </w:pPr>
      <w:r>
        <w:rPr>
          <w:sz w:val="24"/>
        </w:rPr>
        <w:t>基金的托管费</w:t>
      </w:r>
    </w:p>
    <w:p>
      <w:pPr>
        <w:pStyle w:val="BodyText"/>
        <w:spacing w:line="364" w:lineRule="auto" w:before="160"/>
        <w:ind w:right="376"/>
      </w:pPr>
      <w:r>
        <w:rPr>
          <w:spacing w:val="-5"/>
        </w:rPr>
        <w:t>本基金的托管费</w:t>
      </w:r>
      <w:r>
        <w:rPr/>
        <w:t>（</w:t>
      </w:r>
      <w:r>
        <w:rPr>
          <w:spacing w:val="-3"/>
        </w:rPr>
        <w:t>如基金托管人委托境外托管人，包括境外托管费</w:t>
      </w:r>
      <w:r>
        <w:rPr>
          <w:spacing w:val="-31"/>
        </w:rPr>
        <w:t>）</w:t>
      </w:r>
      <w:r>
        <w:rPr>
          <w:spacing w:val="-5"/>
        </w:rPr>
        <w:t>按前一</w:t>
      </w:r>
      <w:r>
        <w:rPr>
          <w:spacing w:val="-7"/>
        </w:rPr>
        <w:t>日基金资产净值的 </w:t>
      </w:r>
      <w:r>
        <w:rPr>
          <w:rFonts w:ascii="Times New Roman" w:eastAsia="Times New Roman"/>
        </w:rPr>
        <w:t>0.2%</w:t>
      </w:r>
      <w:r>
        <w:rPr/>
        <w:t>的年费率计提。托管费的计算方法如下：</w:t>
      </w:r>
    </w:p>
    <w:p>
      <w:pPr>
        <w:pStyle w:val="BodyText"/>
        <w:spacing w:before="2"/>
        <w:ind w:left="600" w:firstLine="0"/>
      </w:pPr>
      <w:r>
        <w:rPr>
          <w:rFonts w:ascii="Times New Roman" w:hAnsi="Times New Roman" w:eastAsia="Times New Roman"/>
        </w:rPr>
        <w:t>H</w:t>
      </w:r>
      <w:r>
        <w:rPr/>
        <w:t>＝</w:t>
      </w:r>
      <w:r>
        <w:rPr>
          <w:rFonts w:ascii="Times New Roman" w:hAnsi="Times New Roman" w:eastAsia="Times New Roman"/>
        </w:rPr>
        <w:t>E×0. 2%÷</w:t>
      </w:r>
      <w:r>
        <w:rPr/>
        <w:t>当年天数</w:t>
      </w:r>
    </w:p>
    <w:p>
      <w:pPr>
        <w:pStyle w:val="BodyText"/>
        <w:spacing w:before="160"/>
        <w:ind w:left="600" w:firstLine="0"/>
        <w:jc w:val="both"/>
      </w:pPr>
      <w:r>
        <w:rPr>
          <w:rFonts w:ascii="Times New Roman" w:eastAsia="Times New Roman"/>
        </w:rPr>
        <w:t>H </w:t>
      </w:r>
      <w:r>
        <w:rPr/>
        <w:t>为每日应计提的基金托管费</w:t>
      </w:r>
    </w:p>
    <w:p>
      <w:pPr>
        <w:pStyle w:val="BodyText"/>
        <w:ind w:left="600" w:firstLine="0"/>
        <w:jc w:val="both"/>
      </w:pPr>
      <w:r>
        <w:rPr>
          <w:rFonts w:ascii="Times New Roman" w:eastAsia="Times New Roman"/>
        </w:rPr>
        <w:t>E </w:t>
      </w:r>
      <w:r>
        <w:rPr/>
        <w:t>为前一日的基金资产净值</w:t>
      </w:r>
    </w:p>
    <w:p>
      <w:pPr>
        <w:pStyle w:val="BodyText"/>
        <w:spacing w:line="364" w:lineRule="auto" w:before="160"/>
        <w:ind w:right="376"/>
        <w:jc w:val="both"/>
      </w:pPr>
      <w:r>
        <w:rPr>
          <w:spacing w:val="-9"/>
        </w:rPr>
        <w:t>基金托管费每日计算，逐日累计至每月月末，按月支付。经基金管理人和基</w:t>
      </w:r>
      <w:r>
        <w:rPr>
          <w:spacing w:val="-13"/>
        </w:rPr>
        <w:t>金托管人核对一致后，基金托管人于次月前 </w:t>
      </w:r>
      <w:r>
        <w:rPr>
          <w:rFonts w:ascii="Times New Roman" w:eastAsia="Times New Roman"/>
        </w:rPr>
        <w:t>3 </w:t>
      </w:r>
      <w:r>
        <w:rPr>
          <w:spacing w:val="-2"/>
        </w:rPr>
        <w:t>个工作日内从基金财产中一次性支</w:t>
      </w:r>
      <w:r>
        <w:rPr/>
        <w:t>付托管费给基金托管人。</w:t>
      </w:r>
    </w:p>
    <w:p>
      <w:pPr>
        <w:pStyle w:val="BodyText"/>
        <w:spacing w:before="2"/>
        <w:ind w:left="600" w:firstLine="0"/>
      </w:pPr>
      <w:r>
        <w:rPr/>
        <w:t>（</w:t>
      </w:r>
      <w:r>
        <w:rPr>
          <w:rFonts w:ascii="Times New Roman" w:eastAsia="Times New Roman"/>
        </w:rPr>
        <w:t>4</w:t>
      </w:r>
      <w:r>
        <w:rPr/>
        <w:t>）销售服务费</w:t>
      </w:r>
    </w:p>
    <w:p>
      <w:pPr>
        <w:pStyle w:val="BodyText"/>
        <w:spacing w:line="364" w:lineRule="auto"/>
        <w:ind w:right="376"/>
        <w:jc w:val="both"/>
      </w:pPr>
      <w:r>
        <w:rPr>
          <w:spacing w:val="-7"/>
        </w:rPr>
        <w:t>销售服务费可用于本基金市场推广、销售以及基金份额持有人服务等各项费</w:t>
      </w:r>
      <w:r>
        <w:rPr>
          <w:spacing w:val="-9"/>
        </w:rPr>
        <w:t>用。本基金份额分为不同的类别，适用不同的销售服务费率。其中，</w:t>
      </w:r>
      <w:r>
        <w:rPr>
          <w:rFonts w:ascii="Times New Roman" w:eastAsia="Times New Roman"/>
          <w:spacing w:val="-11"/>
        </w:rPr>
        <w:t>A </w:t>
      </w:r>
      <w:r>
        <w:rPr>
          <w:spacing w:val="-4"/>
        </w:rPr>
        <w:t>类人民币</w:t>
      </w:r>
      <w:r>
        <w:rPr>
          <w:spacing w:val="-6"/>
        </w:rPr>
        <w:t>份额、</w:t>
      </w:r>
      <w:r>
        <w:rPr>
          <w:rFonts w:ascii="Times New Roman" w:eastAsia="Times New Roman"/>
        </w:rPr>
        <w:t>A </w:t>
      </w:r>
      <w:r>
        <w:rPr>
          <w:spacing w:val="-1"/>
        </w:rPr>
        <w:t>类美元份额均不收取销售服务费，</w:t>
      </w:r>
      <w:r>
        <w:rPr>
          <w:rFonts w:ascii="Times New Roman" w:eastAsia="Times New Roman"/>
          <w:spacing w:val="-8"/>
        </w:rPr>
        <w:t>C </w:t>
      </w:r>
      <w:r>
        <w:rPr>
          <w:spacing w:val="-3"/>
        </w:rPr>
        <w:t>类人民币份额、</w:t>
      </w:r>
      <w:r>
        <w:rPr>
          <w:rFonts w:ascii="Times New Roman" w:eastAsia="Times New Roman"/>
        </w:rPr>
        <w:t>C </w:t>
      </w:r>
      <w:r>
        <w:rPr>
          <w:spacing w:val="-3"/>
        </w:rPr>
        <w:t>类美元份额的销</w:t>
      </w:r>
      <w:r>
        <w:rPr>
          <w:spacing w:val="-7"/>
        </w:rPr>
        <w:t>售服务费年费率为 </w:t>
      </w:r>
      <w:r>
        <w:rPr>
          <w:rFonts w:ascii="Times New Roman" w:eastAsia="Times New Roman"/>
        </w:rPr>
        <w:t>0.1%</w:t>
      </w:r>
      <w:r>
        <w:rPr/>
        <w:t>。</w:t>
      </w:r>
    </w:p>
    <w:p>
      <w:pPr>
        <w:pStyle w:val="BodyText"/>
        <w:spacing w:before="3"/>
        <w:ind w:left="600" w:firstLine="0"/>
      </w:pPr>
      <w:r>
        <w:rPr/>
        <w:t>销售服务费计算方法如下：</w:t>
      </w:r>
    </w:p>
    <w:p>
      <w:pPr>
        <w:pStyle w:val="BodyText"/>
        <w:spacing w:before="160"/>
        <w:ind w:left="600" w:firstLine="0"/>
      </w:pP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0.1%</w:t>
      </w:r>
      <w:r>
        <w:rPr/>
        <w:t>÷当年天数</w:t>
      </w:r>
    </w:p>
    <w:p>
      <w:pPr>
        <w:spacing w:after="0"/>
        <w:sectPr>
          <w:pgSz w:w="11910" w:h="16840"/>
          <w:pgMar w:header="0" w:footer="914" w:top="1440" w:bottom="1180" w:left="1680" w:right="1420"/>
        </w:sectPr>
      </w:pPr>
    </w:p>
    <w:p>
      <w:pPr>
        <w:pStyle w:val="BodyText"/>
        <w:spacing w:before="61"/>
        <w:ind w:left="600" w:firstLine="0"/>
        <w:jc w:val="both"/>
      </w:pPr>
      <w:r>
        <w:rPr>
          <w:rFonts w:ascii="Times New Roman" w:eastAsia="Times New Roman"/>
        </w:rPr>
        <w:t>H </w:t>
      </w:r>
      <w:r>
        <w:rPr/>
        <w:t>为 </w:t>
      </w:r>
      <w:r>
        <w:rPr>
          <w:rFonts w:ascii="Times New Roman" w:eastAsia="Times New Roman"/>
        </w:rPr>
        <w:t>C </w:t>
      </w:r>
      <w:r>
        <w:rPr/>
        <w:t>类基金份额每日应计提的销售服务费</w:t>
      </w:r>
    </w:p>
    <w:p>
      <w:pPr>
        <w:pStyle w:val="BodyText"/>
        <w:spacing w:before="160"/>
        <w:ind w:left="600" w:firstLine="0"/>
        <w:jc w:val="both"/>
      </w:pPr>
      <w:r>
        <w:rPr>
          <w:rFonts w:ascii="Times New Roman" w:eastAsia="Times New Roman"/>
        </w:rPr>
        <w:t>E </w:t>
      </w:r>
      <w:r>
        <w:rPr/>
        <w:t>为本基金 </w:t>
      </w:r>
      <w:r>
        <w:rPr>
          <w:rFonts w:ascii="Times New Roman" w:eastAsia="Times New Roman"/>
        </w:rPr>
        <w:t>C </w:t>
      </w:r>
      <w:r>
        <w:rPr/>
        <w:t>类基金份额前一日基金资产净值</w:t>
      </w:r>
    </w:p>
    <w:p>
      <w:pPr>
        <w:pStyle w:val="BodyText"/>
        <w:spacing w:line="364" w:lineRule="auto"/>
        <w:ind w:right="376"/>
        <w:jc w:val="both"/>
      </w:pPr>
      <w:r>
        <w:rPr>
          <w:spacing w:val="-7"/>
        </w:rPr>
        <w:t>基金销售服务费每日计提，逐日累计至每月月末，按月支付。经基金管理人</w:t>
      </w:r>
      <w:r>
        <w:rPr>
          <w:spacing w:val="-9"/>
        </w:rPr>
        <w:t>与基金托管人核对一致后，基金托管人按照与基金管理人协商一致的方式于次月</w:t>
      </w:r>
      <w:r>
        <w:rPr>
          <w:spacing w:val="-31"/>
        </w:rPr>
        <w:t>前 </w:t>
      </w:r>
      <w:r>
        <w:rPr>
          <w:rFonts w:ascii="Times New Roman" w:eastAsia="Times New Roman"/>
        </w:rPr>
        <w:t>3 </w:t>
      </w:r>
      <w:r>
        <w:rPr>
          <w:spacing w:val="-5"/>
        </w:rPr>
        <w:t>个工作日内从基金财产中一次性支付至登记结算机构，由登记结算机构代付</w:t>
      </w:r>
      <w:r>
        <w:rPr/>
        <w:t>给销售机构。若遇法定节假日、公休假等，支付日期顺延。</w:t>
      </w:r>
    </w:p>
    <w:p>
      <w:pPr>
        <w:pStyle w:val="BodyText"/>
        <w:spacing w:line="364" w:lineRule="auto" w:before="2"/>
        <w:ind w:right="380"/>
        <w:jc w:val="both"/>
      </w:pPr>
      <w:r>
        <w:rPr>
          <w:spacing w:val="-4"/>
        </w:rPr>
        <w:t>上述“</w:t>
      </w:r>
      <w:r>
        <w:rPr>
          <w:rFonts w:ascii="Times New Roman" w:hAnsi="Times New Roman" w:eastAsia="Times New Roman"/>
        </w:rPr>
        <w:t>1</w:t>
      </w:r>
      <w:r>
        <w:rPr>
          <w:spacing w:val="-5"/>
        </w:rPr>
        <w:t>、基金费用的种类”中第（</w:t>
      </w:r>
      <w:r>
        <w:rPr>
          <w:rFonts w:ascii="Times New Roman" w:hAnsi="Times New Roman" w:eastAsia="Times New Roman"/>
          <w:spacing w:val="-5"/>
        </w:rPr>
        <w:t>4</w:t>
      </w:r>
      <w:r>
        <w:rPr>
          <w:spacing w:val="-5"/>
        </w:rPr>
        <w:t>）－（</w:t>
      </w:r>
      <w:r>
        <w:rPr>
          <w:rFonts w:ascii="Times New Roman" w:hAnsi="Times New Roman" w:eastAsia="Times New Roman"/>
          <w:spacing w:val="-5"/>
        </w:rPr>
        <w:t>13</w:t>
      </w:r>
      <w:r>
        <w:rPr>
          <w:spacing w:val="-5"/>
        </w:rPr>
        <w:t>）项费用，根据有关法规及相</w:t>
      </w:r>
      <w:r>
        <w:rPr>
          <w:spacing w:val="-10"/>
        </w:rPr>
        <w:t>应协议规定，按费用实际支出金额列入当期费用，由基金托管人从基金财产中支</w:t>
      </w:r>
      <w:r>
        <w:rPr/>
        <w:t>付。</w:t>
      </w:r>
    </w:p>
    <w:p>
      <w:pPr>
        <w:pStyle w:val="ListParagraph"/>
        <w:numPr>
          <w:ilvl w:val="0"/>
          <w:numId w:val="82"/>
        </w:numPr>
        <w:tabs>
          <w:tab w:pos="1202" w:val="left" w:leader="none"/>
        </w:tabs>
        <w:spacing w:line="364" w:lineRule="auto" w:before="3" w:after="0"/>
        <w:ind w:left="600" w:right="5203" w:firstLine="0"/>
        <w:jc w:val="left"/>
        <w:rPr>
          <w:sz w:val="24"/>
        </w:rPr>
      </w:pPr>
      <w:r>
        <w:rPr>
          <w:spacing w:val="-2"/>
          <w:sz w:val="24"/>
        </w:rPr>
        <w:t>不列入基金费用的项目</w:t>
      </w:r>
      <w:r>
        <w:rPr>
          <w:sz w:val="24"/>
        </w:rPr>
        <w:t>下列费用不列入基金费用：</w:t>
      </w:r>
    </w:p>
    <w:p>
      <w:pPr>
        <w:pStyle w:val="ListParagraph"/>
        <w:numPr>
          <w:ilvl w:val="0"/>
          <w:numId w:val="83"/>
        </w:numPr>
        <w:tabs>
          <w:tab w:pos="962" w:val="left" w:leader="none"/>
        </w:tabs>
        <w:spacing w:line="364" w:lineRule="auto" w:before="1" w:after="0"/>
        <w:ind w:left="120" w:right="384" w:firstLine="479"/>
        <w:jc w:val="left"/>
        <w:rPr>
          <w:sz w:val="24"/>
        </w:rPr>
      </w:pPr>
      <w:r>
        <w:rPr>
          <w:spacing w:val="-1"/>
          <w:sz w:val="24"/>
        </w:rPr>
        <w:t>基金管理人和基金托管人因未履行或未完全履行义务导致的费用支出或</w:t>
      </w:r>
      <w:r>
        <w:rPr>
          <w:sz w:val="24"/>
        </w:rPr>
        <w:t>基金财产的损失；</w:t>
      </w:r>
    </w:p>
    <w:p>
      <w:pPr>
        <w:pStyle w:val="ListParagraph"/>
        <w:numPr>
          <w:ilvl w:val="0"/>
          <w:numId w:val="83"/>
        </w:numPr>
        <w:tabs>
          <w:tab w:pos="962" w:val="left" w:leader="none"/>
        </w:tabs>
        <w:spacing w:line="240" w:lineRule="auto" w:before="1" w:after="0"/>
        <w:ind w:left="961" w:right="0" w:hanging="362"/>
        <w:jc w:val="left"/>
        <w:rPr>
          <w:sz w:val="24"/>
        </w:rPr>
      </w:pPr>
      <w:r>
        <w:rPr>
          <w:sz w:val="24"/>
        </w:rPr>
        <w:t>基金管理人和基金托管人处理与基金运作无关的事项发生的费用；</w:t>
      </w:r>
    </w:p>
    <w:p>
      <w:pPr>
        <w:pStyle w:val="ListParagraph"/>
        <w:numPr>
          <w:ilvl w:val="0"/>
          <w:numId w:val="83"/>
        </w:numPr>
        <w:tabs>
          <w:tab w:pos="962" w:val="left" w:leader="none"/>
        </w:tabs>
        <w:spacing w:line="364" w:lineRule="auto" w:before="161" w:after="0"/>
        <w:ind w:left="120" w:right="257" w:firstLine="479"/>
        <w:jc w:val="left"/>
        <w:rPr>
          <w:sz w:val="24"/>
        </w:rPr>
      </w:pPr>
      <w:r>
        <w:rPr>
          <w:spacing w:val="-13"/>
          <w:sz w:val="24"/>
        </w:rPr>
        <w:t>《基金合同》生效前的相关费用，包括但不限于验资费、会计师和律师费</w:t>
      </w:r>
      <w:r>
        <w:rPr>
          <w:spacing w:val="-4"/>
          <w:sz w:val="24"/>
        </w:rPr>
        <w:t>、信息披露费用等费用；</w:t>
      </w:r>
    </w:p>
    <w:p>
      <w:pPr>
        <w:pStyle w:val="ListParagraph"/>
        <w:numPr>
          <w:ilvl w:val="0"/>
          <w:numId w:val="83"/>
        </w:numPr>
        <w:tabs>
          <w:tab w:pos="962" w:val="left" w:leader="none"/>
        </w:tabs>
        <w:spacing w:line="364" w:lineRule="auto" w:before="1" w:after="0"/>
        <w:ind w:left="120" w:right="384" w:firstLine="479"/>
        <w:jc w:val="left"/>
        <w:rPr>
          <w:sz w:val="24"/>
        </w:rPr>
      </w:pPr>
      <w:r>
        <w:rPr>
          <w:spacing w:val="-1"/>
          <w:sz w:val="24"/>
        </w:rPr>
        <w:t>其他根据相关法律法规及中国证监会的有关规定不得列入基金费用的项</w:t>
      </w:r>
      <w:r>
        <w:rPr>
          <w:sz w:val="24"/>
        </w:rPr>
        <w:t>目。</w:t>
      </w:r>
    </w:p>
    <w:p>
      <w:pPr>
        <w:pStyle w:val="ListParagraph"/>
        <w:numPr>
          <w:ilvl w:val="0"/>
          <w:numId w:val="82"/>
        </w:numPr>
        <w:tabs>
          <w:tab w:pos="1202" w:val="left" w:leader="none"/>
        </w:tabs>
        <w:spacing w:line="240" w:lineRule="auto" w:before="1" w:after="0"/>
        <w:ind w:left="1201" w:right="0" w:hanging="602"/>
        <w:jc w:val="left"/>
        <w:rPr>
          <w:sz w:val="24"/>
        </w:rPr>
      </w:pPr>
      <w:r>
        <w:rPr>
          <w:sz w:val="24"/>
        </w:rPr>
        <w:t>费用调整</w:t>
      </w:r>
    </w:p>
    <w:p>
      <w:pPr>
        <w:pStyle w:val="BodyText"/>
        <w:spacing w:line="364" w:lineRule="auto"/>
        <w:ind w:right="377"/>
      </w:pPr>
      <w:r>
        <w:rPr>
          <w:spacing w:val="-7"/>
        </w:rPr>
        <w:t>基金管理人和基金托管人协商一致后，可根据基金发展情况调整基金管理费</w:t>
      </w:r>
      <w:r>
        <w:rPr/>
        <w:t>率、基金托管费率、销售服务费率等相关费率。</w:t>
      </w:r>
    </w:p>
    <w:p>
      <w:pPr>
        <w:pStyle w:val="BodyText"/>
        <w:spacing w:line="364" w:lineRule="auto" w:before="1"/>
        <w:ind w:right="376"/>
        <w:jc w:val="both"/>
      </w:pPr>
      <w:r>
        <w:rPr>
          <w:spacing w:val="-9"/>
        </w:rPr>
        <w:t>调高基金管理费率、基金托管费率、销售服务费率，须召开基金份额持有人</w:t>
      </w:r>
      <w:r>
        <w:rPr>
          <w:spacing w:val="-11"/>
        </w:rPr>
        <w:t>大会审议，除非基金合同、相关法律法规或监管机构另有规定；调低基金管理费</w:t>
      </w:r>
      <w:r>
        <w:rPr/>
        <w:t>率、基金托管费率、销售服务费率，无须召开基金份额持有人大会。</w:t>
      </w:r>
    </w:p>
    <w:p>
      <w:pPr>
        <w:pStyle w:val="BodyText"/>
        <w:spacing w:before="3"/>
        <w:ind w:left="600" w:firstLine="0"/>
      </w:pPr>
      <w:r>
        <w:rPr/>
        <w:t>基金管理人必须最迟于新的费率实施日前在指定媒介上公告。</w:t>
      </w:r>
    </w:p>
    <w:p>
      <w:pPr>
        <w:pStyle w:val="BodyText"/>
        <w:spacing w:before="0"/>
        <w:ind w:left="0" w:firstLine="0"/>
      </w:pPr>
    </w:p>
    <w:p>
      <w:pPr>
        <w:pStyle w:val="BodyText"/>
        <w:spacing w:before="0"/>
        <w:ind w:left="0" w:firstLine="0"/>
        <w:rPr>
          <w:sz w:val="25"/>
        </w:rPr>
      </w:pPr>
    </w:p>
    <w:p>
      <w:pPr>
        <w:spacing w:before="0"/>
        <w:ind w:left="602" w:right="0" w:firstLine="0"/>
        <w:jc w:val="left"/>
        <w:rPr>
          <w:b/>
          <w:sz w:val="24"/>
        </w:rPr>
      </w:pPr>
      <w:r>
        <w:rPr>
          <w:b/>
          <w:sz w:val="24"/>
        </w:rPr>
        <w:t>（五）基金财产的投资方向和投资限制</w:t>
      </w:r>
    </w:p>
    <w:p>
      <w:pPr>
        <w:spacing w:before="161"/>
        <w:ind w:left="540" w:right="0" w:firstLine="0"/>
        <w:jc w:val="left"/>
        <w:rPr>
          <w:b/>
          <w:sz w:val="24"/>
        </w:rPr>
      </w:pPr>
      <w:r>
        <w:rPr>
          <w:rFonts w:ascii="Times New Roman" w:eastAsia="Times New Roman"/>
          <w:b/>
          <w:sz w:val="24"/>
        </w:rPr>
        <w:t>1</w:t>
      </w:r>
      <w:r>
        <w:rPr>
          <w:b/>
          <w:sz w:val="24"/>
        </w:rPr>
        <w:t>、投资目标</w:t>
      </w:r>
    </w:p>
    <w:p>
      <w:pPr>
        <w:pStyle w:val="BodyText"/>
        <w:spacing w:before="160"/>
        <w:ind w:left="600" w:firstLine="0"/>
      </w:pPr>
      <w:r>
        <w:rPr/>
        <w:t>追求基金资产的长期稳定增值。</w:t>
      </w:r>
    </w:p>
    <w:p>
      <w:pPr>
        <w:spacing w:after="0"/>
        <w:sectPr>
          <w:pgSz w:w="11910" w:h="16840"/>
          <w:pgMar w:header="0" w:footer="914" w:top="1440" w:bottom="1180" w:left="1680" w:right="1420"/>
        </w:sectPr>
      </w:pPr>
    </w:p>
    <w:p>
      <w:pPr>
        <w:spacing w:before="61"/>
        <w:ind w:left="540" w:right="0" w:firstLine="0"/>
        <w:jc w:val="left"/>
        <w:rPr>
          <w:b/>
          <w:sz w:val="24"/>
        </w:rPr>
      </w:pPr>
      <w:r>
        <w:rPr>
          <w:rFonts w:ascii="Times New Roman" w:eastAsia="Times New Roman"/>
          <w:b/>
          <w:sz w:val="24"/>
        </w:rPr>
        <w:t>2</w:t>
      </w:r>
      <w:r>
        <w:rPr>
          <w:b/>
          <w:sz w:val="24"/>
        </w:rPr>
        <w:t>、投资范围及工具</w:t>
      </w:r>
    </w:p>
    <w:p>
      <w:pPr>
        <w:pStyle w:val="BodyText"/>
        <w:spacing w:line="364" w:lineRule="auto" w:before="160"/>
        <w:ind w:right="376"/>
        <w:jc w:val="both"/>
      </w:pPr>
      <w:r>
        <w:rPr>
          <w:spacing w:val="2"/>
        </w:rPr>
        <w:t>本基金投资范围包括全球市场内依法可投资的公募基金（</w:t>
      </w:r>
      <w:r>
        <w:rPr>
          <w:rFonts w:ascii="Times New Roman" w:eastAsia="Times New Roman"/>
          <w:spacing w:val="-1"/>
        </w:rPr>
        <w:t>ET</w:t>
      </w:r>
      <w:r>
        <w:rPr>
          <w:rFonts w:ascii="Times New Roman" w:eastAsia="Times New Roman"/>
          <w:spacing w:val="1"/>
        </w:rPr>
        <w:t>F</w:t>
      </w:r>
      <w:r>
        <w:rPr>
          <w:spacing w:val="-118"/>
        </w:rPr>
        <w:t>）</w:t>
      </w:r>
      <w:r>
        <w:rPr>
          <w:spacing w:val="1"/>
        </w:rPr>
        <w:t>、股票、固</w:t>
      </w:r>
      <w:r>
        <w:rPr>
          <w:spacing w:val="-12"/>
        </w:rPr>
        <w:t>定收益证券、货币市场工具、金融衍生产品及中国证监会允许本基金投资的其他</w:t>
      </w:r>
      <w:r>
        <w:rPr/>
        <w:t>金融工具。</w:t>
      </w:r>
    </w:p>
    <w:p>
      <w:pPr>
        <w:pStyle w:val="BodyText"/>
        <w:spacing w:line="364" w:lineRule="auto" w:before="2"/>
        <w:ind w:right="373"/>
        <w:jc w:val="right"/>
      </w:pPr>
      <w:r>
        <w:rPr>
          <w:spacing w:val="-9"/>
        </w:rPr>
        <w:t>本基金的投资组合比例为：投资于基金的资产合计不低于本基金基金资产净</w:t>
      </w:r>
      <w:r>
        <w:rPr>
          <w:spacing w:val="-4"/>
        </w:rPr>
        <w:t>值的 </w:t>
      </w:r>
      <w:r>
        <w:rPr>
          <w:rFonts w:ascii="Times New Roman" w:eastAsia="Times New Roman"/>
        </w:rPr>
        <w:t>60%</w:t>
      </w:r>
      <w:r>
        <w:rPr>
          <w:spacing w:val="-1"/>
        </w:rPr>
        <w:t>，投资于基金的资产中不低于 </w:t>
      </w:r>
      <w:r>
        <w:rPr>
          <w:rFonts w:ascii="Times New Roman" w:eastAsia="Times New Roman"/>
        </w:rPr>
        <w:t>80%</w:t>
      </w:r>
      <w:r>
        <w:rPr/>
        <w:t>投资于黄金基金；现金或者到期日</w:t>
      </w:r>
      <w:r>
        <w:rPr>
          <w:spacing w:val="-2"/>
        </w:rPr>
        <w:t>在一年以内的政府债券的投资比例合计不低于本基金基金资产净值的 </w:t>
      </w:r>
      <w:r>
        <w:rPr>
          <w:rFonts w:ascii="Times New Roman" w:eastAsia="Times New Roman"/>
        </w:rPr>
        <w:t>5%</w:t>
      </w:r>
      <w:r>
        <w:rPr>
          <w:spacing w:val="-5"/>
        </w:rPr>
        <w:t>，现金</w:t>
      </w:r>
      <w:r>
        <w:rPr>
          <w:spacing w:val="-8"/>
        </w:rPr>
        <w:t>不包括结算备付金、存出保证金、应收申购款等。黄金基金指黄金 </w:t>
      </w:r>
      <w:r>
        <w:rPr>
          <w:rFonts w:ascii="Times New Roman" w:eastAsia="Times New Roman"/>
          <w:spacing w:val="-7"/>
        </w:rPr>
        <w:t>ETF</w:t>
      </w:r>
      <w:r>
        <w:rPr>
          <w:spacing w:val="-7"/>
        </w:rPr>
        <w:t>（</w:t>
      </w:r>
      <w:r>
        <w:rPr>
          <w:spacing w:val="-5"/>
        </w:rPr>
        <w:t>即跟踪黄金价格或黄金价格指数的 </w:t>
      </w:r>
      <w:r>
        <w:rPr>
          <w:rFonts w:ascii="Times New Roman" w:eastAsia="Times New Roman"/>
          <w:spacing w:val="-14"/>
        </w:rPr>
        <w:t>ETF</w:t>
      </w:r>
      <w:r>
        <w:rPr>
          <w:spacing w:val="-14"/>
        </w:rPr>
        <w:t>）</w:t>
      </w:r>
      <w:r>
        <w:rPr>
          <w:spacing w:val="-8"/>
        </w:rPr>
        <w:t>及黄金股票基金</w:t>
      </w:r>
      <w:r>
        <w:rPr/>
        <w:t>（包括跟踪黄金股票指数的指</w:t>
      </w:r>
      <w:r>
        <w:rPr>
          <w:spacing w:val="-13"/>
        </w:rPr>
        <w:t>数基金和 </w:t>
      </w:r>
      <w:r>
        <w:rPr>
          <w:rFonts w:ascii="Times New Roman" w:eastAsia="Times New Roman"/>
        </w:rPr>
        <w:t>ETF</w:t>
      </w:r>
      <w:r>
        <w:rPr>
          <w:spacing w:val="-16"/>
        </w:rPr>
        <w:t>，以及 </w:t>
      </w:r>
      <w:r>
        <w:rPr>
          <w:rFonts w:ascii="Times New Roman" w:eastAsia="Times New Roman"/>
        </w:rPr>
        <w:t>80%</w:t>
      </w:r>
      <w:r>
        <w:rPr/>
        <w:t>以上基金资产投资于黄金采掘公司股票的主动基金</w:t>
      </w:r>
      <w:r>
        <w:rPr>
          <w:spacing w:val="-119"/>
        </w:rPr>
        <w:t>）</w:t>
      </w:r>
      <w:r>
        <w:rPr>
          <w:spacing w:val="-11"/>
        </w:rPr>
        <w:t>。</w:t>
      </w:r>
      <w:r>
        <w:rPr>
          <w:spacing w:val="-4"/>
        </w:rPr>
        <w:t>如法律法规或监管机构以后允许基金直接投资黄金实物、黄金凭证或与实物</w:t>
      </w:r>
    </w:p>
    <w:p>
      <w:pPr>
        <w:pStyle w:val="BodyText"/>
        <w:spacing w:line="364" w:lineRule="auto" w:before="5"/>
        <w:ind w:right="377" w:firstLine="0"/>
        <w:jc w:val="both"/>
      </w:pPr>
      <w:r>
        <w:rPr>
          <w:spacing w:val="-4"/>
        </w:rPr>
        <w:t>商品挂钩的衍生品等其他工具</w:t>
      </w:r>
      <w:r>
        <w:rPr/>
        <w:t>（</w:t>
      </w:r>
      <w:r>
        <w:rPr>
          <w:spacing w:val="-5"/>
        </w:rPr>
        <w:t>包括但不限于以后在国内上市、以跟踪黄金价格或黄金价格指数为目的的 </w:t>
      </w:r>
      <w:r>
        <w:rPr>
          <w:rFonts w:ascii="Times New Roman" w:eastAsia="Times New Roman"/>
          <w:spacing w:val="-1"/>
        </w:rPr>
        <w:t>ET</w:t>
      </w:r>
      <w:r>
        <w:rPr>
          <w:rFonts w:ascii="Times New Roman" w:eastAsia="Times New Roman"/>
          <w:spacing w:val="-2"/>
        </w:rPr>
        <w:t>F</w:t>
      </w:r>
      <w:r>
        <w:rPr>
          <w:spacing w:val="-12"/>
        </w:rPr>
        <w:t>，以及在国内外上市的黄金期货合约及黄金期权合</w:t>
      </w:r>
      <w:r>
        <w:rPr>
          <w:spacing w:val="-1"/>
        </w:rPr>
        <w:t>约</w:t>
      </w:r>
      <w:r>
        <w:rPr>
          <w:spacing w:val="-120"/>
        </w:rPr>
        <w:t>）</w:t>
      </w:r>
      <w:r>
        <w:rPr/>
        <w:t>，基金管理人可以将其纳入投资范围。</w:t>
      </w:r>
    </w:p>
    <w:p>
      <w:pPr>
        <w:pStyle w:val="BodyText"/>
        <w:spacing w:line="364" w:lineRule="auto" w:before="2"/>
        <w:ind w:right="377"/>
      </w:pPr>
      <w:r>
        <w:rPr>
          <w:spacing w:val="-5"/>
        </w:rPr>
        <w:t>如法律法规或监管机构以后允许本基金投资其他品种，基金管理人在履行适</w:t>
      </w:r>
      <w:r>
        <w:rPr/>
        <w:t>当程序后，可以将其纳入投资范围。</w:t>
      </w:r>
    </w:p>
    <w:p>
      <w:pPr>
        <w:spacing w:before="1"/>
        <w:ind w:left="540" w:right="0" w:firstLine="0"/>
        <w:jc w:val="left"/>
        <w:rPr>
          <w:b/>
          <w:sz w:val="24"/>
        </w:rPr>
      </w:pPr>
      <w:r>
        <w:rPr>
          <w:rFonts w:ascii="Times New Roman" w:eastAsia="Times New Roman"/>
          <w:b/>
          <w:sz w:val="24"/>
        </w:rPr>
        <w:t>3</w:t>
      </w:r>
      <w:r>
        <w:rPr>
          <w:b/>
          <w:sz w:val="24"/>
        </w:rPr>
        <w:t>、投资限制</w:t>
      </w:r>
    </w:p>
    <w:p>
      <w:pPr>
        <w:pStyle w:val="ListParagraph"/>
        <w:numPr>
          <w:ilvl w:val="0"/>
          <w:numId w:val="84"/>
        </w:numPr>
        <w:tabs>
          <w:tab w:pos="1202" w:val="left" w:leader="none"/>
        </w:tabs>
        <w:spacing w:line="240" w:lineRule="auto" w:before="161" w:after="0"/>
        <w:ind w:left="1201" w:right="0" w:hanging="602"/>
        <w:jc w:val="left"/>
        <w:rPr>
          <w:sz w:val="24"/>
        </w:rPr>
      </w:pPr>
      <w:r>
        <w:rPr>
          <w:sz w:val="24"/>
        </w:rPr>
        <w:t>禁止行为</w:t>
      </w:r>
    </w:p>
    <w:p>
      <w:pPr>
        <w:pStyle w:val="BodyText"/>
        <w:spacing w:before="160"/>
        <w:ind w:left="600" w:firstLine="0"/>
      </w:pPr>
      <w:r>
        <w:rPr/>
        <w:t>为维护基金份额持有人的合法权益，本基金禁止从事下列行为：</w:t>
      </w:r>
    </w:p>
    <w:p>
      <w:pPr>
        <w:pStyle w:val="ListParagraph"/>
        <w:numPr>
          <w:ilvl w:val="0"/>
          <w:numId w:val="85"/>
        </w:numPr>
        <w:tabs>
          <w:tab w:pos="962" w:val="left" w:leader="none"/>
        </w:tabs>
        <w:spacing w:line="240" w:lineRule="auto" w:before="161" w:after="0"/>
        <w:ind w:left="961" w:right="0" w:hanging="362"/>
        <w:jc w:val="left"/>
        <w:rPr>
          <w:sz w:val="24"/>
        </w:rPr>
      </w:pPr>
      <w:r>
        <w:rPr>
          <w:sz w:val="24"/>
        </w:rPr>
        <w:t>承销证券；</w:t>
      </w:r>
    </w:p>
    <w:p>
      <w:pPr>
        <w:pStyle w:val="ListParagraph"/>
        <w:numPr>
          <w:ilvl w:val="0"/>
          <w:numId w:val="85"/>
        </w:numPr>
        <w:tabs>
          <w:tab w:pos="962" w:val="left" w:leader="none"/>
        </w:tabs>
        <w:spacing w:line="240" w:lineRule="auto" w:before="160" w:after="0"/>
        <w:ind w:left="961" w:right="0" w:hanging="362"/>
        <w:jc w:val="left"/>
        <w:rPr>
          <w:sz w:val="24"/>
        </w:rPr>
      </w:pPr>
      <w:r>
        <w:rPr>
          <w:sz w:val="24"/>
        </w:rPr>
        <w:t>向他人贷款或提供担保；</w:t>
      </w:r>
    </w:p>
    <w:p>
      <w:pPr>
        <w:pStyle w:val="ListParagraph"/>
        <w:numPr>
          <w:ilvl w:val="0"/>
          <w:numId w:val="85"/>
        </w:numPr>
        <w:tabs>
          <w:tab w:pos="962" w:val="left" w:leader="none"/>
        </w:tabs>
        <w:spacing w:line="240" w:lineRule="auto" w:before="161" w:after="0"/>
        <w:ind w:left="961" w:right="0" w:hanging="362"/>
        <w:jc w:val="left"/>
        <w:rPr>
          <w:sz w:val="24"/>
        </w:rPr>
      </w:pPr>
      <w:r>
        <w:rPr>
          <w:sz w:val="24"/>
        </w:rPr>
        <w:t>从事承担无限责任的投资；</w:t>
      </w:r>
    </w:p>
    <w:p>
      <w:pPr>
        <w:pStyle w:val="ListParagraph"/>
        <w:numPr>
          <w:ilvl w:val="0"/>
          <w:numId w:val="85"/>
        </w:numPr>
        <w:tabs>
          <w:tab w:pos="962" w:val="left" w:leader="none"/>
        </w:tabs>
        <w:spacing w:line="240" w:lineRule="auto" w:before="160" w:after="0"/>
        <w:ind w:left="961" w:right="0" w:hanging="362"/>
        <w:jc w:val="left"/>
        <w:rPr>
          <w:sz w:val="24"/>
        </w:rPr>
      </w:pPr>
      <w:r>
        <w:rPr>
          <w:sz w:val="24"/>
        </w:rPr>
        <w:t>购买不动产；</w:t>
      </w:r>
    </w:p>
    <w:p>
      <w:pPr>
        <w:pStyle w:val="ListParagraph"/>
        <w:numPr>
          <w:ilvl w:val="0"/>
          <w:numId w:val="85"/>
        </w:numPr>
        <w:tabs>
          <w:tab w:pos="962" w:val="left" w:leader="none"/>
        </w:tabs>
        <w:spacing w:line="240" w:lineRule="auto" w:before="161" w:after="0"/>
        <w:ind w:left="961" w:right="0" w:hanging="362"/>
        <w:jc w:val="left"/>
        <w:rPr>
          <w:sz w:val="24"/>
        </w:rPr>
      </w:pPr>
      <w:r>
        <w:rPr>
          <w:sz w:val="24"/>
        </w:rPr>
        <w:t>购买房地产抵押按揭；</w:t>
      </w:r>
    </w:p>
    <w:p>
      <w:pPr>
        <w:pStyle w:val="ListParagraph"/>
        <w:numPr>
          <w:ilvl w:val="0"/>
          <w:numId w:val="85"/>
        </w:numPr>
        <w:tabs>
          <w:tab w:pos="962" w:val="left" w:leader="none"/>
        </w:tabs>
        <w:spacing w:line="240" w:lineRule="auto" w:before="161" w:after="0"/>
        <w:ind w:left="961" w:right="0" w:hanging="362"/>
        <w:jc w:val="left"/>
        <w:rPr>
          <w:sz w:val="24"/>
        </w:rPr>
      </w:pPr>
      <w:r>
        <w:rPr>
          <w:sz w:val="24"/>
        </w:rPr>
        <w:t>购买贵重金属或代表贵重金属的凭证；</w:t>
      </w:r>
    </w:p>
    <w:p>
      <w:pPr>
        <w:pStyle w:val="ListParagraph"/>
        <w:numPr>
          <w:ilvl w:val="0"/>
          <w:numId w:val="85"/>
        </w:numPr>
        <w:tabs>
          <w:tab w:pos="962" w:val="left" w:leader="none"/>
        </w:tabs>
        <w:spacing w:line="240" w:lineRule="auto" w:before="160" w:after="0"/>
        <w:ind w:left="961" w:right="0" w:hanging="362"/>
        <w:jc w:val="left"/>
        <w:rPr>
          <w:sz w:val="24"/>
        </w:rPr>
      </w:pPr>
      <w:r>
        <w:rPr>
          <w:sz w:val="24"/>
        </w:rPr>
        <w:t>购买实物商品；</w:t>
      </w:r>
    </w:p>
    <w:p>
      <w:pPr>
        <w:pStyle w:val="ListParagraph"/>
        <w:numPr>
          <w:ilvl w:val="0"/>
          <w:numId w:val="85"/>
        </w:numPr>
        <w:tabs>
          <w:tab w:pos="962" w:val="left" w:leader="none"/>
        </w:tabs>
        <w:spacing w:line="240" w:lineRule="auto" w:before="161" w:after="0"/>
        <w:ind w:left="961" w:right="0" w:hanging="362"/>
        <w:jc w:val="left"/>
        <w:rPr>
          <w:sz w:val="24"/>
        </w:rPr>
      </w:pPr>
      <w:r>
        <w:rPr>
          <w:sz w:val="24"/>
        </w:rPr>
        <w:t>除应付赎回、交易清算等临时用途以外，借入现金；</w:t>
      </w:r>
    </w:p>
    <w:p>
      <w:pPr>
        <w:pStyle w:val="ListParagraph"/>
        <w:numPr>
          <w:ilvl w:val="0"/>
          <w:numId w:val="85"/>
        </w:numPr>
        <w:tabs>
          <w:tab w:pos="962" w:val="left" w:leader="none"/>
        </w:tabs>
        <w:spacing w:line="240" w:lineRule="auto" w:before="161" w:after="0"/>
        <w:ind w:left="961" w:right="0" w:hanging="362"/>
        <w:jc w:val="left"/>
        <w:rPr>
          <w:sz w:val="24"/>
        </w:rPr>
      </w:pPr>
      <w:r>
        <w:rPr>
          <w:sz w:val="24"/>
        </w:rPr>
        <w:t>利用融资购买证券，但投资金融衍生品除外；</w:t>
      </w:r>
    </w:p>
    <w:p>
      <w:pPr>
        <w:pStyle w:val="ListParagraph"/>
        <w:numPr>
          <w:ilvl w:val="0"/>
          <w:numId w:val="85"/>
        </w:numPr>
        <w:tabs>
          <w:tab w:pos="1082" w:val="left" w:leader="none"/>
        </w:tabs>
        <w:spacing w:line="240" w:lineRule="auto" w:before="160" w:after="0"/>
        <w:ind w:left="1081" w:right="0" w:hanging="482"/>
        <w:jc w:val="left"/>
        <w:rPr>
          <w:sz w:val="24"/>
        </w:rPr>
      </w:pPr>
      <w:r>
        <w:rPr>
          <w:sz w:val="24"/>
        </w:rPr>
        <w:t>参与未持有基础资产的卖空交易；</w:t>
      </w:r>
    </w:p>
    <w:p>
      <w:pPr>
        <w:spacing w:after="0" w:line="240" w:lineRule="auto"/>
        <w:jc w:val="left"/>
        <w:rPr>
          <w:sz w:val="24"/>
        </w:rPr>
        <w:sectPr>
          <w:pgSz w:w="11910" w:h="16840"/>
          <w:pgMar w:header="0" w:footer="914" w:top="1440" w:bottom="1180" w:left="1680" w:right="1420"/>
        </w:sectPr>
      </w:pPr>
    </w:p>
    <w:p>
      <w:pPr>
        <w:pStyle w:val="ListParagraph"/>
        <w:numPr>
          <w:ilvl w:val="0"/>
          <w:numId w:val="85"/>
        </w:numPr>
        <w:tabs>
          <w:tab w:pos="1072" w:val="left" w:leader="none"/>
        </w:tabs>
        <w:spacing w:line="240" w:lineRule="auto" w:before="61" w:after="0"/>
        <w:ind w:left="1071" w:right="0" w:hanging="472"/>
        <w:jc w:val="left"/>
        <w:rPr>
          <w:sz w:val="24"/>
        </w:rPr>
      </w:pPr>
      <w:r>
        <w:rPr>
          <w:sz w:val="24"/>
        </w:rPr>
        <w:t>购买证券用于控制或影响发行该证券的机构或其管理层；</w:t>
      </w:r>
    </w:p>
    <w:p>
      <w:pPr>
        <w:pStyle w:val="ListParagraph"/>
        <w:numPr>
          <w:ilvl w:val="0"/>
          <w:numId w:val="85"/>
        </w:numPr>
        <w:tabs>
          <w:tab w:pos="1082" w:val="left" w:leader="none"/>
        </w:tabs>
        <w:spacing w:line="240" w:lineRule="auto" w:before="160" w:after="0"/>
        <w:ind w:left="1081" w:right="0" w:hanging="482"/>
        <w:jc w:val="left"/>
        <w:rPr>
          <w:sz w:val="24"/>
        </w:rPr>
      </w:pPr>
      <w:r>
        <w:rPr>
          <w:sz w:val="24"/>
        </w:rPr>
        <w:t>直接投资与实物商品相关的衍生品；</w:t>
      </w:r>
    </w:p>
    <w:p>
      <w:pPr>
        <w:pStyle w:val="ListParagraph"/>
        <w:numPr>
          <w:ilvl w:val="0"/>
          <w:numId w:val="85"/>
        </w:numPr>
        <w:tabs>
          <w:tab w:pos="1082" w:val="left" w:leader="none"/>
        </w:tabs>
        <w:spacing w:line="364" w:lineRule="auto" w:before="161" w:after="0"/>
        <w:ind w:left="120" w:right="377" w:firstLine="479"/>
        <w:jc w:val="left"/>
        <w:rPr>
          <w:sz w:val="24"/>
        </w:rPr>
      </w:pPr>
      <w:r>
        <w:rPr>
          <w:spacing w:val="-7"/>
          <w:sz w:val="24"/>
        </w:rPr>
        <w:t>向基金管理人、基金托管人出资或者买卖其基金管理人、基金托管人</w:t>
      </w:r>
      <w:r>
        <w:rPr>
          <w:spacing w:val="-4"/>
          <w:sz w:val="24"/>
        </w:rPr>
        <w:t>发行的股票或债券；</w:t>
      </w:r>
    </w:p>
    <w:p>
      <w:pPr>
        <w:pStyle w:val="ListParagraph"/>
        <w:numPr>
          <w:ilvl w:val="0"/>
          <w:numId w:val="85"/>
        </w:numPr>
        <w:tabs>
          <w:tab w:pos="1082" w:val="left" w:leader="none"/>
        </w:tabs>
        <w:spacing w:line="364" w:lineRule="auto" w:before="1" w:after="0"/>
        <w:ind w:left="120" w:right="285" w:firstLine="479"/>
        <w:jc w:val="left"/>
        <w:rPr>
          <w:sz w:val="24"/>
        </w:rPr>
      </w:pPr>
      <w:r>
        <w:rPr>
          <w:spacing w:val="-1"/>
          <w:sz w:val="24"/>
        </w:rPr>
        <w:t>买卖与基金管理人、基金托管人有控股关系的股东或者与基金管理人、</w:t>
      </w:r>
      <w:r>
        <w:rPr>
          <w:sz w:val="24"/>
        </w:rPr>
        <w:t>基金托管人有其他重大利害关系的公司发行的证券或者承销期内承销的证券；</w:t>
      </w:r>
    </w:p>
    <w:p>
      <w:pPr>
        <w:pStyle w:val="ListParagraph"/>
        <w:numPr>
          <w:ilvl w:val="0"/>
          <w:numId w:val="85"/>
        </w:numPr>
        <w:tabs>
          <w:tab w:pos="1082" w:val="left" w:leader="none"/>
        </w:tabs>
        <w:spacing w:line="240" w:lineRule="auto" w:before="1" w:after="0"/>
        <w:ind w:left="1081" w:right="0" w:hanging="482"/>
        <w:jc w:val="left"/>
        <w:rPr>
          <w:sz w:val="24"/>
        </w:rPr>
      </w:pPr>
      <w:r>
        <w:rPr>
          <w:sz w:val="24"/>
        </w:rPr>
        <w:t>从事内幕交易、操纵证券价格及其他不正当的证券交易活动；</w:t>
      </w:r>
    </w:p>
    <w:p>
      <w:pPr>
        <w:pStyle w:val="ListParagraph"/>
        <w:numPr>
          <w:ilvl w:val="0"/>
          <w:numId w:val="85"/>
        </w:numPr>
        <w:tabs>
          <w:tab w:pos="1082" w:val="left" w:leader="none"/>
        </w:tabs>
        <w:spacing w:line="364" w:lineRule="auto" w:before="161" w:after="0"/>
        <w:ind w:left="1111" w:right="4123" w:hanging="512"/>
        <w:jc w:val="left"/>
        <w:rPr>
          <w:sz w:val="24"/>
        </w:rPr>
      </w:pPr>
      <w:r>
        <w:rPr>
          <w:spacing w:val="-2"/>
          <w:sz w:val="24"/>
        </w:rPr>
        <w:t>基金中基金不得投资于以下基金： </w:t>
      </w:r>
      <w:r>
        <w:rPr>
          <w:rFonts w:ascii="Times New Roman" w:eastAsia="Times New Roman"/>
          <w:sz w:val="24"/>
        </w:rPr>
        <w:t>a</w:t>
      </w:r>
      <w:r>
        <w:rPr>
          <w:sz w:val="24"/>
        </w:rPr>
        <w:t>）其他基金中基金；        </w:t>
      </w:r>
      <w:r>
        <w:rPr>
          <w:rFonts w:ascii="Times New Roman" w:eastAsia="Times New Roman"/>
          <w:sz w:val="24"/>
        </w:rPr>
        <w:t>b</w:t>
      </w:r>
      <w:r>
        <w:rPr>
          <w:sz w:val="24"/>
        </w:rPr>
        <w:t>）联接基金；</w:t>
      </w:r>
    </w:p>
    <w:p>
      <w:pPr>
        <w:pStyle w:val="BodyText"/>
        <w:spacing w:before="2"/>
        <w:ind w:left="1111" w:firstLine="0"/>
      </w:pPr>
      <w:r>
        <w:rPr>
          <w:rFonts w:ascii="Times New Roman" w:eastAsia="Times New Roman"/>
        </w:rPr>
        <w:t>c</w:t>
      </w:r>
      <w:r>
        <w:rPr/>
        <w:t>）投资于前述两项基金的伞型基金子基金。</w:t>
      </w:r>
    </w:p>
    <w:p>
      <w:pPr>
        <w:pStyle w:val="ListParagraph"/>
        <w:numPr>
          <w:ilvl w:val="0"/>
          <w:numId w:val="85"/>
        </w:numPr>
        <w:tabs>
          <w:tab w:pos="1082" w:val="left" w:leader="none"/>
        </w:tabs>
        <w:spacing w:line="364" w:lineRule="auto" w:before="161" w:after="0"/>
        <w:ind w:left="120" w:right="381" w:firstLine="479"/>
        <w:jc w:val="left"/>
        <w:rPr>
          <w:sz w:val="24"/>
        </w:rPr>
      </w:pPr>
      <w:r>
        <w:rPr>
          <w:spacing w:val="-6"/>
          <w:sz w:val="24"/>
        </w:rPr>
        <w:t>当时有效的法律法规、中国证监会及《基金合同》规定禁止从事的其他行为。</w:t>
      </w:r>
    </w:p>
    <w:p>
      <w:pPr>
        <w:pStyle w:val="BodyText"/>
        <w:spacing w:line="364" w:lineRule="auto" w:before="1"/>
        <w:ind w:right="377"/>
      </w:pPr>
      <w:r>
        <w:rPr>
          <w:spacing w:val="-6"/>
        </w:rPr>
        <w:t>如法律法规或监管部门取消上述禁止性规定，本基金管理人可不受上述规定</w:t>
      </w:r>
      <w:r>
        <w:rPr/>
        <w:t>的限制。</w:t>
      </w:r>
    </w:p>
    <w:p>
      <w:pPr>
        <w:pStyle w:val="ListParagraph"/>
        <w:numPr>
          <w:ilvl w:val="0"/>
          <w:numId w:val="84"/>
        </w:numPr>
        <w:tabs>
          <w:tab w:pos="1202" w:val="left" w:leader="none"/>
        </w:tabs>
        <w:spacing w:line="240" w:lineRule="auto" w:before="1" w:after="0"/>
        <w:ind w:left="1201" w:right="0" w:hanging="602"/>
        <w:jc w:val="left"/>
        <w:rPr>
          <w:sz w:val="24"/>
        </w:rPr>
      </w:pPr>
      <w:r>
        <w:rPr>
          <w:sz w:val="24"/>
        </w:rPr>
        <w:t>投资组合限制</w:t>
      </w:r>
    </w:p>
    <w:p>
      <w:pPr>
        <w:pStyle w:val="BodyText"/>
        <w:ind w:left="600" w:firstLine="0"/>
      </w:pPr>
      <w:r>
        <w:rPr/>
        <w:t>本基金的投资组合将遵循以下限制：</w:t>
      </w:r>
    </w:p>
    <w:p>
      <w:pPr>
        <w:pStyle w:val="ListParagraph"/>
        <w:numPr>
          <w:ilvl w:val="0"/>
          <w:numId w:val="86"/>
        </w:numPr>
        <w:tabs>
          <w:tab w:pos="966" w:val="left" w:leader="none"/>
        </w:tabs>
        <w:spacing w:line="364" w:lineRule="auto" w:before="161" w:after="0"/>
        <w:ind w:left="120" w:right="378" w:firstLine="479"/>
        <w:jc w:val="left"/>
        <w:rPr>
          <w:rFonts w:ascii="Times New Roman" w:eastAsia="Times New Roman"/>
          <w:sz w:val="22"/>
        </w:rPr>
      </w:pPr>
      <w:r>
        <w:rPr>
          <w:sz w:val="24"/>
        </w:rPr>
        <w:t>基金持有同一家银行的存款不得超过基金净值的</w:t>
      </w:r>
      <w:r>
        <w:rPr>
          <w:rFonts w:ascii="Times New Roman" w:eastAsia="Times New Roman"/>
          <w:sz w:val="24"/>
        </w:rPr>
        <w:t>20%</w:t>
      </w:r>
      <w:r>
        <w:rPr>
          <w:sz w:val="24"/>
        </w:rPr>
        <w:t>。在基金托管账户的存款可以不受上述限制；</w:t>
      </w:r>
    </w:p>
    <w:p>
      <w:pPr>
        <w:pStyle w:val="ListParagraph"/>
        <w:numPr>
          <w:ilvl w:val="0"/>
          <w:numId w:val="86"/>
        </w:numPr>
        <w:tabs>
          <w:tab w:pos="962" w:val="left" w:leader="none"/>
        </w:tabs>
        <w:spacing w:line="364" w:lineRule="auto" w:before="1" w:after="0"/>
        <w:ind w:left="120" w:right="384" w:firstLine="479"/>
        <w:jc w:val="left"/>
        <w:rPr>
          <w:rFonts w:ascii="Times New Roman" w:eastAsia="Times New Roman"/>
          <w:sz w:val="22"/>
        </w:rPr>
      </w:pPr>
      <w:r>
        <w:rPr>
          <w:sz w:val="24"/>
        </w:rPr>
        <w:t>基金持有同一机构（政府、国际金融组织除外）</w:t>
      </w:r>
      <w:r>
        <w:rPr>
          <w:spacing w:val="-2"/>
          <w:sz w:val="24"/>
        </w:rPr>
        <w:t>发行的证券市值不得超</w:t>
      </w:r>
      <w:r>
        <w:rPr>
          <w:sz w:val="24"/>
        </w:rPr>
        <w:t>过基金净值的</w:t>
      </w:r>
      <w:r>
        <w:rPr>
          <w:rFonts w:ascii="Times New Roman" w:eastAsia="Times New Roman"/>
          <w:sz w:val="24"/>
        </w:rPr>
        <w:t>10%</w:t>
      </w:r>
      <w:r>
        <w:rPr>
          <w:sz w:val="24"/>
        </w:rPr>
        <w:t>；</w:t>
      </w:r>
    </w:p>
    <w:p>
      <w:pPr>
        <w:pStyle w:val="ListParagraph"/>
        <w:numPr>
          <w:ilvl w:val="0"/>
          <w:numId w:val="86"/>
        </w:numPr>
        <w:tabs>
          <w:tab w:pos="962" w:val="left" w:leader="none"/>
        </w:tabs>
        <w:spacing w:line="364" w:lineRule="auto" w:before="1" w:after="0"/>
        <w:ind w:left="120" w:right="367" w:firstLine="479"/>
        <w:jc w:val="both"/>
        <w:rPr>
          <w:rFonts w:ascii="Times New Roman" w:eastAsia="Times New Roman"/>
          <w:sz w:val="22"/>
        </w:rPr>
      </w:pPr>
      <w:r>
        <w:rPr>
          <w:sz w:val="24"/>
        </w:rPr>
        <w:t>基金持有与中国证监会签署双边监管合作谅解备忘录国家或地区以外的</w:t>
      </w:r>
      <w:r>
        <w:rPr>
          <w:spacing w:val="11"/>
          <w:sz w:val="24"/>
        </w:rPr>
        <w:t>其他国家或地区证券市场挂牌交易的证券资产市值不得超过基金资产净值的</w:t>
      </w:r>
      <w:r>
        <w:rPr>
          <w:rFonts w:ascii="Times New Roman" w:eastAsia="Times New Roman"/>
          <w:spacing w:val="2"/>
          <w:sz w:val="24"/>
        </w:rPr>
        <w:t>10%</w:t>
      </w:r>
      <w:r>
        <w:rPr>
          <w:spacing w:val="2"/>
          <w:sz w:val="24"/>
        </w:rPr>
        <w:t>，其中持有任一国家或地区市场的证券资产市值不得超过基金资产净值的</w:t>
      </w:r>
    </w:p>
    <w:p>
      <w:pPr>
        <w:pStyle w:val="BodyText"/>
        <w:spacing w:before="2"/>
        <w:ind w:firstLine="0"/>
      </w:pPr>
      <w:r>
        <w:rPr>
          <w:rFonts w:ascii="Times New Roman" w:eastAsia="Times New Roman"/>
        </w:rPr>
        <w:t>3%</w:t>
      </w:r>
      <w:r>
        <w:rPr/>
        <w:t>；</w:t>
      </w:r>
    </w:p>
    <w:p>
      <w:pPr>
        <w:pStyle w:val="ListParagraph"/>
        <w:numPr>
          <w:ilvl w:val="0"/>
          <w:numId w:val="86"/>
        </w:numPr>
        <w:tabs>
          <w:tab w:pos="966" w:val="left" w:leader="none"/>
        </w:tabs>
        <w:spacing w:line="364" w:lineRule="auto" w:before="161" w:after="0"/>
        <w:ind w:left="120" w:right="377" w:firstLine="479"/>
        <w:jc w:val="left"/>
        <w:rPr>
          <w:rFonts w:ascii="Times New Roman" w:eastAsia="Times New Roman"/>
          <w:sz w:val="22"/>
        </w:rPr>
      </w:pPr>
      <w:r>
        <w:rPr>
          <w:sz w:val="24"/>
        </w:rPr>
        <w:t>同一基金管理人管理的全部基金不得持有同一机构</w:t>
      </w:r>
      <w:r>
        <w:rPr>
          <w:rFonts w:ascii="Times New Roman" w:eastAsia="Times New Roman"/>
          <w:sz w:val="24"/>
        </w:rPr>
        <w:t>10%</w:t>
      </w:r>
      <w:r>
        <w:rPr>
          <w:sz w:val="24"/>
        </w:rPr>
        <w:t>以上具有投票权的证券发行总量；</w:t>
      </w:r>
    </w:p>
    <w:p>
      <w:pPr>
        <w:pStyle w:val="BodyText"/>
        <w:spacing w:line="364" w:lineRule="auto" w:before="1"/>
        <w:ind w:right="377"/>
      </w:pPr>
      <w:r>
        <w:rPr>
          <w:spacing w:val="-5"/>
        </w:rPr>
        <w:t>前项投资比例限制应当合并计算同一机构境内外上市的总股本，同时应当一并计算全球存托凭证和美国存托凭证所代表的基础证券，并假设对持有的股本权</w:t>
      </w:r>
    </w:p>
    <w:p>
      <w:pPr>
        <w:spacing w:after="0" w:line="364" w:lineRule="auto"/>
        <w:sectPr>
          <w:pgSz w:w="11910" w:h="16840"/>
          <w:pgMar w:header="0" w:footer="914" w:top="1440" w:bottom="1180" w:left="1680" w:right="1420"/>
        </w:sectPr>
      </w:pPr>
    </w:p>
    <w:p>
      <w:pPr>
        <w:pStyle w:val="BodyText"/>
        <w:spacing w:before="41"/>
        <w:ind w:firstLine="0"/>
      </w:pPr>
      <w:r>
        <w:rPr/>
        <w:t>证行使转换。</w:t>
      </w:r>
    </w:p>
    <w:p>
      <w:pPr>
        <w:pStyle w:val="ListParagraph"/>
        <w:numPr>
          <w:ilvl w:val="0"/>
          <w:numId w:val="86"/>
        </w:numPr>
        <w:tabs>
          <w:tab w:pos="962" w:val="left" w:leader="none"/>
        </w:tabs>
        <w:spacing w:line="240" w:lineRule="auto" w:before="160" w:after="0"/>
        <w:ind w:left="961" w:right="0" w:hanging="362"/>
        <w:jc w:val="left"/>
        <w:rPr>
          <w:rFonts w:ascii="Times New Roman" w:eastAsia="Times New Roman"/>
          <w:sz w:val="22"/>
        </w:rPr>
      </w:pPr>
      <w:r>
        <w:rPr>
          <w:sz w:val="24"/>
        </w:rPr>
        <w:t>基金持有非流动性资产市值不得超过基金资产净值的</w:t>
      </w:r>
      <w:r>
        <w:rPr>
          <w:rFonts w:ascii="Times New Roman" w:eastAsia="Times New Roman"/>
          <w:sz w:val="24"/>
        </w:rPr>
        <w:t>10%</w:t>
      </w:r>
      <w:r>
        <w:rPr>
          <w:sz w:val="24"/>
        </w:rPr>
        <w:t>；</w:t>
      </w:r>
    </w:p>
    <w:p>
      <w:pPr>
        <w:pStyle w:val="BodyText"/>
        <w:spacing w:line="364" w:lineRule="auto"/>
        <w:ind w:right="369"/>
      </w:pPr>
      <w:r>
        <w:rPr/>
        <w:t>前项非流动性资产是指法律或基金合同规定的流通受限证券以及中国证监会认定的其他资产。</w:t>
      </w:r>
    </w:p>
    <w:p>
      <w:pPr>
        <w:pStyle w:val="ListParagraph"/>
        <w:numPr>
          <w:ilvl w:val="0"/>
          <w:numId w:val="86"/>
        </w:numPr>
        <w:tabs>
          <w:tab w:pos="966" w:val="left" w:leader="none"/>
        </w:tabs>
        <w:spacing w:line="364" w:lineRule="auto" w:before="1" w:after="0"/>
        <w:ind w:left="120" w:right="376" w:firstLine="479"/>
        <w:jc w:val="left"/>
        <w:rPr>
          <w:rFonts w:ascii="Times New Roman" w:eastAsia="Times New Roman"/>
          <w:sz w:val="22"/>
        </w:rPr>
      </w:pPr>
      <w:r>
        <w:rPr>
          <w:sz w:val="24"/>
        </w:rPr>
        <w:t>每只境外基金投资比例不超过基金中基金资产净值的</w:t>
      </w:r>
      <w:r>
        <w:rPr>
          <w:rFonts w:ascii="Times New Roman" w:eastAsia="Times New Roman"/>
          <w:sz w:val="24"/>
        </w:rPr>
        <w:t>20%</w:t>
      </w:r>
      <w:r>
        <w:rPr>
          <w:sz w:val="24"/>
        </w:rPr>
        <w:t>。如投资境外伞型基金，该伞型基金应当视为一只基金；</w:t>
      </w:r>
    </w:p>
    <w:p>
      <w:pPr>
        <w:pStyle w:val="ListParagraph"/>
        <w:numPr>
          <w:ilvl w:val="0"/>
          <w:numId w:val="86"/>
        </w:numPr>
        <w:tabs>
          <w:tab w:pos="962" w:val="left" w:leader="none"/>
        </w:tabs>
        <w:spacing w:line="364" w:lineRule="auto" w:before="1" w:after="0"/>
        <w:ind w:left="120" w:right="384" w:firstLine="479"/>
        <w:jc w:val="left"/>
        <w:rPr>
          <w:rFonts w:ascii="Times New Roman" w:eastAsia="Times New Roman"/>
          <w:sz w:val="22"/>
        </w:rPr>
      </w:pPr>
      <w:r>
        <w:rPr>
          <w:spacing w:val="-1"/>
          <w:sz w:val="24"/>
        </w:rPr>
        <w:t>同一基金管理人管理的全部基金持有任何一只境外基金，不得超过该境</w:t>
      </w:r>
      <w:r>
        <w:rPr>
          <w:sz w:val="24"/>
        </w:rPr>
        <w:t>外基金总份额的</w:t>
      </w:r>
      <w:r>
        <w:rPr>
          <w:rFonts w:ascii="Times New Roman" w:eastAsia="Times New Roman"/>
          <w:sz w:val="24"/>
        </w:rPr>
        <w:t>20%</w:t>
      </w:r>
      <w:r>
        <w:rPr>
          <w:sz w:val="24"/>
        </w:rPr>
        <w:t>；</w:t>
      </w:r>
    </w:p>
    <w:p>
      <w:pPr>
        <w:pStyle w:val="ListParagraph"/>
        <w:numPr>
          <w:ilvl w:val="0"/>
          <w:numId w:val="86"/>
        </w:numPr>
        <w:tabs>
          <w:tab w:pos="962" w:val="left" w:leader="none"/>
        </w:tabs>
        <w:spacing w:line="364" w:lineRule="auto" w:before="2" w:after="0"/>
        <w:ind w:left="120" w:right="384" w:firstLine="479"/>
        <w:jc w:val="left"/>
        <w:rPr>
          <w:rFonts w:ascii="Times New Roman" w:eastAsia="Times New Roman"/>
          <w:sz w:val="22"/>
        </w:rPr>
      </w:pPr>
      <w:r>
        <w:rPr>
          <w:spacing w:val="-1"/>
          <w:sz w:val="24"/>
        </w:rPr>
        <w:t>为应付赎回、交易清算等临时用途借入现金的比例不得超过基金资产净</w:t>
      </w:r>
      <w:r>
        <w:rPr>
          <w:sz w:val="24"/>
        </w:rPr>
        <w:t>值的</w:t>
      </w:r>
      <w:r>
        <w:rPr>
          <w:rFonts w:ascii="Times New Roman" w:eastAsia="Times New Roman"/>
          <w:sz w:val="24"/>
        </w:rPr>
        <w:t>10%</w:t>
      </w:r>
      <w:r>
        <w:rPr>
          <w:sz w:val="24"/>
        </w:rPr>
        <w:t>。</w:t>
      </w:r>
    </w:p>
    <w:p>
      <w:pPr>
        <w:pStyle w:val="ListParagraph"/>
        <w:numPr>
          <w:ilvl w:val="0"/>
          <w:numId w:val="86"/>
        </w:numPr>
        <w:tabs>
          <w:tab w:pos="962" w:val="left" w:leader="none"/>
        </w:tabs>
        <w:spacing w:line="230" w:lineRule="exact" w:before="0" w:after="0"/>
        <w:ind w:left="961" w:right="0" w:hanging="362"/>
        <w:jc w:val="left"/>
        <w:rPr>
          <w:sz w:val="22"/>
        </w:rPr>
      </w:pPr>
      <w:r>
        <w:rPr>
          <w:sz w:val="24"/>
        </w:rPr>
        <w:t>本基金管理人管理的全部开放式基金持有一家上市公司发行的可流通股</w:t>
      </w:r>
    </w:p>
    <w:p>
      <w:pPr>
        <w:pStyle w:val="BodyText"/>
        <w:spacing w:line="364" w:lineRule="auto"/>
        <w:ind w:right="377" w:firstLine="0"/>
        <w:jc w:val="right"/>
      </w:pPr>
      <w:r>
        <w:rPr/>
        <w:t>票，不得超过该上市公司可流通股票的15%；本基金管理人管理的全部投资组合持有一家上市公司发行的可流通股票，不得超过该上市公司可流通股票的30%。 10）本基金主动投资于流动性受限资产的市值合计不得超过该基金资产净值</w:t>
      </w:r>
    </w:p>
    <w:p>
      <w:pPr>
        <w:pStyle w:val="BodyText"/>
        <w:spacing w:line="304" w:lineRule="exact" w:before="0"/>
        <w:ind w:firstLine="0"/>
      </w:pPr>
      <w:r>
        <w:rPr/>
        <w:t>的15%。</w:t>
      </w:r>
    </w:p>
    <w:p>
      <w:pPr>
        <w:pStyle w:val="BodyText"/>
        <w:spacing w:line="364" w:lineRule="auto" w:before="160"/>
        <w:ind w:right="377"/>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BodyText"/>
        <w:spacing w:line="364" w:lineRule="auto" w:before="0"/>
        <w:ind w:right="377"/>
        <w:jc w:val="both"/>
      </w:pPr>
      <w:r>
        <w:rPr>
          <w:spacing w:val="-32"/>
        </w:rPr>
        <w:t>11）</w:t>
      </w:r>
      <w:r>
        <w:rPr>
          <w:spacing w:val="-1"/>
        </w:rPr>
        <w:t>本基金与私募类证券资管产品及中国证监会认定的其他主体为交易对手</w:t>
      </w:r>
      <w:r>
        <w:rPr>
          <w:spacing w:val="-11"/>
        </w:rPr>
        <w:t>开展逆回购交易的，可接受质押品的资质要求应当与基金合同约定的投资范围保</w:t>
      </w:r>
      <w:r>
        <w:rPr/>
        <w:t>持一致。</w:t>
      </w:r>
    </w:p>
    <w:p>
      <w:pPr>
        <w:pStyle w:val="BodyText"/>
        <w:spacing w:line="364" w:lineRule="auto" w:before="76"/>
        <w:ind w:right="377"/>
        <w:jc w:val="both"/>
      </w:pPr>
      <w:r>
        <w:rPr/>
        <w:t>基金管理人应当在基金合同生效后</w:t>
      </w:r>
      <w:r>
        <w:rPr>
          <w:rFonts w:ascii="Times New Roman" w:hAnsi="Times New Roman" w:eastAsia="Times New Roman"/>
        </w:rPr>
        <w:t>6</w:t>
      </w:r>
      <w:r>
        <w:rPr/>
        <w:t>个月内使基金的投资组合比例符合基金合同的有关约定。在基金合同生效</w:t>
      </w:r>
      <w:r>
        <w:rPr>
          <w:rFonts w:ascii="Times New Roman" w:hAnsi="Times New Roman" w:eastAsia="Times New Roman"/>
        </w:rPr>
        <w:t>6</w:t>
      </w:r>
      <w:r>
        <w:rPr/>
        <w:t>个月后，若基金超过上述</w:t>
      </w:r>
      <w:r>
        <w:rPr>
          <w:rFonts w:ascii="Times New Roman" w:hAnsi="Times New Roman" w:eastAsia="Times New Roman"/>
        </w:rPr>
        <w:t>1</w:t>
      </w:r>
      <w:r>
        <w:rPr/>
        <w:t>）—</w:t>
      </w:r>
      <w:r>
        <w:rPr>
          <w:rFonts w:ascii="Times New Roman" w:hAnsi="Times New Roman" w:eastAsia="Times New Roman"/>
        </w:rPr>
        <w:t>8</w:t>
      </w:r>
      <w:r>
        <w:rPr/>
        <w:t>）项投资比</w:t>
      </w:r>
      <w:r>
        <w:rPr>
          <w:spacing w:val="-7"/>
        </w:rPr>
        <w:t>例限制，应当在超过比例后</w:t>
      </w:r>
      <w:r>
        <w:rPr>
          <w:rFonts w:ascii="Times New Roman" w:hAnsi="Times New Roman" w:eastAsia="Times New Roman"/>
        </w:rPr>
        <w:t>30</w:t>
      </w:r>
      <w:r>
        <w:rPr>
          <w:spacing w:val="-4"/>
        </w:rPr>
        <w:t>个工作日内采用合理的商业措施减仓，以符合投资</w:t>
      </w:r>
      <w:r>
        <w:rPr>
          <w:spacing w:val="-10"/>
        </w:rPr>
        <w:t>比例限制要求。因证券市场波动、证券发行人合并、基金规模变动等基金管理人</w:t>
      </w:r>
      <w:r>
        <w:rPr/>
        <w:t>之外的因素致使基金投资比例不符合上述第</w:t>
      </w:r>
      <w:r>
        <w:rPr>
          <w:rFonts w:ascii="Times New Roman" w:hAnsi="Times New Roman" w:eastAsia="Times New Roman"/>
        </w:rPr>
        <w:t>9</w:t>
      </w:r>
      <w:r>
        <w:rPr/>
        <w:t>）</w:t>
      </w:r>
      <w:r>
        <w:rPr>
          <w:spacing w:val="-1"/>
        </w:rPr>
        <w:t>项规定投资比例的，基金管理人</w:t>
      </w:r>
      <w:r>
        <w:rPr/>
        <w:t>应当在</w:t>
      </w:r>
      <w:r>
        <w:rPr>
          <w:rFonts w:ascii="Times New Roman" w:hAnsi="Times New Roman" w:eastAsia="Times New Roman"/>
        </w:rPr>
        <w:t>10</w:t>
      </w:r>
      <w:r>
        <w:rPr/>
        <w:t>个交易日内进行调整，但中国证监会规定的特殊情形除外。</w:t>
      </w:r>
    </w:p>
    <w:p>
      <w:pPr>
        <w:pStyle w:val="BodyText"/>
        <w:spacing w:line="364" w:lineRule="auto" w:before="4"/>
        <w:ind w:right="377"/>
        <w:jc w:val="both"/>
      </w:pPr>
      <w:r>
        <w:rPr>
          <w:spacing w:val="-4"/>
        </w:rPr>
        <w:t>如法律法规或中国有关监管部门取消上述限制，本基金不受上述限制。《基</w:t>
      </w:r>
      <w:r>
        <w:rPr>
          <w:spacing w:val="-10"/>
        </w:rPr>
        <w:t>金法》及其他有关法律法规或监管部门调整上述限制的，履行适当程序后，基金</w:t>
      </w:r>
      <w:r>
        <w:rPr/>
        <w:t>可依据届时有效的法律法规适时合理地调整上述限制。</w:t>
      </w:r>
    </w:p>
    <w:p>
      <w:pPr>
        <w:spacing w:after="0" w:line="364" w:lineRule="auto"/>
        <w:jc w:val="both"/>
        <w:sectPr>
          <w:pgSz w:w="11910" w:h="16840"/>
          <w:pgMar w:header="0" w:footer="914" w:top="1460" w:bottom="1180" w:left="1680" w:right="1420"/>
        </w:sectPr>
      </w:pPr>
    </w:p>
    <w:p>
      <w:pPr>
        <w:pStyle w:val="ListParagraph"/>
        <w:numPr>
          <w:ilvl w:val="0"/>
          <w:numId w:val="84"/>
        </w:numPr>
        <w:tabs>
          <w:tab w:pos="1202" w:val="left" w:leader="none"/>
        </w:tabs>
        <w:spacing w:line="240" w:lineRule="auto" w:before="61" w:after="0"/>
        <w:ind w:left="1201" w:right="0" w:hanging="602"/>
        <w:jc w:val="left"/>
        <w:rPr>
          <w:sz w:val="24"/>
        </w:rPr>
      </w:pPr>
      <w:r>
        <w:rPr>
          <w:sz w:val="24"/>
        </w:rPr>
        <w:t>金融衍生品投资</w:t>
      </w:r>
    </w:p>
    <w:p>
      <w:pPr>
        <w:pStyle w:val="BodyText"/>
        <w:spacing w:line="364" w:lineRule="auto" w:before="160"/>
        <w:ind w:right="377"/>
      </w:pPr>
      <w:r>
        <w:rPr>
          <w:spacing w:val="-5"/>
        </w:rPr>
        <w:t>本基金投资衍生品应当仅限于投资组合避险或有效管理，不得用于投机或放</w:t>
      </w:r>
      <w:r>
        <w:rPr/>
        <w:t>大交易，同时应当严格遵守下列规定：</w:t>
      </w:r>
    </w:p>
    <w:p>
      <w:pPr>
        <w:pStyle w:val="ListParagraph"/>
        <w:numPr>
          <w:ilvl w:val="0"/>
          <w:numId w:val="87"/>
        </w:numPr>
        <w:tabs>
          <w:tab w:pos="961" w:val="left" w:leader="none"/>
        </w:tabs>
        <w:spacing w:line="364" w:lineRule="auto" w:before="2" w:after="0"/>
        <w:ind w:left="900" w:right="378" w:hanging="360"/>
        <w:jc w:val="left"/>
        <w:rPr>
          <w:sz w:val="24"/>
        </w:rPr>
      </w:pPr>
      <w:r>
        <w:rPr>
          <w:sz w:val="24"/>
        </w:rPr>
        <w:t>本基金所持有的黄金基金和与黄金基金挂钩的衍生品合约价值合计（</w:t>
      </w:r>
      <w:r>
        <w:rPr>
          <w:spacing w:val="-16"/>
          <w:sz w:val="24"/>
        </w:rPr>
        <w:t>轧</w:t>
      </w:r>
      <w:r>
        <w:rPr>
          <w:sz w:val="24"/>
        </w:rPr>
        <w:t>差计算）应符合本合同中关于黄金基金投资比例的有关约定。</w:t>
      </w:r>
    </w:p>
    <w:p>
      <w:pPr>
        <w:pStyle w:val="ListParagraph"/>
        <w:numPr>
          <w:ilvl w:val="0"/>
          <w:numId w:val="87"/>
        </w:numPr>
        <w:tabs>
          <w:tab w:pos="961" w:val="left" w:leader="none"/>
        </w:tabs>
        <w:spacing w:line="240" w:lineRule="auto" w:before="1" w:after="0"/>
        <w:ind w:left="960" w:right="0" w:hanging="421"/>
        <w:jc w:val="left"/>
        <w:rPr>
          <w:sz w:val="24"/>
        </w:rPr>
      </w:pPr>
      <w:r>
        <w:rPr>
          <w:spacing w:val="-3"/>
          <w:sz w:val="24"/>
        </w:rPr>
        <w:t>本基金的金融衍生品全部敞口不得高于基金资产净值的 </w:t>
      </w:r>
      <w:r>
        <w:rPr>
          <w:rFonts w:ascii="Times New Roman" w:eastAsia="Times New Roman"/>
          <w:sz w:val="24"/>
        </w:rPr>
        <w:t>100%</w:t>
      </w:r>
      <w:r>
        <w:rPr>
          <w:sz w:val="24"/>
        </w:rPr>
        <w:t>。</w:t>
      </w:r>
    </w:p>
    <w:p>
      <w:pPr>
        <w:pStyle w:val="ListParagraph"/>
        <w:numPr>
          <w:ilvl w:val="0"/>
          <w:numId w:val="87"/>
        </w:numPr>
        <w:tabs>
          <w:tab w:pos="961" w:val="left" w:leader="none"/>
        </w:tabs>
        <w:spacing w:line="364" w:lineRule="auto" w:before="160" w:after="0"/>
        <w:ind w:left="900" w:right="378" w:hanging="360"/>
        <w:jc w:val="both"/>
        <w:rPr>
          <w:sz w:val="24"/>
        </w:rPr>
      </w:pPr>
      <w:r>
        <w:rPr>
          <w:spacing w:val="-1"/>
          <w:sz w:val="24"/>
        </w:rPr>
        <w:t>本基金投资期货支付的初始保证金、投资期权支付或收取的期权费、投</w:t>
      </w:r>
      <w:r>
        <w:rPr>
          <w:spacing w:val="17"/>
          <w:sz w:val="24"/>
        </w:rPr>
        <w:t>资柜台交易衍生品支付的初始费用的总额不得高于基金资产净值的</w:t>
      </w:r>
      <w:r>
        <w:rPr>
          <w:rFonts w:ascii="Times New Roman" w:eastAsia="Times New Roman"/>
          <w:spacing w:val="17"/>
          <w:sz w:val="24"/>
        </w:rPr>
        <w:t>10%</w:t>
      </w:r>
      <w:r>
        <w:rPr>
          <w:spacing w:val="17"/>
          <w:sz w:val="24"/>
        </w:rPr>
        <w:t>。</w:t>
      </w:r>
    </w:p>
    <w:p>
      <w:pPr>
        <w:pStyle w:val="ListParagraph"/>
        <w:numPr>
          <w:ilvl w:val="0"/>
          <w:numId w:val="87"/>
        </w:numPr>
        <w:tabs>
          <w:tab w:pos="937" w:val="left" w:leader="none"/>
        </w:tabs>
        <w:spacing w:line="364" w:lineRule="auto" w:before="3" w:after="0"/>
        <w:ind w:left="936" w:right="382" w:hanging="396"/>
        <w:jc w:val="both"/>
        <w:rPr>
          <w:sz w:val="24"/>
        </w:rPr>
      </w:pPr>
      <w:r>
        <w:rPr>
          <w:spacing w:val="-1"/>
          <w:sz w:val="24"/>
        </w:rPr>
        <w:t>本基金投资于远期合约、互换等柜台交易金融衍生品，应当符合以下要</w:t>
      </w:r>
      <w:r>
        <w:rPr>
          <w:sz w:val="24"/>
        </w:rPr>
        <w:t>求：</w:t>
      </w:r>
    </w:p>
    <w:p>
      <w:pPr>
        <w:pStyle w:val="ListParagraph"/>
        <w:numPr>
          <w:ilvl w:val="1"/>
          <w:numId w:val="87"/>
        </w:numPr>
        <w:tabs>
          <w:tab w:pos="1317" w:val="left" w:leader="none"/>
        </w:tabs>
        <w:spacing w:line="364" w:lineRule="auto" w:before="1" w:after="0"/>
        <w:ind w:left="1330" w:right="374" w:hanging="360"/>
        <w:jc w:val="left"/>
        <w:rPr>
          <w:sz w:val="24"/>
        </w:rPr>
      </w:pPr>
      <w:r>
        <w:rPr>
          <w:spacing w:val="-4"/>
          <w:sz w:val="24"/>
        </w:rPr>
        <w:t>所有参与交易的对手方</w:t>
      </w:r>
      <w:r>
        <w:rPr>
          <w:sz w:val="24"/>
        </w:rPr>
        <w:t>（中资商业银行除外</w:t>
      </w:r>
      <w:r>
        <w:rPr>
          <w:spacing w:val="-32"/>
          <w:sz w:val="24"/>
        </w:rPr>
        <w:t>）</w:t>
      </w:r>
      <w:r>
        <w:rPr>
          <w:sz w:val="24"/>
        </w:rPr>
        <w:t>应当具有不低于中国</w:t>
      </w:r>
      <w:r>
        <w:rPr>
          <w:spacing w:val="-4"/>
          <w:sz w:val="24"/>
        </w:rPr>
        <w:t>证监会认可的信用评级机构评级；</w:t>
      </w:r>
    </w:p>
    <w:p>
      <w:pPr>
        <w:pStyle w:val="ListParagraph"/>
        <w:numPr>
          <w:ilvl w:val="1"/>
          <w:numId w:val="87"/>
        </w:numPr>
        <w:tabs>
          <w:tab w:pos="1331" w:val="left" w:leader="none"/>
        </w:tabs>
        <w:spacing w:line="364" w:lineRule="auto" w:before="1" w:after="0"/>
        <w:ind w:left="1330" w:right="381" w:hanging="360"/>
        <w:jc w:val="left"/>
        <w:rPr>
          <w:sz w:val="24"/>
        </w:rPr>
      </w:pPr>
      <w:r>
        <w:rPr>
          <w:spacing w:val="-3"/>
          <w:sz w:val="24"/>
        </w:rPr>
        <w:t>交易对手方应当至少每个工作日对交易进行估值，并且基金可在任</w:t>
      </w:r>
      <w:r>
        <w:rPr>
          <w:spacing w:val="-5"/>
          <w:sz w:val="24"/>
        </w:rPr>
        <w:t>何时候以公允价值终止交易；</w:t>
      </w:r>
    </w:p>
    <w:p>
      <w:pPr>
        <w:pStyle w:val="ListParagraph"/>
        <w:numPr>
          <w:ilvl w:val="1"/>
          <w:numId w:val="87"/>
        </w:numPr>
        <w:tabs>
          <w:tab w:pos="1317" w:val="left" w:leader="none"/>
        </w:tabs>
        <w:spacing w:line="364" w:lineRule="auto" w:before="1" w:after="0"/>
        <w:ind w:left="540" w:right="380" w:firstLine="429"/>
        <w:jc w:val="left"/>
        <w:rPr>
          <w:sz w:val="24"/>
        </w:rPr>
      </w:pPr>
      <w:r>
        <w:rPr>
          <w:spacing w:val="-2"/>
          <w:sz w:val="24"/>
        </w:rPr>
        <w:t>任一交易对手方的市值计价敞口不得超过基金资产净值的 </w:t>
      </w:r>
      <w:r>
        <w:rPr>
          <w:rFonts w:ascii="Times New Roman" w:eastAsia="Times New Roman"/>
          <w:sz w:val="24"/>
        </w:rPr>
        <w:t>20%</w:t>
      </w:r>
      <w:r>
        <w:rPr>
          <w:sz w:val="24"/>
        </w:rPr>
        <w:t>。</w:t>
      </w:r>
      <w:r>
        <w:rPr>
          <w:rFonts w:ascii="Times New Roman" w:eastAsia="Times New Roman"/>
          <w:sz w:val="24"/>
        </w:rPr>
        <w:t>5</w:t>
      </w:r>
      <w:r>
        <w:rPr>
          <w:sz w:val="24"/>
        </w:rPr>
        <w:t>）</w:t>
      </w:r>
      <w:r>
        <w:rPr>
          <w:spacing w:val="-80"/>
          <w:sz w:val="24"/>
        </w:rPr>
        <w:t> </w:t>
      </w:r>
      <w:r>
        <w:rPr>
          <w:spacing w:val="1"/>
          <w:sz w:val="24"/>
        </w:rPr>
        <w:t>基金管理人应当在本基金会计年度结束后 </w:t>
      </w:r>
      <w:r>
        <w:rPr>
          <w:rFonts w:ascii="Times New Roman" w:eastAsia="Times New Roman"/>
          <w:sz w:val="24"/>
        </w:rPr>
        <w:t>60</w:t>
      </w:r>
      <w:r>
        <w:rPr>
          <w:rFonts w:ascii="Times New Roman" w:eastAsia="Times New Roman"/>
          <w:spacing w:val="15"/>
          <w:sz w:val="24"/>
        </w:rPr>
        <w:t> </w:t>
      </w:r>
      <w:r>
        <w:rPr>
          <w:spacing w:val="-2"/>
          <w:sz w:val="24"/>
        </w:rPr>
        <w:t>个工作日内向中国证监会</w:t>
      </w:r>
    </w:p>
    <w:p>
      <w:pPr>
        <w:pStyle w:val="BodyText"/>
        <w:spacing w:before="2"/>
        <w:ind w:left="936" w:firstLine="0"/>
      </w:pPr>
      <w:r>
        <w:rPr/>
        <w:t>提交包括衍生品头寸及风险分析年度报告。</w:t>
      </w:r>
    </w:p>
    <w:p>
      <w:pPr>
        <w:pStyle w:val="ListParagraph"/>
        <w:numPr>
          <w:ilvl w:val="0"/>
          <w:numId w:val="84"/>
        </w:numPr>
        <w:tabs>
          <w:tab w:pos="1202" w:val="left" w:leader="none"/>
        </w:tabs>
        <w:spacing w:line="240" w:lineRule="auto" w:before="160" w:after="0"/>
        <w:ind w:left="1201" w:right="0" w:hanging="602"/>
        <w:jc w:val="left"/>
        <w:rPr>
          <w:sz w:val="24"/>
        </w:rPr>
      </w:pPr>
      <w:r>
        <w:rPr>
          <w:sz w:val="24"/>
        </w:rPr>
        <w:t>本基金可以参与证券借贷交易，并且应当遵守下列规定：</w:t>
      </w:r>
    </w:p>
    <w:p>
      <w:pPr>
        <w:pStyle w:val="ListParagraph"/>
        <w:numPr>
          <w:ilvl w:val="0"/>
          <w:numId w:val="88"/>
        </w:numPr>
        <w:tabs>
          <w:tab w:pos="937" w:val="left" w:leader="none"/>
        </w:tabs>
        <w:spacing w:line="364" w:lineRule="auto" w:before="161" w:after="0"/>
        <w:ind w:left="936" w:right="382" w:hanging="396"/>
        <w:jc w:val="both"/>
        <w:rPr>
          <w:sz w:val="24"/>
        </w:rPr>
      </w:pPr>
      <w:r>
        <w:rPr>
          <w:sz w:val="24"/>
        </w:rPr>
        <w:t>所有参与正回购交易的对手方（中资商业银行除外）</w:t>
      </w:r>
      <w:r>
        <w:rPr>
          <w:spacing w:val="-2"/>
          <w:sz w:val="24"/>
        </w:rPr>
        <w:t>应当具有中国证监</w:t>
      </w:r>
      <w:r>
        <w:rPr>
          <w:sz w:val="24"/>
        </w:rPr>
        <w:t>会认可的信用评级机构信用评级。</w:t>
      </w:r>
    </w:p>
    <w:p>
      <w:pPr>
        <w:pStyle w:val="ListParagraph"/>
        <w:numPr>
          <w:ilvl w:val="0"/>
          <w:numId w:val="88"/>
        </w:numPr>
        <w:tabs>
          <w:tab w:pos="937" w:val="left" w:leader="none"/>
        </w:tabs>
        <w:spacing w:line="364" w:lineRule="auto" w:before="1" w:after="0"/>
        <w:ind w:left="936" w:right="377" w:hanging="396"/>
        <w:jc w:val="both"/>
        <w:rPr>
          <w:sz w:val="24"/>
        </w:rPr>
      </w:pPr>
      <w:r>
        <w:rPr>
          <w:spacing w:val="-1"/>
          <w:sz w:val="24"/>
        </w:rPr>
        <w:t>应当采取市值计价制度进行调整以确保担保物市值不低于已借出证券市</w:t>
      </w:r>
      <w:r>
        <w:rPr>
          <w:spacing w:val="-20"/>
          <w:sz w:val="24"/>
        </w:rPr>
        <w:t>值的 </w:t>
      </w:r>
      <w:r>
        <w:rPr>
          <w:rFonts w:ascii="Times New Roman" w:eastAsia="Times New Roman"/>
          <w:sz w:val="24"/>
        </w:rPr>
        <w:t>102%</w:t>
      </w:r>
      <w:r>
        <w:rPr>
          <w:sz w:val="24"/>
        </w:rPr>
        <w:t>。</w:t>
      </w:r>
    </w:p>
    <w:p>
      <w:pPr>
        <w:pStyle w:val="ListParagraph"/>
        <w:numPr>
          <w:ilvl w:val="0"/>
          <w:numId w:val="88"/>
        </w:numPr>
        <w:tabs>
          <w:tab w:pos="937" w:val="left" w:leader="none"/>
        </w:tabs>
        <w:spacing w:line="364" w:lineRule="auto" w:before="1" w:after="0"/>
        <w:ind w:left="936" w:right="382" w:hanging="396"/>
        <w:jc w:val="both"/>
        <w:rPr>
          <w:sz w:val="24"/>
        </w:rPr>
      </w:pPr>
      <w:r>
        <w:rPr>
          <w:spacing w:val="-1"/>
          <w:sz w:val="24"/>
        </w:rPr>
        <w:t>借方应当在交易期内及时向本基金支付已借出证券产生的所有股息、利息和分红。一旦借方违约，本基金根据协议和有关法律有权保留和处置</w:t>
      </w:r>
      <w:r>
        <w:rPr>
          <w:sz w:val="24"/>
        </w:rPr>
        <w:t>担保物以满足索赔需要。</w:t>
      </w:r>
    </w:p>
    <w:p>
      <w:pPr>
        <w:pStyle w:val="ListParagraph"/>
        <w:numPr>
          <w:ilvl w:val="0"/>
          <w:numId w:val="88"/>
        </w:numPr>
        <w:tabs>
          <w:tab w:pos="937" w:val="left" w:leader="none"/>
        </w:tabs>
        <w:spacing w:line="240" w:lineRule="auto" w:before="3" w:after="0"/>
        <w:ind w:left="936" w:right="0" w:hanging="397"/>
        <w:jc w:val="both"/>
        <w:rPr>
          <w:sz w:val="24"/>
        </w:rPr>
      </w:pPr>
      <w:r>
        <w:rPr>
          <w:sz w:val="24"/>
        </w:rPr>
        <w:t>除中国证监会另有规定外，担保物可以是以下金融工具或品种：</w:t>
      </w:r>
    </w:p>
    <w:p>
      <w:pPr>
        <w:pStyle w:val="ListParagraph"/>
        <w:numPr>
          <w:ilvl w:val="1"/>
          <w:numId w:val="88"/>
        </w:numPr>
        <w:tabs>
          <w:tab w:pos="1436" w:val="left" w:leader="none"/>
        </w:tabs>
        <w:spacing w:line="240" w:lineRule="auto" w:before="160" w:after="0"/>
        <w:ind w:left="1435" w:right="0" w:hanging="466"/>
        <w:jc w:val="left"/>
        <w:rPr>
          <w:sz w:val="24"/>
        </w:rPr>
      </w:pPr>
      <w:r>
        <w:rPr>
          <w:sz w:val="24"/>
        </w:rPr>
        <w:t>现金；</w:t>
      </w:r>
    </w:p>
    <w:p>
      <w:pPr>
        <w:pStyle w:val="ListParagraph"/>
        <w:numPr>
          <w:ilvl w:val="1"/>
          <w:numId w:val="88"/>
        </w:numPr>
        <w:tabs>
          <w:tab w:pos="1450" w:val="left" w:leader="none"/>
        </w:tabs>
        <w:spacing w:line="240" w:lineRule="auto" w:before="161" w:after="0"/>
        <w:ind w:left="1450" w:right="0" w:hanging="480"/>
        <w:jc w:val="left"/>
        <w:rPr>
          <w:sz w:val="24"/>
        </w:rPr>
      </w:pPr>
      <w:r>
        <w:rPr>
          <w:sz w:val="24"/>
        </w:rPr>
        <w:t>存款证明；</w:t>
      </w:r>
    </w:p>
    <w:p>
      <w:pPr>
        <w:spacing w:after="0" w:line="240" w:lineRule="auto"/>
        <w:jc w:val="left"/>
        <w:rPr>
          <w:sz w:val="24"/>
        </w:rPr>
        <w:sectPr>
          <w:pgSz w:w="11910" w:h="16840"/>
          <w:pgMar w:header="0" w:footer="914" w:top="1440" w:bottom="1180" w:left="1680" w:right="1420"/>
        </w:sectPr>
      </w:pPr>
    </w:p>
    <w:p>
      <w:pPr>
        <w:pStyle w:val="ListParagraph"/>
        <w:numPr>
          <w:ilvl w:val="1"/>
          <w:numId w:val="88"/>
        </w:numPr>
        <w:tabs>
          <w:tab w:pos="1436" w:val="left" w:leader="none"/>
        </w:tabs>
        <w:spacing w:line="240" w:lineRule="auto" w:before="61" w:after="0"/>
        <w:ind w:left="1435" w:right="0" w:hanging="466"/>
        <w:jc w:val="both"/>
        <w:rPr>
          <w:sz w:val="24"/>
        </w:rPr>
      </w:pPr>
      <w:r>
        <w:rPr>
          <w:sz w:val="24"/>
        </w:rPr>
        <w:t>商业票据；</w:t>
      </w:r>
    </w:p>
    <w:p>
      <w:pPr>
        <w:pStyle w:val="ListParagraph"/>
        <w:numPr>
          <w:ilvl w:val="1"/>
          <w:numId w:val="88"/>
        </w:numPr>
        <w:tabs>
          <w:tab w:pos="1450" w:val="left" w:leader="none"/>
        </w:tabs>
        <w:spacing w:line="240" w:lineRule="auto" w:before="160" w:after="0"/>
        <w:ind w:left="1450" w:right="0" w:hanging="480"/>
        <w:jc w:val="both"/>
        <w:rPr>
          <w:sz w:val="24"/>
        </w:rPr>
      </w:pPr>
      <w:r>
        <w:rPr>
          <w:sz w:val="24"/>
        </w:rPr>
        <w:t>政府债券；</w:t>
      </w:r>
    </w:p>
    <w:p>
      <w:pPr>
        <w:pStyle w:val="ListParagraph"/>
        <w:numPr>
          <w:ilvl w:val="1"/>
          <w:numId w:val="88"/>
        </w:numPr>
        <w:tabs>
          <w:tab w:pos="1438" w:val="left" w:leader="none"/>
        </w:tabs>
        <w:spacing w:line="364" w:lineRule="auto" w:before="161" w:after="0"/>
        <w:ind w:left="540" w:right="345" w:firstLine="429"/>
        <w:jc w:val="both"/>
        <w:rPr>
          <w:sz w:val="24"/>
        </w:rPr>
      </w:pPr>
      <w:r>
        <w:rPr>
          <w:sz w:val="24"/>
        </w:rPr>
        <w:t>中资商业银行或由不低于中国证监会认可的信用评级机构评级的境外金融机构（作为交易对手方或其关联方的除外）</w:t>
      </w:r>
      <w:r>
        <w:rPr>
          <w:spacing w:val="-2"/>
          <w:sz w:val="24"/>
        </w:rPr>
        <w:t>出具的不可撤销信用证。</w:t>
      </w:r>
      <w:r>
        <w:rPr>
          <w:rFonts w:ascii="Times New Roman" w:eastAsia="Times New Roman"/>
          <w:sz w:val="24"/>
        </w:rPr>
        <w:t>5</w:t>
      </w:r>
      <w:r>
        <w:rPr>
          <w:sz w:val="24"/>
        </w:rPr>
        <w:t>）</w:t>
      </w:r>
      <w:r>
        <w:rPr>
          <w:spacing w:val="-9"/>
          <w:sz w:val="24"/>
        </w:rPr>
        <w:t> 本基金有权在任何时候终止证券借贷交易并在正常市场惯例的合理期限</w:t>
      </w:r>
    </w:p>
    <w:p>
      <w:pPr>
        <w:pStyle w:val="BodyText"/>
        <w:spacing w:before="2"/>
        <w:ind w:left="936" w:firstLine="0"/>
      </w:pPr>
      <w:r>
        <w:rPr/>
        <w:t>内要求归还任一或所有已借出的证券。</w:t>
      </w:r>
    </w:p>
    <w:p>
      <w:pPr>
        <w:pStyle w:val="BodyText"/>
        <w:spacing w:line="364" w:lineRule="auto" w:before="160"/>
        <w:ind w:left="936" w:right="325" w:hanging="396"/>
      </w:pPr>
      <w:r>
        <w:rPr>
          <w:rFonts w:ascii="Times New Roman" w:eastAsia="Times New Roman"/>
        </w:rPr>
        <w:t>6</w:t>
      </w:r>
      <w:r>
        <w:rPr/>
        <w:t>） 基金管理人应当对基金参与证券借贷交易中发生的任何损失负相应责任。</w:t>
      </w:r>
    </w:p>
    <w:p>
      <w:pPr>
        <w:pStyle w:val="BodyText"/>
        <w:spacing w:line="364" w:lineRule="auto" w:before="2"/>
        <w:ind w:left="540" w:right="382" w:firstLine="396"/>
      </w:pPr>
      <w:r>
        <w:rPr/>
        <w:t>上述比例限制计算，基金因参与证券借贷交易而持有的担保物不得计入基金总资产。</w:t>
      </w:r>
    </w:p>
    <w:p>
      <w:pPr>
        <w:pStyle w:val="ListParagraph"/>
        <w:numPr>
          <w:ilvl w:val="0"/>
          <w:numId w:val="84"/>
        </w:numPr>
        <w:tabs>
          <w:tab w:pos="1202" w:val="left" w:leader="none"/>
        </w:tabs>
        <w:spacing w:line="364" w:lineRule="auto" w:before="1" w:after="0"/>
        <w:ind w:left="120" w:right="384" w:firstLine="479"/>
        <w:jc w:val="left"/>
        <w:rPr>
          <w:sz w:val="24"/>
        </w:rPr>
      </w:pPr>
      <w:r>
        <w:rPr>
          <w:spacing w:val="-1"/>
          <w:sz w:val="24"/>
        </w:rPr>
        <w:t>基金可以根据正常市场惯例参与正回购交易、逆回购交易，并且应当</w:t>
      </w:r>
      <w:r>
        <w:rPr>
          <w:sz w:val="24"/>
        </w:rPr>
        <w:t>遵守下列规定：</w:t>
      </w:r>
    </w:p>
    <w:p>
      <w:pPr>
        <w:pStyle w:val="ListParagraph"/>
        <w:numPr>
          <w:ilvl w:val="0"/>
          <w:numId w:val="89"/>
        </w:numPr>
        <w:tabs>
          <w:tab w:pos="937" w:val="left" w:leader="none"/>
        </w:tabs>
        <w:spacing w:line="364" w:lineRule="auto" w:before="1" w:after="0"/>
        <w:ind w:left="936" w:right="382" w:hanging="396"/>
        <w:jc w:val="both"/>
        <w:rPr>
          <w:sz w:val="24"/>
        </w:rPr>
      </w:pPr>
      <w:r>
        <w:rPr>
          <w:sz w:val="24"/>
        </w:rPr>
        <w:t>所有参与正回购交易的对手方（中资商业银行除外）</w:t>
      </w:r>
      <w:r>
        <w:rPr>
          <w:spacing w:val="-2"/>
          <w:sz w:val="24"/>
        </w:rPr>
        <w:t>应当具有中国证监</w:t>
      </w:r>
      <w:r>
        <w:rPr>
          <w:sz w:val="24"/>
        </w:rPr>
        <w:t>会认可的信用评级机构信用评级。</w:t>
      </w:r>
    </w:p>
    <w:p>
      <w:pPr>
        <w:pStyle w:val="ListParagraph"/>
        <w:numPr>
          <w:ilvl w:val="0"/>
          <w:numId w:val="89"/>
        </w:numPr>
        <w:tabs>
          <w:tab w:pos="937" w:val="left" w:leader="none"/>
        </w:tabs>
        <w:spacing w:line="364" w:lineRule="auto" w:before="2" w:after="0"/>
        <w:ind w:left="936" w:right="379" w:hanging="396"/>
        <w:jc w:val="both"/>
        <w:rPr>
          <w:sz w:val="24"/>
        </w:rPr>
      </w:pPr>
      <w:r>
        <w:rPr>
          <w:spacing w:val="-1"/>
          <w:sz w:val="24"/>
        </w:rPr>
        <w:t>参与正回购交易，应当采取市值计价制度对卖出收益进行调整以确保现</w:t>
      </w:r>
      <w:r>
        <w:rPr>
          <w:spacing w:val="-5"/>
          <w:sz w:val="24"/>
        </w:rPr>
        <w:t>金不低于已售出证券市值的 </w:t>
      </w:r>
      <w:r>
        <w:rPr>
          <w:rFonts w:ascii="Times New Roman" w:eastAsia="Times New Roman"/>
          <w:sz w:val="24"/>
        </w:rPr>
        <w:t>102%</w:t>
      </w:r>
      <w:r>
        <w:rPr>
          <w:spacing w:val="-11"/>
          <w:sz w:val="24"/>
        </w:rPr>
        <w:t>。一旦买方违约，本基金根据协议和有</w:t>
      </w:r>
      <w:r>
        <w:rPr>
          <w:sz w:val="24"/>
        </w:rPr>
        <w:t>关法律有权保留或处置卖出收益以满足索赔需要。</w:t>
      </w:r>
    </w:p>
    <w:p>
      <w:pPr>
        <w:pStyle w:val="ListParagraph"/>
        <w:numPr>
          <w:ilvl w:val="0"/>
          <w:numId w:val="89"/>
        </w:numPr>
        <w:tabs>
          <w:tab w:pos="937" w:val="left" w:leader="none"/>
        </w:tabs>
        <w:spacing w:line="364" w:lineRule="auto" w:before="2" w:after="0"/>
        <w:ind w:left="936" w:right="380" w:hanging="396"/>
        <w:jc w:val="both"/>
        <w:rPr>
          <w:sz w:val="24"/>
        </w:rPr>
      </w:pPr>
      <w:r>
        <w:rPr>
          <w:spacing w:val="8"/>
          <w:sz w:val="24"/>
        </w:rPr>
        <w:t>买方应当在正回购交易期内及时向本基金支付售出证券产生的所有股息、利息和分红。</w:t>
      </w:r>
    </w:p>
    <w:p>
      <w:pPr>
        <w:pStyle w:val="ListParagraph"/>
        <w:numPr>
          <w:ilvl w:val="0"/>
          <w:numId w:val="89"/>
        </w:numPr>
        <w:tabs>
          <w:tab w:pos="937" w:val="left" w:leader="none"/>
        </w:tabs>
        <w:spacing w:line="364" w:lineRule="auto" w:before="1" w:after="0"/>
        <w:ind w:left="936" w:right="380" w:hanging="396"/>
        <w:jc w:val="both"/>
        <w:rPr>
          <w:sz w:val="24"/>
        </w:rPr>
      </w:pPr>
      <w:r>
        <w:rPr>
          <w:spacing w:val="-1"/>
          <w:sz w:val="24"/>
        </w:rPr>
        <w:t>参与逆回购交易，应当对购入证券采取市值计价制度进行调整以确保已</w:t>
      </w:r>
      <w:r>
        <w:rPr>
          <w:spacing w:val="-5"/>
          <w:sz w:val="24"/>
        </w:rPr>
        <w:t>购入证券市值不低于支付现金的 </w:t>
      </w:r>
      <w:r>
        <w:rPr>
          <w:rFonts w:ascii="Times New Roman" w:eastAsia="Times New Roman"/>
          <w:sz w:val="24"/>
        </w:rPr>
        <w:t>102%</w:t>
      </w:r>
      <w:r>
        <w:rPr>
          <w:spacing w:val="-11"/>
          <w:sz w:val="24"/>
        </w:rPr>
        <w:t>。一旦卖方违约，本基金根据协议</w:t>
      </w:r>
      <w:r>
        <w:rPr>
          <w:sz w:val="24"/>
        </w:rPr>
        <w:t>和有关法律有权保留或处置已购入证券以满足索赔需要。</w:t>
      </w:r>
    </w:p>
    <w:p>
      <w:pPr>
        <w:pStyle w:val="ListParagraph"/>
        <w:numPr>
          <w:ilvl w:val="0"/>
          <w:numId w:val="89"/>
        </w:numPr>
        <w:tabs>
          <w:tab w:pos="937" w:val="left" w:leader="none"/>
        </w:tabs>
        <w:spacing w:line="364" w:lineRule="auto" w:before="2" w:after="0"/>
        <w:ind w:left="936" w:right="382" w:hanging="396"/>
        <w:jc w:val="both"/>
        <w:rPr>
          <w:sz w:val="24"/>
        </w:rPr>
      </w:pPr>
      <w:r>
        <w:rPr>
          <w:spacing w:val="-1"/>
          <w:sz w:val="24"/>
        </w:rPr>
        <w:t>基金管理人应当对基金参与证券正回购交易、逆回购交易中发生的任何</w:t>
      </w:r>
      <w:r>
        <w:rPr>
          <w:sz w:val="24"/>
        </w:rPr>
        <w:t>损失负相应责任。</w:t>
      </w:r>
    </w:p>
    <w:p>
      <w:pPr>
        <w:pStyle w:val="ListParagraph"/>
        <w:numPr>
          <w:ilvl w:val="0"/>
          <w:numId w:val="84"/>
        </w:numPr>
        <w:tabs>
          <w:tab w:pos="1202" w:val="left" w:leader="none"/>
        </w:tabs>
        <w:spacing w:line="364" w:lineRule="auto" w:before="2" w:after="0"/>
        <w:ind w:left="120" w:right="382" w:firstLine="479"/>
        <w:jc w:val="left"/>
        <w:rPr>
          <w:sz w:val="24"/>
        </w:rPr>
      </w:pPr>
      <w:r>
        <w:rPr>
          <w:spacing w:val="-1"/>
          <w:sz w:val="24"/>
        </w:rPr>
        <w:t>基金参与证券借贷交易、正回购交易，所有已借出而未归还证券总市</w:t>
      </w:r>
      <w:r>
        <w:rPr>
          <w:spacing w:val="-3"/>
          <w:sz w:val="24"/>
        </w:rPr>
        <w:t>值或售出而未回购证券总市值均不得超过基金总资产的 </w:t>
      </w:r>
      <w:r>
        <w:rPr>
          <w:rFonts w:ascii="Times New Roman" w:eastAsia="Times New Roman"/>
          <w:sz w:val="24"/>
        </w:rPr>
        <w:t>50%</w:t>
      </w:r>
      <w:r>
        <w:rPr>
          <w:sz w:val="24"/>
        </w:rPr>
        <w:t>。</w:t>
      </w:r>
    </w:p>
    <w:p>
      <w:pPr>
        <w:pStyle w:val="BodyText"/>
        <w:spacing w:line="364" w:lineRule="auto" w:before="1"/>
        <w:ind w:right="259"/>
      </w:pPr>
      <w:r>
        <w:rPr>
          <w:spacing w:val="-17"/>
        </w:rPr>
        <w:t>前项比例限制计算，基金因参与证券借贷交易、正回购交易而持有的担保物、</w:t>
      </w:r>
      <w:r>
        <w:rPr/>
        <w:t>现金不得计入基金总资产。</w:t>
      </w:r>
    </w:p>
    <w:p>
      <w:pPr>
        <w:spacing w:after="0" w:line="364" w:lineRule="auto"/>
        <w:sectPr>
          <w:pgSz w:w="11910" w:h="16840"/>
          <w:pgMar w:header="0" w:footer="914" w:top="1440" w:bottom="1180" w:left="1680" w:right="1420"/>
        </w:sectPr>
      </w:pPr>
    </w:p>
    <w:p>
      <w:pPr>
        <w:spacing w:before="41"/>
        <w:ind w:left="602" w:right="0" w:firstLine="0"/>
        <w:jc w:val="left"/>
        <w:rPr>
          <w:b/>
          <w:sz w:val="24"/>
        </w:rPr>
      </w:pPr>
      <w:r>
        <w:rPr>
          <w:b/>
          <w:sz w:val="24"/>
        </w:rPr>
        <w:t>（六）基金资产净值的计算方法和公告方式</w:t>
      </w:r>
    </w:p>
    <w:p>
      <w:pPr>
        <w:pStyle w:val="BodyText"/>
        <w:spacing w:before="160"/>
        <w:ind w:left="600" w:firstLine="0"/>
      </w:pPr>
      <w:r>
        <w:rPr/>
        <w:t>基金资产净值是指基金资产总值减去基金负债后的价值。</w:t>
      </w:r>
    </w:p>
    <w:p>
      <w:pPr>
        <w:pStyle w:val="BodyText"/>
        <w:spacing w:line="364" w:lineRule="auto"/>
        <w:ind w:right="374"/>
        <w:jc w:val="both"/>
      </w:pPr>
      <w:r>
        <w:rPr>
          <w:spacing w:val="-11"/>
        </w:rPr>
        <w:t>《基金合同》生效后，在开始办理基金份额申购或者赎回前，基金管理人应</w:t>
      </w:r>
      <w:r>
        <w:rPr/>
        <w:t>当至少每周在指定网站披露一次人民币基金份额的基金份额净值和基金份额累</w:t>
      </w:r>
      <w:r>
        <w:rPr>
          <w:spacing w:val="-12"/>
        </w:rPr>
        <w:t>计净值，至少每周通过基金管理人网站披露一次美元现汇基金份额的基金份额净</w:t>
      </w:r>
      <w:r>
        <w:rPr/>
        <w:t>值和基金份额累计净值。</w:t>
      </w:r>
    </w:p>
    <w:p>
      <w:pPr>
        <w:pStyle w:val="BodyText"/>
        <w:spacing w:line="364" w:lineRule="auto" w:before="2"/>
        <w:ind w:right="376"/>
        <w:jc w:val="both"/>
      </w:pPr>
      <w:r>
        <w:rPr>
          <w:spacing w:val="-7"/>
        </w:rPr>
        <w:t>在开始办理基金份额申购或者赎回后，基金管理人应当在不晚于每个开放日</w:t>
      </w:r>
      <w:r>
        <w:rPr>
          <w:spacing w:val="-8"/>
        </w:rPr>
        <w:t>后的第二个工作日，通过指定网站、基金销售机构网站或者营业网点，披露开放</w:t>
      </w:r>
      <w:r>
        <w:rPr>
          <w:spacing w:val="-5"/>
        </w:rPr>
        <w:t>日人民币基金份额的基金份额净值和基金份额累计净值，通过基金管理人网站披</w:t>
      </w:r>
      <w:r>
        <w:rPr/>
        <w:t>露开放日美元现汇基金份额的基金份额净值和基金份额累计净值。</w:t>
      </w:r>
    </w:p>
    <w:p>
      <w:pPr>
        <w:pStyle w:val="BodyText"/>
        <w:spacing w:line="364" w:lineRule="auto" w:before="3"/>
        <w:ind w:right="374"/>
        <w:jc w:val="both"/>
      </w:pPr>
      <w:r>
        <w:rPr>
          <w:spacing w:val="-5"/>
        </w:rPr>
        <w:t>基金管理人应当在不晚于半年度和年度最后一日后的第二个工作日，在指定</w:t>
      </w:r>
      <w:r>
        <w:rPr/>
        <w:t>网站披露半年度和年度最后一日人民币基金份额的基金份额净值和基金份额累</w:t>
      </w:r>
      <w:r>
        <w:rPr>
          <w:spacing w:val="-12"/>
        </w:rPr>
        <w:t>计净值，在基金管理人网站披露半年度和年度最后一日美元现汇基金份额的基金</w:t>
      </w:r>
      <w:r>
        <w:rPr/>
        <w:t>份额净值和基金份额累计净值。</w:t>
      </w:r>
    </w:p>
    <w:p>
      <w:pPr>
        <w:pStyle w:val="BodyText"/>
        <w:spacing w:before="0"/>
        <w:ind w:left="0" w:firstLine="0"/>
      </w:pPr>
    </w:p>
    <w:p>
      <w:pPr>
        <w:spacing w:before="163"/>
        <w:ind w:left="602" w:right="0" w:firstLine="0"/>
        <w:jc w:val="left"/>
        <w:rPr>
          <w:b/>
          <w:sz w:val="24"/>
        </w:rPr>
      </w:pPr>
      <w:r>
        <w:rPr>
          <w:b/>
          <w:sz w:val="24"/>
        </w:rPr>
        <w:t>（七）基金合同解除和终止的事由、程序以及基金财产的清算方式</w:t>
      </w:r>
    </w:p>
    <w:p>
      <w:pPr>
        <w:spacing w:before="161"/>
        <w:ind w:left="602" w:right="0" w:firstLine="0"/>
        <w:jc w:val="left"/>
        <w:rPr>
          <w:b/>
          <w:sz w:val="24"/>
        </w:rPr>
      </w:pPr>
      <w:r>
        <w:rPr>
          <w:rFonts w:ascii="Times New Roman" w:eastAsia="Times New Roman"/>
          <w:b/>
          <w:sz w:val="24"/>
        </w:rPr>
        <w:t>1</w:t>
      </w:r>
      <w:r>
        <w:rPr>
          <w:b/>
          <w:sz w:val="24"/>
        </w:rPr>
        <w:t>、《基金合同》的变更</w:t>
      </w:r>
    </w:p>
    <w:p>
      <w:pPr>
        <w:pStyle w:val="ListParagraph"/>
        <w:numPr>
          <w:ilvl w:val="0"/>
          <w:numId w:val="90"/>
        </w:numPr>
        <w:tabs>
          <w:tab w:pos="1202" w:val="left" w:leader="none"/>
        </w:tabs>
        <w:spacing w:line="240" w:lineRule="auto" w:before="161" w:after="0"/>
        <w:ind w:left="1201" w:right="0" w:hanging="602"/>
        <w:jc w:val="left"/>
        <w:rPr>
          <w:sz w:val="24"/>
        </w:rPr>
      </w:pPr>
      <w:r>
        <w:rPr>
          <w:sz w:val="24"/>
        </w:rPr>
        <w:t>以下变更《基金合同》的事项应经基金份额持有人大会决议通过：</w:t>
      </w:r>
    </w:p>
    <w:p>
      <w:pPr>
        <w:pStyle w:val="ListParagraph"/>
        <w:numPr>
          <w:ilvl w:val="0"/>
          <w:numId w:val="91"/>
        </w:numPr>
        <w:tabs>
          <w:tab w:pos="962" w:val="left" w:leader="none"/>
        </w:tabs>
        <w:spacing w:line="240" w:lineRule="auto" w:before="160" w:after="0"/>
        <w:ind w:left="961" w:right="0" w:hanging="362"/>
        <w:jc w:val="left"/>
        <w:rPr>
          <w:sz w:val="24"/>
        </w:rPr>
      </w:pPr>
      <w:r>
        <w:rPr>
          <w:spacing w:val="-11"/>
          <w:sz w:val="24"/>
        </w:rPr>
        <w:t>提前终止《基金合同》；</w:t>
      </w:r>
    </w:p>
    <w:p>
      <w:pPr>
        <w:pStyle w:val="ListParagraph"/>
        <w:numPr>
          <w:ilvl w:val="0"/>
          <w:numId w:val="91"/>
        </w:numPr>
        <w:tabs>
          <w:tab w:pos="962" w:val="left" w:leader="none"/>
        </w:tabs>
        <w:spacing w:line="240" w:lineRule="auto" w:before="161" w:after="0"/>
        <w:ind w:left="961" w:right="0" w:hanging="362"/>
        <w:jc w:val="left"/>
        <w:rPr>
          <w:sz w:val="24"/>
        </w:rPr>
      </w:pPr>
      <w:r>
        <w:rPr>
          <w:sz w:val="24"/>
        </w:rPr>
        <w:t>更换基金管理人；</w:t>
      </w:r>
    </w:p>
    <w:p>
      <w:pPr>
        <w:pStyle w:val="ListParagraph"/>
        <w:numPr>
          <w:ilvl w:val="0"/>
          <w:numId w:val="91"/>
        </w:numPr>
        <w:tabs>
          <w:tab w:pos="962" w:val="left" w:leader="none"/>
        </w:tabs>
        <w:spacing w:line="240" w:lineRule="auto" w:before="160" w:after="0"/>
        <w:ind w:left="961" w:right="0" w:hanging="362"/>
        <w:jc w:val="left"/>
        <w:rPr>
          <w:sz w:val="24"/>
        </w:rPr>
      </w:pPr>
      <w:r>
        <w:rPr>
          <w:sz w:val="24"/>
        </w:rPr>
        <w:t>更换基金托管人；</w:t>
      </w:r>
    </w:p>
    <w:p>
      <w:pPr>
        <w:pStyle w:val="ListParagraph"/>
        <w:numPr>
          <w:ilvl w:val="0"/>
          <w:numId w:val="91"/>
        </w:numPr>
        <w:tabs>
          <w:tab w:pos="962" w:val="left" w:leader="none"/>
        </w:tabs>
        <w:spacing w:line="240" w:lineRule="auto" w:before="161" w:after="0"/>
        <w:ind w:left="961" w:right="0" w:hanging="362"/>
        <w:jc w:val="left"/>
        <w:rPr>
          <w:sz w:val="24"/>
        </w:rPr>
      </w:pPr>
      <w:r>
        <w:rPr>
          <w:sz w:val="24"/>
        </w:rPr>
        <w:t>转换基金运作方式；</w:t>
      </w:r>
    </w:p>
    <w:p>
      <w:pPr>
        <w:pStyle w:val="ListParagraph"/>
        <w:numPr>
          <w:ilvl w:val="0"/>
          <w:numId w:val="91"/>
        </w:numPr>
        <w:tabs>
          <w:tab w:pos="962" w:val="left" w:leader="none"/>
        </w:tabs>
        <w:spacing w:line="364" w:lineRule="auto" w:before="160" w:after="0"/>
        <w:ind w:left="120" w:right="381" w:firstLine="479"/>
        <w:jc w:val="left"/>
        <w:rPr>
          <w:sz w:val="24"/>
        </w:rPr>
      </w:pPr>
      <w:r>
        <w:rPr>
          <w:spacing w:val="-1"/>
          <w:sz w:val="24"/>
        </w:rPr>
        <w:t>提高基金管理人、基金托管人的报酬标准或销售服务费。但根据法律法</w:t>
      </w:r>
      <w:r>
        <w:rPr>
          <w:sz w:val="24"/>
        </w:rPr>
        <w:t>规的要求提高该等报酬标准或销售服务费的除外；</w:t>
      </w:r>
    </w:p>
    <w:p>
      <w:pPr>
        <w:pStyle w:val="ListParagraph"/>
        <w:numPr>
          <w:ilvl w:val="0"/>
          <w:numId w:val="91"/>
        </w:numPr>
        <w:tabs>
          <w:tab w:pos="962" w:val="left" w:leader="none"/>
        </w:tabs>
        <w:spacing w:line="240" w:lineRule="auto" w:before="2" w:after="0"/>
        <w:ind w:left="961" w:right="0" w:hanging="362"/>
        <w:jc w:val="left"/>
        <w:rPr>
          <w:sz w:val="24"/>
        </w:rPr>
      </w:pPr>
      <w:r>
        <w:rPr>
          <w:sz w:val="24"/>
        </w:rPr>
        <w:t>变更基金类别；</w:t>
      </w:r>
    </w:p>
    <w:p>
      <w:pPr>
        <w:pStyle w:val="ListParagraph"/>
        <w:numPr>
          <w:ilvl w:val="0"/>
          <w:numId w:val="91"/>
        </w:numPr>
        <w:tabs>
          <w:tab w:pos="962" w:val="left" w:leader="none"/>
        </w:tabs>
        <w:spacing w:line="240" w:lineRule="auto" w:before="160" w:after="0"/>
        <w:ind w:left="961" w:right="0" w:hanging="362"/>
        <w:jc w:val="left"/>
        <w:rPr>
          <w:sz w:val="24"/>
        </w:rPr>
      </w:pPr>
      <w:r>
        <w:rPr>
          <w:sz w:val="24"/>
        </w:rPr>
        <w:t>本基金与其他基金的合并；</w:t>
      </w:r>
    </w:p>
    <w:p>
      <w:pPr>
        <w:pStyle w:val="ListParagraph"/>
        <w:numPr>
          <w:ilvl w:val="0"/>
          <w:numId w:val="91"/>
        </w:numPr>
        <w:tabs>
          <w:tab w:pos="962" w:val="left" w:leader="none"/>
        </w:tabs>
        <w:spacing w:line="240" w:lineRule="auto" w:before="161" w:after="0"/>
        <w:ind w:left="961" w:right="0" w:hanging="362"/>
        <w:jc w:val="left"/>
        <w:rPr>
          <w:sz w:val="24"/>
        </w:rPr>
      </w:pPr>
      <w:r>
        <w:rPr>
          <w:sz w:val="24"/>
        </w:rPr>
        <w:t>变更基金投资目标、范围或策略；</w:t>
      </w:r>
    </w:p>
    <w:p>
      <w:pPr>
        <w:pStyle w:val="ListParagraph"/>
        <w:numPr>
          <w:ilvl w:val="0"/>
          <w:numId w:val="91"/>
        </w:numPr>
        <w:tabs>
          <w:tab w:pos="962" w:val="left" w:leader="none"/>
        </w:tabs>
        <w:spacing w:line="240" w:lineRule="auto" w:before="160" w:after="0"/>
        <w:ind w:left="961" w:right="0" w:hanging="362"/>
        <w:jc w:val="left"/>
        <w:rPr>
          <w:sz w:val="24"/>
        </w:rPr>
      </w:pPr>
      <w:r>
        <w:rPr>
          <w:sz w:val="24"/>
        </w:rPr>
        <w:t>变更基金份额持有人大会程序；</w:t>
      </w:r>
    </w:p>
    <w:p>
      <w:pPr>
        <w:pStyle w:val="ListParagraph"/>
        <w:numPr>
          <w:ilvl w:val="0"/>
          <w:numId w:val="91"/>
        </w:numPr>
        <w:tabs>
          <w:tab w:pos="1082" w:val="left" w:leader="none"/>
        </w:tabs>
        <w:spacing w:line="240" w:lineRule="auto" w:before="161" w:after="0"/>
        <w:ind w:left="1081" w:right="0" w:hanging="482"/>
        <w:jc w:val="left"/>
        <w:rPr>
          <w:rFonts w:ascii="Times New Roman" w:eastAsia="Times New Roman"/>
          <w:sz w:val="24"/>
        </w:rPr>
      </w:pPr>
      <w:r>
        <w:rPr>
          <w:sz w:val="24"/>
        </w:rPr>
        <w:t>对基金当事人权利和义务产生重大影响的其他事项</w:t>
      </w:r>
      <w:r>
        <w:rPr>
          <w:rFonts w:ascii="Times New Roman" w:eastAsia="Times New Roman"/>
          <w:sz w:val="24"/>
        </w:rPr>
        <w:t>;</w:t>
      </w:r>
    </w:p>
    <w:p>
      <w:pPr>
        <w:spacing w:after="0" w:line="240" w:lineRule="auto"/>
        <w:jc w:val="left"/>
        <w:rPr>
          <w:rFonts w:ascii="Times New Roman" w:eastAsia="Times New Roman"/>
          <w:sz w:val="24"/>
        </w:rPr>
        <w:sectPr>
          <w:pgSz w:w="11910" w:h="16840"/>
          <w:pgMar w:header="0" w:footer="914" w:top="1460" w:bottom="1180" w:left="1680" w:right="1420"/>
        </w:sectPr>
      </w:pPr>
    </w:p>
    <w:p>
      <w:pPr>
        <w:pStyle w:val="ListParagraph"/>
        <w:numPr>
          <w:ilvl w:val="0"/>
          <w:numId w:val="91"/>
        </w:numPr>
        <w:tabs>
          <w:tab w:pos="1072" w:val="left" w:leader="none"/>
        </w:tabs>
        <w:spacing w:line="364" w:lineRule="auto" w:before="61" w:after="0"/>
        <w:ind w:left="120" w:right="376" w:firstLine="479"/>
        <w:jc w:val="both"/>
        <w:rPr>
          <w:sz w:val="24"/>
        </w:rPr>
      </w:pPr>
      <w:r>
        <w:rPr>
          <w:sz w:val="24"/>
        </w:rPr>
        <w:t>单独或合计持有本基金总份额</w:t>
      </w:r>
      <w:r>
        <w:rPr>
          <w:rFonts w:ascii="Times New Roman" w:eastAsia="Times New Roman"/>
          <w:sz w:val="24"/>
        </w:rPr>
        <w:t>10</w:t>
      </w:r>
      <w:r>
        <w:rPr>
          <w:spacing w:val="-10"/>
          <w:sz w:val="24"/>
        </w:rPr>
        <w:t>％以上</w:t>
      </w:r>
      <w:r>
        <w:rPr>
          <w:sz w:val="24"/>
        </w:rPr>
        <w:t>（含</w:t>
      </w:r>
      <w:r>
        <w:rPr>
          <w:rFonts w:ascii="Times New Roman" w:eastAsia="Times New Roman"/>
          <w:spacing w:val="-8"/>
          <w:sz w:val="24"/>
        </w:rPr>
        <w:t>10</w:t>
      </w:r>
      <w:r>
        <w:rPr>
          <w:spacing w:val="-8"/>
          <w:sz w:val="24"/>
        </w:rPr>
        <w:t>％）</w:t>
      </w:r>
      <w:r>
        <w:rPr>
          <w:sz w:val="24"/>
        </w:rPr>
        <w:t>基金份额的基金份</w:t>
      </w:r>
      <w:r>
        <w:rPr>
          <w:spacing w:val="-12"/>
          <w:sz w:val="24"/>
        </w:rPr>
        <w:t>额持有人</w:t>
      </w:r>
      <w:r>
        <w:rPr>
          <w:sz w:val="24"/>
        </w:rPr>
        <w:t>（</w:t>
      </w:r>
      <w:r>
        <w:rPr>
          <w:spacing w:val="-2"/>
          <w:sz w:val="24"/>
        </w:rPr>
        <w:t>以基金管理人收到提议当日的基金份额计算，下同</w:t>
      </w:r>
      <w:r>
        <w:rPr>
          <w:spacing w:val="-32"/>
          <w:sz w:val="24"/>
        </w:rPr>
        <w:t>）</w:t>
      </w:r>
      <w:r>
        <w:rPr>
          <w:sz w:val="24"/>
        </w:rPr>
        <w:t>就同一事项书面</w:t>
      </w:r>
      <w:r>
        <w:rPr>
          <w:spacing w:val="-4"/>
          <w:sz w:val="24"/>
        </w:rPr>
        <w:t>要求召开基金份额持有人大会；</w:t>
      </w:r>
    </w:p>
    <w:p>
      <w:pPr>
        <w:pStyle w:val="ListParagraph"/>
        <w:numPr>
          <w:ilvl w:val="0"/>
          <w:numId w:val="91"/>
        </w:numPr>
        <w:tabs>
          <w:tab w:pos="1082" w:val="left" w:leader="none"/>
        </w:tabs>
        <w:spacing w:line="364" w:lineRule="auto" w:before="2" w:after="0"/>
        <w:ind w:left="120" w:right="405" w:firstLine="479"/>
        <w:jc w:val="left"/>
        <w:rPr>
          <w:sz w:val="24"/>
        </w:rPr>
      </w:pPr>
      <w:r>
        <w:rPr>
          <w:spacing w:val="-13"/>
          <w:sz w:val="24"/>
        </w:rPr>
        <w:t>法律法规、《基金合同》或中国证监会规定的其他应当召开基金份额持</w:t>
      </w:r>
      <w:r>
        <w:rPr>
          <w:sz w:val="24"/>
        </w:rPr>
        <w:t>有人大会的事项。</w:t>
      </w:r>
    </w:p>
    <w:p>
      <w:pPr>
        <w:pStyle w:val="ListParagraph"/>
        <w:numPr>
          <w:ilvl w:val="0"/>
          <w:numId w:val="90"/>
        </w:numPr>
        <w:tabs>
          <w:tab w:pos="1202" w:val="left" w:leader="none"/>
        </w:tabs>
        <w:spacing w:line="364" w:lineRule="auto" w:before="1" w:after="0"/>
        <w:ind w:left="120" w:right="405" w:firstLine="479"/>
        <w:jc w:val="left"/>
        <w:rPr>
          <w:sz w:val="24"/>
        </w:rPr>
      </w:pPr>
      <w:r>
        <w:rPr>
          <w:spacing w:val="-1"/>
          <w:sz w:val="24"/>
        </w:rPr>
        <w:t>以下情况可由基金管理人和基金托管人协商后修改，不需召开基金份</w:t>
      </w:r>
      <w:r>
        <w:rPr>
          <w:sz w:val="24"/>
        </w:rPr>
        <w:t>额持有人大会：</w:t>
      </w:r>
    </w:p>
    <w:p>
      <w:pPr>
        <w:pStyle w:val="ListParagraph"/>
        <w:numPr>
          <w:ilvl w:val="0"/>
          <w:numId w:val="92"/>
        </w:numPr>
        <w:tabs>
          <w:tab w:pos="962" w:val="left" w:leader="none"/>
        </w:tabs>
        <w:spacing w:line="240" w:lineRule="auto" w:before="1" w:after="0"/>
        <w:ind w:left="961" w:right="0" w:hanging="362"/>
        <w:jc w:val="left"/>
        <w:rPr>
          <w:sz w:val="24"/>
        </w:rPr>
      </w:pPr>
      <w:r>
        <w:rPr>
          <w:sz w:val="24"/>
        </w:rPr>
        <w:t>调低基金管理费、基金托管费、销售服务费；</w:t>
      </w:r>
    </w:p>
    <w:p>
      <w:pPr>
        <w:pStyle w:val="ListParagraph"/>
        <w:numPr>
          <w:ilvl w:val="0"/>
          <w:numId w:val="92"/>
        </w:numPr>
        <w:tabs>
          <w:tab w:pos="962" w:val="left" w:leader="none"/>
        </w:tabs>
        <w:spacing w:line="240" w:lineRule="auto" w:before="161" w:after="0"/>
        <w:ind w:left="961" w:right="0" w:hanging="362"/>
        <w:jc w:val="left"/>
        <w:rPr>
          <w:sz w:val="24"/>
        </w:rPr>
      </w:pPr>
      <w:r>
        <w:rPr>
          <w:sz w:val="24"/>
        </w:rPr>
        <w:t>法律法规要求增加的基金费用的收取；</w:t>
      </w:r>
    </w:p>
    <w:p>
      <w:pPr>
        <w:pStyle w:val="ListParagraph"/>
        <w:numPr>
          <w:ilvl w:val="0"/>
          <w:numId w:val="92"/>
        </w:numPr>
        <w:tabs>
          <w:tab w:pos="962" w:val="left" w:leader="none"/>
        </w:tabs>
        <w:spacing w:line="240" w:lineRule="auto" w:before="161" w:after="0"/>
        <w:ind w:left="961" w:right="0" w:hanging="362"/>
        <w:jc w:val="left"/>
        <w:rPr>
          <w:sz w:val="24"/>
        </w:rPr>
      </w:pPr>
      <w:r>
        <w:rPr>
          <w:sz w:val="24"/>
        </w:rPr>
        <w:t>在《基金合同》规定的范围内变更本基金的申购费率、降低赎回费率；</w:t>
      </w:r>
    </w:p>
    <w:p>
      <w:pPr>
        <w:pStyle w:val="ListParagraph"/>
        <w:numPr>
          <w:ilvl w:val="0"/>
          <w:numId w:val="92"/>
        </w:numPr>
        <w:tabs>
          <w:tab w:pos="962" w:val="left" w:leader="none"/>
        </w:tabs>
        <w:spacing w:line="240" w:lineRule="auto" w:before="160" w:after="0"/>
        <w:ind w:left="961" w:right="0" w:hanging="362"/>
        <w:jc w:val="left"/>
        <w:rPr>
          <w:sz w:val="24"/>
        </w:rPr>
      </w:pPr>
      <w:r>
        <w:rPr>
          <w:sz w:val="24"/>
        </w:rPr>
        <w:t>因相应的法律法规发生变动而应当对《基金合同》进行修改；</w:t>
      </w:r>
    </w:p>
    <w:p>
      <w:pPr>
        <w:pStyle w:val="ListParagraph"/>
        <w:numPr>
          <w:ilvl w:val="0"/>
          <w:numId w:val="92"/>
        </w:numPr>
        <w:tabs>
          <w:tab w:pos="962" w:val="left" w:leader="none"/>
        </w:tabs>
        <w:spacing w:line="364" w:lineRule="auto" w:before="161" w:after="0"/>
        <w:ind w:left="120" w:right="377" w:firstLine="479"/>
        <w:jc w:val="left"/>
        <w:rPr>
          <w:sz w:val="24"/>
        </w:rPr>
      </w:pPr>
      <w:r>
        <w:rPr>
          <w:spacing w:val="-7"/>
          <w:sz w:val="24"/>
        </w:rPr>
        <w:t>《基金合同》的修改对基金份额持有人利益无实质性不利影响或修改不</w:t>
      </w:r>
      <w:r>
        <w:rPr>
          <w:spacing w:val="-4"/>
          <w:sz w:val="24"/>
        </w:rPr>
        <w:t>涉及基金合同当事人权利义务关系发生变化；</w:t>
      </w:r>
    </w:p>
    <w:p>
      <w:pPr>
        <w:pStyle w:val="ListParagraph"/>
        <w:numPr>
          <w:ilvl w:val="0"/>
          <w:numId w:val="92"/>
        </w:numPr>
        <w:tabs>
          <w:tab w:pos="962" w:val="left" w:leader="none"/>
        </w:tabs>
        <w:spacing w:line="364" w:lineRule="auto" w:before="1" w:after="0"/>
        <w:ind w:left="120" w:right="384" w:firstLine="479"/>
        <w:jc w:val="left"/>
        <w:rPr>
          <w:sz w:val="24"/>
        </w:rPr>
      </w:pPr>
      <w:r>
        <w:rPr>
          <w:spacing w:val="-1"/>
          <w:sz w:val="24"/>
        </w:rPr>
        <w:t>除按照法律法规和《基金合同》规定应当召开基金份额持有人大会的以</w:t>
      </w:r>
      <w:r>
        <w:rPr>
          <w:sz w:val="24"/>
        </w:rPr>
        <w:t>外的其他情形。</w:t>
      </w:r>
    </w:p>
    <w:p>
      <w:pPr>
        <w:pStyle w:val="ListParagraph"/>
        <w:numPr>
          <w:ilvl w:val="0"/>
          <w:numId w:val="90"/>
        </w:numPr>
        <w:tabs>
          <w:tab w:pos="1202" w:val="left" w:leader="none"/>
        </w:tabs>
        <w:spacing w:line="364" w:lineRule="auto" w:before="1" w:after="0"/>
        <w:ind w:left="120" w:right="378" w:firstLine="479"/>
        <w:jc w:val="both"/>
        <w:rPr>
          <w:sz w:val="24"/>
        </w:rPr>
      </w:pPr>
      <w:r>
        <w:rPr>
          <w:spacing w:val="-7"/>
          <w:sz w:val="24"/>
        </w:rPr>
        <w:t>《基金合同》生效后的存续期内，出现以下情形之一的，基金管理人</w:t>
      </w:r>
      <w:r>
        <w:rPr>
          <w:spacing w:val="-10"/>
          <w:sz w:val="24"/>
        </w:rPr>
        <w:t>应召集基金份额持有人大会，并由基金份额持有人大会就是否变更、终止基金合</w:t>
      </w:r>
      <w:r>
        <w:rPr>
          <w:spacing w:val="-4"/>
          <w:sz w:val="24"/>
        </w:rPr>
        <w:t>同或将本基金与其他基金合并进行表决：</w:t>
      </w:r>
    </w:p>
    <w:p>
      <w:pPr>
        <w:pStyle w:val="ListParagraph"/>
        <w:numPr>
          <w:ilvl w:val="0"/>
          <w:numId w:val="93"/>
        </w:numPr>
        <w:tabs>
          <w:tab w:pos="962" w:val="left" w:leader="none"/>
        </w:tabs>
        <w:spacing w:line="240" w:lineRule="auto" w:before="2" w:after="0"/>
        <w:ind w:left="961" w:right="0" w:hanging="362"/>
        <w:jc w:val="both"/>
        <w:rPr>
          <w:sz w:val="24"/>
        </w:rPr>
      </w:pPr>
      <w:r>
        <w:rPr>
          <w:spacing w:val="-5"/>
          <w:sz w:val="24"/>
        </w:rPr>
        <w:t>基金份额持有人数量连续 </w:t>
      </w:r>
      <w:r>
        <w:rPr>
          <w:rFonts w:ascii="Times New Roman" w:eastAsia="Times New Roman"/>
          <w:sz w:val="24"/>
        </w:rPr>
        <w:t>60 </w:t>
      </w:r>
      <w:r>
        <w:rPr>
          <w:spacing w:val="-8"/>
          <w:sz w:val="24"/>
        </w:rPr>
        <w:t>个工作日达不到 </w:t>
      </w:r>
      <w:r>
        <w:rPr>
          <w:rFonts w:ascii="Times New Roman" w:eastAsia="Times New Roman"/>
          <w:sz w:val="24"/>
        </w:rPr>
        <w:t>200 </w:t>
      </w:r>
      <w:r>
        <w:rPr>
          <w:sz w:val="24"/>
        </w:rPr>
        <w:t>人；</w:t>
      </w:r>
    </w:p>
    <w:p>
      <w:pPr>
        <w:pStyle w:val="ListParagraph"/>
        <w:numPr>
          <w:ilvl w:val="0"/>
          <w:numId w:val="93"/>
        </w:numPr>
        <w:tabs>
          <w:tab w:pos="962" w:val="left" w:leader="none"/>
        </w:tabs>
        <w:spacing w:line="240" w:lineRule="auto" w:before="161" w:after="0"/>
        <w:ind w:left="961" w:right="0" w:hanging="362"/>
        <w:jc w:val="left"/>
        <w:rPr>
          <w:sz w:val="24"/>
        </w:rPr>
      </w:pPr>
      <w:r>
        <w:rPr>
          <w:spacing w:val="-7"/>
          <w:sz w:val="24"/>
        </w:rPr>
        <w:t>基金资产净值连续 </w:t>
      </w:r>
      <w:r>
        <w:rPr>
          <w:rFonts w:ascii="Times New Roman" w:eastAsia="Times New Roman"/>
          <w:sz w:val="24"/>
        </w:rPr>
        <w:t>60 </w:t>
      </w:r>
      <w:r>
        <w:rPr>
          <w:spacing w:val="-9"/>
          <w:sz w:val="24"/>
        </w:rPr>
        <w:t>个工作日低于 </w:t>
      </w:r>
      <w:r>
        <w:rPr>
          <w:rFonts w:ascii="Times New Roman" w:eastAsia="Times New Roman"/>
          <w:sz w:val="24"/>
        </w:rPr>
        <w:t>3000 </w:t>
      </w:r>
      <w:r>
        <w:rPr>
          <w:sz w:val="24"/>
        </w:rPr>
        <w:t>万元人民币。</w:t>
      </w:r>
    </w:p>
    <w:p>
      <w:pPr>
        <w:pStyle w:val="ListParagraph"/>
        <w:numPr>
          <w:ilvl w:val="0"/>
          <w:numId w:val="90"/>
        </w:numPr>
        <w:tabs>
          <w:tab w:pos="1202" w:val="left" w:leader="none"/>
        </w:tabs>
        <w:spacing w:line="364" w:lineRule="auto" w:before="160" w:after="0"/>
        <w:ind w:left="120" w:right="384" w:firstLine="479"/>
        <w:jc w:val="left"/>
        <w:rPr>
          <w:sz w:val="24"/>
        </w:rPr>
      </w:pPr>
      <w:r>
        <w:rPr>
          <w:spacing w:val="-1"/>
          <w:sz w:val="24"/>
        </w:rPr>
        <w:t>关于《基金合同》变更的基金份额持有人大会决议经中国证监会核准</w:t>
      </w:r>
      <w:r>
        <w:rPr>
          <w:sz w:val="24"/>
        </w:rPr>
        <w:t>生效后方可执行，自《基金合同》变更生效之日起在指定媒介上公告。</w:t>
      </w:r>
    </w:p>
    <w:p>
      <w:pPr>
        <w:spacing w:before="2"/>
        <w:ind w:left="660" w:right="0" w:firstLine="0"/>
        <w:jc w:val="left"/>
        <w:rPr>
          <w:b/>
          <w:sz w:val="24"/>
        </w:rPr>
      </w:pPr>
      <w:r>
        <w:rPr>
          <w:rFonts w:ascii="Times New Roman" w:eastAsia="Times New Roman"/>
          <w:b/>
          <w:sz w:val="24"/>
        </w:rPr>
        <w:t>2</w:t>
      </w:r>
      <w:r>
        <w:rPr>
          <w:b/>
          <w:sz w:val="24"/>
        </w:rPr>
        <w:t>、《基金合同》的终止</w:t>
      </w:r>
    </w:p>
    <w:p>
      <w:pPr>
        <w:pStyle w:val="BodyText"/>
        <w:spacing w:before="160"/>
        <w:ind w:left="600" w:firstLine="0"/>
      </w:pPr>
      <w:r>
        <w:rPr/>
        <w:t>有下列情形之一的，《基金合同》应当终止：</w:t>
      </w:r>
    </w:p>
    <w:p>
      <w:pPr>
        <w:pStyle w:val="ListParagraph"/>
        <w:numPr>
          <w:ilvl w:val="0"/>
          <w:numId w:val="94"/>
        </w:numPr>
        <w:tabs>
          <w:tab w:pos="1202" w:val="left" w:leader="none"/>
        </w:tabs>
        <w:spacing w:line="240" w:lineRule="auto" w:before="161" w:after="0"/>
        <w:ind w:left="1201" w:right="0" w:hanging="602"/>
        <w:jc w:val="left"/>
        <w:rPr>
          <w:sz w:val="24"/>
        </w:rPr>
      </w:pPr>
      <w:r>
        <w:rPr>
          <w:sz w:val="24"/>
        </w:rPr>
        <w:t>基金份额持有人大会决定终止的；</w:t>
      </w:r>
    </w:p>
    <w:p>
      <w:pPr>
        <w:pStyle w:val="ListParagraph"/>
        <w:numPr>
          <w:ilvl w:val="0"/>
          <w:numId w:val="94"/>
        </w:numPr>
        <w:tabs>
          <w:tab w:pos="1202" w:val="left" w:leader="none"/>
        </w:tabs>
        <w:spacing w:line="364" w:lineRule="auto" w:before="161" w:after="0"/>
        <w:ind w:left="120" w:right="376" w:firstLine="479"/>
        <w:jc w:val="left"/>
        <w:rPr>
          <w:sz w:val="24"/>
        </w:rPr>
      </w:pPr>
      <w:r>
        <w:rPr>
          <w:spacing w:val="-3"/>
          <w:sz w:val="24"/>
        </w:rPr>
        <w:t>基金管理人、基金托管人职责终止，在 </w:t>
      </w:r>
      <w:r>
        <w:rPr>
          <w:rFonts w:ascii="Times New Roman" w:eastAsia="Times New Roman"/>
          <w:sz w:val="24"/>
        </w:rPr>
        <w:t>6</w:t>
      </w:r>
      <w:r>
        <w:rPr>
          <w:rFonts w:ascii="Times New Roman" w:eastAsia="Times New Roman"/>
          <w:spacing w:val="13"/>
          <w:sz w:val="24"/>
        </w:rPr>
        <w:t> </w:t>
      </w:r>
      <w:r>
        <w:rPr>
          <w:spacing w:val="-2"/>
          <w:sz w:val="24"/>
        </w:rPr>
        <w:t>个月内没有新基金管理人、</w:t>
      </w:r>
      <w:r>
        <w:rPr>
          <w:sz w:val="24"/>
        </w:rPr>
        <w:t>新基金托管人承接的；</w:t>
      </w:r>
    </w:p>
    <w:p>
      <w:pPr>
        <w:pStyle w:val="ListParagraph"/>
        <w:numPr>
          <w:ilvl w:val="0"/>
          <w:numId w:val="94"/>
        </w:numPr>
        <w:tabs>
          <w:tab w:pos="1202" w:val="left" w:leader="none"/>
        </w:tabs>
        <w:spacing w:line="240" w:lineRule="auto" w:before="1" w:after="0"/>
        <w:ind w:left="1201" w:right="0" w:hanging="602"/>
        <w:jc w:val="left"/>
        <w:rPr>
          <w:sz w:val="24"/>
        </w:rPr>
      </w:pPr>
      <w:r>
        <w:rPr>
          <w:sz w:val="24"/>
        </w:rPr>
        <w:t>《基金合同》约定的其他情形；</w:t>
      </w:r>
    </w:p>
    <w:p>
      <w:pPr>
        <w:pStyle w:val="ListParagraph"/>
        <w:numPr>
          <w:ilvl w:val="0"/>
          <w:numId w:val="94"/>
        </w:numPr>
        <w:tabs>
          <w:tab w:pos="1202" w:val="left" w:leader="none"/>
        </w:tabs>
        <w:spacing w:line="240" w:lineRule="auto" w:before="160" w:after="0"/>
        <w:ind w:left="1201" w:right="0" w:hanging="602"/>
        <w:jc w:val="left"/>
        <w:rPr>
          <w:sz w:val="24"/>
        </w:rPr>
      </w:pPr>
      <w:r>
        <w:rPr>
          <w:sz w:val="24"/>
        </w:rPr>
        <w:t>相关法律法规和中国证监会规定的其他情况。</w:t>
      </w:r>
    </w:p>
    <w:p>
      <w:pPr>
        <w:spacing w:after="0" w:line="240" w:lineRule="auto"/>
        <w:jc w:val="left"/>
        <w:rPr>
          <w:sz w:val="24"/>
        </w:rPr>
        <w:sectPr>
          <w:pgSz w:w="11910" w:h="16840"/>
          <w:pgMar w:header="0" w:footer="914" w:top="1440" w:bottom="1180" w:left="1680" w:right="1420"/>
        </w:sectPr>
      </w:pPr>
    </w:p>
    <w:p>
      <w:pPr>
        <w:spacing w:before="61"/>
        <w:ind w:left="602" w:right="0" w:firstLine="0"/>
        <w:jc w:val="left"/>
        <w:rPr>
          <w:b/>
          <w:sz w:val="24"/>
        </w:rPr>
      </w:pPr>
      <w:r>
        <w:rPr>
          <w:rFonts w:ascii="Times New Roman" w:eastAsia="Times New Roman"/>
          <w:b/>
          <w:sz w:val="24"/>
        </w:rPr>
        <w:t>3</w:t>
      </w:r>
      <w:r>
        <w:rPr>
          <w:b/>
          <w:sz w:val="24"/>
        </w:rPr>
        <w:t>、基金财产的清算</w:t>
      </w:r>
    </w:p>
    <w:p>
      <w:pPr>
        <w:pStyle w:val="ListParagraph"/>
        <w:numPr>
          <w:ilvl w:val="0"/>
          <w:numId w:val="95"/>
        </w:numPr>
        <w:tabs>
          <w:tab w:pos="1202" w:val="left" w:leader="none"/>
        </w:tabs>
        <w:spacing w:line="364" w:lineRule="auto" w:before="160" w:after="0"/>
        <w:ind w:left="120" w:right="377" w:firstLine="479"/>
        <w:jc w:val="both"/>
        <w:rPr>
          <w:sz w:val="24"/>
        </w:rPr>
      </w:pPr>
      <w:r>
        <w:rPr>
          <w:spacing w:val="-9"/>
          <w:sz w:val="24"/>
        </w:rPr>
        <w:t>基金财产清算小组：自出现《基金合同》终止事由之日起 </w:t>
      </w:r>
      <w:r>
        <w:rPr>
          <w:rFonts w:ascii="Times New Roman" w:eastAsia="Times New Roman"/>
          <w:sz w:val="24"/>
        </w:rPr>
        <w:t>30 </w:t>
      </w:r>
      <w:r>
        <w:rPr>
          <w:sz w:val="24"/>
        </w:rPr>
        <w:t>个工作</w:t>
      </w:r>
      <w:r>
        <w:rPr>
          <w:spacing w:val="-11"/>
          <w:sz w:val="24"/>
        </w:rPr>
        <w:t>日内成立基金财产清算小组，基金管理人组织基金财产清算小组并在中国证监会</w:t>
      </w:r>
      <w:r>
        <w:rPr>
          <w:spacing w:val="-4"/>
          <w:sz w:val="24"/>
        </w:rPr>
        <w:t>的监督下进行基金清算。</w:t>
      </w:r>
    </w:p>
    <w:p>
      <w:pPr>
        <w:pStyle w:val="ListParagraph"/>
        <w:numPr>
          <w:ilvl w:val="0"/>
          <w:numId w:val="95"/>
        </w:numPr>
        <w:tabs>
          <w:tab w:pos="1202" w:val="left" w:leader="none"/>
        </w:tabs>
        <w:spacing w:line="364" w:lineRule="auto" w:before="2" w:after="0"/>
        <w:ind w:left="120" w:right="379" w:firstLine="479"/>
        <w:jc w:val="both"/>
        <w:rPr>
          <w:sz w:val="24"/>
        </w:rPr>
      </w:pPr>
      <w:r>
        <w:rPr>
          <w:spacing w:val="-1"/>
          <w:sz w:val="24"/>
        </w:rPr>
        <w:t>基金财产清算小组组成：基金财产清算小组成员由基金管理人、基金</w:t>
      </w:r>
      <w:r>
        <w:rPr>
          <w:spacing w:val="-10"/>
          <w:sz w:val="24"/>
        </w:rPr>
        <w:t>托管人、具有从事证券相关业务资格的注册会计师、律师以及中国证监会指定的</w:t>
      </w:r>
      <w:r>
        <w:rPr>
          <w:sz w:val="24"/>
        </w:rPr>
        <w:t>人员组成。基金财产清算小组可以聘用必要的工作人员。</w:t>
      </w:r>
    </w:p>
    <w:p>
      <w:pPr>
        <w:pStyle w:val="ListParagraph"/>
        <w:numPr>
          <w:ilvl w:val="0"/>
          <w:numId w:val="95"/>
        </w:numPr>
        <w:tabs>
          <w:tab w:pos="1202" w:val="left" w:leader="none"/>
        </w:tabs>
        <w:spacing w:line="364" w:lineRule="auto" w:before="2" w:after="0"/>
        <w:ind w:left="120" w:right="384" w:firstLine="479"/>
        <w:jc w:val="left"/>
        <w:rPr>
          <w:sz w:val="24"/>
        </w:rPr>
      </w:pPr>
      <w:r>
        <w:rPr>
          <w:spacing w:val="-1"/>
          <w:sz w:val="24"/>
        </w:rPr>
        <w:t>基金财产清算小组职责：基金财产清算小组负责基金财产的保管、清</w:t>
      </w:r>
      <w:r>
        <w:rPr>
          <w:sz w:val="24"/>
        </w:rPr>
        <w:t>理、估价、变现和分配。基金财产清算小组可以依法进行必要的民事活动。</w:t>
      </w:r>
    </w:p>
    <w:p>
      <w:pPr>
        <w:pStyle w:val="ListParagraph"/>
        <w:numPr>
          <w:ilvl w:val="0"/>
          <w:numId w:val="95"/>
        </w:numPr>
        <w:tabs>
          <w:tab w:pos="1202" w:val="left" w:leader="none"/>
        </w:tabs>
        <w:spacing w:line="240" w:lineRule="auto" w:before="2" w:after="0"/>
        <w:ind w:left="1201" w:right="0" w:hanging="602"/>
        <w:jc w:val="left"/>
        <w:rPr>
          <w:sz w:val="24"/>
        </w:rPr>
      </w:pPr>
      <w:r>
        <w:rPr>
          <w:sz w:val="24"/>
        </w:rPr>
        <w:t>基金财产清算程序：</w:t>
      </w:r>
    </w:p>
    <w:p>
      <w:pPr>
        <w:pStyle w:val="ListParagraph"/>
        <w:numPr>
          <w:ilvl w:val="0"/>
          <w:numId w:val="96"/>
        </w:numPr>
        <w:tabs>
          <w:tab w:pos="962" w:val="left" w:leader="none"/>
        </w:tabs>
        <w:spacing w:line="240" w:lineRule="auto" w:before="160" w:after="0"/>
        <w:ind w:left="961" w:right="0" w:hanging="362"/>
        <w:jc w:val="left"/>
        <w:rPr>
          <w:sz w:val="24"/>
        </w:rPr>
      </w:pPr>
      <w:r>
        <w:rPr>
          <w:sz w:val="24"/>
        </w:rPr>
        <w:t>《基金合同》终止后，由基金财产清算小组统一接管基金财产；</w:t>
      </w:r>
    </w:p>
    <w:p>
      <w:pPr>
        <w:pStyle w:val="ListParagraph"/>
        <w:numPr>
          <w:ilvl w:val="0"/>
          <w:numId w:val="96"/>
        </w:numPr>
        <w:tabs>
          <w:tab w:pos="962" w:val="left" w:leader="none"/>
        </w:tabs>
        <w:spacing w:line="240" w:lineRule="auto" w:before="161" w:after="0"/>
        <w:ind w:left="961" w:right="0" w:hanging="362"/>
        <w:jc w:val="left"/>
        <w:rPr>
          <w:sz w:val="24"/>
        </w:rPr>
      </w:pPr>
      <w:r>
        <w:rPr>
          <w:sz w:val="24"/>
        </w:rPr>
        <w:t>对基金财产和债权债务进行清理和确认；</w:t>
      </w:r>
    </w:p>
    <w:p>
      <w:pPr>
        <w:pStyle w:val="ListParagraph"/>
        <w:numPr>
          <w:ilvl w:val="0"/>
          <w:numId w:val="96"/>
        </w:numPr>
        <w:tabs>
          <w:tab w:pos="962" w:val="left" w:leader="none"/>
        </w:tabs>
        <w:spacing w:line="240" w:lineRule="auto" w:before="160" w:after="0"/>
        <w:ind w:left="961" w:right="0" w:hanging="362"/>
        <w:jc w:val="left"/>
        <w:rPr>
          <w:sz w:val="24"/>
        </w:rPr>
      </w:pPr>
      <w:r>
        <w:rPr>
          <w:sz w:val="24"/>
        </w:rPr>
        <w:t>对基金财产进行估值和变现；</w:t>
      </w:r>
    </w:p>
    <w:p>
      <w:pPr>
        <w:pStyle w:val="ListParagraph"/>
        <w:numPr>
          <w:ilvl w:val="0"/>
          <w:numId w:val="96"/>
        </w:numPr>
        <w:tabs>
          <w:tab w:pos="962" w:val="left" w:leader="none"/>
        </w:tabs>
        <w:spacing w:line="240" w:lineRule="auto" w:before="161" w:after="0"/>
        <w:ind w:left="961" w:right="0" w:hanging="362"/>
        <w:jc w:val="left"/>
        <w:rPr>
          <w:sz w:val="24"/>
        </w:rPr>
      </w:pPr>
      <w:r>
        <w:rPr>
          <w:sz w:val="24"/>
        </w:rPr>
        <w:t>制作清算报告；</w:t>
      </w:r>
    </w:p>
    <w:p>
      <w:pPr>
        <w:pStyle w:val="ListParagraph"/>
        <w:numPr>
          <w:ilvl w:val="0"/>
          <w:numId w:val="96"/>
        </w:numPr>
        <w:tabs>
          <w:tab w:pos="962" w:val="left" w:leader="none"/>
        </w:tabs>
        <w:spacing w:line="364" w:lineRule="auto" w:before="160" w:after="0"/>
        <w:ind w:left="120" w:right="381" w:firstLine="479"/>
        <w:jc w:val="left"/>
        <w:rPr>
          <w:sz w:val="24"/>
        </w:rPr>
      </w:pPr>
      <w:r>
        <w:rPr>
          <w:spacing w:val="-1"/>
          <w:sz w:val="24"/>
        </w:rPr>
        <w:t>聘请会计师事务所对清算报告进行外部审计，聘请律师事务所对清算报</w:t>
      </w:r>
      <w:r>
        <w:rPr>
          <w:sz w:val="24"/>
        </w:rPr>
        <w:t>告出具法律意见书；</w:t>
      </w:r>
    </w:p>
    <w:p>
      <w:pPr>
        <w:pStyle w:val="ListParagraph"/>
        <w:numPr>
          <w:ilvl w:val="0"/>
          <w:numId w:val="96"/>
        </w:numPr>
        <w:tabs>
          <w:tab w:pos="962" w:val="left" w:leader="none"/>
        </w:tabs>
        <w:spacing w:line="240" w:lineRule="auto" w:before="2" w:after="0"/>
        <w:ind w:left="961" w:right="0" w:hanging="362"/>
        <w:jc w:val="left"/>
        <w:rPr>
          <w:sz w:val="24"/>
        </w:rPr>
      </w:pPr>
      <w:r>
        <w:rPr>
          <w:sz w:val="24"/>
        </w:rPr>
        <w:t>将清算报告报中国证监会备案并公告。</w:t>
      </w:r>
    </w:p>
    <w:p>
      <w:pPr>
        <w:pStyle w:val="ListParagraph"/>
        <w:numPr>
          <w:ilvl w:val="0"/>
          <w:numId w:val="96"/>
        </w:numPr>
        <w:tabs>
          <w:tab w:pos="962" w:val="left" w:leader="none"/>
        </w:tabs>
        <w:spacing w:line="240" w:lineRule="auto" w:before="160" w:after="0"/>
        <w:ind w:left="961" w:right="0" w:hanging="362"/>
        <w:jc w:val="left"/>
        <w:rPr>
          <w:sz w:val="24"/>
        </w:rPr>
      </w:pPr>
      <w:r>
        <w:rPr>
          <w:sz w:val="24"/>
        </w:rPr>
        <w:t>对基金剩余财产进行分配。</w:t>
      </w:r>
    </w:p>
    <w:p>
      <w:pPr>
        <w:pStyle w:val="BodyText"/>
        <w:spacing w:before="0"/>
        <w:ind w:left="0" w:firstLine="0"/>
        <w:rPr>
          <w:sz w:val="26"/>
        </w:rPr>
      </w:pPr>
    </w:p>
    <w:p>
      <w:pPr>
        <w:pStyle w:val="BodyText"/>
        <w:spacing w:before="1"/>
        <w:ind w:left="0" w:firstLine="0"/>
        <w:rPr>
          <w:sz w:val="23"/>
        </w:rPr>
      </w:pPr>
    </w:p>
    <w:p>
      <w:pPr>
        <w:spacing w:before="0"/>
        <w:ind w:left="662" w:right="0" w:firstLine="0"/>
        <w:jc w:val="left"/>
        <w:rPr>
          <w:b/>
          <w:sz w:val="24"/>
        </w:rPr>
      </w:pPr>
      <w:r>
        <w:rPr>
          <w:b/>
          <w:sz w:val="24"/>
        </w:rPr>
        <w:t>（八）争议解决方式</w:t>
      </w:r>
    </w:p>
    <w:p>
      <w:pPr>
        <w:pStyle w:val="BodyText"/>
        <w:spacing w:line="364" w:lineRule="auto"/>
        <w:ind w:right="377"/>
        <w:jc w:val="both"/>
      </w:pPr>
      <w:r>
        <w:rPr>
          <w:spacing w:val="-8"/>
        </w:rPr>
        <w:t>各方基金合同当事人同意，因《基金合同》而产生的或与《基金合同》有关</w:t>
      </w:r>
      <w:r>
        <w:rPr>
          <w:spacing w:val="-11"/>
        </w:rPr>
        <w:t>的一切争议，如经友好协商未能解决的，应提交中国国际经济贸易仲裁委员会根</w:t>
      </w:r>
      <w:r>
        <w:rPr>
          <w:spacing w:val="-6"/>
        </w:rPr>
        <w:t>据该会当时有效的仲裁规则进行仲裁，仲裁地点为北京，仲裁裁决是终局性的并</w:t>
      </w:r>
      <w:r>
        <w:rPr/>
        <w:t>对各方基金合同当事人具有约束力，仲裁费由败诉方承担。</w:t>
      </w:r>
    </w:p>
    <w:p>
      <w:pPr>
        <w:pStyle w:val="BodyText"/>
        <w:spacing w:before="3"/>
        <w:ind w:left="600" w:firstLine="0"/>
      </w:pPr>
      <w:r>
        <w:rPr/>
        <w:t>《基金合同》受中国法律管辖。</w:t>
      </w:r>
    </w:p>
    <w:p>
      <w:pPr>
        <w:pStyle w:val="BodyText"/>
        <w:spacing w:before="0"/>
        <w:ind w:left="0" w:firstLine="0"/>
      </w:pPr>
    </w:p>
    <w:p>
      <w:pPr>
        <w:pStyle w:val="BodyText"/>
        <w:spacing w:before="0"/>
        <w:ind w:left="0" w:firstLine="0"/>
        <w:rPr>
          <w:sz w:val="25"/>
        </w:rPr>
      </w:pPr>
    </w:p>
    <w:p>
      <w:pPr>
        <w:spacing w:before="0"/>
        <w:ind w:left="662" w:right="0" w:firstLine="0"/>
        <w:jc w:val="left"/>
        <w:rPr>
          <w:b/>
          <w:sz w:val="24"/>
        </w:rPr>
      </w:pPr>
      <w:r>
        <w:rPr>
          <w:b/>
          <w:sz w:val="24"/>
        </w:rPr>
        <w:t>（九）基金合同存放地和投资者取得合同的方式</w:t>
      </w:r>
    </w:p>
    <w:p>
      <w:pPr>
        <w:pStyle w:val="BodyText"/>
        <w:spacing w:line="364" w:lineRule="auto"/>
        <w:ind w:right="377"/>
      </w:pPr>
      <w:r>
        <w:rPr>
          <w:spacing w:val="-9"/>
        </w:rPr>
        <w:t>《基金合同》可印制成册，供投资者在基金管理人、基金托管人、基金代销</w:t>
      </w:r>
      <w:r>
        <w:rPr>
          <w:spacing w:val="-7"/>
        </w:rPr>
        <w:t>机构的办公场所和营业场所查阅；投资者也可按工本费购买《基金合同》复制件</w:t>
      </w:r>
    </w:p>
    <w:p>
      <w:pPr>
        <w:spacing w:after="0" w:line="364" w:lineRule="auto"/>
        <w:sectPr>
          <w:pgSz w:w="11910" w:h="16840"/>
          <w:pgMar w:header="0" w:footer="914" w:top="1440" w:bottom="1180" w:left="1680" w:right="1420"/>
        </w:sectPr>
      </w:pPr>
    </w:p>
    <w:p>
      <w:pPr>
        <w:pStyle w:val="BodyText"/>
        <w:spacing w:before="41"/>
        <w:ind w:firstLine="0"/>
      </w:pPr>
      <w:r>
        <w:rPr/>
        <w:t>或复印件，但内容应以《基金合同》正本为准。</w:t>
      </w:r>
    </w:p>
    <w:p>
      <w:pPr>
        <w:spacing w:after="0"/>
        <w:sectPr>
          <w:pgSz w:w="11910" w:h="16840"/>
          <w:pgMar w:header="0" w:footer="914" w:top="1460" w:bottom="1180" w:left="1680" w:right="1420"/>
        </w:sectPr>
      </w:pPr>
    </w:p>
    <w:p>
      <w:pPr>
        <w:pStyle w:val="BodyText"/>
        <w:spacing w:before="0"/>
        <w:ind w:left="0" w:firstLine="0"/>
        <w:rPr>
          <w:sz w:val="20"/>
        </w:rPr>
      </w:pPr>
    </w:p>
    <w:p>
      <w:pPr>
        <w:pStyle w:val="BodyText"/>
        <w:spacing w:before="3"/>
        <w:ind w:left="0" w:firstLine="0"/>
        <w:rPr>
          <w:sz w:val="28"/>
        </w:rPr>
      </w:pPr>
    </w:p>
    <w:p>
      <w:pPr>
        <w:pStyle w:val="Heading1"/>
        <w:spacing w:before="66"/>
        <w:ind w:left="3" w:right="262"/>
        <w:jc w:val="center"/>
      </w:pPr>
      <w:bookmarkStart w:name="_bookmark25" w:id="26"/>
      <w:bookmarkEnd w:id="26"/>
      <w:r>
        <w:rPr>
          <w:b w:val="0"/>
        </w:rPr>
      </w:r>
      <w:r>
        <w:rPr/>
        <w:t>二十六、合同当事人盖章及法定代表人签字、签约地、签订日</w:t>
      </w:r>
    </w:p>
    <w:p>
      <w:pPr>
        <w:pStyle w:val="BodyText"/>
        <w:spacing w:before="7"/>
        <w:ind w:left="0" w:firstLine="0"/>
        <w:rPr>
          <w:b/>
          <w:sz w:val="35"/>
        </w:rPr>
      </w:pPr>
    </w:p>
    <w:p>
      <w:pPr>
        <w:pStyle w:val="BodyText"/>
        <w:spacing w:before="0"/>
        <w:ind w:firstLine="0"/>
      </w:pPr>
      <w:r>
        <w:rPr/>
        <w:t>（见下页）</w:t>
      </w:r>
    </w:p>
    <w:p>
      <w:pPr>
        <w:spacing w:after="0"/>
        <w:sectPr>
          <w:pgSz w:w="11910" w:h="16840"/>
          <w:pgMar w:header="0" w:footer="914" w:top="1580" w:bottom="1180" w:left="1680" w:right="1420"/>
        </w:sectPr>
      </w:pPr>
    </w:p>
    <w:p>
      <w:pPr>
        <w:pStyle w:val="BodyText"/>
        <w:spacing w:before="5"/>
        <w:ind w:left="0" w:firstLine="0"/>
      </w:pPr>
    </w:p>
    <w:p>
      <w:pPr>
        <w:pStyle w:val="BodyText"/>
        <w:spacing w:before="76"/>
        <w:ind w:firstLine="0"/>
      </w:pPr>
      <w:r>
        <w:rPr/>
        <w:t>本页无正文，为《易方达黄金主题证券投资基金（</w:t>
      </w:r>
      <w:r>
        <w:rPr>
          <w:rFonts w:ascii="Times New Roman" w:eastAsia="Times New Roman"/>
        </w:rPr>
        <w:t>LOF</w:t>
      </w:r>
      <w:r>
        <w:rPr/>
        <w:t>）基金合同》签字页。</w:t>
      </w:r>
    </w:p>
    <w:p>
      <w:pPr>
        <w:pStyle w:val="BodyText"/>
        <w:spacing w:before="0"/>
        <w:ind w:left="0" w:firstLine="0"/>
        <w:rPr>
          <w:sz w:val="26"/>
        </w:rPr>
      </w:pPr>
    </w:p>
    <w:p>
      <w:pPr>
        <w:pStyle w:val="BodyText"/>
        <w:spacing w:before="0"/>
        <w:ind w:left="0" w:firstLine="0"/>
        <w:rPr>
          <w:sz w:val="26"/>
        </w:rPr>
      </w:pPr>
    </w:p>
    <w:p>
      <w:pPr>
        <w:pStyle w:val="BodyText"/>
        <w:spacing w:before="0"/>
        <w:ind w:left="0" w:firstLine="0"/>
        <w:rPr>
          <w:sz w:val="26"/>
        </w:rPr>
      </w:pPr>
    </w:p>
    <w:p>
      <w:pPr>
        <w:pStyle w:val="BodyText"/>
        <w:spacing w:before="0"/>
        <w:ind w:left="0" w:firstLine="0"/>
        <w:rPr>
          <w:sz w:val="26"/>
        </w:rPr>
      </w:pPr>
    </w:p>
    <w:p>
      <w:pPr>
        <w:pStyle w:val="Heading1"/>
        <w:spacing w:before="232"/>
        <w:ind w:left="120"/>
      </w:pPr>
      <w:r>
        <w:rPr/>
        <w:t>基金管理人：易方达基金管理有限公司（章）</w:t>
      </w: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2"/>
        <w:ind w:left="0" w:firstLine="0"/>
        <w:rPr>
          <w:b/>
          <w:sz w:val="26"/>
        </w:rPr>
      </w:pPr>
    </w:p>
    <w:p>
      <w:pPr>
        <w:tabs>
          <w:tab w:pos="5060" w:val="left" w:leader="none"/>
        </w:tabs>
        <w:spacing w:before="0"/>
        <w:ind w:left="120" w:right="0" w:firstLine="0"/>
        <w:jc w:val="left"/>
        <w:rPr>
          <w:b/>
          <w:sz w:val="24"/>
        </w:rPr>
      </w:pPr>
      <w:r>
        <w:rPr>
          <w:b/>
          <w:sz w:val="24"/>
        </w:rPr>
        <w:t>法定代表人或授权代表：</w:t>
        <w:tab/>
        <w:t>（签字）</w:t>
      </w: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2"/>
        <w:ind w:left="0" w:firstLine="0"/>
        <w:rPr>
          <w:b/>
          <w:sz w:val="27"/>
        </w:rPr>
      </w:pPr>
    </w:p>
    <w:p>
      <w:pPr>
        <w:spacing w:before="0"/>
        <w:ind w:left="120" w:right="0" w:firstLine="0"/>
        <w:jc w:val="left"/>
        <w:rPr>
          <w:b/>
          <w:sz w:val="24"/>
        </w:rPr>
      </w:pPr>
      <w:r>
        <w:rPr>
          <w:b/>
          <w:sz w:val="24"/>
        </w:rPr>
        <w:t>基金托管人：中国农业银行股份有限公司（章）</w:t>
      </w: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2"/>
        <w:ind w:left="0" w:firstLine="0"/>
        <w:rPr>
          <w:b/>
          <w:sz w:val="26"/>
        </w:rPr>
      </w:pPr>
    </w:p>
    <w:p>
      <w:pPr>
        <w:tabs>
          <w:tab w:pos="5060" w:val="left" w:leader="none"/>
        </w:tabs>
        <w:spacing w:before="0"/>
        <w:ind w:left="120" w:right="0" w:firstLine="0"/>
        <w:jc w:val="left"/>
        <w:rPr>
          <w:b/>
          <w:sz w:val="24"/>
        </w:rPr>
      </w:pPr>
      <w:r>
        <w:rPr>
          <w:b/>
          <w:sz w:val="24"/>
        </w:rPr>
        <w:t>法定代表人或授权代表：</w:t>
        <w:tab/>
        <w:t>（签字）</w:t>
      </w: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0"/>
        <w:ind w:left="0" w:firstLine="0"/>
        <w:rPr>
          <w:b/>
        </w:rPr>
      </w:pPr>
    </w:p>
    <w:p>
      <w:pPr>
        <w:pStyle w:val="BodyText"/>
        <w:spacing w:before="3"/>
        <w:ind w:left="0" w:firstLine="0"/>
        <w:rPr>
          <w:b/>
          <w:sz w:val="27"/>
        </w:rPr>
      </w:pPr>
    </w:p>
    <w:p>
      <w:pPr>
        <w:spacing w:before="0"/>
        <w:ind w:left="120" w:right="0" w:firstLine="0"/>
        <w:jc w:val="left"/>
        <w:rPr>
          <w:b/>
          <w:sz w:val="24"/>
        </w:rPr>
      </w:pPr>
      <w:r>
        <w:rPr>
          <w:b/>
          <w:sz w:val="24"/>
        </w:rPr>
        <w:t>签订地点：</w:t>
      </w:r>
    </w:p>
    <w:p>
      <w:pPr>
        <w:tabs>
          <w:tab w:pos="2290" w:val="left" w:leader="none"/>
          <w:tab w:pos="3612" w:val="left" w:leader="none"/>
          <w:tab w:pos="4820" w:val="left" w:leader="none"/>
        </w:tabs>
        <w:spacing w:before="160"/>
        <w:ind w:left="120" w:right="0" w:firstLine="0"/>
        <w:jc w:val="left"/>
        <w:rPr>
          <w:b/>
          <w:sz w:val="24"/>
        </w:rPr>
      </w:pPr>
      <w:r>
        <w:rPr>
          <w:b/>
          <w:sz w:val="24"/>
        </w:rPr>
        <w:t>签 订</w:t>
      </w:r>
      <w:r>
        <w:rPr>
          <w:b/>
          <w:spacing w:val="-1"/>
          <w:sz w:val="24"/>
        </w:rPr>
        <w:t> </w:t>
      </w:r>
      <w:r>
        <w:rPr>
          <w:b/>
          <w:sz w:val="24"/>
        </w:rPr>
        <w:t>日：</w:t>
        <w:tab/>
        <w:t>年</w:t>
        <w:tab/>
        <w:t>月</w:t>
        <w:tab/>
        <w:t>日</w:t>
      </w:r>
    </w:p>
    <w:sectPr>
      <w:pgSz w:w="11910" w:h="16840"/>
      <w:pgMar w:header="0" w:footer="914" w:top="1580" w:bottom="1180" w:left="168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15"/>
      </w:rPr>
    </w:pPr>
    <w:r>
      <w:rPr/>
      <w:pict>
        <v:shapetype id="_x0000_t202" o:spt="202" coordsize="21600,21600" path="m,l,21600r21600,l21600,xe">
          <v:stroke joinstyle="miter"/>
          <v:path gradientshapeok="t" o:connecttype="rect"/>
        </v:shapetype>
        <v:shape style="position:absolute;margin-left:287.850006pt;margin-top:781.205811pt;width:19.850pt;height:13.7pt;mso-position-horizontal-relative:page;mso-position-vertical-relative:page;z-index:-254517248" type="#_x0000_t202" filled="false" stroked="false">
          <v:textbox inset="0,0,0,0">
            <w:txbxContent>
              <w:p>
                <w:pPr>
                  <w:spacing w:before="12"/>
                  <w:ind w:left="40" w:right="0" w:firstLine="0"/>
                  <w:jc w:val="left"/>
                  <w:rPr>
                    <w:rFonts w:ascii="Times New Roman"/>
                    <w:sz w:val="21"/>
                  </w:rPr>
                </w:pPr>
                <w:r>
                  <w:rPr/>
                  <w:fldChar w:fldCharType="begin"/>
                </w:r>
                <w:r>
                  <w:rPr>
                    <w:rFonts w:ascii="Times New Roman"/>
                    <w:sz w:val="21"/>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
    <w:multiLevelType w:val="hybridMultilevel"/>
    <w:lvl w:ilvl="0">
      <w:start w:val="1"/>
      <w:numFmt w:val="decimal"/>
      <w:lvlText w:val="%1）"/>
      <w:lvlJc w:val="left"/>
      <w:pPr>
        <w:ind w:left="961" w:hanging="361"/>
        <w:jc w:val="left"/>
      </w:pPr>
      <w:rPr>
        <w:rFonts w:hint="default" w:ascii="Times New Roman" w:hAnsi="Times New Roman" w:eastAsia="Times New Roman" w:cs="Times New Roman"/>
        <w:spacing w:val="-120"/>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94">
    <w:multiLevelType w:val="hybridMultilevel"/>
    <w:lvl w:ilvl="0">
      <w:start w:val="1"/>
      <w:numFmt w:val="decimal"/>
      <w:lvlText w:val="（%1）"/>
      <w:lvlJc w:val="left"/>
      <w:pPr>
        <w:ind w:left="120" w:hanging="601"/>
        <w:jc w:val="left"/>
      </w:pPr>
      <w:rPr>
        <w:rFonts w:hint="default" w:ascii="宋体" w:hAnsi="宋体" w:eastAsia="宋体" w:cs="宋体"/>
        <w:spacing w:val="-24"/>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9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92">
    <w:multiLevelType w:val="hybridMultilevel"/>
    <w:lvl w:ilvl="0">
      <w:start w:val="1"/>
      <w:numFmt w:val="decimal"/>
      <w:lvlText w:val="%1）"/>
      <w:lvlJc w:val="left"/>
      <w:pPr>
        <w:ind w:left="961" w:hanging="361"/>
        <w:jc w:val="left"/>
      </w:pPr>
      <w:rPr>
        <w:rFonts w:hint="default" w:ascii="Times New Roman" w:hAnsi="Times New Roman" w:eastAsia="Times New Roman" w:cs="Times New Roman"/>
        <w:spacing w:val="-60"/>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91">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90">
    <w:multiLevelType w:val="hybridMultilevel"/>
    <w:lvl w:ilvl="0">
      <w:start w:val="1"/>
      <w:numFmt w:val="decimal"/>
      <w:lvlText w:val="%1）"/>
      <w:lvlJc w:val="left"/>
      <w:pPr>
        <w:ind w:left="961" w:hanging="361"/>
        <w:jc w:val="left"/>
      </w:pPr>
      <w:rPr>
        <w:rFonts w:hint="default" w:ascii="Times New Roman" w:hAnsi="Times New Roman" w:eastAsia="Times New Roman" w:cs="Times New Roman"/>
        <w:spacing w:val="-120"/>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8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88">
    <w:multiLevelType w:val="hybridMultilevel"/>
    <w:lvl w:ilvl="0">
      <w:start w:val="1"/>
      <w:numFmt w:val="decimal"/>
      <w:lvlText w:val="%1）"/>
      <w:lvlJc w:val="left"/>
      <w:pPr>
        <w:ind w:left="936" w:hanging="396"/>
        <w:jc w:val="left"/>
      </w:pPr>
      <w:rPr>
        <w:rFonts w:hint="default" w:ascii="Times New Roman" w:hAnsi="Times New Roman" w:eastAsia="Times New Roman" w:cs="Times New Roman"/>
        <w:w w:val="100"/>
        <w:sz w:val="24"/>
        <w:szCs w:val="24"/>
        <w:lang w:val="zh-CN" w:eastAsia="zh-CN" w:bidi="zh-CN"/>
      </w:rPr>
    </w:lvl>
    <w:lvl w:ilvl="1">
      <w:start w:val="0"/>
      <w:numFmt w:val="bullet"/>
      <w:lvlText w:val="•"/>
      <w:lvlJc w:val="left"/>
      <w:pPr>
        <w:ind w:left="1726" w:hanging="396"/>
      </w:pPr>
      <w:rPr>
        <w:rFonts w:hint="default"/>
        <w:lang w:val="zh-CN" w:eastAsia="zh-CN" w:bidi="zh-CN"/>
      </w:rPr>
    </w:lvl>
    <w:lvl w:ilvl="2">
      <w:start w:val="0"/>
      <w:numFmt w:val="bullet"/>
      <w:lvlText w:val="•"/>
      <w:lvlJc w:val="left"/>
      <w:pPr>
        <w:ind w:left="2513" w:hanging="396"/>
      </w:pPr>
      <w:rPr>
        <w:rFonts w:hint="default"/>
        <w:lang w:val="zh-CN" w:eastAsia="zh-CN" w:bidi="zh-CN"/>
      </w:rPr>
    </w:lvl>
    <w:lvl w:ilvl="3">
      <w:start w:val="0"/>
      <w:numFmt w:val="bullet"/>
      <w:lvlText w:val="•"/>
      <w:lvlJc w:val="left"/>
      <w:pPr>
        <w:ind w:left="3299" w:hanging="396"/>
      </w:pPr>
      <w:rPr>
        <w:rFonts w:hint="default"/>
        <w:lang w:val="zh-CN" w:eastAsia="zh-CN" w:bidi="zh-CN"/>
      </w:rPr>
    </w:lvl>
    <w:lvl w:ilvl="4">
      <w:start w:val="0"/>
      <w:numFmt w:val="bullet"/>
      <w:lvlText w:val="•"/>
      <w:lvlJc w:val="left"/>
      <w:pPr>
        <w:ind w:left="4086" w:hanging="396"/>
      </w:pPr>
      <w:rPr>
        <w:rFonts w:hint="default"/>
        <w:lang w:val="zh-CN" w:eastAsia="zh-CN" w:bidi="zh-CN"/>
      </w:rPr>
    </w:lvl>
    <w:lvl w:ilvl="5">
      <w:start w:val="0"/>
      <w:numFmt w:val="bullet"/>
      <w:lvlText w:val="•"/>
      <w:lvlJc w:val="left"/>
      <w:pPr>
        <w:ind w:left="4873" w:hanging="396"/>
      </w:pPr>
      <w:rPr>
        <w:rFonts w:hint="default"/>
        <w:lang w:val="zh-CN" w:eastAsia="zh-CN" w:bidi="zh-CN"/>
      </w:rPr>
    </w:lvl>
    <w:lvl w:ilvl="6">
      <w:start w:val="0"/>
      <w:numFmt w:val="bullet"/>
      <w:lvlText w:val="•"/>
      <w:lvlJc w:val="left"/>
      <w:pPr>
        <w:ind w:left="5659" w:hanging="396"/>
      </w:pPr>
      <w:rPr>
        <w:rFonts w:hint="default"/>
        <w:lang w:val="zh-CN" w:eastAsia="zh-CN" w:bidi="zh-CN"/>
      </w:rPr>
    </w:lvl>
    <w:lvl w:ilvl="7">
      <w:start w:val="0"/>
      <w:numFmt w:val="bullet"/>
      <w:lvlText w:val="•"/>
      <w:lvlJc w:val="left"/>
      <w:pPr>
        <w:ind w:left="6446" w:hanging="396"/>
      </w:pPr>
      <w:rPr>
        <w:rFonts w:hint="default"/>
        <w:lang w:val="zh-CN" w:eastAsia="zh-CN" w:bidi="zh-CN"/>
      </w:rPr>
    </w:lvl>
    <w:lvl w:ilvl="8">
      <w:start w:val="0"/>
      <w:numFmt w:val="bullet"/>
      <w:lvlText w:val="•"/>
      <w:lvlJc w:val="left"/>
      <w:pPr>
        <w:ind w:left="7233" w:hanging="396"/>
      </w:pPr>
      <w:rPr>
        <w:rFonts w:hint="default"/>
        <w:lang w:val="zh-CN" w:eastAsia="zh-CN" w:bidi="zh-CN"/>
      </w:rPr>
    </w:lvl>
  </w:abstractNum>
  <w:abstractNum w:abstractNumId="87">
    <w:multiLevelType w:val="hybridMultilevel"/>
    <w:lvl w:ilvl="0">
      <w:start w:val="1"/>
      <w:numFmt w:val="decimal"/>
      <w:lvlText w:val="%1）"/>
      <w:lvlJc w:val="left"/>
      <w:pPr>
        <w:ind w:left="936" w:hanging="396"/>
        <w:jc w:val="left"/>
      </w:pPr>
      <w:rPr>
        <w:rFonts w:hint="default" w:ascii="Times New Roman" w:hAnsi="Times New Roman" w:eastAsia="Times New Roman" w:cs="Times New Roman"/>
        <w:w w:val="100"/>
        <w:sz w:val="24"/>
        <w:szCs w:val="24"/>
        <w:lang w:val="zh-CN" w:eastAsia="zh-CN" w:bidi="zh-CN"/>
      </w:rPr>
    </w:lvl>
    <w:lvl w:ilvl="1">
      <w:start w:val="1"/>
      <w:numFmt w:val="lowerLetter"/>
      <w:lvlText w:val="%2）"/>
      <w:lvlJc w:val="left"/>
      <w:pPr>
        <w:ind w:left="1435" w:hanging="466"/>
        <w:jc w:val="left"/>
      </w:pPr>
      <w:rPr>
        <w:rFonts w:hint="default" w:ascii="Times New Roman" w:hAnsi="Times New Roman" w:eastAsia="Times New Roman" w:cs="Times New Roman"/>
        <w:spacing w:val="-1"/>
        <w:w w:val="100"/>
        <w:sz w:val="24"/>
        <w:szCs w:val="24"/>
        <w:lang w:val="zh-CN" w:eastAsia="zh-CN" w:bidi="zh-CN"/>
      </w:rPr>
    </w:lvl>
    <w:lvl w:ilvl="2">
      <w:start w:val="0"/>
      <w:numFmt w:val="bullet"/>
      <w:lvlText w:val="•"/>
      <w:lvlJc w:val="left"/>
      <w:pPr>
        <w:ind w:left="2258" w:hanging="466"/>
      </w:pPr>
      <w:rPr>
        <w:rFonts w:hint="default"/>
        <w:lang w:val="zh-CN" w:eastAsia="zh-CN" w:bidi="zh-CN"/>
      </w:rPr>
    </w:lvl>
    <w:lvl w:ilvl="3">
      <w:start w:val="0"/>
      <w:numFmt w:val="bullet"/>
      <w:lvlText w:val="•"/>
      <w:lvlJc w:val="left"/>
      <w:pPr>
        <w:ind w:left="3076" w:hanging="466"/>
      </w:pPr>
      <w:rPr>
        <w:rFonts w:hint="default"/>
        <w:lang w:val="zh-CN" w:eastAsia="zh-CN" w:bidi="zh-CN"/>
      </w:rPr>
    </w:lvl>
    <w:lvl w:ilvl="4">
      <w:start w:val="0"/>
      <w:numFmt w:val="bullet"/>
      <w:lvlText w:val="•"/>
      <w:lvlJc w:val="left"/>
      <w:pPr>
        <w:ind w:left="3895" w:hanging="466"/>
      </w:pPr>
      <w:rPr>
        <w:rFonts w:hint="default"/>
        <w:lang w:val="zh-CN" w:eastAsia="zh-CN" w:bidi="zh-CN"/>
      </w:rPr>
    </w:lvl>
    <w:lvl w:ilvl="5">
      <w:start w:val="0"/>
      <w:numFmt w:val="bullet"/>
      <w:lvlText w:val="•"/>
      <w:lvlJc w:val="left"/>
      <w:pPr>
        <w:ind w:left="4713" w:hanging="466"/>
      </w:pPr>
      <w:rPr>
        <w:rFonts w:hint="default"/>
        <w:lang w:val="zh-CN" w:eastAsia="zh-CN" w:bidi="zh-CN"/>
      </w:rPr>
    </w:lvl>
    <w:lvl w:ilvl="6">
      <w:start w:val="0"/>
      <w:numFmt w:val="bullet"/>
      <w:lvlText w:val="•"/>
      <w:lvlJc w:val="left"/>
      <w:pPr>
        <w:ind w:left="5532" w:hanging="466"/>
      </w:pPr>
      <w:rPr>
        <w:rFonts w:hint="default"/>
        <w:lang w:val="zh-CN" w:eastAsia="zh-CN" w:bidi="zh-CN"/>
      </w:rPr>
    </w:lvl>
    <w:lvl w:ilvl="7">
      <w:start w:val="0"/>
      <w:numFmt w:val="bullet"/>
      <w:lvlText w:val="•"/>
      <w:lvlJc w:val="left"/>
      <w:pPr>
        <w:ind w:left="6350" w:hanging="466"/>
      </w:pPr>
      <w:rPr>
        <w:rFonts w:hint="default"/>
        <w:lang w:val="zh-CN" w:eastAsia="zh-CN" w:bidi="zh-CN"/>
      </w:rPr>
    </w:lvl>
    <w:lvl w:ilvl="8">
      <w:start w:val="0"/>
      <w:numFmt w:val="bullet"/>
      <w:lvlText w:val="•"/>
      <w:lvlJc w:val="left"/>
      <w:pPr>
        <w:ind w:left="7169" w:hanging="466"/>
      </w:pPr>
      <w:rPr>
        <w:rFonts w:hint="default"/>
        <w:lang w:val="zh-CN" w:eastAsia="zh-CN" w:bidi="zh-CN"/>
      </w:rPr>
    </w:lvl>
  </w:abstractNum>
  <w:abstractNum w:abstractNumId="86">
    <w:multiLevelType w:val="hybridMultilevel"/>
    <w:lvl w:ilvl="0">
      <w:start w:val="1"/>
      <w:numFmt w:val="decimal"/>
      <w:lvlText w:val="%1）"/>
      <w:lvlJc w:val="left"/>
      <w:pPr>
        <w:ind w:left="900" w:hanging="420"/>
        <w:jc w:val="left"/>
      </w:pPr>
      <w:rPr>
        <w:rFonts w:hint="default" w:ascii="Times New Roman" w:hAnsi="Times New Roman" w:eastAsia="Times New Roman" w:cs="Times New Roman"/>
        <w:w w:val="100"/>
        <w:sz w:val="24"/>
        <w:szCs w:val="24"/>
        <w:lang w:val="zh-CN" w:eastAsia="zh-CN" w:bidi="zh-CN"/>
      </w:rPr>
    </w:lvl>
    <w:lvl w:ilvl="1">
      <w:start w:val="1"/>
      <w:numFmt w:val="lowerLetter"/>
      <w:lvlText w:val="%2）"/>
      <w:lvlJc w:val="left"/>
      <w:pPr>
        <w:ind w:left="1330" w:hanging="347"/>
        <w:jc w:val="left"/>
      </w:pPr>
      <w:rPr>
        <w:rFonts w:hint="default" w:ascii="Times New Roman" w:hAnsi="Times New Roman" w:eastAsia="Times New Roman" w:cs="Times New Roman"/>
        <w:spacing w:val="-32"/>
        <w:w w:val="100"/>
        <w:sz w:val="22"/>
        <w:szCs w:val="22"/>
        <w:lang w:val="zh-CN" w:eastAsia="zh-CN" w:bidi="zh-CN"/>
      </w:rPr>
    </w:lvl>
    <w:lvl w:ilvl="2">
      <w:start w:val="0"/>
      <w:numFmt w:val="bullet"/>
      <w:lvlText w:val="•"/>
      <w:lvlJc w:val="left"/>
      <w:pPr>
        <w:ind w:left="2169" w:hanging="347"/>
      </w:pPr>
      <w:rPr>
        <w:rFonts w:hint="default"/>
        <w:lang w:val="zh-CN" w:eastAsia="zh-CN" w:bidi="zh-CN"/>
      </w:rPr>
    </w:lvl>
    <w:lvl w:ilvl="3">
      <w:start w:val="0"/>
      <w:numFmt w:val="bullet"/>
      <w:lvlText w:val="•"/>
      <w:lvlJc w:val="left"/>
      <w:pPr>
        <w:ind w:left="2999" w:hanging="347"/>
      </w:pPr>
      <w:rPr>
        <w:rFonts w:hint="default"/>
        <w:lang w:val="zh-CN" w:eastAsia="zh-CN" w:bidi="zh-CN"/>
      </w:rPr>
    </w:lvl>
    <w:lvl w:ilvl="4">
      <w:start w:val="0"/>
      <w:numFmt w:val="bullet"/>
      <w:lvlText w:val="•"/>
      <w:lvlJc w:val="left"/>
      <w:pPr>
        <w:ind w:left="3828" w:hanging="347"/>
      </w:pPr>
      <w:rPr>
        <w:rFonts w:hint="default"/>
        <w:lang w:val="zh-CN" w:eastAsia="zh-CN" w:bidi="zh-CN"/>
      </w:rPr>
    </w:lvl>
    <w:lvl w:ilvl="5">
      <w:start w:val="0"/>
      <w:numFmt w:val="bullet"/>
      <w:lvlText w:val="•"/>
      <w:lvlJc w:val="left"/>
      <w:pPr>
        <w:ind w:left="4658" w:hanging="347"/>
      </w:pPr>
      <w:rPr>
        <w:rFonts w:hint="default"/>
        <w:lang w:val="zh-CN" w:eastAsia="zh-CN" w:bidi="zh-CN"/>
      </w:rPr>
    </w:lvl>
    <w:lvl w:ilvl="6">
      <w:start w:val="0"/>
      <w:numFmt w:val="bullet"/>
      <w:lvlText w:val="•"/>
      <w:lvlJc w:val="left"/>
      <w:pPr>
        <w:ind w:left="5488" w:hanging="347"/>
      </w:pPr>
      <w:rPr>
        <w:rFonts w:hint="default"/>
        <w:lang w:val="zh-CN" w:eastAsia="zh-CN" w:bidi="zh-CN"/>
      </w:rPr>
    </w:lvl>
    <w:lvl w:ilvl="7">
      <w:start w:val="0"/>
      <w:numFmt w:val="bullet"/>
      <w:lvlText w:val="•"/>
      <w:lvlJc w:val="left"/>
      <w:pPr>
        <w:ind w:left="6317" w:hanging="347"/>
      </w:pPr>
      <w:rPr>
        <w:rFonts w:hint="default"/>
        <w:lang w:val="zh-CN" w:eastAsia="zh-CN" w:bidi="zh-CN"/>
      </w:rPr>
    </w:lvl>
    <w:lvl w:ilvl="8">
      <w:start w:val="0"/>
      <w:numFmt w:val="bullet"/>
      <w:lvlText w:val="•"/>
      <w:lvlJc w:val="left"/>
      <w:pPr>
        <w:ind w:left="7147" w:hanging="347"/>
      </w:pPr>
      <w:rPr>
        <w:rFonts w:hint="default"/>
        <w:lang w:val="zh-CN" w:eastAsia="zh-CN" w:bidi="zh-CN"/>
      </w:rPr>
    </w:lvl>
  </w:abstractNum>
  <w:abstractNum w:abstractNumId="85">
    <w:multiLevelType w:val="hybridMultilevel"/>
    <w:lvl w:ilvl="0">
      <w:start w:val="1"/>
      <w:numFmt w:val="decimal"/>
      <w:lvlText w:val="%1）"/>
      <w:lvlJc w:val="left"/>
      <w:pPr>
        <w:ind w:left="120" w:hanging="365"/>
        <w:jc w:val="left"/>
      </w:pPr>
      <w:rPr>
        <w:rFonts w:hint="default"/>
        <w:spacing w:val="0"/>
        <w:w w:val="100"/>
        <w:lang w:val="zh-CN" w:eastAsia="zh-CN" w:bidi="zh-CN"/>
      </w:rPr>
    </w:lvl>
    <w:lvl w:ilvl="1">
      <w:start w:val="0"/>
      <w:numFmt w:val="bullet"/>
      <w:lvlText w:val="•"/>
      <w:lvlJc w:val="left"/>
      <w:pPr>
        <w:ind w:left="988" w:hanging="365"/>
      </w:pPr>
      <w:rPr>
        <w:rFonts w:hint="default"/>
        <w:lang w:val="zh-CN" w:eastAsia="zh-CN" w:bidi="zh-CN"/>
      </w:rPr>
    </w:lvl>
    <w:lvl w:ilvl="2">
      <w:start w:val="0"/>
      <w:numFmt w:val="bullet"/>
      <w:lvlText w:val="•"/>
      <w:lvlJc w:val="left"/>
      <w:pPr>
        <w:ind w:left="1857" w:hanging="365"/>
      </w:pPr>
      <w:rPr>
        <w:rFonts w:hint="default"/>
        <w:lang w:val="zh-CN" w:eastAsia="zh-CN" w:bidi="zh-CN"/>
      </w:rPr>
    </w:lvl>
    <w:lvl w:ilvl="3">
      <w:start w:val="0"/>
      <w:numFmt w:val="bullet"/>
      <w:lvlText w:val="•"/>
      <w:lvlJc w:val="left"/>
      <w:pPr>
        <w:ind w:left="2725" w:hanging="365"/>
      </w:pPr>
      <w:rPr>
        <w:rFonts w:hint="default"/>
        <w:lang w:val="zh-CN" w:eastAsia="zh-CN" w:bidi="zh-CN"/>
      </w:rPr>
    </w:lvl>
    <w:lvl w:ilvl="4">
      <w:start w:val="0"/>
      <w:numFmt w:val="bullet"/>
      <w:lvlText w:val="•"/>
      <w:lvlJc w:val="left"/>
      <w:pPr>
        <w:ind w:left="3594" w:hanging="365"/>
      </w:pPr>
      <w:rPr>
        <w:rFonts w:hint="default"/>
        <w:lang w:val="zh-CN" w:eastAsia="zh-CN" w:bidi="zh-CN"/>
      </w:rPr>
    </w:lvl>
    <w:lvl w:ilvl="5">
      <w:start w:val="0"/>
      <w:numFmt w:val="bullet"/>
      <w:lvlText w:val="•"/>
      <w:lvlJc w:val="left"/>
      <w:pPr>
        <w:ind w:left="4463" w:hanging="365"/>
      </w:pPr>
      <w:rPr>
        <w:rFonts w:hint="default"/>
        <w:lang w:val="zh-CN" w:eastAsia="zh-CN" w:bidi="zh-CN"/>
      </w:rPr>
    </w:lvl>
    <w:lvl w:ilvl="6">
      <w:start w:val="0"/>
      <w:numFmt w:val="bullet"/>
      <w:lvlText w:val="•"/>
      <w:lvlJc w:val="left"/>
      <w:pPr>
        <w:ind w:left="5331" w:hanging="365"/>
      </w:pPr>
      <w:rPr>
        <w:rFonts w:hint="default"/>
        <w:lang w:val="zh-CN" w:eastAsia="zh-CN" w:bidi="zh-CN"/>
      </w:rPr>
    </w:lvl>
    <w:lvl w:ilvl="7">
      <w:start w:val="0"/>
      <w:numFmt w:val="bullet"/>
      <w:lvlText w:val="•"/>
      <w:lvlJc w:val="left"/>
      <w:pPr>
        <w:ind w:left="6200" w:hanging="365"/>
      </w:pPr>
      <w:rPr>
        <w:rFonts w:hint="default"/>
        <w:lang w:val="zh-CN" w:eastAsia="zh-CN" w:bidi="zh-CN"/>
      </w:rPr>
    </w:lvl>
    <w:lvl w:ilvl="8">
      <w:start w:val="0"/>
      <w:numFmt w:val="bullet"/>
      <w:lvlText w:val="•"/>
      <w:lvlJc w:val="left"/>
      <w:pPr>
        <w:ind w:left="7069" w:hanging="365"/>
      </w:pPr>
      <w:rPr>
        <w:rFonts w:hint="default"/>
        <w:lang w:val="zh-CN" w:eastAsia="zh-CN" w:bidi="zh-CN"/>
      </w:rPr>
    </w:lvl>
  </w:abstractNum>
  <w:abstractNum w:abstractNumId="84">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460" w:hanging="361"/>
      </w:pPr>
      <w:rPr>
        <w:rFonts w:hint="default"/>
        <w:lang w:val="zh-CN" w:eastAsia="zh-CN" w:bidi="zh-CN"/>
      </w:rPr>
    </w:lvl>
    <w:lvl w:ilvl="2">
      <w:start w:val="0"/>
      <w:numFmt w:val="bullet"/>
      <w:lvlText w:val="•"/>
      <w:lvlJc w:val="left"/>
      <w:pPr>
        <w:ind w:left="2276" w:hanging="361"/>
      </w:pPr>
      <w:rPr>
        <w:rFonts w:hint="default"/>
        <w:lang w:val="zh-CN" w:eastAsia="zh-CN" w:bidi="zh-CN"/>
      </w:rPr>
    </w:lvl>
    <w:lvl w:ilvl="3">
      <w:start w:val="0"/>
      <w:numFmt w:val="bullet"/>
      <w:lvlText w:val="•"/>
      <w:lvlJc w:val="left"/>
      <w:pPr>
        <w:ind w:left="3092" w:hanging="361"/>
      </w:pPr>
      <w:rPr>
        <w:rFonts w:hint="default"/>
        <w:lang w:val="zh-CN" w:eastAsia="zh-CN" w:bidi="zh-CN"/>
      </w:rPr>
    </w:lvl>
    <w:lvl w:ilvl="4">
      <w:start w:val="0"/>
      <w:numFmt w:val="bullet"/>
      <w:lvlText w:val="•"/>
      <w:lvlJc w:val="left"/>
      <w:pPr>
        <w:ind w:left="3908" w:hanging="361"/>
      </w:pPr>
      <w:rPr>
        <w:rFonts w:hint="default"/>
        <w:lang w:val="zh-CN" w:eastAsia="zh-CN" w:bidi="zh-CN"/>
      </w:rPr>
    </w:lvl>
    <w:lvl w:ilvl="5">
      <w:start w:val="0"/>
      <w:numFmt w:val="bullet"/>
      <w:lvlText w:val="•"/>
      <w:lvlJc w:val="left"/>
      <w:pPr>
        <w:ind w:left="4725" w:hanging="361"/>
      </w:pPr>
      <w:rPr>
        <w:rFonts w:hint="default"/>
        <w:lang w:val="zh-CN" w:eastAsia="zh-CN" w:bidi="zh-CN"/>
      </w:rPr>
    </w:lvl>
    <w:lvl w:ilvl="6">
      <w:start w:val="0"/>
      <w:numFmt w:val="bullet"/>
      <w:lvlText w:val="•"/>
      <w:lvlJc w:val="left"/>
      <w:pPr>
        <w:ind w:left="5541" w:hanging="361"/>
      </w:pPr>
      <w:rPr>
        <w:rFonts w:hint="default"/>
        <w:lang w:val="zh-CN" w:eastAsia="zh-CN" w:bidi="zh-CN"/>
      </w:rPr>
    </w:lvl>
    <w:lvl w:ilvl="7">
      <w:start w:val="0"/>
      <w:numFmt w:val="bullet"/>
      <w:lvlText w:val="•"/>
      <w:lvlJc w:val="left"/>
      <w:pPr>
        <w:ind w:left="6357" w:hanging="361"/>
      </w:pPr>
      <w:rPr>
        <w:rFonts w:hint="default"/>
        <w:lang w:val="zh-CN" w:eastAsia="zh-CN" w:bidi="zh-CN"/>
      </w:rPr>
    </w:lvl>
    <w:lvl w:ilvl="8">
      <w:start w:val="0"/>
      <w:numFmt w:val="bullet"/>
      <w:lvlText w:val="•"/>
      <w:lvlJc w:val="left"/>
      <w:pPr>
        <w:ind w:left="7173" w:hanging="361"/>
      </w:pPr>
      <w:rPr>
        <w:rFonts w:hint="default"/>
        <w:lang w:val="zh-CN" w:eastAsia="zh-CN" w:bidi="zh-CN"/>
      </w:rPr>
    </w:lvl>
  </w:abstractNum>
  <w:abstractNum w:abstractNumId="8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82">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15"/>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81">
    <w:multiLevelType w:val="hybridMultilevel"/>
    <w:lvl w:ilvl="0">
      <w:start w:val="3"/>
      <w:numFmt w:val="decimal"/>
      <w:lvlText w:val="（%1）"/>
      <w:lvlJc w:val="left"/>
      <w:pPr>
        <w:ind w:left="600"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20" w:hanging="601"/>
      </w:pPr>
      <w:rPr>
        <w:rFonts w:hint="default"/>
        <w:lang w:val="zh-CN" w:eastAsia="zh-CN" w:bidi="zh-CN"/>
      </w:rPr>
    </w:lvl>
    <w:lvl w:ilvl="2">
      <w:start w:val="0"/>
      <w:numFmt w:val="bullet"/>
      <w:lvlText w:val="•"/>
      <w:lvlJc w:val="left"/>
      <w:pPr>
        <w:ind w:left="2241" w:hanging="601"/>
      </w:pPr>
      <w:rPr>
        <w:rFonts w:hint="default"/>
        <w:lang w:val="zh-CN" w:eastAsia="zh-CN" w:bidi="zh-CN"/>
      </w:rPr>
    </w:lvl>
    <w:lvl w:ilvl="3">
      <w:start w:val="0"/>
      <w:numFmt w:val="bullet"/>
      <w:lvlText w:val="•"/>
      <w:lvlJc w:val="left"/>
      <w:pPr>
        <w:ind w:left="3061" w:hanging="601"/>
      </w:pPr>
      <w:rPr>
        <w:rFonts w:hint="default"/>
        <w:lang w:val="zh-CN" w:eastAsia="zh-CN" w:bidi="zh-CN"/>
      </w:rPr>
    </w:lvl>
    <w:lvl w:ilvl="4">
      <w:start w:val="0"/>
      <w:numFmt w:val="bullet"/>
      <w:lvlText w:val="•"/>
      <w:lvlJc w:val="left"/>
      <w:pPr>
        <w:ind w:left="3882" w:hanging="601"/>
      </w:pPr>
      <w:rPr>
        <w:rFonts w:hint="default"/>
        <w:lang w:val="zh-CN" w:eastAsia="zh-CN" w:bidi="zh-CN"/>
      </w:rPr>
    </w:lvl>
    <w:lvl w:ilvl="5">
      <w:start w:val="0"/>
      <w:numFmt w:val="bullet"/>
      <w:lvlText w:val="•"/>
      <w:lvlJc w:val="left"/>
      <w:pPr>
        <w:ind w:left="4703" w:hanging="601"/>
      </w:pPr>
      <w:rPr>
        <w:rFonts w:hint="default"/>
        <w:lang w:val="zh-CN" w:eastAsia="zh-CN" w:bidi="zh-CN"/>
      </w:rPr>
    </w:lvl>
    <w:lvl w:ilvl="6">
      <w:start w:val="0"/>
      <w:numFmt w:val="bullet"/>
      <w:lvlText w:val="•"/>
      <w:lvlJc w:val="left"/>
      <w:pPr>
        <w:ind w:left="5523" w:hanging="601"/>
      </w:pPr>
      <w:rPr>
        <w:rFonts w:hint="default"/>
        <w:lang w:val="zh-CN" w:eastAsia="zh-CN" w:bidi="zh-CN"/>
      </w:rPr>
    </w:lvl>
    <w:lvl w:ilvl="7">
      <w:start w:val="0"/>
      <w:numFmt w:val="bullet"/>
      <w:lvlText w:val="•"/>
      <w:lvlJc w:val="left"/>
      <w:pPr>
        <w:ind w:left="6344" w:hanging="601"/>
      </w:pPr>
      <w:rPr>
        <w:rFonts w:hint="default"/>
        <w:lang w:val="zh-CN" w:eastAsia="zh-CN" w:bidi="zh-CN"/>
      </w:rPr>
    </w:lvl>
    <w:lvl w:ilvl="8">
      <w:start w:val="0"/>
      <w:numFmt w:val="bullet"/>
      <w:lvlText w:val="•"/>
      <w:lvlJc w:val="left"/>
      <w:pPr>
        <w:ind w:left="7165" w:hanging="601"/>
      </w:pPr>
      <w:rPr>
        <w:rFonts w:hint="default"/>
        <w:lang w:val="zh-CN" w:eastAsia="zh-CN" w:bidi="zh-CN"/>
      </w:rPr>
    </w:lvl>
  </w:abstractNum>
  <w:abstractNum w:abstractNumId="8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79">
    <w:multiLevelType w:val="hybridMultilevel"/>
    <w:lvl w:ilvl="0">
      <w:start w:val="1"/>
      <w:numFmt w:val="decimal"/>
      <w:lvlText w:val="（%1）"/>
      <w:lvlJc w:val="left"/>
      <w:pPr>
        <w:ind w:left="1380" w:hanging="840"/>
        <w:jc w:val="left"/>
      </w:pPr>
      <w:rPr>
        <w:rFonts w:hint="default" w:ascii="宋体" w:hAnsi="宋体" w:eastAsia="宋体" w:cs="宋体"/>
        <w:w w:val="100"/>
        <w:sz w:val="24"/>
        <w:szCs w:val="24"/>
        <w:lang w:val="zh-CN" w:eastAsia="zh-CN" w:bidi="zh-CN"/>
      </w:rPr>
    </w:lvl>
    <w:lvl w:ilvl="1">
      <w:start w:val="0"/>
      <w:numFmt w:val="bullet"/>
      <w:lvlText w:val="•"/>
      <w:lvlJc w:val="left"/>
      <w:pPr>
        <w:ind w:left="2122" w:hanging="840"/>
      </w:pPr>
      <w:rPr>
        <w:rFonts w:hint="default"/>
        <w:lang w:val="zh-CN" w:eastAsia="zh-CN" w:bidi="zh-CN"/>
      </w:rPr>
    </w:lvl>
    <w:lvl w:ilvl="2">
      <w:start w:val="0"/>
      <w:numFmt w:val="bullet"/>
      <w:lvlText w:val="•"/>
      <w:lvlJc w:val="left"/>
      <w:pPr>
        <w:ind w:left="2865" w:hanging="840"/>
      </w:pPr>
      <w:rPr>
        <w:rFonts w:hint="default"/>
        <w:lang w:val="zh-CN" w:eastAsia="zh-CN" w:bidi="zh-CN"/>
      </w:rPr>
    </w:lvl>
    <w:lvl w:ilvl="3">
      <w:start w:val="0"/>
      <w:numFmt w:val="bullet"/>
      <w:lvlText w:val="•"/>
      <w:lvlJc w:val="left"/>
      <w:pPr>
        <w:ind w:left="3607" w:hanging="840"/>
      </w:pPr>
      <w:rPr>
        <w:rFonts w:hint="default"/>
        <w:lang w:val="zh-CN" w:eastAsia="zh-CN" w:bidi="zh-CN"/>
      </w:rPr>
    </w:lvl>
    <w:lvl w:ilvl="4">
      <w:start w:val="0"/>
      <w:numFmt w:val="bullet"/>
      <w:lvlText w:val="•"/>
      <w:lvlJc w:val="left"/>
      <w:pPr>
        <w:ind w:left="4350" w:hanging="840"/>
      </w:pPr>
      <w:rPr>
        <w:rFonts w:hint="default"/>
        <w:lang w:val="zh-CN" w:eastAsia="zh-CN" w:bidi="zh-CN"/>
      </w:rPr>
    </w:lvl>
    <w:lvl w:ilvl="5">
      <w:start w:val="0"/>
      <w:numFmt w:val="bullet"/>
      <w:lvlText w:val="•"/>
      <w:lvlJc w:val="left"/>
      <w:pPr>
        <w:ind w:left="5093" w:hanging="840"/>
      </w:pPr>
      <w:rPr>
        <w:rFonts w:hint="default"/>
        <w:lang w:val="zh-CN" w:eastAsia="zh-CN" w:bidi="zh-CN"/>
      </w:rPr>
    </w:lvl>
    <w:lvl w:ilvl="6">
      <w:start w:val="0"/>
      <w:numFmt w:val="bullet"/>
      <w:lvlText w:val="•"/>
      <w:lvlJc w:val="left"/>
      <w:pPr>
        <w:ind w:left="5835" w:hanging="840"/>
      </w:pPr>
      <w:rPr>
        <w:rFonts w:hint="default"/>
        <w:lang w:val="zh-CN" w:eastAsia="zh-CN" w:bidi="zh-CN"/>
      </w:rPr>
    </w:lvl>
    <w:lvl w:ilvl="7">
      <w:start w:val="0"/>
      <w:numFmt w:val="bullet"/>
      <w:lvlText w:val="•"/>
      <w:lvlJc w:val="left"/>
      <w:pPr>
        <w:ind w:left="6578" w:hanging="840"/>
      </w:pPr>
      <w:rPr>
        <w:rFonts w:hint="default"/>
        <w:lang w:val="zh-CN" w:eastAsia="zh-CN" w:bidi="zh-CN"/>
      </w:rPr>
    </w:lvl>
    <w:lvl w:ilvl="8">
      <w:start w:val="0"/>
      <w:numFmt w:val="bullet"/>
      <w:lvlText w:val="•"/>
      <w:lvlJc w:val="left"/>
      <w:pPr>
        <w:ind w:left="7321" w:hanging="840"/>
      </w:pPr>
      <w:rPr>
        <w:rFonts w:hint="default"/>
        <w:lang w:val="zh-CN" w:eastAsia="zh-CN" w:bidi="zh-CN"/>
      </w:rPr>
    </w:lvl>
  </w:abstractNum>
  <w:abstractNum w:abstractNumId="78">
    <w:multiLevelType w:val="hybridMultilevel"/>
    <w:lvl w:ilvl="0">
      <w:start w:val="1"/>
      <w:numFmt w:val="decimal"/>
      <w:lvlText w:val="（%1）"/>
      <w:lvlJc w:val="left"/>
      <w:pPr>
        <w:ind w:left="120" w:hanging="601"/>
        <w:jc w:val="left"/>
      </w:pPr>
      <w:rPr>
        <w:rFonts w:hint="default" w:ascii="宋体" w:hAnsi="宋体" w:eastAsia="宋体" w:cs="宋体"/>
        <w:spacing w:val="-34"/>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77">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94"/>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7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75">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74">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73">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94"/>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7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71">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48"/>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70">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120"/>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69">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68">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67">
    <w:multiLevelType w:val="hybridMultilevel"/>
    <w:lvl w:ilvl="0">
      <w:start w:val="1"/>
      <w:numFmt w:val="decimal"/>
      <w:lvlText w:val="（%1）"/>
      <w:lvlJc w:val="left"/>
      <w:pPr>
        <w:ind w:left="120" w:hanging="601"/>
        <w:jc w:val="left"/>
      </w:pPr>
      <w:rPr>
        <w:rFonts w:hint="default" w:ascii="宋体" w:hAnsi="宋体" w:eastAsia="宋体" w:cs="宋体"/>
        <w:spacing w:val="-32"/>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66">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65">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64">
    <w:multiLevelType w:val="hybridMultilevel"/>
    <w:lvl w:ilvl="0">
      <w:start w:val="1"/>
      <w:numFmt w:val="decimal"/>
      <w:lvlText w:val="%1）"/>
      <w:lvlJc w:val="left"/>
      <w:pPr>
        <w:ind w:left="961" w:hanging="361"/>
        <w:jc w:val="left"/>
      </w:pPr>
      <w:rPr>
        <w:rFonts w:hint="default" w:ascii="Times New Roman" w:hAnsi="Times New Roman" w:eastAsia="Times New Roman" w:cs="Times New Roman"/>
        <w:spacing w:val="-120"/>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6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62">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61">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15"/>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60">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59">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15"/>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58">
    <w:multiLevelType w:val="hybridMultilevel"/>
    <w:lvl w:ilvl="0">
      <w:start w:val="1"/>
      <w:numFmt w:val="decimal"/>
      <w:lvlText w:val="%1）"/>
      <w:lvlJc w:val="left"/>
      <w:pPr>
        <w:ind w:left="1080" w:hanging="480"/>
        <w:jc w:val="left"/>
      </w:pPr>
      <w:rPr>
        <w:rFonts w:hint="default" w:ascii="Times New Roman" w:hAnsi="Times New Roman" w:eastAsia="Times New Roman" w:cs="Times New Roman"/>
        <w:w w:val="100"/>
        <w:sz w:val="24"/>
        <w:szCs w:val="24"/>
        <w:lang w:val="zh-CN" w:eastAsia="zh-CN" w:bidi="zh-CN"/>
      </w:rPr>
    </w:lvl>
    <w:lvl w:ilvl="1">
      <w:start w:val="0"/>
      <w:numFmt w:val="bullet"/>
      <w:lvlText w:val="•"/>
      <w:lvlJc w:val="left"/>
      <w:pPr>
        <w:ind w:left="1852" w:hanging="480"/>
      </w:pPr>
      <w:rPr>
        <w:rFonts w:hint="default"/>
        <w:lang w:val="zh-CN" w:eastAsia="zh-CN" w:bidi="zh-CN"/>
      </w:rPr>
    </w:lvl>
    <w:lvl w:ilvl="2">
      <w:start w:val="0"/>
      <w:numFmt w:val="bullet"/>
      <w:lvlText w:val="•"/>
      <w:lvlJc w:val="left"/>
      <w:pPr>
        <w:ind w:left="2625" w:hanging="480"/>
      </w:pPr>
      <w:rPr>
        <w:rFonts w:hint="default"/>
        <w:lang w:val="zh-CN" w:eastAsia="zh-CN" w:bidi="zh-CN"/>
      </w:rPr>
    </w:lvl>
    <w:lvl w:ilvl="3">
      <w:start w:val="0"/>
      <w:numFmt w:val="bullet"/>
      <w:lvlText w:val="•"/>
      <w:lvlJc w:val="left"/>
      <w:pPr>
        <w:ind w:left="3397" w:hanging="480"/>
      </w:pPr>
      <w:rPr>
        <w:rFonts w:hint="default"/>
        <w:lang w:val="zh-CN" w:eastAsia="zh-CN" w:bidi="zh-CN"/>
      </w:rPr>
    </w:lvl>
    <w:lvl w:ilvl="4">
      <w:start w:val="0"/>
      <w:numFmt w:val="bullet"/>
      <w:lvlText w:val="•"/>
      <w:lvlJc w:val="left"/>
      <w:pPr>
        <w:ind w:left="4170" w:hanging="480"/>
      </w:pPr>
      <w:rPr>
        <w:rFonts w:hint="default"/>
        <w:lang w:val="zh-CN" w:eastAsia="zh-CN" w:bidi="zh-CN"/>
      </w:rPr>
    </w:lvl>
    <w:lvl w:ilvl="5">
      <w:start w:val="0"/>
      <w:numFmt w:val="bullet"/>
      <w:lvlText w:val="•"/>
      <w:lvlJc w:val="left"/>
      <w:pPr>
        <w:ind w:left="4943" w:hanging="480"/>
      </w:pPr>
      <w:rPr>
        <w:rFonts w:hint="default"/>
        <w:lang w:val="zh-CN" w:eastAsia="zh-CN" w:bidi="zh-CN"/>
      </w:rPr>
    </w:lvl>
    <w:lvl w:ilvl="6">
      <w:start w:val="0"/>
      <w:numFmt w:val="bullet"/>
      <w:lvlText w:val="•"/>
      <w:lvlJc w:val="left"/>
      <w:pPr>
        <w:ind w:left="5715" w:hanging="480"/>
      </w:pPr>
      <w:rPr>
        <w:rFonts w:hint="default"/>
        <w:lang w:val="zh-CN" w:eastAsia="zh-CN" w:bidi="zh-CN"/>
      </w:rPr>
    </w:lvl>
    <w:lvl w:ilvl="7">
      <w:start w:val="0"/>
      <w:numFmt w:val="bullet"/>
      <w:lvlText w:val="•"/>
      <w:lvlJc w:val="left"/>
      <w:pPr>
        <w:ind w:left="6488" w:hanging="480"/>
      </w:pPr>
      <w:rPr>
        <w:rFonts w:hint="default"/>
        <w:lang w:val="zh-CN" w:eastAsia="zh-CN" w:bidi="zh-CN"/>
      </w:rPr>
    </w:lvl>
    <w:lvl w:ilvl="8">
      <w:start w:val="0"/>
      <w:numFmt w:val="bullet"/>
      <w:lvlText w:val="•"/>
      <w:lvlJc w:val="left"/>
      <w:pPr>
        <w:ind w:left="7261" w:hanging="480"/>
      </w:pPr>
      <w:rPr>
        <w:rFonts w:hint="default"/>
        <w:lang w:val="zh-CN" w:eastAsia="zh-CN" w:bidi="zh-CN"/>
      </w:rPr>
    </w:lvl>
  </w:abstractNum>
  <w:abstractNum w:abstractNumId="57">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56">
    <w:multiLevelType w:val="hybridMultilevel"/>
    <w:lvl w:ilvl="0">
      <w:start w:val="1"/>
      <w:numFmt w:val="decimal"/>
      <w:lvlText w:val="%1）"/>
      <w:lvlJc w:val="left"/>
      <w:pPr>
        <w:ind w:left="1380" w:hanging="780"/>
        <w:jc w:val="left"/>
      </w:pPr>
      <w:rPr>
        <w:rFonts w:hint="default" w:ascii="Times New Roman" w:hAnsi="Times New Roman" w:eastAsia="Times New Roman" w:cs="Times New Roman"/>
        <w:spacing w:val="-120"/>
        <w:w w:val="100"/>
        <w:sz w:val="24"/>
        <w:szCs w:val="24"/>
        <w:lang w:val="zh-CN" w:eastAsia="zh-CN" w:bidi="zh-CN"/>
      </w:rPr>
    </w:lvl>
    <w:lvl w:ilvl="1">
      <w:start w:val="0"/>
      <w:numFmt w:val="bullet"/>
      <w:lvlText w:val="•"/>
      <w:lvlJc w:val="left"/>
      <w:pPr>
        <w:ind w:left="2122" w:hanging="780"/>
      </w:pPr>
      <w:rPr>
        <w:rFonts w:hint="default"/>
        <w:lang w:val="zh-CN" w:eastAsia="zh-CN" w:bidi="zh-CN"/>
      </w:rPr>
    </w:lvl>
    <w:lvl w:ilvl="2">
      <w:start w:val="0"/>
      <w:numFmt w:val="bullet"/>
      <w:lvlText w:val="•"/>
      <w:lvlJc w:val="left"/>
      <w:pPr>
        <w:ind w:left="2865" w:hanging="780"/>
      </w:pPr>
      <w:rPr>
        <w:rFonts w:hint="default"/>
        <w:lang w:val="zh-CN" w:eastAsia="zh-CN" w:bidi="zh-CN"/>
      </w:rPr>
    </w:lvl>
    <w:lvl w:ilvl="3">
      <w:start w:val="0"/>
      <w:numFmt w:val="bullet"/>
      <w:lvlText w:val="•"/>
      <w:lvlJc w:val="left"/>
      <w:pPr>
        <w:ind w:left="3607" w:hanging="780"/>
      </w:pPr>
      <w:rPr>
        <w:rFonts w:hint="default"/>
        <w:lang w:val="zh-CN" w:eastAsia="zh-CN" w:bidi="zh-CN"/>
      </w:rPr>
    </w:lvl>
    <w:lvl w:ilvl="4">
      <w:start w:val="0"/>
      <w:numFmt w:val="bullet"/>
      <w:lvlText w:val="•"/>
      <w:lvlJc w:val="left"/>
      <w:pPr>
        <w:ind w:left="4350" w:hanging="780"/>
      </w:pPr>
      <w:rPr>
        <w:rFonts w:hint="default"/>
        <w:lang w:val="zh-CN" w:eastAsia="zh-CN" w:bidi="zh-CN"/>
      </w:rPr>
    </w:lvl>
    <w:lvl w:ilvl="5">
      <w:start w:val="0"/>
      <w:numFmt w:val="bullet"/>
      <w:lvlText w:val="•"/>
      <w:lvlJc w:val="left"/>
      <w:pPr>
        <w:ind w:left="5093" w:hanging="780"/>
      </w:pPr>
      <w:rPr>
        <w:rFonts w:hint="default"/>
        <w:lang w:val="zh-CN" w:eastAsia="zh-CN" w:bidi="zh-CN"/>
      </w:rPr>
    </w:lvl>
    <w:lvl w:ilvl="6">
      <w:start w:val="0"/>
      <w:numFmt w:val="bullet"/>
      <w:lvlText w:val="•"/>
      <w:lvlJc w:val="left"/>
      <w:pPr>
        <w:ind w:left="5835" w:hanging="780"/>
      </w:pPr>
      <w:rPr>
        <w:rFonts w:hint="default"/>
        <w:lang w:val="zh-CN" w:eastAsia="zh-CN" w:bidi="zh-CN"/>
      </w:rPr>
    </w:lvl>
    <w:lvl w:ilvl="7">
      <w:start w:val="0"/>
      <w:numFmt w:val="bullet"/>
      <w:lvlText w:val="•"/>
      <w:lvlJc w:val="left"/>
      <w:pPr>
        <w:ind w:left="6578" w:hanging="780"/>
      </w:pPr>
      <w:rPr>
        <w:rFonts w:hint="default"/>
        <w:lang w:val="zh-CN" w:eastAsia="zh-CN" w:bidi="zh-CN"/>
      </w:rPr>
    </w:lvl>
    <w:lvl w:ilvl="8">
      <w:start w:val="0"/>
      <w:numFmt w:val="bullet"/>
      <w:lvlText w:val="•"/>
      <w:lvlJc w:val="left"/>
      <w:pPr>
        <w:ind w:left="7321" w:hanging="780"/>
      </w:pPr>
      <w:rPr>
        <w:rFonts w:hint="default"/>
        <w:lang w:val="zh-CN" w:eastAsia="zh-CN" w:bidi="zh-CN"/>
      </w:rPr>
    </w:lvl>
  </w:abstractNum>
  <w:abstractNum w:abstractNumId="55">
    <w:multiLevelType w:val="hybridMultilevel"/>
    <w:lvl w:ilvl="0">
      <w:start w:val="1"/>
      <w:numFmt w:val="decimal"/>
      <w:lvlText w:val="%1）"/>
      <w:lvlJc w:val="left"/>
      <w:pPr>
        <w:ind w:left="1380" w:hanging="780"/>
        <w:jc w:val="left"/>
      </w:pPr>
      <w:rPr>
        <w:rFonts w:hint="default" w:ascii="Times New Roman" w:hAnsi="Times New Roman" w:eastAsia="Times New Roman" w:cs="Times New Roman"/>
        <w:w w:val="100"/>
        <w:sz w:val="24"/>
        <w:szCs w:val="24"/>
        <w:lang w:val="zh-CN" w:eastAsia="zh-CN" w:bidi="zh-CN"/>
      </w:rPr>
    </w:lvl>
    <w:lvl w:ilvl="1">
      <w:start w:val="0"/>
      <w:numFmt w:val="bullet"/>
      <w:lvlText w:val="•"/>
      <w:lvlJc w:val="left"/>
      <w:pPr>
        <w:ind w:left="2122" w:hanging="780"/>
      </w:pPr>
      <w:rPr>
        <w:rFonts w:hint="default"/>
        <w:lang w:val="zh-CN" w:eastAsia="zh-CN" w:bidi="zh-CN"/>
      </w:rPr>
    </w:lvl>
    <w:lvl w:ilvl="2">
      <w:start w:val="0"/>
      <w:numFmt w:val="bullet"/>
      <w:lvlText w:val="•"/>
      <w:lvlJc w:val="left"/>
      <w:pPr>
        <w:ind w:left="2865" w:hanging="780"/>
      </w:pPr>
      <w:rPr>
        <w:rFonts w:hint="default"/>
        <w:lang w:val="zh-CN" w:eastAsia="zh-CN" w:bidi="zh-CN"/>
      </w:rPr>
    </w:lvl>
    <w:lvl w:ilvl="3">
      <w:start w:val="0"/>
      <w:numFmt w:val="bullet"/>
      <w:lvlText w:val="•"/>
      <w:lvlJc w:val="left"/>
      <w:pPr>
        <w:ind w:left="3607" w:hanging="780"/>
      </w:pPr>
      <w:rPr>
        <w:rFonts w:hint="default"/>
        <w:lang w:val="zh-CN" w:eastAsia="zh-CN" w:bidi="zh-CN"/>
      </w:rPr>
    </w:lvl>
    <w:lvl w:ilvl="4">
      <w:start w:val="0"/>
      <w:numFmt w:val="bullet"/>
      <w:lvlText w:val="•"/>
      <w:lvlJc w:val="left"/>
      <w:pPr>
        <w:ind w:left="4350" w:hanging="780"/>
      </w:pPr>
      <w:rPr>
        <w:rFonts w:hint="default"/>
        <w:lang w:val="zh-CN" w:eastAsia="zh-CN" w:bidi="zh-CN"/>
      </w:rPr>
    </w:lvl>
    <w:lvl w:ilvl="5">
      <w:start w:val="0"/>
      <w:numFmt w:val="bullet"/>
      <w:lvlText w:val="•"/>
      <w:lvlJc w:val="left"/>
      <w:pPr>
        <w:ind w:left="5093" w:hanging="780"/>
      </w:pPr>
      <w:rPr>
        <w:rFonts w:hint="default"/>
        <w:lang w:val="zh-CN" w:eastAsia="zh-CN" w:bidi="zh-CN"/>
      </w:rPr>
    </w:lvl>
    <w:lvl w:ilvl="6">
      <w:start w:val="0"/>
      <w:numFmt w:val="bullet"/>
      <w:lvlText w:val="•"/>
      <w:lvlJc w:val="left"/>
      <w:pPr>
        <w:ind w:left="5835" w:hanging="780"/>
      </w:pPr>
      <w:rPr>
        <w:rFonts w:hint="default"/>
        <w:lang w:val="zh-CN" w:eastAsia="zh-CN" w:bidi="zh-CN"/>
      </w:rPr>
    </w:lvl>
    <w:lvl w:ilvl="7">
      <w:start w:val="0"/>
      <w:numFmt w:val="bullet"/>
      <w:lvlText w:val="•"/>
      <w:lvlJc w:val="left"/>
      <w:pPr>
        <w:ind w:left="6578" w:hanging="780"/>
      </w:pPr>
      <w:rPr>
        <w:rFonts w:hint="default"/>
        <w:lang w:val="zh-CN" w:eastAsia="zh-CN" w:bidi="zh-CN"/>
      </w:rPr>
    </w:lvl>
    <w:lvl w:ilvl="8">
      <w:start w:val="0"/>
      <w:numFmt w:val="bullet"/>
      <w:lvlText w:val="•"/>
      <w:lvlJc w:val="left"/>
      <w:pPr>
        <w:ind w:left="7321" w:hanging="780"/>
      </w:pPr>
      <w:rPr>
        <w:rFonts w:hint="default"/>
        <w:lang w:val="zh-CN" w:eastAsia="zh-CN" w:bidi="zh-CN"/>
      </w:rPr>
    </w:lvl>
  </w:abstractNum>
  <w:abstractNum w:abstractNumId="54">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5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52">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51">
    <w:multiLevelType w:val="hybridMultilevel"/>
    <w:lvl w:ilvl="0">
      <w:start w:val="1"/>
      <w:numFmt w:val="decimal"/>
      <w:lvlText w:val="（%1）"/>
      <w:lvlJc w:val="left"/>
      <w:pPr>
        <w:ind w:left="1538" w:hanging="728"/>
        <w:jc w:val="left"/>
      </w:pPr>
      <w:rPr>
        <w:rFonts w:hint="default" w:ascii="宋体" w:hAnsi="宋体" w:eastAsia="宋体" w:cs="宋体"/>
        <w:w w:val="100"/>
        <w:sz w:val="24"/>
        <w:szCs w:val="24"/>
        <w:lang w:val="zh-CN" w:eastAsia="zh-CN" w:bidi="zh-CN"/>
      </w:rPr>
    </w:lvl>
    <w:lvl w:ilvl="1">
      <w:start w:val="0"/>
      <w:numFmt w:val="bullet"/>
      <w:lvlText w:val="•"/>
      <w:lvlJc w:val="left"/>
      <w:pPr>
        <w:ind w:left="2266" w:hanging="728"/>
      </w:pPr>
      <w:rPr>
        <w:rFonts w:hint="default"/>
        <w:lang w:val="zh-CN" w:eastAsia="zh-CN" w:bidi="zh-CN"/>
      </w:rPr>
    </w:lvl>
    <w:lvl w:ilvl="2">
      <w:start w:val="0"/>
      <w:numFmt w:val="bullet"/>
      <w:lvlText w:val="•"/>
      <w:lvlJc w:val="left"/>
      <w:pPr>
        <w:ind w:left="2993" w:hanging="728"/>
      </w:pPr>
      <w:rPr>
        <w:rFonts w:hint="default"/>
        <w:lang w:val="zh-CN" w:eastAsia="zh-CN" w:bidi="zh-CN"/>
      </w:rPr>
    </w:lvl>
    <w:lvl w:ilvl="3">
      <w:start w:val="0"/>
      <w:numFmt w:val="bullet"/>
      <w:lvlText w:val="•"/>
      <w:lvlJc w:val="left"/>
      <w:pPr>
        <w:ind w:left="3719" w:hanging="728"/>
      </w:pPr>
      <w:rPr>
        <w:rFonts w:hint="default"/>
        <w:lang w:val="zh-CN" w:eastAsia="zh-CN" w:bidi="zh-CN"/>
      </w:rPr>
    </w:lvl>
    <w:lvl w:ilvl="4">
      <w:start w:val="0"/>
      <w:numFmt w:val="bullet"/>
      <w:lvlText w:val="•"/>
      <w:lvlJc w:val="left"/>
      <w:pPr>
        <w:ind w:left="4446" w:hanging="728"/>
      </w:pPr>
      <w:rPr>
        <w:rFonts w:hint="default"/>
        <w:lang w:val="zh-CN" w:eastAsia="zh-CN" w:bidi="zh-CN"/>
      </w:rPr>
    </w:lvl>
    <w:lvl w:ilvl="5">
      <w:start w:val="0"/>
      <w:numFmt w:val="bullet"/>
      <w:lvlText w:val="•"/>
      <w:lvlJc w:val="left"/>
      <w:pPr>
        <w:ind w:left="5173" w:hanging="728"/>
      </w:pPr>
      <w:rPr>
        <w:rFonts w:hint="default"/>
        <w:lang w:val="zh-CN" w:eastAsia="zh-CN" w:bidi="zh-CN"/>
      </w:rPr>
    </w:lvl>
    <w:lvl w:ilvl="6">
      <w:start w:val="0"/>
      <w:numFmt w:val="bullet"/>
      <w:lvlText w:val="•"/>
      <w:lvlJc w:val="left"/>
      <w:pPr>
        <w:ind w:left="5899" w:hanging="728"/>
      </w:pPr>
      <w:rPr>
        <w:rFonts w:hint="default"/>
        <w:lang w:val="zh-CN" w:eastAsia="zh-CN" w:bidi="zh-CN"/>
      </w:rPr>
    </w:lvl>
    <w:lvl w:ilvl="7">
      <w:start w:val="0"/>
      <w:numFmt w:val="bullet"/>
      <w:lvlText w:val="•"/>
      <w:lvlJc w:val="left"/>
      <w:pPr>
        <w:ind w:left="6626" w:hanging="728"/>
      </w:pPr>
      <w:rPr>
        <w:rFonts w:hint="default"/>
        <w:lang w:val="zh-CN" w:eastAsia="zh-CN" w:bidi="zh-CN"/>
      </w:rPr>
    </w:lvl>
    <w:lvl w:ilvl="8">
      <w:start w:val="0"/>
      <w:numFmt w:val="bullet"/>
      <w:lvlText w:val="•"/>
      <w:lvlJc w:val="left"/>
      <w:pPr>
        <w:ind w:left="7353" w:hanging="728"/>
      </w:pPr>
      <w:rPr>
        <w:rFonts w:hint="default"/>
        <w:lang w:val="zh-CN" w:eastAsia="zh-CN" w:bidi="zh-CN"/>
      </w:rPr>
    </w:lvl>
  </w:abstractNum>
  <w:abstractNum w:abstractNumId="50">
    <w:multiLevelType w:val="hybridMultilevel"/>
    <w:lvl w:ilvl="0">
      <w:start w:val="1"/>
      <w:numFmt w:val="decimal"/>
      <w:lvlText w:val="（%1）"/>
      <w:lvlJc w:val="left"/>
      <w:pPr>
        <w:ind w:left="1412"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158" w:hanging="601"/>
      </w:pPr>
      <w:rPr>
        <w:rFonts w:hint="default"/>
        <w:lang w:val="zh-CN" w:eastAsia="zh-CN" w:bidi="zh-CN"/>
      </w:rPr>
    </w:lvl>
    <w:lvl w:ilvl="2">
      <w:start w:val="0"/>
      <w:numFmt w:val="bullet"/>
      <w:lvlText w:val="•"/>
      <w:lvlJc w:val="left"/>
      <w:pPr>
        <w:ind w:left="2897" w:hanging="601"/>
      </w:pPr>
      <w:rPr>
        <w:rFonts w:hint="default"/>
        <w:lang w:val="zh-CN" w:eastAsia="zh-CN" w:bidi="zh-CN"/>
      </w:rPr>
    </w:lvl>
    <w:lvl w:ilvl="3">
      <w:start w:val="0"/>
      <w:numFmt w:val="bullet"/>
      <w:lvlText w:val="•"/>
      <w:lvlJc w:val="left"/>
      <w:pPr>
        <w:ind w:left="3635" w:hanging="601"/>
      </w:pPr>
      <w:rPr>
        <w:rFonts w:hint="default"/>
        <w:lang w:val="zh-CN" w:eastAsia="zh-CN" w:bidi="zh-CN"/>
      </w:rPr>
    </w:lvl>
    <w:lvl w:ilvl="4">
      <w:start w:val="0"/>
      <w:numFmt w:val="bullet"/>
      <w:lvlText w:val="•"/>
      <w:lvlJc w:val="left"/>
      <w:pPr>
        <w:ind w:left="4374" w:hanging="601"/>
      </w:pPr>
      <w:rPr>
        <w:rFonts w:hint="default"/>
        <w:lang w:val="zh-CN" w:eastAsia="zh-CN" w:bidi="zh-CN"/>
      </w:rPr>
    </w:lvl>
    <w:lvl w:ilvl="5">
      <w:start w:val="0"/>
      <w:numFmt w:val="bullet"/>
      <w:lvlText w:val="•"/>
      <w:lvlJc w:val="left"/>
      <w:pPr>
        <w:ind w:left="5113" w:hanging="601"/>
      </w:pPr>
      <w:rPr>
        <w:rFonts w:hint="default"/>
        <w:lang w:val="zh-CN" w:eastAsia="zh-CN" w:bidi="zh-CN"/>
      </w:rPr>
    </w:lvl>
    <w:lvl w:ilvl="6">
      <w:start w:val="0"/>
      <w:numFmt w:val="bullet"/>
      <w:lvlText w:val="•"/>
      <w:lvlJc w:val="left"/>
      <w:pPr>
        <w:ind w:left="5851" w:hanging="601"/>
      </w:pPr>
      <w:rPr>
        <w:rFonts w:hint="default"/>
        <w:lang w:val="zh-CN" w:eastAsia="zh-CN" w:bidi="zh-CN"/>
      </w:rPr>
    </w:lvl>
    <w:lvl w:ilvl="7">
      <w:start w:val="0"/>
      <w:numFmt w:val="bullet"/>
      <w:lvlText w:val="•"/>
      <w:lvlJc w:val="left"/>
      <w:pPr>
        <w:ind w:left="6590" w:hanging="601"/>
      </w:pPr>
      <w:rPr>
        <w:rFonts w:hint="default"/>
        <w:lang w:val="zh-CN" w:eastAsia="zh-CN" w:bidi="zh-CN"/>
      </w:rPr>
    </w:lvl>
    <w:lvl w:ilvl="8">
      <w:start w:val="0"/>
      <w:numFmt w:val="bullet"/>
      <w:lvlText w:val="•"/>
      <w:lvlJc w:val="left"/>
      <w:pPr>
        <w:ind w:left="7329" w:hanging="601"/>
      </w:pPr>
      <w:rPr>
        <w:rFonts w:hint="default"/>
        <w:lang w:val="zh-CN" w:eastAsia="zh-CN" w:bidi="zh-CN"/>
      </w:rPr>
    </w:lvl>
  </w:abstractNum>
  <w:abstractNum w:abstractNumId="4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412" w:hanging="601"/>
        <w:jc w:val="left"/>
      </w:pPr>
      <w:rPr>
        <w:rFonts w:hint="default" w:ascii="宋体" w:hAnsi="宋体" w:eastAsia="宋体" w:cs="宋体"/>
        <w:spacing w:val="-120"/>
        <w:w w:val="100"/>
        <w:sz w:val="22"/>
        <w:szCs w:val="22"/>
        <w:lang w:val="zh-CN" w:eastAsia="zh-CN" w:bidi="zh-CN"/>
      </w:rPr>
    </w:lvl>
    <w:lvl w:ilvl="2">
      <w:start w:val="0"/>
      <w:numFmt w:val="bullet"/>
      <w:lvlText w:val="•"/>
      <w:lvlJc w:val="left"/>
      <w:pPr>
        <w:ind w:left="2240" w:hanging="601"/>
      </w:pPr>
      <w:rPr>
        <w:rFonts w:hint="default"/>
        <w:lang w:val="zh-CN" w:eastAsia="zh-CN" w:bidi="zh-CN"/>
      </w:rPr>
    </w:lvl>
    <w:lvl w:ilvl="3">
      <w:start w:val="0"/>
      <w:numFmt w:val="bullet"/>
      <w:lvlText w:val="•"/>
      <w:lvlJc w:val="left"/>
      <w:pPr>
        <w:ind w:left="3061" w:hanging="601"/>
      </w:pPr>
      <w:rPr>
        <w:rFonts w:hint="default"/>
        <w:lang w:val="zh-CN" w:eastAsia="zh-CN" w:bidi="zh-CN"/>
      </w:rPr>
    </w:lvl>
    <w:lvl w:ilvl="4">
      <w:start w:val="0"/>
      <w:numFmt w:val="bullet"/>
      <w:lvlText w:val="•"/>
      <w:lvlJc w:val="left"/>
      <w:pPr>
        <w:ind w:left="3882" w:hanging="601"/>
      </w:pPr>
      <w:rPr>
        <w:rFonts w:hint="default"/>
        <w:lang w:val="zh-CN" w:eastAsia="zh-CN" w:bidi="zh-CN"/>
      </w:rPr>
    </w:lvl>
    <w:lvl w:ilvl="5">
      <w:start w:val="0"/>
      <w:numFmt w:val="bullet"/>
      <w:lvlText w:val="•"/>
      <w:lvlJc w:val="left"/>
      <w:pPr>
        <w:ind w:left="4702" w:hanging="601"/>
      </w:pPr>
      <w:rPr>
        <w:rFonts w:hint="default"/>
        <w:lang w:val="zh-CN" w:eastAsia="zh-CN" w:bidi="zh-CN"/>
      </w:rPr>
    </w:lvl>
    <w:lvl w:ilvl="6">
      <w:start w:val="0"/>
      <w:numFmt w:val="bullet"/>
      <w:lvlText w:val="•"/>
      <w:lvlJc w:val="left"/>
      <w:pPr>
        <w:ind w:left="5523" w:hanging="601"/>
      </w:pPr>
      <w:rPr>
        <w:rFonts w:hint="default"/>
        <w:lang w:val="zh-CN" w:eastAsia="zh-CN" w:bidi="zh-CN"/>
      </w:rPr>
    </w:lvl>
    <w:lvl w:ilvl="7">
      <w:start w:val="0"/>
      <w:numFmt w:val="bullet"/>
      <w:lvlText w:val="•"/>
      <w:lvlJc w:val="left"/>
      <w:pPr>
        <w:ind w:left="6344" w:hanging="601"/>
      </w:pPr>
      <w:rPr>
        <w:rFonts w:hint="default"/>
        <w:lang w:val="zh-CN" w:eastAsia="zh-CN" w:bidi="zh-CN"/>
      </w:rPr>
    </w:lvl>
    <w:lvl w:ilvl="8">
      <w:start w:val="0"/>
      <w:numFmt w:val="bullet"/>
      <w:lvlText w:val="•"/>
      <w:lvlJc w:val="left"/>
      <w:pPr>
        <w:ind w:left="7164" w:hanging="601"/>
      </w:pPr>
      <w:rPr>
        <w:rFonts w:hint="default"/>
        <w:lang w:val="zh-CN" w:eastAsia="zh-CN" w:bidi="zh-CN"/>
      </w:rPr>
    </w:lvl>
  </w:abstractNum>
  <w:abstractNum w:abstractNumId="48">
    <w:multiLevelType w:val="hybridMultilevel"/>
    <w:lvl w:ilvl="0">
      <w:start w:val="1"/>
      <w:numFmt w:val="decimal"/>
      <w:lvlText w:val="（%1）"/>
      <w:lvlJc w:val="left"/>
      <w:pPr>
        <w:ind w:left="120" w:hanging="601"/>
        <w:jc w:val="left"/>
      </w:pPr>
      <w:rPr>
        <w:rFonts w:hint="default" w:ascii="宋体" w:hAnsi="宋体" w:eastAsia="宋体" w:cs="宋体"/>
        <w:spacing w:val="-152"/>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47">
    <w:multiLevelType w:val="hybridMultilevel"/>
    <w:lvl w:ilvl="0">
      <w:start w:val="1"/>
      <w:numFmt w:val="decimal"/>
      <w:lvlText w:val="（%1）"/>
      <w:lvlJc w:val="left"/>
      <w:pPr>
        <w:ind w:left="120" w:hanging="601"/>
        <w:jc w:val="left"/>
      </w:pPr>
      <w:rPr>
        <w:rFonts w:hint="default" w:ascii="宋体" w:hAnsi="宋体" w:eastAsia="宋体" w:cs="宋体"/>
        <w:spacing w:val="-18"/>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46">
    <w:multiLevelType w:val="hybridMultilevel"/>
    <w:lvl w:ilvl="0">
      <w:start w:val="1"/>
      <w:numFmt w:val="decimal"/>
      <w:lvlText w:val="（%1）"/>
      <w:lvlJc w:val="left"/>
      <w:pPr>
        <w:ind w:left="120" w:hanging="60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45">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44">
    <w:multiLevelType w:val="hybridMultilevel"/>
    <w:lvl w:ilvl="0">
      <w:start w:val="1"/>
      <w:numFmt w:val="decimal"/>
      <w:lvlText w:val="（%1）"/>
      <w:lvlJc w:val="left"/>
      <w:pPr>
        <w:ind w:left="120" w:hanging="601"/>
        <w:jc w:val="left"/>
      </w:pPr>
      <w:rPr>
        <w:rFonts w:hint="default" w:ascii="宋体" w:hAnsi="宋体" w:eastAsia="宋体" w:cs="宋体"/>
        <w:spacing w:val="-18"/>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43">
    <w:multiLevelType w:val="hybridMultilevel"/>
    <w:lvl w:ilvl="0">
      <w:start w:val="1"/>
      <w:numFmt w:val="decimal"/>
      <w:lvlText w:val="（%1）"/>
      <w:lvlJc w:val="left"/>
      <w:pPr>
        <w:ind w:left="120" w:hanging="608"/>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88" w:hanging="608"/>
      </w:pPr>
      <w:rPr>
        <w:rFonts w:hint="default"/>
        <w:lang w:val="zh-CN" w:eastAsia="zh-CN" w:bidi="zh-CN"/>
      </w:rPr>
    </w:lvl>
    <w:lvl w:ilvl="2">
      <w:start w:val="0"/>
      <w:numFmt w:val="bullet"/>
      <w:lvlText w:val="•"/>
      <w:lvlJc w:val="left"/>
      <w:pPr>
        <w:ind w:left="1857" w:hanging="608"/>
      </w:pPr>
      <w:rPr>
        <w:rFonts w:hint="default"/>
        <w:lang w:val="zh-CN" w:eastAsia="zh-CN" w:bidi="zh-CN"/>
      </w:rPr>
    </w:lvl>
    <w:lvl w:ilvl="3">
      <w:start w:val="0"/>
      <w:numFmt w:val="bullet"/>
      <w:lvlText w:val="•"/>
      <w:lvlJc w:val="left"/>
      <w:pPr>
        <w:ind w:left="2725" w:hanging="608"/>
      </w:pPr>
      <w:rPr>
        <w:rFonts w:hint="default"/>
        <w:lang w:val="zh-CN" w:eastAsia="zh-CN" w:bidi="zh-CN"/>
      </w:rPr>
    </w:lvl>
    <w:lvl w:ilvl="4">
      <w:start w:val="0"/>
      <w:numFmt w:val="bullet"/>
      <w:lvlText w:val="•"/>
      <w:lvlJc w:val="left"/>
      <w:pPr>
        <w:ind w:left="3594" w:hanging="608"/>
      </w:pPr>
      <w:rPr>
        <w:rFonts w:hint="default"/>
        <w:lang w:val="zh-CN" w:eastAsia="zh-CN" w:bidi="zh-CN"/>
      </w:rPr>
    </w:lvl>
    <w:lvl w:ilvl="5">
      <w:start w:val="0"/>
      <w:numFmt w:val="bullet"/>
      <w:lvlText w:val="•"/>
      <w:lvlJc w:val="left"/>
      <w:pPr>
        <w:ind w:left="4463" w:hanging="608"/>
      </w:pPr>
      <w:rPr>
        <w:rFonts w:hint="default"/>
        <w:lang w:val="zh-CN" w:eastAsia="zh-CN" w:bidi="zh-CN"/>
      </w:rPr>
    </w:lvl>
    <w:lvl w:ilvl="6">
      <w:start w:val="0"/>
      <w:numFmt w:val="bullet"/>
      <w:lvlText w:val="•"/>
      <w:lvlJc w:val="left"/>
      <w:pPr>
        <w:ind w:left="5331" w:hanging="608"/>
      </w:pPr>
      <w:rPr>
        <w:rFonts w:hint="default"/>
        <w:lang w:val="zh-CN" w:eastAsia="zh-CN" w:bidi="zh-CN"/>
      </w:rPr>
    </w:lvl>
    <w:lvl w:ilvl="7">
      <w:start w:val="0"/>
      <w:numFmt w:val="bullet"/>
      <w:lvlText w:val="•"/>
      <w:lvlJc w:val="left"/>
      <w:pPr>
        <w:ind w:left="6200" w:hanging="608"/>
      </w:pPr>
      <w:rPr>
        <w:rFonts w:hint="default"/>
        <w:lang w:val="zh-CN" w:eastAsia="zh-CN" w:bidi="zh-CN"/>
      </w:rPr>
    </w:lvl>
    <w:lvl w:ilvl="8">
      <w:start w:val="0"/>
      <w:numFmt w:val="bullet"/>
      <w:lvlText w:val="•"/>
      <w:lvlJc w:val="left"/>
      <w:pPr>
        <w:ind w:left="7069" w:hanging="608"/>
      </w:pPr>
      <w:rPr>
        <w:rFonts w:hint="default"/>
        <w:lang w:val="zh-CN" w:eastAsia="zh-CN" w:bidi="zh-CN"/>
      </w:rPr>
    </w:lvl>
  </w:abstractNum>
  <w:abstractNum w:abstractNumId="42">
    <w:multiLevelType w:val="hybridMultilevel"/>
    <w:lvl w:ilvl="0">
      <w:start w:val="1"/>
      <w:numFmt w:val="decimal"/>
      <w:lvlText w:val="（%1）"/>
      <w:lvlJc w:val="left"/>
      <w:pPr>
        <w:ind w:left="120" w:hanging="608"/>
        <w:jc w:val="left"/>
      </w:pPr>
      <w:rPr>
        <w:rFonts w:hint="default" w:ascii="宋体" w:hAnsi="宋体" w:eastAsia="宋体" w:cs="宋体"/>
        <w:spacing w:val="0"/>
        <w:w w:val="100"/>
        <w:sz w:val="22"/>
        <w:szCs w:val="22"/>
        <w:lang w:val="zh-CN" w:eastAsia="zh-CN" w:bidi="zh-CN"/>
      </w:rPr>
    </w:lvl>
    <w:lvl w:ilvl="1">
      <w:start w:val="0"/>
      <w:numFmt w:val="bullet"/>
      <w:lvlText w:val="•"/>
      <w:lvlJc w:val="left"/>
      <w:pPr>
        <w:ind w:left="988" w:hanging="608"/>
      </w:pPr>
      <w:rPr>
        <w:rFonts w:hint="default"/>
        <w:lang w:val="zh-CN" w:eastAsia="zh-CN" w:bidi="zh-CN"/>
      </w:rPr>
    </w:lvl>
    <w:lvl w:ilvl="2">
      <w:start w:val="0"/>
      <w:numFmt w:val="bullet"/>
      <w:lvlText w:val="•"/>
      <w:lvlJc w:val="left"/>
      <w:pPr>
        <w:ind w:left="1857" w:hanging="608"/>
      </w:pPr>
      <w:rPr>
        <w:rFonts w:hint="default"/>
        <w:lang w:val="zh-CN" w:eastAsia="zh-CN" w:bidi="zh-CN"/>
      </w:rPr>
    </w:lvl>
    <w:lvl w:ilvl="3">
      <w:start w:val="0"/>
      <w:numFmt w:val="bullet"/>
      <w:lvlText w:val="•"/>
      <w:lvlJc w:val="left"/>
      <w:pPr>
        <w:ind w:left="2725" w:hanging="608"/>
      </w:pPr>
      <w:rPr>
        <w:rFonts w:hint="default"/>
        <w:lang w:val="zh-CN" w:eastAsia="zh-CN" w:bidi="zh-CN"/>
      </w:rPr>
    </w:lvl>
    <w:lvl w:ilvl="4">
      <w:start w:val="0"/>
      <w:numFmt w:val="bullet"/>
      <w:lvlText w:val="•"/>
      <w:lvlJc w:val="left"/>
      <w:pPr>
        <w:ind w:left="3594" w:hanging="608"/>
      </w:pPr>
      <w:rPr>
        <w:rFonts w:hint="default"/>
        <w:lang w:val="zh-CN" w:eastAsia="zh-CN" w:bidi="zh-CN"/>
      </w:rPr>
    </w:lvl>
    <w:lvl w:ilvl="5">
      <w:start w:val="0"/>
      <w:numFmt w:val="bullet"/>
      <w:lvlText w:val="•"/>
      <w:lvlJc w:val="left"/>
      <w:pPr>
        <w:ind w:left="4463" w:hanging="608"/>
      </w:pPr>
      <w:rPr>
        <w:rFonts w:hint="default"/>
        <w:lang w:val="zh-CN" w:eastAsia="zh-CN" w:bidi="zh-CN"/>
      </w:rPr>
    </w:lvl>
    <w:lvl w:ilvl="6">
      <w:start w:val="0"/>
      <w:numFmt w:val="bullet"/>
      <w:lvlText w:val="•"/>
      <w:lvlJc w:val="left"/>
      <w:pPr>
        <w:ind w:left="5331" w:hanging="608"/>
      </w:pPr>
      <w:rPr>
        <w:rFonts w:hint="default"/>
        <w:lang w:val="zh-CN" w:eastAsia="zh-CN" w:bidi="zh-CN"/>
      </w:rPr>
    </w:lvl>
    <w:lvl w:ilvl="7">
      <w:start w:val="0"/>
      <w:numFmt w:val="bullet"/>
      <w:lvlText w:val="•"/>
      <w:lvlJc w:val="left"/>
      <w:pPr>
        <w:ind w:left="6200" w:hanging="608"/>
      </w:pPr>
      <w:rPr>
        <w:rFonts w:hint="default"/>
        <w:lang w:val="zh-CN" w:eastAsia="zh-CN" w:bidi="zh-CN"/>
      </w:rPr>
    </w:lvl>
    <w:lvl w:ilvl="8">
      <w:start w:val="0"/>
      <w:numFmt w:val="bullet"/>
      <w:lvlText w:val="•"/>
      <w:lvlJc w:val="left"/>
      <w:pPr>
        <w:ind w:left="7069" w:hanging="608"/>
      </w:pPr>
      <w:rPr>
        <w:rFonts w:hint="default"/>
        <w:lang w:val="zh-CN" w:eastAsia="zh-CN" w:bidi="zh-CN"/>
      </w:rPr>
    </w:lvl>
  </w:abstractNum>
  <w:abstractNum w:abstractNumId="41">
    <w:multiLevelType w:val="hybridMultilevel"/>
    <w:lvl w:ilvl="0">
      <w:start w:val="1"/>
      <w:numFmt w:val="decimal"/>
      <w:lvlText w:val="（%1）"/>
      <w:lvlJc w:val="left"/>
      <w:pPr>
        <w:ind w:left="120" w:hanging="608"/>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988" w:hanging="608"/>
      </w:pPr>
      <w:rPr>
        <w:rFonts w:hint="default"/>
        <w:lang w:val="zh-CN" w:eastAsia="zh-CN" w:bidi="zh-CN"/>
      </w:rPr>
    </w:lvl>
    <w:lvl w:ilvl="2">
      <w:start w:val="0"/>
      <w:numFmt w:val="bullet"/>
      <w:lvlText w:val="•"/>
      <w:lvlJc w:val="left"/>
      <w:pPr>
        <w:ind w:left="1857" w:hanging="608"/>
      </w:pPr>
      <w:rPr>
        <w:rFonts w:hint="default"/>
        <w:lang w:val="zh-CN" w:eastAsia="zh-CN" w:bidi="zh-CN"/>
      </w:rPr>
    </w:lvl>
    <w:lvl w:ilvl="3">
      <w:start w:val="0"/>
      <w:numFmt w:val="bullet"/>
      <w:lvlText w:val="•"/>
      <w:lvlJc w:val="left"/>
      <w:pPr>
        <w:ind w:left="2725" w:hanging="608"/>
      </w:pPr>
      <w:rPr>
        <w:rFonts w:hint="default"/>
        <w:lang w:val="zh-CN" w:eastAsia="zh-CN" w:bidi="zh-CN"/>
      </w:rPr>
    </w:lvl>
    <w:lvl w:ilvl="4">
      <w:start w:val="0"/>
      <w:numFmt w:val="bullet"/>
      <w:lvlText w:val="•"/>
      <w:lvlJc w:val="left"/>
      <w:pPr>
        <w:ind w:left="3594" w:hanging="608"/>
      </w:pPr>
      <w:rPr>
        <w:rFonts w:hint="default"/>
        <w:lang w:val="zh-CN" w:eastAsia="zh-CN" w:bidi="zh-CN"/>
      </w:rPr>
    </w:lvl>
    <w:lvl w:ilvl="5">
      <w:start w:val="0"/>
      <w:numFmt w:val="bullet"/>
      <w:lvlText w:val="•"/>
      <w:lvlJc w:val="left"/>
      <w:pPr>
        <w:ind w:left="4463" w:hanging="608"/>
      </w:pPr>
      <w:rPr>
        <w:rFonts w:hint="default"/>
        <w:lang w:val="zh-CN" w:eastAsia="zh-CN" w:bidi="zh-CN"/>
      </w:rPr>
    </w:lvl>
    <w:lvl w:ilvl="6">
      <w:start w:val="0"/>
      <w:numFmt w:val="bullet"/>
      <w:lvlText w:val="•"/>
      <w:lvlJc w:val="left"/>
      <w:pPr>
        <w:ind w:left="5331" w:hanging="608"/>
      </w:pPr>
      <w:rPr>
        <w:rFonts w:hint="default"/>
        <w:lang w:val="zh-CN" w:eastAsia="zh-CN" w:bidi="zh-CN"/>
      </w:rPr>
    </w:lvl>
    <w:lvl w:ilvl="7">
      <w:start w:val="0"/>
      <w:numFmt w:val="bullet"/>
      <w:lvlText w:val="•"/>
      <w:lvlJc w:val="left"/>
      <w:pPr>
        <w:ind w:left="6200" w:hanging="608"/>
      </w:pPr>
      <w:rPr>
        <w:rFonts w:hint="default"/>
        <w:lang w:val="zh-CN" w:eastAsia="zh-CN" w:bidi="zh-CN"/>
      </w:rPr>
    </w:lvl>
    <w:lvl w:ilvl="8">
      <w:start w:val="0"/>
      <w:numFmt w:val="bullet"/>
      <w:lvlText w:val="•"/>
      <w:lvlJc w:val="left"/>
      <w:pPr>
        <w:ind w:left="7069" w:hanging="608"/>
      </w:pPr>
      <w:rPr>
        <w:rFonts w:hint="default"/>
        <w:lang w:val="zh-CN" w:eastAsia="zh-CN" w:bidi="zh-CN"/>
      </w:rPr>
    </w:lvl>
  </w:abstractNum>
  <w:abstractNum w:abstractNumId="40">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39">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711" w:hanging="480"/>
        <w:jc w:val="left"/>
      </w:pPr>
      <w:rPr>
        <w:rFonts w:hint="default" w:ascii="Times New Roman" w:hAnsi="Times New Roman" w:eastAsia="Times New Roman" w:cs="Times New Roman"/>
        <w:w w:val="100"/>
        <w:sz w:val="24"/>
        <w:szCs w:val="24"/>
        <w:lang w:val="zh-CN" w:eastAsia="zh-CN" w:bidi="zh-CN"/>
      </w:rPr>
    </w:lvl>
    <w:lvl w:ilvl="2">
      <w:start w:val="0"/>
      <w:numFmt w:val="bullet"/>
      <w:lvlText w:val="•"/>
      <w:lvlJc w:val="left"/>
      <w:pPr>
        <w:ind w:left="2507" w:hanging="480"/>
      </w:pPr>
      <w:rPr>
        <w:rFonts w:hint="default"/>
        <w:lang w:val="zh-CN" w:eastAsia="zh-CN" w:bidi="zh-CN"/>
      </w:rPr>
    </w:lvl>
    <w:lvl w:ilvl="3">
      <w:start w:val="0"/>
      <w:numFmt w:val="bullet"/>
      <w:lvlText w:val="•"/>
      <w:lvlJc w:val="left"/>
      <w:pPr>
        <w:ind w:left="3294" w:hanging="480"/>
      </w:pPr>
      <w:rPr>
        <w:rFonts w:hint="default"/>
        <w:lang w:val="zh-CN" w:eastAsia="zh-CN" w:bidi="zh-CN"/>
      </w:rPr>
    </w:lvl>
    <w:lvl w:ilvl="4">
      <w:start w:val="0"/>
      <w:numFmt w:val="bullet"/>
      <w:lvlText w:val="•"/>
      <w:lvlJc w:val="left"/>
      <w:pPr>
        <w:ind w:left="4082" w:hanging="480"/>
      </w:pPr>
      <w:rPr>
        <w:rFonts w:hint="default"/>
        <w:lang w:val="zh-CN" w:eastAsia="zh-CN" w:bidi="zh-CN"/>
      </w:rPr>
    </w:lvl>
    <w:lvl w:ilvl="5">
      <w:start w:val="0"/>
      <w:numFmt w:val="bullet"/>
      <w:lvlText w:val="•"/>
      <w:lvlJc w:val="left"/>
      <w:pPr>
        <w:ind w:left="4869" w:hanging="480"/>
      </w:pPr>
      <w:rPr>
        <w:rFonts w:hint="default"/>
        <w:lang w:val="zh-CN" w:eastAsia="zh-CN" w:bidi="zh-CN"/>
      </w:rPr>
    </w:lvl>
    <w:lvl w:ilvl="6">
      <w:start w:val="0"/>
      <w:numFmt w:val="bullet"/>
      <w:lvlText w:val="•"/>
      <w:lvlJc w:val="left"/>
      <w:pPr>
        <w:ind w:left="5656" w:hanging="480"/>
      </w:pPr>
      <w:rPr>
        <w:rFonts w:hint="default"/>
        <w:lang w:val="zh-CN" w:eastAsia="zh-CN" w:bidi="zh-CN"/>
      </w:rPr>
    </w:lvl>
    <w:lvl w:ilvl="7">
      <w:start w:val="0"/>
      <w:numFmt w:val="bullet"/>
      <w:lvlText w:val="•"/>
      <w:lvlJc w:val="left"/>
      <w:pPr>
        <w:ind w:left="6444" w:hanging="480"/>
      </w:pPr>
      <w:rPr>
        <w:rFonts w:hint="default"/>
        <w:lang w:val="zh-CN" w:eastAsia="zh-CN" w:bidi="zh-CN"/>
      </w:rPr>
    </w:lvl>
    <w:lvl w:ilvl="8">
      <w:start w:val="0"/>
      <w:numFmt w:val="bullet"/>
      <w:lvlText w:val="•"/>
      <w:lvlJc w:val="left"/>
      <w:pPr>
        <w:ind w:left="7231" w:hanging="480"/>
      </w:pPr>
      <w:rPr>
        <w:rFonts w:hint="default"/>
        <w:lang w:val="zh-CN" w:eastAsia="zh-CN" w:bidi="zh-CN"/>
      </w:rPr>
    </w:lvl>
  </w:abstractNum>
  <w:abstractNum w:abstractNumId="38">
    <w:multiLevelType w:val="hybridMultilevel"/>
    <w:lvl w:ilvl="0">
      <w:start w:val="1"/>
      <w:numFmt w:val="decimal"/>
      <w:lvlText w:val="（%1）"/>
      <w:lvlJc w:val="left"/>
      <w:pPr>
        <w:ind w:left="1380" w:hanging="780"/>
        <w:jc w:val="left"/>
      </w:pPr>
      <w:rPr>
        <w:rFonts w:hint="default" w:ascii="宋体" w:hAnsi="宋体" w:eastAsia="宋体" w:cs="宋体"/>
        <w:w w:val="100"/>
        <w:sz w:val="24"/>
        <w:szCs w:val="24"/>
        <w:lang w:val="zh-CN" w:eastAsia="zh-CN" w:bidi="zh-CN"/>
      </w:rPr>
    </w:lvl>
    <w:lvl w:ilvl="1">
      <w:start w:val="1"/>
      <w:numFmt w:val="decimal"/>
      <w:lvlText w:val="%2）"/>
      <w:lvlJc w:val="left"/>
      <w:pPr>
        <w:ind w:left="1390" w:hanging="444"/>
        <w:jc w:val="left"/>
      </w:pPr>
      <w:rPr>
        <w:rFonts w:hint="default" w:ascii="Times New Roman" w:hAnsi="Times New Roman" w:eastAsia="Times New Roman" w:cs="Times New Roman"/>
        <w:w w:val="100"/>
        <w:sz w:val="24"/>
        <w:szCs w:val="24"/>
        <w:lang w:val="zh-CN" w:eastAsia="zh-CN" w:bidi="zh-CN"/>
      </w:rPr>
    </w:lvl>
    <w:lvl w:ilvl="2">
      <w:start w:val="0"/>
      <w:numFmt w:val="bullet"/>
      <w:lvlText w:val="•"/>
      <w:lvlJc w:val="left"/>
      <w:pPr>
        <w:ind w:left="2222" w:hanging="444"/>
      </w:pPr>
      <w:rPr>
        <w:rFonts w:hint="default"/>
        <w:lang w:val="zh-CN" w:eastAsia="zh-CN" w:bidi="zh-CN"/>
      </w:rPr>
    </w:lvl>
    <w:lvl w:ilvl="3">
      <w:start w:val="0"/>
      <w:numFmt w:val="bullet"/>
      <w:lvlText w:val="•"/>
      <w:lvlJc w:val="left"/>
      <w:pPr>
        <w:ind w:left="3045" w:hanging="444"/>
      </w:pPr>
      <w:rPr>
        <w:rFonts w:hint="default"/>
        <w:lang w:val="zh-CN" w:eastAsia="zh-CN" w:bidi="zh-CN"/>
      </w:rPr>
    </w:lvl>
    <w:lvl w:ilvl="4">
      <w:start w:val="0"/>
      <w:numFmt w:val="bullet"/>
      <w:lvlText w:val="•"/>
      <w:lvlJc w:val="left"/>
      <w:pPr>
        <w:ind w:left="3868" w:hanging="444"/>
      </w:pPr>
      <w:rPr>
        <w:rFonts w:hint="default"/>
        <w:lang w:val="zh-CN" w:eastAsia="zh-CN" w:bidi="zh-CN"/>
      </w:rPr>
    </w:lvl>
    <w:lvl w:ilvl="5">
      <w:start w:val="0"/>
      <w:numFmt w:val="bullet"/>
      <w:lvlText w:val="•"/>
      <w:lvlJc w:val="left"/>
      <w:pPr>
        <w:ind w:left="4691" w:hanging="444"/>
      </w:pPr>
      <w:rPr>
        <w:rFonts w:hint="default"/>
        <w:lang w:val="zh-CN" w:eastAsia="zh-CN" w:bidi="zh-CN"/>
      </w:rPr>
    </w:lvl>
    <w:lvl w:ilvl="6">
      <w:start w:val="0"/>
      <w:numFmt w:val="bullet"/>
      <w:lvlText w:val="•"/>
      <w:lvlJc w:val="left"/>
      <w:pPr>
        <w:ind w:left="5514" w:hanging="444"/>
      </w:pPr>
      <w:rPr>
        <w:rFonts w:hint="default"/>
        <w:lang w:val="zh-CN" w:eastAsia="zh-CN" w:bidi="zh-CN"/>
      </w:rPr>
    </w:lvl>
    <w:lvl w:ilvl="7">
      <w:start w:val="0"/>
      <w:numFmt w:val="bullet"/>
      <w:lvlText w:val="•"/>
      <w:lvlJc w:val="left"/>
      <w:pPr>
        <w:ind w:left="6337" w:hanging="444"/>
      </w:pPr>
      <w:rPr>
        <w:rFonts w:hint="default"/>
        <w:lang w:val="zh-CN" w:eastAsia="zh-CN" w:bidi="zh-CN"/>
      </w:rPr>
    </w:lvl>
    <w:lvl w:ilvl="8">
      <w:start w:val="0"/>
      <w:numFmt w:val="bullet"/>
      <w:lvlText w:val="•"/>
      <w:lvlJc w:val="left"/>
      <w:pPr>
        <w:ind w:left="7160" w:hanging="444"/>
      </w:pPr>
      <w:rPr>
        <w:rFonts w:hint="default"/>
        <w:lang w:val="zh-CN" w:eastAsia="zh-CN" w:bidi="zh-CN"/>
      </w:rPr>
    </w:lvl>
  </w:abstractNum>
  <w:abstractNum w:abstractNumId="37">
    <w:multiLevelType w:val="hybridMultilevel"/>
    <w:lvl w:ilvl="0">
      <w:start w:val="1"/>
      <w:numFmt w:val="decimal"/>
      <w:lvlText w:val="（%1）"/>
      <w:lvlJc w:val="left"/>
      <w:pPr>
        <w:ind w:left="120" w:hanging="608"/>
        <w:jc w:val="left"/>
      </w:pPr>
      <w:rPr>
        <w:rFonts w:hint="default" w:ascii="宋体" w:hAnsi="宋体" w:eastAsia="宋体" w:cs="宋体"/>
        <w:spacing w:val="0"/>
        <w:w w:val="100"/>
        <w:sz w:val="22"/>
        <w:szCs w:val="22"/>
        <w:lang w:val="zh-CN" w:eastAsia="zh-CN" w:bidi="zh-CN"/>
      </w:rPr>
    </w:lvl>
    <w:lvl w:ilvl="1">
      <w:start w:val="0"/>
      <w:numFmt w:val="bullet"/>
      <w:lvlText w:val="•"/>
      <w:lvlJc w:val="left"/>
      <w:pPr>
        <w:ind w:left="988" w:hanging="608"/>
      </w:pPr>
      <w:rPr>
        <w:rFonts w:hint="default"/>
        <w:lang w:val="zh-CN" w:eastAsia="zh-CN" w:bidi="zh-CN"/>
      </w:rPr>
    </w:lvl>
    <w:lvl w:ilvl="2">
      <w:start w:val="0"/>
      <w:numFmt w:val="bullet"/>
      <w:lvlText w:val="•"/>
      <w:lvlJc w:val="left"/>
      <w:pPr>
        <w:ind w:left="1857" w:hanging="608"/>
      </w:pPr>
      <w:rPr>
        <w:rFonts w:hint="default"/>
        <w:lang w:val="zh-CN" w:eastAsia="zh-CN" w:bidi="zh-CN"/>
      </w:rPr>
    </w:lvl>
    <w:lvl w:ilvl="3">
      <w:start w:val="0"/>
      <w:numFmt w:val="bullet"/>
      <w:lvlText w:val="•"/>
      <w:lvlJc w:val="left"/>
      <w:pPr>
        <w:ind w:left="2725" w:hanging="608"/>
      </w:pPr>
      <w:rPr>
        <w:rFonts w:hint="default"/>
        <w:lang w:val="zh-CN" w:eastAsia="zh-CN" w:bidi="zh-CN"/>
      </w:rPr>
    </w:lvl>
    <w:lvl w:ilvl="4">
      <w:start w:val="0"/>
      <w:numFmt w:val="bullet"/>
      <w:lvlText w:val="•"/>
      <w:lvlJc w:val="left"/>
      <w:pPr>
        <w:ind w:left="3594" w:hanging="608"/>
      </w:pPr>
      <w:rPr>
        <w:rFonts w:hint="default"/>
        <w:lang w:val="zh-CN" w:eastAsia="zh-CN" w:bidi="zh-CN"/>
      </w:rPr>
    </w:lvl>
    <w:lvl w:ilvl="5">
      <w:start w:val="0"/>
      <w:numFmt w:val="bullet"/>
      <w:lvlText w:val="•"/>
      <w:lvlJc w:val="left"/>
      <w:pPr>
        <w:ind w:left="4463" w:hanging="608"/>
      </w:pPr>
      <w:rPr>
        <w:rFonts w:hint="default"/>
        <w:lang w:val="zh-CN" w:eastAsia="zh-CN" w:bidi="zh-CN"/>
      </w:rPr>
    </w:lvl>
    <w:lvl w:ilvl="6">
      <w:start w:val="0"/>
      <w:numFmt w:val="bullet"/>
      <w:lvlText w:val="•"/>
      <w:lvlJc w:val="left"/>
      <w:pPr>
        <w:ind w:left="5331" w:hanging="608"/>
      </w:pPr>
      <w:rPr>
        <w:rFonts w:hint="default"/>
        <w:lang w:val="zh-CN" w:eastAsia="zh-CN" w:bidi="zh-CN"/>
      </w:rPr>
    </w:lvl>
    <w:lvl w:ilvl="7">
      <w:start w:val="0"/>
      <w:numFmt w:val="bullet"/>
      <w:lvlText w:val="•"/>
      <w:lvlJc w:val="left"/>
      <w:pPr>
        <w:ind w:left="6200" w:hanging="608"/>
      </w:pPr>
      <w:rPr>
        <w:rFonts w:hint="default"/>
        <w:lang w:val="zh-CN" w:eastAsia="zh-CN" w:bidi="zh-CN"/>
      </w:rPr>
    </w:lvl>
    <w:lvl w:ilvl="8">
      <w:start w:val="0"/>
      <w:numFmt w:val="bullet"/>
      <w:lvlText w:val="•"/>
      <w:lvlJc w:val="left"/>
      <w:pPr>
        <w:ind w:left="7069" w:hanging="608"/>
      </w:pPr>
      <w:rPr>
        <w:rFonts w:hint="default"/>
        <w:lang w:val="zh-CN" w:eastAsia="zh-CN" w:bidi="zh-CN"/>
      </w:rPr>
    </w:lvl>
  </w:abstractNum>
  <w:abstractNum w:abstractNumId="3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614" w:hanging="361"/>
        <w:jc w:val="left"/>
      </w:pPr>
      <w:rPr>
        <w:rFonts w:hint="default" w:ascii="Times New Roman" w:hAnsi="Times New Roman" w:eastAsia="Times New Roman" w:cs="Times New Roman"/>
        <w:w w:val="100"/>
        <w:sz w:val="22"/>
        <w:szCs w:val="22"/>
        <w:lang w:val="zh-CN" w:eastAsia="zh-CN" w:bidi="zh-CN"/>
      </w:rPr>
    </w:lvl>
    <w:lvl w:ilvl="2">
      <w:start w:val="0"/>
      <w:numFmt w:val="bullet"/>
      <w:lvlText w:val="•"/>
      <w:lvlJc w:val="left"/>
      <w:pPr>
        <w:ind w:left="2418" w:hanging="361"/>
      </w:pPr>
      <w:rPr>
        <w:rFonts w:hint="default"/>
        <w:lang w:val="zh-CN" w:eastAsia="zh-CN" w:bidi="zh-CN"/>
      </w:rPr>
    </w:lvl>
    <w:lvl w:ilvl="3">
      <w:start w:val="0"/>
      <w:numFmt w:val="bullet"/>
      <w:lvlText w:val="•"/>
      <w:lvlJc w:val="left"/>
      <w:pPr>
        <w:ind w:left="3216"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13" w:hanging="361"/>
      </w:pPr>
      <w:rPr>
        <w:rFonts w:hint="default"/>
        <w:lang w:val="zh-CN" w:eastAsia="zh-CN" w:bidi="zh-CN"/>
      </w:rPr>
    </w:lvl>
    <w:lvl w:ilvl="6">
      <w:start w:val="0"/>
      <w:numFmt w:val="bullet"/>
      <w:lvlText w:val="•"/>
      <w:lvlJc w:val="left"/>
      <w:pPr>
        <w:ind w:left="5612" w:hanging="361"/>
      </w:pPr>
      <w:rPr>
        <w:rFonts w:hint="default"/>
        <w:lang w:val="zh-CN" w:eastAsia="zh-CN" w:bidi="zh-CN"/>
      </w:rPr>
    </w:lvl>
    <w:lvl w:ilvl="7">
      <w:start w:val="0"/>
      <w:numFmt w:val="bullet"/>
      <w:lvlText w:val="•"/>
      <w:lvlJc w:val="left"/>
      <w:pPr>
        <w:ind w:left="6410" w:hanging="361"/>
      </w:pPr>
      <w:rPr>
        <w:rFonts w:hint="default"/>
        <w:lang w:val="zh-CN" w:eastAsia="zh-CN" w:bidi="zh-CN"/>
      </w:rPr>
    </w:lvl>
    <w:lvl w:ilvl="8">
      <w:start w:val="0"/>
      <w:numFmt w:val="bullet"/>
      <w:lvlText w:val="•"/>
      <w:lvlJc w:val="left"/>
      <w:pPr>
        <w:ind w:left="7209" w:hanging="361"/>
      </w:pPr>
      <w:rPr>
        <w:rFonts w:hint="default"/>
        <w:lang w:val="zh-CN" w:eastAsia="zh-CN" w:bidi="zh-CN"/>
      </w:rPr>
    </w:lvl>
  </w:abstractNum>
  <w:abstractNum w:abstractNumId="3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3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33">
    <w:multiLevelType w:val="hybridMultilevel"/>
    <w:lvl w:ilvl="0">
      <w:start w:val="1"/>
      <w:numFmt w:val="decimal"/>
      <w:lvlText w:val="（%1）"/>
      <w:lvlJc w:val="left"/>
      <w:pPr>
        <w:ind w:left="1308" w:hanging="780"/>
        <w:jc w:val="left"/>
      </w:pPr>
      <w:rPr>
        <w:rFonts w:hint="default" w:ascii="宋体" w:hAnsi="宋体" w:eastAsia="宋体" w:cs="宋体"/>
        <w:w w:val="100"/>
        <w:sz w:val="24"/>
        <w:szCs w:val="24"/>
        <w:lang w:val="zh-CN" w:eastAsia="zh-CN" w:bidi="zh-CN"/>
      </w:rPr>
    </w:lvl>
    <w:lvl w:ilvl="1">
      <w:start w:val="0"/>
      <w:numFmt w:val="bullet"/>
      <w:lvlText w:val="•"/>
      <w:lvlJc w:val="left"/>
      <w:pPr>
        <w:ind w:left="2050" w:hanging="780"/>
      </w:pPr>
      <w:rPr>
        <w:rFonts w:hint="default"/>
        <w:lang w:val="zh-CN" w:eastAsia="zh-CN" w:bidi="zh-CN"/>
      </w:rPr>
    </w:lvl>
    <w:lvl w:ilvl="2">
      <w:start w:val="0"/>
      <w:numFmt w:val="bullet"/>
      <w:lvlText w:val="•"/>
      <w:lvlJc w:val="left"/>
      <w:pPr>
        <w:ind w:left="2801" w:hanging="780"/>
      </w:pPr>
      <w:rPr>
        <w:rFonts w:hint="default"/>
        <w:lang w:val="zh-CN" w:eastAsia="zh-CN" w:bidi="zh-CN"/>
      </w:rPr>
    </w:lvl>
    <w:lvl w:ilvl="3">
      <w:start w:val="0"/>
      <w:numFmt w:val="bullet"/>
      <w:lvlText w:val="•"/>
      <w:lvlJc w:val="left"/>
      <w:pPr>
        <w:ind w:left="3551" w:hanging="780"/>
      </w:pPr>
      <w:rPr>
        <w:rFonts w:hint="default"/>
        <w:lang w:val="zh-CN" w:eastAsia="zh-CN" w:bidi="zh-CN"/>
      </w:rPr>
    </w:lvl>
    <w:lvl w:ilvl="4">
      <w:start w:val="0"/>
      <w:numFmt w:val="bullet"/>
      <w:lvlText w:val="•"/>
      <w:lvlJc w:val="left"/>
      <w:pPr>
        <w:ind w:left="4302" w:hanging="780"/>
      </w:pPr>
      <w:rPr>
        <w:rFonts w:hint="default"/>
        <w:lang w:val="zh-CN" w:eastAsia="zh-CN" w:bidi="zh-CN"/>
      </w:rPr>
    </w:lvl>
    <w:lvl w:ilvl="5">
      <w:start w:val="0"/>
      <w:numFmt w:val="bullet"/>
      <w:lvlText w:val="•"/>
      <w:lvlJc w:val="left"/>
      <w:pPr>
        <w:ind w:left="5053" w:hanging="780"/>
      </w:pPr>
      <w:rPr>
        <w:rFonts w:hint="default"/>
        <w:lang w:val="zh-CN" w:eastAsia="zh-CN" w:bidi="zh-CN"/>
      </w:rPr>
    </w:lvl>
    <w:lvl w:ilvl="6">
      <w:start w:val="0"/>
      <w:numFmt w:val="bullet"/>
      <w:lvlText w:val="•"/>
      <w:lvlJc w:val="left"/>
      <w:pPr>
        <w:ind w:left="5803" w:hanging="780"/>
      </w:pPr>
      <w:rPr>
        <w:rFonts w:hint="default"/>
        <w:lang w:val="zh-CN" w:eastAsia="zh-CN" w:bidi="zh-CN"/>
      </w:rPr>
    </w:lvl>
    <w:lvl w:ilvl="7">
      <w:start w:val="0"/>
      <w:numFmt w:val="bullet"/>
      <w:lvlText w:val="•"/>
      <w:lvlJc w:val="left"/>
      <w:pPr>
        <w:ind w:left="6554" w:hanging="780"/>
      </w:pPr>
      <w:rPr>
        <w:rFonts w:hint="default"/>
        <w:lang w:val="zh-CN" w:eastAsia="zh-CN" w:bidi="zh-CN"/>
      </w:rPr>
    </w:lvl>
    <w:lvl w:ilvl="8">
      <w:start w:val="0"/>
      <w:numFmt w:val="bullet"/>
      <w:lvlText w:val="•"/>
      <w:lvlJc w:val="left"/>
      <w:pPr>
        <w:ind w:left="7305" w:hanging="780"/>
      </w:pPr>
      <w:rPr>
        <w:rFonts w:hint="default"/>
        <w:lang w:val="zh-CN" w:eastAsia="zh-CN" w:bidi="zh-CN"/>
      </w:rPr>
    </w:lvl>
  </w:abstractNum>
  <w:abstractNum w:abstractNumId="32">
    <w:multiLevelType w:val="hybridMultilevel"/>
    <w:lvl w:ilvl="0">
      <w:start w:val="1"/>
      <w:numFmt w:val="decimal"/>
      <w:lvlText w:val="（%1）"/>
      <w:lvlJc w:val="left"/>
      <w:pPr>
        <w:ind w:left="1164" w:hanging="624"/>
        <w:jc w:val="left"/>
      </w:pPr>
      <w:rPr>
        <w:rFonts w:hint="default" w:ascii="宋体" w:hAnsi="宋体" w:eastAsia="宋体" w:cs="宋体"/>
        <w:w w:val="100"/>
        <w:sz w:val="24"/>
        <w:szCs w:val="24"/>
        <w:lang w:val="zh-CN" w:eastAsia="zh-CN" w:bidi="zh-CN"/>
      </w:rPr>
    </w:lvl>
    <w:lvl w:ilvl="1">
      <w:start w:val="0"/>
      <w:numFmt w:val="bullet"/>
      <w:lvlText w:val="•"/>
      <w:lvlJc w:val="left"/>
      <w:pPr>
        <w:ind w:left="1924" w:hanging="624"/>
      </w:pPr>
      <w:rPr>
        <w:rFonts w:hint="default"/>
        <w:lang w:val="zh-CN" w:eastAsia="zh-CN" w:bidi="zh-CN"/>
      </w:rPr>
    </w:lvl>
    <w:lvl w:ilvl="2">
      <w:start w:val="0"/>
      <w:numFmt w:val="bullet"/>
      <w:lvlText w:val="•"/>
      <w:lvlJc w:val="left"/>
      <w:pPr>
        <w:ind w:left="2689" w:hanging="624"/>
      </w:pPr>
      <w:rPr>
        <w:rFonts w:hint="default"/>
        <w:lang w:val="zh-CN" w:eastAsia="zh-CN" w:bidi="zh-CN"/>
      </w:rPr>
    </w:lvl>
    <w:lvl w:ilvl="3">
      <w:start w:val="0"/>
      <w:numFmt w:val="bullet"/>
      <w:lvlText w:val="•"/>
      <w:lvlJc w:val="left"/>
      <w:pPr>
        <w:ind w:left="3453" w:hanging="624"/>
      </w:pPr>
      <w:rPr>
        <w:rFonts w:hint="default"/>
        <w:lang w:val="zh-CN" w:eastAsia="zh-CN" w:bidi="zh-CN"/>
      </w:rPr>
    </w:lvl>
    <w:lvl w:ilvl="4">
      <w:start w:val="0"/>
      <w:numFmt w:val="bullet"/>
      <w:lvlText w:val="•"/>
      <w:lvlJc w:val="left"/>
      <w:pPr>
        <w:ind w:left="4218" w:hanging="624"/>
      </w:pPr>
      <w:rPr>
        <w:rFonts w:hint="default"/>
        <w:lang w:val="zh-CN" w:eastAsia="zh-CN" w:bidi="zh-CN"/>
      </w:rPr>
    </w:lvl>
    <w:lvl w:ilvl="5">
      <w:start w:val="0"/>
      <w:numFmt w:val="bullet"/>
      <w:lvlText w:val="•"/>
      <w:lvlJc w:val="left"/>
      <w:pPr>
        <w:ind w:left="4983" w:hanging="624"/>
      </w:pPr>
      <w:rPr>
        <w:rFonts w:hint="default"/>
        <w:lang w:val="zh-CN" w:eastAsia="zh-CN" w:bidi="zh-CN"/>
      </w:rPr>
    </w:lvl>
    <w:lvl w:ilvl="6">
      <w:start w:val="0"/>
      <w:numFmt w:val="bullet"/>
      <w:lvlText w:val="•"/>
      <w:lvlJc w:val="left"/>
      <w:pPr>
        <w:ind w:left="5747" w:hanging="624"/>
      </w:pPr>
      <w:rPr>
        <w:rFonts w:hint="default"/>
        <w:lang w:val="zh-CN" w:eastAsia="zh-CN" w:bidi="zh-CN"/>
      </w:rPr>
    </w:lvl>
    <w:lvl w:ilvl="7">
      <w:start w:val="0"/>
      <w:numFmt w:val="bullet"/>
      <w:lvlText w:val="•"/>
      <w:lvlJc w:val="left"/>
      <w:pPr>
        <w:ind w:left="6512" w:hanging="624"/>
      </w:pPr>
      <w:rPr>
        <w:rFonts w:hint="default"/>
        <w:lang w:val="zh-CN" w:eastAsia="zh-CN" w:bidi="zh-CN"/>
      </w:rPr>
    </w:lvl>
    <w:lvl w:ilvl="8">
      <w:start w:val="0"/>
      <w:numFmt w:val="bullet"/>
      <w:lvlText w:val="•"/>
      <w:lvlJc w:val="left"/>
      <w:pPr>
        <w:ind w:left="7277" w:hanging="624"/>
      </w:pPr>
      <w:rPr>
        <w:rFonts w:hint="default"/>
        <w:lang w:val="zh-CN" w:eastAsia="zh-CN" w:bidi="zh-CN"/>
      </w:rPr>
    </w:lvl>
  </w:abstractNum>
  <w:abstractNum w:abstractNumId="31">
    <w:multiLevelType w:val="hybridMultilevel"/>
    <w:lvl w:ilvl="0">
      <w:start w:val="1"/>
      <w:numFmt w:val="decimal"/>
      <w:lvlText w:val="（%1）"/>
      <w:lvlJc w:val="left"/>
      <w:pPr>
        <w:ind w:left="1253" w:hanging="713"/>
        <w:jc w:val="left"/>
      </w:pPr>
      <w:rPr>
        <w:rFonts w:hint="default" w:ascii="宋体" w:hAnsi="宋体" w:eastAsia="宋体" w:cs="宋体"/>
        <w:w w:val="100"/>
        <w:sz w:val="24"/>
        <w:szCs w:val="24"/>
        <w:lang w:val="zh-CN" w:eastAsia="zh-CN" w:bidi="zh-CN"/>
      </w:rPr>
    </w:lvl>
    <w:lvl w:ilvl="1">
      <w:start w:val="0"/>
      <w:numFmt w:val="bullet"/>
      <w:lvlText w:val="•"/>
      <w:lvlJc w:val="left"/>
      <w:pPr>
        <w:ind w:left="2014" w:hanging="713"/>
      </w:pPr>
      <w:rPr>
        <w:rFonts w:hint="default"/>
        <w:lang w:val="zh-CN" w:eastAsia="zh-CN" w:bidi="zh-CN"/>
      </w:rPr>
    </w:lvl>
    <w:lvl w:ilvl="2">
      <w:start w:val="0"/>
      <w:numFmt w:val="bullet"/>
      <w:lvlText w:val="•"/>
      <w:lvlJc w:val="left"/>
      <w:pPr>
        <w:ind w:left="2769" w:hanging="713"/>
      </w:pPr>
      <w:rPr>
        <w:rFonts w:hint="default"/>
        <w:lang w:val="zh-CN" w:eastAsia="zh-CN" w:bidi="zh-CN"/>
      </w:rPr>
    </w:lvl>
    <w:lvl w:ilvl="3">
      <w:start w:val="0"/>
      <w:numFmt w:val="bullet"/>
      <w:lvlText w:val="•"/>
      <w:lvlJc w:val="left"/>
      <w:pPr>
        <w:ind w:left="3523" w:hanging="713"/>
      </w:pPr>
      <w:rPr>
        <w:rFonts w:hint="default"/>
        <w:lang w:val="zh-CN" w:eastAsia="zh-CN" w:bidi="zh-CN"/>
      </w:rPr>
    </w:lvl>
    <w:lvl w:ilvl="4">
      <w:start w:val="0"/>
      <w:numFmt w:val="bullet"/>
      <w:lvlText w:val="•"/>
      <w:lvlJc w:val="left"/>
      <w:pPr>
        <w:ind w:left="4278" w:hanging="713"/>
      </w:pPr>
      <w:rPr>
        <w:rFonts w:hint="default"/>
        <w:lang w:val="zh-CN" w:eastAsia="zh-CN" w:bidi="zh-CN"/>
      </w:rPr>
    </w:lvl>
    <w:lvl w:ilvl="5">
      <w:start w:val="0"/>
      <w:numFmt w:val="bullet"/>
      <w:lvlText w:val="•"/>
      <w:lvlJc w:val="left"/>
      <w:pPr>
        <w:ind w:left="5033" w:hanging="713"/>
      </w:pPr>
      <w:rPr>
        <w:rFonts w:hint="default"/>
        <w:lang w:val="zh-CN" w:eastAsia="zh-CN" w:bidi="zh-CN"/>
      </w:rPr>
    </w:lvl>
    <w:lvl w:ilvl="6">
      <w:start w:val="0"/>
      <w:numFmt w:val="bullet"/>
      <w:lvlText w:val="•"/>
      <w:lvlJc w:val="left"/>
      <w:pPr>
        <w:ind w:left="5787" w:hanging="713"/>
      </w:pPr>
      <w:rPr>
        <w:rFonts w:hint="default"/>
        <w:lang w:val="zh-CN" w:eastAsia="zh-CN" w:bidi="zh-CN"/>
      </w:rPr>
    </w:lvl>
    <w:lvl w:ilvl="7">
      <w:start w:val="0"/>
      <w:numFmt w:val="bullet"/>
      <w:lvlText w:val="•"/>
      <w:lvlJc w:val="left"/>
      <w:pPr>
        <w:ind w:left="6542" w:hanging="713"/>
      </w:pPr>
      <w:rPr>
        <w:rFonts w:hint="default"/>
        <w:lang w:val="zh-CN" w:eastAsia="zh-CN" w:bidi="zh-CN"/>
      </w:rPr>
    </w:lvl>
    <w:lvl w:ilvl="8">
      <w:start w:val="0"/>
      <w:numFmt w:val="bullet"/>
      <w:lvlText w:val="•"/>
      <w:lvlJc w:val="left"/>
      <w:pPr>
        <w:ind w:left="7297" w:hanging="713"/>
      </w:pPr>
      <w:rPr>
        <w:rFonts w:hint="default"/>
        <w:lang w:val="zh-CN" w:eastAsia="zh-CN" w:bidi="zh-CN"/>
      </w:rPr>
    </w:lvl>
  </w:abstractNum>
  <w:abstractNum w:abstractNumId="30">
    <w:multiLevelType w:val="hybridMultilevel"/>
    <w:lvl w:ilvl="0">
      <w:start w:val="1"/>
      <w:numFmt w:val="decimal"/>
      <w:lvlText w:val="（%1）"/>
      <w:lvlJc w:val="left"/>
      <w:pPr>
        <w:ind w:left="1260" w:hanging="720"/>
        <w:jc w:val="left"/>
      </w:pPr>
      <w:rPr>
        <w:rFonts w:hint="default" w:ascii="宋体" w:hAnsi="宋体" w:eastAsia="宋体" w:cs="宋体"/>
        <w:spacing w:val="-60"/>
        <w:w w:val="100"/>
        <w:sz w:val="24"/>
        <w:szCs w:val="24"/>
        <w:lang w:val="zh-CN" w:eastAsia="zh-CN" w:bidi="zh-CN"/>
      </w:rPr>
    </w:lvl>
    <w:lvl w:ilvl="1">
      <w:start w:val="0"/>
      <w:numFmt w:val="bullet"/>
      <w:lvlText w:val="•"/>
      <w:lvlJc w:val="left"/>
      <w:pPr>
        <w:ind w:left="2014" w:hanging="720"/>
      </w:pPr>
      <w:rPr>
        <w:rFonts w:hint="default"/>
        <w:lang w:val="zh-CN" w:eastAsia="zh-CN" w:bidi="zh-CN"/>
      </w:rPr>
    </w:lvl>
    <w:lvl w:ilvl="2">
      <w:start w:val="0"/>
      <w:numFmt w:val="bullet"/>
      <w:lvlText w:val="•"/>
      <w:lvlJc w:val="left"/>
      <w:pPr>
        <w:ind w:left="2769" w:hanging="720"/>
      </w:pPr>
      <w:rPr>
        <w:rFonts w:hint="default"/>
        <w:lang w:val="zh-CN" w:eastAsia="zh-CN" w:bidi="zh-CN"/>
      </w:rPr>
    </w:lvl>
    <w:lvl w:ilvl="3">
      <w:start w:val="0"/>
      <w:numFmt w:val="bullet"/>
      <w:lvlText w:val="•"/>
      <w:lvlJc w:val="left"/>
      <w:pPr>
        <w:ind w:left="3523" w:hanging="720"/>
      </w:pPr>
      <w:rPr>
        <w:rFonts w:hint="default"/>
        <w:lang w:val="zh-CN" w:eastAsia="zh-CN" w:bidi="zh-CN"/>
      </w:rPr>
    </w:lvl>
    <w:lvl w:ilvl="4">
      <w:start w:val="0"/>
      <w:numFmt w:val="bullet"/>
      <w:lvlText w:val="•"/>
      <w:lvlJc w:val="left"/>
      <w:pPr>
        <w:ind w:left="4278" w:hanging="720"/>
      </w:pPr>
      <w:rPr>
        <w:rFonts w:hint="default"/>
        <w:lang w:val="zh-CN" w:eastAsia="zh-CN" w:bidi="zh-CN"/>
      </w:rPr>
    </w:lvl>
    <w:lvl w:ilvl="5">
      <w:start w:val="0"/>
      <w:numFmt w:val="bullet"/>
      <w:lvlText w:val="•"/>
      <w:lvlJc w:val="left"/>
      <w:pPr>
        <w:ind w:left="5033" w:hanging="720"/>
      </w:pPr>
      <w:rPr>
        <w:rFonts w:hint="default"/>
        <w:lang w:val="zh-CN" w:eastAsia="zh-CN" w:bidi="zh-CN"/>
      </w:rPr>
    </w:lvl>
    <w:lvl w:ilvl="6">
      <w:start w:val="0"/>
      <w:numFmt w:val="bullet"/>
      <w:lvlText w:val="•"/>
      <w:lvlJc w:val="left"/>
      <w:pPr>
        <w:ind w:left="5787" w:hanging="720"/>
      </w:pPr>
      <w:rPr>
        <w:rFonts w:hint="default"/>
        <w:lang w:val="zh-CN" w:eastAsia="zh-CN" w:bidi="zh-CN"/>
      </w:rPr>
    </w:lvl>
    <w:lvl w:ilvl="7">
      <w:start w:val="0"/>
      <w:numFmt w:val="bullet"/>
      <w:lvlText w:val="•"/>
      <w:lvlJc w:val="left"/>
      <w:pPr>
        <w:ind w:left="6542" w:hanging="720"/>
      </w:pPr>
      <w:rPr>
        <w:rFonts w:hint="default"/>
        <w:lang w:val="zh-CN" w:eastAsia="zh-CN" w:bidi="zh-CN"/>
      </w:rPr>
    </w:lvl>
    <w:lvl w:ilvl="8">
      <w:start w:val="0"/>
      <w:numFmt w:val="bullet"/>
      <w:lvlText w:val="•"/>
      <w:lvlJc w:val="left"/>
      <w:pPr>
        <w:ind w:left="7297" w:hanging="720"/>
      </w:pPr>
      <w:rPr>
        <w:rFonts w:hint="default"/>
        <w:lang w:val="zh-CN" w:eastAsia="zh-CN" w:bidi="zh-CN"/>
      </w:rPr>
    </w:lvl>
  </w:abstractNum>
  <w:abstractNum w:abstractNumId="29">
    <w:multiLevelType w:val="hybridMultilevel"/>
    <w:lvl w:ilvl="0">
      <w:start w:val="1"/>
      <w:numFmt w:val="decimal"/>
      <w:lvlText w:val="（%1）"/>
      <w:lvlJc w:val="left"/>
      <w:pPr>
        <w:ind w:left="1260" w:hanging="720"/>
        <w:jc w:val="left"/>
      </w:pPr>
      <w:rPr>
        <w:rFonts w:hint="default" w:ascii="宋体" w:hAnsi="宋体" w:eastAsia="宋体" w:cs="宋体"/>
        <w:w w:val="100"/>
        <w:sz w:val="24"/>
        <w:szCs w:val="24"/>
        <w:lang w:val="zh-CN" w:eastAsia="zh-CN" w:bidi="zh-CN"/>
      </w:rPr>
    </w:lvl>
    <w:lvl w:ilvl="1">
      <w:start w:val="0"/>
      <w:numFmt w:val="bullet"/>
      <w:lvlText w:val="•"/>
      <w:lvlJc w:val="left"/>
      <w:pPr>
        <w:ind w:left="2014" w:hanging="720"/>
      </w:pPr>
      <w:rPr>
        <w:rFonts w:hint="default"/>
        <w:lang w:val="zh-CN" w:eastAsia="zh-CN" w:bidi="zh-CN"/>
      </w:rPr>
    </w:lvl>
    <w:lvl w:ilvl="2">
      <w:start w:val="0"/>
      <w:numFmt w:val="bullet"/>
      <w:lvlText w:val="•"/>
      <w:lvlJc w:val="left"/>
      <w:pPr>
        <w:ind w:left="2769" w:hanging="720"/>
      </w:pPr>
      <w:rPr>
        <w:rFonts w:hint="default"/>
        <w:lang w:val="zh-CN" w:eastAsia="zh-CN" w:bidi="zh-CN"/>
      </w:rPr>
    </w:lvl>
    <w:lvl w:ilvl="3">
      <w:start w:val="0"/>
      <w:numFmt w:val="bullet"/>
      <w:lvlText w:val="•"/>
      <w:lvlJc w:val="left"/>
      <w:pPr>
        <w:ind w:left="3523" w:hanging="720"/>
      </w:pPr>
      <w:rPr>
        <w:rFonts w:hint="default"/>
        <w:lang w:val="zh-CN" w:eastAsia="zh-CN" w:bidi="zh-CN"/>
      </w:rPr>
    </w:lvl>
    <w:lvl w:ilvl="4">
      <w:start w:val="0"/>
      <w:numFmt w:val="bullet"/>
      <w:lvlText w:val="•"/>
      <w:lvlJc w:val="left"/>
      <w:pPr>
        <w:ind w:left="4278" w:hanging="720"/>
      </w:pPr>
      <w:rPr>
        <w:rFonts w:hint="default"/>
        <w:lang w:val="zh-CN" w:eastAsia="zh-CN" w:bidi="zh-CN"/>
      </w:rPr>
    </w:lvl>
    <w:lvl w:ilvl="5">
      <w:start w:val="0"/>
      <w:numFmt w:val="bullet"/>
      <w:lvlText w:val="•"/>
      <w:lvlJc w:val="left"/>
      <w:pPr>
        <w:ind w:left="5033" w:hanging="720"/>
      </w:pPr>
      <w:rPr>
        <w:rFonts w:hint="default"/>
        <w:lang w:val="zh-CN" w:eastAsia="zh-CN" w:bidi="zh-CN"/>
      </w:rPr>
    </w:lvl>
    <w:lvl w:ilvl="6">
      <w:start w:val="0"/>
      <w:numFmt w:val="bullet"/>
      <w:lvlText w:val="•"/>
      <w:lvlJc w:val="left"/>
      <w:pPr>
        <w:ind w:left="5787" w:hanging="720"/>
      </w:pPr>
      <w:rPr>
        <w:rFonts w:hint="default"/>
        <w:lang w:val="zh-CN" w:eastAsia="zh-CN" w:bidi="zh-CN"/>
      </w:rPr>
    </w:lvl>
    <w:lvl w:ilvl="7">
      <w:start w:val="0"/>
      <w:numFmt w:val="bullet"/>
      <w:lvlText w:val="•"/>
      <w:lvlJc w:val="left"/>
      <w:pPr>
        <w:ind w:left="6542" w:hanging="720"/>
      </w:pPr>
      <w:rPr>
        <w:rFonts w:hint="default"/>
        <w:lang w:val="zh-CN" w:eastAsia="zh-CN" w:bidi="zh-CN"/>
      </w:rPr>
    </w:lvl>
    <w:lvl w:ilvl="8">
      <w:start w:val="0"/>
      <w:numFmt w:val="bullet"/>
      <w:lvlText w:val="•"/>
      <w:lvlJc w:val="left"/>
      <w:pPr>
        <w:ind w:left="7297" w:hanging="720"/>
      </w:pPr>
      <w:rPr>
        <w:rFonts w:hint="default"/>
        <w:lang w:val="zh-CN" w:eastAsia="zh-CN" w:bidi="zh-CN"/>
      </w:rPr>
    </w:lvl>
  </w:abstractNum>
  <w:abstractNum w:abstractNumId="2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27">
    <w:multiLevelType w:val="hybridMultilevel"/>
    <w:lvl w:ilvl="0">
      <w:start w:val="1"/>
      <w:numFmt w:val="decimal"/>
      <w:lvlText w:val="（%1）"/>
      <w:lvlJc w:val="left"/>
      <w:pPr>
        <w:ind w:left="120" w:hanging="601"/>
        <w:jc w:val="left"/>
      </w:pPr>
      <w:rPr>
        <w:rFonts w:hint="default" w:ascii="宋体" w:hAnsi="宋体" w:eastAsia="宋体" w:cs="宋体"/>
        <w:spacing w:val="-77"/>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26">
    <w:multiLevelType w:val="hybridMultilevel"/>
    <w:lvl w:ilvl="0">
      <w:start w:val="1"/>
      <w:numFmt w:val="decimal"/>
      <w:lvlText w:val="（%1）"/>
      <w:lvlJc w:val="left"/>
      <w:pPr>
        <w:ind w:left="120" w:hanging="601"/>
        <w:jc w:val="left"/>
      </w:pPr>
      <w:rPr>
        <w:rFonts w:hint="default" w:ascii="宋体" w:hAnsi="宋体" w:eastAsia="宋体" w:cs="宋体"/>
        <w:spacing w:val="-77"/>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2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2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23">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2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21">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20">
    <w:multiLevelType w:val="hybridMultilevel"/>
    <w:lvl w:ilvl="0">
      <w:start w:val="1"/>
      <w:numFmt w:val="decimal"/>
      <w:lvlText w:val="（%1）"/>
      <w:lvlJc w:val="left"/>
      <w:pPr>
        <w:ind w:left="120" w:hanging="601"/>
        <w:jc w:val="left"/>
      </w:pPr>
      <w:rPr>
        <w:rFonts w:hint="default" w:ascii="宋体" w:hAnsi="宋体" w:eastAsia="宋体" w:cs="宋体"/>
        <w:spacing w:val="-47"/>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19">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1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1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1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15">
    <w:multiLevelType w:val="hybridMultilevel"/>
    <w:lvl w:ilvl="0">
      <w:start w:val="1"/>
      <w:numFmt w:val="decimal"/>
      <w:lvlText w:val="（%1）"/>
      <w:lvlJc w:val="left"/>
      <w:pPr>
        <w:ind w:left="1380" w:hanging="780"/>
        <w:jc w:val="left"/>
      </w:pPr>
      <w:rPr>
        <w:rFonts w:hint="default" w:ascii="宋体" w:hAnsi="宋体" w:eastAsia="宋体" w:cs="宋体"/>
        <w:w w:val="100"/>
        <w:sz w:val="24"/>
        <w:szCs w:val="24"/>
        <w:lang w:val="zh-CN" w:eastAsia="zh-CN" w:bidi="zh-CN"/>
      </w:rPr>
    </w:lvl>
    <w:lvl w:ilvl="1">
      <w:start w:val="0"/>
      <w:numFmt w:val="bullet"/>
      <w:lvlText w:val="•"/>
      <w:lvlJc w:val="left"/>
      <w:pPr>
        <w:ind w:left="2122" w:hanging="780"/>
      </w:pPr>
      <w:rPr>
        <w:rFonts w:hint="default"/>
        <w:lang w:val="zh-CN" w:eastAsia="zh-CN" w:bidi="zh-CN"/>
      </w:rPr>
    </w:lvl>
    <w:lvl w:ilvl="2">
      <w:start w:val="0"/>
      <w:numFmt w:val="bullet"/>
      <w:lvlText w:val="•"/>
      <w:lvlJc w:val="left"/>
      <w:pPr>
        <w:ind w:left="2865" w:hanging="780"/>
      </w:pPr>
      <w:rPr>
        <w:rFonts w:hint="default"/>
        <w:lang w:val="zh-CN" w:eastAsia="zh-CN" w:bidi="zh-CN"/>
      </w:rPr>
    </w:lvl>
    <w:lvl w:ilvl="3">
      <w:start w:val="0"/>
      <w:numFmt w:val="bullet"/>
      <w:lvlText w:val="•"/>
      <w:lvlJc w:val="left"/>
      <w:pPr>
        <w:ind w:left="3607" w:hanging="780"/>
      </w:pPr>
      <w:rPr>
        <w:rFonts w:hint="default"/>
        <w:lang w:val="zh-CN" w:eastAsia="zh-CN" w:bidi="zh-CN"/>
      </w:rPr>
    </w:lvl>
    <w:lvl w:ilvl="4">
      <w:start w:val="0"/>
      <w:numFmt w:val="bullet"/>
      <w:lvlText w:val="•"/>
      <w:lvlJc w:val="left"/>
      <w:pPr>
        <w:ind w:left="4350" w:hanging="780"/>
      </w:pPr>
      <w:rPr>
        <w:rFonts w:hint="default"/>
        <w:lang w:val="zh-CN" w:eastAsia="zh-CN" w:bidi="zh-CN"/>
      </w:rPr>
    </w:lvl>
    <w:lvl w:ilvl="5">
      <w:start w:val="0"/>
      <w:numFmt w:val="bullet"/>
      <w:lvlText w:val="•"/>
      <w:lvlJc w:val="left"/>
      <w:pPr>
        <w:ind w:left="5093" w:hanging="780"/>
      </w:pPr>
      <w:rPr>
        <w:rFonts w:hint="default"/>
        <w:lang w:val="zh-CN" w:eastAsia="zh-CN" w:bidi="zh-CN"/>
      </w:rPr>
    </w:lvl>
    <w:lvl w:ilvl="6">
      <w:start w:val="0"/>
      <w:numFmt w:val="bullet"/>
      <w:lvlText w:val="•"/>
      <w:lvlJc w:val="left"/>
      <w:pPr>
        <w:ind w:left="5835" w:hanging="780"/>
      </w:pPr>
      <w:rPr>
        <w:rFonts w:hint="default"/>
        <w:lang w:val="zh-CN" w:eastAsia="zh-CN" w:bidi="zh-CN"/>
      </w:rPr>
    </w:lvl>
    <w:lvl w:ilvl="7">
      <w:start w:val="0"/>
      <w:numFmt w:val="bullet"/>
      <w:lvlText w:val="•"/>
      <w:lvlJc w:val="left"/>
      <w:pPr>
        <w:ind w:left="6578" w:hanging="780"/>
      </w:pPr>
      <w:rPr>
        <w:rFonts w:hint="default"/>
        <w:lang w:val="zh-CN" w:eastAsia="zh-CN" w:bidi="zh-CN"/>
      </w:rPr>
    </w:lvl>
    <w:lvl w:ilvl="8">
      <w:start w:val="0"/>
      <w:numFmt w:val="bullet"/>
      <w:lvlText w:val="•"/>
      <w:lvlJc w:val="left"/>
      <w:pPr>
        <w:ind w:left="7321" w:hanging="780"/>
      </w:pPr>
      <w:rPr>
        <w:rFonts w:hint="default"/>
        <w:lang w:val="zh-CN" w:eastAsia="zh-CN" w:bidi="zh-CN"/>
      </w:rPr>
    </w:lvl>
  </w:abstractNum>
  <w:abstractNum w:abstractNumId="14">
    <w:multiLevelType w:val="hybridMultilevel"/>
    <w:lvl w:ilvl="0">
      <w:start w:val="1"/>
      <w:numFmt w:val="decimal"/>
      <w:lvlText w:val="（%1）"/>
      <w:lvlJc w:val="left"/>
      <w:pPr>
        <w:ind w:left="1380" w:hanging="780"/>
        <w:jc w:val="left"/>
      </w:pPr>
      <w:rPr>
        <w:rFonts w:hint="default" w:ascii="宋体" w:hAnsi="宋体" w:eastAsia="宋体" w:cs="宋体"/>
        <w:w w:val="100"/>
        <w:sz w:val="24"/>
        <w:szCs w:val="24"/>
        <w:lang w:val="zh-CN" w:eastAsia="zh-CN" w:bidi="zh-CN"/>
      </w:rPr>
    </w:lvl>
    <w:lvl w:ilvl="1">
      <w:start w:val="0"/>
      <w:numFmt w:val="bullet"/>
      <w:lvlText w:val="•"/>
      <w:lvlJc w:val="left"/>
      <w:pPr>
        <w:ind w:left="2122" w:hanging="780"/>
      </w:pPr>
      <w:rPr>
        <w:rFonts w:hint="default"/>
        <w:lang w:val="zh-CN" w:eastAsia="zh-CN" w:bidi="zh-CN"/>
      </w:rPr>
    </w:lvl>
    <w:lvl w:ilvl="2">
      <w:start w:val="0"/>
      <w:numFmt w:val="bullet"/>
      <w:lvlText w:val="•"/>
      <w:lvlJc w:val="left"/>
      <w:pPr>
        <w:ind w:left="2865" w:hanging="780"/>
      </w:pPr>
      <w:rPr>
        <w:rFonts w:hint="default"/>
        <w:lang w:val="zh-CN" w:eastAsia="zh-CN" w:bidi="zh-CN"/>
      </w:rPr>
    </w:lvl>
    <w:lvl w:ilvl="3">
      <w:start w:val="0"/>
      <w:numFmt w:val="bullet"/>
      <w:lvlText w:val="•"/>
      <w:lvlJc w:val="left"/>
      <w:pPr>
        <w:ind w:left="3607" w:hanging="780"/>
      </w:pPr>
      <w:rPr>
        <w:rFonts w:hint="default"/>
        <w:lang w:val="zh-CN" w:eastAsia="zh-CN" w:bidi="zh-CN"/>
      </w:rPr>
    </w:lvl>
    <w:lvl w:ilvl="4">
      <w:start w:val="0"/>
      <w:numFmt w:val="bullet"/>
      <w:lvlText w:val="•"/>
      <w:lvlJc w:val="left"/>
      <w:pPr>
        <w:ind w:left="4350" w:hanging="780"/>
      </w:pPr>
      <w:rPr>
        <w:rFonts w:hint="default"/>
        <w:lang w:val="zh-CN" w:eastAsia="zh-CN" w:bidi="zh-CN"/>
      </w:rPr>
    </w:lvl>
    <w:lvl w:ilvl="5">
      <w:start w:val="0"/>
      <w:numFmt w:val="bullet"/>
      <w:lvlText w:val="•"/>
      <w:lvlJc w:val="left"/>
      <w:pPr>
        <w:ind w:left="5093" w:hanging="780"/>
      </w:pPr>
      <w:rPr>
        <w:rFonts w:hint="default"/>
        <w:lang w:val="zh-CN" w:eastAsia="zh-CN" w:bidi="zh-CN"/>
      </w:rPr>
    </w:lvl>
    <w:lvl w:ilvl="6">
      <w:start w:val="0"/>
      <w:numFmt w:val="bullet"/>
      <w:lvlText w:val="•"/>
      <w:lvlJc w:val="left"/>
      <w:pPr>
        <w:ind w:left="5835" w:hanging="780"/>
      </w:pPr>
      <w:rPr>
        <w:rFonts w:hint="default"/>
        <w:lang w:val="zh-CN" w:eastAsia="zh-CN" w:bidi="zh-CN"/>
      </w:rPr>
    </w:lvl>
    <w:lvl w:ilvl="7">
      <w:start w:val="0"/>
      <w:numFmt w:val="bullet"/>
      <w:lvlText w:val="•"/>
      <w:lvlJc w:val="left"/>
      <w:pPr>
        <w:ind w:left="6578" w:hanging="780"/>
      </w:pPr>
      <w:rPr>
        <w:rFonts w:hint="default"/>
        <w:lang w:val="zh-CN" w:eastAsia="zh-CN" w:bidi="zh-CN"/>
      </w:rPr>
    </w:lvl>
    <w:lvl w:ilvl="8">
      <w:start w:val="0"/>
      <w:numFmt w:val="bullet"/>
      <w:lvlText w:val="•"/>
      <w:lvlJc w:val="left"/>
      <w:pPr>
        <w:ind w:left="7321" w:hanging="780"/>
      </w:pPr>
      <w:rPr>
        <w:rFonts w:hint="default"/>
        <w:lang w:val="zh-CN" w:eastAsia="zh-CN" w:bidi="zh-CN"/>
      </w:rPr>
    </w:lvl>
  </w:abstractNum>
  <w:abstractNum w:abstractNumId="13">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4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13" w:hanging="361"/>
      </w:pPr>
      <w:rPr>
        <w:rFonts w:hint="default"/>
        <w:lang w:val="zh-CN" w:eastAsia="zh-CN" w:bidi="zh-CN"/>
      </w:rPr>
    </w:lvl>
    <w:lvl w:ilvl="4">
      <w:start w:val="0"/>
      <w:numFmt w:val="bullet"/>
      <w:lvlText w:val="•"/>
      <w:lvlJc w:val="left"/>
      <w:pPr>
        <w:ind w:left="4098" w:hanging="361"/>
      </w:pPr>
      <w:rPr>
        <w:rFonts w:hint="default"/>
        <w:lang w:val="zh-CN" w:eastAsia="zh-CN" w:bidi="zh-CN"/>
      </w:rPr>
    </w:lvl>
    <w:lvl w:ilvl="5">
      <w:start w:val="0"/>
      <w:numFmt w:val="bullet"/>
      <w:lvlText w:val="•"/>
      <w:lvlJc w:val="left"/>
      <w:pPr>
        <w:ind w:left="4883" w:hanging="361"/>
      </w:pPr>
      <w:rPr>
        <w:rFonts w:hint="default"/>
        <w:lang w:val="zh-CN" w:eastAsia="zh-CN" w:bidi="zh-CN"/>
      </w:rPr>
    </w:lvl>
    <w:lvl w:ilvl="6">
      <w:start w:val="0"/>
      <w:numFmt w:val="bullet"/>
      <w:lvlText w:val="•"/>
      <w:lvlJc w:val="left"/>
      <w:pPr>
        <w:ind w:left="5667" w:hanging="361"/>
      </w:pPr>
      <w:rPr>
        <w:rFonts w:hint="default"/>
        <w:lang w:val="zh-CN" w:eastAsia="zh-CN" w:bidi="zh-CN"/>
      </w:rPr>
    </w:lvl>
    <w:lvl w:ilvl="7">
      <w:start w:val="0"/>
      <w:numFmt w:val="bullet"/>
      <w:lvlText w:val="•"/>
      <w:lvlJc w:val="left"/>
      <w:pPr>
        <w:ind w:left="6452" w:hanging="361"/>
      </w:pPr>
      <w:rPr>
        <w:rFonts w:hint="default"/>
        <w:lang w:val="zh-CN" w:eastAsia="zh-CN" w:bidi="zh-CN"/>
      </w:rPr>
    </w:lvl>
    <w:lvl w:ilvl="8">
      <w:start w:val="0"/>
      <w:numFmt w:val="bullet"/>
      <w:lvlText w:val="•"/>
      <w:lvlJc w:val="left"/>
      <w:pPr>
        <w:ind w:left="7237" w:hanging="361"/>
      </w:pPr>
      <w:rPr>
        <w:rFonts w:hint="default"/>
        <w:lang w:val="zh-CN" w:eastAsia="zh-CN" w:bidi="zh-CN"/>
      </w:rPr>
    </w:lvl>
  </w:abstractNum>
  <w:abstractNum w:abstractNumId="12">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15"/>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1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10">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15"/>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9">
    <w:multiLevelType w:val="hybridMultilevel"/>
    <w:lvl w:ilvl="0">
      <w:start w:val="12"/>
      <w:numFmt w:val="decimal"/>
      <w:lvlText w:val="%1）"/>
      <w:lvlJc w:val="left"/>
      <w:pPr>
        <w:ind w:left="120" w:hanging="481"/>
        <w:jc w:val="left"/>
      </w:pPr>
      <w:rPr>
        <w:rFonts w:hint="default" w:ascii="Times New Roman" w:hAnsi="Times New Roman" w:eastAsia="Times New Roman" w:cs="Times New Roman"/>
        <w:spacing w:val="-18"/>
        <w:w w:val="100"/>
        <w:sz w:val="22"/>
        <w:szCs w:val="22"/>
        <w:lang w:val="zh-CN" w:eastAsia="zh-CN" w:bidi="zh-CN"/>
      </w:rPr>
    </w:lvl>
    <w:lvl w:ilvl="1">
      <w:start w:val="0"/>
      <w:numFmt w:val="bullet"/>
      <w:lvlText w:val="•"/>
      <w:lvlJc w:val="left"/>
      <w:pPr>
        <w:ind w:left="988" w:hanging="481"/>
      </w:pPr>
      <w:rPr>
        <w:rFonts w:hint="default"/>
        <w:lang w:val="zh-CN" w:eastAsia="zh-CN" w:bidi="zh-CN"/>
      </w:rPr>
    </w:lvl>
    <w:lvl w:ilvl="2">
      <w:start w:val="0"/>
      <w:numFmt w:val="bullet"/>
      <w:lvlText w:val="•"/>
      <w:lvlJc w:val="left"/>
      <w:pPr>
        <w:ind w:left="1857" w:hanging="481"/>
      </w:pPr>
      <w:rPr>
        <w:rFonts w:hint="default"/>
        <w:lang w:val="zh-CN" w:eastAsia="zh-CN" w:bidi="zh-CN"/>
      </w:rPr>
    </w:lvl>
    <w:lvl w:ilvl="3">
      <w:start w:val="0"/>
      <w:numFmt w:val="bullet"/>
      <w:lvlText w:val="•"/>
      <w:lvlJc w:val="left"/>
      <w:pPr>
        <w:ind w:left="2725" w:hanging="481"/>
      </w:pPr>
      <w:rPr>
        <w:rFonts w:hint="default"/>
        <w:lang w:val="zh-CN" w:eastAsia="zh-CN" w:bidi="zh-CN"/>
      </w:rPr>
    </w:lvl>
    <w:lvl w:ilvl="4">
      <w:start w:val="0"/>
      <w:numFmt w:val="bullet"/>
      <w:lvlText w:val="•"/>
      <w:lvlJc w:val="left"/>
      <w:pPr>
        <w:ind w:left="3594" w:hanging="481"/>
      </w:pPr>
      <w:rPr>
        <w:rFonts w:hint="default"/>
        <w:lang w:val="zh-CN" w:eastAsia="zh-CN" w:bidi="zh-CN"/>
      </w:rPr>
    </w:lvl>
    <w:lvl w:ilvl="5">
      <w:start w:val="0"/>
      <w:numFmt w:val="bullet"/>
      <w:lvlText w:val="•"/>
      <w:lvlJc w:val="left"/>
      <w:pPr>
        <w:ind w:left="4463" w:hanging="481"/>
      </w:pPr>
      <w:rPr>
        <w:rFonts w:hint="default"/>
        <w:lang w:val="zh-CN" w:eastAsia="zh-CN" w:bidi="zh-CN"/>
      </w:rPr>
    </w:lvl>
    <w:lvl w:ilvl="6">
      <w:start w:val="0"/>
      <w:numFmt w:val="bullet"/>
      <w:lvlText w:val="•"/>
      <w:lvlJc w:val="left"/>
      <w:pPr>
        <w:ind w:left="5331" w:hanging="481"/>
      </w:pPr>
      <w:rPr>
        <w:rFonts w:hint="default"/>
        <w:lang w:val="zh-CN" w:eastAsia="zh-CN" w:bidi="zh-CN"/>
      </w:rPr>
    </w:lvl>
    <w:lvl w:ilvl="7">
      <w:start w:val="0"/>
      <w:numFmt w:val="bullet"/>
      <w:lvlText w:val="•"/>
      <w:lvlJc w:val="left"/>
      <w:pPr>
        <w:ind w:left="6200" w:hanging="481"/>
      </w:pPr>
      <w:rPr>
        <w:rFonts w:hint="default"/>
        <w:lang w:val="zh-CN" w:eastAsia="zh-CN" w:bidi="zh-CN"/>
      </w:rPr>
    </w:lvl>
    <w:lvl w:ilvl="8">
      <w:start w:val="0"/>
      <w:numFmt w:val="bullet"/>
      <w:lvlText w:val="•"/>
      <w:lvlJc w:val="left"/>
      <w:pPr>
        <w:ind w:left="7069" w:hanging="481"/>
      </w:pPr>
      <w:rPr>
        <w:rFonts w:hint="default"/>
        <w:lang w:val="zh-CN" w:eastAsia="zh-CN" w:bidi="zh-CN"/>
      </w:rPr>
    </w:lvl>
  </w:abstractNum>
  <w:abstractNum w:abstractNumId="8">
    <w:multiLevelType w:val="hybridMultilevel"/>
    <w:lvl w:ilvl="0">
      <w:start w:val="10"/>
      <w:numFmt w:val="decimal"/>
      <w:lvlText w:val="%1)"/>
      <w:lvlJc w:val="left"/>
      <w:pPr>
        <w:ind w:left="1039" w:hanging="440"/>
        <w:jc w:val="left"/>
      </w:pPr>
      <w:rPr>
        <w:rFonts w:hint="default" w:ascii="Times New Roman" w:hAnsi="Times New Roman" w:eastAsia="Times New Roman" w:cs="Times New Roman"/>
        <w:spacing w:val="-1"/>
        <w:w w:val="99"/>
        <w:sz w:val="24"/>
        <w:szCs w:val="24"/>
        <w:lang w:val="zh-CN" w:eastAsia="zh-CN" w:bidi="zh-CN"/>
      </w:rPr>
    </w:lvl>
    <w:lvl w:ilvl="1">
      <w:start w:val="0"/>
      <w:numFmt w:val="bullet"/>
      <w:lvlText w:val="•"/>
      <w:lvlJc w:val="left"/>
      <w:pPr>
        <w:ind w:left="1816" w:hanging="440"/>
      </w:pPr>
      <w:rPr>
        <w:rFonts w:hint="default"/>
        <w:lang w:val="zh-CN" w:eastAsia="zh-CN" w:bidi="zh-CN"/>
      </w:rPr>
    </w:lvl>
    <w:lvl w:ilvl="2">
      <w:start w:val="0"/>
      <w:numFmt w:val="bullet"/>
      <w:lvlText w:val="•"/>
      <w:lvlJc w:val="left"/>
      <w:pPr>
        <w:ind w:left="2593" w:hanging="440"/>
      </w:pPr>
      <w:rPr>
        <w:rFonts w:hint="default"/>
        <w:lang w:val="zh-CN" w:eastAsia="zh-CN" w:bidi="zh-CN"/>
      </w:rPr>
    </w:lvl>
    <w:lvl w:ilvl="3">
      <w:start w:val="0"/>
      <w:numFmt w:val="bullet"/>
      <w:lvlText w:val="•"/>
      <w:lvlJc w:val="left"/>
      <w:pPr>
        <w:ind w:left="3369" w:hanging="440"/>
      </w:pPr>
      <w:rPr>
        <w:rFonts w:hint="default"/>
        <w:lang w:val="zh-CN" w:eastAsia="zh-CN" w:bidi="zh-CN"/>
      </w:rPr>
    </w:lvl>
    <w:lvl w:ilvl="4">
      <w:start w:val="0"/>
      <w:numFmt w:val="bullet"/>
      <w:lvlText w:val="•"/>
      <w:lvlJc w:val="left"/>
      <w:pPr>
        <w:ind w:left="4146" w:hanging="440"/>
      </w:pPr>
      <w:rPr>
        <w:rFonts w:hint="default"/>
        <w:lang w:val="zh-CN" w:eastAsia="zh-CN" w:bidi="zh-CN"/>
      </w:rPr>
    </w:lvl>
    <w:lvl w:ilvl="5">
      <w:start w:val="0"/>
      <w:numFmt w:val="bullet"/>
      <w:lvlText w:val="•"/>
      <w:lvlJc w:val="left"/>
      <w:pPr>
        <w:ind w:left="4923" w:hanging="440"/>
      </w:pPr>
      <w:rPr>
        <w:rFonts w:hint="default"/>
        <w:lang w:val="zh-CN" w:eastAsia="zh-CN" w:bidi="zh-CN"/>
      </w:rPr>
    </w:lvl>
    <w:lvl w:ilvl="6">
      <w:start w:val="0"/>
      <w:numFmt w:val="bullet"/>
      <w:lvlText w:val="•"/>
      <w:lvlJc w:val="left"/>
      <w:pPr>
        <w:ind w:left="5699" w:hanging="440"/>
      </w:pPr>
      <w:rPr>
        <w:rFonts w:hint="default"/>
        <w:lang w:val="zh-CN" w:eastAsia="zh-CN" w:bidi="zh-CN"/>
      </w:rPr>
    </w:lvl>
    <w:lvl w:ilvl="7">
      <w:start w:val="0"/>
      <w:numFmt w:val="bullet"/>
      <w:lvlText w:val="•"/>
      <w:lvlJc w:val="left"/>
      <w:pPr>
        <w:ind w:left="6476" w:hanging="440"/>
      </w:pPr>
      <w:rPr>
        <w:rFonts w:hint="default"/>
        <w:lang w:val="zh-CN" w:eastAsia="zh-CN" w:bidi="zh-CN"/>
      </w:rPr>
    </w:lvl>
    <w:lvl w:ilvl="8">
      <w:start w:val="0"/>
      <w:numFmt w:val="bullet"/>
      <w:lvlText w:val="•"/>
      <w:lvlJc w:val="left"/>
      <w:pPr>
        <w:ind w:left="7253" w:hanging="440"/>
      </w:pPr>
      <w:rPr>
        <w:rFonts w:hint="default"/>
        <w:lang w:val="zh-CN" w:eastAsia="zh-CN" w:bidi="zh-CN"/>
      </w:rPr>
    </w:lvl>
  </w:abstractNum>
  <w:abstractNum w:abstractNumId="7">
    <w:multiLevelType w:val="hybridMultilevel"/>
    <w:lvl w:ilvl="0">
      <w:start w:val="1"/>
      <w:numFmt w:val="decimal"/>
      <w:lvlText w:val="%1）"/>
      <w:lvlJc w:val="left"/>
      <w:pPr>
        <w:ind w:left="1080" w:hanging="480"/>
        <w:jc w:val="left"/>
      </w:pPr>
      <w:rPr>
        <w:rFonts w:hint="default" w:ascii="Times New Roman" w:hAnsi="Times New Roman" w:eastAsia="Times New Roman" w:cs="Times New Roman"/>
        <w:w w:val="100"/>
        <w:sz w:val="24"/>
        <w:szCs w:val="24"/>
        <w:lang w:val="zh-CN" w:eastAsia="zh-CN" w:bidi="zh-CN"/>
      </w:rPr>
    </w:lvl>
    <w:lvl w:ilvl="1">
      <w:start w:val="0"/>
      <w:numFmt w:val="bullet"/>
      <w:lvlText w:val="•"/>
      <w:lvlJc w:val="left"/>
      <w:pPr>
        <w:ind w:left="1852" w:hanging="480"/>
      </w:pPr>
      <w:rPr>
        <w:rFonts w:hint="default"/>
        <w:lang w:val="zh-CN" w:eastAsia="zh-CN" w:bidi="zh-CN"/>
      </w:rPr>
    </w:lvl>
    <w:lvl w:ilvl="2">
      <w:start w:val="0"/>
      <w:numFmt w:val="bullet"/>
      <w:lvlText w:val="•"/>
      <w:lvlJc w:val="left"/>
      <w:pPr>
        <w:ind w:left="2625" w:hanging="480"/>
      </w:pPr>
      <w:rPr>
        <w:rFonts w:hint="default"/>
        <w:lang w:val="zh-CN" w:eastAsia="zh-CN" w:bidi="zh-CN"/>
      </w:rPr>
    </w:lvl>
    <w:lvl w:ilvl="3">
      <w:start w:val="0"/>
      <w:numFmt w:val="bullet"/>
      <w:lvlText w:val="•"/>
      <w:lvlJc w:val="left"/>
      <w:pPr>
        <w:ind w:left="3397" w:hanging="480"/>
      </w:pPr>
      <w:rPr>
        <w:rFonts w:hint="default"/>
        <w:lang w:val="zh-CN" w:eastAsia="zh-CN" w:bidi="zh-CN"/>
      </w:rPr>
    </w:lvl>
    <w:lvl w:ilvl="4">
      <w:start w:val="0"/>
      <w:numFmt w:val="bullet"/>
      <w:lvlText w:val="•"/>
      <w:lvlJc w:val="left"/>
      <w:pPr>
        <w:ind w:left="4170" w:hanging="480"/>
      </w:pPr>
      <w:rPr>
        <w:rFonts w:hint="default"/>
        <w:lang w:val="zh-CN" w:eastAsia="zh-CN" w:bidi="zh-CN"/>
      </w:rPr>
    </w:lvl>
    <w:lvl w:ilvl="5">
      <w:start w:val="0"/>
      <w:numFmt w:val="bullet"/>
      <w:lvlText w:val="•"/>
      <w:lvlJc w:val="left"/>
      <w:pPr>
        <w:ind w:left="4943" w:hanging="480"/>
      </w:pPr>
      <w:rPr>
        <w:rFonts w:hint="default"/>
        <w:lang w:val="zh-CN" w:eastAsia="zh-CN" w:bidi="zh-CN"/>
      </w:rPr>
    </w:lvl>
    <w:lvl w:ilvl="6">
      <w:start w:val="0"/>
      <w:numFmt w:val="bullet"/>
      <w:lvlText w:val="•"/>
      <w:lvlJc w:val="left"/>
      <w:pPr>
        <w:ind w:left="5715" w:hanging="480"/>
      </w:pPr>
      <w:rPr>
        <w:rFonts w:hint="default"/>
        <w:lang w:val="zh-CN" w:eastAsia="zh-CN" w:bidi="zh-CN"/>
      </w:rPr>
    </w:lvl>
    <w:lvl w:ilvl="7">
      <w:start w:val="0"/>
      <w:numFmt w:val="bullet"/>
      <w:lvlText w:val="•"/>
      <w:lvlJc w:val="left"/>
      <w:pPr>
        <w:ind w:left="6488" w:hanging="480"/>
      </w:pPr>
      <w:rPr>
        <w:rFonts w:hint="default"/>
        <w:lang w:val="zh-CN" w:eastAsia="zh-CN" w:bidi="zh-CN"/>
      </w:rPr>
    </w:lvl>
    <w:lvl w:ilvl="8">
      <w:start w:val="0"/>
      <w:numFmt w:val="bullet"/>
      <w:lvlText w:val="•"/>
      <w:lvlJc w:val="left"/>
      <w:pPr>
        <w:ind w:left="7261" w:hanging="480"/>
      </w:pPr>
      <w:rPr>
        <w:rFonts w:hint="default"/>
        <w:lang w:val="zh-CN" w:eastAsia="zh-CN" w:bidi="zh-CN"/>
      </w:rPr>
    </w:lvl>
  </w:abstractNum>
  <w:abstractNum w:abstractNumId="6">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5">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48"/>
        <w:w w:val="100"/>
        <w:sz w:val="22"/>
        <w:szCs w:val="22"/>
        <w:lang w:val="zh-CN" w:eastAsia="zh-CN" w:bidi="zh-CN"/>
      </w:rPr>
    </w:lvl>
    <w:lvl w:ilvl="1">
      <w:start w:val="0"/>
      <w:numFmt w:val="bullet"/>
      <w:lvlText w:val="•"/>
      <w:lvlJc w:val="left"/>
      <w:pPr>
        <w:ind w:left="988" w:hanging="361"/>
      </w:pPr>
      <w:rPr>
        <w:rFonts w:hint="default"/>
        <w:lang w:val="zh-CN" w:eastAsia="zh-CN" w:bidi="zh-CN"/>
      </w:rPr>
    </w:lvl>
    <w:lvl w:ilvl="2">
      <w:start w:val="0"/>
      <w:numFmt w:val="bullet"/>
      <w:lvlText w:val="•"/>
      <w:lvlJc w:val="left"/>
      <w:pPr>
        <w:ind w:left="1857" w:hanging="361"/>
      </w:pPr>
      <w:rPr>
        <w:rFonts w:hint="default"/>
        <w:lang w:val="zh-CN" w:eastAsia="zh-CN" w:bidi="zh-CN"/>
      </w:rPr>
    </w:lvl>
    <w:lvl w:ilvl="3">
      <w:start w:val="0"/>
      <w:numFmt w:val="bullet"/>
      <w:lvlText w:val="•"/>
      <w:lvlJc w:val="left"/>
      <w:pPr>
        <w:ind w:left="2725" w:hanging="361"/>
      </w:pPr>
      <w:rPr>
        <w:rFonts w:hint="default"/>
        <w:lang w:val="zh-CN" w:eastAsia="zh-CN" w:bidi="zh-CN"/>
      </w:rPr>
    </w:lvl>
    <w:lvl w:ilvl="4">
      <w:start w:val="0"/>
      <w:numFmt w:val="bullet"/>
      <w:lvlText w:val="•"/>
      <w:lvlJc w:val="left"/>
      <w:pPr>
        <w:ind w:left="3594" w:hanging="361"/>
      </w:pPr>
      <w:rPr>
        <w:rFonts w:hint="default"/>
        <w:lang w:val="zh-CN" w:eastAsia="zh-CN" w:bidi="zh-CN"/>
      </w:rPr>
    </w:lvl>
    <w:lvl w:ilvl="5">
      <w:start w:val="0"/>
      <w:numFmt w:val="bullet"/>
      <w:lvlText w:val="•"/>
      <w:lvlJc w:val="left"/>
      <w:pPr>
        <w:ind w:left="4463" w:hanging="361"/>
      </w:pPr>
      <w:rPr>
        <w:rFonts w:hint="default"/>
        <w:lang w:val="zh-CN" w:eastAsia="zh-CN" w:bidi="zh-CN"/>
      </w:rPr>
    </w:lvl>
    <w:lvl w:ilvl="6">
      <w:start w:val="0"/>
      <w:numFmt w:val="bullet"/>
      <w:lvlText w:val="•"/>
      <w:lvlJc w:val="left"/>
      <w:pPr>
        <w:ind w:left="5331" w:hanging="361"/>
      </w:pPr>
      <w:rPr>
        <w:rFonts w:hint="default"/>
        <w:lang w:val="zh-CN" w:eastAsia="zh-CN" w:bidi="zh-CN"/>
      </w:rPr>
    </w:lvl>
    <w:lvl w:ilvl="7">
      <w:start w:val="0"/>
      <w:numFmt w:val="bullet"/>
      <w:lvlText w:val="•"/>
      <w:lvlJc w:val="left"/>
      <w:pPr>
        <w:ind w:left="6200" w:hanging="361"/>
      </w:pPr>
      <w:rPr>
        <w:rFonts w:hint="default"/>
        <w:lang w:val="zh-CN" w:eastAsia="zh-CN" w:bidi="zh-CN"/>
      </w:rPr>
    </w:lvl>
    <w:lvl w:ilvl="8">
      <w:start w:val="0"/>
      <w:numFmt w:val="bullet"/>
      <w:lvlText w:val="•"/>
      <w:lvlJc w:val="left"/>
      <w:pPr>
        <w:ind w:left="7069" w:hanging="361"/>
      </w:pPr>
      <w:rPr>
        <w:rFonts w:hint="default"/>
        <w:lang w:val="zh-CN" w:eastAsia="zh-CN" w:bidi="zh-CN"/>
      </w:rPr>
    </w:lvl>
  </w:abstractNum>
  <w:abstractNum w:abstractNumId="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3">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88" w:hanging="601"/>
      </w:pPr>
      <w:rPr>
        <w:rFonts w:hint="default"/>
        <w:lang w:val="zh-CN" w:eastAsia="zh-CN" w:bidi="zh-CN"/>
      </w:rPr>
    </w:lvl>
    <w:lvl w:ilvl="2">
      <w:start w:val="0"/>
      <w:numFmt w:val="bullet"/>
      <w:lvlText w:val="•"/>
      <w:lvlJc w:val="left"/>
      <w:pPr>
        <w:ind w:left="1857" w:hanging="601"/>
      </w:pPr>
      <w:rPr>
        <w:rFonts w:hint="default"/>
        <w:lang w:val="zh-CN" w:eastAsia="zh-CN" w:bidi="zh-CN"/>
      </w:rPr>
    </w:lvl>
    <w:lvl w:ilvl="3">
      <w:start w:val="0"/>
      <w:numFmt w:val="bullet"/>
      <w:lvlText w:val="•"/>
      <w:lvlJc w:val="left"/>
      <w:pPr>
        <w:ind w:left="2725" w:hanging="601"/>
      </w:pPr>
      <w:rPr>
        <w:rFonts w:hint="default"/>
        <w:lang w:val="zh-CN" w:eastAsia="zh-CN" w:bidi="zh-CN"/>
      </w:rPr>
    </w:lvl>
    <w:lvl w:ilvl="4">
      <w:start w:val="0"/>
      <w:numFmt w:val="bullet"/>
      <w:lvlText w:val="•"/>
      <w:lvlJc w:val="left"/>
      <w:pPr>
        <w:ind w:left="3594" w:hanging="601"/>
      </w:pPr>
      <w:rPr>
        <w:rFonts w:hint="default"/>
        <w:lang w:val="zh-CN" w:eastAsia="zh-CN" w:bidi="zh-CN"/>
      </w:rPr>
    </w:lvl>
    <w:lvl w:ilvl="5">
      <w:start w:val="0"/>
      <w:numFmt w:val="bullet"/>
      <w:lvlText w:val="•"/>
      <w:lvlJc w:val="left"/>
      <w:pPr>
        <w:ind w:left="4463" w:hanging="601"/>
      </w:pPr>
      <w:rPr>
        <w:rFonts w:hint="default"/>
        <w:lang w:val="zh-CN" w:eastAsia="zh-CN" w:bidi="zh-CN"/>
      </w:rPr>
    </w:lvl>
    <w:lvl w:ilvl="6">
      <w:start w:val="0"/>
      <w:numFmt w:val="bullet"/>
      <w:lvlText w:val="•"/>
      <w:lvlJc w:val="left"/>
      <w:pPr>
        <w:ind w:left="5331" w:hanging="601"/>
      </w:pPr>
      <w:rPr>
        <w:rFonts w:hint="default"/>
        <w:lang w:val="zh-CN" w:eastAsia="zh-CN" w:bidi="zh-CN"/>
      </w:rPr>
    </w:lvl>
    <w:lvl w:ilvl="7">
      <w:start w:val="0"/>
      <w:numFmt w:val="bullet"/>
      <w:lvlText w:val="•"/>
      <w:lvlJc w:val="left"/>
      <w:pPr>
        <w:ind w:left="6200" w:hanging="601"/>
      </w:pPr>
      <w:rPr>
        <w:rFonts w:hint="default"/>
        <w:lang w:val="zh-CN" w:eastAsia="zh-CN" w:bidi="zh-CN"/>
      </w:rPr>
    </w:lvl>
    <w:lvl w:ilvl="8">
      <w:start w:val="0"/>
      <w:numFmt w:val="bullet"/>
      <w:lvlText w:val="•"/>
      <w:lvlJc w:val="left"/>
      <w:pPr>
        <w:ind w:left="7069" w:hanging="601"/>
      </w:pPr>
      <w:rPr>
        <w:rFonts w:hint="default"/>
        <w:lang w:val="zh-CN" w:eastAsia="zh-CN" w:bidi="zh-CN"/>
      </w:rPr>
    </w:lvl>
  </w:abstractNum>
  <w:abstractNum w:abstractNumId="2">
    <w:multiLevelType w:val="hybridMultilevel"/>
    <w:lvl w:ilvl="0">
      <w:start w:val="1"/>
      <w:numFmt w:val="decimal"/>
      <w:lvlText w:val="（%1）"/>
      <w:lvlJc w:val="left"/>
      <w:pPr>
        <w:ind w:left="1380" w:hanging="780"/>
        <w:jc w:val="left"/>
      </w:pPr>
      <w:rPr>
        <w:rFonts w:hint="default" w:ascii="宋体" w:hAnsi="宋体" w:eastAsia="宋体" w:cs="宋体"/>
        <w:w w:val="100"/>
        <w:sz w:val="24"/>
        <w:szCs w:val="24"/>
        <w:lang w:val="zh-CN" w:eastAsia="zh-CN" w:bidi="zh-CN"/>
      </w:rPr>
    </w:lvl>
    <w:lvl w:ilvl="1">
      <w:start w:val="0"/>
      <w:numFmt w:val="bullet"/>
      <w:lvlText w:val="•"/>
      <w:lvlJc w:val="left"/>
      <w:pPr>
        <w:ind w:left="2122" w:hanging="780"/>
      </w:pPr>
      <w:rPr>
        <w:rFonts w:hint="default"/>
        <w:lang w:val="zh-CN" w:eastAsia="zh-CN" w:bidi="zh-CN"/>
      </w:rPr>
    </w:lvl>
    <w:lvl w:ilvl="2">
      <w:start w:val="0"/>
      <w:numFmt w:val="bullet"/>
      <w:lvlText w:val="•"/>
      <w:lvlJc w:val="left"/>
      <w:pPr>
        <w:ind w:left="2865" w:hanging="780"/>
      </w:pPr>
      <w:rPr>
        <w:rFonts w:hint="default"/>
        <w:lang w:val="zh-CN" w:eastAsia="zh-CN" w:bidi="zh-CN"/>
      </w:rPr>
    </w:lvl>
    <w:lvl w:ilvl="3">
      <w:start w:val="0"/>
      <w:numFmt w:val="bullet"/>
      <w:lvlText w:val="•"/>
      <w:lvlJc w:val="left"/>
      <w:pPr>
        <w:ind w:left="3607" w:hanging="780"/>
      </w:pPr>
      <w:rPr>
        <w:rFonts w:hint="default"/>
        <w:lang w:val="zh-CN" w:eastAsia="zh-CN" w:bidi="zh-CN"/>
      </w:rPr>
    </w:lvl>
    <w:lvl w:ilvl="4">
      <w:start w:val="0"/>
      <w:numFmt w:val="bullet"/>
      <w:lvlText w:val="•"/>
      <w:lvlJc w:val="left"/>
      <w:pPr>
        <w:ind w:left="4350" w:hanging="780"/>
      </w:pPr>
      <w:rPr>
        <w:rFonts w:hint="default"/>
        <w:lang w:val="zh-CN" w:eastAsia="zh-CN" w:bidi="zh-CN"/>
      </w:rPr>
    </w:lvl>
    <w:lvl w:ilvl="5">
      <w:start w:val="0"/>
      <w:numFmt w:val="bullet"/>
      <w:lvlText w:val="•"/>
      <w:lvlJc w:val="left"/>
      <w:pPr>
        <w:ind w:left="5093" w:hanging="780"/>
      </w:pPr>
      <w:rPr>
        <w:rFonts w:hint="default"/>
        <w:lang w:val="zh-CN" w:eastAsia="zh-CN" w:bidi="zh-CN"/>
      </w:rPr>
    </w:lvl>
    <w:lvl w:ilvl="6">
      <w:start w:val="0"/>
      <w:numFmt w:val="bullet"/>
      <w:lvlText w:val="•"/>
      <w:lvlJc w:val="left"/>
      <w:pPr>
        <w:ind w:left="5835" w:hanging="780"/>
      </w:pPr>
      <w:rPr>
        <w:rFonts w:hint="default"/>
        <w:lang w:val="zh-CN" w:eastAsia="zh-CN" w:bidi="zh-CN"/>
      </w:rPr>
    </w:lvl>
    <w:lvl w:ilvl="7">
      <w:start w:val="0"/>
      <w:numFmt w:val="bullet"/>
      <w:lvlText w:val="•"/>
      <w:lvlJc w:val="left"/>
      <w:pPr>
        <w:ind w:left="6578" w:hanging="780"/>
      </w:pPr>
      <w:rPr>
        <w:rFonts w:hint="default"/>
        <w:lang w:val="zh-CN" w:eastAsia="zh-CN" w:bidi="zh-CN"/>
      </w:rPr>
    </w:lvl>
    <w:lvl w:ilvl="8">
      <w:start w:val="0"/>
      <w:numFmt w:val="bullet"/>
      <w:lvlText w:val="•"/>
      <w:lvlJc w:val="left"/>
      <w:pPr>
        <w:ind w:left="7321" w:hanging="780"/>
      </w:pPr>
      <w:rPr>
        <w:rFonts w:hint="default"/>
        <w:lang w:val="zh-CN" w:eastAsia="zh-CN" w:bidi="zh-CN"/>
      </w:rPr>
    </w:lvl>
  </w:abstractNum>
  <w:abstractNum w:abstractNumId="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abstractNum w:abstractNumId="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0" w:hanging="601"/>
      </w:pPr>
      <w:rPr>
        <w:rFonts w:hint="default"/>
        <w:lang w:val="zh-CN" w:eastAsia="zh-CN" w:bidi="zh-CN"/>
      </w:rPr>
    </w:lvl>
    <w:lvl w:ilvl="2">
      <w:start w:val="0"/>
      <w:numFmt w:val="bullet"/>
      <w:lvlText w:val="•"/>
      <w:lvlJc w:val="left"/>
      <w:pPr>
        <w:ind w:left="2721" w:hanging="601"/>
      </w:pPr>
      <w:rPr>
        <w:rFonts w:hint="default"/>
        <w:lang w:val="zh-CN" w:eastAsia="zh-CN" w:bidi="zh-CN"/>
      </w:rPr>
    </w:lvl>
    <w:lvl w:ilvl="3">
      <w:start w:val="0"/>
      <w:numFmt w:val="bullet"/>
      <w:lvlText w:val="•"/>
      <w:lvlJc w:val="left"/>
      <w:pPr>
        <w:ind w:left="3481" w:hanging="601"/>
      </w:pPr>
      <w:rPr>
        <w:rFonts w:hint="default"/>
        <w:lang w:val="zh-CN" w:eastAsia="zh-CN" w:bidi="zh-CN"/>
      </w:rPr>
    </w:lvl>
    <w:lvl w:ilvl="4">
      <w:start w:val="0"/>
      <w:numFmt w:val="bullet"/>
      <w:lvlText w:val="•"/>
      <w:lvlJc w:val="left"/>
      <w:pPr>
        <w:ind w:left="4242" w:hanging="601"/>
      </w:pPr>
      <w:rPr>
        <w:rFonts w:hint="default"/>
        <w:lang w:val="zh-CN" w:eastAsia="zh-CN" w:bidi="zh-CN"/>
      </w:rPr>
    </w:lvl>
    <w:lvl w:ilvl="5">
      <w:start w:val="0"/>
      <w:numFmt w:val="bullet"/>
      <w:lvlText w:val="•"/>
      <w:lvlJc w:val="left"/>
      <w:pPr>
        <w:ind w:left="5003" w:hanging="601"/>
      </w:pPr>
      <w:rPr>
        <w:rFonts w:hint="default"/>
        <w:lang w:val="zh-CN" w:eastAsia="zh-CN" w:bidi="zh-CN"/>
      </w:rPr>
    </w:lvl>
    <w:lvl w:ilvl="6">
      <w:start w:val="0"/>
      <w:numFmt w:val="bullet"/>
      <w:lvlText w:val="•"/>
      <w:lvlJc w:val="left"/>
      <w:pPr>
        <w:ind w:left="5763" w:hanging="601"/>
      </w:pPr>
      <w:rPr>
        <w:rFonts w:hint="default"/>
        <w:lang w:val="zh-CN" w:eastAsia="zh-CN" w:bidi="zh-CN"/>
      </w:rPr>
    </w:lvl>
    <w:lvl w:ilvl="7">
      <w:start w:val="0"/>
      <w:numFmt w:val="bullet"/>
      <w:lvlText w:val="•"/>
      <w:lvlJc w:val="left"/>
      <w:pPr>
        <w:ind w:left="6524" w:hanging="601"/>
      </w:pPr>
      <w:rPr>
        <w:rFonts w:hint="default"/>
        <w:lang w:val="zh-CN" w:eastAsia="zh-CN" w:bidi="zh-CN"/>
      </w:rPr>
    </w:lvl>
    <w:lvl w:ilvl="8">
      <w:start w:val="0"/>
      <w:numFmt w:val="bullet"/>
      <w:lvlText w:val="•"/>
      <w:lvlJc w:val="left"/>
      <w:pPr>
        <w:ind w:left="7285" w:hanging="601"/>
      </w:pPr>
      <w:rPr>
        <w:rFonts w:hint="default"/>
        <w:lang w:val="zh-CN" w:eastAsia="zh-CN" w:bidi="zh-CN"/>
      </w:rPr>
    </w:lvl>
  </w:abstract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212"/>
      <w:ind w:left="331"/>
    </w:pPr>
    <w:rPr>
      <w:rFonts w:ascii="宋体" w:hAnsi="宋体" w:eastAsia="宋体" w:cs="宋体"/>
      <w:sz w:val="20"/>
      <w:szCs w:val="20"/>
      <w:lang w:val="zh-CN" w:eastAsia="zh-CN" w:bidi="zh-CN"/>
    </w:rPr>
  </w:style>
  <w:style w:styleId="BodyText" w:type="paragraph">
    <w:name w:val="Body Text"/>
    <w:basedOn w:val="Normal"/>
    <w:uiPriority w:val="1"/>
    <w:qFormat/>
    <w:pPr>
      <w:spacing w:before="161"/>
      <w:ind w:left="120" w:firstLine="479"/>
    </w:pPr>
    <w:rPr>
      <w:rFonts w:ascii="宋体" w:hAnsi="宋体" w:eastAsia="宋体" w:cs="宋体"/>
      <w:sz w:val="24"/>
      <w:szCs w:val="24"/>
      <w:lang w:val="zh-CN" w:eastAsia="zh-CN" w:bidi="zh-CN"/>
    </w:rPr>
  </w:style>
  <w:style w:styleId="Heading1" w:type="paragraph">
    <w:name w:val="Heading 1"/>
    <w:basedOn w:val="Normal"/>
    <w:uiPriority w:val="1"/>
    <w:qFormat/>
    <w:pPr>
      <w:ind w:left="602"/>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61"/>
      <w:ind w:left="120" w:firstLine="479"/>
    </w:pPr>
    <w:rPr>
      <w:rFonts w:ascii="宋体" w:hAnsi="宋体" w:eastAsia="宋体" w:cs="宋体"/>
      <w:lang w:val="zh-CN" w:eastAsia="zh-CN" w:bidi="zh-CN"/>
    </w:rPr>
  </w:style>
  <w:style w:styleId="TableParagraph" w:type="paragraph">
    <w:name w:val="Table Paragraph"/>
    <w:basedOn w:val="Normal"/>
    <w:uiPriority w:val="1"/>
    <w:qFormat/>
    <w:pPr>
      <w:spacing w:before="75"/>
      <w:ind w:left="20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2020-11-18T06:16:04Z</dcterms:created>
  <dcterms:modified xsi:type="dcterms:W3CDTF">2020-11-18T06:16:04Z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Aspose Ltd.</vt:lpwstr>
  </property>
  <property fmtid="{D5CDD505-2E9C-101B-9397-08002B2CF9AE}" pid="4" name="LastSaved">
    <vt:filetime>2020-11-18T00:00:00Z</vt:filetime>
  </property>
</Properties>
</file>