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482" w:lineRule="auto" w:before="163"/>
        <w:ind w:left="2295" w:right="2610" w:firstLine="0"/>
        <w:jc w:val="center"/>
        <w:rPr>
          <w:sz w:val="44"/>
        </w:rPr>
      </w:pPr>
      <w:r>
        <w:rPr>
          <w:sz w:val="44"/>
        </w:rPr>
        <w:t>易方达货币市场基金基金合同</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4"/>
        <w:rPr>
          <w:sz w:val="31"/>
        </w:rPr>
      </w:pPr>
    </w:p>
    <w:p>
      <w:pPr>
        <w:spacing w:line="540" w:lineRule="auto" w:before="0"/>
        <w:ind w:left="1814" w:right="1949" w:firstLine="0"/>
        <w:jc w:val="left"/>
        <w:rPr>
          <w:sz w:val="30"/>
        </w:rPr>
      </w:pPr>
      <w:r>
        <w:rPr>
          <w:sz w:val="30"/>
        </w:rPr>
        <w:t>基金管理人：易方达基金管理有限公司基金托管人：中国银行股份有限公司</w:t>
      </w:r>
    </w:p>
    <w:p>
      <w:pPr>
        <w:pStyle w:val="BodyText"/>
        <w:rPr>
          <w:sz w:val="30"/>
        </w:rPr>
      </w:pPr>
    </w:p>
    <w:p>
      <w:pPr>
        <w:spacing w:before="255"/>
        <w:ind w:left="2295" w:right="2608" w:firstLine="0"/>
        <w:jc w:val="center"/>
        <w:rPr>
          <w:sz w:val="30"/>
        </w:rPr>
      </w:pPr>
      <w:r>
        <w:rPr>
          <w:sz w:val="30"/>
        </w:rPr>
        <w:t>二零一九年十二月</w:t>
      </w:r>
    </w:p>
    <w:p>
      <w:pPr>
        <w:spacing w:after="0"/>
        <w:jc w:val="center"/>
        <w:rPr>
          <w:sz w:val="30"/>
        </w:rPr>
        <w:sectPr>
          <w:headerReference w:type="default" r:id="rId5"/>
          <w:type w:val="continuous"/>
          <w:pgSz w:w="11910" w:h="16850"/>
          <w:pgMar w:header="852" w:top="1420" w:bottom="280" w:left="1680" w:right="1360"/>
        </w:sectPr>
      </w:pPr>
    </w:p>
    <w:p>
      <w:pPr>
        <w:pStyle w:val="BodyText"/>
        <w:spacing w:before="11"/>
        <w:rPr>
          <w:sz w:val="8"/>
        </w:rPr>
      </w:pPr>
    </w:p>
    <w:p>
      <w:pPr>
        <w:tabs>
          <w:tab w:pos="561" w:val="left" w:leader="none"/>
        </w:tabs>
        <w:spacing w:line="484" w:lineRule="exact" w:before="0"/>
        <w:ind w:left="0" w:right="320" w:firstLine="0"/>
        <w:jc w:val="center"/>
        <w:rPr>
          <w:rFonts w:ascii="Microsoft JhengHei" w:eastAsia="Microsoft JhengHei" w:hint="eastAsia"/>
          <w:b/>
          <w:sz w:val="28"/>
        </w:rPr>
      </w:pPr>
      <w:r>
        <w:rPr>
          <w:rFonts w:ascii="Microsoft JhengHei" w:eastAsia="Microsoft JhengHei" w:hint="eastAsia"/>
          <w:b/>
          <w:sz w:val="28"/>
        </w:rPr>
        <w:t>目</w:t>
        <w:tab/>
        <w:t>录</w:t>
      </w:r>
    </w:p>
    <w:p>
      <w:pPr>
        <w:spacing w:after="0" w:line="484" w:lineRule="exact"/>
        <w:jc w:val="center"/>
        <w:rPr>
          <w:rFonts w:ascii="Microsoft JhengHei" w:eastAsia="Microsoft JhengHei" w:hint="eastAsia"/>
          <w:sz w:val="28"/>
        </w:rPr>
        <w:sectPr>
          <w:footerReference w:type="default" r:id="rId6"/>
          <w:pgSz w:w="11910" w:h="16850"/>
          <w:pgMar w:footer="1386" w:header="852" w:top="1420" w:bottom="1726" w:left="1680" w:right="1360"/>
          <w:pgNumType w:start="2"/>
        </w:sectPr>
      </w:pPr>
    </w:p>
    <w:sdt>
      <w:sdtPr>
        <w:docPartObj>
          <w:docPartGallery w:val="Table of Contents"/>
          <w:docPartUnique/>
        </w:docPartObj>
      </w:sdtPr>
      <w:sdtEndPr/>
      <w:sdtContent>
        <w:p>
          <w:pPr>
            <w:pStyle w:val="TOC1"/>
            <w:tabs>
              <w:tab w:pos="749" w:val="left" w:leader="none"/>
              <w:tab w:pos="1152" w:val="left" w:leader="none"/>
              <w:tab w:pos="8386" w:val="right" w:leader="dot"/>
            </w:tabs>
            <w:spacing w:before="309"/>
            <w:rPr>
              <w:rFonts w:ascii="Times New Roman" w:eastAsia="Times New Roman"/>
            </w:rPr>
          </w:pPr>
          <w:hyperlink w:history="true" w:anchor="_bookmark0">
            <w:r>
              <w:rPr/>
              <w:t>一、</w:t>
              <w:tab/>
              <w:t>前</w:t>
              <w:tab/>
              <w:t>言</w:t>
              <w:tab/>
            </w:r>
            <w:r>
              <w:rPr>
                <w:rFonts w:ascii="Times New Roman" w:eastAsia="Times New Roman"/>
              </w:rPr>
              <w:t>7</w:t>
            </w:r>
          </w:hyperlink>
        </w:p>
        <w:p>
          <w:pPr>
            <w:pStyle w:val="TOC1"/>
            <w:tabs>
              <w:tab w:pos="749" w:val="left" w:leader="none"/>
              <w:tab w:pos="1152" w:val="left" w:leader="none"/>
              <w:tab w:pos="8386" w:val="right" w:leader="dot"/>
            </w:tabs>
            <w:spacing w:before="222"/>
            <w:rPr>
              <w:rFonts w:ascii="Times New Roman" w:eastAsia="Times New Roman"/>
            </w:rPr>
          </w:pPr>
          <w:hyperlink w:history="true" w:anchor="_bookmark1">
            <w:r>
              <w:rPr/>
              <w:t>二、</w:t>
              <w:tab/>
              <w:t>释</w:t>
              <w:tab/>
              <w:t>义</w:t>
              <w:tab/>
            </w:r>
            <w:r>
              <w:rPr>
                <w:rFonts w:ascii="Times New Roman" w:eastAsia="Times New Roman"/>
              </w:rPr>
              <w:t>9</w:t>
            </w:r>
          </w:hyperlink>
        </w:p>
        <w:p>
          <w:pPr>
            <w:pStyle w:val="TOC1"/>
            <w:tabs>
              <w:tab w:pos="749" w:val="left" w:leader="none"/>
              <w:tab w:pos="8389" w:val="right" w:leader="dot"/>
            </w:tabs>
            <w:rPr>
              <w:rFonts w:ascii="Times New Roman" w:eastAsia="Times New Roman"/>
            </w:rPr>
          </w:pPr>
          <w:hyperlink w:history="true" w:anchor="_bookmark2">
            <w:r>
              <w:rPr/>
              <w:t>三、</w:t>
              <w:tab/>
              <w:t>基金的基本情况</w:t>
              <w:tab/>
            </w:r>
            <w:r>
              <w:rPr>
                <w:rFonts w:ascii="Times New Roman" w:eastAsia="Times New Roman"/>
              </w:rPr>
              <w:t>13</w:t>
            </w:r>
          </w:hyperlink>
        </w:p>
        <w:p>
          <w:pPr>
            <w:pStyle w:val="TOC1"/>
            <w:tabs>
              <w:tab w:pos="749" w:val="left" w:leader="none"/>
              <w:tab w:pos="8389" w:val="right" w:leader="dot"/>
            </w:tabs>
            <w:spacing w:before="226"/>
            <w:rPr>
              <w:rFonts w:ascii="Times New Roman" w:eastAsia="Times New Roman"/>
            </w:rPr>
          </w:pPr>
          <w:hyperlink w:history="true" w:anchor="_bookmark3">
            <w:r>
              <w:rPr/>
              <w:t>四、</w:t>
              <w:tab/>
              <w:t>基金份额的发售</w:t>
              <w:tab/>
            </w:r>
            <w:r>
              <w:rPr>
                <w:rFonts w:ascii="Times New Roman" w:eastAsia="Times New Roman"/>
              </w:rPr>
              <w:t>14</w:t>
            </w:r>
          </w:hyperlink>
        </w:p>
        <w:p>
          <w:pPr>
            <w:pStyle w:val="TOC1"/>
            <w:tabs>
              <w:tab w:pos="749" w:val="left" w:leader="none"/>
              <w:tab w:pos="8389" w:val="right" w:leader="dot"/>
            </w:tabs>
            <w:spacing w:before="222"/>
            <w:rPr>
              <w:rFonts w:ascii="Times New Roman" w:eastAsia="Times New Roman"/>
            </w:rPr>
          </w:pPr>
          <w:hyperlink w:history="true" w:anchor="_bookmark4">
            <w:r>
              <w:rPr/>
              <w:t>五、</w:t>
              <w:tab/>
              <w:t>基金备案与基金合同的生效</w:t>
              <w:tab/>
            </w:r>
            <w:r>
              <w:rPr>
                <w:rFonts w:ascii="Times New Roman" w:eastAsia="Times New Roman"/>
              </w:rPr>
              <w:t>16</w:t>
            </w:r>
          </w:hyperlink>
        </w:p>
        <w:p>
          <w:pPr>
            <w:pStyle w:val="TOC2"/>
            <w:tabs>
              <w:tab w:pos="8389" w:val="right" w:leader="dot"/>
            </w:tabs>
            <w:spacing w:before="292"/>
            <w:rPr>
              <w:rFonts w:ascii="Times New Roman" w:eastAsia="Times New Roman"/>
            </w:rPr>
          </w:pPr>
          <w:hyperlink w:history="true" w:anchor="_bookmark5">
            <w:r>
              <w:rPr/>
              <w:t>（一）基金备案的条件以及基金合同的生效</w:t>
              <w:tab/>
            </w:r>
            <w:r>
              <w:rPr>
                <w:rFonts w:ascii="Times New Roman" w:eastAsia="Times New Roman"/>
              </w:rPr>
              <w:t>16</w:t>
            </w:r>
          </w:hyperlink>
        </w:p>
        <w:p>
          <w:pPr>
            <w:pStyle w:val="TOC2"/>
            <w:tabs>
              <w:tab w:pos="8389" w:val="right" w:leader="dot"/>
            </w:tabs>
            <w:spacing w:before="336"/>
            <w:rPr>
              <w:rFonts w:ascii="Times New Roman" w:eastAsia="Times New Roman"/>
            </w:rPr>
          </w:pPr>
          <w:hyperlink w:history="true" w:anchor="_bookmark6">
            <w:r>
              <w:rPr/>
              <w:t>（二）基金合同不能生效时募集资金的处理方式</w:t>
              <w:tab/>
            </w:r>
            <w:r>
              <w:rPr>
                <w:rFonts w:ascii="Times New Roman" w:eastAsia="Times New Roman"/>
              </w:rPr>
              <w:t>16</w:t>
            </w:r>
          </w:hyperlink>
        </w:p>
        <w:p>
          <w:pPr>
            <w:pStyle w:val="TOC2"/>
            <w:tabs>
              <w:tab w:pos="8389" w:val="right" w:leader="dot"/>
            </w:tabs>
            <w:spacing w:before="334"/>
            <w:rPr>
              <w:rFonts w:ascii="Times New Roman" w:eastAsia="Times New Roman"/>
            </w:rPr>
          </w:pPr>
          <w:hyperlink w:history="true" w:anchor="_bookmark7">
            <w:r>
              <w:rPr/>
              <w:t>（三）基金存续期内的基</w:t>
            </w:r>
            <w:r>
              <w:rPr>
                <w:spacing w:val="3"/>
              </w:rPr>
              <w:t>金</w:t>
            </w:r>
            <w:r>
              <w:rPr/>
              <w:t>份额持有人数量和资金额</w:t>
              <w:tab/>
            </w:r>
            <w:r>
              <w:rPr>
                <w:rFonts w:ascii="Times New Roman" w:eastAsia="Times New Roman"/>
              </w:rPr>
              <w:t>16</w:t>
            </w:r>
          </w:hyperlink>
        </w:p>
        <w:p>
          <w:pPr>
            <w:pStyle w:val="TOC1"/>
            <w:tabs>
              <w:tab w:pos="749" w:val="left" w:leader="none"/>
              <w:tab w:pos="8389" w:val="right" w:leader="dot"/>
            </w:tabs>
            <w:spacing w:before="271"/>
            <w:rPr>
              <w:rFonts w:ascii="Times New Roman" w:eastAsia="Times New Roman"/>
            </w:rPr>
          </w:pPr>
          <w:hyperlink w:history="true" w:anchor="_bookmark8">
            <w:r>
              <w:rPr/>
              <w:t>六、</w:t>
              <w:tab/>
              <w:t>基金份额的上市交易</w:t>
              <w:tab/>
            </w:r>
            <w:r>
              <w:rPr>
                <w:rFonts w:ascii="Times New Roman" w:eastAsia="Times New Roman"/>
              </w:rPr>
              <w:t>17</w:t>
            </w:r>
          </w:hyperlink>
        </w:p>
        <w:p>
          <w:pPr>
            <w:pStyle w:val="TOC2"/>
            <w:tabs>
              <w:tab w:pos="8389" w:val="right" w:leader="dot"/>
            </w:tabs>
            <w:spacing w:before="291"/>
            <w:rPr>
              <w:rFonts w:ascii="Times New Roman" w:eastAsia="Times New Roman"/>
            </w:rPr>
          </w:pPr>
          <w:hyperlink w:history="true" w:anchor="_bookmark9">
            <w:r>
              <w:rPr/>
              <w:t>（一）基金份额的上市</w:t>
              <w:tab/>
            </w:r>
            <w:r>
              <w:rPr>
                <w:rFonts w:ascii="Times New Roman" w:eastAsia="Times New Roman"/>
              </w:rPr>
              <w:t>17</w:t>
            </w:r>
          </w:hyperlink>
        </w:p>
        <w:p>
          <w:pPr>
            <w:pStyle w:val="TOC2"/>
            <w:tabs>
              <w:tab w:pos="8389" w:val="right" w:leader="dot"/>
            </w:tabs>
            <w:spacing w:before="334"/>
            <w:rPr>
              <w:rFonts w:ascii="Times New Roman" w:eastAsia="Times New Roman"/>
            </w:rPr>
          </w:pPr>
          <w:hyperlink w:history="true" w:anchor="_bookmark10">
            <w:r>
              <w:rPr/>
              <w:t>（二）E</w:t>
            </w:r>
            <w:r>
              <w:rPr>
                <w:spacing w:val="-50"/>
              </w:rPr>
              <w:t> </w:t>
            </w:r>
            <w:r>
              <w:rPr/>
              <w:t>类基金份额的上市交易</w:t>
              <w:tab/>
            </w:r>
            <w:r>
              <w:rPr>
                <w:rFonts w:ascii="Times New Roman" w:eastAsia="Times New Roman"/>
              </w:rPr>
              <w:t>17</w:t>
            </w:r>
          </w:hyperlink>
        </w:p>
        <w:p>
          <w:pPr>
            <w:pStyle w:val="TOC2"/>
            <w:tabs>
              <w:tab w:pos="8389" w:val="right" w:leader="dot"/>
            </w:tabs>
            <w:rPr>
              <w:rFonts w:ascii="Times New Roman" w:eastAsia="Times New Roman"/>
            </w:rPr>
          </w:pPr>
          <w:hyperlink w:history="true" w:anchor="_bookmark11">
            <w:r>
              <w:rPr/>
              <w:t>（三）终止上市交易</w:t>
              <w:tab/>
            </w:r>
            <w:r>
              <w:rPr>
                <w:rFonts w:ascii="Times New Roman" w:eastAsia="Times New Roman"/>
              </w:rPr>
              <w:t>17</w:t>
            </w:r>
          </w:hyperlink>
        </w:p>
        <w:p>
          <w:pPr>
            <w:pStyle w:val="TOC1"/>
            <w:tabs>
              <w:tab w:pos="749" w:val="left" w:leader="none"/>
              <w:tab w:pos="8389" w:val="right" w:leader="dot"/>
            </w:tabs>
            <w:spacing w:before="271"/>
            <w:rPr>
              <w:rFonts w:ascii="Times New Roman" w:eastAsia="Times New Roman"/>
            </w:rPr>
          </w:pPr>
          <w:hyperlink w:history="true" w:anchor="_bookmark12">
            <w:r>
              <w:rPr/>
              <w:t>七、</w:t>
              <w:tab/>
              <w:t>基金份额的申购、赎回</w:t>
              <w:tab/>
            </w:r>
            <w:r>
              <w:rPr>
                <w:rFonts w:ascii="Times New Roman" w:eastAsia="Times New Roman"/>
              </w:rPr>
              <w:t>18</w:t>
            </w:r>
          </w:hyperlink>
        </w:p>
        <w:p>
          <w:pPr>
            <w:pStyle w:val="TOC2"/>
            <w:tabs>
              <w:tab w:pos="8389" w:val="right" w:leader="dot"/>
            </w:tabs>
            <w:spacing w:before="288"/>
            <w:rPr>
              <w:rFonts w:ascii="Times New Roman" w:eastAsia="Times New Roman"/>
            </w:rPr>
          </w:pPr>
          <w:hyperlink w:history="true" w:anchor="_bookmark13">
            <w:r>
              <w:rPr/>
              <w:t>（一）基金投资者范围</w:t>
              <w:tab/>
            </w:r>
            <w:r>
              <w:rPr>
                <w:rFonts w:ascii="Times New Roman" w:eastAsia="Times New Roman"/>
              </w:rPr>
              <w:t>18</w:t>
            </w:r>
          </w:hyperlink>
        </w:p>
        <w:p>
          <w:pPr>
            <w:pStyle w:val="TOC2"/>
            <w:tabs>
              <w:tab w:pos="8389" w:val="right" w:leader="dot"/>
            </w:tabs>
            <w:rPr>
              <w:rFonts w:ascii="Times New Roman" w:eastAsia="Times New Roman"/>
            </w:rPr>
          </w:pPr>
          <w:hyperlink w:history="true" w:anchor="_bookmark14">
            <w:r>
              <w:rPr/>
              <w:t>（二）申购、赎回的场所</w:t>
              <w:tab/>
            </w:r>
            <w:r>
              <w:rPr>
                <w:rFonts w:ascii="Times New Roman" w:eastAsia="Times New Roman"/>
              </w:rPr>
              <w:t>18</w:t>
            </w:r>
          </w:hyperlink>
        </w:p>
        <w:p>
          <w:pPr>
            <w:pStyle w:val="TOC2"/>
            <w:tabs>
              <w:tab w:pos="8389" w:val="right" w:leader="dot"/>
            </w:tabs>
            <w:spacing w:before="336"/>
            <w:rPr>
              <w:rFonts w:ascii="Times New Roman" w:eastAsia="Times New Roman"/>
            </w:rPr>
          </w:pPr>
          <w:hyperlink w:history="true" w:anchor="_bookmark15">
            <w:r>
              <w:rPr/>
              <w:t>（三）申购、赎回的开放日及时间</w:t>
              <w:tab/>
            </w:r>
            <w:r>
              <w:rPr>
                <w:rFonts w:ascii="Times New Roman" w:eastAsia="Times New Roman"/>
              </w:rPr>
              <w:t>18</w:t>
            </w:r>
          </w:hyperlink>
        </w:p>
        <w:p>
          <w:pPr>
            <w:pStyle w:val="TOC2"/>
            <w:tabs>
              <w:tab w:pos="8389" w:val="right" w:leader="dot"/>
            </w:tabs>
            <w:spacing w:before="335"/>
            <w:rPr>
              <w:rFonts w:ascii="Times New Roman" w:eastAsia="Times New Roman"/>
            </w:rPr>
          </w:pPr>
          <w:hyperlink w:history="true" w:anchor="_bookmark16">
            <w:r>
              <w:rPr/>
              <w:t>（四）申购、赎回的原则</w:t>
              <w:tab/>
            </w:r>
            <w:r>
              <w:rPr>
                <w:rFonts w:ascii="Times New Roman" w:eastAsia="Times New Roman"/>
              </w:rPr>
              <w:t>19</w:t>
            </w:r>
          </w:hyperlink>
        </w:p>
        <w:p>
          <w:pPr>
            <w:pStyle w:val="TOC2"/>
            <w:tabs>
              <w:tab w:pos="8389" w:val="right" w:leader="dot"/>
            </w:tabs>
            <w:rPr>
              <w:rFonts w:ascii="Times New Roman" w:eastAsia="Times New Roman"/>
            </w:rPr>
          </w:pPr>
          <w:hyperlink w:history="true" w:anchor="_bookmark17">
            <w:r>
              <w:rPr/>
              <w:t>（五）申购、赎回的程序</w:t>
              <w:tab/>
            </w:r>
            <w:r>
              <w:rPr>
                <w:rFonts w:ascii="Times New Roman" w:eastAsia="Times New Roman"/>
              </w:rPr>
              <w:t>19</w:t>
            </w:r>
          </w:hyperlink>
        </w:p>
        <w:p>
          <w:pPr>
            <w:pStyle w:val="TOC2"/>
            <w:tabs>
              <w:tab w:pos="8389" w:val="right" w:leader="dot"/>
            </w:tabs>
            <w:spacing w:before="336"/>
            <w:rPr>
              <w:rFonts w:ascii="Times New Roman" w:eastAsia="Times New Roman"/>
            </w:rPr>
          </w:pPr>
          <w:hyperlink w:history="true" w:anchor="_bookmark18">
            <w:r>
              <w:rPr/>
              <w:t>（六）申购、赎回的数额限制</w:t>
              <w:tab/>
            </w:r>
            <w:r>
              <w:rPr>
                <w:rFonts w:ascii="Times New Roman" w:eastAsia="Times New Roman"/>
              </w:rPr>
              <w:t>20</w:t>
            </w:r>
          </w:hyperlink>
        </w:p>
        <w:p>
          <w:pPr>
            <w:pStyle w:val="TOC2"/>
            <w:tabs>
              <w:tab w:pos="8389" w:val="right" w:leader="dot"/>
            </w:tabs>
            <w:spacing w:before="334"/>
            <w:rPr>
              <w:rFonts w:ascii="Times New Roman" w:eastAsia="Times New Roman"/>
            </w:rPr>
          </w:pPr>
          <w:hyperlink w:history="true" w:anchor="_bookmark19">
            <w:r>
              <w:rPr/>
              <w:t>（七）申购、赎回的费率</w:t>
              <w:tab/>
            </w:r>
            <w:r>
              <w:rPr>
                <w:rFonts w:ascii="Times New Roman" w:eastAsia="Times New Roman"/>
              </w:rPr>
              <w:t>20</w:t>
            </w:r>
          </w:hyperlink>
        </w:p>
        <w:p>
          <w:pPr>
            <w:pStyle w:val="TOC2"/>
            <w:tabs>
              <w:tab w:pos="8389" w:val="right" w:leader="dot"/>
            </w:tabs>
            <w:rPr>
              <w:rFonts w:ascii="Times New Roman" w:eastAsia="Times New Roman"/>
            </w:rPr>
          </w:pPr>
          <w:hyperlink w:history="true" w:anchor="_bookmark20">
            <w:r>
              <w:rPr/>
              <w:t>（八）申购份额、赎回金额的计算方式</w:t>
              <w:tab/>
            </w:r>
            <w:r>
              <w:rPr>
                <w:rFonts w:ascii="Times New Roman" w:eastAsia="Times New Roman"/>
              </w:rPr>
              <w:t>21</w:t>
            </w:r>
          </w:hyperlink>
        </w:p>
        <w:p>
          <w:pPr>
            <w:pStyle w:val="TOC2"/>
            <w:tabs>
              <w:tab w:pos="8389" w:val="right" w:leader="dot"/>
            </w:tabs>
            <w:spacing w:before="336" w:after="20"/>
            <w:rPr>
              <w:rFonts w:ascii="Times New Roman" w:eastAsia="Times New Roman"/>
            </w:rPr>
          </w:pPr>
          <w:hyperlink w:history="true" w:anchor="_bookmark21">
            <w:r>
              <w:rPr/>
              <w:t>（九）申购、赎回的注册登记</w:t>
              <w:tab/>
            </w:r>
            <w:r>
              <w:rPr>
                <w:rFonts w:ascii="Times New Roman" w:eastAsia="Times New Roman"/>
              </w:rPr>
              <w:t>21</w:t>
            </w:r>
          </w:hyperlink>
        </w:p>
        <w:p>
          <w:pPr>
            <w:pStyle w:val="TOC2"/>
            <w:tabs>
              <w:tab w:pos="8389" w:val="right" w:leader="dot"/>
            </w:tabs>
            <w:spacing w:before="67"/>
            <w:rPr>
              <w:rFonts w:ascii="Times New Roman" w:eastAsia="Times New Roman"/>
            </w:rPr>
          </w:pPr>
          <w:hyperlink w:history="true" w:anchor="_bookmark22">
            <w:r>
              <w:rPr/>
              <w:t>（十）巨额赎回的认定及处理方式</w:t>
              <w:tab/>
            </w:r>
            <w:r>
              <w:rPr>
                <w:rFonts w:ascii="Times New Roman" w:eastAsia="Times New Roman"/>
              </w:rPr>
              <w:t>21</w:t>
            </w:r>
          </w:hyperlink>
        </w:p>
        <w:p>
          <w:pPr>
            <w:pStyle w:val="TOC2"/>
            <w:tabs>
              <w:tab w:pos="8389" w:val="right" w:leader="dot"/>
            </w:tabs>
            <w:rPr>
              <w:rFonts w:ascii="Times New Roman" w:eastAsia="Times New Roman"/>
            </w:rPr>
          </w:pPr>
          <w:hyperlink w:history="true" w:anchor="_bookmark23">
            <w:r>
              <w:rPr/>
              <w:t>（十一）拒绝或暂停申购、赎回的情形及处理方式</w:t>
              <w:tab/>
            </w:r>
            <w:r>
              <w:rPr>
                <w:rFonts w:ascii="Times New Roman" w:eastAsia="Times New Roman"/>
              </w:rPr>
              <w:t>23</w:t>
            </w:r>
          </w:hyperlink>
        </w:p>
        <w:p>
          <w:pPr>
            <w:pStyle w:val="TOC1"/>
            <w:tabs>
              <w:tab w:pos="749" w:val="left" w:leader="none"/>
              <w:tab w:pos="8389" w:val="right" w:leader="dot"/>
            </w:tabs>
            <w:spacing w:before="268"/>
            <w:rPr>
              <w:rFonts w:ascii="Times New Roman" w:eastAsia="Times New Roman"/>
            </w:rPr>
          </w:pPr>
          <w:hyperlink w:history="true" w:anchor="_bookmark24">
            <w:r>
              <w:rPr/>
              <w:t>八、</w:t>
              <w:tab/>
              <w:t>基金的转换</w:t>
              <w:tab/>
            </w:r>
            <w:r>
              <w:rPr>
                <w:rFonts w:ascii="Times New Roman" w:eastAsia="Times New Roman"/>
              </w:rPr>
              <w:t>27</w:t>
            </w:r>
          </w:hyperlink>
        </w:p>
        <w:p>
          <w:pPr>
            <w:pStyle w:val="TOC1"/>
            <w:tabs>
              <w:tab w:pos="749" w:val="left" w:leader="none"/>
              <w:tab w:pos="8389" w:val="right" w:leader="dot"/>
            </w:tabs>
            <w:rPr>
              <w:rFonts w:ascii="Times New Roman" w:eastAsia="Times New Roman"/>
            </w:rPr>
          </w:pPr>
          <w:hyperlink w:history="true" w:anchor="_bookmark25">
            <w:r>
              <w:rPr/>
              <w:t>九、</w:t>
              <w:tab/>
              <w:t>基金的非交易过户、转托管、冻结与质押</w:t>
              <w:tab/>
            </w:r>
            <w:r>
              <w:rPr>
                <w:rFonts w:ascii="Times New Roman" w:eastAsia="Times New Roman"/>
              </w:rPr>
              <w:t>28</w:t>
            </w:r>
          </w:hyperlink>
        </w:p>
        <w:p>
          <w:pPr>
            <w:pStyle w:val="TOC1"/>
            <w:tabs>
              <w:tab w:pos="749" w:val="left" w:leader="none"/>
              <w:tab w:pos="8389" w:val="right" w:leader="dot"/>
            </w:tabs>
            <w:rPr>
              <w:rFonts w:ascii="Times New Roman" w:eastAsia="Times New Roman"/>
            </w:rPr>
          </w:pPr>
          <w:hyperlink w:history="true" w:anchor="_bookmark26">
            <w:r>
              <w:rPr/>
              <w:t>十、</w:t>
              <w:tab/>
              <w:t>基金合同当事人及权利义务</w:t>
              <w:tab/>
            </w:r>
            <w:r>
              <w:rPr>
                <w:rFonts w:ascii="Times New Roman" w:eastAsia="Times New Roman"/>
              </w:rPr>
              <w:t>30</w:t>
            </w:r>
          </w:hyperlink>
        </w:p>
        <w:p>
          <w:pPr>
            <w:pStyle w:val="TOC2"/>
            <w:tabs>
              <w:tab w:pos="8389" w:val="right" w:leader="dot"/>
            </w:tabs>
            <w:spacing w:before="289"/>
            <w:rPr>
              <w:rFonts w:ascii="Times New Roman" w:eastAsia="Times New Roman"/>
            </w:rPr>
          </w:pPr>
          <w:hyperlink w:history="true" w:anchor="_bookmark27">
            <w:r>
              <w:rPr/>
              <w:t>（一）基金管理人基本情况</w:t>
              <w:tab/>
            </w:r>
            <w:r>
              <w:rPr>
                <w:rFonts w:ascii="Times New Roman" w:eastAsia="Times New Roman"/>
              </w:rPr>
              <w:t>30</w:t>
            </w:r>
          </w:hyperlink>
        </w:p>
        <w:p>
          <w:pPr>
            <w:pStyle w:val="TOC2"/>
            <w:tabs>
              <w:tab w:pos="8389" w:val="right" w:leader="dot"/>
            </w:tabs>
            <w:rPr>
              <w:rFonts w:ascii="Times New Roman" w:eastAsia="Times New Roman"/>
            </w:rPr>
          </w:pPr>
          <w:hyperlink w:history="true" w:anchor="_bookmark28">
            <w:r>
              <w:rPr/>
              <w:t>（二）基金托管人基本情况</w:t>
              <w:tab/>
            </w:r>
            <w:r>
              <w:rPr>
                <w:rFonts w:ascii="Times New Roman" w:eastAsia="Times New Roman"/>
              </w:rPr>
              <w:t>30</w:t>
            </w:r>
          </w:hyperlink>
        </w:p>
        <w:p>
          <w:pPr>
            <w:pStyle w:val="TOC2"/>
            <w:tabs>
              <w:tab w:pos="8389" w:val="right" w:leader="dot"/>
            </w:tabs>
            <w:rPr>
              <w:rFonts w:ascii="Times New Roman" w:eastAsia="Times New Roman"/>
            </w:rPr>
          </w:pPr>
          <w:hyperlink w:history="true" w:anchor="_bookmark29">
            <w:r>
              <w:rPr/>
              <w:t>（三）基金管理人的权利与义务</w:t>
              <w:tab/>
            </w:r>
            <w:r>
              <w:rPr>
                <w:rFonts w:ascii="Times New Roman" w:eastAsia="Times New Roman"/>
              </w:rPr>
              <w:t>31</w:t>
            </w:r>
          </w:hyperlink>
        </w:p>
        <w:p>
          <w:pPr>
            <w:pStyle w:val="TOC2"/>
            <w:tabs>
              <w:tab w:pos="8389" w:val="right" w:leader="dot"/>
            </w:tabs>
            <w:spacing w:before="334"/>
            <w:rPr>
              <w:rFonts w:ascii="Times New Roman" w:eastAsia="Times New Roman"/>
            </w:rPr>
          </w:pPr>
          <w:hyperlink w:history="true" w:anchor="_bookmark30">
            <w:r>
              <w:rPr/>
              <w:t>（四）基金托管人的权利与义务</w:t>
              <w:tab/>
            </w:r>
            <w:r>
              <w:rPr>
                <w:rFonts w:ascii="Times New Roman" w:eastAsia="Times New Roman"/>
              </w:rPr>
              <w:t>35</w:t>
            </w:r>
          </w:hyperlink>
        </w:p>
        <w:p>
          <w:pPr>
            <w:pStyle w:val="TOC2"/>
            <w:tabs>
              <w:tab w:pos="8389" w:val="right" w:leader="dot"/>
            </w:tabs>
            <w:spacing w:before="336"/>
            <w:rPr>
              <w:rFonts w:ascii="Times New Roman" w:eastAsia="Times New Roman"/>
            </w:rPr>
          </w:pPr>
          <w:hyperlink w:history="true" w:anchor="_bookmark31">
            <w:r>
              <w:rPr/>
              <w:t>（五）基金份额持有人的权利与义务</w:t>
              <w:tab/>
            </w:r>
            <w:r>
              <w:rPr>
                <w:rFonts w:ascii="Times New Roman" w:eastAsia="Times New Roman"/>
              </w:rPr>
              <w:t>37</w:t>
            </w:r>
          </w:hyperlink>
        </w:p>
        <w:p>
          <w:pPr>
            <w:pStyle w:val="TOC1"/>
            <w:tabs>
              <w:tab w:pos="8389" w:val="right" w:leader="dot"/>
            </w:tabs>
            <w:spacing w:before="271"/>
            <w:rPr>
              <w:rFonts w:ascii="Times New Roman" w:eastAsia="Times New Roman"/>
            </w:rPr>
          </w:pPr>
          <w:hyperlink w:history="true" w:anchor="_bookmark32">
            <w:r>
              <w:rPr/>
              <w:t>十一</w:t>
            </w:r>
            <w:r>
              <w:rPr>
                <w:spacing w:val="28"/>
              </w:rPr>
              <w:t>、</w:t>
            </w:r>
            <w:r>
              <w:rPr/>
              <w:t>基金份额持有人大会</w:t>
              <w:tab/>
            </w:r>
            <w:r>
              <w:rPr>
                <w:rFonts w:ascii="Times New Roman" w:eastAsia="Times New Roman"/>
              </w:rPr>
              <w:t>40</w:t>
            </w:r>
          </w:hyperlink>
        </w:p>
        <w:p>
          <w:pPr>
            <w:pStyle w:val="TOC1"/>
            <w:tabs>
              <w:tab w:pos="8389" w:val="right" w:leader="dot"/>
            </w:tabs>
            <w:spacing w:before="223"/>
            <w:rPr>
              <w:rFonts w:ascii="Times New Roman" w:eastAsia="Times New Roman"/>
            </w:rPr>
          </w:pPr>
          <w:hyperlink w:history="true" w:anchor="_bookmark33">
            <w:r>
              <w:rPr/>
              <w:t>十二</w:t>
            </w:r>
            <w:r>
              <w:rPr>
                <w:spacing w:val="28"/>
              </w:rPr>
              <w:t>、</w:t>
            </w:r>
            <w:r>
              <w:rPr/>
              <w:t>基金管理人、基金托管人的更换条件和程序</w:t>
              <w:tab/>
            </w:r>
            <w:r>
              <w:rPr>
                <w:rFonts w:ascii="Times New Roman" w:eastAsia="Times New Roman"/>
              </w:rPr>
              <w:t>48</w:t>
            </w:r>
          </w:hyperlink>
        </w:p>
        <w:p>
          <w:pPr>
            <w:pStyle w:val="TOC2"/>
            <w:tabs>
              <w:tab w:pos="8389" w:val="right" w:leader="dot"/>
            </w:tabs>
            <w:spacing w:before="291"/>
            <w:rPr>
              <w:rFonts w:ascii="Times New Roman" w:eastAsia="Times New Roman"/>
            </w:rPr>
          </w:pPr>
          <w:hyperlink w:history="true" w:anchor="_bookmark34">
            <w:r>
              <w:rPr/>
              <w:t>（一）基金管理人和</w:t>
            </w:r>
            <w:r>
              <w:rPr>
                <w:spacing w:val="3"/>
              </w:rPr>
              <w:t>基</w:t>
            </w:r>
            <w:r>
              <w:rPr/>
              <w:t>金托管人的更换条件</w:t>
              <w:tab/>
            </w:r>
            <w:r>
              <w:rPr>
                <w:rFonts w:ascii="Times New Roman" w:eastAsia="Times New Roman"/>
              </w:rPr>
              <w:t>48</w:t>
            </w:r>
          </w:hyperlink>
        </w:p>
        <w:p>
          <w:pPr>
            <w:pStyle w:val="TOC2"/>
            <w:tabs>
              <w:tab w:pos="8389" w:val="right" w:leader="dot"/>
            </w:tabs>
            <w:rPr>
              <w:rFonts w:ascii="Times New Roman" w:eastAsia="Times New Roman"/>
            </w:rPr>
          </w:pPr>
          <w:hyperlink w:history="true" w:anchor="_bookmark35">
            <w:r>
              <w:rPr/>
              <w:t>（二）基金管理人和基金托管人的更换程序</w:t>
              <w:tab/>
            </w:r>
            <w:r>
              <w:rPr>
                <w:rFonts w:ascii="Times New Roman" w:eastAsia="Times New Roman"/>
              </w:rPr>
              <w:t>49</w:t>
            </w:r>
          </w:hyperlink>
        </w:p>
        <w:p>
          <w:pPr>
            <w:pStyle w:val="TOC1"/>
            <w:tabs>
              <w:tab w:pos="8389" w:val="right" w:leader="dot"/>
            </w:tabs>
            <w:spacing w:before="268"/>
            <w:rPr>
              <w:rFonts w:ascii="Times New Roman" w:eastAsia="Times New Roman"/>
            </w:rPr>
          </w:pPr>
          <w:hyperlink w:history="true" w:anchor="_bookmark36">
            <w:r>
              <w:rPr/>
              <w:t>十三</w:t>
            </w:r>
            <w:r>
              <w:rPr>
                <w:spacing w:val="28"/>
              </w:rPr>
              <w:t>、</w:t>
            </w:r>
            <w:r>
              <w:rPr/>
              <w:t>基金的托管</w:t>
              <w:tab/>
            </w:r>
            <w:r>
              <w:rPr>
                <w:rFonts w:ascii="Times New Roman" w:eastAsia="Times New Roman"/>
              </w:rPr>
              <w:t>51</w:t>
            </w:r>
          </w:hyperlink>
        </w:p>
        <w:p>
          <w:pPr>
            <w:pStyle w:val="TOC1"/>
            <w:tabs>
              <w:tab w:pos="8389" w:val="right" w:leader="dot"/>
            </w:tabs>
            <w:rPr>
              <w:rFonts w:ascii="Times New Roman" w:eastAsia="Times New Roman"/>
            </w:rPr>
          </w:pPr>
          <w:hyperlink w:history="true" w:anchor="_bookmark37">
            <w:r>
              <w:rPr/>
              <w:t>十四</w:t>
            </w:r>
            <w:r>
              <w:rPr>
                <w:spacing w:val="28"/>
              </w:rPr>
              <w:t>、</w:t>
            </w:r>
            <w:r>
              <w:rPr/>
              <w:t>基金份额的注册登记</w:t>
              <w:tab/>
            </w:r>
            <w:r>
              <w:rPr>
                <w:rFonts w:ascii="Times New Roman" w:eastAsia="Times New Roman"/>
              </w:rPr>
              <w:t>52</w:t>
            </w:r>
          </w:hyperlink>
        </w:p>
        <w:p>
          <w:pPr>
            <w:pStyle w:val="TOC1"/>
            <w:tabs>
              <w:tab w:pos="8389" w:val="right" w:leader="dot"/>
            </w:tabs>
            <w:rPr>
              <w:rFonts w:ascii="Times New Roman" w:eastAsia="Times New Roman"/>
            </w:rPr>
          </w:pPr>
          <w:hyperlink w:history="true" w:anchor="_bookmark38">
            <w:r>
              <w:rPr/>
              <w:t>十五</w:t>
            </w:r>
            <w:r>
              <w:rPr>
                <w:spacing w:val="28"/>
              </w:rPr>
              <w:t>、</w:t>
            </w:r>
            <w:r>
              <w:rPr/>
              <w:t>基金的投资</w:t>
              <w:tab/>
            </w:r>
            <w:r>
              <w:rPr>
                <w:rFonts w:ascii="Times New Roman" w:eastAsia="Times New Roman"/>
              </w:rPr>
              <w:t>53</w:t>
            </w:r>
          </w:hyperlink>
        </w:p>
        <w:p>
          <w:pPr>
            <w:pStyle w:val="TOC2"/>
            <w:tabs>
              <w:tab w:pos="8389" w:val="right" w:leader="dot"/>
            </w:tabs>
            <w:spacing w:before="288"/>
            <w:rPr>
              <w:rFonts w:ascii="Times New Roman" w:eastAsia="Times New Roman"/>
            </w:rPr>
          </w:pPr>
          <w:hyperlink w:history="true" w:anchor="_bookmark39">
            <w:r>
              <w:rPr/>
              <w:t>(一)</w:t>
            </w:r>
            <w:r>
              <w:rPr>
                <w:spacing w:val="-19"/>
              </w:rPr>
              <w:t> </w:t>
            </w:r>
            <w:r>
              <w:rPr/>
              <w:t>投资目标</w:t>
              <w:tab/>
            </w:r>
            <w:r>
              <w:rPr>
                <w:rFonts w:ascii="Times New Roman" w:eastAsia="Times New Roman"/>
              </w:rPr>
              <w:t>53</w:t>
            </w:r>
          </w:hyperlink>
        </w:p>
        <w:p>
          <w:pPr>
            <w:pStyle w:val="TOC2"/>
            <w:tabs>
              <w:tab w:pos="8389" w:val="right" w:leader="dot"/>
            </w:tabs>
            <w:spacing w:before="338"/>
            <w:rPr>
              <w:rFonts w:ascii="Times New Roman" w:eastAsia="Times New Roman"/>
            </w:rPr>
          </w:pPr>
          <w:hyperlink w:history="true" w:anchor="_bookmark40">
            <w:r>
              <w:rPr/>
              <w:t>(二)</w:t>
            </w:r>
            <w:r>
              <w:rPr>
                <w:spacing w:val="-19"/>
              </w:rPr>
              <w:t> </w:t>
            </w:r>
            <w:r>
              <w:rPr/>
              <w:t>投资范围</w:t>
              <w:tab/>
            </w:r>
            <w:r>
              <w:rPr>
                <w:rFonts w:ascii="Times New Roman" w:eastAsia="Times New Roman"/>
              </w:rPr>
              <w:t>53</w:t>
            </w:r>
          </w:hyperlink>
        </w:p>
        <w:p>
          <w:pPr>
            <w:pStyle w:val="TOC2"/>
            <w:tabs>
              <w:tab w:pos="8389" w:val="right" w:leader="dot"/>
            </w:tabs>
            <w:spacing w:before="336"/>
            <w:rPr>
              <w:rFonts w:ascii="Times New Roman" w:eastAsia="Times New Roman"/>
            </w:rPr>
          </w:pPr>
          <w:hyperlink w:history="true" w:anchor="_bookmark41">
            <w:r>
              <w:rPr/>
              <w:t>(三)</w:t>
            </w:r>
            <w:r>
              <w:rPr>
                <w:spacing w:val="-19"/>
              </w:rPr>
              <w:t> </w:t>
            </w:r>
            <w:r>
              <w:rPr/>
              <w:t>投资理念</w:t>
              <w:tab/>
            </w:r>
            <w:r>
              <w:rPr>
                <w:rFonts w:ascii="Times New Roman" w:eastAsia="Times New Roman"/>
              </w:rPr>
              <w:t>53</w:t>
            </w:r>
          </w:hyperlink>
        </w:p>
        <w:p>
          <w:pPr>
            <w:pStyle w:val="TOC2"/>
            <w:tabs>
              <w:tab w:pos="8389" w:val="right" w:leader="dot"/>
            </w:tabs>
            <w:spacing w:before="334"/>
            <w:rPr>
              <w:rFonts w:ascii="Times New Roman" w:eastAsia="Times New Roman"/>
            </w:rPr>
          </w:pPr>
          <w:hyperlink w:history="true" w:anchor="_bookmark42">
            <w:r>
              <w:rPr/>
              <w:t>(四)</w:t>
            </w:r>
            <w:r>
              <w:rPr>
                <w:spacing w:val="-19"/>
              </w:rPr>
              <w:t> </w:t>
            </w:r>
            <w:r>
              <w:rPr/>
              <w:t>投资策略</w:t>
              <w:tab/>
            </w:r>
            <w:r>
              <w:rPr>
                <w:rFonts w:ascii="Times New Roman" w:eastAsia="Times New Roman"/>
              </w:rPr>
              <w:t>53</w:t>
            </w:r>
          </w:hyperlink>
        </w:p>
        <w:p>
          <w:pPr>
            <w:pStyle w:val="TOC2"/>
            <w:tabs>
              <w:tab w:pos="8389" w:val="right" w:leader="dot"/>
            </w:tabs>
            <w:rPr>
              <w:rFonts w:ascii="Times New Roman" w:eastAsia="Times New Roman"/>
            </w:rPr>
          </w:pPr>
          <w:hyperlink w:history="true" w:anchor="_bookmark43">
            <w:r>
              <w:rPr/>
              <w:t>(五)</w:t>
            </w:r>
            <w:r>
              <w:rPr>
                <w:spacing w:val="-19"/>
              </w:rPr>
              <w:t> </w:t>
            </w:r>
            <w:r>
              <w:rPr/>
              <w:t>业绩比较基准</w:t>
              <w:tab/>
            </w:r>
            <w:r>
              <w:rPr>
                <w:rFonts w:ascii="Times New Roman" w:eastAsia="Times New Roman"/>
              </w:rPr>
              <w:t>54</w:t>
            </w:r>
          </w:hyperlink>
        </w:p>
        <w:p>
          <w:pPr>
            <w:pStyle w:val="TOC2"/>
            <w:tabs>
              <w:tab w:pos="8389" w:val="right" w:leader="dot"/>
            </w:tabs>
            <w:spacing w:before="336" w:after="240"/>
            <w:rPr>
              <w:rFonts w:ascii="Times New Roman" w:eastAsia="Times New Roman"/>
            </w:rPr>
          </w:pPr>
          <w:hyperlink w:history="true" w:anchor="_bookmark44">
            <w:r>
              <w:rPr/>
              <w:t>(六)</w:t>
            </w:r>
            <w:r>
              <w:rPr>
                <w:spacing w:val="-19"/>
              </w:rPr>
              <w:t> </w:t>
            </w:r>
            <w:r>
              <w:rPr/>
              <w:t>风险收益特征</w:t>
              <w:tab/>
            </w:r>
            <w:r>
              <w:rPr>
                <w:rFonts w:ascii="Times New Roman" w:eastAsia="Times New Roman"/>
              </w:rPr>
              <w:t>54</w:t>
            </w:r>
          </w:hyperlink>
        </w:p>
        <w:p>
          <w:pPr>
            <w:pStyle w:val="TOC2"/>
            <w:tabs>
              <w:tab w:pos="8389" w:val="right" w:leader="dot"/>
            </w:tabs>
            <w:spacing w:before="67"/>
            <w:rPr>
              <w:rFonts w:ascii="Times New Roman" w:eastAsia="Times New Roman"/>
            </w:rPr>
          </w:pPr>
          <w:hyperlink w:history="true" w:anchor="_bookmark45">
            <w:r>
              <w:rPr/>
              <w:t>(七)</w:t>
            </w:r>
            <w:r>
              <w:rPr>
                <w:spacing w:val="-19"/>
              </w:rPr>
              <w:t> </w:t>
            </w:r>
            <w:r>
              <w:rPr/>
              <w:t>投资决策</w:t>
              <w:tab/>
            </w:r>
            <w:r>
              <w:rPr>
                <w:rFonts w:ascii="Times New Roman" w:eastAsia="Times New Roman"/>
              </w:rPr>
              <w:t>54</w:t>
            </w:r>
          </w:hyperlink>
        </w:p>
        <w:p>
          <w:pPr>
            <w:pStyle w:val="TOC2"/>
            <w:tabs>
              <w:tab w:pos="8389" w:val="right" w:leader="dot"/>
            </w:tabs>
            <w:rPr>
              <w:rFonts w:ascii="Times New Roman" w:eastAsia="Times New Roman"/>
            </w:rPr>
          </w:pPr>
          <w:hyperlink w:history="true" w:anchor="_bookmark46">
            <w:r>
              <w:rPr/>
              <w:t>(八)</w:t>
            </w:r>
            <w:r>
              <w:rPr>
                <w:spacing w:val="-19"/>
              </w:rPr>
              <w:t> </w:t>
            </w:r>
            <w:r>
              <w:rPr/>
              <w:t>投资组合限制</w:t>
              <w:tab/>
            </w:r>
            <w:r>
              <w:rPr>
                <w:rFonts w:ascii="Times New Roman" w:eastAsia="Times New Roman"/>
              </w:rPr>
              <w:t>55</w:t>
            </w:r>
          </w:hyperlink>
        </w:p>
        <w:p>
          <w:pPr>
            <w:pStyle w:val="TOC2"/>
            <w:tabs>
              <w:tab w:pos="8389" w:val="right" w:leader="dot"/>
            </w:tabs>
            <w:spacing w:before="334"/>
            <w:rPr>
              <w:rFonts w:ascii="Times New Roman" w:eastAsia="Times New Roman"/>
            </w:rPr>
          </w:pPr>
          <w:hyperlink w:history="true" w:anchor="_bookmark47">
            <w:r>
              <w:rPr/>
              <w:t>(九)</w:t>
            </w:r>
            <w:r>
              <w:rPr>
                <w:spacing w:val="-19"/>
              </w:rPr>
              <w:t> </w:t>
            </w:r>
            <w:r>
              <w:rPr/>
              <w:t>禁止行为</w:t>
              <w:tab/>
            </w:r>
            <w:r>
              <w:rPr>
                <w:rFonts w:ascii="Times New Roman" w:eastAsia="Times New Roman"/>
              </w:rPr>
              <w:t>59</w:t>
            </w:r>
          </w:hyperlink>
        </w:p>
        <w:p>
          <w:pPr>
            <w:pStyle w:val="TOC2"/>
            <w:tabs>
              <w:tab w:pos="8389" w:val="right" w:leader="dot"/>
            </w:tabs>
            <w:rPr>
              <w:rFonts w:ascii="Times New Roman" w:eastAsia="Times New Roman"/>
            </w:rPr>
          </w:pPr>
          <w:hyperlink w:history="true" w:anchor="_bookmark48">
            <w:r>
              <w:rPr/>
              <w:t>(十)</w:t>
            </w:r>
            <w:r>
              <w:rPr>
                <w:spacing w:val="-19"/>
              </w:rPr>
              <w:t> </w:t>
            </w:r>
            <w:r>
              <w:rPr/>
              <w:t>基金管理人代表基金行使所投资证券产生权利的处理原则及方法</w:t>
              <w:tab/>
            </w:r>
            <w:r>
              <w:rPr>
                <w:rFonts w:ascii="Times New Roman" w:eastAsia="Times New Roman"/>
              </w:rPr>
              <w:t>60</w:t>
            </w:r>
          </w:hyperlink>
        </w:p>
        <w:p>
          <w:pPr>
            <w:pStyle w:val="TOC2"/>
            <w:tabs>
              <w:tab w:pos="8389" w:val="right" w:leader="dot"/>
            </w:tabs>
            <w:spacing w:before="336"/>
            <w:rPr>
              <w:rFonts w:ascii="Times New Roman" w:eastAsia="Times New Roman"/>
            </w:rPr>
          </w:pPr>
          <w:hyperlink w:history="true" w:anchor="_bookmark49">
            <w:r>
              <w:rPr/>
              <w:t>（十一）基金的融资</w:t>
              <w:tab/>
            </w:r>
            <w:r>
              <w:rPr>
                <w:rFonts w:ascii="Times New Roman" w:eastAsia="Times New Roman"/>
              </w:rPr>
              <w:t>60</w:t>
            </w:r>
          </w:hyperlink>
        </w:p>
        <w:p>
          <w:pPr>
            <w:pStyle w:val="TOC2"/>
            <w:tabs>
              <w:tab w:pos="8389" w:val="right" w:leader="dot"/>
            </w:tabs>
            <w:spacing w:before="335"/>
            <w:rPr>
              <w:rFonts w:ascii="Times New Roman" w:eastAsia="Times New Roman"/>
            </w:rPr>
          </w:pPr>
          <w:hyperlink w:history="true" w:anchor="_bookmark50">
            <w:r>
              <w:rPr/>
              <w:t>（十二）基金管理人和基金经理的承诺</w:t>
              <w:tab/>
            </w:r>
            <w:r>
              <w:rPr>
                <w:rFonts w:ascii="Times New Roman" w:eastAsia="Times New Roman"/>
              </w:rPr>
              <w:t>60</w:t>
            </w:r>
          </w:hyperlink>
        </w:p>
        <w:p>
          <w:pPr>
            <w:pStyle w:val="TOC1"/>
            <w:tabs>
              <w:tab w:pos="8389" w:val="right" w:leader="dot"/>
            </w:tabs>
            <w:spacing w:before="271"/>
            <w:rPr>
              <w:rFonts w:ascii="Times New Roman" w:eastAsia="Times New Roman"/>
            </w:rPr>
          </w:pPr>
          <w:hyperlink w:history="true" w:anchor="_bookmark51">
            <w:r>
              <w:rPr/>
              <w:t>十六</w:t>
            </w:r>
            <w:r>
              <w:rPr>
                <w:spacing w:val="28"/>
              </w:rPr>
              <w:t>、</w:t>
            </w:r>
            <w:r>
              <w:rPr/>
              <w:t>基金的财产</w:t>
              <w:tab/>
            </w:r>
            <w:r>
              <w:rPr>
                <w:rFonts w:ascii="Times New Roman" w:eastAsia="Times New Roman"/>
              </w:rPr>
              <w:t>63</w:t>
            </w:r>
          </w:hyperlink>
        </w:p>
        <w:p>
          <w:pPr>
            <w:pStyle w:val="TOC2"/>
            <w:tabs>
              <w:tab w:pos="8389" w:val="right" w:leader="dot"/>
            </w:tabs>
            <w:spacing w:before="291"/>
            <w:rPr>
              <w:rFonts w:ascii="Times New Roman" w:eastAsia="Times New Roman"/>
            </w:rPr>
          </w:pPr>
          <w:hyperlink w:history="true" w:anchor="_bookmark52">
            <w:r>
              <w:rPr/>
              <w:t>（一）基金资产总值</w:t>
              <w:tab/>
            </w:r>
            <w:r>
              <w:rPr>
                <w:rFonts w:ascii="Times New Roman" w:eastAsia="Times New Roman"/>
              </w:rPr>
              <w:t>63</w:t>
            </w:r>
          </w:hyperlink>
        </w:p>
        <w:p>
          <w:pPr>
            <w:pStyle w:val="TOC2"/>
            <w:tabs>
              <w:tab w:pos="8389" w:val="right" w:leader="dot"/>
            </w:tabs>
            <w:spacing w:before="334"/>
            <w:rPr>
              <w:rFonts w:ascii="Times New Roman" w:eastAsia="Times New Roman"/>
            </w:rPr>
          </w:pPr>
          <w:hyperlink w:history="true" w:anchor="_bookmark53">
            <w:r>
              <w:rPr/>
              <w:t>（二）基金资产净值</w:t>
              <w:tab/>
            </w:r>
            <w:r>
              <w:rPr>
                <w:rFonts w:ascii="Times New Roman" w:eastAsia="Times New Roman"/>
              </w:rPr>
              <w:t>63</w:t>
            </w:r>
          </w:hyperlink>
        </w:p>
        <w:p>
          <w:pPr>
            <w:pStyle w:val="TOC2"/>
            <w:tabs>
              <w:tab w:pos="8389" w:val="right" w:leader="dot"/>
            </w:tabs>
            <w:spacing w:before="336"/>
            <w:rPr>
              <w:rFonts w:ascii="Times New Roman" w:eastAsia="Times New Roman"/>
            </w:rPr>
          </w:pPr>
          <w:hyperlink w:history="true" w:anchor="_bookmark54">
            <w:r>
              <w:rPr/>
              <w:t>（三）基金财产的帐户</w:t>
              <w:tab/>
            </w:r>
            <w:r>
              <w:rPr>
                <w:rFonts w:ascii="Times New Roman" w:eastAsia="Times New Roman"/>
              </w:rPr>
              <w:t>63</w:t>
            </w:r>
          </w:hyperlink>
        </w:p>
        <w:p>
          <w:pPr>
            <w:pStyle w:val="TOC2"/>
            <w:tabs>
              <w:tab w:pos="8389" w:val="right" w:leader="dot"/>
            </w:tabs>
            <w:rPr>
              <w:rFonts w:ascii="Times New Roman" w:eastAsia="Times New Roman"/>
            </w:rPr>
          </w:pPr>
          <w:hyperlink w:history="true" w:anchor="_bookmark55">
            <w:r>
              <w:rPr/>
              <w:t>（四）基金财产的保管与处分</w:t>
              <w:tab/>
            </w:r>
            <w:r>
              <w:rPr>
                <w:rFonts w:ascii="Times New Roman" w:eastAsia="Times New Roman"/>
              </w:rPr>
              <w:t>63</w:t>
            </w:r>
          </w:hyperlink>
        </w:p>
        <w:p>
          <w:pPr>
            <w:pStyle w:val="TOC1"/>
            <w:tabs>
              <w:tab w:pos="8389" w:val="right" w:leader="dot"/>
            </w:tabs>
            <w:spacing w:before="268"/>
            <w:rPr>
              <w:rFonts w:ascii="Times New Roman" w:eastAsia="Times New Roman"/>
            </w:rPr>
          </w:pPr>
          <w:hyperlink w:history="true" w:anchor="_bookmark56">
            <w:r>
              <w:rPr/>
              <w:t>十七</w:t>
            </w:r>
            <w:r>
              <w:rPr>
                <w:spacing w:val="28"/>
              </w:rPr>
              <w:t>、</w:t>
            </w:r>
            <w:r>
              <w:rPr/>
              <w:t>基金资产估值</w:t>
              <w:tab/>
            </w:r>
            <w:r>
              <w:rPr>
                <w:rFonts w:ascii="Times New Roman" w:eastAsia="Times New Roman"/>
              </w:rPr>
              <w:t>64</w:t>
            </w:r>
          </w:hyperlink>
        </w:p>
        <w:p>
          <w:pPr>
            <w:pStyle w:val="TOC2"/>
            <w:tabs>
              <w:tab w:pos="8389" w:val="right" w:leader="dot"/>
            </w:tabs>
            <w:spacing w:before="292"/>
            <w:rPr>
              <w:rFonts w:ascii="Times New Roman" w:eastAsia="Times New Roman"/>
            </w:rPr>
          </w:pPr>
          <w:hyperlink w:history="true" w:anchor="_bookmark57">
            <w:r>
              <w:rPr/>
              <w:t>（一）估值目的</w:t>
              <w:tab/>
            </w:r>
            <w:r>
              <w:rPr>
                <w:rFonts w:ascii="Times New Roman" w:eastAsia="Times New Roman"/>
              </w:rPr>
              <w:t>64</w:t>
            </w:r>
          </w:hyperlink>
        </w:p>
        <w:p>
          <w:pPr>
            <w:pStyle w:val="TOC2"/>
            <w:tabs>
              <w:tab w:pos="8389" w:val="right" w:leader="dot"/>
            </w:tabs>
            <w:spacing w:before="336"/>
            <w:rPr>
              <w:rFonts w:ascii="Times New Roman" w:eastAsia="Times New Roman"/>
            </w:rPr>
          </w:pPr>
          <w:hyperlink w:history="true" w:anchor="_bookmark58">
            <w:r>
              <w:rPr/>
              <w:t>（二）估值日</w:t>
              <w:tab/>
            </w:r>
            <w:r>
              <w:rPr>
                <w:rFonts w:ascii="Times New Roman" w:eastAsia="Times New Roman"/>
              </w:rPr>
              <w:t>64</w:t>
            </w:r>
          </w:hyperlink>
        </w:p>
        <w:p>
          <w:pPr>
            <w:pStyle w:val="TOC2"/>
            <w:tabs>
              <w:tab w:pos="8389" w:val="right" w:leader="dot"/>
            </w:tabs>
            <w:spacing w:before="334"/>
            <w:rPr>
              <w:rFonts w:ascii="Times New Roman" w:eastAsia="Times New Roman"/>
            </w:rPr>
          </w:pPr>
          <w:hyperlink w:history="true" w:anchor="_bookmark59">
            <w:r>
              <w:rPr/>
              <w:t>（三）估值对象</w:t>
              <w:tab/>
            </w:r>
            <w:r>
              <w:rPr>
                <w:rFonts w:ascii="Times New Roman" w:eastAsia="Times New Roman"/>
              </w:rPr>
              <w:t>64</w:t>
            </w:r>
          </w:hyperlink>
        </w:p>
        <w:p>
          <w:pPr>
            <w:pStyle w:val="TOC2"/>
            <w:tabs>
              <w:tab w:pos="8389" w:val="right" w:leader="dot"/>
            </w:tabs>
            <w:rPr>
              <w:rFonts w:ascii="Times New Roman" w:eastAsia="Times New Roman"/>
            </w:rPr>
          </w:pPr>
          <w:hyperlink w:history="true" w:anchor="_bookmark60">
            <w:r>
              <w:rPr/>
              <w:t>（四）估值方法</w:t>
              <w:tab/>
            </w:r>
            <w:r>
              <w:rPr>
                <w:rFonts w:ascii="Times New Roman" w:eastAsia="Times New Roman"/>
              </w:rPr>
              <w:t>64</w:t>
            </w:r>
          </w:hyperlink>
        </w:p>
        <w:p>
          <w:pPr>
            <w:pStyle w:val="TOC2"/>
            <w:tabs>
              <w:tab w:pos="8389" w:val="right" w:leader="dot"/>
            </w:tabs>
            <w:spacing w:before="336"/>
            <w:rPr>
              <w:rFonts w:ascii="Times New Roman" w:eastAsia="Times New Roman"/>
            </w:rPr>
          </w:pPr>
          <w:hyperlink w:history="true" w:anchor="_bookmark61">
            <w:r>
              <w:rPr/>
              <w:t>（五）估值程序</w:t>
              <w:tab/>
            </w:r>
            <w:r>
              <w:rPr>
                <w:rFonts w:ascii="Times New Roman" w:eastAsia="Times New Roman"/>
              </w:rPr>
              <w:t>65</w:t>
            </w:r>
          </w:hyperlink>
        </w:p>
        <w:p>
          <w:pPr>
            <w:pStyle w:val="TOC2"/>
            <w:tabs>
              <w:tab w:pos="8389" w:val="right" w:leader="dot"/>
            </w:tabs>
            <w:spacing w:before="335"/>
            <w:rPr>
              <w:rFonts w:ascii="Times New Roman" w:eastAsia="Times New Roman"/>
            </w:rPr>
          </w:pPr>
          <w:hyperlink w:history="true" w:anchor="_bookmark62">
            <w:r>
              <w:rPr/>
              <w:t>（六）暂停估值的情形</w:t>
              <w:tab/>
            </w:r>
            <w:r>
              <w:rPr>
                <w:rFonts w:ascii="Times New Roman" w:eastAsia="Times New Roman"/>
              </w:rPr>
              <w:t>65</w:t>
            </w:r>
          </w:hyperlink>
        </w:p>
        <w:p>
          <w:pPr>
            <w:pStyle w:val="TOC2"/>
            <w:tabs>
              <w:tab w:pos="8389" w:val="right" w:leader="dot"/>
            </w:tabs>
            <w:rPr>
              <w:rFonts w:ascii="Times New Roman" w:eastAsia="Times New Roman"/>
            </w:rPr>
          </w:pPr>
          <w:hyperlink w:history="true" w:anchor="_bookmark63">
            <w:r>
              <w:rPr/>
              <w:t>（七）估值错误的处理方式</w:t>
              <w:tab/>
            </w:r>
            <w:r>
              <w:rPr>
                <w:rFonts w:ascii="Times New Roman" w:eastAsia="Times New Roman"/>
              </w:rPr>
              <w:t>66</w:t>
            </w:r>
          </w:hyperlink>
        </w:p>
        <w:p>
          <w:pPr>
            <w:pStyle w:val="TOC1"/>
            <w:tabs>
              <w:tab w:pos="8389" w:val="right" w:leader="dot"/>
            </w:tabs>
            <w:spacing w:before="270"/>
            <w:rPr>
              <w:rFonts w:ascii="Times New Roman" w:eastAsia="Times New Roman"/>
            </w:rPr>
          </w:pPr>
          <w:hyperlink w:history="true" w:anchor="_bookmark64">
            <w:r>
              <w:rPr/>
              <w:t>十八</w:t>
            </w:r>
            <w:r>
              <w:rPr>
                <w:spacing w:val="28"/>
              </w:rPr>
              <w:t>、</w:t>
            </w:r>
            <w:r>
              <w:rPr/>
              <w:t>基金的费用与税收</w:t>
              <w:tab/>
            </w:r>
            <w:r>
              <w:rPr>
                <w:rFonts w:ascii="Times New Roman" w:eastAsia="Times New Roman"/>
              </w:rPr>
              <w:t>67</w:t>
            </w:r>
          </w:hyperlink>
        </w:p>
        <w:p>
          <w:pPr>
            <w:pStyle w:val="TOC2"/>
            <w:tabs>
              <w:tab w:pos="8389" w:val="right" w:leader="dot"/>
            </w:tabs>
            <w:spacing w:before="289"/>
            <w:rPr>
              <w:rFonts w:ascii="Times New Roman" w:eastAsia="Times New Roman"/>
            </w:rPr>
          </w:pPr>
          <w:hyperlink w:history="true" w:anchor="_bookmark65">
            <w:r>
              <w:rPr/>
              <w:t>（一）基金费用的种类</w:t>
              <w:tab/>
            </w:r>
            <w:r>
              <w:rPr>
                <w:rFonts w:ascii="Times New Roman" w:eastAsia="Times New Roman"/>
              </w:rPr>
              <w:t>67</w:t>
            </w:r>
          </w:hyperlink>
        </w:p>
        <w:p>
          <w:pPr>
            <w:pStyle w:val="TOC2"/>
            <w:tabs>
              <w:tab w:pos="8389" w:val="right" w:leader="dot"/>
            </w:tabs>
            <w:spacing w:before="336"/>
            <w:rPr>
              <w:rFonts w:ascii="Times New Roman" w:eastAsia="Times New Roman"/>
            </w:rPr>
          </w:pPr>
          <w:hyperlink w:history="true" w:anchor="_bookmark66">
            <w:r>
              <w:rPr/>
              <w:t>（二）基金费用计提方法、计提标准和支付方式</w:t>
              <w:tab/>
            </w:r>
            <w:r>
              <w:rPr>
                <w:rFonts w:ascii="Times New Roman" w:eastAsia="Times New Roman"/>
              </w:rPr>
              <w:t>67</w:t>
            </w:r>
          </w:hyperlink>
        </w:p>
        <w:p>
          <w:pPr>
            <w:pStyle w:val="TOC2"/>
            <w:tabs>
              <w:tab w:pos="8389" w:val="right" w:leader="dot"/>
            </w:tabs>
            <w:spacing w:after="240"/>
            <w:rPr>
              <w:rFonts w:ascii="Times New Roman" w:eastAsia="Times New Roman"/>
            </w:rPr>
          </w:pPr>
          <w:hyperlink w:history="true" w:anchor="_bookmark67">
            <w:r>
              <w:rPr/>
              <w:t>（三）不列入基金费用的项目</w:t>
              <w:tab/>
            </w:r>
            <w:r>
              <w:rPr>
                <w:rFonts w:ascii="Times New Roman" w:eastAsia="Times New Roman"/>
              </w:rPr>
              <w:t>68</w:t>
            </w:r>
          </w:hyperlink>
        </w:p>
        <w:p>
          <w:pPr>
            <w:pStyle w:val="TOC2"/>
            <w:tabs>
              <w:tab w:pos="8389" w:val="right" w:leader="dot"/>
            </w:tabs>
            <w:spacing w:before="67"/>
            <w:rPr>
              <w:rFonts w:ascii="Times New Roman" w:eastAsia="Times New Roman"/>
            </w:rPr>
          </w:pPr>
          <w:hyperlink w:history="true" w:anchor="_bookmark68">
            <w:r>
              <w:rPr/>
              <w:t>（四）基金费用的调整</w:t>
              <w:tab/>
            </w:r>
            <w:r>
              <w:rPr>
                <w:rFonts w:ascii="Times New Roman" w:eastAsia="Times New Roman"/>
              </w:rPr>
              <w:t>69</w:t>
            </w:r>
          </w:hyperlink>
        </w:p>
        <w:p>
          <w:pPr>
            <w:pStyle w:val="TOC2"/>
            <w:tabs>
              <w:tab w:pos="8389" w:val="right" w:leader="dot"/>
            </w:tabs>
            <w:rPr>
              <w:rFonts w:ascii="Times New Roman" w:eastAsia="Times New Roman"/>
            </w:rPr>
          </w:pPr>
          <w:hyperlink w:history="true" w:anchor="_bookmark69">
            <w:r>
              <w:rPr/>
              <w:t>（五）基金税收</w:t>
              <w:tab/>
            </w:r>
            <w:r>
              <w:rPr>
                <w:rFonts w:ascii="Times New Roman" w:eastAsia="Times New Roman"/>
              </w:rPr>
              <w:t>69</w:t>
            </w:r>
          </w:hyperlink>
        </w:p>
        <w:p>
          <w:pPr>
            <w:pStyle w:val="TOC1"/>
            <w:tabs>
              <w:tab w:pos="8389" w:val="right" w:leader="dot"/>
            </w:tabs>
            <w:spacing w:before="268"/>
            <w:rPr>
              <w:rFonts w:ascii="Times New Roman" w:eastAsia="Times New Roman"/>
            </w:rPr>
          </w:pPr>
          <w:hyperlink w:history="true" w:anchor="_bookmark70">
            <w:r>
              <w:rPr/>
              <w:t>十九</w:t>
            </w:r>
            <w:r>
              <w:rPr>
                <w:spacing w:val="28"/>
              </w:rPr>
              <w:t>、</w:t>
            </w:r>
            <w:r>
              <w:rPr/>
              <w:t>基金的收益与分配</w:t>
              <w:tab/>
            </w:r>
            <w:r>
              <w:rPr>
                <w:rFonts w:ascii="Times New Roman" w:eastAsia="Times New Roman"/>
              </w:rPr>
              <w:t>70</w:t>
            </w:r>
          </w:hyperlink>
        </w:p>
        <w:p>
          <w:pPr>
            <w:pStyle w:val="TOC2"/>
            <w:tabs>
              <w:tab w:pos="8389" w:val="right" w:leader="dot"/>
            </w:tabs>
            <w:spacing w:before="291"/>
            <w:rPr>
              <w:rFonts w:ascii="Times New Roman" w:eastAsia="Times New Roman"/>
            </w:rPr>
          </w:pPr>
          <w:hyperlink w:history="true" w:anchor="_bookmark71">
            <w:r>
              <w:rPr/>
              <w:t>（一）基金利润的构成</w:t>
              <w:tab/>
            </w:r>
            <w:r>
              <w:rPr>
                <w:rFonts w:ascii="Times New Roman" w:eastAsia="Times New Roman"/>
              </w:rPr>
              <w:t>70</w:t>
            </w:r>
          </w:hyperlink>
        </w:p>
        <w:p>
          <w:pPr>
            <w:pStyle w:val="TOC2"/>
            <w:tabs>
              <w:tab w:pos="8389" w:val="right" w:leader="dot"/>
            </w:tabs>
            <w:rPr>
              <w:rFonts w:ascii="Times New Roman" w:eastAsia="Times New Roman"/>
            </w:rPr>
          </w:pPr>
          <w:hyperlink w:history="true" w:anchor="_bookmark72">
            <w:r>
              <w:rPr/>
              <w:t>（二）收益分配原则</w:t>
              <w:tab/>
            </w:r>
            <w:r>
              <w:rPr>
                <w:rFonts w:ascii="Times New Roman" w:eastAsia="Times New Roman"/>
              </w:rPr>
              <w:t>70</w:t>
            </w:r>
          </w:hyperlink>
        </w:p>
        <w:p>
          <w:pPr>
            <w:pStyle w:val="TOC2"/>
            <w:tabs>
              <w:tab w:pos="8389" w:val="right" w:leader="dot"/>
            </w:tabs>
            <w:spacing w:before="334"/>
            <w:rPr>
              <w:rFonts w:ascii="Times New Roman" w:eastAsia="Times New Roman"/>
            </w:rPr>
          </w:pPr>
          <w:hyperlink w:history="true" w:anchor="_bookmark73">
            <w:r>
              <w:rPr/>
              <w:t>（三）收益分配的确定与公告</w:t>
              <w:tab/>
            </w:r>
            <w:r>
              <w:rPr>
                <w:rFonts w:ascii="Times New Roman" w:eastAsia="Times New Roman"/>
              </w:rPr>
              <w:t>71</w:t>
            </w:r>
          </w:hyperlink>
        </w:p>
        <w:p>
          <w:pPr>
            <w:pStyle w:val="TOC2"/>
            <w:tabs>
              <w:tab w:pos="8389" w:val="right" w:leader="dot"/>
            </w:tabs>
            <w:rPr>
              <w:rFonts w:ascii="Times New Roman" w:eastAsia="Times New Roman"/>
            </w:rPr>
          </w:pPr>
          <w:hyperlink w:history="true" w:anchor="_bookmark74">
            <w:r>
              <w:rPr/>
              <w:t>（四）收益分配中发生的费用</w:t>
              <w:tab/>
            </w:r>
            <w:r>
              <w:rPr>
                <w:rFonts w:ascii="Times New Roman" w:eastAsia="Times New Roman"/>
              </w:rPr>
              <w:t>72</w:t>
            </w:r>
          </w:hyperlink>
        </w:p>
        <w:p>
          <w:pPr>
            <w:pStyle w:val="TOC1"/>
            <w:tabs>
              <w:tab w:pos="8389" w:val="right" w:leader="dot"/>
            </w:tabs>
            <w:spacing w:before="271"/>
            <w:rPr>
              <w:rFonts w:ascii="Times New Roman" w:eastAsia="Times New Roman"/>
            </w:rPr>
          </w:pPr>
          <w:hyperlink w:history="true" w:anchor="_bookmark75">
            <w:r>
              <w:rPr/>
              <w:t>二十</w:t>
            </w:r>
            <w:r>
              <w:rPr>
                <w:spacing w:val="28"/>
              </w:rPr>
              <w:t>、</w:t>
            </w:r>
            <w:r>
              <w:rPr/>
              <w:t>基金的会计与审计</w:t>
              <w:tab/>
            </w:r>
            <w:r>
              <w:rPr>
                <w:rFonts w:ascii="Times New Roman" w:eastAsia="Times New Roman"/>
              </w:rPr>
              <w:t>73</w:t>
            </w:r>
          </w:hyperlink>
        </w:p>
        <w:p>
          <w:pPr>
            <w:pStyle w:val="TOC2"/>
            <w:tabs>
              <w:tab w:pos="8389" w:val="right" w:leader="dot"/>
            </w:tabs>
            <w:spacing w:before="288"/>
            <w:rPr>
              <w:rFonts w:ascii="Times New Roman" w:eastAsia="Times New Roman"/>
            </w:rPr>
          </w:pPr>
          <w:hyperlink w:history="true" w:anchor="_bookmark76">
            <w:r>
              <w:rPr/>
              <w:t>（一）基金会计政策</w:t>
              <w:tab/>
            </w:r>
            <w:r>
              <w:rPr>
                <w:rFonts w:ascii="Times New Roman" w:eastAsia="Times New Roman"/>
              </w:rPr>
              <w:t>73</w:t>
            </w:r>
          </w:hyperlink>
        </w:p>
        <w:p>
          <w:pPr>
            <w:pStyle w:val="TOC2"/>
            <w:tabs>
              <w:tab w:pos="8389" w:val="right" w:leader="dot"/>
            </w:tabs>
            <w:rPr>
              <w:rFonts w:ascii="Times New Roman" w:eastAsia="Times New Roman"/>
            </w:rPr>
          </w:pPr>
          <w:hyperlink w:history="true" w:anchor="_bookmark77">
            <w:r>
              <w:rPr/>
              <w:t>（二）基金审计</w:t>
              <w:tab/>
            </w:r>
            <w:r>
              <w:rPr>
                <w:rFonts w:ascii="Times New Roman" w:eastAsia="Times New Roman"/>
              </w:rPr>
              <w:t>73</w:t>
            </w:r>
          </w:hyperlink>
        </w:p>
        <w:p>
          <w:pPr>
            <w:pStyle w:val="TOC1"/>
            <w:tabs>
              <w:tab w:pos="1169" w:val="left" w:leader="none"/>
              <w:tab w:pos="8389" w:val="right" w:leader="dot"/>
            </w:tabs>
            <w:spacing w:before="270"/>
            <w:rPr>
              <w:rFonts w:ascii="Times New Roman" w:eastAsia="Times New Roman"/>
            </w:rPr>
          </w:pPr>
          <w:hyperlink w:history="true" w:anchor="_bookmark78">
            <w:r>
              <w:rPr/>
              <w:t>二十一、</w:t>
              <w:tab/>
              <w:t>基金的信息披露</w:t>
              <w:tab/>
            </w:r>
            <w:r>
              <w:rPr>
                <w:rFonts w:ascii="Times New Roman" w:eastAsia="Times New Roman"/>
              </w:rPr>
              <w:t>74</w:t>
            </w:r>
          </w:hyperlink>
        </w:p>
        <w:p>
          <w:pPr>
            <w:pStyle w:val="TOC2"/>
            <w:tabs>
              <w:tab w:pos="8389" w:val="right" w:leader="dot"/>
            </w:tabs>
            <w:spacing w:before="289"/>
            <w:rPr>
              <w:rFonts w:ascii="Times New Roman" w:eastAsia="Times New Roman"/>
            </w:rPr>
          </w:pPr>
          <w:hyperlink w:history="true" w:anchor="_bookmark79">
            <w:r>
              <w:rPr/>
              <w:t>（一）招募说明书、基金产品资料概要</w:t>
              <w:tab/>
            </w:r>
            <w:r>
              <w:rPr>
                <w:rFonts w:ascii="Times New Roman" w:eastAsia="Times New Roman"/>
              </w:rPr>
              <w:t>74</w:t>
            </w:r>
          </w:hyperlink>
        </w:p>
        <w:p>
          <w:pPr>
            <w:pStyle w:val="TOC2"/>
            <w:tabs>
              <w:tab w:pos="8389" w:val="right" w:leader="dot"/>
            </w:tabs>
            <w:rPr>
              <w:rFonts w:ascii="Times New Roman" w:eastAsia="Times New Roman"/>
            </w:rPr>
          </w:pPr>
          <w:hyperlink w:history="true" w:anchor="_bookmark80">
            <w:r>
              <w:rPr/>
              <w:t>（二）份额发售公告</w:t>
              <w:tab/>
            </w:r>
            <w:r>
              <w:rPr>
                <w:rFonts w:ascii="Times New Roman" w:eastAsia="Times New Roman"/>
              </w:rPr>
              <w:t>74</w:t>
            </w:r>
          </w:hyperlink>
        </w:p>
        <w:p>
          <w:pPr>
            <w:pStyle w:val="TOC2"/>
            <w:tabs>
              <w:tab w:pos="8389" w:val="right" w:leader="dot"/>
            </w:tabs>
            <w:rPr>
              <w:rFonts w:ascii="Times New Roman" w:eastAsia="Times New Roman"/>
            </w:rPr>
          </w:pPr>
          <w:hyperlink w:history="true" w:anchor="_bookmark81">
            <w:r>
              <w:rPr/>
              <w:t>（三）定期报告，包括基金年度报告、基金中期报告和基金季度报告</w:t>
              <w:tab/>
            </w:r>
            <w:r>
              <w:rPr>
                <w:rFonts w:ascii="Times New Roman" w:eastAsia="Times New Roman"/>
              </w:rPr>
              <w:t>74</w:t>
            </w:r>
          </w:hyperlink>
        </w:p>
        <w:p>
          <w:pPr>
            <w:pStyle w:val="TOC2"/>
            <w:tabs>
              <w:tab w:pos="8389" w:val="right" w:leader="dot"/>
            </w:tabs>
            <w:spacing w:before="334"/>
            <w:rPr>
              <w:rFonts w:ascii="Times New Roman" w:eastAsia="Times New Roman"/>
            </w:rPr>
          </w:pPr>
          <w:hyperlink w:history="true" w:anchor="_bookmark82">
            <w:r>
              <w:rPr/>
              <w:t>（四）临时报告与公告</w:t>
              <w:tab/>
            </w:r>
            <w:r>
              <w:rPr>
                <w:rFonts w:ascii="Times New Roman" w:eastAsia="Times New Roman"/>
              </w:rPr>
              <w:t>75</w:t>
            </w:r>
          </w:hyperlink>
        </w:p>
        <w:p>
          <w:pPr>
            <w:pStyle w:val="TOC2"/>
            <w:tabs>
              <w:tab w:pos="8389" w:val="right" w:leader="dot"/>
            </w:tabs>
            <w:spacing w:before="336"/>
            <w:rPr>
              <w:rFonts w:ascii="Times New Roman" w:eastAsia="Times New Roman"/>
            </w:rPr>
          </w:pPr>
          <w:hyperlink w:history="true" w:anchor="_bookmark83">
            <w:r>
              <w:rPr/>
              <w:t>（五）信息披露文件的存放与查阅</w:t>
              <w:tab/>
            </w:r>
            <w:r>
              <w:rPr>
                <w:rFonts w:ascii="Times New Roman" w:eastAsia="Times New Roman"/>
              </w:rPr>
              <w:t>77</w:t>
            </w:r>
          </w:hyperlink>
        </w:p>
        <w:p>
          <w:pPr>
            <w:pStyle w:val="TOC1"/>
            <w:tabs>
              <w:tab w:pos="1169" w:val="left" w:leader="none"/>
              <w:tab w:pos="8389" w:val="right" w:leader="dot"/>
            </w:tabs>
            <w:spacing w:before="271"/>
            <w:rPr>
              <w:rFonts w:ascii="Times New Roman" w:eastAsia="Times New Roman"/>
            </w:rPr>
          </w:pPr>
          <w:hyperlink w:history="true" w:anchor="_bookmark84">
            <w:r>
              <w:rPr/>
              <w:t>二十二、</w:t>
              <w:tab/>
              <w:t>差错处理</w:t>
              <w:tab/>
            </w:r>
            <w:r>
              <w:rPr>
                <w:rFonts w:ascii="Times New Roman" w:eastAsia="Times New Roman"/>
              </w:rPr>
              <w:t>78</w:t>
            </w:r>
          </w:hyperlink>
        </w:p>
        <w:p>
          <w:pPr>
            <w:pStyle w:val="TOC2"/>
            <w:tabs>
              <w:tab w:pos="1169" w:val="left" w:leader="none"/>
              <w:tab w:pos="8389" w:val="right" w:leader="dot"/>
            </w:tabs>
            <w:spacing w:before="288"/>
            <w:rPr>
              <w:rFonts w:ascii="Times New Roman" w:eastAsia="Times New Roman"/>
            </w:rPr>
          </w:pPr>
          <w:hyperlink w:history="true" w:anchor="_bookmark85">
            <w:r>
              <w:rPr/>
              <w:t>（一）</w:t>
              <w:tab/>
              <w:t>差错类型</w:t>
              <w:tab/>
            </w:r>
            <w:r>
              <w:rPr>
                <w:rFonts w:ascii="Times New Roman" w:eastAsia="Times New Roman"/>
              </w:rPr>
              <w:t>78</w:t>
            </w:r>
          </w:hyperlink>
        </w:p>
        <w:p>
          <w:pPr>
            <w:pStyle w:val="TOC2"/>
            <w:tabs>
              <w:tab w:pos="1169" w:val="left" w:leader="none"/>
              <w:tab w:pos="8389" w:val="right" w:leader="dot"/>
            </w:tabs>
            <w:spacing w:before="338"/>
            <w:rPr>
              <w:rFonts w:ascii="Times New Roman" w:eastAsia="Times New Roman"/>
            </w:rPr>
          </w:pPr>
          <w:hyperlink w:history="true" w:anchor="_bookmark86">
            <w:r>
              <w:rPr/>
              <w:t>（二）</w:t>
              <w:tab/>
              <w:t>差错处理原则</w:t>
              <w:tab/>
            </w:r>
            <w:r>
              <w:rPr>
                <w:rFonts w:ascii="Times New Roman" w:eastAsia="Times New Roman"/>
              </w:rPr>
              <w:t>78</w:t>
            </w:r>
          </w:hyperlink>
        </w:p>
        <w:p>
          <w:pPr>
            <w:pStyle w:val="TOC2"/>
            <w:tabs>
              <w:tab w:pos="1169" w:val="left" w:leader="none"/>
              <w:tab w:pos="8389" w:val="right" w:leader="dot"/>
            </w:tabs>
            <w:spacing w:before="336"/>
            <w:rPr>
              <w:rFonts w:ascii="Times New Roman" w:eastAsia="Times New Roman"/>
            </w:rPr>
          </w:pPr>
          <w:hyperlink w:history="true" w:anchor="_bookmark87">
            <w:r>
              <w:rPr/>
              <w:t>（三）</w:t>
              <w:tab/>
              <w:t>差错处理程序</w:t>
              <w:tab/>
            </w:r>
            <w:r>
              <w:rPr>
                <w:rFonts w:ascii="Times New Roman" w:eastAsia="Times New Roman"/>
              </w:rPr>
              <w:t>79</w:t>
            </w:r>
          </w:hyperlink>
        </w:p>
        <w:p>
          <w:pPr>
            <w:pStyle w:val="TOC1"/>
            <w:tabs>
              <w:tab w:pos="1169" w:val="left" w:leader="none"/>
              <w:tab w:pos="8389" w:val="right" w:leader="dot"/>
            </w:tabs>
            <w:spacing w:before="268"/>
            <w:rPr>
              <w:rFonts w:ascii="Times New Roman" w:eastAsia="Times New Roman"/>
            </w:rPr>
          </w:pPr>
          <w:hyperlink w:history="true" w:anchor="_bookmark88">
            <w:r>
              <w:rPr/>
              <w:t>二十三、</w:t>
              <w:tab/>
              <w:t>基金合同的变更、终止与基金财产的清算</w:t>
              <w:tab/>
            </w:r>
            <w:r>
              <w:rPr>
                <w:rFonts w:ascii="Times New Roman" w:eastAsia="Times New Roman"/>
              </w:rPr>
              <w:t>80</w:t>
            </w:r>
          </w:hyperlink>
        </w:p>
        <w:p>
          <w:pPr>
            <w:pStyle w:val="TOC2"/>
            <w:tabs>
              <w:tab w:pos="1169" w:val="left" w:leader="none"/>
              <w:tab w:pos="8389" w:val="right" w:leader="dot"/>
            </w:tabs>
            <w:spacing w:before="291"/>
            <w:rPr>
              <w:rFonts w:ascii="Times New Roman" w:eastAsia="Times New Roman"/>
            </w:rPr>
          </w:pPr>
          <w:hyperlink w:history="true" w:anchor="_bookmark89">
            <w:r>
              <w:rPr/>
              <w:t>（一）</w:t>
              <w:tab/>
              <w:t>基金合同的变更</w:t>
              <w:tab/>
            </w:r>
            <w:r>
              <w:rPr>
                <w:rFonts w:ascii="Times New Roman" w:eastAsia="Times New Roman"/>
              </w:rPr>
              <w:t>80</w:t>
            </w:r>
          </w:hyperlink>
        </w:p>
        <w:p>
          <w:pPr>
            <w:pStyle w:val="TOC2"/>
            <w:tabs>
              <w:tab w:pos="1169" w:val="left" w:leader="none"/>
              <w:tab w:pos="8389" w:val="right" w:leader="dot"/>
            </w:tabs>
            <w:spacing w:after="240"/>
            <w:rPr>
              <w:rFonts w:ascii="Times New Roman" w:eastAsia="Times New Roman"/>
            </w:rPr>
          </w:pPr>
          <w:hyperlink w:history="true" w:anchor="_bookmark90">
            <w:r>
              <w:rPr/>
              <w:t>（二）</w:t>
              <w:tab/>
              <w:t>基金合同的终止</w:t>
              <w:tab/>
            </w:r>
            <w:r>
              <w:rPr>
                <w:rFonts w:ascii="Times New Roman" w:eastAsia="Times New Roman"/>
              </w:rPr>
              <w:t>80</w:t>
            </w:r>
          </w:hyperlink>
        </w:p>
        <w:p>
          <w:pPr>
            <w:pStyle w:val="TOC2"/>
            <w:tabs>
              <w:tab w:pos="1169" w:val="left" w:leader="none"/>
              <w:tab w:pos="8389" w:val="right" w:leader="dot"/>
            </w:tabs>
            <w:spacing w:before="67"/>
            <w:rPr>
              <w:rFonts w:ascii="Times New Roman" w:eastAsia="Times New Roman"/>
            </w:rPr>
          </w:pPr>
          <w:hyperlink w:history="true" w:anchor="_bookmark91">
            <w:r>
              <w:rPr/>
              <w:t>（三）</w:t>
              <w:tab/>
              <w:t>基金财产的清算</w:t>
              <w:tab/>
            </w:r>
            <w:r>
              <w:rPr>
                <w:rFonts w:ascii="Times New Roman" w:eastAsia="Times New Roman"/>
              </w:rPr>
              <w:t>81</w:t>
            </w:r>
          </w:hyperlink>
        </w:p>
        <w:p>
          <w:pPr>
            <w:pStyle w:val="TOC1"/>
            <w:tabs>
              <w:tab w:pos="1169" w:val="left" w:leader="none"/>
              <w:tab w:pos="8389" w:val="right" w:leader="dot"/>
            </w:tabs>
            <w:spacing w:before="271"/>
            <w:rPr>
              <w:rFonts w:ascii="Times New Roman" w:eastAsia="Times New Roman"/>
            </w:rPr>
          </w:pPr>
          <w:hyperlink w:history="true" w:anchor="_bookmark92">
            <w:r>
              <w:rPr/>
              <w:t>二十四、</w:t>
              <w:tab/>
              <w:t>违约责任</w:t>
              <w:tab/>
            </w:r>
            <w:r>
              <w:rPr>
                <w:rFonts w:ascii="Times New Roman" w:eastAsia="Times New Roman"/>
              </w:rPr>
              <w:t>83</w:t>
            </w:r>
          </w:hyperlink>
        </w:p>
        <w:p>
          <w:pPr>
            <w:pStyle w:val="TOC1"/>
            <w:tabs>
              <w:tab w:pos="1169" w:val="left" w:leader="none"/>
              <w:tab w:pos="8389" w:val="right" w:leader="dot"/>
            </w:tabs>
            <w:spacing w:before="223"/>
            <w:rPr>
              <w:rFonts w:ascii="Times New Roman" w:eastAsia="Times New Roman"/>
            </w:rPr>
          </w:pPr>
          <w:hyperlink w:history="true" w:anchor="_bookmark93">
            <w:r>
              <w:rPr/>
              <w:t>二十五、</w:t>
              <w:tab/>
              <w:t>法律适用与争议解决</w:t>
              <w:tab/>
            </w:r>
            <w:r>
              <w:rPr>
                <w:rFonts w:ascii="Times New Roman" w:eastAsia="Times New Roman"/>
              </w:rPr>
              <w:t>84</w:t>
            </w:r>
          </w:hyperlink>
        </w:p>
        <w:p>
          <w:pPr>
            <w:pStyle w:val="TOC1"/>
            <w:tabs>
              <w:tab w:pos="1169" w:val="left" w:leader="none"/>
              <w:tab w:pos="8389" w:val="right" w:leader="dot"/>
            </w:tabs>
            <w:rPr>
              <w:rFonts w:ascii="Times New Roman" w:eastAsia="Times New Roman"/>
            </w:rPr>
          </w:pPr>
          <w:hyperlink w:history="true" w:anchor="_bookmark94">
            <w:r>
              <w:rPr/>
              <w:t>二十六、</w:t>
              <w:tab/>
              <w:t>基金合同的效力</w:t>
              <w:tab/>
            </w:r>
            <w:r>
              <w:rPr>
                <w:rFonts w:ascii="Times New Roman" w:eastAsia="Times New Roman"/>
              </w:rPr>
              <w:t>85</w:t>
            </w:r>
          </w:hyperlink>
        </w:p>
        <w:p>
          <w:pPr>
            <w:pStyle w:val="TOC1"/>
            <w:tabs>
              <w:tab w:pos="1169" w:val="left" w:leader="none"/>
              <w:tab w:pos="8389" w:val="right" w:leader="dot"/>
            </w:tabs>
            <w:rPr>
              <w:rFonts w:ascii="Times New Roman" w:eastAsia="Times New Roman"/>
            </w:rPr>
          </w:pPr>
          <w:hyperlink w:history="true" w:anchor="_bookmark95">
            <w:r>
              <w:rPr/>
              <w:t>二十七、</w:t>
              <w:tab/>
              <w:t>基金合同摘要</w:t>
              <w:tab/>
            </w:r>
            <w:r>
              <w:rPr>
                <w:rFonts w:ascii="Times New Roman" w:eastAsia="Times New Roman"/>
              </w:rPr>
              <w:t>86</w:t>
            </w:r>
          </w:hyperlink>
        </w:p>
      </w:sdtContent>
    </w:sdt>
    <w:p>
      <w:pPr>
        <w:spacing w:after="0"/>
        <w:rPr>
          <w:rFonts w:ascii="Times New Roman" w:eastAsia="Times New Roman"/>
        </w:rPr>
        <w:sectPr>
          <w:type w:val="continuous"/>
          <w:pgSz w:w="11910" w:h="16850"/>
          <w:pgMar w:top="1441" w:bottom="1726" w:left="1680" w:right="1360"/>
        </w:sectPr>
      </w:pPr>
    </w:p>
    <w:p>
      <w:pPr>
        <w:pStyle w:val="Heading1"/>
        <w:tabs>
          <w:tab w:pos="1361" w:val="left" w:leader="none"/>
        </w:tabs>
        <w:ind w:right="322"/>
      </w:pPr>
      <w:r>
        <w:rPr/>
        <w:t>一、</w:t>
      </w:r>
      <w:bookmarkStart w:name="_bookmark0" w:id="1"/>
      <w:bookmarkEnd w:id="1"/>
      <w:r>
        <w:rPr/>
      </w:r>
      <w:r>
        <w:rPr>
          <w:spacing w:val="-82"/>
        </w:rPr>
        <w:t> </w:t>
      </w:r>
      <w:r>
        <w:rPr/>
        <w:t>前</w:t>
        <w:tab/>
        <w:t>言</w:t>
      </w:r>
    </w:p>
    <w:p>
      <w:pPr>
        <w:pStyle w:val="BodyText"/>
        <w:spacing w:before="2"/>
        <w:rPr>
          <w:sz w:val="38"/>
        </w:rPr>
      </w:pPr>
    </w:p>
    <w:p>
      <w:pPr>
        <w:pStyle w:val="BodyText"/>
        <w:spacing w:line="417" w:lineRule="auto" w:before="1"/>
        <w:ind w:left="118" w:right="436" w:firstLine="419"/>
      </w:pPr>
      <w:r>
        <w:rPr/>
        <w:t>（一）</w:t>
      </w:r>
      <w:r>
        <w:rPr>
          <w:spacing w:val="-10"/>
        </w:rPr>
        <w:t>订立《易方达货币市场基金基金合同》</w:t>
      </w:r>
      <w:r>
        <w:rPr>
          <w:spacing w:val="-3"/>
        </w:rPr>
        <w:t>（以下简称本基金合同</w:t>
      </w:r>
      <w:r>
        <w:rPr/>
        <w:t>）</w:t>
      </w:r>
      <w:r>
        <w:rPr>
          <w:spacing w:val="-3"/>
        </w:rPr>
        <w:t>的目的、依据和原则</w:t>
      </w:r>
    </w:p>
    <w:p>
      <w:pPr>
        <w:pStyle w:val="BodyText"/>
        <w:spacing w:before="8"/>
      </w:pPr>
    </w:p>
    <w:p>
      <w:pPr>
        <w:pStyle w:val="BodyText"/>
        <w:spacing w:line="417" w:lineRule="auto" w:before="1"/>
        <w:ind w:left="118" w:right="436" w:firstLine="419"/>
      </w:pPr>
      <w:r>
        <w:rPr>
          <w:rFonts w:ascii="Times New Roman" w:eastAsia="Times New Roman"/>
        </w:rPr>
        <w:t>1</w:t>
      </w:r>
      <w:r>
        <w:rPr/>
        <w:t>、订立本基金合同的目的是保护本基金投资者合法权益、明确本基金合同当事人的权利与义务、规范本基金运作。</w:t>
      </w:r>
    </w:p>
    <w:p>
      <w:pPr>
        <w:pStyle w:val="BodyText"/>
        <w:spacing w:before="11"/>
      </w:pPr>
    </w:p>
    <w:p>
      <w:pPr>
        <w:pStyle w:val="BodyText"/>
        <w:spacing w:line="417" w:lineRule="auto"/>
        <w:ind w:left="118" w:right="434" w:firstLine="419"/>
      </w:pPr>
      <w:r>
        <w:rPr>
          <w:rFonts w:ascii="Times New Roman" w:eastAsia="Times New Roman"/>
        </w:rPr>
        <w:t>2</w:t>
      </w:r>
      <w:r>
        <w:rPr>
          <w:spacing w:val="-34"/>
        </w:rPr>
        <w:t>、订立本基金合同的依据是《民法通则》、《基金法》、《合同法》、《证券法》、《运作办</w:t>
      </w:r>
      <w:r>
        <w:rPr>
          <w:spacing w:val="-32"/>
        </w:rPr>
        <w:t>法》、《销售办法》、《货币市场基金监督管理办法》、《关于实施＜货币市场基金监督管理办法</w:t>
      </w:r>
    </w:p>
    <w:p>
      <w:pPr>
        <w:pStyle w:val="BodyText"/>
        <w:spacing w:line="417" w:lineRule="auto"/>
        <w:ind w:left="118" w:right="433"/>
      </w:pPr>
      <w:r>
        <w:rPr>
          <w:spacing w:val="-15"/>
        </w:rPr>
        <w:t>＞有关问题的规定》</w:t>
      </w:r>
      <w:r>
        <w:rPr>
          <w:spacing w:val="-14"/>
        </w:rPr>
        <w:t>、《公开募集开放式证券投资基金流动性风险管理规定</w:t>
      </w:r>
      <w:r>
        <w:rPr>
          <w:spacing w:val="-135"/>
        </w:rPr>
        <w:t>》</w:t>
      </w:r>
      <w:r>
        <w:rPr>
          <w:spacing w:val="-3"/>
        </w:rPr>
        <w:t>（</w:t>
      </w:r>
      <w:r>
        <w:rPr>
          <w:spacing w:val="-1"/>
        </w:rPr>
        <w:t>以下简称</w:t>
      </w:r>
      <w:r>
        <w:rPr>
          <w:rFonts w:ascii="Times New Roman" w:hAnsi="Times New Roman" w:eastAsia="Times New Roman"/>
          <w:spacing w:val="-29"/>
        </w:rPr>
        <w:t>“</w:t>
      </w:r>
      <w:r>
        <w:rPr/>
        <w:t>《管</w:t>
      </w:r>
      <w:r>
        <w:rPr>
          <w:spacing w:val="-1"/>
        </w:rPr>
        <w:t>理规定》</w:t>
      </w:r>
      <w:r>
        <w:rPr>
          <w:rFonts w:ascii="Times New Roman" w:hAnsi="Times New Roman" w:eastAsia="Times New Roman"/>
        </w:rPr>
        <w:t>”</w:t>
      </w:r>
      <w:r>
        <w:rPr/>
        <w:t>）</w:t>
      </w:r>
      <w:r>
        <w:rPr>
          <w:spacing w:val="-3"/>
        </w:rPr>
        <w:t>及其他法律、法规和有关规定。</w:t>
      </w:r>
    </w:p>
    <w:p>
      <w:pPr>
        <w:pStyle w:val="BodyText"/>
        <w:spacing w:before="11"/>
      </w:pPr>
    </w:p>
    <w:p>
      <w:pPr>
        <w:pStyle w:val="BodyText"/>
        <w:spacing w:line="417" w:lineRule="auto" w:before="1"/>
        <w:ind w:left="118" w:right="436" w:firstLine="419"/>
      </w:pPr>
      <w:r>
        <w:rPr>
          <w:rFonts w:ascii="Times New Roman" w:eastAsia="Times New Roman"/>
        </w:rPr>
        <w:t>3</w:t>
      </w:r>
      <w:r>
        <w:rPr/>
        <w:t>、订立本基金合同的原则是平等自愿、诚实信用、真实合法、充分保护投资者的合法权益。</w:t>
      </w:r>
    </w:p>
    <w:p>
      <w:pPr>
        <w:pStyle w:val="BodyText"/>
        <w:spacing w:before="8"/>
      </w:pPr>
    </w:p>
    <w:p>
      <w:pPr>
        <w:pStyle w:val="BodyText"/>
        <w:spacing w:line="417" w:lineRule="auto" w:before="1"/>
        <w:ind w:left="118" w:right="433" w:firstLine="419"/>
      </w:pPr>
      <w:r>
        <w:rPr/>
        <w:t>（</w:t>
      </w:r>
      <w:r>
        <w:rPr>
          <w:spacing w:val="-3"/>
        </w:rPr>
        <w:t>二</w:t>
      </w:r>
      <w:r>
        <w:rPr>
          <w:spacing w:val="-46"/>
        </w:rPr>
        <w:t>）</w:t>
      </w:r>
      <w:r>
        <w:rPr>
          <w:spacing w:val="-5"/>
        </w:rPr>
        <w:t>本基金合同是规定本基金合同当事人之间基本权利义务的法律文件。本基金合同</w:t>
      </w:r>
      <w:r>
        <w:rPr>
          <w:spacing w:val="-4"/>
        </w:rPr>
        <w:t>的当事人包括基金管理人、基金托管人和基金份额持有人。</w:t>
      </w:r>
    </w:p>
    <w:p>
      <w:pPr>
        <w:pStyle w:val="BodyText"/>
        <w:spacing w:before="11"/>
      </w:pPr>
    </w:p>
    <w:p>
      <w:pPr>
        <w:pStyle w:val="BodyText"/>
        <w:ind w:left="538"/>
      </w:pPr>
      <w:r>
        <w:rPr>
          <w:rFonts w:ascii="Times New Roman" w:eastAsia="Times New Roman"/>
        </w:rPr>
        <w:t>1</w:t>
      </w:r>
      <w:r>
        <w:rPr/>
        <w:t>、基金管理人和基金托管人自本基金合同签订之日起成为本基金合同的当事人。</w:t>
      </w:r>
    </w:p>
    <w:p>
      <w:pPr>
        <w:pStyle w:val="BodyText"/>
        <w:rPr>
          <w:sz w:val="22"/>
        </w:rPr>
      </w:pPr>
    </w:p>
    <w:p>
      <w:pPr>
        <w:pStyle w:val="BodyText"/>
        <w:spacing w:before="6"/>
        <w:rPr>
          <w:sz w:val="15"/>
        </w:rPr>
      </w:pPr>
    </w:p>
    <w:p>
      <w:pPr>
        <w:pStyle w:val="BodyText"/>
        <w:spacing w:line="417" w:lineRule="auto"/>
        <w:ind w:left="118" w:right="433" w:firstLine="419"/>
        <w:jc w:val="both"/>
      </w:pPr>
      <w:r>
        <w:rPr>
          <w:rFonts w:ascii="Times New Roman" w:eastAsia="Times New Roman"/>
        </w:rPr>
        <w:t>2</w:t>
      </w:r>
      <w:r>
        <w:rPr>
          <w:spacing w:val="-3"/>
        </w:rPr>
        <w:t>、基金投资者自依本基金合同取得基金份额时，即成为基金份额持有人和本基金合同</w:t>
      </w:r>
      <w:r>
        <w:rPr>
          <w:spacing w:val="-11"/>
        </w:rPr>
        <w:t>的当事人，享有本基金合同规定的基金份额持有人的所有权利和利益，承担本基金合同规定</w:t>
      </w:r>
      <w:r>
        <w:rPr>
          <w:spacing w:val="-13"/>
        </w:rPr>
        <w:t>的基金份额持有人的所有义务，其持有基金份额的行为本身即应视为其对本基金合同所有条</w:t>
      </w:r>
      <w:r>
        <w:rPr>
          <w:spacing w:val="-6"/>
        </w:rPr>
        <w:t>款和条件的承认和接受。</w:t>
      </w:r>
    </w:p>
    <w:p>
      <w:pPr>
        <w:pStyle w:val="BodyText"/>
        <w:spacing w:before="9"/>
      </w:pPr>
    </w:p>
    <w:p>
      <w:pPr>
        <w:pStyle w:val="BodyText"/>
        <w:spacing w:line="417" w:lineRule="auto"/>
        <w:ind w:left="118" w:right="433" w:firstLine="539"/>
      </w:pPr>
      <w:r>
        <w:rPr>
          <w:rFonts w:ascii="Times New Roman" w:eastAsia="Times New Roman"/>
        </w:rPr>
        <w:t>3</w:t>
      </w:r>
      <w:r>
        <w:rPr>
          <w:spacing w:val="-27"/>
        </w:rPr>
        <w:t>、本基金合同的当事人按照《基金法》、《运作办法》、《销售办法》、本基金合同及其</w:t>
      </w:r>
      <w:r>
        <w:rPr>
          <w:spacing w:val="-9"/>
        </w:rPr>
        <w:t>他有关规定享有权利，同时需承担相应的义务。</w:t>
      </w:r>
    </w:p>
    <w:p>
      <w:pPr>
        <w:pStyle w:val="BodyText"/>
        <w:spacing w:before="12"/>
      </w:pPr>
    </w:p>
    <w:p>
      <w:pPr>
        <w:pStyle w:val="BodyText"/>
        <w:ind w:left="538"/>
      </w:pPr>
      <w:r>
        <w:rPr/>
        <w:t>（三</w:t>
      </w:r>
      <w:r>
        <w:rPr>
          <w:spacing w:val="-41"/>
        </w:rPr>
        <w:t>）</w:t>
      </w:r>
      <w:r>
        <w:rPr>
          <w:spacing w:val="-8"/>
        </w:rPr>
        <w:t>易方达货币市场基金</w:t>
      </w:r>
      <w:r>
        <w:rPr/>
        <w:t>（</w:t>
      </w:r>
      <w:r>
        <w:rPr>
          <w:spacing w:val="-3"/>
        </w:rPr>
        <w:t>以下简称本基金</w:t>
      </w:r>
      <w:r>
        <w:rPr>
          <w:spacing w:val="-41"/>
        </w:rPr>
        <w:t>）</w:t>
      </w:r>
      <w:r>
        <w:rPr>
          <w:spacing w:val="-17"/>
        </w:rPr>
        <w:t>由管理人按照《基金法》</w:t>
      </w:r>
      <w:r>
        <w:rPr>
          <w:spacing w:val="-35"/>
        </w:rPr>
        <w:t>、《运作办法》、</w:t>
      </w:r>
    </w:p>
    <w:p>
      <w:pPr>
        <w:pStyle w:val="BodyText"/>
        <w:spacing w:before="6"/>
        <w:rPr>
          <w:sz w:val="15"/>
        </w:rPr>
      </w:pPr>
    </w:p>
    <w:p>
      <w:pPr>
        <w:pStyle w:val="BodyText"/>
        <w:ind w:left="118"/>
      </w:pPr>
      <w:r>
        <w:rPr/>
        <w:t>《销售办法》、基金合同及其他有关规定募集，并经中国证监会批准。</w:t>
      </w:r>
    </w:p>
    <w:p>
      <w:pPr>
        <w:pStyle w:val="BodyText"/>
        <w:rPr>
          <w:sz w:val="20"/>
        </w:rPr>
      </w:pPr>
    </w:p>
    <w:p>
      <w:pPr>
        <w:pStyle w:val="BodyText"/>
        <w:spacing w:before="6"/>
        <w:rPr>
          <w:sz w:val="17"/>
        </w:rPr>
      </w:pPr>
    </w:p>
    <w:p>
      <w:pPr>
        <w:pStyle w:val="BodyText"/>
        <w:ind w:left="538"/>
      </w:pPr>
      <w:r>
        <w:rPr/>
        <w:t>中国证监会对基金募集的核准，并不表明其对本基金的投资价值、市场前景和收益作出</w:t>
      </w:r>
    </w:p>
    <w:p>
      <w:pPr>
        <w:spacing w:after="0"/>
        <w:sectPr>
          <w:pgSz w:w="11910" w:h="16850"/>
          <w:pgMar w:header="852" w:footer="1386" w:top="1420" w:bottom="1620" w:left="1680" w:right="1360"/>
        </w:sectPr>
      </w:pPr>
    </w:p>
    <w:p>
      <w:pPr>
        <w:pStyle w:val="BodyText"/>
        <w:spacing w:before="142"/>
        <w:ind w:left="118"/>
      </w:pPr>
      <w:r>
        <w:rPr/>
        <w:t>实质性判断或保证，也不表明投资于基金没有风险。</w:t>
      </w:r>
    </w:p>
    <w:p>
      <w:pPr>
        <w:pStyle w:val="BodyText"/>
        <w:rPr>
          <w:sz w:val="20"/>
        </w:rPr>
      </w:pPr>
    </w:p>
    <w:p>
      <w:pPr>
        <w:pStyle w:val="BodyText"/>
        <w:spacing w:before="5"/>
        <w:rPr>
          <w:sz w:val="17"/>
        </w:rPr>
      </w:pPr>
    </w:p>
    <w:p>
      <w:pPr>
        <w:pStyle w:val="BodyText"/>
        <w:spacing w:line="417" w:lineRule="auto"/>
        <w:ind w:left="118" w:right="436" w:firstLine="419"/>
      </w:pPr>
      <w:r>
        <w:rPr>
          <w:spacing w:val="-25"/>
        </w:rPr>
        <w:t>基金管理人、基金托管人将遵守《基金法》、《运作办法》、《销售办法》、基金合同及其</w:t>
      </w:r>
      <w:r>
        <w:rPr>
          <w:spacing w:val="-8"/>
        </w:rPr>
        <w:t>他有关规定，为本基金份额持有人的最大利益处理基金事务。</w:t>
      </w:r>
    </w:p>
    <w:p>
      <w:pPr>
        <w:pStyle w:val="BodyText"/>
        <w:spacing w:before="9"/>
      </w:pPr>
    </w:p>
    <w:p>
      <w:pPr>
        <w:pStyle w:val="BodyText"/>
        <w:spacing w:line="417" w:lineRule="auto"/>
        <w:ind w:left="118" w:right="434" w:firstLine="419"/>
      </w:pPr>
      <w:r>
        <w:rPr>
          <w:spacing w:val="-9"/>
        </w:rPr>
        <w:t>基金管理人依照恪尽职守，诚实信用、谨慎勤勉的原则管理和运用基金财产，但不保证</w:t>
      </w:r>
      <w:r>
        <w:rPr>
          <w:spacing w:val="-5"/>
        </w:rPr>
        <w:t>投资于基金一定盈利，也不保证最低收益。</w:t>
      </w:r>
      <w:r>
        <w:rPr/>
        <w:t> </w:t>
      </w:r>
    </w:p>
    <w:p>
      <w:pPr>
        <w:pStyle w:val="BodyText"/>
        <w:spacing w:before="11"/>
      </w:pPr>
    </w:p>
    <w:p>
      <w:pPr>
        <w:pStyle w:val="BodyText"/>
        <w:spacing w:line="417" w:lineRule="auto" w:before="1"/>
        <w:ind w:left="118" w:right="433" w:firstLine="419"/>
        <w:jc w:val="both"/>
      </w:pPr>
      <w:r>
        <w:rPr>
          <w:spacing w:val="-6"/>
        </w:rPr>
        <w:t>投资者购买货币市场基金并不等于将资金作为存款存放在银行或者存款类金融机构。投</w:t>
      </w:r>
      <w:r>
        <w:rPr>
          <w:spacing w:val="-10"/>
        </w:rPr>
        <w:t>资者应当认真阅读基金合同、基金招募说明书、基金产品资料概要等信息披露文件，自主判</w:t>
      </w:r>
      <w:r>
        <w:rPr>
          <w:spacing w:val="-5"/>
        </w:rPr>
        <w:t>断基金的投资价值，自主做出投资决策，自行承担投资风险。</w:t>
      </w:r>
    </w:p>
    <w:p>
      <w:pPr>
        <w:pStyle w:val="BodyText"/>
        <w:spacing w:before="11"/>
      </w:pPr>
    </w:p>
    <w:p>
      <w:pPr>
        <w:pStyle w:val="BodyText"/>
        <w:spacing w:line="417" w:lineRule="auto" w:before="1"/>
        <w:ind w:left="118" w:right="434" w:firstLine="419"/>
      </w:pPr>
      <w:r>
        <w:rPr/>
        <w:t>（四</w:t>
      </w:r>
      <w:r>
        <w:rPr>
          <w:spacing w:val="-80"/>
        </w:rPr>
        <w:t>）</w:t>
      </w:r>
      <w:r>
        <w:rPr>
          <w:spacing w:val="-14"/>
        </w:rPr>
        <w:t>本基金合同约定的基金产品资料概要编制、披露与更新要求，自《信息披露办法》</w:t>
      </w:r>
      <w:r>
        <w:rPr>
          <w:spacing w:val="-7"/>
        </w:rPr>
        <w:t>实施之日起一年后开始执行。</w:t>
      </w:r>
    </w:p>
    <w:p>
      <w:pPr>
        <w:spacing w:after="0" w:line="417" w:lineRule="auto"/>
        <w:sectPr>
          <w:pgSz w:w="11910" w:h="16850"/>
          <w:pgMar w:header="852" w:footer="1386" w:top="1420" w:bottom="1620" w:left="1680" w:right="1360"/>
        </w:sectPr>
      </w:pPr>
    </w:p>
    <w:p>
      <w:pPr>
        <w:pStyle w:val="Heading1"/>
        <w:tabs>
          <w:tab w:pos="1361" w:val="left" w:leader="none"/>
        </w:tabs>
        <w:ind w:right="322"/>
      </w:pPr>
      <w:bookmarkStart w:name="_bookmark1" w:id="2"/>
      <w:bookmarkEnd w:id="2"/>
      <w:r>
        <w:rPr/>
      </w:r>
      <w:r>
        <w:rPr/>
        <w:t>二、</w:t>
      </w:r>
      <w:r>
        <w:rPr>
          <w:spacing w:val="-82"/>
        </w:rPr>
        <w:t> </w:t>
      </w:r>
      <w:r>
        <w:rPr/>
        <w:t>释</w:t>
        <w:tab/>
        <w:t>义</w:t>
      </w:r>
    </w:p>
    <w:p>
      <w:pPr>
        <w:pStyle w:val="BodyText"/>
        <w:spacing w:before="2"/>
        <w:rPr>
          <w:sz w:val="38"/>
        </w:rPr>
      </w:pPr>
    </w:p>
    <w:p>
      <w:pPr>
        <w:pStyle w:val="BodyText"/>
        <w:spacing w:before="1"/>
        <w:ind w:left="538"/>
        <w:rPr>
          <w:rFonts w:ascii="Times New Roman" w:eastAsia="Times New Roman"/>
        </w:rPr>
      </w:pPr>
      <w:r>
        <w:rPr/>
        <w:t>《易方达货币市场基金基金合同》中，除非文意另有所指，下列词语具有如下含义</w:t>
      </w:r>
      <w:r>
        <w:rPr>
          <w:rFonts w:ascii="Times New Roman" w:eastAsia="Times New Roman"/>
        </w:rPr>
        <w:t>:</w:t>
      </w:r>
    </w:p>
    <w:p>
      <w:pPr>
        <w:pStyle w:val="BodyText"/>
        <w:rPr>
          <w:rFonts w:ascii="Times New Roman"/>
          <w:sz w:val="22"/>
        </w:rPr>
      </w:pPr>
    </w:p>
    <w:p>
      <w:pPr>
        <w:pStyle w:val="BodyText"/>
        <w:spacing w:before="5"/>
        <w:rPr>
          <w:rFonts w:ascii="Times New Roman"/>
          <w:sz w:val="19"/>
        </w:rPr>
      </w:pPr>
    </w:p>
    <w:p>
      <w:pPr>
        <w:pStyle w:val="BodyText"/>
        <w:spacing w:line="417" w:lineRule="auto"/>
        <w:ind w:left="118" w:right="436" w:firstLine="419"/>
      </w:pPr>
      <w:r>
        <w:rPr>
          <w:rFonts w:ascii="Times New Roman" w:eastAsia="Times New Roman"/>
        </w:rPr>
        <w:t>1</w:t>
      </w:r>
      <w:r>
        <w:rPr/>
        <w:t>、本合同、本基金合同：指《易方达货币市场基金基金合同》及对本合同的任何修订和补充</w:t>
      </w:r>
    </w:p>
    <w:p>
      <w:pPr>
        <w:pStyle w:val="BodyText"/>
        <w:spacing w:before="12"/>
      </w:pPr>
    </w:p>
    <w:p>
      <w:pPr>
        <w:pStyle w:val="BodyText"/>
        <w:ind w:left="538"/>
      </w:pPr>
      <w:r>
        <w:rPr>
          <w:rFonts w:ascii="Times New Roman" w:eastAsia="Times New Roman"/>
        </w:rPr>
        <w:t>2</w:t>
      </w:r>
      <w:r>
        <w:rPr/>
        <w:t>、《民法通则》：指《中华人民共和国民法通则》</w:t>
      </w:r>
    </w:p>
    <w:p>
      <w:pPr>
        <w:pStyle w:val="BodyText"/>
        <w:rPr>
          <w:sz w:val="22"/>
        </w:rPr>
      </w:pPr>
    </w:p>
    <w:p>
      <w:pPr>
        <w:pStyle w:val="BodyText"/>
        <w:spacing w:before="6"/>
        <w:rPr>
          <w:sz w:val="15"/>
        </w:rPr>
      </w:pPr>
    </w:p>
    <w:p>
      <w:pPr>
        <w:pStyle w:val="BodyText"/>
        <w:ind w:left="538"/>
      </w:pPr>
      <w:r>
        <w:rPr>
          <w:rFonts w:ascii="Times New Roman" w:eastAsia="Times New Roman"/>
        </w:rPr>
        <w:t>3</w:t>
      </w:r>
      <w:r>
        <w:rPr>
          <w:spacing w:val="-17"/>
        </w:rPr>
        <w:t>、《证券法》：指《中华人民共和国证券法》</w:t>
      </w:r>
    </w:p>
    <w:p>
      <w:pPr>
        <w:pStyle w:val="BodyText"/>
        <w:rPr>
          <w:sz w:val="22"/>
        </w:rPr>
      </w:pPr>
    </w:p>
    <w:p>
      <w:pPr>
        <w:pStyle w:val="BodyText"/>
        <w:spacing w:before="196"/>
        <w:ind w:left="538"/>
      </w:pPr>
      <w:r>
        <w:rPr>
          <w:rFonts w:ascii="Times New Roman" w:eastAsia="Times New Roman"/>
        </w:rPr>
        <w:t>4</w:t>
      </w:r>
      <w:r>
        <w:rPr>
          <w:spacing w:val="-17"/>
        </w:rPr>
        <w:t>、《合同法》：指《中华人民共和国合同法》</w:t>
      </w:r>
    </w:p>
    <w:p>
      <w:pPr>
        <w:pStyle w:val="BodyText"/>
        <w:rPr>
          <w:sz w:val="22"/>
        </w:rPr>
      </w:pPr>
    </w:p>
    <w:p>
      <w:pPr>
        <w:pStyle w:val="BodyText"/>
        <w:spacing w:before="197"/>
        <w:ind w:left="538"/>
      </w:pPr>
      <w:r>
        <w:rPr>
          <w:rFonts w:ascii="Times New Roman" w:eastAsia="Times New Roman"/>
        </w:rPr>
        <w:t>5</w:t>
      </w:r>
      <w:r>
        <w:rPr/>
        <w:t>、《基金法》：指《中华人民共和国证券投资基金法》</w:t>
      </w:r>
    </w:p>
    <w:p>
      <w:pPr>
        <w:pStyle w:val="BodyText"/>
        <w:rPr>
          <w:sz w:val="22"/>
        </w:rPr>
      </w:pPr>
    </w:p>
    <w:p>
      <w:pPr>
        <w:pStyle w:val="BodyText"/>
        <w:spacing w:before="6"/>
        <w:rPr>
          <w:sz w:val="15"/>
        </w:rPr>
      </w:pPr>
    </w:p>
    <w:p>
      <w:pPr>
        <w:pStyle w:val="BodyText"/>
        <w:spacing w:line="417" w:lineRule="auto"/>
        <w:ind w:left="118" w:right="433" w:firstLine="419"/>
      </w:pPr>
      <w:r>
        <w:rPr>
          <w:rFonts w:ascii="Times New Roman" w:eastAsia="Times New Roman"/>
        </w:rPr>
        <w:t>6</w:t>
      </w:r>
      <w:r>
        <w:rPr>
          <w:spacing w:val="-22"/>
        </w:rPr>
        <w:t>、《销售办法》：指中国证监会 </w:t>
      </w:r>
      <w:r>
        <w:rPr/>
        <w:t>2013</w:t>
      </w:r>
      <w:r>
        <w:rPr>
          <w:spacing w:val="-33"/>
        </w:rPr>
        <w:t> 年 </w:t>
      </w:r>
      <w:r>
        <w:rPr/>
        <w:t>3</w:t>
      </w:r>
      <w:r>
        <w:rPr>
          <w:spacing w:val="-34"/>
        </w:rPr>
        <w:t> 月 </w:t>
      </w:r>
      <w:r>
        <w:rPr/>
        <w:t>15</w:t>
      </w:r>
      <w:r>
        <w:rPr>
          <w:spacing w:val="-15"/>
        </w:rPr>
        <w:t> 日颁布、同年 </w:t>
      </w:r>
      <w:r>
        <w:rPr/>
        <w:t>6</w:t>
      </w:r>
      <w:r>
        <w:rPr>
          <w:spacing w:val="-33"/>
        </w:rPr>
        <w:t> 月 </w:t>
      </w:r>
      <w:r>
        <w:rPr/>
        <w:t>1</w:t>
      </w:r>
      <w:r>
        <w:rPr>
          <w:spacing w:val="-8"/>
        </w:rPr>
        <w:t> 日实施的《证券投</w:t>
      </w:r>
      <w:r>
        <w:rPr>
          <w:spacing w:val="-5"/>
        </w:rPr>
        <w:t>资基金销售管理办法》及颁布机关对其不时做出的修订</w:t>
      </w:r>
      <w:r>
        <w:rPr/>
        <w:t> </w:t>
      </w:r>
    </w:p>
    <w:p>
      <w:pPr>
        <w:pStyle w:val="BodyText"/>
        <w:spacing w:before="9"/>
      </w:pPr>
    </w:p>
    <w:p>
      <w:pPr>
        <w:pStyle w:val="BodyText"/>
        <w:spacing w:line="417" w:lineRule="auto"/>
        <w:ind w:left="118" w:right="433" w:firstLine="419"/>
      </w:pPr>
      <w:r>
        <w:rPr/>
        <w:t>7</w:t>
      </w:r>
      <w:r>
        <w:rPr>
          <w:spacing w:val="-20"/>
        </w:rPr>
        <w:t>、《信息披露办法》：指中国证监会 </w:t>
      </w:r>
      <w:r>
        <w:rPr/>
        <w:t>2019</w:t>
      </w:r>
      <w:r>
        <w:rPr>
          <w:spacing w:val="-33"/>
        </w:rPr>
        <w:t> 年 </w:t>
      </w:r>
      <w:r>
        <w:rPr/>
        <w:t>7</w:t>
      </w:r>
      <w:r>
        <w:rPr>
          <w:spacing w:val="-34"/>
        </w:rPr>
        <w:t> 月 </w:t>
      </w:r>
      <w:r>
        <w:rPr/>
        <w:t>26</w:t>
      </w:r>
      <w:r>
        <w:rPr>
          <w:spacing w:val="-15"/>
        </w:rPr>
        <w:t> 日颁布、同年 </w:t>
      </w:r>
      <w:r>
        <w:rPr/>
        <w:t>9</w:t>
      </w:r>
      <w:r>
        <w:rPr>
          <w:spacing w:val="-32"/>
        </w:rPr>
        <w:t> 月 </w:t>
      </w:r>
      <w:r>
        <w:rPr/>
        <w:t>1</w:t>
      </w:r>
      <w:r>
        <w:rPr>
          <w:spacing w:val="-10"/>
        </w:rPr>
        <w:t> 日实施的《公</w:t>
      </w:r>
      <w:r>
        <w:rPr>
          <w:spacing w:val="-5"/>
        </w:rPr>
        <w:t>开募集证券投资基金信息披露管理办法》及颁布机关对其不时做出的修订</w:t>
      </w:r>
      <w:r>
        <w:rPr/>
        <w:t> </w:t>
      </w:r>
    </w:p>
    <w:p>
      <w:pPr>
        <w:pStyle w:val="BodyText"/>
        <w:spacing w:before="12"/>
      </w:pPr>
    </w:p>
    <w:p>
      <w:pPr>
        <w:pStyle w:val="BodyText"/>
        <w:spacing w:line="417" w:lineRule="auto"/>
        <w:ind w:left="118" w:right="436" w:firstLine="419"/>
      </w:pPr>
      <w:r>
        <w:rPr/>
        <w:t>8</w:t>
      </w:r>
      <w:r>
        <w:rPr>
          <w:spacing w:val="-25"/>
        </w:rPr>
        <w:t>、《运作办法》：指中国证监会 </w:t>
      </w:r>
      <w:r>
        <w:rPr/>
        <w:t>2014</w:t>
      </w:r>
      <w:r>
        <w:rPr>
          <w:spacing w:val="-34"/>
        </w:rPr>
        <w:t> 年 </w:t>
      </w:r>
      <w:r>
        <w:rPr/>
        <w:t>7</w:t>
      </w:r>
      <w:r>
        <w:rPr>
          <w:spacing w:val="-34"/>
        </w:rPr>
        <w:t> 月 </w:t>
      </w:r>
      <w:r>
        <w:rPr/>
        <w:t>7</w:t>
      </w:r>
      <w:r>
        <w:rPr>
          <w:spacing w:val="-18"/>
        </w:rPr>
        <w:t> 日颁布、同年 </w:t>
      </w:r>
      <w:r>
        <w:rPr/>
        <w:t>8</w:t>
      </w:r>
      <w:r>
        <w:rPr>
          <w:spacing w:val="-34"/>
        </w:rPr>
        <w:t> 月 </w:t>
      </w:r>
      <w:r>
        <w:rPr/>
        <w:t>8</w:t>
      </w:r>
      <w:r>
        <w:rPr>
          <w:spacing w:val="-10"/>
        </w:rPr>
        <w:t> 日实施的《公开募集</w:t>
      </w:r>
      <w:r>
        <w:rPr>
          <w:spacing w:val="-5"/>
        </w:rPr>
        <w:t>证券投资基金运作管理办法》及颁布机关对其不时作出的修订</w:t>
      </w:r>
      <w:r>
        <w:rPr/>
        <w:t> </w:t>
      </w:r>
    </w:p>
    <w:p>
      <w:pPr>
        <w:pStyle w:val="BodyText"/>
        <w:spacing w:before="11"/>
      </w:pPr>
    </w:p>
    <w:p>
      <w:pPr>
        <w:pStyle w:val="BodyText"/>
        <w:spacing w:line="417" w:lineRule="auto"/>
        <w:ind w:left="118" w:right="434" w:firstLine="419"/>
      </w:pPr>
      <w:r>
        <w:rPr/>
        <w:t>9</w:t>
      </w:r>
      <w:r>
        <w:rPr>
          <w:spacing w:val="-25"/>
        </w:rPr>
        <w:t>、《管理规定》：指中国证监会 </w:t>
      </w:r>
      <w:r>
        <w:rPr/>
        <w:t>2017</w:t>
      </w:r>
      <w:r>
        <w:rPr>
          <w:spacing w:val="-34"/>
        </w:rPr>
        <w:t> 年 </w:t>
      </w:r>
      <w:r>
        <w:rPr/>
        <w:t>8</w:t>
      </w:r>
      <w:r>
        <w:rPr>
          <w:spacing w:val="-34"/>
        </w:rPr>
        <w:t> 月 </w:t>
      </w:r>
      <w:r>
        <w:rPr/>
        <w:t>31</w:t>
      </w:r>
      <w:r>
        <w:rPr>
          <w:spacing w:val="-18"/>
        </w:rPr>
        <w:t> 日颁布、同年 </w:t>
      </w:r>
      <w:r>
        <w:rPr/>
        <w:t>10</w:t>
      </w:r>
      <w:r>
        <w:rPr>
          <w:spacing w:val="-34"/>
        </w:rPr>
        <w:t> 月 </w:t>
      </w:r>
      <w:r>
        <w:rPr/>
        <w:t>1</w:t>
      </w:r>
      <w:r>
        <w:rPr>
          <w:spacing w:val="-11"/>
        </w:rPr>
        <w:t> 日实施的《公开募</w:t>
      </w:r>
      <w:r>
        <w:rPr>
          <w:spacing w:val="-6"/>
        </w:rPr>
        <w:t>集开放式证券投资基金流动性风险管理规定》及颁布机关对其不时做出的修订 </w:t>
      </w:r>
    </w:p>
    <w:p>
      <w:pPr>
        <w:pStyle w:val="BodyText"/>
        <w:spacing w:before="10"/>
      </w:pPr>
    </w:p>
    <w:p>
      <w:pPr>
        <w:pStyle w:val="BodyText"/>
        <w:ind w:left="538"/>
      </w:pPr>
      <w:r>
        <w:rPr/>
        <w:t>10、元：指人民币元 </w:t>
      </w:r>
    </w:p>
    <w:p>
      <w:pPr>
        <w:pStyle w:val="BodyText"/>
        <w:rPr>
          <w:sz w:val="20"/>
        </w:rPr>
      </w:pPr>
    </w:p>
    <w:p>
      <w:pPr>
        <w:pStyle w:val="BodyText"/>
        <w:spacing w:before="5"/>
        <w:rPr>
          <w:sz w:val="17"/>
        </w:rPr>
      </w:pPr>
    </w:p>
    <w:p>
      <w:pPr>
        <w:pStyle w:val="BodyText"/>
        <w:spacing w:before="1"/>
        <w:ind w:left="538"/>
      </w:pPr>
      <w:r>
        <w:rPr/>
        <w:t>11、基金、本基金：指依据基金合同所募集的易方达货币市场基金 </w:t>
      </w:r>
    </w:p>
    <w:p>
      <w:pPr>
        <w:pStyle w:val="BodyText"/>
        <w:rPr>
          <w:sz w:val="20"/>
        </w:rPr>
      </w:pPr>
    </w:p>
    <w:p>
      <w:pPr>
        <w:pStyle w:val="BodyText"/>
        <w:spacing w:before="5"/>
        <w:rPr>
          <w:sz w:val="17"/>
        </w:rPr>
      </w:pPr>
    </w:p>
    <w:p>
      <w:pPr>
        <w:pStyle w:val="BodyText"/>
        <w:ind w:left="538"/>
      </w:pPr>
      <w:r>
        <w:rPr>
          <w:rFonts w:ascii="Times New Roman" w:eastAsia="Times New Roman"/>
        </w:rPr>
        <w:t>12</w:t>
      </w:r>
      <w:r>
        <w:rPr/>
        <w:t>、《招募说明书》：指《易方达货币市场基金招募说明书》及其更新</w:t>
      </w:r>
    </w:p>
    <w:p>
      <w:pPr>
        <w:pStyle w:val="BodyText"/>
        <w:rPr>
          <w:sz w:val="22"/>
        </w:rPr>
      </w:pPr>
    </w:p>
    <w:p>
      <w:pPr>
        <w:pStyle w:val="BodyText"/>
        <w:spacing w:before="196"/>
        <w:ind w:left="538"/>
      </w:pPr>
      <w:r>
        <w:rPr>
          <w:rFonts w:ascii="Times New Roman" w:eastAsia="Times New Roman"/>
        </w:rPr>
        <w:t>13</w:t>
      </w:r>
      <w:r>
        <w:rPr/>
        <w:t>、基金产品资料概要：指《易方达货币市场基金基金产品资料概要》及其更新</w:t>
      </w:r>
    </w:p>
    <w:p>
      <w:pPr>
        <w:spacing w:after="0"/>
        <w:sectPr>
          <w:pgSz w:w="11910" w:h="16850"/>
          <w:pgMar w:header="852" w:footer="1386" w:top="1420" w:bottom="1620" w:left="1680" w:right="1360"/>
        </w:sectPr>
      </w:pPr>
    </w:p>
    <w:p>
      <w:pPr>
        <w:pStyle w:val="BodyText"/>
        <w:spacing w:before="142"/>
        <w:ind w:left="538"/>
      </w:pPr>
      <w:r>
        <w:rPr>
          <w:rFonts w:ascii="Times New Roman" w:eastAsia="Times New Roman"/>
        </w:rPr>
        <w:t>14</w:t>
      </w:r>
      <w:r>
        <w:rPr>
          <w:spacing w:val="-3"/>
        </w:rPr>
        <w:t>、中国证监会：指中国证券监督管理委员会</w:t>
      </w:r>
    </w:p>
    <w:p>
      <w:pPr>
        <w:pStyle w:val="BodyText"/>
        <w:rPr>
          <w:sz w:val="22"/>
        </w:rPr>
      </w:pPr>
    </w:p>
    <w:p>
      <w:pPr>
        <w:pStyle w:val="BodyText"/>
        <w:spacing w:before="197"/>
        <w:ind w:left="538"/>
      </w:pPr>
      <w:r>
        <w:rPr>
          <w:rFonts w:ascii="Times New Roman" w:eastAsia="Times New Roman"/>
        </w:rPr>
        <w:t>15</w:t>
      </w:r>
      <w:r>
        <w:rPr>
          <w:spacing w:val="-3"/>
        </w:rPr>
        <w:t>、基金管理人：指易方达基金管理有限公司</w:t>
      </w:r>
    </w:p>
    <w:p>
      <w:pPr>
        <w:pStyle w:val="BodyText"/>
        <w:rPr>
          <w:sz w:val="22"/>
        </w:rPr>
      </w:pPr>
    </w:p>
    <w:p>
      <w:pPr>
        <w:pStyle w:val="BodyText"/>
        <w:spacing w:before="196"/>
        <w:ind w:left="538"/>
      </w:pPr>
      <w:r>
        <w:rPr>
          <w:rFonts w:ascii="Times New Roman" w:eastAsia="Times New Roman"/>
        </w:rPr>
        <w:t>16</w:t>
      </w:r>
      <w:r>
        <w:rPr/>
        <w:t>、基金托管人：指中国银行股份有限公司</w:t>
      </w:r>
    </w:p>
    <w:p>
      <w:pPr>
        <w:pStyle w:val="BodyText"/>
        <w:rPr>
          <w:sz w:val="22"/>
        </w:rPr>
      </w:pPr>
    </w:p>
    <w:p>
      <w:pPr>
        <w:pStyle w:val="BodyText"/>
        <w:spacing w:before="5"/>
        <w:rPr>
          <w:sz w:val="15"/>
        </w:rPr>
      </w:pPr>
    </w:p>
    <w:p>
      <w:pPr>
        <w:pStyle w:val="BodyText"/>
        <w:spacing w:line="417" w:lineRule="auto" w:before="1"/>
        <w:ind w:left="118" w:right="434" w:firstLine="419"/>
      </w:pPr>
      <w:r>
        <w:rPr>
          <w:rFonts w:ascii="Times New Roman" w:eastAsia="Times New Roman"/>
        </w:rPr>
        <w:t>17</w:t>
      </w:r>
      <w:r>
        <w:rPr>
          <w:spacing w:val="-12"/>
        </w:rPr>
        <w:t>、代销机构：指符合《销售办法》和中国证监会规定的其他条件，取得基金销售业务</w:t>
      </w:r>
      <w:r>
        <w:rPr>
          <w:spacing w:val="-6"/>
        </w:rPr>
        <w:t>资格并接受基金管理人委托，办理基金销售业务的机构</w:t>
      </w:r>
    </w:p>
    <w:p>
      <w:pPr>
        <w:pStyle w:val="BodyText"/>
        <w:spacing w:before="11"/>
      </w:pPr>
    </w:p>
    <w:p>
      <w:pPr>
        <w:pStyle w:val="BodyText"/>
        <w:spacing w:line="417" w:lineRule="auto"/>
        <w:ind w:left="118" w:right="433" w:firstLine="419"/>
      </w:pPr>
      <w:r>
        <w:rPr>
          <w:rFonts w:ascii="Times New Roman" w:eastAsia="Times New Roman"/>
        </w:rPr>
        <w:t>18</w:t>
      </w:r>
      <w:r>
        <w:rPr>
          <w:spacing w:val="-11"/>
        </w:rPr>
        <w:t>、基金注册登记机构：指基金管理人或接受基金管理人委托代为办理基金注册与过户</w:t>
      </w:r>
      <w:r>
        <w:rPr>
          <w:spacing w:val="-6"/>
        </w:rPr>
        <w:t>登记业务的机构</w:t>
      </w:r>
    </w:p>
    <w:p>
      <w:pPr>
        <w:pStyle w:val="BodyText"/>
        <w:spacing w:before="9"/>
      </w:pPr>
    </w:p>
    <w:p>
      <w:pPr>
        <w:pStyle w:val="BodyText"/>
        <w:spacing w:line="417" w:lineRule="auto" w:before="1"/>
        <w:ind w:left="118" w:right="434" w:firstLine="419"/>
      </w:pPr>
      <w:r>
        <w:rPr>
          <w:rFonts w:ascii="Times New Roman" w:eastAsia="Times New Roman"/>
        </w:rPr>
        <w:t>19</w:t>
      </w:r>
      <w:r>
        <w:rPr>
          <w:spacing w:val="-12"/>
        </w:rPr>
        <w:t>、基金合同当事人：指受本基金合同约束，根据本基金合同享受权利并承担义务的法</w:t>
      </w:r>
      <w:r>
        <w:rPr>
          <w:spacing w:val="-6"/>
        </w:rPr>
        <w:t>律主体，包括基金管理人、基金托管人、基金份额持有人</w:t>
      </w:r>
    </w:p>
    <w:p>
      <w:pPr>
        <w:pStyle w:val="BodyText"/>
        <w:spacing w:before="11"/>
      </w:pPr>
    </w:p>
    <w:p>
      <w:pPr>
        <w:pStyle w:val="BodyText"/>
        <w:ind w:left="538"/>
      </w:pPr>
      <w:r>
        <w:rPr>
          <w:rFonts w:ascii="Times New Roman" w:eastAsia="Times New Roman"/>
        </w:rPr>
        <w:t>20</w:t>
      </w:r>
      <w:r>
        <w:rPr/>
        <w:t>、基金份额持有人：指根据本基金合同合法取得基金份额的个人投资者或机构投资者</w:t>
      </w:r>
    </w:p>
    <w:p>
      <w:pPr>
        <w:pStyle w:val="BodyText"/>
        <w:rPr>
          <w:sz w:val="22"/>
        </w:rPr>
      </w:pPr>
    </w:p>
    <w:p>
      <w:pPr>
        <w:pStyle w:val="BodyText"/>
        <w:spacing w:before="5"/>
        <w:rPr>
          <w:sz w:val="15"/>
        </w:rPr>
      </w:pPr>
    </w:p>
    <w:p>
      <w:pPr>
        <w:pStyle w:val="BodyText"/>
        <w:spacing w:line="417" w:lineRule="auto" w:before="1"/>
        <w:ind w:left="118" w:right="433" w:firstLine="419"/>
      </w:pPr>
      <w:r>
        <w:rPr>
          <w:rFonts w:ascii="Times New Roman" w:eastAsia="Times New Roman"/>
        </w:rPr>
        <w:t>21</w:t>
      </w:r>
      <w:r>
        <w:rPr>
          <w:spacing w:val="-12"/>
        </w:rPr>
        <w:t>、个人投资者：指依据中华人民共和国有关法律法规及其他有关规定可以投资于证券</w:t>
      </w:r>
      <w:r>
        <w:rPr>
          <w:spacing w:val="-6"/>
        </w:rPr>
        <w:t>投资基金的自然人投资者</w:t>
      </w:r>
    </w:p>
    <w:p>
      <w:pPr>
        <w:pStyle w:val="BodyText"/>
        <w:spacing w:before="9"/>
      </w:pPr>
    </w:p>
    <w:p>
      <w:pPr>
        <w:pStyle w:val="BodyText"/>
        <w:spacing w:line="417" w:lineRule="auto"/>
        <w:ind w:left="118" w:right="433" w:firstLine="419"/>
      </w:pPr>
      <w:r>
        <w:rPr>
          <w:rFonts w:ascii="Times New Roman" w:eastAsia="Times New Roman"/>
        </w:rPr>
        <w:t>22</w:t>
      </w:r>
      <w:r>
        <w:rPr>
          <w:spacing w:val="-12"/>
        </w:rPr>
        <w:t>、机构投资者：指依据中华人民共和国有关法律法规及其他有关规定可以投资于证券</w:t>
      </w:r>
      <w:r>
        <w:rPr>
          <w:spacing w:val="-6"/>
        </w:rPr>
        <w:t>投资基金的法人、社会团体、其它组织或投资主体</w:t>
      </w:r>
    </w:p>
    <w:p>
      <w:pPr>
        <w:pStyle w:val="BodyText"/>
        <w:spacing w:before="11"/>
      </w:pPr>
    </w:p>
    <w:p>
      <w:pPr>
        <w:pStyle w:val="BodyText"/>
        <w:ind w:left="538"/>
      </w:pPr>
      <w:r>
        <w:rPr>
          <w:rFonts w:ascii="Times New Roman" w:eastAsia="Times New Roman"/>
        </w:rPr>
        <w:t>23</w:t>
      </w:r>
      <w:r>
        <w:rPr>
          <w:spacing w:val="-3"/>
        </w:rPr>
        <w:t>、投资者：指上述个人投资者和机构投资者</w:t>
      </w:r>
    </w:p>
    <w:p>
      <w:pPr>
        <w:pStyle w:val="BodyText"/>
        <w:rPr>
          <w:sz w:val="22"/>
        </w:rPr>
      </w:pPr>
    </w:p>
    <w:p>
      <w:pPr>
        <w:pStyle w:val="BodyText"/>
        <w:spacing w:before="6"/>
        <w:rPr>
          <w:sz w:val="15"/>
        </w:rPr>
      </w:pPr>
    </w:p>
    <w:p>
      <w:pPr>
        <w:pStyle w:val="BodyText"/>
        <w:spacing w:line="417" w:lineRule="auto"/>
        <w:ind w:left="118" w:right="330" w:firstLine="419"/>
      </w:pPr>
      <w:r>
        <w:rPr>
          <w:rFonts w:ascii="Times New Roman" w:eastAsia="Times New Roman"/>
        </w:rPr>
        <w:t>24</w:t>
      </w:r>
      <w:r>
        <w:rPr/>
        <w:t>、基金合同生效日：指本基金达到规定的条件后，按规定办理了验资和备案手续后， 得到中国证监会书面确认之日</w:t>
      </w:r>
    </w:p>
    <w:p>
      <w:pPr>
        <w:pStyle w:val="BodyText"/>
        <w:spacing w:before="10"/>
      </w:pPr>
    </w:p>
    <w:p>
      <w:pPr>
        <w:pStyle w:val="BodyText"/>
        <w:spacing w:line="417" w:lineRule="auto"/>
        <w:ind w:left="118" w:right="434" w:firstLine="419"/>
      </w:pPr>
      <w:r>
        <w:rPr>
          <w:rFonts w:ascii="Times New Roman" w:eastAsia="Times New Roman"/>
        </w:rPr>
        <w:t>25</w:t>
      </w:r>
      <w:r>
        <w:rPr>
          <w:spacing w:val="-11"/>
        </w:rPr>
        <w:t>、募集期：指自基金份额开始发售之日起到基金份额发售结束之日止的时间段，最长</w:t>
      </w:r>
      <w:r>
        <w:rPr>
          <w:spacing w:val="-18"/>
        </w:rPr>
        <w:t>不超过 </w:t>
      </w:r>
      <w:r>
        <w:rPr/>
        <w:t>3</w:t>
      </w:r>
      <w:r>
        <w:rPr>
          <w:spacing w:val="-20"/>
        </w:rPr>
        <w:t> 个月</w:t>
      </w:r>
    </w:p>
    <w:p>
      <w:pPr>
        <w:pStyle w:val="BodyText"/>
        <w:spacing w:before="11"/>
      </w:pPr>
    </w:p>
    <w:p>
      <w:pPr>
        <w:pStyle w:val="BodyText"/>
        <w:ind w:left="538"/>
      </w:pPr>
      <w:r>
        <w:rPr>
          <w:rFonts w:ascii="Times New Roman" w:eastAsia="Times New Roman"/>
        </w:rPr>
        <w:t>26</w:t>
      </w:r>
      <w:r>
        <w:rPr/>
        <w:t>、工作日：指上海证券交易所和深圳证券交易所的正常交易日</w:t>
      </w:r>
    </w:p>
    <w:p>
      <w:pPr>
        <w:pStyle w:val="BodyText"/>
        <w:rPr>
          <w:sz w:val="22"/>
        </w:rPr>
      </w:pPr>
    </w:p>
    <w:p>
      <w:pPr>
        <w:pStyle w:val="BodyText"/>
        <w:spacing w:before="6"/>
        <w:rPr>
          <w:sz w:val="15"/>
        </w:rPr>
      </w:pPr>
    </w:p>
    <w:p>
      <w:pPr>
        <w:pStyle w:val="BodyText"/>
        <w:ind w:left="538"/>
      </w:pPr>
      <w:r>
        <w:rPr>
          <w:rFonts w:ascii="Times New Roman" w:eastAsia="Times New Roman"/>
        </w:rPr>
        <w:t>27</w:t>
      </w:r>
      <w:r>
        <w:rPr/>
        <w:t>、</w:t>
      </w:r>
      <w:r>
        <w:rPr>
          <w:rFonts w:ascii="Times New Roman" w:eastAsia="Times New Roman"/>
        </w:rPr>
        <w:t>T </w:t>
      </w:r>
      <w:r>
        <w:rPr/>
        <w:t>日：指申购、赎回或其他交易的申请日</w:t>
      </w:r>
    </w:p>
    <w:p>
      <w:pPr>
        <w:spacing w:after="0"/>
        <w:sectPr>
          <w:pgSz w:w="11910" w:h="16850"/>
          <w:pgMar w:header="852" w:footer="1386" w:top="1420" w:bottom="1620" w:left="1680" w:right="1360"/>
        </w:sectPr>
      </w:pPr>
    </w:p>
    <w:p>
      <w:pPr>
        <w:pStyle w:val="BodyText"/>
        <w:spacing w:before="142"/>
        <w:ind w:left="538"/>
      </w:pPr>
      <w:r>
        <w:rPr>
          <w:rFonts w:ascii="Times New Roman" w:eastAsia="Times New Roman"/>
        </w:rPr>
        <w:t>28</w:t>
      </w:r>
      <w:r>
        <w:rPr/>
        <w:t>、开放日：指为投资者办理基金申购、赎回等业务的工作日</w:t>
      </w:r>
    </w:p>
    <w:p>
      <w:pPr>
        <w:pStyle w:val="BodyText"/>
        <w:rPr>
          <w:sz w:val="22"/>
        </w:rPr>
      </w:pPr>
    </w:p>
    <w:p>
      <w:pPr>
        <w:pStyle w:val="BodyText"/>
        <w:spacing w:before="197"/>
        <w:ind w:left="538"/>
      </w:pPr>
      <w:r>
        <w:rPr>
          <w:rFonts w:ascii="Times New Roman" w:eastAsia="Times New Roman"/>
        </w:rPr>
        <w:t>29</w:t>
      </w:r>
      <w:r>
        <w:rPr/>
        <w:t>、认购：指在募集期内，购买基金份额的行为</w:t>
      </w:r>
    </w:p>
    <w:p>
      <w:pPr>
        <w:pStyle w:val="BodyText"/>
        <w:rPr>
          <w:sz w:val="22"/>
        </w:rPr>
      </w:pPr>
    </w:p>
    <w:p>
      <w:pPr>
        <w:pStyle w:val="BodyText"/>
        <w:spacing w:before="196"/>
        <w:ind w:left="538"/>
      </w:pPr>
      <w:r>
        <w:rPr>
          <w:rFonts w:ascii="Times New Roman" w:eastAsia="Times New Roman"/>
        </w:rPr>
        <w:t>30</w:t>
      </w:r>
      <w:r>
        <w:rPr/>
        <w:t>、申购：指基金合同生效后，基金投资者购买基金份额的行为</w:t>
      </w:r>
    </w:p>
    <w:p>
      <w:pPr>
        <w:pStyle w:val="BodyText"/>
        <w:rPr>
          <w:sz w:val="22"/>
        </w:rPr>
      </w:pPr>
    </w:p>
    <w:p>
      <w:pPr>
        <w:pStyle w:val="BodyText"/>
        <w:spacing w:before="5"/>
        <w:rPr>
          <w:sz w:val="15"/>
        </w:rPr>
      </w:pPr>
    </w:p>
    <w:p>
      <w:pPr>
        <w:pStyle w:val="BodyText"/>
        <w:spacing w:before="1"/>
        <w:ind w:left="538"/>
      </w:pPr>
      <w:r>
        <w:rPr>
          <w:rFonts w:ascii="Times New Roman" w:eastAsia="Times New Roman"/>
        </w:rPr>
        <w:t>31</w:t>
      </w:r>
      <w:r>
        <w:rPr/>
        <w:t>、赎回：指基金合同生效后，基金投资者申请将基金份额兑换为现金的行为</w:t>
      </w:r>
    </w:p>
    <w:p>
      <w:pPr>
        <w:pStyle w:val="BodyText"/>
        <w:rPr>
          <w:sz w:val="22"/>
        </w:rPr>
      </w:pPr>
    </w:p>
    <w:p>
      <w:pPr>
        <w:pStyle w:val="BodyText"/>
        <w:spacing w:line="417" w:lineRule="auto" w:before="197"/>
        <w:ind w:left="118" w:right="434" w:firstLine="419"/>
        <w:jc w:val="both"/>
      </w:pPr>
      <w:r>
        <w:rPr>
          <w:rFonts w:ascii="Times New Roman" w:eastAsia="Times New Roman"/>
        </w:rPr>
        <w:t>32</w:t>
      </w:r>
      <w:r>
        <w:rPr>
          <w:spacing w:val="-11"/>
        </w:rPr>
        <w:t>、基金转换：基金转换是基金管理人给基金份额持有人提供的一种服务，是指基金份额持有人按基金管理人规定的条件将其持有的某一基金的基金份额转为同一基金管理人管</w:t>
      </w:r>
      <w:r>
        <w:rPr>
          <w:spacing w:val="-6"/>
        </w:rPr>
        <w:t>理的另一只基金的基金份额的行为</w:t>
      </w:r>
    </w:p>
    <w:p>
      <w:pPr>
        <w:pStyle w:val="BodyText"/>
        <w:spacing w:before="10"/>
      </w:pPr>
    </w:p>
    <w:p>
      <w:pPr>
        <w:pStyle w:val="BodyText"/>
        <w:spacing w:line="417" w:lineRule="auto"/>
        <w:ind w:left="118" w:right="436" w:firstLine="419"/>
        <w:jc w:val="both"/>
      </w:pPr>
      <w:r>
        <w:rPr/>
        <w:t>33</w:t>
      </w:r>
      <w:r>
        <w:rPr>
          <w:spacing w:val="-7"/>
        </w:rPr>
        <w:t>、基金日收益：指 </w:t>
      </w:r>
      <w:r>
        <w:rPr>
          <w:rFonts w:ascii="Times New Roman" w:eastAsia="Times New Roman"/>
        </w:rPr>
        <w:t>A </w:t>
      </w:r>
      <w:r>
        <w:rPr>
          <w:spacing w:val="-8"/>
        </w:rPr>
        <w:t>类基金份额和 </w:t>
      </w:r>
      <w:r>
        <w:rPr>
          <w:rFonts w:ascii="Times New Roman" w:eastAsia="Times New Roman"/>
        </w:rPr>
        <w:t>B </w:t>
      </w:r>
      <w:r>
        <w:rPr>
          <w:spacing w:val="-3"/>
        </w:rPr>
        <w:t>类基金份额每万份基金单位的日收益，</w:t>
      </w:r>
      <w:r>
        <w:rPr>
          <w:rFonts w:ascii="Times New Roman" w:eastAsia="Times New Roman"/>
        </w:rPr>
        <w:t>E </w:t>
      </w:r>
      <w:r>
        <w:rPr>
          <w:spacing w:val="-3"/>
        </w:rPr>
        <w:t>类基金份额每百份基金单位的日收益</w:t>
      </w:r>
    </w:p>
    <w:p>
      <w:pPr>
        <w:pStyle w:val="BodyText"/>
        <w:spacing w:before="11"/>
        <w:rPr>
          <w:sz w:val="18"/>
        </w:rPr>
      </w:pPr>
    </w:p>
    <w:p>
      <w:pPr>
        <w:pStyle w:val="BodyText"/>
        <w:ind w:left="538"/>
      </w:pPr>
      <w:r>
        <w:rPr/>
        <w:t>34、基金七日收益率：指以最近七日（含节假日）收益所折算的年资产收益率</w:t>
      </w:r>
    </w:p>
    <w:p>
      <w:pPr>
        <w:pStyle w:val="BodyText"/>
        <w:rPr>
          <w:sz w:val="20"/>
        </w:rPr>
      </w:pPr>
    </w:p>
    <w:p>
      <w:pPr>
        <w:pStyle w:val="BodyText"/>
        <w:spacing w:before="3"/>
        <w:rPr>
          <w:sz w:val="14"/>
        </w:rPr>
      </w:pPr>
    </w:p>
    <w:p>
      <w:pPr>
        <w:pStyle w:val="BodyText"/>
        <w:spacing w:line="417" w:lineRule="auto" w:before="1"/>
        <w:ind w:left="118" w:right="434" w:firstLine="419"/>
      </w:pPr>
      <w:r>
        <w:rPr>
          <w:rFonts w:ascii="Times New Roman" w:eastAsia="Times New Roman"/>
        </w:rPr>
        <w:t>35</w:t>
      </w:r>
      <w:r>
        <w:rPr>
          <w:spacing w:val="-12"/>
        </w:rPr>
        <w:t>、摊余成本法：指计价对象以买入成本列示，按照票面利率或协议利率并考虑其买入</w:t>
      </w:r>
      <w:r>
        <w:rPr>
          <w:spacing w:val="-6"/>
        </w:rPr>
        <w:t>时的溢价和折价，在剩余存续期内按实际利率法摊销，每日计提损益</w:t>
      </w:r>
    </w:p>
    <w:p>
      <w:pPr>
        <w:pStyle w:val="BodyText"/>
        <w:spacing w:before="11"/>
      </w:pPr>
    </w:p>
    <w:p>
      <w:pPr>
        <w:pStyle w:val="BodyText"/>
        <w:spacing w:line="417" w:lineRule="auto"/>
        <w:ind w:left="118" w:right="433" w:firstLine="419"/>
      </w:pPr>
      <w:r>
        <w:rPr>
          <w:rFonts w:ascii="Times New Roman" w:eastAsia="Times New Roman"/>
        </w:rPr>
        <w:t>36</w:t>
      </w:r>
      <w:r>
        <w:rPr>
          <w:spacing w:val="-11"/>
        </w:rPr>
        <w:t>、基金资产总值：指基金所购买的各类证券价值、银行存款本息和基金应收的申购款</w:t>
      </w:r>
      <w:r>
        <w:rPr>
          <w:spacing w:val="-6"/>
        </w:rPr>
        <w:t>项以及其他投资所形成的价值总和</w:t>
      </w:r>
      <w:r>
        <w:rPr/>
        <w:t> </w:t>
      </w:r>
    </w:p>
    <w:p>
      <w:pPr>
        <w:pStyle w:val="BodyText"/>
        <w:spacing w:before="12"/>
      </w:pPr>
    </w:p>
    <w:p>
      <w:pPr>
        <w:pStyle w:val="BodyText"/>
        <w:ind w:left="538"/>
      </w:pPr>
      <w:r>
        <w:rPr>
          <w:rFonts w:ascii="Times New Roman" w:eastAsia="Times New Roman"/>
        </w:rPr>
        <w:t>37</w:t>
      </w:r>
      <w:r>
        <w:rPr/>
        <w:t>、基金资产净值：指基金资产总值减去负债后的价值</w:t>
      </w:r>
    </w:p>
    <w:p>
      <w:pPr>
        <w:pStyle w:val="BodyText"/>
        <w:rPr>
          <w:sz w:val="22"/>
        </w:rPr>
      </w:pPr>
    </w:p>
    <w:p>
      <w:pPr>
        <w:pStyle w:val="BodyText"/>
        <w:spacing w:line="417" w:lineRule="auto" w:before="195"/>
        <w:ind w:left="118" w:right="433" w:firstLine="419"/>
      </w:pPr>
      <w:r>
        <w:rPr>
          <w:rFonts w:ascii="Times New Roman" w:eastAsia="Times New Roman"/>
        </w:rPr>
        <w:t>38</w:t>
      </w:r>
      <w:r>
        <w:rPr>
          <w:spacing w:val="-11"/>
        </w:rPr>
        <w:t>、基金资产估值：指计算评估基金资产和负债的价值，以确定基金资产净值和基金收</w:t>
      </w:r>
      <w:r>
        <w:rPr>
          <w:spacing w:val="-7"/>
        </w:rPr>
        <w:t>益的过程</w:t>
      </w:r>
    </w:p>
    <w:p>
      <w:pPr>
        <w:pStyle w:val="BodyText"/>
        <w:spacing w:before="12"/>
      </w:pPr>
    </w:p>
    <w:p>
      <w:pPr>
        <w:pStyle w:val="BodyText"/>
        <w:ind w:left="538"/>
      </w:pPr>
      <w:r>
        <w:rPr>
          <w:rFonts w:ascii="Times New Roman" w:eastAsia="Times New Roman"/>
        </w:rPr>
        <w:t>39</w:t>
      </w:r>
      <w:r>
        <w:rPr/>
        <w:t>、基金销售网点：指基金管理人的直销中心及代销机构的代销网点</w:t>
      </w:r>
    </w:p>
    <w:p>
      <w:pPr>
        <w:pStyle w:val="BodyText"/>
        <w:rPr>
          <w:sz w:val="22"/>
        </w:rPr>
      </w:pPr>
    </w:p>
    <w:p>
      <w:pPr>
        <w:pStyle w:val="BodyText"/>
        <w:spacing w:before="6"/>
        <w:rPr>
          <w:sz w:val="15"/>
        </w:rPr>
      </w:pPr>
    </w:p>
    <w:p>
      <w:pPr>
        <w:pStyle w:val="BodyText"/>
        <w:ind w:left="538"/>
      </w:pPr>
      <w:r>
        <w:rPr>
          <w:rFonts w:ascii="Times New Roman" w:eastAsia="Times New Roman"/>
        </w:rPr>
        <w:t>40</w:t>
      </w:r>
      <w:r>
        <w:rPr/>
        <w:t>、销售机构：指基金管理人和代销机构</w:t>
      </w:r>
    </w:p>
    <w:p>
      <w:pPr>
        <w:pStyle w:val="BodyText"/>
        <w:rPr>
          <w:sz w:val="22"/>
        </w:rPr>
      </w:pPr>
    </w:p>
    <w:p>
      <w:pPr>
        <w:pStyle w:val="BodyText"/>
        <w:spacing w:before="195"/>
        <w:ind w:left="538"/>
      </w:pPr>
      <w:r>
        <w:rPr>
          <w:rFonts w:ascii="Times New Roman" w:eastAsia="Times New Roman"/>
        </w:rPr>
        <w:t>41</w:t>
      </w:r>
      <w:r>
        <w:rPr/>
        <w:t>、指定媒介：指中国证监会指定的用以进行信息披露的全国性报刊及指定互联网网站</w:t>
      </w:r>
    </w:p>
    <w:p>
      <w:pPr>
        <w:pStyle w:val="BodyText"/>
        <w:spacing w:before="7"/>
        <w:rPr>
          <w:sz w:val="15"/>
        </w:rPr>
      </w:pPr>
    </w:p>
    <w:p>
      <w:pPr>
        <w:pStyle w:val="BodyText"/>
        <w:ind w:left="118"/>
      </w:pPr>
      <w:r>
        <w:rPr/>
        <w:t>（包括基金管理人网站、基金托管人网站、中国证监会基金电子披露网站）等媒介</w:t>
      </w:r>
    </w:p>
    <w:p>
      <w:pPr>
        <w:spacing w:after="0"/>
        <w:sectPr>
          <w:pgSz w:w="11910" w:h="16850"/>
          <w:pgMar w:header="852" w:footer="1386" w:top="1420" w:bottom="1620" w:left="1680" w:right="1360"/>
        </w:sectPr>
      </w:pPr>
    </w:p>
    <w:p>
      <w:pPr>
        <w:pStyle w:val="BodyText"/>
        <w:spacing w:line="417" w:lineRule="auto" w:before="142"/>
        <w:ind w:left="118" w:right="330" w:firstLine="419"/>
      </w:pPr>
      <w:r>
        <w:rPr>
          <w:rFonts w:ascii="Times New Roman" w:eastAsia="Times New Roman"/>
        </w:rPr>
        <w:t>42</w:t>
      </w:r>
      <w:r>
        <w:rPr>
          <w:spacing w:val="-17"/>
        </w:rPr>
        <w:t>、《更新的招募说明书》：基金合同生效后，基金招募说明书的信息发生重大变更的， </w:t>
      </w:r>
      <w:r>
        <w:rPr>
          <w:spacing w:val="-12"/>
        </w:rPr>
        <w:t>基金管理人应当在三个工作日内，更新基金招募说明书并登载在指定网站上；基金招募说明</w:t>
      </w:r>
      <w:r>
        <w:rPr>
          <w:spacing w:val="-6"/>
        </w:rPr>
        <w:t>书其他信息发生变更的，基金管理人至少每年更新一次</w:t>
      </w:r>
    </w:p>
    <w:p>
      <w:pPr>
        <w:pStyle w:val="BodyText"/>
        <w:spacing w:before="11"/>
      </w:pPr>
    </w:p>
    <w:p>
      <w:pPr>
        <w:pStyle w:val="BodyText"/>
        <w:spacing w:line="417" w:lineRule="auto"/>
        <w:ind w:left="118" w:right="434" w:firstLine="419"/>
      </w:pPr>
      <w:r>
        <w:rPr>
          <w:rFonts w:ascii="Times New Roman" w:eastAsia="Times New Roman"/>
        </w:rPr>
        <w:t>43</w:t>
      </w:r>
      <w:r>
        <w:rPr>
          <w:spacing w:val="-11"/>
        </w:rPr>
        <w:t>、法律法规：指中华人民共和国现行有效的法律、行政法规、部门规章以及其他对合</w:t>
      </w:r>
      <w:r>
        <w:rPr>
          <w:spacing w:val="-6"/>
        </w:rPr>
        <w:t>同当事人有约束力的决定、决议、通知等</w:t>
      </w:r>
    </w:p>
    <w:p>
      <w:pPr>
        <w:pStyle w:val="BodyText"/>
        <w:spacing w:before="9"/>
      </w:pPr>
    </w:p>
    <w:p>
      <w:pPr>
        <w:pStyle w:val="BodyText"/>
        <w:spacing w:line="417" w:lineRule="auto"/>
        <w:ind w:left="118" w:right="433" w:firstLine="419"/>
        <w:jc w:val="both"/>
      </w:pPr>
      <w:r>
        <w:rPr>
          <w:rFonts w:ascii="Times New Roman" w:eastAsia="Times New Roman"/>
        </w:rPr>
        <w:t>44</w:t>
      </w:r>
      <w:r>
        <w:rPr>
          <w:spacing w:val="-11"/>
        </w:rPr>
        <w:t>、不可抗力：指本合同当事人无法预见、无法抗拒、无法避免且在本合同由基金托管</w:t>
      </w:r>
      <w:r>
        <w:rPr>
          <w:spacing w:val="-12"/>
        </w:rPr>
        <w:t>人、基金管理人签署之日后发生的，使本合同当事人无法全部履行或无法部分履行本协议的</w:t>
      </w:r>
      <w:r>
        <w:rPr>
          <w:spacing w:val="-20"/>
        </w:rPr>
        <w:t>任何事件，包括但不限于洪水、地震及其他自然灾害、战争、骚乱、火灾、政府征用、没收、</w:t>
      </w:r>
      <w:r>
        <w:rPr>
          <w:spacing w:val="-8"/>
        </w:rPr>
        <w:t>法律变化、突发停电或其他突发事件、证券交易场所非正常暂停或停止交易</w:t>
      </w:r>
    </w:p>
    <w:p>
      <w:pPr>
        <w:pStyle w:val="BodyText"/>
        <w:spacing w:before="11"/>
      </w:pPr>
    </w:p>
    <w:p>
      <w:pPr>
        <w:pStyle w:val="BodyText"/>
        <w:spacing w:line="417" w:lineRule="auto" w:before="1"/>
        <w:ind w:left="118" w:right="436" w:firstLine="419"/>
        <w:jc w:val="both"/>
      </w:pPr>
      <w:r>
        <w:rPr>
          <w:rFonts w:ascii="Times New Roman" w:eastAsia="Times New Roman"/>
        </w:rPr>
        <w:t>45</w:t>
      </w:r>
      <w:r>
        <w:rPr>
          <w:spacing w:val="-13"/>
        </w:rPr>
        <w:t>、收益账户：指本基金为 </w:t>
      </w:r>
      <w:r>
        <w:rPr>
          <w:rFonts w:ascii="Times New Roman" w:eastAsia="Times New Roman"/>
        </w:rPr>
        <w:t>E </w:t>
      </w:r>
      <w:r>
        <w:rPr>
          <w:spacing w:val="-6"/>
        </w:rPr>
        <w:t>类基金份额投资人分配的虚拟账户，用于登记该类投资人</w:t>
      </w:r>
      <w:r>
        <w:rPr>
          <w:spacing w:val="-4"/>
        </w:rPr>
        <w:t>基金份额的累计收益</w:t>
      </w:r>
    </w:p>
    <w:p>
      <w:pPr>
        <w:pStyle w:val="BodyText"/>
        <w:spacing w:before="11"/>
      </w:pPr>
    </w:p>
    <w:p>
      <w:pPr>
        <w:pStyle w:val="BodyText"/>
        <w:spacing w:line="417" w:lineRule="auto"/>
        <w:ind w:left="118" w:right="433" w:firstLine="419"/>
        <w:jc w:val="both"/>
      </w:pPr>
      <w:r>
        <w:rPr>
          <w:rFonts w:ascii="Times New Roman" w:eastAsia="Times New Roman"/>
        </w:rPr>
        <w:t>46</w:t>
      </w:r>
      <w:r>
        <w:rPr>
          <w:spacing w:val="-12"/>
        </w:rPr>
        <w:t>、场内：指通过上海证券交易所内具有相应业务资格的会员单位利用交易所交易系统办理基金份额申购、赎回和上市交易的场所。通过该等场所办理基金份额的申购、赎回也称</w:t>
      </w:r>
      <w:r>
        <w:rPr>
          <w:spacing w:val="-6"/>
        </w:rPr>
        <w:t>为场内申购、场内赎回</w:t>
      </w:r>
    </w:p>
    <w:p>
      <w:pPr>
        <w:pStyle w:val="BodyText"/>
        <w:spacing w:before="9"/>
      </w:pPr>
    </w:p>
    <w:p>
      <w:pPr>
        <w:pStyle w:val="BodyText"/>
        <w:spacing w:line="417" w:lineRule="auto"/>
        <w:ind w:left="118" w:right="434" w:firstLine="419"/>
      </w:pPr>
      <w:r>
        <w:rPr>
          <w:rFonts w:ascii="Times New Roman" w:eastAsia="Times New Roman"/>
        </w:rPr>
        <w:t>47</w:t>
      </w:r>
      <w:r>
        <w:rPr>
          <w:spacing w:val="-11"/>
        </w:rPr>
        <w:t>、场外：指不通过场内的销售机构办理基金份额申购和赎回的场所。通过该等场所办</w:t>
      </w:r>
      <w:r>
        <w:rPr>
          <w:spacing w:val="-6"/>
        </w:rPr>
        <w:t>理基金份额的申购、赎回也称为场外申购、场外赎回</w:t>
      </w:r>
    </w:p>
    <w:p>
      <w:pPr>
        <w:pStyle w:val="BodyText"/>
        <w:spacing w:before="11"/>
      </w:pPr>
    </w:p>
    <w:p>
      <w:pPr>
        <w:pStyle w:val="BodyText"/>
        <w:spacing w:line="417" w:lineRule="auto" w:before="1"/>
        <w:ind w:left="118" w:right="433" w:firstLine="419"/>
        <w:jc w:val="both"/>
      </w:pPr>
      <w:r>
        <w:rPr>
          <w:rFonts w:ascii="Times New Roman" w:eastAsia="Times New Roman"/>
        </w:rPr>
        <w:t>48</w:t>
      </w:r>
      <w:r>
        <w:rPr>
          <w:spacing w:val="-12"/>
        </w:rPr>
        <w:t>、流动性受限资产：指由于法律法规、监管、合同或操作障碍等原因无法以合理价格</w:t>
      </w:r>
      <w:r>
        <w:rPr>
          <w:spacing w:val="-10"/>
        </w:rPr>
        <w:t>予以变现的资产，包括但不限于到期日在 </w:t>
      </w:r>
      <w:r>
        <w:rPr>
          <w:rFonts w:ascii="Times New Roman" w:eastAsia="Times New Roman"/>
        </w:rPr>
        <w:t>10 </w:t>
      </w:r>
      <w:r>
        <w:rPr>
          <w:spacing w:val="-5"/>
        </w:rPr>
        <w:t>个交易日以上的逆回购与银行定期存款</w:t>
      </w:r>
      <w:r>
        <w:rPr/>
        <w:t>（</w:t>
      </w:r>
      <w:r>
        <w:rPr>
          <w:spacing w:val="-2"/>
        </w:rPr>
        <w:t>含协</w:t>
      </w:r>
      <w:r>
        <w:rPr>
          <w:spacing w:val="-3"/>
        </w:rPr>
        <w:t>议约定有条件提前支取的银行存款</w:t>
      </w:r>
      <w:r>
        <w:rPr>
          <w:spacing w:val="-106"/>
        </w:rPr>
        <w:t>）</w:t>
      </w:r>
      <w:r>
        <w:rPr>
          <w:spacing w:val="-3"/>
        </w:rPr>
        <w:t>、资产支持证券、因发行人债务违约无法进行转让或交易的债券等</w:t>
      </w:r>
    </w:p>
    <w:p>
      <w:pPr>
        <w:spacing w:after="0" w:line="417" w:lineRule="auto"/>
        <w:jc w:val="both"/>
        <w:sectPr>
          <w:pgSz w:w="11910" w:h="16850"/>
          <w:pgMar w:header="852" w:footer="1386" w:top="1420" w:bottom="1620" w:left="1680" w:right="1360"/>
        </w:sectPr>
      </w:pPr>
    </w:p>
    <w:p>
      <w:pPr>
        <w:pStyle w:val="BodyText"/>
        <w:spacing w:before="5"/>
        <w:rPr>
          <w:sz w:val="19"/>
        </w:rPr>
      </w:pPr>
    </w:p>
    <w:p>
      <w:pPr>
        <w:pStyle w:val="Heading1"/>
        <w:spacing w:before="54"/>
        <w:ind w:left="2289"/>
      </w:pPr>
      <w:bookmarkStart w:name="_bookmark2" w:id="3"/>
      <w:bookmarkEnd w:id="3"/>
      <w:r>
        <w:rPr/>
      </w:r>
      <w:r>
        <w:rPr/>
        <w:t>三、 基金的基本情况</w:t>
      </w:r>
    </w:p>
    <w:p>
      <w:pPr>
        <w:pStyle w:val="BodyText"/>
        <w:rPr>
          <w:sz w:val="32"/>
        </w:rPr>
      </w:pPr>
    </w:p>
    <w:p>
      <w:pPr>
        <w:pStyle w:val="BodyText"/>
        <w:spacing w:before="236"/>
        <w:ind w:left="538"/>
      </w:pPr>
      <w:r>
        <w:rPr/>
        <w:t>（一</w:t>
      </w:r>
      <w:r>
        <w:rPr>
          <w:spacing w:val="-3"/>
        </w:rPr>
        <w:t>）基金名称：易方达货币市场基金</w:t>
      </w:r>
    </w:p>
    <w:p>
      <w:pPr>
        <w:pStyle w:val="BodyText"/>
        <w:rPr>
          <w:sz w:val="20"/>
        </w:rPr>
      </w:pPr>
    </w:p>
    <w:p>
      <w:pPr>
        <w:pStyle w:val="BodyText"/>
        <w:spacing w:before="3"/>
        <w:rPr>
          <w:sz w:val="17"/>
        </w:rPr>
      </w:pPr>
    </w:p>
    <w:p>
      <w:pPr>
        <w:pStyle w:val="BodyText"/>
        <w:ind w:left="538"/>
      </w:pPr>
      <w:r>
        <w:rPr>
          <w:spacing w:val="-1"/>
        </w:rPr>
        <w:t>（二</w:t>
      </w:r>
      <w:r>
        <w:rPr>
          <w:spacing w:val="-3"/>
        </w:rPr>
        <w:t>）基金的运作方式：契约型开放式</w:t>
      </w:r>
      <w:r>
        <w:rPr/>
        <w:t> </w:t>
      </w:r>
    </w:p>
    <w:p>
      <w:pPr>
        <w:pStyle w:val="BodyText"/>
        <w:rPr>
          <w:sz w:val="20"/>
        </w:rPr>
      </w:pPr>
    </w:p>
    <w:p>
      <w:pPr>
        <w:pStyle w:val="BodyText"/>
        <w:spacing w:before="6"/>
        <w:rPr>
          <w:sz w:val="17"/>
        </w:rPr>
      </w:pPr>
    </w:p>
    <w:p>
      <w:pPr>
        <w:pStyle w:val="BodyText"/>
        <w:ind w:left="538"/>
      </w:pPr>
      <w:r>
        <w:rPr/>
        <w:t>（三）基金类别：货币市场基金</w:t>
      </w:r>
    </w:p>
    <w:p>
      <w:pPr>
        <w:pStyle w:val="BodyText"/>
        <w:rPr>
          <w:sz w:val="20"/>
        </w:rPr>
      </w:pPr>
    </w:p>
    <w:p>
      <w:pPr>
        <w:pStyle w:val="BodyText"/>
        <w:spacing w:before="5"/>
        <w:rPr>
          <w:sz w:val="17"/>
        </w:rPr>
      </w:pPr>
    </w:p>
    <w:p>
      <w:pPr>
        <w:pStyle w:val="BodyText"/>
        <w:spacing w:before="1"/>
        <w:ind w:left="538"/>
      </w:pPr>
      <w:r>
        <w:rPr/>
        <w:t>（四）基金的投资目标：在确保本金安全和高流动性的前提下，追求超过基准的回报</w:t>
      </w:r>
    </w:p>
    <w:p>
      <w:pPr>
        <w:pStyle w:val="BodyText"/>
        <w:rPr>
          <w:sz w:val="20"/>
        </w:rPr>
      </w:pPr>
    </w:p>
    <w:p>
      <w:pPr>
        <w:pStyle w:val="BodyText"/>
        <w:spacing w:before="3"/>
        <w:rPr>
          <w:sz w:val="17"/>
        </w:rPr>
      </w:pPr>
    </w:p>
    <w:p>
      <w:pPr>
        <w:pStyle w:val="BodyText"/>
        <w:ind w:left="538"/>
        <w:rPr>
          <w:rFonts w:ascii="Times New Roman" w:eastAsia="Times New Roman"/>
        </w:rPr>
      </w:pPr>
      <w:r>
        <w:rPr/>
        <w:t>（五）基金份额面值：每份 </w:t>
      </w:r>
      <w:r>
        <w:rPr>
          <w:rFonts w:ascii="Times New Roman" w:eastAsia="Times New Roman"/>
        </w:rPr>
        <w:t>A </w:t>
      </w:r>
      <w:r>
        <w:rPr/>
        <w:t>类基金份额和 </w:t>
      </w:r>
      <w:r>
        <w:rPr>
          <w:rFonts w:ascii="Times New Roman" w:eastAsia="Times New Roman"/>
        </w:rPr>
        <w:t>B </w:t>
      </w:r>
      <w:r>
        <w:rPr/>
        <w:t>类基金份额面值为人民币 </w:t>
      </w:r>
      <w:r>
        <w:rPr>
          <w:rFonts w:ascii="Times New Roman" w:eastAsia="Times New Roman"/>
        </w:rPr>
        <w:t>1 </w:t>
      </w:r>
      <w:r>
        <w:rPr/>
        <w:t>元，每份 </w:t>
      </w:r>
      <w:r>
        <w:rPr>
          <w:rFonts w:ascii="Times New Roman" w:eastAsia="Times New Roman"/>
        </w:rPr>
        <w:t>E</w:t>
      </w:r>
    </w:p>
    <w:p>
      <w:pPr>
        <w:pStyle w:val="BodyText"/>
        <w:spacing w:before="4"/>
        <w:rPr>
          <w:rFonts w:ascii="Times New Roman"/>
          <w:sz w:val="17"/>
        </w:rPr>
      </w:pPr>
    </w:p>
    <w:p>
      <w:pPr>
        <w:pStyle w:val="BodyText"/>
        <w:ind w:right="5592"/>
        <w:jc w:val="right"/>
      </w:pPr>
      <w:r>
        <w:rPr>
          <w:spacing w:val="-7"/>
        </w:rPr>
        <w:t>类基金份额的面值为人民币 </w:t>
      </w:r>
      <w:r>
        <w:rPr>
          <w:rFonts w:ascii="Times New Roman" w:eastAsia="Times New Roman"/>
        </w:rPr>
        <w:t>100</w:t>
      </w:r>
      <w:r>
        <w:rPr>
          <w:rFonts w:ascii="Times New Roman" w:eastAsia="Times New Roman"/>
          <w:spacing w:val="6"/>
        </w:rPr>
        <w:t> </w:t>
      </w:r>
      <w:r>
        <w:rPr/>
        <w:t>元</w:t>
      </w:r>
    </w:p>
    <w:p>
      <w:pPr>
        <w:pStyle w:val="BodyText"/>
        <w:rPr>
          <w:sz w:val="22"/>
        </w:rPr>
      </w:pPr>
    </w:p>
    <w:p>
      <w:pPr>
        <w:pStyle w:val="BodyText"/>
        <w:spacing w:before="5"/>
        <w:rPr>
          <w:sz w:val="15"/>
        </w:rPr>
      </w:pPr>
    </w:p>
    <w:p>
      <w:pPr>
        <w:pStyle w:val="BodyText"/>
        <w:spacing w:before="1"/>
        <w:ind w:right="5592"/>
        <w:jc w:val="right"/>
      </w:pPr>
      <w:r>
        <w:rPr/>
        <w:t>（六</w:t>
      </w:r>
      <w:r>
        <w:rPr>
          <w:spacing w:val="-3"/>
        </w:rPr>
        <w:t>）基金存续期限：不定期</w:t>
      </w:r>
    </w:p>
    <w:p>
      <w:pPr>
        <w:pStyle w:val="BodyText"/>
        <w:rPr>
          <w:sz w:val="20"/>
        </w:rPr>
      </w:pPr>
    </w:p>
    <w:p>
      <w:pPr>
        <w:pStyle w:val="BodyText"/>
        <w:spacing w:before="5"/>
        <w:rPr>
          <w:sz w:val="17"/>
        </w:rPr>
      </w:pPr>
    </w:p>
    <w:p>
      <w:pPr>
        <w:pStyle w:val="BodyText"/>
        <w:ind w:left="538"/>
      </w:pPr>
      <w:r>
        <w:rPr/>
        <w:t>（七）基金份额类别设置 </w:t>
      </w:r>
    </w:p>
    <w:p>
      <w:pPr>
        <w:pStyle w:val="BodyText"/>
        <w:rPr>
          <w:sz w:val="20"/>
        </w:rPr>
      </w:pPr>
    </w:p>
    <w:p>
      <w:pPr>
        <w:pStyle w:val="BodyText"/>
        <w:spacing w:before="3"/>
        <w:rPr>
          <w:sz w:val="17"/>
        </w:rPr>
      </w:pPr>
    </w:p>
    <w:p>
      <w:pPr>
        <w:pStyle w:val="BodyText"/>
        <w:spacing w:line="417" w:lineRule="auto" w:before="1"/>
        <w:ind w:left="118" w:right="433" w:firstLine="419"/>
        <w:jc w:val="both"/>
      </w:pPr>
      <w:r>
        <w:rPr>
          <w:spacing w:val="-6"/>
        </w:rPr>
        <w:t>本基金的基金份额分为 </w:t>
      </w:r>
      <w:r>
        <w:rPr>
          <w:rFonts w:ascii="Times New Roman" w:eastAsia="Times New Roman"/>
        </w:rPr>
        <w:t>A </w:t>
      </w:r>
      <w:r>
        <w:rPr>
          <w:spacing w:val="-2"/>
        </w:rPr>
        <w:t>类基金份额、</w:t>
      </w:r>
      <w:r>
        <w:rPr>
          <w:rFonts w:ascii="Times New Roman" w:eastAsia="Times New Roman"/>
        </w:rPr>
        <w:t>B </w:t>
      </w:r>
      <w:r>
        <w:rPr>
          <w:spacing w:val="-8"/>
        </w:rPr>
        <w:t>类基金份额和 </w:t>
      </w:r>
      <w:r>
        <w:rPr>
          <w:rFonts w:ascii="Times New Roman" w:eastAsia="Times New Roman"/>
        </w:rPr>
        <w:t>E </w:t>
      </w:r>
      <w:r>
        <w:rPr>
          <w:spacing w:val="-3"/>
        </w:rPr>
        <w:t>类基金份额，各类基金份额</w:t>
      </w:r>
      <w:r>
        <w:rPr>
          <w:spacing w:val="-5"/>
        </w:rPr>
        <w:t>单独设置基金代码。基金管理人分别公布 </w:t>
      </w:r>
      <w:r>
        <w:rPr>
          <w:rFonts w:ascii="Times New Roman" w:eastAsia="Times New Roman"/>
        </w:rPr>
        <w:t>A </w:t>
      </w:r>
      <w:r>
        <w:rPr>
          <w:spacing w:val="-8"/>
        </w:rPr>
        <w:t>类基金份额和 </w:t>
      </w:r>
      <w:r>
        <w:rPr>
          <w:rFonts w:ascii="Times New Roman" w:eastAsia="Times New Roman"/>
        </w:rPr>
        <w:t>B </w:t>
      </w:r>
      <w:r>
        <w:rPr>
          <w:spacing w:val="-3"/>
        </w:rPr>
        <w:t>类基金份额的每万份基金已实</w:t>
      </w:r>
      <w:r>
        <w:rPr>
          <w:spacing w:val="-6"/>
        </w:rPr>
        <w:t>现收益和七日年化收益率，以及 </w:t>
      </w:r>
      <w:r>
        <w:rPr/>
        <w:t>E</w:t>
      </w:r>
      <w:r>
        <w:rPr>
          <w:spacing w:val="-8"/>
        </w:rPr>
        <w:t> 类基金份额每百份基金已实现收益和七日年化收益率。</w:t>
      </w:r>
      <w:r>
        <w:rPr/>
        <w:t> </w:t>
      </w:r>
    </w:p>
    <w:p>
      <w:pPr>
        <w:pStyle w:val="BodyText"/>
        <w:spacing w:before="11"/>
      </w:pPr>
    </w:p>
    <w:p>
      <w:pPr>
        <w:pStyle w:val="BodyText"/>
        <w:spacing w:line="417" w:lineRule="auto"/>
        <w:ind w:left="118" w:right="433" w:firstLine="419"/>
        <w:jc w:val="both"/>
      </w:pPr>
      <w:r>
        <w:rPr/>
        <w:t>本基金基金份额的申购与赎回包括场外和场内两种方式。</w:t>
      </w:r>
      <w:r>
        <w:rPr>
          <w:rFonts w:ascii="Times New Roman" w:eastAsia="Times New Roman"/>
        </w:rPr>
        <w:t>A </w:t>
      </w:r>
      <w:r>
        <w:rPr/>
        <w:t>类基金份额和 </w:t>
      </w:r>
      <w:r>
        <w:rPr>
          <w:rFonts w:ascii="Times New Roman" w:eastAsia="Times New Roman"/>
        </w:rPr>
        <w:t>B </w:t>
      </w:r>
      <w:r>
        <w:rPr/>
        <w:t>类基金份额在场外申购和赎回；</w:t>
      </w:r>
      <w:r>
        <w:rPr>
          <w:rFonts w:ascii="Times New Roman" w:eastAsia="Times New Roman"/>
        </w:rPr>
        <w:t>E </w:t>
      </w:r>
      <w:r>
        <w:rPr/>
        <w:t>类基金份额在场内申购和赎回。 </w:t>
      </w:r>
    </w:p>
    <w:p>
      <w:pPr>
        <w:pStyle w:val="BodyText"/>
        <w:spacing w:before="11"/>
      </w:pPr>
    </w:p>
    <w:p>
      <w:pPr>
        <w:pStyle w:val="BodyText"/>
        <w:spacing w:line="417" w:lineRule="auto" w:before="1"/>
        <w:ind w:left="118" w:right="433" w:firstLine="419"/>
        <w:jc w:val="both"/>
      </w:pPr>
      <w:r>
        <w:rPr>
          <w:spacing w:val="-12"/>
        </w:rPr>
        <w:t>根据基金实际运作情况，在不违反法律法规且对份额持有人利益无实质不利影响的前提下，基金管理人可对基金份额的分类规则和办法进行调整并提前公告。相关规定见招募说明书。</w:t>
      </w:r>
    </w:p>
    <w:p>
      <w:pPr>
        <w:spacing w:after="0" w:line="417" w:lineRule="auto"/>
        <w:jc w:val="both"/>
        <w:sectPr>
          <w:pgSz w:w="11910" w:h="16850"/>
          <w:pgMar w:header="852" w:footer="1386" w:top="1420" w:bottom="1620" w:left="1680" w:right="1360"/>
        </w:sectPr>
      </w:pPr>
    </w:p>
    <w:p>
      <w:pPr>
        <w:pStyle w:val="Heading1"/>
        <w:ind w:left="2289"/>
      </w:pPr>
      <w:bookmarkStart w:name="_bookmark3" w:id="4"/>
      <w:bookmarkEnd w:id="4"/>
      <w:r>
        <w:rPr/>
      </w:r>
      <w:r>
        <w:rPr/>
        <w:t>四、 基金份额的发售</w:t>
      </w:r>
    </w:p>
    <w:p>
      <w:pPr>
        <w:pStyle w:val="BodyText"/>
        <w:spacing w:before="2"/>
        <w:rPr>
          <w:sz w:val="38"/>
        </w:rPr>
      </w:pPr>
    </w:p>
    <w:p>
      <w:pPr>
        <w:pStyle w:val="BodyText"/>
        <w:spacing w:line="417" w:lineRule="auto" w:before="1"/>
        <w:ind w:left="118" w:right="434" w:firstLine="419"/>
      </w:pPr>
      <w:r>
        <w:rPr/>
        <w:t>（一</w:t>
      </w:r>
      <w:r>
        <w:rPr>
          <w:spacing w:val="-34"/>
        </w:rPr>
        <w:t>）</w:t>
      </w:r>
      <w:r>
        <w:rPr>
          <w:spacing w:val="-8"/>
        </w:rPr>
        <w:t>募集期：指自基金份额开始发售之日起到基金份额发售结束之日止的时间段，最</w:t>
      </w:r>
      <w:r>
        <w:rPr>
          <w:spacing w:val="-16"/>
        </w:rPr>
        <w:t>长不超过 </w:t>
      </w:r>
      <w:r>
        <w:rPr/>
        <w:t>3</w:t>
      </w:r>
      <w:r>
        <w:rPr>
          <w:spacing w:val="-15"/>
        </w:rPr>
        <w:t> 个月。</w:t>
      </w:r>
    </w:p>
    <w:p>
      <w:pPr>
        <w:pStyle w:val="BodyText"/>
        <w:spacing w:before="8"/>
      </w:pPr>
    </w:p>
    <w:p>
      <w:pPr>
        <w:pStyle w:val="BodyText"/>
        <w:spacing w:line="417" w:lineRule="auto" w:before="1"/>
        <w:ind w:left="118" w:right="435" w:firstLine="419"/>
      </w:pPr>
      <w:r>
        <w:rPr/>
        <w:t>（</w:t>
      </w:r>
      <w:r>
        <w:rPr>
          <w:spacing w:val="-3"/>
        </w:rPr>
        <w:t>二</w:t>
      </w:r>
      <w:r>
        <w:rPr>
          <w:spacing w:val="-46"/>
        </w:rPr>
        <w:t>）</w:t>
      </w:r>
      <w:r>
        <w:rPr>
          <w:spacing w:val="-9"/>
        </w:rPr>
        <w:t>发售对象：依据中华人民共和国有关法律法规及其他有关规定可以投资于证券投</w:t>
      </w:r>
      <w:r>
        <w:rPr>
          <w:spacing w:val="-5"/>
        </w:rPr>
        <w:t>资基金的个人投资者和机构投资者。</w:t>
      </w:r>
    </w:p>
    <w:p>
      <w:pPr>
        <w:pStyle w:val="BodyText"/>
        <w:spacing w:before="11"/>
      </w:pPr>
    </w:p>
    <w:p>
      <w:pPr>
        <w:pStyle w:val="BodyText"/>
        <w:spacing w:line="417" w:lineRule="auto"/>
        <w:ind w:left="118" w:right="433" w:firstLine="419"/>
      </w:pPr>
      <w:r>
        <w:rPr/>
        <w:t>（三</w:t>
      </w:r>
      <w:r>
        <w:rPr>
          <w:spacing w:val="-27"/>
        </w:rPr>
        <w:t>）</w:t>
      </w:r>
      <w:r>
        <w:rPr>
          <w:spacing w:val="-9"/>
        </w:rPr>
        <w:t>发售方式：公开发售。投资人的认购时间安排、认购时应提交的文件和办理的手</w:t>
      </w:r>
      <w:r>
        <w:rPr>
          <w:spacing w:val="-17"/>
        </w:rPr>
        <w:t>续等由基金管理人根据有关法律法规和基金合同制定，并在本基金《份额发售公告》中列明。</w:t>
      </w:r>
    </w:p>
    <w:p>
      <w:pPr>
        <w:pStyle w:val="BodyText"/>
        <w:spacing w:before="12"/>
      </w:pPr>
    </w:p>
    <w:p>
      <w:pPr>
        <w:pStyle w:val="BodyText"/>
        <w:ind w:left="538"/>
      </w:pPr>
      <w:r>
        <w:rPr/>
        <w:t>（四）有关基金认购数额的计算</w:t>
      </w:r>
    </w:p>
    <w:p>
      <w:pPr>
        <w:pStyle w:val="BodyText"/>
        <w:rPr>
          <w:sz w:val="20"/>
        </w:rPr>
      </w:pPr>
    </w:p>
    <w:p>
      <w:pPr>
        <w:pStyle w:val="BodyText"/>
        <w:spacing w:before="3"/>
        <w:rPr>
          <w:sz w:val="17"/>
        </w:rPr>
      </w:pPr>
    </w:p>
    <w:p>
      <w:pPr>
        <w:pStyle w:val="BodyText"/>
        <w:spacing w:line="417" w:lineRule="auto"/>
        <w:ind w:left="118" w:right="436" w:firstLine="419"/>
      </w:pPr>
      <w:r>
        <w:rPr>
          <w:rFonts w:ascii="Times New Roman" w:eastAsia="Times New Roman"/>
        </w:rPr>
        <w:t>1</w:t>
      </w:r>
      <w:r>
        <w:rPr/>
        <w:t>、募集资金利息在基金募集期结束时归入投资者认购金额中，折合成基金份额，归投资者所有。募集资金利息的数额以注册登记机构的记录为准。</w:t>
      </w:r>
    </w:p>
    <w:p>
      <w:pPr>
        <w:pStyle w:val="BodyText"/>
        <w:spacing w:before="11"/>
      </w:pPr>
    </w:p>
    <w:p>
      <w:pPr>
        <w:pStyle w:val="BodyText"/>
        <w:spacing w:before="1"/>
        <w:ind w:left="538"/>
      </w:pPr>
      <w:r>
        <w:rPr/>
        <w:t>2、本基金不收取认购费用。 </w:t>
      </w:r>
    </w:p>
    <w:p>
      <w:pPr>
        <w:pStyle w:val="BodyText"/>
        <w:rPr>
          <w:sz w:val="20"/>
        </w:rPr>
      </w:pPr>
    </w:p>
    <w:p>
      <w:pPr>
        <w:pStyle w:val="BodyText"/>
        <w:spacing w:before="5"/>
        <w:rPr>
          <w:sz w:val="17"/>
        </w:rPr>
      </w:pPr>
    </w:p>
    <w:p>
      <w:pPr>
        <w:pStyle w:val="BodyText"/>
        <w:spacing w:line="664" w:lineRule="auto" w:before="1"/>
        <w:ind w:left="538" w:right="4545"/>
      </w:pPr>
      <w:r>
        <w:rPr/>
        <w:t>3</w:t>
      </w:r>
      <w:r>
        <w:rPr>
          <w:spacing w:val="-3"/>
        </w:rPr>
        <w:t>、本基金认购份额的计算方法如下：  </w:t>
      </w:r>
      <w:r>
        <w:rPr>
          <w:spacing w:val="-2"/>
        </w:rPr>
        <w:t>本金认购份额</w:t>
      </w:r>
      <w:r>
        <w:rPr>
          <w:spacing w:val="-3"/>
        </w:rPr>
        <w:t>＝认购金额/基金份额面值</w:t>
      </w:r>
      <w:r>
        <w:rPr/>
        <w:t> </w:t>
      </w:r>
    </w:p>
    <w:p>
      <w:pPr>
        <w:pStyle w:val="BodyText"/>
        <w:spacing w:line="667" w:lineRule="auto" w:before="4"/>
        <w:ind w:left="538" w:right="4334"/>
      </w:pPr>
      <w:r>
        <w:rPr/>
        <w:t>利息认购份额＝认购期利息/基金份额面值认购份额=本金认购份数+利息认购份数 </w:t>
      </w:r>
    </w:p>
    <w:p>
      <w:pPr>
        <w:pStyle w:val="BodyText"/>
        <w:spacing w:line="268" w:lineRule="exact"/>
        <w:ind w:left="576"/>
      </w:pPr>
      <w:r>
        <w:rPr/>
        <w:t>认购份额计算结果保留到小数点后两位，小数点两位以后的部分舍去。 </w:t>
      </w:r>
    </w:p>
    <w:p>
      <w:pPr>
        <w:pStyle w:val="BodyText"/>
        <w:rPr>
          <w:sz w:val="20"/>
        </w:rPr>
      </w:pPr>
    </w:p>
    <w:p>
      <w:pPr>
        <w:pStyle w:val="BodyText"/>
        <w:spacing w:before="6"/>
        <w:rPr>
          <w:sz w:val="17"/>
        </w:rPr>
      </w:pPr>
    </w:p>
    <w:p>
      <w:pPr>
        <w:pStyle w:val="BodyText"/>
        <w:spacing w:before="1"/>
        <w:ind w:left="538"/>
      </w:pPr>
      <w:r>
        <w:rPr/>
        <w:t>（五）基金认购的限制和规定</w:t>
      </w:r>
    </w:p>
    <w:p>
      <w:pPr>
        <w:pStyle w:val="BodyText"/>
        <w:rPr>
          <w:sz w:val="20"/>
        </w:rPr>
      </w:pPr>
    </w:p>
    <w:p>
      <w:pPr>
        <w:pStyle w:val="BodyText"/>
        <w:spacing w:before="5"/>
        <w:rPr>
          <w:sz w:val="17"/>
        </w:rPr>
      </w:pPr>
    </w:p>
    <w:p>
      <w:pPr>
        <w:pStyle w:val="BodyText"/>
        <w:ind w:left="576"/>
      </w:pPr>
      <w:r>
        <w:rPr>
          <w:rFonts w:ascii="Arial" w:eastAsia="Arial"/>
        </w:rPr>
        <w:t>1</w:t>
      </w:r>
      <w:r>
        <w:rPr/>
        <w:t>、投资者认购前，需按销售机构规定的方式备足认购的金额。 </w:t>
      </w:r>
    </w:p>
    <w:p>
      <w:pPr>
        <w:pStyle w:val="BodyText"/>
        <w:rPr>
          <w:sz w:val="24"/>
        </w:rPr>
      </w:pPr>
    </w:p>
    <w:p>
      <w:pPr>
        <w:pStyle w:val="BodyText"/>
        <w:spacing w:line="417" w:lineRule="auto" w:before="170"/>
        <w:ind w:left="118" w:right="815" w:firstLine="458"/>
      </w:pPr>
      <w:r>
        <w:rPr>
          <w:rFonts w:ascii="Arial" w:eastAsia="Arial"/>
        </w:rPr>
        <w:t>2</w:t>
      </w:r>
      <w:r>
        <w:rPr/>
        <w:t>、募集期内，投资者可多次认购本基金的基金份额，已受理的认购申请不允许撤销。 </w:t>
      </w:r>
    </w:p>
    <w:p>
      <w:pPr>
        <w:spacing w:after="0" w:line="417" w:lineRule="auto"/>
        <w:sectPr>
          <w:pgSz w:w="11910" w:h="16850"/>
          <w:pgMar w:header="852" w:footer="1386" w:top="1420" w:bottom="1620" w:left="1680" w:right="1360"/>
        </w:sectPr>
      </w:pPr>
    </w:p>
    <w:p>
      <w:pPr>
        <w:pStyle w:val="BodyText"/>
        <w:spacing w:line="417" w:lineRule="auto" w:before="142"/>
        <w:ind w:left="118" w:right="548" w:firstLine="458"/>
      </w:pPr>
      <w:r>
        <w:rPr/>
        <w:t>3、基金管理人可以对投资者认购基金的数额及方式加以其它限制，具体由基金管理人根据有关法律法规和基金合同的规定制定，并在本基金的《招募说明书》和《份额发售公告》中列明。</w:t>
      </w:r>
    </w:p>
    <w:p>
      <w:pPr>
        <w:spacing w:after="0" w:line="417" w:lineRule="auto"/>
        <w:sectPr>
          <w:pgSz w:w="11910" w:h="16850"/>
          <w:pgMar w:header="852" w:footer="1386" w:top="1420" w:bottom="1620" w:left="1680" w:right="1360"/>
        </w:sectPr>
      </w:pPr>
    </w:p>
    <w:p>
      <w:pPr>
        <w:pStyle w:val="Heading1"/>
        <w:ind w:right="324"/>
      </w:pPr>
      <w:bookmarkStart w:name="_bookmark4" w:id="5"/>
      <w:bookmarkEnd w:id="5"/>
      <w:r>
        <w:rPr/>
      </w:r>
      <w:r>
        <w:rPr/>
        <w:t>五、 基金备案与基金合同的生效</w:t>
      </w:r>
    </w:p>
    <w:p>
      <w:pPr>
        <w:pStyle w:val="BodyText"/>
        <w:spacing w:before="9"/>
        <w:rPr>
          <w:sz w:val="45"/>
        </w:rPr>
      </w:pPr>
    </w:p>
    <w:p>
      <w:pPr>
        <w:pStyle w:val="Heading2"/>
        <w:spacing w:before="1"/>
        <w:rPr>
          <w:rFonts w:ascii="宋体" w:eastAsia="宋体" w:hint="eastAsia"/>
          <w:b w:val="0"/>
        </w:rPr>
      </w:pPr>
      <w:bookmarkStart w:name="_bookmark5" w:id="6"/>
      <w:bookmarkEnd w:id="6"/>
      <w:r>
        <w:rPr>
          <w:b w:val="0"/>
        </w:rPr>
      </w:r>
      <w:r>
        <w:rPr/>
        <w:t>（一）基金备案的条件以及基金合同的生效</w:t>
      </w:r>
      <w:r>
        <w:rPr>
          <w:rFonts w:ascii="宋体" w:eastAsia="宋体" w:hint="eastAsia"/>
          <w:b w:val="0"/>
        </w:rPr>
        <w:t> </w:t>
      </w:r>
    </w:p>
    <w:p>
      <w:pPr>
        <w:pStyle w:val="BodyText"/>
        <w:rPr>
          <w:sz w:val="28"/>
        </w:rPr>
      </w:pPr>
    </w:p>
    <w:p>
      <w:pPr>
        <w:pStyle w:val="BodyText"/>
        <w:spacing w:before="244"/>
        <w:ind w:left="598"/>
        <w:jc w:val="both"/>
      </w:pPr>
      <w:r>
        <w:rPr/>
        <w:t>自基金份额发售之日起三个月内，如果本基金的募集份额总额不少于 2 亿份、募集金</w:t>
      </w:r>
    </w:p>
    <w:p>
      <w:pPr>
        <w:pStyle w:val="BodyText"/>
        <w:spacing w:before="6"/>
        <w:rPr>
          <w:sz w:val="15"/>
        </w:rPr>
      </w:pPr>
    </w:p>
    <w:p>
      <w:pPr>
        <w:pStyle w:val="BodyText"/>
        <w:spacing w:line="417" w:lineRule="auto"/>
        <w:ind w:left="118" w:right="548"/>
        <w:jc w:val="both"/>
      </w:pPr>
      <w:r>
        <w:rPr>
          <w:spacing w:val="-10"/>
        </w:rPr>
        <w:t>额不少于 </w:t>
      </w:r>
      <w:r>
        <w:rPr/>
        <w:t>2</w:t>
      </w:r>
      <w:r>
        <w:rPr>
          <w:spacing w:val="-11"/>
        </w:rPr>
        <w:t> 亿元人民币，且认购户数不少于 </w:t>
      </w:r>
      <w:r>
        <w:rPr/>
        <w:t>200</w:t>
      </w:r>
      <w:r>
        <w:rPr>
          <w:spacing w:val="-8"/>
        </w:rPr>
        <w:t> 人，基金管理人可依据《招募说明书》停</w:t>
      </w:r>
      <w:r>
        <w:rPr>
          <w:spacing w:val="-5"/>
        </w:rPr>
        <w:t>止认购，在按照规定办理了基金验资和备案手续后宣告本基金合同生效；否则本基金合同</w:t>
      </w:r>
      <w:r>
        <w:rPr>
          <w:spacing w:val="-3"/>
        </w:rPr>
        <w:t>不能生效。基金合同生效前，投资者的认购款项只能存入商业银行，不作它用。</w:t>
      </w:r>
    </w:p>
    <w:p>
      <w:pPr>
        <w:pStyle w:val="BodyText"/>
        <w:spacing w:before="6"/>
        <w:rPr>
          <w:sz w:val="29"/>
        </w:rPr>
      </w:pPr>
    </w:p>
    <w:p>
      <w:pPr>
        <w:pStyle w:val="Heading2"/>
        <w:rPr>
          <w:rFonts w:ascii="宋体" w:eastAsia="宋体" w:hint="eastAsia"/>
          <w:b w:val="0"/>
        </w:rPr>
      </w:pPr>
      <w:bookmarkStart w:name="_bookmark6" w:id="7"/>
      <w:bookmarkEnd w:id="7"/>
      <w:r>
        <w:rPr>
          <w:b w:val="0"/>
        </w:rPr>
      </w:r>
      <w:r>
        <w:rPr/>
        <w:t>（二）基金合同不能生效时募集资金的处理方式</w:t>
      </w:r>
      <w:r>
        <w:rPr>
          <w:rFonts w:ascii="宋体" w:eastAsia="宋体" w:hint="eastAsia"/>
          <w:b w:val="0"/>
        </w:rPr>
        <w:t> </w:t>
      </w:r>
    </w:p>
    <w:p>
      <w:pPr>
        <w:pStyle w:val="BodyText"/>
        <w:rPr>
          <w:sz w:val="28"/>
        </w:rPr>
      </w:pPr>
    </w:p>
    <w:p>
      <w:pPr>
        <w:pStyle w:val="BodyText"/>
        <w:spacing w:line="417" w:lineRule="auto" w:before="247"/>
        <w:ind w:left="118" w:right="489" w:firstLine="479"/>
      </w:pPr>
      <w:r>
        <w:rPr/>
        <w:t>基金合同不能生效时，基金管理人以固有财产承担因募集行为而产生的债务和费用， 并应在募集期结束后 30 日内退还基金认购人已缴纳的款项加计银行同期活期存款利息。 </w:t>
      </w:r>
    </w:p>
    <w:p>
      <w:pPr>
        <w:pStyle w:val="BodyText"/>
        <w:spacing w:before="3"/>
        <w:rPr>
          <w:sz w:val="29"/>
        </w:rPr>
      </w:pPr>
    </w:p>
    <w:p>
      <w:pPr>
        <w:pStyle w:val="Heading2"/>
        <w:spacing w:before="1"/>
        <w:rPr>
          <w:rFonts w:ascii="宋体" w:eastAsia="宋体" w:hint="eastAsia"/>
          <w:b w:val="0"/>
        </w:rPr>
      </w:pPr>
      <w:bookmarkStart w:name="_bookmark7" w:id="8"/>
      <w:bookmarkEnd w:id="8"/>
      <w:r>
        <w:rPr>
          <w:b w:val="0"/>
        </w:rPr>
      </w:r>
      <w:r>
        <w:rPr/>
        <w:t>（三）基金存续期内的基金份额持有人数量和资金额</w:t>
      </w:r>
      <w:r>
        <w:rPr>
          <w:rFonts w:ascii="宋体" w:eastAsia="宋体" w:hint="eastAsia"/>
          <w:b w:val="0"/>
        </w:rPr>
        <w:t> </w:t>
      </w:r>
    </w:p>
    <w:p>
      <w:pPr>
        <w:pStyle w:val="BodyText"/>
        <w:rPr>
          <w:sz w:val="28"/>
        </w:rPr>
      </w:pPr>
    </w:p>
    <w:p>
      <w:pPr>
        <w:pStyle w:val="BodyText"/>
        <w:spacing w:before="246"/>
        <w:ind w:left="538"/>
        <w:jc w:val="both"/>
      </w:pPr>
      <w:r>
        <w:rPr/>
        <w:t>自 </w:t>
      </w:r>
      <w:r>
        <w:rPr>
          <w:rFonts w:ascii="Times New Roman" w:eastAsia="Times New Roman"/>
        </w:rPr>
        <w:t>2014 </w:t>
      </w:r>
      <w:r>
        <w:rPr/>
        <w:t>年 </w:t>
      </w:r>
      <w:r>
        <w:rPr>
          <w:rFonts w:ascii="Times New Roman" w:eastAsia="Times New Roman"/>
        </w:rPr>
        <w:t>8 </w:t>
      </w:r>
      <w:r>
        <w:rPr/>
        <w:t>月 </w:t>
      </w:r>
      <w:r>
        <w:rPr>
          <w:rFonts w:ascii="Times New Roman" w:eastAsia="Times New Roman"/>
        </w:rPr>
        <w:t>8 </w:t>
      </w:r>
      <w:r>
        <w:rPr/>
        <w:t>日起的基金存续期间内，当有效基金份额持有人数量连续 </w:t>
      </w:r>
      <w:r>
        <w:rPr>
          <w:rFonts w:ascii="Times New Roman" w:eastAsia="Times New Roman"/>
        </w:rPr>
        <w:t>20 </w:t>
      </w:r>
      <w:r>
        <w:rPr/>
        <w:t>个工作</w:t>
      </w:r>
    </w:p>
    <w:p>
      <w:pPr>
        <w:pStyle w:val="BodyText"/>
        <w:spacing w:before="6"/>
        <w:rPr>
          <w:sz w:val="15"/>
        </w:rPr>
      </w:pPr>
    </w:p>
    <w:p>
      <w:pPr>
        <w:pStyle w:val="BodyText"/>
        <w:spacing w:line="417" w:lineRule="auto" w:before="1"/>
        <w:ind w:left="118" w:right="433"/>
      </w:pPr>
      <w:r>
        <w:rPr>
          <w:spacing w:val="-11"/>
        </w:rPr>
        <w:t>日达不到 </w:t>
      </w:r>
      <w:r>
        <w:rPr>
          <w:rFonts w:ascii="Times New Roman" w:eastAsia="Times New Roman"/>
        </w:rPr>
        <w:t>200 </w:t>
      </w:r>
      <w:r>
        <w:rPr>
          <w:spacing w:val="-18"/>
        </w:rPr>
        <w:t>人，或连续 </w:t>
      </w:r>
      <w:r>
        <w:rPr>
          <w:rFonts w:ascii="Times New Roman" w:eastAsia="Times New Roman"/>
        </w:rPr>
        <w:t>20 </w:t>
      </w:r>
      <w:r>
        <w:rPr>
          <w:spacing w:val="-6"/>
        </w:rPr>
        <w:t>个工作日基金资产净值低于人民币 </w:t>
      </w:r>
      <w:r>
        <w:rPr>
          <w:rFonts w:ascii="Times New Roman" w:eastAsia="Times New Roman"/>
        </w:rPr>
        <w:t>5000 </w:t>
      </w:r>
      <w:r>
        <w:rPr>
          <w:spacing w:val="-8"/>
        </w:rPr>
        <w:t>万元，基金管理人应当</w:t>
      </w:r>
      <w:r>
        <w:rPr>
          <w:spacing w:val="-5"/>
        </w:rPr>
        <w:t>在定期报告中予以披露。</w:t>
      </w:r>
    </w:p>
    <w:p>
      <w:pPr>
        <w:pStyle w:val="BodyText"/>
        <w:spacing w:before="11"/>
      </w:pPr>
    </w:p>
    <w:p>
      <w:pPr>
        <w:pStyle w:val="BodyText"/>
        <w:spacing w:line="417" w:lineRule="auto"/>
        <w:ind w:left="118" w:right="448" w:firstLine="458"/>
      </w:pPr>
      <w:r>
        <w:rPr/>
        <w:t>自</w:t>
      </w:r>
      <w:r>
        <w:rPr>
          <w:rFonts w:ascii="Times New Roman" w:eastAsia="Times New Roman"/>
        </w:rPr>
        <w:t>2014</w:t>
      </w:r>
      <w:r>
        <w:rPr/>
        <w:t>年</w:t>
      </w:r>
      <w:r>
        <w:rPr>
          <w:rFonts w:ascii="Times New Roman" w:eastAsia="Times New Roman"/>
          <w:spacing w:val="-3"/>
        </w:rPr>
        <w:t>8</w:t>
      </w:r>
      <w:r>
        <w:rPr/>
        <w:t>月</w:t>
      </w:r>
      <w:r>
        <w:rPr>
          <w:rFonts w:ascii="Times New Roman" w:eastAsia="Times New Roman"/>
        </w:rPr>
        <w:t>8</w:t>
      </w:r>
      <w:r>
        <w:rPr>
          <w:spacing w:val="-3"/>
        </w:rPr>
        <w:t>日起的基金存续期间内，如果有效持有人数量连续</w:t>
      </w:r>
      <w:r>
        <w:rPr>
          <w:rFonts w:ascii="Times New Roman" w:eastAsia="Times New Roman"/>
        </w:rPr>
        <w:t>60</w:t>
      </w:r>
      <w:r>
        <w:rPr>
          <w:spacing w:val="-3"/>
        </w:rPr>
        <w:t>个工作日达不到 </w:t>
      </w:r>
      <w:r>
        <w:rPr>
          <w:rFonts w:ascii="Times New Roman" w:eastAsia="Times New Roman"/>
          <w:spacing w:val="-3"/>
        </w:rPr>
        <w:t>200</w:t>
      </w:r>
      <w:r>
        <w:rPr>
          <w:spacing w:val="-3"/>
        </w:rPr>
        <w:t>人，或连续</w:t>
      </w:r>
      <w:r>
        <w:rPr>
          <w:rFonts w:ascii="Times New Roman" w:eastAsia="Times New Roman"/>
        </w:rPr>
        <w:t>60</w:t>
      </w:r>
      <w:r>
        <w:rPr>
          <w:spacing w:val="-3"/>
        </w:rPr>
        <w:t>个工作日基金资产净值低于人民币</w:t>
      </w:r>
      <w:r>
        <w:rPr>
          <w:rFonts w:ascii="Times New Roman" w:eastAsia="Times New Roman"/>
        </w:rPr>
        <w:t>5000</w:t>
      </w:r>
      <w:r>
        <w:rPr>
          <w:spacing w:val="-3"/>
        </w:rPr>
        <w:t>万元，基金管理人有权宣布本基金合同终止，并报中国证监会备案。</w:t>
      </w:r>
      <w:r>
        <w:rPr/>
        <w:t> </w:t>
      </w:r>
    </w:p>
    <w:p>
      <w:pPr>
        <w:pStyle w:val="BodyText"/>
        <w:spacing w:before="9"/>
      </w:pPr>
    </w:p>
    <w:p>
      <w:pPr>
        <w:pStyle w:val="BodyText"/>
        <w:spacing w:before="1"/>
        <w:ind w:left="576"/>
      </w:pPr>
      <w:r>
        <w:rPr/>
        <w:t>法律、法规或证券监管部门另有规定的，从其规定办理。</w:t>
      </w:r>
    </w:p>
    <w:p>
      <w:pPr>
        <w:spacing w:after="0"/>
        <w:sectPr>
          <w:pgSz w:w="11910" w:h="16850"/>
          <w:pgMar w:header="852" w:footer="1386" w:top="1420" w:bottom="1620" w:left="1680" w:right="1360"/>
        </w:sectPr>
      </w:pPr>
    </w:p>
    <w:p>
      <w:pPr>
        <w:pStyle w:val="Heading1"/>
        <w:ind w:left="3200" w:right="0"/>
        <w:jc w:val="left"/>
      </w:pPr>
      <w:bookmarkStart w:name="_bookmark8" w:id="9"/>
      <w:bookmarkEnd w:id="9"/>
      <w:r>
        <w:rPr/>
      </w:r>
      <w:r>
        <w:rPr/>
        <w:t>六、 基金份额的上市交易</w:t>
      </w:r>
    </w:p>
    <w:p>
      <w:pPr>
        <w:pStyle w:val="BodyText"/>
        <w:rPr>
          <w:sz w:val="20"/>
        </w:rPr>
      </w:pPr>
    </w:p>
    <w:p>
      <w:pPr>
        <w:pStyle w:val="BodyText"/>
        <w:spacing w:before="2"/>
        <w:rPr>
          <w:sz w:val="28"/>
        </w:rPr>
      </w:pPr>
    </w:p>
    <w:p>
      <w:pPr>
        <w:pStyle w:val="Heading2"/>
        <w:spacing w:line="484" w:lineRule="exact"/>
      </w:pPr>
      <w:bookmarkStart w:name="_bookmark9" w:id="10"/>
      <w:bookmarkEnd w:id="10"/>
      <w:r>
        <w:rPr>
          <w:b w:val="0"/>
        </w:rPr>
      </w:r>
      <w:r>
        <w:rPr/>
        <w:t>（一）基金份额的上市</w:t>
      </w:r>
    </w:p>
    <w:p>
      <w:pPr>
        <w:pStyle w:val="BodyText"/>
        <w:spacing w:before="14"/>
        <w:rPr>
          <w:rFonts w:ascii="Microsoft JhengHei"/>
          <w:b/>
          <w:sz w:val="32"/>
        </w:rPr>
      </w:pPr>
    </w:p>
    <w:p>
      <w:pPr>
        <w:pStyle w:val="BodyText"/>
        <w:spacing w:line="417" w:lineRule="auto"/>
        <w:ind w:left="118" w:right="436" w:firstLine="419"/>
        <w:jc w:val="both"/>
      </w:pPr>
      <w:r>
        <w:rPr>
          <w:spacing w:val="-6"/>
        </w:rPr>
        <w:t>基金合同生效后，基金管理人可依据《上海证券交易所证券投资基金上市规则》，向上</w:t>
      </w:r>
      <w:r>
        <w:rPr>
          <w:spacing w:val="2"/>
        </w:rPr>
        <w:t>海证券交易所申请</w:t>
      </w:r>
      <w:r>
        <w:rPr>
          <w:rFonts w:ascii="Times New Roman" w:eastAsia="Times New Roman"/>
        </w:rPr>
        <w:t>E </w:t>
      </w:r>
      <w:r>
        <w:rPr>
          <w:spacing w:val="-3"/>
        </w:rPr>
        <w:t>类基金份额上市。</w:t>
      </w:r>
    </w:p>
    <w:p>
      <w:pPr>
        <w:pStyle w:val="BodyText"/>
        <w:spacing w:before="11"/>
      </w:pPr>
    </w:p>
    <w:p>
      <w:pPr>
        <w:pStyle w:val="BodyText"/>
        <w:spacing w:line="417" w:lineRule="auto"/>
        <w:ind w:left="118" w:right="433" w:firstLine="419"/>
        <w:jc w:val="both"/>
      </w:pPr>
      <w:r>
        <w:rPr>
          <w:spacing w:val="-8"/>
        </w:rPr>
        <w:t>基金份额上市前，基金管理人应与上海证券交易所签订上市协议书。</w:t>
      </w:r>
      <w:r>
        <w:rPr>
          <w:rFonts w:ascii="Times New Roman" w:eastAsia="Times New Roman"/>
        </w:rPr>
        <w:t>E </w:t>
      </w:r>
      <w:r>
        <w:rPr>
          <w:spacing w:val="-2"/>
        </w:rPr>
        <w:t>类基金份额获准</w:t>
      </w:r>
      <w:r>
        <w:rPr>
          <w:spacing w:val="-3"/>
        </w:rPr>
        <w:t>在上海证券交易所上市的，基金管理人应在 </w:t>
      </w:r>
      <w:r>
        <w:rPr>
          <w:rFonts w:ascii="Times New Roman" w:eastAsia="Times New Roman"/>
        </w:rPr>
        <w:t>E </w:t>
      </w:r>
      <w:r>
        <w:rPr>
          <w:spacing w:val="-3"/>
        </w:rPr>
        <w:t>类基金份额上市日前按相关法律法规要求发布基金上市交易公告书。</w:t>
      </w:r>
    </w:p>
    <w:p>
      <w:pPr>
        <w:pStyle w:val="BodyText"/>
        <w:spacing w:before="6"/>
        <w:rPr>
          <w:sz w:val="29"/>
        </w:rPr>
      </w:pPr>
    </w:p>
    <w:p>
      <w:pPr>
        <w:pStyle w:val="Heading2"/>
        <w:spacing w:before="1"/>
      </w:pPr>
      <w:bookmarkStart w:name="_bookmark10" w:id="11"/>
      <w:bookmarkEnd w:id="11"/>
      <w:r>
        <w:rPr>
          <w:b w:val="0"/>
        </w:rPr>
      </w:r>
      <w:r>
        <w:rPr/>
        <w:t>（二）E 类基金份额的上市交易</w:t>
      </w:r>
      <w:r>
        <w:rPr>
          <w:w w:val="200"/>
        </w:rPr>
        <w:t> </w:t>
      </w:r>
    </w:p>
    <w:p>
      <w:pPr>
        <w:pStyle w:val="BodyText"/>
        <w:spacing w:before="14"/>
        <w:rPr>
          <w:rFonts w:ascii="Microsoft JhengHei"/>
          <w:b/>
          <w:sz w:val="32"/>
        </w:rPr>
      </w:pPr>
    </w:p>
    <w:p>
      <w:pPr>
        <w:pStyle w:val="BodyText"/>
        <w:ind w:left="538"/>
      </w:pPr>
      <w:r>
        <w:rPr/>
        <w:t>本基金</w:t>
      </w:r>
      <w:r>
        <w:rPr>
          <w:rFonts w:ascii="Times New Roman" w:eastAsia="Times New Roman"/>
        </w:rPr>
        <w:t>E </w:t>
      </w:r>
      <w:r>
        <w:rPr/>
        <w:t>类基金份额在上海证券交易所的上市交易需遵照《上海证券交易所交易规则》、</w:t>
      </w:r>
    </w:p>
    <w:p>
      <w:pPr>
        <w:pStyle w:val="BodyText"/>
        <w:spacing w:before="6"/>
        <w:rPr>
          <w:sz w:val="15"/>
        </w:rPr>
      </w:pPr>
    </w:p>
    <w:p>
      <w:pPr>
        <w:pStyle w:val="BodyText"/>
        <w:spacing w:before="1"/>
        <w:ind w:left="118"/>
      </w:pPr>
      <w:r>
        <w:rPr/>
        <w:t>《上海证券交易所证券投资基金上市规则》等有关规定。</w:t>
      </w:r>
    </w:p>
    <w:p>
      <w:pPr>
        <w:pStyle w:val="BodyText"/>
        <w:rPr>
          <w:sz w:val="20"/>
        </w:rPr>
      </w:pPr>
    </w:p>
    <w:p>
      <w:pPr>
        <w:pStyle w:val="BodyText"/>
        <w:rPr>
          <w:sz w:val="25"/>
        </w:rPr>
      </w:pPr>
    </w:p>
    <w:p>
      <w:pPr>
        <w:pStyle w:val="Heading2"/>
      </w:pPr>
      <w:bookmarkStart w:name="_bookmark11" w:id="12"/>
      <w:bookmarkEnd w:id="12"/>
      <w:r>
        <w:rPr>
          <w:b w:val="0"/>
        </w:rPr>
      </w:r>
      <w:r>
        <w:rPr/>
        <w:t>（三）终止上市交易</w:t>
      </w:r>
      <w:r>
        <w:rPr>
          <w:w w:val="200"/>
        </w:rPr>
        <w:t> </w:t>
      </w:r>
    </w:p>
    <w:p>
      <w:pPr>
        <w:pStyle w:val="BodyText"/>
        <w:spacing w:before="16"/>
        <w:rPr>
          <w:rFonts w:ascii="Microsoft JhengHei"/>
          <w:b/>
          <w:sz w:val="32"/>
        </w:rPr>
      </w:pPr>
    </w:p>
    <w:p>
      <w:pPr>
        <w:pStyle w:val="BodyText"/>
        <w:spacing w:line="417" w:lineRule="auto" w:before="1"/>
        <w:ind w:left="118" w:right="434" w:firstLine="419"/>
        <w:jc w:val="both"/>
      </w:pPr>
      <w:r>
        <w:rPr>
          <w:rFonts w:ascii="Times New Roman" w:eastAsia="Times New Roman"/>
        </w:rPr>
        <w:t>E </w:t>
      </w:r>
      <w:r>
        <w:rPr>
          <w:spacing w:val="-8"/>
        </w:rPr>
        <w:t>类基金份额上市交易后，有下列情形之一的，上海证券交易所可终止基金份额的上市</w:t>
      </w:r>
      <w:r>
        <w:rPr>
          <w:spacing w:val="-5"/>
        </w:rPr>
        <w:t>交易，并报中国证监会备案：</w:t>
      </w:r>
    </w:p>
    <w:p>
      <w:pPr>
        <w:pStyle w:val="BodyText"/>
        <w:spacing w:before="8"/>
      </w:pPr>
    </w:p>
    <w:p>
      <w:pPr>
        <w:pStyle w:val="ListParagraph"/>
        <w:numPr>
          <w:ilvl w:val="0"/>
          <w:numId w:val="1"/>
        </w:numPr>
        <w:tabs>
          <w:tab w:pos="802" w:val="left" w:leader="none"/>
        </w:tabs>
        <w:spacing w:line="240" w:lineRule="auto" w:before="1" w:after="0"/>
        <w:ind w:left="802" w:right="0" w:hanging="264"/>
        <w:jc w:val="left"/>
        <w:rPr>
          <w:sz w:val="21"/>
        </w:rPr>
      </w:pPr>
      <w:r>
        <w:rPr>
          <w:spacing w:val="-3"/>
          <w:sz w:val="21"/>
        </w:rPr>
        <w:t>不再具备本部分第（一</w:t>
      </w:r>
      <w:r>
        <w:rPr>
          <w:sz w:val="21"/>
        </w:rPr>
        <w:t>）</w:t>
      </w:r>
      <w:r>
        <w:rPr>
          <w:spacing w:val="-3"/>
          <w:sz w:val="21"/>
        </w:rPr>
        <w:t>款规定的上市条件；</w:t>
      </w:r>
    </w:p>
    <w:p>
      <w:pPr>
        <w:pStyle w:val="BodyText"/>
        <w:rPr>
          <w:sz w:val="22"/>
        </w:rPr>
      </w:pPr>
    </w:p>
    <w:p>
      <w:pPr>
        <w:pStyle w:val="BodyText"/>
        <w:spacing w:before="6"/>
        <w:rPr>
          <w:sz w:val="15"/>
        </w:rPr>
      </w:pPr>
    </w:p>
    <w:p>
      <w:pPr>
        <w:pStyle w:val="ListParagraph"/>
        <w:numPr>
          <w:ilvl w:val="0"/>
          <w:numId w:val="1"/>
        </w:numPr>
        <w:tabs>
          <w:tab w:pos="802" w:val="left" w:leader="none"/>
        </w:tabs>
        <w:spacing w:line="240" w:lineRule="auto" w:before="0" w:after="0"/>
        <w:ind w:left="802" w:right="0" w:hanging="264"/>
        <w:jc w:val="left"/>
        <w:rPr>
          <w:sz w:val="21"/>
        </w:rPr>
      </w:pPr>
      <w:r>
        <w:rPr>
          <w:spacing w:val="-3"/>
          <w:sz w:val="21"/>
        </w:rPr>
        <w:t>基金合同终止；</w:t>
      </w:r>
    </w:p>
    <w:p>
      <w:pPr>
        <w:pStyle w:val="BodyText"/>
        <w:rPr>
          <w:sz w:val="22"/>
        </w:rPr>
      </w:pPr>
    </w:p>
    <w:p>
      <w:pPr>
        <w:pStyle w:val="BodyText"/>
        <w:spacing w:before="5"/>
        <w:rPr>
          <w:sz w:val="15"/>
        </w:rPr>
      </w:pPr>
    </w:p>
    <w:p>
      <w:pPr>
        <w:pStyle w:val="ListParagraph"/>
        <w:numPr>
          <w:ilvl w:val="0"/>
          <w:numId w:val="1"/>
        </w:numPr>
        <w:tabs>
          <w:tab w:pos="802" w:val="left" w:leader="none"/>
        </w:tabs>
        <w:spacing w:line="240" w:lineRule="auto" w:before="1" w:after="0"/>
        <w:ind w:left="802" w:right="0" w:hanging="264"/>
        <w:jc w:val="left"/>
        <w:rPr>
          <w:sz w:val="21"/>
        </w:rPr>
      </w:pPr>
      <w:r>
        <w:rPr>
          <w:spacing w:val="-3"/>
          <w:sz w:val="21"/>
        </w:rPr>
        <w:t>基金份额持有人大会决定终止上市；</w:t>
      </w:r>
    </w:p>
    <w:p>
      <w:pPr>
        <w:pStyle w:val="BodyText"/>
        <w:rPr>
          <w:sz w:val="22"/>
        </w:rPr>
      </w:pPr>
    </w:p>
    <w:p>
      <w:pPr>
        <w:pStyle w:val="ListParagraph"/>
        <w:numPr>
          <w:ilvl w:val="0"/>
          <w:numId w:val="1"/>
        </w:numPr>
        <w:tabs>
          <w:tab w:pos="802" w:val="left" w:leader="none"/>
        </w:tabs>
        <w:spacing w:line="240" w:lineRule="auto" w:before="195" w:after="0"/>
        <w:ind w:left="802" w:right="0" w:hanging="264"/>
        <w:jc w:val="left"/>
        <w:rPr>
          <w:sz w:val="21"/>
        </w:rPr>
      </w:pPr>
      <w:r>
        <w:rPr>
          <w:spacing w:val="-3"/>
          <w:sz w:val="21"/>
        </w:rPr>
        <w:t>上海证券交易所认为应当终止上市的其他情形。</w:t>
      </w:r>
    </w:p>
    <w:p>
      <w:pPr>
        <w:pStyle w:val="BodyText"/>
        <w:spacing w:before="7"/>
        <w:rPr>
          <w:sz w:val="22"/>
        </w:rPr>
      </w:pPr>
    </w:p>
    <w:p>
      <w:pPr>
        <w:pStyle w:val="BodyText"/>
        <w:spacing w:line="460" w:lineRule="atLeast"/>
        <w:ind w:left="118" w:right="433"/>
      </w:pPr>
      <w:r>
        <w:rPr/>
        <w:t>基金管理人应当在收到上海证券交易所终止 </w:t>
      </w:r>
      <w:r>
        <w:rPr>
          <w:rFonts w:ascii="Times New Roman" w:eastAsia="Times New Roman"/>
        </w:rPr>
        <w:t>E </w:t>
      </w:r>
      <w:r>
        <w:rPr/>
        <w:t>类基金份额上市的决定后按相关法律法规要求发布 </w:t>
      </w:r>
      <w:r>
        <w:rPr>
          <w:rFonts w:ascii="Times New Roman" w:eastAsia="Times New Roman"/>
        </w:rPr>
        <w:t>E </w:t>
      </w:r>
      <w:r>
        <w:rPr/>
        <w:t>类基金份额终止上市交易公告。</w:t>
      </w:r>
    </w:p>
    <w:p>
      <w:pPr>
        <w:spacing w:after="0" w:line="460" w:lineRule="atLeast"/>
        <w:sectPr>
          <w:pgSz w:w="11910" w:h="16850"/>
          <w:pgMar w:header="852" w:footer="1386" w:top="1420" w:bottom="1580" w:left="1680" w:right="1360"/>
        </w:sectPr>
      </w:pPr>
    </w:p>
    <w:p>
      <w:pPr>
        <w:pStyle w:val="BodyText"/>
        <w:spacing w:before="5"/>
        <w:rPr>
          <w:sz w:val="19"/>
        </w:rPr>
      </w:pPr>
    </w:p>
    <w:p>
      <w:pPr>
        <w:pStyle w:val="Heading1"/>
        <w:spacing w:before="54"/>
        <w:ind w:right="321"/>
      </w:pPr>
      <w:bookmarkStart w:name="_bookmark12" w:id="13"/>
      <w:bookmarkEnd w:id="13"/>
      <w:r>
        <w:rPr/>
      </w:r>
      <w:r>
        <w:rPr/>
        <w:t>七、 基金份额的申购、赎回</w:t>
      </w:r>
    </w:p>
    <w:p>
      <w:pPr>
        <w:pStyle w:val="BodyText"/>
        <w:rPr>
          <w:sz w:val="32"/>
        </w:rPr>
      </w:pPr>
    </w:p>
    <w:p>
      <w:pPr>
        <w:pStyle w:val="BodyText"/>
        <w:spacing w:before="12"/>
        <w:rPr>
          <w:sz w:val="25"/>
        </w:rPr>
      </w:pPr>
    </w:p>
    <w:p>
      <w:pPr>
        <w:pStyle w:val="Heading2"/>
        <w:rPr>
          <w:rFonts w:ascii="宋体" w:eastAsia="宋体" w:hint="eastAsia"/>
          <w:b w:val="0"/>
        </w:rPr>
      </w:pPr>
      <w:bookmarkStart w:name="_bookmark13" w:id="14"/>
      <w:bookmarkEnd w:id="14"/>
      <w:r>
        <w:rPr>
          <w:b w:val="0"/>
        </w:rPr>
      </w:r>
      <w:r>
        <w:rPr/>
        <w:t>（一）基金投资者范围</w:t>
      </w:r>
      <w:r>
        <w:rPr>
          <w:rFonts w:ascii="宋体" w:eastAsia="宋体" w:hint="eastAsia"/>
          <w:b w:val="0"/>
        </w:rPr>
        <w:t> </w:t>
      </w:r>
    </w:p>
    <w:p>
      <w:pPr>
        <w:pStyle w:val="BodyText"/>
        <w:rPr>
          <w:sz w:val="28"/>
        </w:rPr>
      </w:pPr>
    </w:p>
    <w:p>
      <w:pPr>
        <w:pStyle w:val="BodyText"/>
        <w:spacing w:before="244"/>
        <w:ind w:left="118"/>
      </w:pPr>
      <w:r>
        <w:rPr>
          <w:spacing w:val="-3"/>
        </w:rPr>
        <w:t>个人投资者和机构投资者</w:t>
      </w:r>
      <w:r>
        <w:rPr/>
        <w:t>（</w:t>
      </w:r>
      <w:r>
        <w:rPr>
          <w:spacing w:val="-3"/>
        </w:rPr>
        <w:t>法律、法规、规章禁止投资证券投资基金的除外</w:t>
      </w:r>
      <w:r>
        <w:rPr>
          <w:spacing w:val="-108"/>
        </w:rPr>
        <w:t>）</w:t>
      </w:r>
      <w:r>
        <w:rPr/>
        <w:t>。</w:t>
      </w:r>
    </w:p>
    <w:p>
      <w:pPr>
        <w:pStyle w:val="BodyText"/>
        <w:rPr>
          <w:sz w:val="20"/>
        </w:rPr>
      </w:pPr>
    </w:p>
    <w:p>
      <w:pPr>
        <w:pStyle w:val="BodyText"/>
        <w:rPr>
          <w:sz w:val="25"/>
        </w:rPr>
      </w:pPr>
    </w:p>
    <w:p>
      <w:pPr>
        <w:pStyle w:val="Heading2"/>
      </w:pPr>
      <w:bookmarkStart w:name="_bookmark14" w:id="15"/>
      <w:bookmarkEnd w:id="15"/>
      <w:r>
        <w:rPr>
          <w:b w:val="0"/>
        </w:rPr>
      </w:r>
      <w:r>
        <w:rPr/>
        <w:t>（二）申购、赎回的场所</w:t>
      </w:r>
    </w:p>
    <w:p>
      <w:pPr>
        <w:pStyle w:val="BodyText"/>
        <w:spacing w:before="17"/>
        <w:rPr>
          <w:rFonts w:ascii="Microsoft JhengHei"/>
          <w:b/>
          <w:sz w:val="32"/>
        </w:rPr>
      </w:pPr>
    </w:p>
    <w:p>
      <w:pPr>
        <w:pStyle w:val="BodyText"/>
        <w:spacing w:line="417" w:lineRule="auto" w:before="1"/>
        <w:ind w:left="118" w:right="433" w:firstLine="419"/>
        <w:jc w:val="both"/>
      </w:pPr>
      <w:r>
        <w:rPr>
          <w:spacing w:val="-1"/>
        </w:rPr>
        <w:t>本基金</w:t>
      </w:r>
      <w:r>
        <w:rPr/>
        <w:t>A</w:t>
      </w:r>
      <w:r>
        <w:rPr>
          <w:spacing w:val="-3"/>
        </w:rPr>
        <w:t>类基金份额和</w:t>
      </w:r>
      <w:r>
        <w:rPr/>
        <w:t>B</w:t>
      </w:r>
      <w:r>
        <w:rPr>
          <w:spacing w:val="-10"/>
        </w:rPr>
        <w:t>类基金份额的申购、赎回将通过基金管理人的直销中心、网上交</w:t>
      </w:r>
      <w:r>
        <w:rPr>
          <w:spacing w:val="-7"/>
        </w:rPr>
        <w:t>易系统及基金代销机构的代销网点进行</w:t>
      </w:r>
      <w:r>
        <w:rPr/>
        <w:t>；E</w:t>
      </w:r>
      <w:r>
        <w:rPr>
          <w:spacing w:val="-3"/>
        </w:rPr>
        <w:t>类基金份额的申购和赎回将通过上海证券交易所</w:t>
      </w:r>
      <w:r>
        <w:rPr>
          <w:spacing w:val="-8"/>
        </w:rPr>
        <w:t>内具有相应业务资格的会员单位进行。基金管理人可根据情况变更或增减基金代销机构，并</w:t>
      </w:r>
      <w:r>
        <w:rPr>
          <w:spacing w:val="-13"/>
        </w:rPr>
        <w:t>在基金管理人网站公示。基金投资者应当在销售机构办理基金销售业务的营业场所或按销售</w:t>
      </w:r>
      <w:r>
        <w:rPr>
          <w:spacing w:val="-6"/>
        </w:rPr>
        <w:t>机构提供的其他方式办理基金份额的申购与赎回。</w:t>
      </w:r>
    </w:p>
    <w:p>
      <w:pPr>
        <w:pStyle w:val="BodyText"/>
        <w:spacing w:before="5"/>
        <w:rPr>
          <w:sz w:val="29"/>
        </w:rPr>
      </w:pPr>
    </w:p>
    <w:p>
      <w:pPr>
        <w:pStyle w:val="Heading2"/>
        <w:rPr>
          <w:rFonts w:ascii="宋体" w:eastAsia="宋体" w:hint="eastAsia"/>
          <w:b w:val="0"/>
        </w:rPr>
      </w:pPr>
      <w:bookmarkStart w:name="_bookmark15" w:id="16"/>
      <w:bookmarkEnd w:id="16"/>
      <w:r>
        <w:rPr>
          <w:b w:val="0"/>
        </w:rPr>
      </w:r>
      <w:r>
        <w:rPr/>
        <w:t>（三）申购、赎回的开放日及时间</w:t>
      </w:r>
      <w:r>
        <w:rPr>
          <w:rFonts w:ascii="宋体" w:eastAsia="宋体" w:hint="eastAsia"/>
          <w:b w:val="0"/>
        </w:rPr>
        <w:t> </w:t>
      </w:r>
    </w:p>
    <w:p>
      <w:pPr>
        <w:pStyle w:val="BodyText"/>
        <w:rPr>
          <w:sz w:val="28"/>
        </w:rPr>
      </w:pPr>
    </w:p>
    <w:p>
      <w:pPr>
        <w:pStyle w:val="BodyText"/>
        <w:spacing w:line="417" w:lineRule="auto" w:before="244"/>
        <w:ind w:left="538" w:right="2546"/>
      </w:pPr>
      <w:r>
        <w:rPr/>
        <w:t>基金的申购自基金合同生效日后不超过15个工作日开始办理。基金的赎回从基金合同生效日后不超过15个工作日开始办理。 </w:t>
      </w:r>
    </w:p>
    <w:p>
      <w:pPr>
        <w:pStyle w:val="BodyText"/>
        <w:spacing w:before="11"/>
      </w:pPr>
    </w:p>
    <w:p>
      <w:pPr>
        <w:pStyle w:val="BodyText"/>
        <w:spacing w:line="417" w:lineRule="auto" w:before="1"/>
        <w:ind w:left="118" w:right="433" w:firstLine="479"/>
      </w:pPr>
      <w:r>
        <w:rPr>
          <w:spacing w:val="-7"/>
        </w:rPr>
        <w:t>在确定申购开始时间、赎回开始时间后，由基金管理人最迟应在申购、赎回开始日前</w:t>
      </w:r>
      <w:r>
        <w:rPr/>
        <w:t>3 </w:t>
      </w:r>
      <w:r>
        <w:rPr>
          <w:spacing w:val="-3"/>
        </w:rPr>
        <w:t>个工作日在至少一种中国证监会指定的信息披露媒介刊登公告。</w:t>
      </w:r>
      <w:r>
        <w:rPr/>
        <w:t> </w:t>
      </w:r>
    </w:p>
    <w:p>
      <w:pPr>
        <w:pStyle w:val="BodyText"/>
        <w:spacing w:before="9"/>
      </w:pPr>
    </w:p>
    <w:p>
      <w:pPr>
        <w:pStyle w:val="BodyText"/>
        <w:spacing w:line="417" w:lineRule="auto"/>
        <w:ind w:left="118" w:right="433" w:firstLine="479"/>
        <w:jc w:val="both"/>
      </w:pPr>
      <w:r>
        <w:rPr>
          <w:spacing w:val="-1"/>
        </w:rPr>
        <w:t>申购、赎回的开放日为上海证券交易所、深圳证券交易所的交易日。具体由基金管理</w:t>
      </w:r>
      <w:r>
        <w:rPr>
          <w:spacing w:val="-11"/>
        </w:rPr>
        <w:t>人在《招募说明书》或《更新的招募说明书》中规定。若出现新的证券交易市场或交易所交</w:t>
      </w:r>
      <w:r>
        <w:rPr>
          <w:spacing w:val="-13"/>
        </w:rPr>
        <w:t>易时间更改或其它原因，基金管理人将根据法律法规和本基金合同规定的原则视情况进行相</w:t>
      </w:r>
      <w:r>
        <w:rPr>
          <w:spacing w:val="-6"/>
        </w:rPr>
        <w:t>应的调整并公告。</w:t>
      </w:r>
      <w:r>
        <w:rPr/>
        <w:t> </w:t>
      </w:r>
    </w:p>
    <w:p>
      <w:pPr>
        <w:spacing w:after="0" w:line="417" w:lineRule="auto"/>
        <w:jc w:val="both"/>
        <w:sectPr>
          <w:pgSz w:w="11910" w:h="16850"/>
          <w:pgMar w:header="852" w:footer="1386" w:top="1420" w:bottom="1620" w:left="1680" w:right="1360"/>
        </w:sectPr>
      </w:pPr>
    </w:p>
    <w:p>
      <w:pPr>
        <w:pStyle w:val="BodyText"/>
      </w:pPr>
    </w:p>
    <w:p>
      <w:pPr>
        <w:pStyle w:val="Heading2"/>
        <w:spacing w:line="485" w:lineRule="exact"/>
        <w:rPr>
          <w:rFonts w:ascii="宋体" w:eastAsia="宋体" w:hint="eastAsia"/>
          <w:b w:val="0"/>
        </w:rPr>
      </w:pPr>
      <w:bookmarkStart w:name="_bookmark16" w:id="17"/>
      <w:bookmarkEnd w:id="17"/>
      <w:r>
        <w:rPr>
          <w:b w:val="0"/>
        </w:rPr>
      </w:r>
      <w:r>
        <w:rPr/>
        <w:t>（四）申购、赎回的原则</w:t>
      </w:r>
      <w:r>
        <w:rPr>
          <w:rFonts w:ascii="宋体" w:eastAsia="宋体" w:hint="eastAsia"/>
          <w:b w:val="0"/>
        </w:rPr>
        <w:t> </w:t>
      </w:r>
    </w:p>
    <w:p>
      <w:pPr>
        <w:pStyle w:val="BodyText"/>
        <w:rPr>
          <w:sz w:val="28"/>
        </w:rPr>
      </w:pPr>
    </w:p>
    <w:p>
      <w:pPr>
        <w:pStyle w:val="ListParagraph"/>
        <w:numPr>
          <w:ilvl w:val="0"/>
          <w:numId w:val="2"/>
        </w:numPr>
        <w:tabs>
          <w:tab w:pos="1018" w:val="left" w:leader="none"/>
        </w:tabs>
        <w:spacing w:line="417" w:lineRule="auto" w:before="246" w:after="0"/>
        <w:ind w:left="1018" w:right="433" w:hanging="420"/>
        <w:jc w:val="both"/>
        <w:rPr>
          <w:sz w:val="21"/>
        </w:rPr>
      </w:pPr>
      <w:r>
        <w:rPr>
          <w:spacing w:val="-15"/>
          <w:sz w:val="21"/>
        </w:rPr>
        <w:t>申购赎回的“确定价”原则，即申购和赎回本基金的价格以每份基金份额面值为基</w:t>
      </w:r>
      <w:r>
        <w:rPr>
          <w:spacing w:val="-8"/>
          <w:sz w:val="21"/>
        </w:rPr>
        <w:t>准进行计算。</w:t>
      </w:r>
      <w:r>
        <w:rPr>
          <w:sz w:val="21"/>
        </w:rPr>
        <w:t> </w:t>
      </w:r>
    </w:p>
    <w:p>
      <w:pPr>
        <w:pStyle w:val="ListParagraph"/>
        <w:numPr>
          <w:ilvl w:val="0"/>
          <w:numId w:val="2"/>
        </w:numPr>
        <w:tabs>
          <w:tab w:pos="1018" w:val="left" w:leader="none"/>
        </w:tabs>
        <w:spacing w:line="417" w:lineRule="auto" w:before="0" w:after="0"/>
        <w:ind w:left="1018" w:right="433" w:hanging="420"/>
        <w:jc w:val="both"/>
        <w:rPr>
          <w:sz w:val="21"/>
        </w:rPr>
      </w:pPr>
      <w:r>
        <w:rPr>
          <w:spacing w:val="15"/>
          <w:sz w:val="21"/>
        </w:rPr>
        <w:t>本基金</w:t>
      </w:r>
      <w:r>
        <w:rPr>
          <w:rFonts w:ascii="Times New Roman" w:eastAsia="Times New Roman"/>
          <w:sz w:val="21"/>
        </w:rPr>
        <w:t>A</w:t>
      </w:r>
      <w:r>
        <w:rPr>
          <w:rFonts w:ascii="Times New Roman" w:eastAsia="Times New Roman"/>
          <w:spacing w:val="12"/>
          <w:sz w:val="21"/>
        </w:rPr>
        <w:t> </w:t>
      </w:r>
      <w:r>
        <w:rPr>
          <w:spacing w:val="-9"/>
          <w:sz w:val="21"/>
        </w:rPr>
        <w:t>类基金份额和 </w:t>
      </w:r>
      <w:r>
        <w:rPr>
          <w:rFonts w:ascii="Times New Roman" w:eastAsia="Times New Roman"/>
          <w:sz w:val="21"/>
        </w:rPr>
        <w:t>B</w:t>
      </w:r>
      <w:r>
        <w:rPr>
          <w:rFonts w:ascii="Times New Roman" w:eastAsia="Times New Roman"/>
          <w:spacing w:val="10"/>
          <w:sz w:val="21"/>
        </w:rPr>
        <w:t> </w:t>
      </w:r>
      <w:r>
        <w:rPr>
          <w:spacing w:val="-5"/>
          <w:sz w:val="21"/>
        </w:rPr>
        <w:t>类基金份额采用金额申购、份额赎回原则，即申购以金</w:t>
      </w:r>
      <w:r>
        <w:rPr>
          <w:spacing w:val="-10"/>
          <w:sz w:val="21"/>
        </w:rPr>
        <w:t>额申请，赎回以份额申请。</w:t>
      </w:r>
      <w:r>
        <w:rPr>
          <w:rFonts w:ascii="Times New Roman" w:eastAsia="Times New Roman"/>
          <w:sz w:val="21"/>
        </w:rPr>
        <w:t>E</w:t>
      </w:r>
      <w:r>
        <w:rPr>
          <w:rFonts w:ascii="Times New Roman" w:eastAsia="Times New Roman"/>
          <w:spacing w:val="28"/>
          <w:sz w:val="21"/>
        </w:rPr>
        <w:t> </w:t>
      </w:r>
      <w:r>
        <w:rPr>
          <w:spacing w:val="-8"/>
          <w:sz w:val="21"/>
        </w:rPr>
        <w:t>类基金份额采用份额申购、份额赎回原则，即申购以</w:t>
      </w:r>
      <w:r>
        <w:rPr>
          <w:spacing w:val="-5"/>
          <w:sz w:val="21"/>
        </w:rPr>
        <w:t>份额申请，赎回以份额申请。</w:t>
      </w:r>
      <w:r>
        <w:rPr>
          <w:sz w:val="21"/>
        </w:rPr>
        <w:t> </w:t>
      </w:r>
    </w:p>
    <w:p>
      <w:pPr>
        <w:pStyle w:val="ListParagraph"/>
        <w:numPr>
          <w:ilvl w:val="0"/>
          <w:numId w:val="2"/>
        </w:numPr>
        <w:tabs>
          <w:tab w:pos="1018" w:val="left" w:leader="none"/>
        </w:tabs>
        <w:spacing w:line="255" w:lineRule="exact" w:before="0" w:after="0"/>
        <w:ind w:left="1018" w:right="0" w:hanging="420"/>
        <w:jc w:val="both"/>
        <w:rPr>
          <w:sz w:val="21"/>
        </w:rPr>
      </w:pPr>
      <w:r>
        <w:rPr>
          <w:spacing w:val="15"/>
          <w:sz w:val="21"/>
        </w:rPr>
        <w:t>本基金</w:t>
      </w:r>
      <w:r>
        <w:rPr>
          <w:rFonts w:ascii="Times New Roman" w:eastAsia="Times New Roman"/>
          <w:sz w:val="21"/>
        </w:rPr>
        <w:t>A</w:t>
      </w:r>
      <w:r>
        <w:rPr>
          <w:rFonts w:ascii="Times New Roman" w:eastAsia="Times New Roman"/>
          <w:spacing w:val="4"/>
          <w:sz w:val="21"/>
        </w:rPr>
        <w:t> </w:t>
      </w:r>
      <w:r>
        <w:rPr>
          <w:spacing w:val="-10"/>
          <w:sz w:val="21"/>
        </w:rPr>
        <w:t>类基金份额和 </w:t>
      </w:r>
      <w:r>
        <w:rPr>
          <w:rFonts w:ascii="Times New Roman" w:eastAsia="Times New Roman"/>
          <w:sz w:val="21"/>
        </w:rPr>
        <w:t>B</w:t>
      </w:r>
      <w:r>
        <w:rPr>
          <w:rFonts w:ascii="Times New Roman" w:eastAsia="Times New Roman"/>
          <w:spacing w:val="1"/>
          <w:sz w:val="21"/>
        </w:rPr>
        <w:t> </w:t>
      </w:r>
      <w:r>
        <w:rPr>
          <w:spacing w:val="-5"/>
          <w:sz w:val="21"/>
        </w:rPr>
        <w:t>类基金份额在当日的申购、赎回申请可以在当日交易结</w:t>
      </w:r>
    </w:p>
    <w:p>
      <w:pPr>
        <w:pStyle w:val="BodyText"/>
        <w:spacing w:line="388" w:lineRule="auto" w:before="167"/>
        <w:ind w:left="1018" w:right="433"/>
        <w:jc w:val="both"/>
      </w:pPr>
      <w:r>
        <w:rPr>
          <w:spacing w:val="-10"/>
        </w:rPr>
        <w:t>束时间前撤消，在当日的交易时间结束后不得撤销；</w:t>
      </w:r>
      <w:r>
        <w:rPr>
          <w:rFonts w:ascii="Times New Roman" w:eastAsia="Times New Roman"/>
          <w:spacing w:val="-32"/>
        </w:rPr>
        <w:t>E </w:t>
      </w:r>
      <w:r>
        <w:rPr>
          <w:spacing w:val="-3"/>
        </w:rPr>
        <w:t>类基金份额在当日的申购、赎回申请在当日基金交易时间内提交后不得撤销。</w:t>
      </w:r>
      <w:r>
        <w:rPr/>
        <w:t> </w:t>
      </w:r>
    </w:p>
    <w:p>
      <w:pPr>
        <w:pStyle w:val="ListParagraph"/>
        <w:numPr>
          <w:ilvl w:val="0"/>
          <w:numId w:val="2"/>
        </w:numPr>
        <w:tabs>
          <w:tab w:pos="1018" w:val="left" w:leader="none"/>
        </w:tabs>
        <w:spacing w:line="388" w:lineRule="auto" w:before="2" w:after="0"/>
        <w:ind w:left="1018" w:right="433" w:hanging="420"/>
        <w:jc w:val="both"/>
        <w:rPr>
          <w:sz w:val="21"/>
        </w:rPr>
      </w:pPr>
      <w:r>
        <w:rPr>
          <w:sz w:val="21"/>
        </w:rPr>
        <w:t>本基金根据每日基金收益情况，以基金日收益为基准，为投资者每日计算当日收</w:t>
      </w:r>
      <w:r>
        <w:rPr>
          <w:spacing w:val="-1"/>
          <w:sz w:val="21"/>
        </w:rPr>
        <w:t>益并分配。在基金份额持有人全部赎回基金份额时，其账户内待结转的基金收益</w:t>
      </w:r>
      <w:r>
        <w:rPr>
          <w:spacing w:val="-5"/>
          <w:sz w:val="21"/>
        </w:rPr>
        <w:t>将与赎回款项一起结算并支付。在基金份额持有人部分赎回 </w:t>
      </w:r>
      <w:r>
        <w:rPr>
          <w:sz w:val="21"/>
        </w:rPr>
        <w:t>A</w:t>
      </w:r>
      <w:r>
        <w:rPr>
          <w:spacing w:val="-10"/>
          <w:sz w:val="21"/>
        </w:rPr>
        <w:t> 类基金份额或 </w:t>
      </w:r>
      <w:r>
        <w:rPr>
          <w:sz w:val="21"/>
        </w:rPr>
        <w:t>B</w:t>
      </w:r>
      <w:r>
        <w:rPr>
          <w:spacing w:val="-14"/>
          <w:sz w:val="21"/>
        </w:rPr>
        <w:t> 类</w:t>
      </w:r>
      <w:r>
        <w:rPr>
          <w:spacing w:val="-16"/>
          <w:sz w:val="21"/>
        </w:rPr>
        <w:t>基金份额时，其账户内的基金收益不结转，如待结转的基金收益为负，则部分赎回</w:t>
      </w:r>
      <w:r>
        <w:rPr>
          <w:spacing w:val="-7"/>
          <w:sz w:val="21"/>
        </w:rPr>
        <w:t>后的基金份额余额需足以弥补待结转的负收益。在基金份额持有人赎回 </w:t>
      </w:r>
      <w:r>
        <w:rPr>
          <w:sz w:val="21"/>
        </w:rPr>
        <w:t>E</w:t>
      </w:r>
      <w:r>
        <w:rPr>
          <w:spacing w:val="-3"/>
          <w:sz w:val="21"/>
        </w:rPr>
        <w:t> 类基金</w:t>
      </w:r>
      <w:r>
        <w:rPr>
          <w:spacing w:val="-13"/>
          <w:sz w:val="21"/>
        </w:rPr>
        <w:t>份额时，其对应比例的待结转的基金收益将立即结清，以现金支付给投资人，如待</w:t>
      </w:r>
      <w:r>
        <w:rPr>
          <w:spacing w:val="-6"/>
          <w:sz w:val="21"/>
        </w:rPr>
        <w:t>结转的基金收益为负，则从投资人赎回基金款中按比例扣除。</w:t>
      </w:r>
      <w:r>
        <w:rPr>
          <w:sz w:val="21"/>
        </w:rPr>
        <w:t> </w:t>
      </w:r>
    </w:p>
    <w:p>
      <w:pPr>
        <w:pStyle w:val="ListParagraph"/>
        <w:numPr>
          <w:ilvl w:val="0"/>
          <w:numId w:val="2"/>
        </w:numPr>
        <w:tabs>
          <w:tab w:pos="1018" w:val="left" w:leader="none"/>
        </w:tabs>
        <w:spacing w:line="388" w:lineRule="auto" w:before="7" w:after="0"/>
        <w:ind w:left="1018" w:right="439" w:hanging="420"/>
        <w:jc w:val="both"/>
        <w:rPr>
          <w:sz w:val="21"/>
        </w:rPr>
      </w:pPr>
      <w:r>
        <w:rPr>
          <w:spacing w:val="-1"/>
          <w:sz w:val="21"/>
        </w:rPr>
        <w:t>基金管理人在不损害基金份额持有人权益的情况下可更改上述原则，但应最迟在</w:t>
      </w:r>
      <w:r>
        <w:rPr>
          <w:spacing w:val="-3"/>
          <w:sz w:val="21"/>
        </w:rPr>
        <w:t>新的原则实施前三个工作日予以公告。 </w:t>
      </w:r>
    </w:p>
    <w:p>
      <w:pPr>
        <w:pStyle w:val="BodyText"/>
        <w:rPr>
          <w:sz w:val="20"/>
        </w:rPr>
      </w:pPr>
    </w:p>
    <w:p>
      <w:pPr>
        <w:pStyle w:val="Heading2"/>
        <w:spacing w:before="135"/>
        <w:rPr>
          <w:rFonts w:ascii="宋体" w:eastAsia="宋体" w:hint="eastAsia"/>
          <w:b w:val="0"/>
        </w:rPr>
      </w:pPr>
      <w:bookmarkStart w:name="_bookmark17" w:id="18"/>
      <w:bookmarkEnd w:id="18"/>
      <w:r>
        <w:rPr>
          <w:b w:val="0"/>
        </w:rPr>
      </w:r>
      <w:r>
        <w:rPr/>
        <w:t>（五）申购、赎回的程序</w:t>
      </w:r>
      <w:r>
        <w:rPr>
          <w:rFonts w:ascii="宋体" w:eastAsia="宋体" w:hint="eastAsia"/>
          <w:b w:val="0"/>
        </w:rPr>
        <w:t> </w:t>
      </w:r>
    </w:p>
    <w:p>
      <w:pPr>
        <w:pStyle w:val="BodyText"/>
        <w:rPr>
          <w:sz w:val="28"/>
        </w:rPr>
      </w:pPr>
    </w:p>
    <w:p>
      <w:pPr>
        <w:pStyle w:val="ListParagraph"/>
        <w:numPr>
          <w:ilvl w:val="0"/>
          <w:numId w:val="3"/>
        </w:numPr>
        <w:tabs>
          <w:tab w:pos="647" w:val="left" w:leader="none"/>
        </w:tabs>
        <w:spacing w:line="240" w:lineRule="auto" w:before="230" w:after="0"/>
        <w:ind w:left="647" w:right="0" w:hanging="318"/>
        <w:jc w:val="left"/>
        <w:rPr>
          <w:sz w:val="21"/>
        </w:rPr>
      </w:pPr>
      <w:r>
        <w:rPr>
          <w:spacing w:val="-3"/>
          <w:sz w:val="21"/>
        </w:rPr>
        <w:t>申购、赎回的申请方式</w:t>
      </w:r>
      <w:r>
        <w:rPr>
          <w:sz w:val="21"/>
        </w:rPr>
        <w:t> </w:t>
      </w:r>
    </w:p>
    <w:p>
      <w:pPr>
        <w:pStyle w:val="BodyText"/>
        <w:rPr>
          <w:sz w:val="20"/>
        </w:rPr>
      </w:pPr>
    </w:p>
    <w:p>
      <w:pPr>
        <w:pStyle w:val="BodyText"/>
        <w:rPr>
          <w:sz w:val="15"/>
        </w:rPr>
      </w:pPr>
    </w:p>
    <w:p>
      <w:pPr>
        <w:pStyle w:val="BodyText"/>
        <w:spacing w:line="388" w:lineRule="auto" w:before="1"/>
        <w:ind w:left="118" w:right="437" w:firstLine="479"/>
      </w:pPr>
      <w:r>
        <w:rPr/>
        <w:t>基金投资者必须根据基金管理人和基金代销机构规定的手续，在开放日的业务办理时间提出申购、赎回的申请。 </w:t>
      </w:r>
    </w:p>
    <w:p>
      <w:pPr>
        <w:pStyle w:val="BodyText"/>
        <w:spacing w:before="11"/>
      </w:pPr>
    </w:p>
    <w:p>
      <w:pPr>
        <w:pStyle w:val="BodyText"/>
        <w:spacing w:line="388" w:lineRule="auto"/>
        <w:ind w:left="118" w:right="331" w:firstLine="419"/>
      </w:pPr>
      <w:r>
        <w:rPr/>
        <w:t>投资者在提交申购申请时，须按销售机构规定的方式备足申购资金；提交赎回申请时， 帐户中必须有足够的基金份额余额。</w:t>
      </w:r>
    </w:p>
    <w:p>
      <w:pPr>
        <w:pStyle w:val="BodyText"/>
        <w:rPr>
          <w:sz w:val="22"/>
        </w:rPr>
      </w:pPr>
    </w:p>
    <w:p>
      <w:pPr>
        <w:pStyle w:val="ListParagraph"/>
        <w:numPr>
          <w:ilvl w:val="0"/>
          <w:numId w:val="3"/>
        </w:numPr>
        <w:tabs>
          <w:tab w:pos="436" w:val="left" w:leader="none"/>
        </w:tabs>
        <w:spacing w:line="240" w:lineRule="auto" w:before="0" w:after="0"/>
        <w:ind w:left="435" w:right="0" w:hanging="318"/>
        <w:jc w:val="left"/>
        <w:rPr>
          <w:sz w:val="21"/>
        </w:rPr>
      </w:pPr>
      <w:r>
        <w:rPr>
          <w:spacing w:val="-3"/>
          <w:sz w:val="21"/>
        </w:rPr>
        <w:t>申购、赎回申请的确认</w:t>
      </w:r>
      <w:r>
        <w:rPr>
          <w:sz w:val="21"/>
        </w:rPr>
        <w:t> </w:t>
      </w:r>
    </w:p>
    <w:p>
      <w:pPr>
        <w:spacing w:after="0" w:line="240" w:lineRule="auto"/>
        <w:jc w:val="left"/>
        <w:rPr>
          <w:sz w:val="21"/>
        </w:rPr>
        <w:sectPr>
          <w:pgSz w:w="11910" w:h="16850"/>
          <w:pgMar w:header="852" w:footer="1386" w:top="1420" w:bottom="1620" w:left="1680" w:right="1360"/>
        </w:sectPr>
      </w:pPr>
    </w:p>
    <w:p>
      <w:pPr>
        <w:pStyle w:val="BodyText"/>
        <w:spacing w:line="388" w:lineRule="auto" w:before="127"/>
        <w:ind w:left="118" w:right="445" w:firstLine="472"/>
        <w:jc w:val="both"/>
      </w:pPr>
      <w:r>
        <w:rPr>
          <w:spacing w:val="-3"/>
        </w:rPr>
        <w:t>基金管理人应以在规定的基金业务办理时间段内收到申购和赎回申请的当天作为申购</w:t>
      </w:r>
      <w:r>
        <w:rPr>
          <w:spacing w:val="-3"/>
          <w:w w:val="100"/>
        </w:rPr>
        <w:t>或赎回申请日（</w:t>
      </w:r>
      <w:r>
        <w:rPr>
          <w:w w:val="100"/>
        </w:rPr>
        <w:t>T日</w:t>
      </w:r>
      <w:r>
        <w:rPr>
          <w:spacing w:val="-108"/>
          <w:w w:val="100"/>
        </w:rPr>
        <w:t>）</w:t>
      </w:r>
      <w:r>
        <w:rPr>
          <w:spacing w:val="-3"/>
          <w:w w:val="100"/>
        </w:rPr>
        <w:t>，本基金注册登记机构在</w:t>
      </w:r>
      <w:r>
        <w:rPr>
          <w:w w:val="100"/>
        </w:rPr>
        <w:t>T+</w:t>
      </w:r>
      <w:r>
        <w:rPr>
          <w:spacing w:val="-2"/>
          <w:w w:val="100"/>
        </w:rPr>
        <w:t>1</w:t>
      </w:r>
      <w:r>
        <w:rPr>
          <w:spacing w:val="-3"/>
          <w:w w:val="100"/>
        </w:rPr>
        <w:t>工作日对该交易的有效性进行确认。投资</w:t>
      </w:r>
      <w:r>
        <w:rPr>
          <w:spacing w:val="-3"/>
        </w:rPr>
        <w:t>者可在</w:t>
      </w:r>
      <w:r>
        <w:rPr/>
        <w:t>T+2</w:t>
      </w:r>
      <w:r>
        <w:rPr>
          <w:spacing w:val="-3"/>
        </w:rPr>
        <w:t>工作日及之后到其提出申请的网点进行成交查询。</w:t>
      </w:r>
      <w:r>
        <w:rPr/>
        <w:t> </w:t>
      </w:r>
    </w:p>
    <w:p>
      <w:pPr>
        <w:pStyle w:val="BodyText"/>
        <w:spacing w:before="12"/>
      </w:pPr>
    </w:p>
    <w:p>
      <w:pPr>
        <w:pStyle w:val="ListParagraph"/>
        <w:numPr>
          <w:ilvl w:val="0"/>
          <w:numId w:val="3"/>
        </w:numPr>
        <w:tabs>
          <w:tab w:pos="436" w:val="left" w:leader="none"/>
        </w:tabs>
        <w:spacing w:line="240" w:lineRule="auto" w:before="0" w:after="0"/>
        <w:ind w:left="435" w:right="0" w:hanging="318"/>
        <w:jc w:val="left"/>
        <w:rPr>
          <w:sz w:val="21"/>
        </w:rPr>
      </w:pPr>
      <w:r>
        <w:rPr>
          <w:spacing w:val="-3"/>
          <w:sz w:val="21"/>
        </w:rPr>
        <w:t>申购和赎回的款项支付</w:t>
      </w:r>
      <w:r>
        <w:rPr>
          <w:sz w:val="21"/>
        </w:rPr>
        <w:t> </w:t>
      </w:r>
    </w:p>
    <w:p>
      <w:pPr>
        <w:pStyle w:val="BodyText"/>
        <w:rPr>
          <w:sz w:val="20"/>
        </w:rPr>
      </w:pPr>
    </w:p>
    <w:p>
      <w:pPr>
        <w:pStyle w:val="BodyText"/>
        <w:rPr>
          <w:sz w:val="15"/>
        </w:rPr>
      </w:pPr>
    </w:p>
    <w:p>
      <w:pPr>
        <w:pStyle w:val="BodyText"/>
        <w:spacing w:line="388" w:lineRule="auto"/>
        <w:ind w:left="118" w:right="433" w:firstLine="419"/>
        <w:jc w:val="both"/>
      </w:pPr>
      <w:r>
        <w:rPr>
          <w:spacing w:val="-10"/>
        </w:rPr>
        <w:t>申购采用全额缴款方式，若资金在规定时间内未全额到账则申购不成功。若申购不成功</w:t>
      </w:r>
      <w:r>
        <w:rPr>
          <w:spacing w:val="-13"/>
        </w:rPr>
        <w:t>或无效，基金管理人或基金管理人指定的代销机构将投资者已缴付的申购款项本金退还给投资者。</w:t>
      </w:r>
    </w:p>
    <w:p>
      <w:pPr>
        <w:pStyle w:val="BodyText"/>
        <w:spacing w:before="2"/>
        <w:rPr>
          <w:sz w:val="22"/>
        </w:rPr>
      </w:pPr>
    </w:p>
    <w:p>
      <w:pPr>
        <w:pStyle w:val="BodyText"/>
        <w:spacing w:line="388" w:lineRule="auto" w:before="1"/>
        <w:ind w:left="118" w:right="433" w:firstLine="479"/>
        <w:jc w:val="both"/>
      </w:pPr>
      <w:r>
        <w:rPr>
          <w:spacing w:val="-2"/>
        </w:rPr>
        <w:t>投资者赎回申请成功后，基金管理人将指示基金托管人按有关规定将赎回款项于 </w:t>
      </w:r>
      <w:r>
        <w:rPr>
          <w:rFonts w:ascii="Times New Roman" w:eastAsia="Times New Roman"/>
        </w:rPr>
        <w:t>T+1 </w:t>
      </w:r>
      <w:r>
        <w:rPr>
          <w:spacing w:val="-8"/>
        </w:rPr>
        <w:t>日从基金托管账户划出，经销售机构划往投资者银行账户。在发生巨额赎回时，款项的支付</w:t>
      </w:r>
      <w:r>
        <w:rPr>
          <w:spacing w:val="-5"/>
        </w:rPr>
        <w:t>办法按基金合同及本招募说明书有关规定处理。 </w:t>
      </w:r>
    </w:p>
    <w:p>
      <w:pPr>
        <w:pStyle w:val="BodyText"/>
        <w:rPr>
          <w:sz w:val="20"/>
        </w:rPr>
      </w:pPr>
    </w:p>
    <w:p>
      <w:pPr>
        <w:pStyle w:val="Heading2"/>
        <w:spacing w:before="138"/>
      </w:pPr>
      <w:bookmarkStart w:name="_bookmark18" w:id="19"/>
      <w:bookmarkEnd w:id="19"/>
      <w:r>
        <w:rPr>
          <w:b w:val="0"/>
        </w:rPr>
      </w:r>
      <w:r>
        <w:rPr/>
        <w:t>（六）申购、赎回的数额限制</w:t>
      </w:r>
    </w:p>
    <w:p>
      <w:pPr>
        <w:pStyle w:val="BodyText"/>
        <w:spacing w:before="14"/>
        <w:rPr>
          <w:rFonts w:ascii="Microsoft JhengHei"/>
          <w:b/>
          <w:sz w:val="32"/>
        </w:rPr>
      </w:pPr>
    </w:p>
    <w:p>
      <w:pPr>
        <w:pStyle w:val="BodyText"/>
        <w:spacing w:line="417" w:lineRule="auto"/>
        <w:ind w:left="118" w:right="433" w:firstLine="419"/>
      </w:pPr>
      <w:r>
        <w:rPr>
          <w:spacing w:val="-11"/>
        </w:rPr>
        <w:t>本基金各类基金份额申购、赎回的数额限制由基金管理人确定并在招募说明书或更新的</w:t>
      </w:r>
      <w:r>
        <w:rPr>
          <w:spacing w:val="-6"/>
        </w:rPr>
        <w:t>招募说明书中规定。</w:t>
      </w:r>
    </w:p>
    <w:p>
      <w:pPr>
        <w:pStyle w:val="BodyText"/>
        <w:spacing w:before="12"/>
      </w:pPr>
    </w:p>
    <w:p>
      <w:pPr>
        <w:pStyle w:val="BodyText"/>
        <w:spacing w:line="417" w:lineRule="auto"/>
        <w:ind w:left="118" w:right="433" w:firstLine="419"/>
        <w:jc w:val="both"/>
      </w:pPr>
      <w:r>
        <w:rPr>
          <w:spacing w:val="-7"/>
        </w:rPr>
        <w:t>当接受申购申请对存量基金份额持有人利益构成潜在重大不利影响时，基金管理人应当</w:t>
      </w:r>
      <w:r>
        <w:rPr>
          <w:spacing w:val="-10"/>
        </w:rPr>
        <w:t>采取设定单一投资者申购金额上限、申购份额上限或基金单日净申购比例上限、拒绝大额申</w:t>
      </w:r>
      <w:r>
        <w:rPr>
          <w:spacing w:val="-20"/>
        </w:rPr>
        <w:t>购、暂停基金申购等措施，切实保护存量基金份额持有人的合法权益。具体请参见相关公告。</w:t>
      </w:r>
    </w:p>
    <w:p>
      <w:pPr>
        <w:pStyle w:val="BodyText"/>
        <w:spacing w:before="7"/>
        <w:rPr>
          <w:sz w:val="20"/>
        </w:rPr>
      </w:pPr>
    </w:p>
    <w:p>
      <w:pPr>
        <w:pStyle w:val="BodyText"/>
        <w:spacing w:line="388" w:lineRule="auto" w:before="1"/>
        <w:ind w:left="118" w:right="433" w:firstLine="419"/>
      </w:pPr>
      <w:r>
        <w:rPr>
          <w:spacing w:val="-8"/>
        </w:rPr>
        <w:t>基金管理人可根据市场情况调整有关申购、赎回的程序和数额限制，但应最迟在调整生</w:t>
      </w:r>
      <w:r>
        <w:rPr>
          <w:spacing w:val="-5"/>
        </w:rPr>
        <w:t>效前三个工作日在至少一种中国证监会指定的信息披露媒介公告。</w:t>
      </w:r>
      <w:r>
        <w:rPr/>
        <w:t> </w:t>
      </w:r>
    </w:p>
    <w:p>
      <w:pPr>
        <w:pStyle w:val="BodyText"/>
        <w:rPr>
          <w:sz w:val="20"/>
        </w:rPr>
      </w:pPr>
    </w:p>
    <w:p>
      <w:pPr>
        <w:pStyle w:val="Heading2"/>
        <w:spacing w:before="140"/>
      </w:pPr>
      <w:bookmarkStart w:name="_bookmark19" w:id="20"/>
      <w:bookmarkEnd w:id="20"/>
      <w:r>
        <w:rPr>
          <w:b w:val="0"/>
        </w:rPr>
      </w:r>
      <w:r>
        <w:rPr/>
        <w:t>（七）申购、赎回的费率</w:t>
      </w:r>
    </w:p>
    <w:p>
      <w:pPr>
        <w:pStyle w:val="BodyText"/>
        <w:spacing w:before="16"/>
        <w:rPr>
          <w:rFonts w:ascii="Microsoft JhengHei"/>
          <w:b/>
          <w:sz w:val="31"/>
        </w:rPr>
      </w:pPr>
    </w:p>
    <w:p>
      <w:pPr>
        <w:pStyle w:val="ListParagraph"/>
        <w:numPr>
          <w:ilvl w:val="1"/>
          <w:numId w:val="3"/>
        </w:numPr>
        <w:tabs>
          <w:tab w:pos="802" w:val="left" w:leader="none"/>
        </w:tabs>
        <w:spacing w:line="240" w:lineRule="auto" w:before="0" w:after="0"/>
        <w:ind w:left="802" w:right="0" w:hanging="264"/>
        <w:jc w:val="left"/>
        <w:rPr>
          <w:sz w:val="21"/>
        </w:rPr>
      </w:pPr>
      <w:r>
        <w:rPr>
          <w:spacing w:val="-3"/>
          <w:sz w:val="21"/>
        </w:rPr>
        <w:t>除法律法规另有规定或基金合同另有约定外，本基金的申购和赎回费率为</w:t>
      </w:r>
      <w:r>
        <w:rPr>
          <w:rFonts w:ascii="Times New Roman" w:eastAsia="Times New Roman"/>
          <w:spacing w:val="-3"/>
          <w:sz w:val="21"/>
        </w:rPr>
        <w:t>0</w:t>
      </w:r>
      <w:r>
        <w:rPr>
          <w:sz w:val="21"/>
        </w:rPr>
        <w:t>。</w:t>
      </w:r>
    </w:p>
    <w:p>
      <w:pPr>
        <w:pStyle w:val="ListParagraph"/>
        <w:numPr>
          <w:ilvl w:val="1"/>
          <w:numId w:val="3"/>
        </w:numPr>
        <w:tabs>
          <w:tab w:pos="802" w:val="left" w:leader="none"/>
        </w:tabs>
        <w:spacing w:line="240" w:lineRule="auto" w:before="168" w:after="0"/>
        <w:ind w:left="802" w:right="0" w:hanging="264"/>
        <w:jc w:val="left"/>
        <w:rPr>
          <w:sz w:val="21"/>
        </w:rPr>
      </w:pPr>
      <w:r>
        <w:rPr>
          <w:spacing w:val="-3"/>
          <w:sz w:val="21"/>
        </w:rPr>
        <w:t>强制赎回费用</w:t>
      </w:r>
    </w:p>
    <w:p>
      <w:pPr>
        <w:pStyle w:val="BodyText"/>
        <w:spacing w:line="430" w:lineRule="atLeast" w:before="7"/>
        <w:ind w:left="118" w:right="433" w:firstLine="419"/>
      </w:pPr>
      <w:r>
        <w:rPr>
          <w:spacing w:val="-12"/>
        </w:rPr>
        <w:t>发生以下情形之一时，本基金对当日单个基金份额持有人申请赎回基金份额超过基金总份额</w:t>
      </w:r>
      <w:r>
        <w:rPr>
          <w:rFonts w:ascii="Times New Roman" w:eastAsia="Times New Roman"/>
          <w:spacing w:val="-12"/>
        </w:rPr>
        <w:t>1%</w:t>
      </w:r>
      <w:r>
        <w:rPr>
          <w:spacing w:val="-9"/>
        </w:rPr>
        <w:t>以上的赎回申请</w:t>
      </w:r>
      <w:r>
        <w:rPr>
          <w:spacing w:val="-3"/>
        </w:rPr>
        <w:t>（指超过基金总份额</w:t>
      </w:r>
      <w:r>
        <w:rPr>
          <w:rFonts w:ascii="Times New Roman" w:eastAsia="Times New Roman"/>
        </w:rPr>
        <w:t>1%</w:t>
      </w:r>
      <w:r>
        <w:rPr>
          <w:spacing w:val="-3"/>
        </w:rPr>
        <w:t>以上的部分</w:t>
      </w:r>
      <w:r>
        <w:rPr>
          <w:spacing w:val="-32"/>
        </w:rPr>
        <w:t>）</w:t>
      </w:r>
      <w:r>
        <w:rPr>
          <w:spacing w:val="-2"/>
        </w:rPr>
        <w:t>征收</w:t>
      </w:r>
      <w:r>
        <w:rPr>
          <w:rFonts w:ascii="Times New Roman" w:eastAsia="Times New Roman"/>
        </w:rPr>
        <w:t>1%</w:t>
      </w:r>
      <w:r>
        <w:rPr>
          <w:spacing w:val="-7"/>
        </w:rPr>
        <w:t>的强制赎回费用，并将</w:t>
      </w:r>
    </w:p>
    <w:p>
      <w:pPr>
        <w:spacing w:after="0" w:line="430" w:lineRule="atLeast"/>
        <w:sectPr>
          <w:pgSz w:w="11910" w:h="16850"/>
          <w:pgMar w:header="852" w:footer="1386" w:top="1420" w:bottom="1620" w:left="1680" w:right="1360"/>
        </w:sectPr>
      </w:pPr>
    </w:p>
    <w:p>
      <w:pPr>
        <w:pStyle w:val="BodyText"/>
        <w:spacing w:line="388" w:lineRule="auto" w:before="125"/>
        <w:ind w:left="118" w:right="433"/>
      </w:pPr>
      <w:r>
        <w:rPr>
          <w:spacing w:val="-10"/>
        </w:rPr>
        <w:t>上述赎回费用全额计入基金财产。基金管理人与基金托管人协商确认上述做法无益于基金利</w:t>
      </w:r>
      <w:r>
        <w:rPr>
          <w:spacing w:val="-5"/>
        </w:rPr>
        <w:t>益最大化的情形除外：</w:t>
      </w:r>
    </w:p>
    <w:p>
      <w:pPr>
        <w:pStyle w:val="ListParagraph"/>
        <w:numPr>
          <w:ilvl w:val="0"/>
          <w:numId w:val="4"/>
        </w:numPr>
        <w:tabs>
          <w:tab w:pos="1067" w:val="left" w:leader="none"/>
        </w:tabs>
        <w:spacing w:line="388" w:lineRule="auto" w:before="2" w:after="0"/>
        <w:ind w:left="118" w:right="433" w:firstLine="419"/>
        <w:jc w:val="left"/>
        <w:rPr>
          <w:sz w:val="21"/>
        </w:rPr>
      </w:pPr>
      <w:r>
        <w:rPr>
          <w:spacing w:val="-9"/>
          <w:sz w:val="21"/>
        </w:rPr>
        <w:t>当本基金持有的现金、国债、中央银行票据、政策性金融债券以及</w:t>
      </w:r>
      <w:r>
        <w:rPr>
          <w:rFonts w:ascii="Times New Roman" w:eastAsia="Times New Roman"/>
          <w:spacing w:val="-3"/>
          <w:sz w:val="21"/>
        </w:rPr>
        <w:t>5</w:t>
      </w:r>
      <w:r>
        <w:rPr>
          <w:spacing w:val="-3"/>
          <w:sz w:val="21"/>
        </w:rPr>
        <w:t>个交易日内 到期的其他金融工具占基金资产净值的比例合计低于</w:t>
      </w:r>
      <w:r>
        <w:rPr>
          <w:rFonts w:ascii="Times New Roman" w:eastAsia="Times New Roman"/>
          <w:sz w:val="21"/>
        </w:rPr>
        <w:t>5%</w:t>
      </w:r>
      <w:r>
        <w:rPr>
          <w:spacing w:val="-3"/>
          <w:sz w:val="21"/>
        </w:rPr>
        <w:t>且偏离度为负的情形时；</w:t>
      </w:r>
    </w:p>
    <w:p>
      <w:pPr>
        <w:pStyle w:val="ListParagraph"/>
        <w:numPr>
          <w:ilvl w:val="0"/>
          <w:numId w:val="4"/>
        </w:numPr>
        <w:tabs>
          <w:tab w:pos="1067" w:val="left" w:leader="none"/>
        </w:tabs>
        <w:spacing w:line="388" w:lineRule="auto" w:before="1" w:after="0"/>
        <w:ind w:left="118" w:right="433" w:firstLine="419"/>
        <w:jc w:val="both"/>
        <w:rPr>
          <w:sz w:val="21"/>
        </w:rPr>
      </w:pPr>
      <w:r>
        <w:rPr>
          <w:spacing w:val="-3"/>
          <w:sz w:val="21"/>
        </w:rPr>
        <w:t>当本基金前</w:t>
      </w:r>
      <w:r>
        <w:rPr>
          <w:rFonts w:ascii="Times New Roman" w:eastAsia="Times New Roman"/>
          <w:sz w:val="21"/>
        </w:rPr>
        <w:t>10</w:t>
      </w:r>
      <w:r>
        <w:rPr>
          <w:rFonts w:ascii="Times New Roman" w:eastAsia="Times New Roman"/>
          <w:spacing w:val="25"/>
          <w:sz w:val="21"/>
        </w:rPr>
        <w:t> </w:t>
      </w:r>
      <w:r>
        <w:rPr>
          <w:spacing w:val="-3"/>
          <w:sz w:val="21"/>
        </w:rPr>
        <w:t>名份额持有人的持有份额合计超过基金总份额的</w:t>
      </w:r>
      <w:r>
        <w:rPr>
          <w:rFonts w:ascii="Times New Roman" w:eastAsia="Times New Roman"/>
          <w:spacing w:val="-9"/>
          <w:sz w:val="21"/>
        </w:rPr>
        <w:t>50%</w:t>
      </w:r>
      <w:r>
        <w:rPr>
          <w:spacing w:val="-3"/>
          <w:sz w:val="21"/>
        </w:rPr>
        <w:t>，且本基金 投资组合中现金、国债、中央银行票据、政策性金融债券以及</w:t>
      </w:r>
      <w:r>
        <w:rPr>
          <w:rFonts w:ascii="Times New Roman" w:eastAsia="Times New Roman"/>
          <w:sz w:val="21"/>
        </w:rPr>
        <w:t>5</w:t>
      </w:r>
      <w:r>
        <w:rPr>
          <w:spacing w:val="-3"/>
          <w:sz w:val="21"/>
        </w:rPr>
        <w:t>个交易日内到期的其他金融工具占基金资产净值的比例合计低于</w:t>
      </w:r>
      <w:r>
        <w:rPr>
          <w:rFonts w:ascii="Times New Roman" w:eastAsia="Times New Roman"/>
          <w:sz w:val="21"/>
        </w:rPr>
        <w:t>10%</w:t>
      </w:r>
      <w:r>
        <w:rPr>
          <w:spacing w:val="-3"/>
          <w:sz w:val="21"/>
        </w:rPr>
        <w:t>且偏离度为负时。</w:t>
      </w:r>
    </w:p>
    <w:p>
      <w:pPr>
        <w:pStyle w:val="BodyText"/>
        <w:spacing w:before="1"/>
        <w:rPr>
          <w:sz w:val="31"/>
        </w:rPr>
      </w:pPr>
    </w:p>
    <w:p>
      <w:pPr>
        <w:pStyle w:val="Heading2"/>
        <w:rPr>
          <w:rFonts w:ascii="宋体" w:eastAsia="宋体" w:hint="eastAsia"/>
          <w:b w:val="0"/>
        </w:rPr>
      </w:pPr>
      <w:bookmarkStart w:name="_bookmark20" w:id="21"/>
      <w:bookmarkEnd w:id="21"/>
      <w:r>
        <w:rPr>
          <w:b w:val="0"/>
        </w:rPr>
      </w:r>
      <w:r>
        <w:rPr/>
        <w:t>（八）申购份额、赎回金额的计算方式</w:t>
      </w:r>
      <w:r>
        <w:rPr>
          <w:rFonts w:ascii="宋体" w:eastAsia="宋体" w:hint="eastAsia"/>
          <w:b w:val="0"/>
        </w:rPr>
        <w:t> </w:t>
      </w:r>
    </w:p>
    <w:p>
      <w:pPr>
        <w:pStyle w:val="BodyText"/>
        <w:rPr>
          <w:sz w:val="28"/>
        </w:rPr>
      </w:pPr>
    </w:p>
    <w:p>
      <w:pPr>
        <w:pStyle w:val="ListParagraph"/>
        <w:numPr>
          <w:ilvl w:val="0"/>
          <w:numId w:val="5"/>
        </w:numPr>
        <w:tabs>
          <w:tab w:pos="529" w:val="left" w:leader="none"/>
        </w:tabs>
        <w:spacing w:line="417" w:lineRule="auto" w:before="244" w:after="0"/>
        <w:ind w:left="118" w:right="510" w:firstLine="211"/>
        <w:jc w:val="left"/>
        <w:rPr>
          <w:sz w:val="21"/>
        </w:rPr>
      </w:pPr>
      <w:r>
        <w:rPr>
          <w:rFonts w:ascii="Times New Roman" w:eastAsia="Times New Roman"/>
          <w:sz w:val="21"/>
        </w:rPr>
        <w:t>A</w:t>
      </w:r>
      <w:r>
        <w:rPr>
          <w:rFonts w:ascii="Times New Roman" w:eastAsia="Times New Roman"/>
          <w:spacing w:val="6"/>
          <w:sz w:val="21"/>
        </w:rPr>
        <w:t> </w:t>
      </w:r>
      <w:r>
        <w:rPr>
          <w:spacing w:val="5"/>
          <w:sz w:val="21"/>
        </w:rPr>
        <w:t>类基金份额和</w:t>
      </w:r>
      <w:r>
        <w:rPr>
          <w:rFonts w:ascii="Times New Roman" w:eastAsia="Times New Roman"/>
          <w:sz w:val="21"/>
        </w:rPr>
        <w:t>B</w:t>
      </w:r>
      <w:r>
        <w:rPr>
          <w:rFonts w:ascii="Times New Roman" w:eastAsia="Times New Roman"/>
          <w:spacing w:val="4"/>
          <w:sz w:val="21"/>
        </w:rPr>
        <w:t> </w:t>
      </w:r>
      <w:r>
        <w:rPr>
          <w:spacing w:val="-6"/>
          <w:sz w:val="21"/>
        </w:rPr>
        <w:t>类基金份额的申购、赎回价格为每份基金单位 </w:t>
      </w:r>
      <w:r>
        <w:rPr>
          <w:rFonts w:ascii="Times New Roman" w:eastAsia="Times New Roman"/>
          <w:sz w:val="21"/>
        </w:rPr>
        <w:t>1.00</w:t>
      </w:r>
      <w:r>
        <w:rPr>
          <w:rFonts w:ascii="Times New Roman" w:eastAsia="Times New Roman"/>
          <w:spacing w:val="8"/>
          <w:sz w:val="21"/>
        </w:rPr>
        <w:t> </w:t>
      </w:r>
      <w:r>
        <w:rPr>
          <w:spacing w:val="-2"/>
          <w:sz w:val="21"/>
        </w:rPr>
        <w:t>元；</w:t>
      </w:r>
      <w:r>
        <w:rPr>
          <w:rFonts w:ascii="Times New Roman" w:eastAsia="Times New Roman"/>
          <w:sz w:val="21"/>
        </w:rPr>
        <w:t>E</w:t>
      </w:r>
      <w:r>
        <w:rPr>
          <w:rFonts w:ascii="Times New Roman" w:eastAsia="Times New Roman"/>
          <w:spacing w:val="7"/>
          <w:sz w:val="21"/>
        </w:rPr>
        <w:t> </w:t>
      </w:r>
      <w:r>
        <w:rPr>
          <w:spacing w:val="-3"/>
          <w:sz w:val="21"/>
        </w:rPr>
        <w:t>类基金份</w:t>
      </w:r>
      <w:r>
        <w:rPr>
          <w:spacing w:val="-6"/>
          <w:sz w:val="21"/>
        </w:rPr>
        <w:t>额的申购、赎回价格为每份基金单位 </w:t>
      </w:r>
      <w:r>
        <w:rPr>
          <w:rFonts w:ascii="Times New Roman" w:eastAsia="Times New Roman"/>
          <w:sz w:val="21"/>
        </w:rPr>
        <w:t>100.00</w:t>
      </w:r>
      <w:r>
        <w:rPr>
          <w:rFonts w:ascii="Times New Roman" w:eastAsia="Times New Roman"/>
          <w:spacing w:val="-3"/>
          <w:sz w:val="21"/>
        </w:rPr>
        <w:t> </w:t>
      </w:r>
      <w:r>
        <w:rPr>
          <w:sz w:val="21"/>
        </w:rPr>
        <w:t>元。 </w:t>
      </w:r>
    </w:p>
    <w:p>
      <w:pPr>
        <w:pStyle w:val="BodyText"/>
        <w:spacing w:before="11"/>
      </w:pPr>
    </w:p>
    <w:p>
      <w:pPr>
        <w:pStyle w:val="ListParagraph"/>
        <w:numPr>
          <w:ilvl w:val="0"/>
          <w:numId w:val="5"/>
        </w:numPr>
        <w:tabs>
          <w:tab w:pos="594" w:val="left" w:leader="none"/>
        </w:tabs>
        <w:spacing w:line="240" w:lineRule="auto" w:before="0" w:after="0"/>
        <w:ind w:left="593" w:right="0" w:hanging="265"/>
        <w:jc w:val="left"/>
        <w:rPr>
          <w:sz w:val="21"/>
        </w:rPr>
      </w:pPr>
      <w:r>
        <w:rPr>
          <w:spacing w:val="-7"/>
          <w:sz w:val="21"/>
        </w:rPr>
        <w:t>申购金额的计算及处理方式：本基金申购金额的计算详见《招募说明书》。</w:t>
      </w:r>
    </w:p>
    <w:p>
      <w:pPr>
        <w:pStyle w:val="BodyText"/>
        <w:rPr>
          <w:sz w:val="22"/>
        </w:rPr>
      </w:pPr>
    </w:p>
    <w:p>
      <w:pPr>
        <w:pStyle w:val="BodyText"/>
        <w:spacing w:before="6"/>
        <w:rPr>
          <w:sz w:val="15"/>
        </w:rPr>
      </w:pPr>
    </w:p>
    <w:p>
      <w:pPr>
        <w:pStyle w:val="ListParagraph"/>
        <w:numPr>
          <w:ilvl w:val="0"/>
          <w:numId w:val="5"/>
        </w:numPr>
        <w:tabs>
          <w:tab w:pos="594" w:val="left" w:leader="none"/>
        </w:tabs>
        <w:spacing w:line="240" w:lineRule="auto" w:before="0" w:after="0"/>
        <w:ind w:left="593" w:right="0" w:hanging="265"/>
        <w:jc w:val="left"/>
        <w:rPr>
          <w:sz w:val="21"/>
        </w:rPr>
      </w:pPr>
      <w:r>
        <w:rPr>
          <w:spacing w:val="-7"/>
          <w:sz w:val="21"/>
        </w:rPr>
        <w:t>赎回金额的计算及处理方式：本基金赎回金额的计算详见《招募说明书》。</w:t>
      </w:r>
    </w:p>
    <w:p>
      <w:pPr>
        <w:pStyle w:val="BodyText"/>
        <w:rPr>
          <w:sz w:val="22"/>
        </w:rPr>
      </w:pPr>
    </w:p>
    <w:p>
      <w:pPr>
        <w:pStyle w:val="BodyText"/>
        <w:spacing w:before="11"/>
        <w:rPr>
          <w:sz w:val="22"/>
        </w:rPr>
      </w:pPr>
    </w:p>
    <w:p>
      <w:pPr>
        <w:pStyle w:val="Heading2"/>
      </w:pPr>
      <w:bookmarkStart w:name="_bookmark21" w:id="22"/>
      <w:bookmarkEnd w:id="22"/>
      <w:r>
        <w:rPr>
          <w:b w:val="0"/>
        </w:rPr>
      </w:r>
      <w:r>
        <w:rPr/>
        <w:t>（九）申购、赎回的注册登记</w:t>
      </w:r>
      <w:r>
        <w:rPr>
          <w:w w:val="200"/>
        </w:rPr>
        <w:t> </w:t>
      </w:r>
    </w:p>
    <w:p>
      <w:pPr>
        <w:pStyle w:val="BodyText"/>
        <w:spacing w:before="16"/>
        <w:rPr>
          <w:rFonts w:ascii="Microsoft JhengHei"/>
          <w:b/>
          <w:sz w:val="32"/>
        </w:rPr>
      </w:pPr>
    </w:p>
    <w:p>
      <w:pPr>
        <w:pStyle w:val="ListParagraph"/>
        <w:numPr>
          <w:ilvl w:val="1"/>
          <w:numId w:val="5"/>
        </w:numPr>
        <w:tabs>
          <w:tab w:pos="856" w:val="left" w:leader="none"/>
        </w:tabs>
        <w:spacing w:line="417" w:lineRule="auto" w:before="1" w:after="0"/>
        <w:ind w:left="118" w:right="436" w:firstLine="419"/>
        <w:jc w:val="both"/>
        <w:rPr>
          <w:sz w:val="21"/>
        </w:rPr>
      </w:pPr>
      <w:r>
        <w:rPr>
          <w:spacing w:val="-5"/>
          <w:sz w:val="21"/>
        </w:rPr>
        <w:t>投资者申购基金成功后，基金注册登记机构在 </w:t>
      </w:r>
      <w:r>
        <w:rPr>
          <w:sz w:val="21"/>
        </w:rPr>
        <w:t>T+1</w:t>
      </w:r>
      <w:r>
        <w:rPr>
          <w:spacing w:val="-7"/>
          <w:sz w:val="21"/>
        </w:rPr>
        <w:t> 工作日为投资者增加权益并办理</w:t>
      </w:r>
      <w:r>
        <w:rPr>
          <w:spacing w:val="-10"/>
          <w:sz w:val="21"/>
        </w:rPr>
        <w:t>注册登记手续，投资者自 </w:t>
      </w:r>
      <w:r>
        <w:rPr>
          <w:sz w:val="21"/>
        </w:rPr>
        <w:t>T+2</w:t>
      </w:r>
      <w:r>
        <w:rPr>
          <w:spacing w:val="-9"/>
          <w:sz w:val="21"/>
        </w:rPr>
        <w:t> 工作日起有权赎回该部分基金份额。</w:t>
      </w:r>
      <w:r>
        <w:rPr>
          <w:sz w:val="21"/>
        </w:rPr>
        <w:t> </w:t>
      </w:r>
    </w:p>
    <w:p>
      <w:pPr>
        <w:pStyle w:val="BodyText"/>
        <w:spacing w:before="11"/>
      </w:pPr>
    </w:p>
    <w:p>
      <w:pPr>
        <w:pStyle w:val="ListParagraph"/>
        <w:numPr>
          <w:ilvl w:val="1"/>
          <w:numId w:val="5"/>
        </w:numPr>
        <w:tabs>
          <w:tab w:pos="856" w:val="left" w:leader="none"/>
        </w:tabs>
        <w:spacing w:line="417" w:lineRule="auto" w:before="0" w:after="0"/>
        <w:ind w:left="118" w:right="436" w:firstLine="419"/>
        <w:jc w:val="both"/>
        <w:rPr>
          <w:sz w:val="21"/>
        </w:rPr>
      </w:pPr>
      <w:r>
        <w:rPr>
          <w:spacing w:val="-5"/>
          <w:sz w:val="21"/>
        </w:rPr>
        <w:t>投资者赎回基金成功后，基金注册登记机构在 </w:t>
      </w:r>
      <w:r>
        <w:rPr>
          <w:sz w:val="21"/>
        </w:rPr>
        <w:t>T+1</w:t>
      </w:r>
      <w:r>
        <w:rPr>
          <w:spacing w:val="-7"/>
          <w:sz w:val="21"/>
        </w:rPr>
        <w:t> 工作日为投资者扣除权益并办理</w:t>
      </w:r>
      <w:r>
        <w:rPr>
          <w:spacing w:val="-5"/>
          <w:sz w:val="21"/>
        </w:rPr>
        <w:t>相应的注册登记手续。</w:t>
      </w:r>
      <w:r>
        <w:rPr>
          <w:sz w:val="21"/>
        </w:rPr>
        <w:t> </w:t>
      </w:r>
    </w:p>
    <w:p>
      <w:pPr>
        <w:pStyle w:val="BodyText"/>
        <w:spacing w:before="9"/>
      </w:pPr>
    </w:p>
    <w:p>
      <w:pPr>
        <w:pStyle w:val="BodyText"/>
        <w:spacing w:line="417" w:lineRule="auto" w:before="1"/>
        <w:ind w:left="118" w:right="433" w:firstLine="419"/>
      </w:pPr>
      <w:r>
        <w:rPr>
          <w:spacing w:val="-8"/>
        </w:rPr>
        <w:t>基金管理人可在法律法规允许的范围内，对上述注册登记办理时间进行调整，并最迟于</w:t>
      </w:r>
      <w:r>
        <w:rPr>
          <w:spacing w:val="-5"/>
        </w:rPr>
        <w:t>开始实施前三个工作日予以公告。</w:t>
      </w:r>
      <w:r>
        <w:rPr/>
        <w:t> </w:t>
      </w:r>
    </w:p>
    <w:p>
      <w:pPr>
        <w:pStyle w:val="BodyText"/>
        <w:spacing w:before="5"/>
        <w:rPr>
          <w:sz w:val="29"/>
        </w:rPr>
      </w:pPr>
    </w:p>
    <w:p>
      <w:pPr>
        <w:pStyle w:val="Heading2"/>
        <w:rPr>
          <w:rFonts w:ascii="宋体" w:eastAsia="宋体" w:hint="eastAsia"/>
          <w:b w:val="0"/>
        </w:rPr>
      </w:pPr>
      <w:bookmarkStart w:name="_bookmark22" w:id="23"/>
      <w:bookmarkEnd w:id="23"/>
      <w:r>
        <w:rPr>
          <w:b w:val="0"/>
        </w:rPr>
      </w:r>
      <w:r>
        <w:rPr/>
        <w:t>（十）巨额赎回的认定及处理方式</w:t>
      </w:r>
      <w:r>
        <w:rPr>
          <w:rFonts w:ascii="宋体" w:eastAsia="宋体" w:hint="eastAsia"/>
          <w:b w:val="0"/>
        </w:rPr>
        <w:t> </w:t>
      </w:r>
    </w:p>
    <w:p>
      <w:pPr>
        <w:pStyle w:val="BodyText"/>
        <w:rPr>
          <w:sz w:val="28"/>
        </w:rPr>
      </w:pPr>
    </w:p>
    <w:p>
      <w:pPr>
        <w:pStyle w:val="BodyText"/>
        <w:spacing w:before="247"/>
        <w:ind w:left="538"/>
      </w:pPr>
      <w:r>
        <w:rPr/>
        <w:t>为体现赎回申请占基金资产的实际比例及其影响，在认定巨额赎回的过程中，应将每一</w:t>
      </w:r>
    </w:p>
    <w:p>
      <w:pPr>
        <w:spacing w:after="0"/>
        <w:sectPr>
          <w:pgSz w:w="11910" w:h="16850"/>
          <w:pgMar w:header="852" w:footer="1386" w:top="1420" w:bottom="1580" w:left="1680" w:right="1360"/>
        </w:sectPr>
      </w:pPr>
    </w:p>
    <w:p>
      <w:pPr>
        <w:pStyle w:val="BodyText"/>
        <w:spacing w:before="142"/>
        <w:ind w:left="118"/>
      </w:pPr>
      <w:r>
        <w:rPr/>
        <w:t>份 </w:t>
      </w:r>
      <w:r>
        <w:rPr>
          <w:rFonts w:ascii="Times New Roman" w:eastAsia="Times New Roman"/>
        </w:rPr>
        <w:t>E </w:t>
      </w:r>
      <w:r>
        <w:rPr/>
        <w:t>类基金份额折算为 </w:t>
      </w:r>
      <w:r>
        <w:rPr>
          <w:rFonts w:ascii="Times New Roman" w:eastAsia="Times New Roman"/>
        </w:rPr>
        <w:t>100 </w:t>
      </w:r>
      <w:r>
        <w:rPr/>
        <w:t>份</w:t>
      </w:r>
      <w:r>
        <w:rPr>
          <w:rFonts w:ascii="Times New Roman" w:eastAsia="Times New Roman"/>
        </w:rPr>
        <w:t>A </w:t>
      </w:r>
      <w:r>
        <w:rPr/>
        <w:t>类基金份额或</w:t>
      </w:r>
      <w:r>
        <w:rPr>
          <w:rFonts w:ascii="Times New Roman" w:eastAsia="Times New Roman"/>
        </w:rPr>
        <w:t>B </w:t>
      </w:r>
      <w:r>
        <w:rPr/>
        <w:t>类基金份额。</w:t>
      </w:r>
    </w:p>
    <w:p>
      <w:pPr>
        <w:pStyle w:val="BodyText"/>
        <w:rPr>
          <w:sz w:val="22"/>
        </w:rPr>
      </w:pPr>
    </w:p>
    <w:p>
      <w:pPr>
        <w:pStyle w:val="BodyText"/>
        <w:spacing w:before="197"/>
        <w:ind w:left="538"/>
      </w:pPr>
      <w:r>
        <w:rPr>
          <w:rFonts w:ascii="Times New Roman" w:eastAsia="Times New Roman"/>
        </w:rPr>
        <w:t>1</w:t>
      </w:r>
      <w:r>
        <w:rPr/>
        <w:t>．巨额赎回的认定</w:t>
      </w:r>
    </w:p>
    <w:p>
      <w:pPr>
        <w:pStyle w:val="BodyText"/>
        <w:rPr>
          <w:sz w:val="22"/>
        </w:rPr>
      </w:pPr>
    </w:p>
    <w:p>
      <w:pPr>
        <w:pStyle w:val="BodyText"/>
        <w:spacing w:line="417" w:lineRule="auto" w:before="196"/>
        <w:ind w:left="118" w:right="433" w:firstLine="419"/>
        <w:jc w:val="both"/>
      </w:pPr>
      <w:r>
        <w:rPr>
          <w:spacing w:val="-6"/>
        </w:rPr>
        <w:t>单个开放日中，本基金 </w:t>
      </w:r>
      <w:r>
        <w:rPr>
          <w:rFonts w:ascii="Times New Roman" w:eastAsia="Times New Roman"/>
        </w:rPr>
        <w:t>A </w:t>
      </w:r>
      <w:r>
        <w:rPr>
          <w:spacing w:val="-12"/>
        </w:rPr>
        <w:t>类和 </w:t>
      </w:r>
      <w:r>
        <w:rPr>
          <w:rFonts w:ascii="Times New Roman" w:eastAsia="Times New Roman"/>
        </w:rPr>
        <w:t>B </w:t>
      </w:r>
      <w:r>
        <w:rPr>
          <w:spacing w:val="-3"/>
        </w:rPr>
        <w:t>类基金份额的基金份额净赎回申请</w:t>
      </w:r>
      <w:r>
        <w:rPr/>
        <w:t>（</w:t>
      </w:r>
      <w:r>
        <w:rPr>
          <w:spacing w:val="-3"/>
        </w:rPr>
        <w:t>赎回申请总数扣除申购申请总数后的余额</w:t>
      </w:r>
      <w:r>
        <w:rPr/>
        <w:t>）</w:t>
      </w:r>
      <w:r>
        <w:rPr>
          <w:spacing w:val="-18"/>
        </w:rPr>
        <w:t>与 </w:t>
      </w:r>
      <w:r>
        <w:rPr>
          <w:rFonts w:ascii="Times New Roman" w:eastAsia="Times New Roman"/>
        </w:rPr>
        <w:t>A </w:t>
      </w:r>
      <w:r>
        <w:rPr>
          <w:spacing w:val="-13"/>
        </w:rPr>
        <w:t>类和 </w:t>
      </w:r>
      <w:r>
        <w:rPr>
          <w:rFonts w:ascii="Times New Roman" w:eastAsia="Times New Roman"/>
        </w:rPr>
        <w:t>B </w:t>
      </w:r>
      <w:r>
        <w:rPr>
          <w:spacing w:val="-3"/>
        </w:rPr>
        <w:t>类基金份额净转出申请</w:t>
      </w:r>
      <w:r>
        <w:rPr/>
        <w:t>（</w:t>
      </w:r>
      <w:r>
        <w:rPr>
          <w:spacing w:val="-3"/>
        </w:rPr>
        <w:t>转出申请总数扣除转入申请总数后的余额</w:t>
      </w:r>
      <w:r>
        <w:rPr/>
        <w:t>）</w:t>
      </w:r>
      <w:r>
        <w:rPr>
          <w:spacing w:val="-6"/>
        </w:rPr>
        <w:t>之和超过前一日基金份额总份额数的 </w:t>
      </w:r>
      <w:r>
        <w:rPr>
          <w:rFonts w:ascii="Times New Roman" w:eastAsia="Times New Roman"/>
        </w:rPr>
        <w:t>10%</w:t>
      </w:r>
      <w:r>
        <w:rPr>
          <w:spacing w:val="-11"/>
        </w:rPr>
        <w:t>，即认为 </w:t>
      </w:r>
      <w:r>
        <w:rPr>
          <w:rFonts w:ascii="Times New Roman" w:eastAsia="Times New Roman"/>
        </w:rPr>
        <w:t>A </w:t>
      </w:r>
      <w:r>
        <w:rPr/>
        <w:t>类</w:t>
      </w:r>
      <w:r>
        <w:rPr>
          <w:rFonts w:ascii="Times New Roman" w:eastAsia="Times New Roman"/>
        </w:rPr>
        <w:t>/B </w:t>
      </w:r>
      <w:r>
        <w:rPr>
          <w:spacing w:val="-2"/>
        </w:rPr>
        <w:t>类基金份额发</w:t>
      </w:r>
      <w:r>
        <w:rPr>
          <w:spacing w:val="-3"/>
        </w:rPr>
        <w:t>生了巨额赎回。</w:t>
      </w:r>
    </w:p>
    <w:p>
      <w:pPr>
        <w:pStyle w:val="BodyText"/>
        <w:spacing w:before="11"/>
      </w:pPr>
    </w:p>
    <w:p>
      <w:pPr>
        <w:pStyle w:val="BodyText"/>
        <w:spacing w:line="417" w:lineRule="auto" w:before="1"/>
        <w:ind w:left="118" w:right="433" w:firstLine="419"/>
        <w:jc w:val="both"/>
      </w:pPr>
      <w:r>
        <w:rPr>
          <w:spacing w:val="-2"/>
        </w:rPr>
        <w:t>单个开放日中，本基金 </w:t>
      </w:r>
      <w:r>
        <w:rPr>
          <w:rFonts w:ascii="Times New Roman" w:eastAsia="Times New Roman"/>
        </w:rPr>
        <w:t>E </w:t>
      </w:r>
      <w:r>
        <w:rPr>
          <w:spacing w:val="-3"/>
        </w:rPr>
        <w:t>类基金份额的基金份额净赎回申请（赎回申请总数扣除申购申请总数后的余额）</w:t>
      </w:r>
      <w:r>
        <w:rPr>
          <w:spacing w:val="-4"/>
        </w:rPr>
        <w:t>超过前一日基金份额总份额数的 </w:t>
      </w:r>
      <w:r>
        <w:rPr>
          <w:rFonts w:ascii="Times New Roman" w:eastAsia="Times New Roman"/>
        </w:rPr>
        <w:t>10%</w:t>
      </w:r>
      <w:r>
        <w:rPr>
          <w:spacing w:val="-4"/>
        </w:rPr>
        <w:t>，即认为 </w:t>
      </w:r>
      <w:r>
        <w:rPr>
          <w:rFonts w:ascii="Times New Roman" w:eastAsia="Times New Roman"/>
        </w:rPr>
        <w:t>E </w:t>
      </w:r>
      <w:r>
        <w:rPr>
          <w:spacing w:val="-3"/>
        </w:rPr>
        <w:t>类基金份额发生了巨额赎回。</w:t>
      </w:r>
    </w:p>
    <w:p>
      <w:pPr>
        <w:pStyle w:val="BodyText"/>
        <w:spacing w:before="11"/>
      </w:pPr>
    </w:p>
    <w:p>
      <w:pPr>
        <w:pStyle w:val="BodyText"/>
        <w:ind w:left="538"/>
      </w:pPr>
      <w:r>
        <w:rPr>
          <w:rFonts w:ascii="Times New Roman" w:eastAsia="Times New Roman"/>
        </w:rPr>
        <w:t>2</w:t>
      </w:r>
      <w:r>
        <w:rPr/>
        <w:t>．</w:t>
      </w:r>
      <w:r>
        <w:rPr>
          <w:rFonts w:ascii="Times New Roman" w:eastAsia="Times New Roman"/>
        </w:rPr>
        <w:t>A </w:t>
      </w:r>
      <w:r>
        <w:rPr/>
        <w:t>类</w:t>
      </w:r>
      <w:r>
        <w:rPr>
          <w:rFonts w:ascii="Times New Roman" w:eastAsia="Times New Roman"/>
        </w:rPr>
        <w:t>/B </w:t>
      </w:r>
      <w:r>
        <w:rPr/>
        <w:t>类基金份额巨额赎回的处理方式</w:t>
      </w:r>
    </w:p>
    <w:p>
      <w:pPr>
        <w:pStyle w:val="BodyText"/>
        <w:rPr>
          <w:sz w:val="22"/>
        </w:rPr>
      </w:pPr>
    </w:p>
    <w:p>
      <w:pPr>
        <w:pStyle w:val="BodyText"/>
        <w:spacing w:line="417" w:lineRule="auto" w:before="195"/>
        <w:ind w:left="118" w:right="433" w:firstLine="419"/>
        <w:jc w:val="both"/>
      </w:pPr>
      <w:r>
        <w:rPr>
          <w:spacing w:val="-10"/>
        </w:rPr>
        <w:t>当出现 </w:t>
      </w:r>
      <w:r>
        <w:rPr>
          <w:rFonts w:ascii="Times New Roman" w:eastAsia="Times New Roman"/>
        </w:rPr>
        <w:t>A </w:t>
      </w:r>
      <w:r>
        <w:rPr/>
        <w:t>类</w:t>
      </w:r>
      <w:r>
        <w:rPr>
          <w:rFonts w:ascii="Times New Roman" w:eastAsia="Times New Roman"/>
        </w:rPr>
        <w:t>/B </w:t>
      </w:r>
      <w:r>
        <w:rPr>
          <w:spacing w:val="-3"/>
        </w:rPr>
        <w:t>类基金份额巨额赎回时，基金管理人可以根据该基金当时的资产组合状况决定全额赎回或部分顺延赎回。</w:t>
      </w:r>
    </w:p>
    <w:p>
      <w:pPr>
        <w:pStyle w:val="BodyText"/>
        <w:spacing w:before="12"/>
      </w:pPr>
    </w:p>
    <w:p>
      <w:pPr>
        <w:pStyle w:val="ListParagraph"/>
        <w:numPr>
          <w:ilvl w:val="0"/>
          <w:numId w:val="6"/>
        </w:numPr>
        <w:tabs>
          <w:tab w:pos="1067" w:val="left" w:leader="none"/>
        </w:tabs>
        <w:spacing w:line="417" w:lineRule="auto" w:before="0" w:after="0"/>
        <w:ind w:left="118" w:right="433" w:firstLine="419"/>
        <w:jc w:val="both"/>
        <w:rPr>
          <w:sz w:val="21"/>
        </w:rPr>
      </w:pPr>
      <w:r>
        <w:rPr>
          <w:spacing w:val="-3"/>
          <w:sz w:val="21"/>
        </w:rPr>
        <w:t>全额赎回：当基金管理人认为有能力支付投资者 </w:t>
      </w:r>
      <w:r>
        <w:rPr>
          <w:rFonts w:ascii="Times New Roman" w:eastAsia="Times New Roman"/>
          <w:sz w:val="21"/>
        </w:rPr>
        <w:t>A</w:t>
      </w:r>
      <w:r>
        <w:rPr>
          <w:rFonts w:ascii="Times New Roman" w:eastAsia="Times New Roman"/>
          <w:spacing w:val="4"/>
          <w:sz w:val="21"/>
        </w:rPr>
        <w:t> </w:t>
      </w:r>
      <w:r>
        <w:rPr>
          <w:sz w:val="21"/>
        </w:rPr>
        <w:t>类</w:t>
      </w:r>
      <w:r>
        <w:rPr>
          <w:rFonts w:ascii="Times New Roman" w:eastAsia="Times New Roman"/>
          <w:sz w:val="21"/>
        </w:rPr>
        <w:t>/B</w:t>
      </w:r>
      <w:r>
        <w:rPr>
          <w:rFonts w:ascii="Times New Roman" w:eastAsia="Times New Roman"/>
          <w:spacing w:val="3"/>
          <w:sz w:val="21"/>
        </w:rPr>
        <w:t> </w:t>
      </w:r>
      <w:r>
        <w:rPr>
          <w:spacing w:val="-3"/>
          <w:sz w:val="21"/>
        </w:rPr>
        <w:t>类基金份额的赎回申请时，按正常赎回程序执行。</w:t>
      </w:r>
    </w:p>
    <w:p>
      <w:pPr>
        <w:pStyle w:val="BodyText"/>
        <w:spacing w:before="11"/>
      </w:pPr>
    </w:p>
    <w:p>
      <w:pPr>
        <w:pStyle w:val="ListParagraph"/>
        <w:numPr>
          <w:ilvl w:val="0"/>
          <w:numId w:val="6"/>
        </w:numPr>
        <w:tabs>
          <w:tab w:pos="1067" w:val="left" w:leader="none"/>
        </w:tabs>
        <w:spacing w:line="417" w:lineRule="auto" w:before="0" w:after="0"/>
        <w:ind w:left="118" w:right="433" w:firstLine="419"/>
        <w:jc w:val="both"/>
        <w:rPr>
          <w:sz w:val="21"/>
        </w:rPr>
      </w:pPr>
      <w:r>
        <w:rPr>
          <w:spacing w:val="-10"/>
          <w:sz w:val="21"/>
        </w:rPr>
        <w:t>部分顺延赎回：当基金管理人认为支付投资者 </w:t>
      </w:r>
      <w:r>
        <w:rPr>
          <w:rFonts w:ascii="Times New Roman" w:eastAsia="Times New Roman"/>
          <w:sz w:val="21"/>
        </w:rPr>
        <w:t>A</w:t>
      </w:r>
      <w:r>
        <w:rPr>
          <w:rFonts w:ascii="Times New Roman" w:eastAsia="Times New Roman"/>
          <w:spacing w:val="7"/>
          <w:sz w:val="21"/>
        </w:rPr>
        <w:t> </w:t>
      </w:r>
      <w:r>
        <w:rPr>
          <w:sz w:val="21"/>
        </w:rPr>
        <w:t>类</w:t>
      </w:r>
      <w:r>
        <w:rPr>
          <w:rFonts w:ascii="Times New Roman" w:eastAsia="Times New Roman"/>
          <w:sz w:val="21"/>
        </w:rPr>
        <w:t>/B</w:t>
      </w:r>
      <w:r>
        <w:rPr>
          <w:rFonts w:ascii="Times New Roman" w:eastAsia="Times New Roman"/>
          <w:spacing w:val="7"/>
          <w:sz w:val="21"/>
        </w:rPr>
        <w:t> </w:t>
      </w:r>
      <w:r>
        <w:rPr>
          <w:spacing w:val="-3"/>
          <w:sz w:val="21"/>
        </w:rPr>
        <w:t>类基金份额的赎回申请有 </w:t>
      </w:r>
      <w:r>
        <w:rPr>
          <w:spacing w:val="-6"/>
          <w:sz w:val="21"/>
        </w:rPr>
        <w:t>困难或认为支付投资者 </w:t>
      </w:r>
      <w:r>
        <w:rPr>
          <w:rFonts w:ascii="Times New Roman" w:eastAsia="Times New Roman"/>
          <w:sz w:val="21"/>
        </w:rPr>
        <w:t>A</w:t>
      </w:r>
      <w:r>
        <w:rPr>
          <w:rFonts w:ascii="Times New Roman" w:eastAsia="Times New Roman"/>
          <w:spacing w:val="21"/>
          <w:sz w:val="21"/>
        </w:rPr>
        <w:t> </w:t>
      </w:r>
      <w:r>
        <w:rPr>
          <w:sz w:val="21"/>
        </w:rPr>
        <w:t>类</w:t>
      </w:r>
      <w:r>
        <w:rPr>
          <w:rFonts w:ascii="Times New Roman" w:eastAsia="Times New Roman"/>
          <w:sz w:val="21"/>
        </w:rPr>
        <w:t>/B</w:t>
      </w:r>
      <w:r>
        <w:rPr>
          <w:rFonts w:ascii="Times New Roman" w:eastAsia="Times New Roman"/>
          <w:spacing w:val="23"/>
          <w:sz w:val="21"/>
        </w:rPr>
        <w:t> </w:t>
      </w:r>
      <w:r>
        <w:rPr>
          <w:spacing w:val="-3"/>
          <w:sz w:val="21"/>
        </w:rPr>
        <w:t>类基金份额的赎回申请可能会对该基金的资产净值造成较大</w:t>
      </w:r>
      <w:r>
        <w:rPr>
          <w:spacing w:val="-6"/>
          <w:sz w:val="21"/>
        </w:rPr>
        <w:t>波动时，基金管理人可在当日接受 </w:t>
      </w:r>
      <w:r>
        <w:rPr>
          <w:rFonts w:ascii="Times New Roman" w:eastAsia="Times New Roman"/>
          <w:sz w:val="21"/>
        </w:rPr>
        <w:t>A</w:t>
      </w:r>
      <w:r>
        <w:rPr>
          <w:rFonts w:ascii="Times New Roman" w:eastAsia="Times New Roman"/>
          <w:spacing w:val="10"/>
          <w:sz w:val="21"/>
        </w:rPr>
        <w:t> </w:t>
      </w:r>
      <w:r>
        <w:rPr>
          <w:sz w:val="21"/>
        </w:rPr>
        <w:t>类</w:t>
      </w:r>
      <w:r>
        <w:rPr>
          <w:rFonts w:ascii="Times New Roman" w:eastAsia="Times New Roman"/>
          <w:sz w:val="21"/>
        </w:rPr>
        <w:t>/B</w:t>
      </w:r>
      <w:r>
        <w:rPr>
          <w:rFonts w:ascii="Times New Roman" w:eastAsia="Times New Roman"/>
          <w:spacing w:val="13"/>
          <w:sz w:val="21"/>
        </w:rPr>
        <w:t> </w:t>
      </w:r>
      <w:r>
        <w:rPr>
          <w:spacing w:val="-6"/>
          <w:sz w:val="21"/>
        </w:rPr>
        <w:t>类基金份额赎回比例不低于该基金总份额的 </w:t>
      </w:r>
      <w:r>
        <w:rPr>
          <w:rFonts w:ascii="Times New Roman" w:eastAsia="Times New Roman"/>
          <w:sz w:val="21"/>
        </w:rPr>
        <w:t>10% </w:t>
      </w:r>
      <w:r>
        <w:rPr>
          <w:spacing w:val="-12"/>
          <w:sz w:val="21"/>
        </w:rPr>
        <w:t>的前提下，对其余 </w:t>
      </w:r>
      <w:r>
        <w:rPr>
          <w:rFonts w:ascii="Times New Roman" w:eastAsia="Times New Roman"/>
          <w:sz w:val="21"/>
        </w:rPr>
        <w:t>A</w:t>
      </w:r>
      <w:r>
        <w:rPr>
          <w:rFonts w:ascii="Times New Roman" w:eastAsia="Times New Roman"/>
          <w:spacing w:val="7"/>
          <w:sz w:val="21"/>
        </w:rPr>
        <w:t> </w:t>
      </w:r>
      <w:r>
        <w:rPr>
          <w:sz w:val="21"/>
        </w:rPr>
        <w:t>类</w:t>
      </w:r>
      <w:r>
        <w:rPr>
          <w:rFonts w:ascii="Times New Roman" w:eastAsia="Times New Roman"/>
          <w:sz w:val="21"/>
        </w:rPr>
        <w:t>/B</w:t>
      </w:r>
      <w:r>
        <w:rPr>
          <w:rFonts w:ascii="Times New Roman" w:eastAsia="Times New Roman"/>
          <w:spacing w:val="7"/>
          <w:sz w:val="21"/>
        </w:rPr>
        <w:t> </w:t>
      </w:r>
      <w:r>
        <w:rPr>
          <w:spacing w:val="-8"/>
          <w:sz w:val="21"/>
        </w:rPr>
        <w:t>类基金份额的赎回申请延期办理。对于当日 </w:t>
      </w:r>
      <w:r>
        <w:rPr>
          <w:rFonts w:ascii="Times New Roman" w:eastAsia="Times New Roman"/>
          <w:sz w:val="21"/>
        </w:rPr>
        <w:t>A</w:t>
      </w:r>
      <w:r>
        <w:rPr>
          <w:rFonts w:ascii="Times New Roman" w:eastAsia="Times New Roman"/>
          <w:spacing w:val="7"/>
          <w:sz w:val="21"/>
        </w:rPr>
        <w:t> </w:t>
      </w:r>
      <w:r>
        <w:rPr>
          <w:sz w:val="21"/>
        </w:rPr>
        <w:t>类</w:t>
      </w:r>
      <w:r>
        <w:rPr>
          <w:rFonts w:ascii="Times New Roman" w:eastAsia="Times New Roman"/>
          <w:sz w:val="21"/>
        </w:rPr>
        <w:t>/B</w:t>
      </w:r>
      <w:r>
        <w:rPr>
          <w:rFonts w:ascii="Times New Roman" w:eastAsia="Times New Roman"/>
          <w:spacing w:val="7"/>
          <w:sz w:val="21"/>
        </w:rPr>
        <w:t> </w:t>
      </w:r>
      <w:r>
        <w:rPr>
          <w:spacing w:val="-3"/>
          <w:sz w:val="21"/>
        </w:rPr>
        <w:t>类基金份额的</w:t>
      </w:r>
      <w:r>
        <w:rPr>
          <w:spacing w:val="-13"/>
          <w:sz w:val="21"/>
        </w:rPr>
        <w:t>赎回申请，应当按单个帐户 </w:t>
      </w:r>
      <w:r>
        <w:rPr>
          <w:rFonts w:ascii="Times New Roman" w:eastAsia="Times New Roman"/>
          <w:sz w:val="21"/>
        </w:rPr>
        <w:t>A</w:t>
      </w:r>
      <w:r>
        <w:rPr>
          <w:rFonts w:ascii="Times New Roman" w:eastAsia="Times New Roman"/>
          <w:spacing w:val="8"/>
          <w:sz w:val="21"/>
        </w:rPr>
        <w:t> </w:t>
      </w:r>
      <w:r>
        <w:rPr>
          <w:sz w:val="21"/>
        </w:rPr>
        <w:t>类</w:t>
      </w:r>
      <w:r>
        <w:rPr>
          <w:rFonts w:ascii="Times New Roman" w:eastAsia="Times New Roman"/>
          <w:sz w:val="21"/>
        </w:rPr>
        <w:t>/B</w:t>
      </w:r>
      <w:r>
        <w:rPr>
          <w:rFonts w:ascii="Times New Roman" w:eastAsia="Times New Roman"/>
          <w:spacing w:val="8"/>
          <w:sz w:val="21"/>
        </w:rPr>
        <w:t> </w:t>
      </w:r>
      <w:r>
        <w:rPr>
          <w:spacing w:val="1"/>
          <w:sz w:val="21"/>
        </w:rPr>
        <w:t>类基金份额赎回申请量占</w:t>
      </w:r>
      <w:r>
        <w:rPr>
          <w:rFonts w:ascii="Times New Roman" w:eastAsia="Times New Roman"/>
          <w:sz w:val="21"/>
        </w:rPr>
        <w:t>A</w:t>
      </w:r>
      <w:r>
        <w:rPr>
          <w:rFonts w:ascii="Times New Roman" w:eastAsia="Times New Roman"/>
          <w:spacing w:val="8"/>
          <w:sz w:val="21"/>
        </w:rPr>
        <w:t> </w:t>
      </w:r>
      <w:r>
        <w:rPr>
          <w:sz w:val="21"/>
        </w:rPr>
        <w:t>类</w:t>
      </w:r>
      <w:r>
        <w:rPr>
          <w:rFonts w:ascii="Times New Roman" w:eastAsia="Times New Roman"/>
          <w:sz w:val="21"/>
        </w:rPr>
        <w:t>/B</w:t>
      </w:r>
      <w:r>
        <w:rPr>
          <w:rFonts w:ascii="Times New Roman" w:eastAsia="Times New Roman"/>
          <w:spacing w:val="5"/>
          <w:sz w:val="21"/>
        </w:rPr>
        <w:t> </w:t>
      </w:r>
      <w:r>
        <w:rPr>
          <w:spacing w:val="-3"/>
          <w:sz w:val="21"/>
        </w:rPr>
        <w:t>类基金份额赎回申请总</w:t>
      </w:r>
      <w:r>
        <w:rPr>
          <w:spacing w:val="-19"/>
          <w:sz w:val="21"/>
        </w:rPr>
        <w:t>量的比例，确定其当日受理的赎回份额；投资者 </w:t>
      </w:r>
      <w:r>
        <w:rPr>
          <w:rFonts w:ascii="Times New Roman" w:eastAsia="Times New Roman"/>
          <w:sz w:val="21"/>
        </w:rPr>
        <w:t>A</w:t>
      </w:r>
      <w:r>
        <w:rPr>
          <w:rFonts w:ascii="Times New Roman" w:eastAsia="Times New Roman"/>
          <w:spacing w:val="14"/>
          <w:sz w:val="21"/>
        </w:rPr>
        <w:t> </w:t>
      </w:r>
      <w:r>
        <w:rPr>
          <w:sz w:val="21"/>
        </w:rPr>
        <w:t>类</w:t>
      </w:r>
      <w:r>
        <w:rPr>
          <w:rFonts w:ascii="Times New Roman" w:eastAsia="Times New Roman"/>
          <w:sz w:val="21"/>
        </w:rPr>
        <w:t>/B</w:t>
      </w:r>
      <w:r>
        <w:rPr>
          <w:rFonts w:ascii="Times New Roman" w:eastAsia="Times New Roman"/>
          <w:spacing w:val="11"/>
          <w:sz w:val="21"/>
        </w:rPr>
        <w:t> </w:t>
      </w:r>
      <w:r>
        <w:rPr>
          <w:spacing w:val="-3"/>
          <w:sz w:val="21"/>
        </w:rPr>
        <w:t>类基金份额的赎回申请未能受理部分</w:t>
      </w:r>
      <w:r>
        <w:rPr>
          <w:spacing w:val="-6"/>
          <w:sz w:val="21"/>
        </w:rPr>
        <w:t>，除投资者在提交 </w:t>
      </w:r>
      <w:r>
        <w:rPr>
          <w:rFonts w:ascii="Times New Roman" w:eastAsia="Times New Roman"/>
          <w:sz w:val="21"/>
        </w:rPr>
        <w:t>A</w:t>
      </w:r>
      <w:r>
        <w:rPr>
          <w:rFonts w:ascii="Times New Roman" w:eastAsia="Times New Roman"/>
          <w:spacing w:val="21"/>
          <w:sz w:val="21"/>
        </w:rPr>
        <w:t> </w:t>
      </w:r>
      <w:r>
        <w:rPr>
          <w:sz w:val="21"/>
        </w:rPr>
        <w:t>类</w:t>
      </w:r>
      <w:r>
        <w:rPr>
          <w:rFonts w:ascii="Times New Roman" w:eastAsia="Times New Roman"/>
          <w:sz w:val="21"/>
        </w:rPr>
        <w:t>/B</w:t>
      </w:r>
      <w:r>
        <w:rPr>
          <w:rFonts w:ascii="Times New Roman" w:eastAsia="Times New Roman"/>
          <w:spacing w:val="21"/>
          <w:sz w:val="21"/>
        </w:rPr>
        <w:t> </w:t>
      </w:r>
      <w:r>
        <w:rPr>
          <w:spacing w:val="-3"/>
          <w:sz w:val="21"/>
        </w:rPr>
        <w:t>类基金份额赎回申请时明确作出不参加顺延下一个开放日赎回的</w:t>
      </w:r>
      <w:r>
        <w:rPr>
          <w:spacing w:val="-4"/>
          <w:sz w:val="21"/>
        </w:rPr>
        <w:t>表示外，将自动顺延至下一个开放日赎回处理。转入下一个开放日的 </w:t>
      </w:r>
      <w:r>
        <w:rPr>
          <w:rFonts w:ascii="Times New Roman" w:eastAsia="Times New Roman"/>
          <w:sz w:val="21"/>
        </w:rPr>
        <w:t>A</w:t>
      </w:r>
      <w:r>
        <w:rPr>
          <w:rFonts w:ascii="Times New Roman" w:eastAsia="Times New Roman"/>
          <w:spacing w:val="22"/>
          <w:sz w:val="21"/>
        </w:rPr>
        <w:t> </w:t>
      </w:r>
      <w:r>
        <w:rPr>
          <w:sz w:val="21"/>
        </w:rPr>
        <w:t>类</w:t>
      </w:r>
      <w:r>
        <w:rPr>
          <w:rFonts w:ascii="Times New Roman" w:eastAsia="Times New Roman"/>
          <w:sz w:val="21"/>
        </w:rPr>
        <w:t>/B</w:t>
      </w:r>
      <w:r>
        <w:rPr>
          <w:rFonts w:ascii="Times New Roman" w:eastAsia="Times New Roman"/>
          <w:spacing w:val="21"/>
          <w:sz w:val="21"/>
        </w:rPr>
        <w:t> </w:t>
      </w:r>
      <w:r>
        <w:rPr>
          <w:spacing w:val="-3"/>
          <w:sz w:val="21"/>
        </w:rPr>
        <w:t>类基金份额赎回不享有赎回优先权，以此类推，直到其赎回申请全部得到满足为止。投资者在提出 </w:t>
      </w:r>
      <w:r>
        <w:rPr>
          <w:rFonts w:ascii="Times New Roman" w:eastAsia="Times New Roman"/>
          <w:sz w:val="21"/>
        </w:rPr>
        <w:t>A</w:t>
      </w:r>
      <w:r>
        <w:rPr>
          <w:rFonts w:ascii="Times New Roman" w:eastAsia="Times New Roman"/>
          <w:spacing w:val="9"/>
          <w:sz w:val="21"/>
        </w:rPr>
        <w:t> </w:t>
      </w:r>
      <w:r>
        <w:rPr>
          <w:sz w:val="21"/>
        </w:rPr>
        <w:t>类</w:t>
      </w:r>
      <w:r>
        <w:rPr>
          <w:rFonts w:ascii="Times New Roman" w:eastAsia="Times New Roman"/>
          <w:spacing w:val="-4"/>
          <w:sz w:val="21"/>
        </w:rPr>
        <w:t>/B</w:t>
      </w:r>
      <w:r>
        <w:rPr>
          <w:spacing w:val="-3"/>
          <w:sz w:val="21"/>
        </w:rPr>
        <w:t>类基金份额赎回申请时也可选择将当日未获受理部分予以撤销。</w:t>
      </w:r>
    </w:p>
    <w:p>
      <w:pPr>
        <w:spacing w:after="0" w:line="417" w:lineRule="auto"/>
        <w:jc w:val="both"/>
        <w:rPr>
          <w:sz w:val="21"/>
        </w:rPr>
        <w:sectPr>
          <w:pgSz w:w="11910" w:h="16850"/>
          <w:pgMar w:header="852" w:footer="1386" w:top="1420" w:bottom="1620" w:left="1680" w:right="1360"/>
        </w:sectPr>
      </w:pPr>
    </w:p>
    <w:p>
      <w:pPr>
        <w:pStyle w:val="BodyText"/>
        <w:spacing w:line="417" w:lineRule="auto" w:before="142"/>
        <w:ind w:left="118" w:right="433" w:firstLine="419"/>
        <w:jc w:val="both"/>
      </w:pPr>
      <w:r>
        <w:rPr>
          <w:spacing w:val="10"/>
        </w:rPr>
        <w:t>若本基金</w:t>
      </w:r>
      <w:r>
        <w:rPr>
          <w:rFonts w:ascii="Times New Roman" w:eastAsia="Times New Roman"/>
        </w:rPr>
        <w:t>A</w:t>
      </w:r>
      <w:r>
        <w:rPr>
          <w:rFonts w:ascii="Times New Roman" w:eastAsia="Times New Roman"/>
          <w:spacing w:val="-2"/>
        </w:rPr>
        <w:t> </w:t>
      </w:r>
      <w:r>
        <w:rPr/>
        <w:t>类</w:t>
      </w:r>
      <w:r>
        <w:rPr>
          <w:rFonts w:ascii="Times New Roman" w:eastAsia="Times New Roman"/>
        </w:rPr>
        <w:t>/B</w:t>
      </w:r>
      <w:r>
        <w:rPr>
          <w:rFonts w:ascii="Times New Roman" w:eastAsia="Times New Roman"/>
          <w:spacing w:val="-1"/>
        </w:rPr>
        <w:t> </w:t>
      </w:r>
      <w:r>
        <w:rPr>
          <w:spacing w:val="-1"/>
        </w:rPr>
        <w:t>类发生巨额赎回且单个基金份额持有人的</w:t>
      </w:r>
      <w:r>
        <w:rPr>
          <w:rFonts w:ascii="Times New Roman" w:eastAsia="Times New Roman"/>
        </w:rPr>
        <w:t>A</w:t>
      </w:r>
      <w:r>
        <w:rPr>
          <w:rFonts w:ascii="Times New Roman" w:eastAsia="Times New Roman"/>
          <w:spacing w:val="2"/>
        </w:rPr>
        <w:t> </w:t>
      </w:r>
      <w:r>
        <w:rPr>
          <w:spacing w:val="-20"/>
        </w:rPr>
        <w:t>类和 </w:t>
      </w:r>
      <w:r>
        <w:rPr>
          <w:rFonts w:ascii="Times New Roman" w:eastAsia="Times New Roman"/>
        </w:rPr>
        <w:t>B</w:t>
      </w:r>
      <w:r>
        <w:rPr>
          <w:rFonts w:ascii="Times New Roman" w:eastAsia="Times New Roman"/>
          <w:spacing w:val="1"/>
        </w:rPr>
        <w:t> </w:t>
      </w:r>
      <w:r>
        <w:rPr>
          <w:spacing w:val="-3"/>
        </w:rPr>
        <w:t>类赎回申请超过上</w:t>
      </w:r>
      <w:r>
        <w:rPr>
          <w:spacing w:val="-5"/>
        </w:rPr>
        <w:t>一开放日基金总份额 </w:t>
      </w:r>
      <w:r>
        <w:rPr>
          <w:rFonts w:ascii="Times New Roman" w:eastAsia="Times New Roman"/>
          <w:spacing w:val="-3"/>
        </w:rPr>
        <w:t>10%</w:t>
      </w:r>
      <w:r>
        <w:rPr>
          <w:spacing w:val="-4"/>
        </w:rPr>
        <w:t>的，基金管理人有权对该单个基金份额持有人超出该比例的 </w:t>
      </w:r>
      <w:r>
        <w:rPr>
          <w:rFonts w:ascii="Times New Roman" w:eastAsia="Times New Roman"/>
        </w:rPr>
        <w:t>A</w:t>
      </w:r>
      <w:r>
        <w:rPr>
          <w:rFonts w:ascii="Times New Roman" w:eastAsia="Times New Roman"/>
          <w:spacing w:val="31"/>
        </w:rPr>
        <w:t> </w:t>
      </w:r>
      <w:r>
        <w:rPr/>
        <w:t>类</w:t>
      </w:r>
    </w:p>
    <w:p>
      <w:pPr>
        <w:pStyle w:val="BodyText"/>
        <w:spacing w:line="269" w:lineRule="exact"/>
        <w:ind w:left="118"/>
      </w:pPr>
      <w:r>
        <w:rPr>
          <w:rFonts w:ascii="Times New Roman" w:eastAsia="Times New Roman"/>
        </w:rPr>
        <w:t>/B</w:t>
      </w:r>
      <w:r>
        <w:rPr>
          <w:rFonts w:ascii="Times New Roman" w:eastAsia="Times New Roman"/>
          <w:spacing w:val="14"/>
        </w:rPr>
        <w:t> </w:t>
      </w:r>
      <w:r>
        <w:rPr>
          <w:spacing w:val="-2"/>
        </w:rPr>
        <w:t>类赎回申请实施延期办理，对该单个基金份额持有人剩余</w:t>
      </w:r>
      <w:r>
        <w:rPr>
          <w:rFonts w:ascii="Times New Roman" w:eastAsia="Times New Roman"/>
        </w:rPr>
        <w:t>A</w:t>
      </w:r>
      <w:r>
        <w:rPr>
          <w:rFonts w:ascii="Times New Roman" w:eastAsia="Times New Roman"/>
          <w:spacing w:val="12"/>
        </w:rPr>
        <w:t> </w:t>
      </w:r>
      <w:r>
        <w:rPr/>
        <w:t>类</w:t>
      </w:r>
      <w:r>
        <w:rPr>
          <w:rFonts w:ascii="Times New Roman" w:eastAsia="Times New Roman"/>
        </w:rPr>
        <w:t>/B</w:t>
      </w:r>
      <w:r>
        <w:rPr>
          <w:rFonts w:ascii="Times New Roman" w:eastAsia="Times New Roman"/>
          <w:spacing w:val="16"/>
        </w:rPr>
        <w:t> </w:t>
      </w:r>
      <w:r>
        <w:rPr>
          <w:spacing w:val="-3"/>
        </w:rPr>
        <w:t>类赎回申请与其他账户</w:t>
      </w:r>
    </w:p>
    <w:p>
      <w:pPr>
        <w:pStyle w:val="BodyText"/>
        <w:spacing w:before="6"/>
        <w:rPr>
          <w:sz w:val="15"/>
        </w:rPr>
      </w:pPr>
    </w:p>
    <w:p>
      <w:pPr>
        <w:pStyle w:val="BodyText"/>
        <w:ind w:left="118"/>
      </w:pPr>
      <w:r>
        <w:rPr>
          <w:rFonts w:ascii="Times New Roman" w:eastAsia="Times New Roman"/>
        </w:rPr>
        <w:t>A </w:t>
      </w:r>
      <w:r>
        <w:rPr/>
        <w:t>类</w:t>
      </w:r>
      <w:r>
        <w:rPr>
          <w:rFonts w:ascii="Times New Roman" w:eastAsia="Times New Roman"/>
        </w:rPr>
        <w:t>/B </w:t>
      </w:r>
      <w:r>
        <w:rPr/>
        <w:t>类赎回申请按前述条款处理。</w:t>
      </w:r>
    </w:p>
    <w:p>
      <w:pPr>
        <w:pStyle w:val="BodyText"/>
        <w:rPr>
          <w:sz w:val="22"/>
        </w:rPr>
      </w:pPr>
    </w:p>
    <w:p>
      <w:pPr>
        <w:pStyle w:val="BodyText"/>
        <w:spacing w:before="6"/>
        <w:rPr>
          <w:sz w:val="15"/>
        </w:rPr>
      </w:pPr>
    </w:p>
    <w:p>
      <w:pPr>
        <w:pStyle w:val="ListParagraph"/>
        <w:numPr>
          <w:ilvl w:val="0"/>
          <w:numId w:val="6"/>
        </w:numPr>
        <w:tabs>
          <w:tab w:pos="1067" w:val="left" w:leader="none"/>
        </w:tabs>
        <w:spacing w:line="417" w:lineRule="auto" w:before="0" w:after="0"/>
        <w:ind w:left="118" w:right="433" w:firstLine="419"/>
        <w:jc w:val="both"/>
        <w:rPr>
          <w:sz w:val="21"/>
        </w:rPr>
      </w:pPr>
      <w:r>
        <w:rPr>
          <w:spacing w:val="-15"/>
          <w:w w:val="100"/>
          <w:sz w:val="21"/>
        </w:rPr>
        <w:t>当发生巨额赎回时，</w:t>
      </w:r>
      <w:r>
        <w:rPr>
          <w:rFonts w:ascii="Times New Roman" w:eastAsia="Times New Roman"/>
          <w:w w:val="100"/>
          <w:sz w:val="21"/>
        </w:rPr>
        <w:t>A</w:t>
      </w:r>
      <w:r>
        <w:rPr>
          <w:rFonts w:ascii="Times New Roman" w:eastAsia="Times New Roman"/>
          <w:spacing w:val="-13"/>
          <w:sz w:val="21"/>
        </w:rPr>
        <w:t> </w:t>
      </w:r>
      <w:r>
        <w:rPr>
          <w:w w:val="100"/>
          <w:sz w:val="21"/>
        </w:rPr>
        <w:t>类</w:t>
      </w:r>
      <w:r>
        <w:rPr>
          <w:rFonts w:ascii="Times New Roman" w:eastAsia="Times New Roman"/>
          <w:spacing w:val="-2"/>
          <w:w w:val="100"/>
          <w:sz w:val="21"/>
        </w:rPr>
        <w:t>/</w:t>
      </w:r>
      <w:r>
        <w:rPr>
          <w:rFonts w:ascii="Times New Roman" w:eastAsia="Times New Roman"/>
          <w:w w:val="100"/>
          <w:sz w:val="21"/>
        </w:rPr>
        <w:t>B</w:t>
      </w:r>
      <w:r>
        <w:rPr>
          <w:rFonts w:ascii="Times New Roman" w:eastAsia="Times New Roman"/>
          <w:spacing w:val="-11"/>
          <w:sz w:val="21"/>
        </w:rPr>
        <w:t> </w:t>
      </w:r>
      <w:r>
        <w:rPr>
          <w:spacing w:val="-3"/>
          <w:w w:val="100"/>
          <w:sz w:val="21"/>
        </w:rPr>
        <w:t>类基金份额的基金转出与基金赎回具有相同的优先级</w:t>
      </w:r>
      <w:r>
        <w:rPr>
          <w:spacing w:val="-3"/>
          <w:sz w:val="21"/>
        </w:rPr>
        <w:t>，具体处理方式和程序由基金管理人另行公告。</w:t>
      </w:r>
      <w:r>
        <w:rPr>
          <w:sz w:val="21"/>
        </w:rPr>
        <w:t> </w:t>
      </w:r>
    </w:p>
    <w:p>
      <w:pPr>
        <w:pStyle w:val="BodyText"/>
        <w:spacing w:before="9"/>
      </w:pPr>
    </w:p>
    <w:p>
      <w:pPr>
        <w:pStyle w:val="ListParagraph"/>
        <w:numPr>
          <w:ilvl w:val="0"/>
          <w:numId w:val="6"/>
        </w:numPr>
        <w:tabs>
          <w:tab w:pos="1067" w:val="left" w:leader="none"/>
        </w:tabs>
        <w:spacing w:line="417" w:lineRule="auto" w:before="0" w:after="0"/>
        <w:ind w:left="118" w:right="433" w:firstLine="419"/>
        <w:jc w:val="both"/>
        <w:rPr>
          <w:sz w:val="21"/>
        </w:rPr>
      </w:pPr>
      <w:r>
        <w:rPr>
          <w:spacing w:val="-15"/>
          <w:sz w:val="21"/>
        </w:rPr>
        <w:t>当发生 </w:t>
      </w:r>
      <w:r>
        <w:rPr>
          <w:rFonts w:ascii="Times New Roman" w:eastAsia="Times New Roman"/>
          <w:sz w:val="21"/>
        </w:rPr>
        <w:t>A</w:t>
      </w:r>
      <w:r>
        <w:rPr>
          <w:rFonts w:ascii="Times New Roman" w:eastAsia="Times New Roman"/>
          <w:spacing w:val="5"/>
          <w:sz w:val="21"/>
        </w:rPr>
        <w:t> </w:t>
      </w:r>
      <w:r>
        <w:rPr>
          <w:sz w:val="21"/>
        </w:rPr>
        <w:t>类</w:t>
      </w:r>
      <w:r>
        <w:rPr>
          <w:rFonts w:ascii="Times New Roman" w:eastAsia="Times New Roman"/>
          <w:sz w:val="21"/>
        </w:rPr>
        <w:t>/B</w:t>
      </w:r>
      <w:r>
        <w:rPr>
          <w:rFonts w:ascii="Times New Roman" w:eastAsia="Times New Roman"/>
          <w:spacing w:val="3"/>
          <w:sz w:val="21"/>
        </w:rPr>
        <w:t> </w:t>
      </w:r>
      <w:r>
        <w:rPr>
          <w:spacing w:val="-8"/>
          <w:sz w:val="21"/>
        </w:rPr>
        <w:t>类基金份额巨额赎回并顺延赎回时，基金管理人应在 </w:t>
      </w:r>
      <w:r>
        <w:rPr>
          <w:rFonts w:ascii="Times New Roman" w:eastAsia="Times New Roman"/>
          <w:sz w:val="21"/>
        </w:rPr>
        <w:t>2</w:t>
      </w:r>
      <w:r>
        <w:rPr>
          <w:rFonts w:ascii="Times New Roman" w:eastAsia="Times New Roman"/>
          <w:spacing w:val="1"/>
          <w:sz w:val="21"/>
        </w:rPr>
        <w:t> </w:t>
      </w:r>
      <w:r>
        <w:rPr>
          <w:spacing w:val="-2"/>
          <w:sz w:val="21"/>
        </w:rPr>
        <w:t>日内通过</w:t>
      </w:r>
      <w:r>
        <w:rPr>
          <w:spacing w:val="-3"/>
          <w:sz w:val="21"/>
        </w:rPr>
        <w:t>指定媒介刊登公告，并说明有关处理方法。</w:t>
      </w:r>
    </w:p>
    <w:p>
      <w:pPr>
        <w:pStyle w:val="BodyText"/>
        <w:spacing w:before="12"/>
      </w:pPr>
    </w:p>
    <w:p>
      <w:pPr>
        <w:pStyle w:val="ListParagraph"/>
        <w:numPr>
          <w:ilvl w:val="0"/>
          <w:numId w:val="6"/>
        </w:numPr>
        <w:tabs>
          <w:tab w:pos="1067" w:val="left" w:leader="none"/>
        </w:tabs>
        <w:spacing w:line="417" w:lineRule="auto" w:before="0" w:after="0"/>
        <w:ind w:left="118" w:right="433" w:firstLine="419"/>
        <w:jc w:val="both"/>
        <w:rPr>
          <w:sz w:val="21"/>
        </w:rPr>
      </w:pPr>
      <w:r>
        <w:rPr>
          <w:spacing w:val="-3"/>
          <w:sz w:val="21"/>
        </w:rPr>
        <w:t>本基金连续两日以上</w:t>
      </w:r>
      <w:r>
        <w:rPr>
          <w:rFonts w:ascii="Times New Roman" w:eastAsia="Times New Roman"/>
          <w:spacing w:val="-4"/>
          <w:sz w:val="21"/>
        </w:rPr>
        <w:t>(</w:t>
      </w:r>
      <w:r>
        <w:rPr>
          <w:sz w:val="21"/>
        </w:rPr>
        <w:t>含本数</w:t>
      </w:r>
      <w:r>
        <w:rPr>
          <w:rFonts w:ascii="Times New Roman" w:eastAsia="Times New Roman"/>
          <w:spacing w:val="-4"/>
          <w:sz w:val="21"/>
        </w:rPr>
        <w:t>)</w:t>
      </w:r>
      <w:r>
        <w:rPr>
          <w:spacing w:val="-10"/>
          <w:sz w:val="21"/>
        </w:rPr>
        <w:t>发生巨额赎回时，如基金管理人认为有必要，可暂 </w:t>
      </w:r>
      <w:r>
        <w:rPr>
          <w:spacing w:val="16"/>
          <w:sz w:val="21"/>
        </w:rPr>
        <w:t>停接受</w:t>
      </w:r>
      <w:r>
        <w:rPr>
          <w:rFonts w:ascii="Times New Roman" w:eastAsia="Times New Roman"/>
          <w:sz w:val="21"/>
        </w:rPr>
        <w:t>A</w:t>
      </w:r>
      <w:r>
        <w:rPr>
          <w:rFonts w:ascii="Times New Roman" w:eastAsia="Times New Roman"/>
          <w:spacing w:val="6"/>
          <w:sz w:val="21"/>
        </w:rPr>
        <w:t> </w:t>
      </w:r>
      <w:r>
        <w:rPr>
          <w:sz w:val="21"/>
        </w:rPr>
        <w:t>类</w:t>
      </w:r>
      <w:r>
        <w:rPr>
          <w:rFonts w:ascii="Times New Roman" w:eastAsia="Times New Roman"/>
          <w:sz w:val="21"/>
        </w:rPr>
        <w:t>/B</w:t>
      </w:r>
      <w:r>
        <w:rPr>
          <w:rFonts w:ascii="Times New Roman" w:eastAsia="Times New Roman"/>
          <w:spacing w:val="9"/>
          <w:sz w:val="21"/>
        </w:rPr>
        <w:t> </w:t>
      </w:r>
      <w:r>
        <w:rPr>
          <w:spacing w:val="-10"/>
          <w:sz w:val="21"/>
        </w:rPr>
        <w:t>类基金份额的赎回和转出申请；已经接受的 </w:t>
      </w:r>
      <w:r>
        <w:rPr>
          <w:rFonts w:ascii="Times New Roman" w:eastAsia="Times New Roman"/>
          <w:sz w:val="21"/>
        </w:rPr>
        <w:t>A</w:t>
      </w:r>
      <w:r>
        <w:rPr>
          <w:rFonts w:ascii="Times New Roman" w:eastAsia="Times New Roman"/>
          <w:spacing w:val="6"/>
          <w:sz w:val="21"/>
        </w:rPr>
        <w:t> </w:t>
      </w:r>
      <w:r>
        <w:rPr>
          <w:sz w:val="21"/>
        </w:rPr>
        <w:t>类</w:t>
      </w:r>
      <w:r>
        <w:rPr>
          <w:rFonts w:ascii="Times New Roman" w:eastAsia="Times New Roman"/>
          <w:sz w:val="21"/>
        </w:rPr>
        <w:t>/B</w:t>
      </w:r>
      <w:r>
        <w:rPr>
          <w:rFonts w:ascii="Times New Roman" w:eastAsia="Times New Roman"/>
          <w:spacing w:val="9"/>
          <w:sz w:val="21"/>
        </w:rPr>
        <w:t> </w:t>
      </w:r>
      <w:r>
        <w:rPr>
          <w:spacing w:val="-3"/>
          <w:sz w:val="21"/>
        </w:rPr>
        <w:t>类基金份额赎回申请可以</w:t>
      </w:r>
      <w:r>
        <w:rPr>
          <w:spacing w:val="-5"/>
          <w:sz w:val="21"/>
        </w:rPr>
        <w:t>延缓支付赎回款项，但不得超过正常支付时间 </w:t>
      </w:r>
      <w:r>
        <w:rPr>
          <w:rFonts w:ascii="Times New Roman" w:eastAsia="Times New Roman"/>
          <w:sz w:val="21"/>
        </w:rPr>
        <w:t>20</w:t>
      </w:r>
      <w:r>
        <w:rPr>
          <w:rFonts w:ascii="Times New Roman" w:eastAsia="Times New Roman"/>
          <w:spacing w:val="16"/>
          <w:sz w:val="21"/>
        </w:rPr>
        <w:t> </w:t>
      </w:r>
      <w:r>
        <w:rPr>
          <w:spacing w:val="-3"/>
          <w:sz w:val="21"/>
        </w:rPr>
        <w:t>个工作日，并应当在指定媒介上进行公告</w:t>
      </w:r>
      <w:r>
        <w:rPr>
          <w:sz w:val="21"/>
        </w:rPr>
        <w:t>。</w:t>
      </w:r>
    </w:p>
    <w:p>
      <w:pPr>
        <w:pStyle w:val="BodyText"/>
        <w:spacing w:before="11"/>
      </w:pPr>
    </w:p>
    <w:p>
      <w:pPr>
        <w:pStyle w:val="BodyText"/>
        <w:spacing w:line="417" w:lineRule="auto"/>
        <w:ind w:left="118" w:right="433" w:firstLine="419"/>
        <w:jc w:val="both"/>
      </w:pPr>
      <w:r>
        <w:rPr>
          <w:rFonts w:ascii="Times New Roman" w:eastAsia="Times New Roman"/>
        </w:rPr>
        <w:t>3. </w:t>
      </w:r>
      <w:r>
        <w:rPr/>
        <w:t>在发生巨额赎回时，</w:t>
      </w:r>
      <w:r>
        <w:rPr>
          <w:rFonts w:ascii="Times New Roman" w:eastAsia="Times New Roman"/>
        </w:rPr>
        <w:t>E </w:t>
      </w:r>
      <w:r>
        <w:rPr>
          <w:spacing w:val="-1"/>
        </w:rPr>
        <w:t>类基金份额的赎回按照上海证券交易所和中国证券登记结算</w:t>
      </w:r>
      <w:r>
        <w:rPr>
          <w:spacing w:val="-6"/>
        </w:rPr>
        <w:t>有限责任公司的相关业务规则办理。本基金连续两日以上</w:t>
      </w:r>
      <w:r>
        <w:rPr>
          <w:rFonts w:ascii="Times New Roman" w:eastAsia="Times New Roman"/>
          <w:spacing w:val="-4"/>
        </w:rPr>
        <w:t>(</w:t>
      </w:r>
      <w:r>
        <w:rPr>
          <w:spacing w:val="-2"/>
        </w:rPr>
        <w:t>含本数</w:t>
      </w:r>
      <w:r>
        <w:rPr>
          <w:rFonts w:ascii="Times New Roman" w:eastAsia="Times New Roman"/>
        </w:rPr>
        <w:t>)</w:t>
      </w:r>
      <w:r>
        <w:rPr>
          <w:spacing w:val="-13"/>
        </w:rPr>
        <w:t>发生 </w:t>
      </w:r>
      <w:r>
        <w:rPr>
          <w:rFonts w:ascii="Times New Roman" w:eastAsia="Times New Roman"/>
        </w:rPr>
        <w:t>E </w:t>
      </w:r>
      <w:r>
        <w:rPr>
          <w:spacing w:val="-3"/>
        </w:rPr>
        <w:t>类基金份额的巨额</w:t>
      </w:r>
      <w:r>
        <w:rPr>
          <w:spacing w:val="-14"/>
        </w:rPr>
        <w:t>赎回时，如基金管理人认为有必要，可暂停接受 </w:t>
      </w:r>
      <w:r>
        <w:rPr>
          <w:rFonts w:ascii="Times New Roman" w:eastAsia="Times New Roman"/>
        </w:rPr>
        <w:t>E </w:t>
      </w:r>
      <w:r>
        <w:rPr>
          <w:spacing w:val="-10"/>
        </w:rPr>
        <w:t>类基金份额的赎回申请；已经接受的 </w:t>
      </w:r>
      <w:r>
        <w:rPr>
          <w:rFonts w:ascii="Times New Roman" w:eastAsia="Times New Roman"/>
        </w:rPr>
        <w:t>E </w:t>
      </w:r>
      <w:r>
        <w:rPr/>
        <w:t>类</w:t>
      </w:r>
      <w:r>
        <w:rPr>
          <w:spacing w:val="-4"/>
        </w:rPr>
        <w:t>基金份额赎回申请可以延缓支付赎回款项，但不得超过正常支付时间 </w:t>
      </w:r>
      <w:r>
        <w:rPr>
          <w:rFonts w:ascii="Times New Roman" w:eastAsia="Times New Roman"/>
        </w:rPr>
        <w:t>20 </w:t>
      </w:r>
      <w:r>
        <w:rPr>
          <w:spacing w:val="-3"/>
        </w:rPr>
        <w:t>个工作日，并应当在指定媒介上进行公告。</w:t>
      </w:r>
    </w:p>
    <w:p>
      <w:pPr>
        <w:pStyle w:val="BodyText"/>
        <w:spacing w:before="3"/>
        <w:rPr>
          <w:sz w:val="29"/>
        </w:rPr>
      </w:pPr>
    </w:p>
    <w:p>
      <w:pPr>
        <w:pStyle w:val="Heading2"/>
        <w:rPr>
          <w:rFonts w:ascii="宋体" w:eastAsia="宋体" w:hint="eastAsia"/>
          <w:b w:val="0"/>
        </w:rPr>
      </w:pPr>
      <w:bookmarkStart w:name="_bookmark23" w:id="24"/>
      <w:bookmarkEnd w:id="24"/>
      <w:r>
        <w:rPr>
          <w:b w:val="0"/>
        </w:rPr>
      </w:r>
      <w:r>
        <w:rPr/>
        <w:t>（十一）拒绝或暂停申购、赎回的情形及处理方式</w:t>
      </w:r>
      <w:r>
        <w:rPr>
          <w:rFonts w:ascii="宋体" w:eastAsia="宋体" w:hint="eastAsia"/>
          <w:b w:val="0"/>
        </w:rPr>
        <w:t> </w:t>
      </w:r>
    </w:p>
    <w:p>
      <w:pPr>
        <w:pStyle w:val="BodyText"/>
        <w:rPr>
          <w:sz w:val="28"/>
        </w:rPr>
      </w:pPr>
    </w:p>
    <w:p>
      <w:pPr>
        <w:pStyle w:val="ListParagraph"/>
        <w:numPr>
          <w:ilvl w:val="0"/>
          <w:numId w:val="7"/>
        </w:numPr>
        <w:tabs>
          <w:tab w:pos="856" w:val="left" w:leader="none"/>
        </w:tabs>
        <w:spacing w:line="240" w:lineRule="auto" w:before="247" w:after="0"/>
        <w:ind w:left="855" w:right="0" w:hanging="318"/>
        <w:jc w:val="left"/>
        <w:rPr>
          <w:sz w:val="21"/>
        </w:rPr>
      </w:pPr>
      <w:r>
        <w:rPr>
          <w:spacing w:val="-3"/>
          <w:sz w:val="21"/>
        </w:rPr>
        <w:t>除出现如下情形，基金管理人不得拒绝或暂停接受基金投资者的申购申请：</w:t>
      </w:r>
    </w:p>
    <w:p>
      <w:pPr>
        <w:pStyle w:val="BodyText"/>
        <w:rPr>
          <w:sz w:val="22"/>
        </w:rPr>
      </w:pPr>
    </w:p>
    <w:p>
      <w:pPr>
        <w:pStyle w:val="BodyText"/>
        <w:spacing w:before="6"/>
        <w:rPr>
          <w:sz w:val="15"/>
        </w:rPr>
      </w:pPr>
    </w:p>
    <w:p>
      <w:pPr>
        <w:pStyle w:val="ListParagraph"/>
        <w:numPr>
          <w:ilvl w:val="0"/>
          <w:numId w:val="8"/>
        </w:numPr>
        <w:tabs>
          <w:tab w:pos="1067" w:val="left" w:leader="none"/>
        </w:tabs>
        <w:spacing w:line="240" w:lineRule="auto" w:before="0" w:after="0"/>
        <w:ind w:left="1067" w:right="0" w:hanging="529"/>
        <w:jc w:val="left"/>
        <w:rPr>
          <w:sz w:val="21"/>
        </w:rPr>
      </w:pPr>
      <w:r>
        <w:rPr>
          <w:spacing w:val="-3"/>
          <w:sz w:val="21"/>
        </w:rPr>
        <w:t>不可抗力的原因导致基金无法正常运作；</w:t>
      </w:r>
    </w:p>
    <w:p>
      <w:pPr>
        <w:pStyle w:val="BodyText"/>
        <w:rPr>
          <w:sz w:val="22"/>
        </w:rPr>
      </w:pPr>
    </w:p>
    <w:p>
      <w:pPr>
        <w:pStyle w:val="ListParagraph"/>
        <w:numPr>
          <w:ilvl w:val="0"/>
          <w:numId w:val="8"/>
        </w:numPr>
        <w:tabs>
          <w:tab w:pos="1067" w:val="left" w:leader="none"/>
        </w:tabs>
        <w:spacing w:line="240" w:lineRule="auto" w:before="196" w:after="0"/>
        <w:ind w:left="1067" w:right="0" w:hanging="529"/>
        <w:jc w:val="left"/>
        <w:rPr>
          <w:sz w:val="21"/>
        </w:rPr>
      </w:pPr>
      <w:r>
        <w:rPr>
          <w:spacing w:val="-3"/>
          <w:sz w:val="21"/>
        </w:rPr>
        <w:t>证券交易场所在交易时间非正常停市；</w:t>
      </w:r>
    </w:p>
    <w:p>
      <w:pPr>
        <w:pStyle w:val="BodyText"/>
        <w:rPr>
          <w:sz w:val="22"/>
        </w:rPr>
      </w:pPr>
    </w:p>
    <w:p>
      <w:pPr>
        <w:pStyle w:val="ListParagraph"/>
        <w:numPr>
          <w:ilvl w:val="0"/>
          <w:numId w:val="8"/>
        </w:numPr>
        <w:tabs>
          <w:tab w:pos="1067" w:val="left" w:leader="none"/>
        </w:tabs>
        <w:spacing w:line="417" w:lineRule="auto" w:before="197" w:after="0"/>
        <w:ind w:left="118" w:right="436" w:firstLine="419"/>
        <w:jc w:val="left"/>
        <w:rPr>
          <w:sz w:val="21"/>
        </w:rPr>
      </w:pPr>
      <w:r>
        <w:rPr>
          <w:spacing w:val="-3"/>
          <w:sz w:val="21"/>
        </w:rPr>
        <w:t>基金资产规模过大，使基金管理人无法找到合适的投资品种，或可能对基金业绩产生负面影响，从而损害现有基金份额持有人的利益；</w:t>
      </w:r>
    </w:p>
    <w:p>
      <w:pPr>
        <w:spacing w:after="0" w:line="417" w:lineRule="auto"/>
        <w:jc w:val="left"/>
        <w:rPr>
          <w:sz w:val="21"/>
        </w:rPr>
        <w:sectPr>
          <w:pgSz w:w="11910" w:h="16850"/>
          <w:pgMar w:header="852" w:footer="1386" w:top="1420" w:bottom="1620" w:left="1680" w:right="1360"/>
        </w:sectPr>
      </w:pPr>
    </w:p>
    <w:p>
      <w:pPr>
        <w:pStyle w:val="ListParagraph"/>
        <w:numPr>
          <w:ilvl w:val="0"/>
          <w:numId w:val="8"/>
        </w:numPr>
        <w:tabs>
          <w:tab w:pos="1067" w:val="left" w:leader="none"/>
        </w:tabs>
        <w:spacing w:line="240" w:lineRule="auto" w:before="142" w:after="0"/>
        <w:ind w:left="1067" w:right="0" w:hanging="529"/>
        <w:jc w:val="left"/>
        <w:rPr>
          <w:sz w:val="21"/>
        </w:rPr>
      </w:pPr>
      <w:r>
        <w:rPr>
          <w:spacing w:val="-3"/>
          <w:sz w:val="21"/>
        </w:rPr>
        <w:t>基金管理人认为会有损于现有基金份额持有人利益的某笔申购；</w:t>
      </w:r>
    </w:p>
    <w:p>
      <w:pPr>
        <w:pStyle w:val="BodyText"/>
        <w:rPr>
          <w:sz w:val="22"/>
        </w:rPr>
      </w:pPr>
    </w:p>
    <w:p>
      <w:pPr>
        <w:pStyle w:val="ListParagraph"/>
        <w:numPr>
          <w:ilvl w:val="0"/>
          <w:numId w:val="8"/>
        </w:numPr>
        <w:tabs>
          <w:tab w:pos="1067" w:val="left" w:leader="none"/>
        </w:tabs>
        <w:spacing w:line="240" w:lineRule="auto" w:before="197" w:after="0"/>
        <w:ind w:left="1067" w:right="0" w:hanging="529"/>
        <w:jc w:val="left"/>
        <w:rPr>
          <w:sz w:val="21"/>
        </w:rPr>
      </w:pPr>
      <w:r>
        <w:rPr>
          <w:spacing w:val="-3"/>
          <w:sz w:val="21"/>
        </w:rPr>
        <w:t>上海证券交易所、销售机构、注册登记机构等因异常情况无法办理申购的情形；</w:t>
      </w:r>
    </w:p>
    <w:p>
      <w:pPr>
        <w:pStyle w:val="BodyText"/>
        <w:rPr>
          <w:sz w:val="22"/>
        </w:rPr>
      </w:pPr>
    </w:p>
    <w:p>
      <w:pPr>
        <w:pStyle w:val="ListParagraph"/>
        <w:numPr>
          <w:ilvl w:val="0"/>
          <w:numId w:val="8"/>
        </w:numPr>
        <w:tabs>
          <w:tab w:pos="1067" w:val="left" w:leader="none"/>
        </w:tabs>
        <w:spacing w:line="417" w:lineRule="auto" w:before="196" w:after="0"/>
        <w:ind w:left="118" w:right="433" w:firstLine="419"/>
        <w:jc w:val="both"/>
        <w:rPr>
          <w:sz w:val="21"/>
        </w:rPr>
      </w:pPr>
      <w:r>
        <w:rPr>
          <w:spacing w:val="-3"/>
          <w:sz w:val="21"/>
        </w:rPr>
        <w:t>为保护基金份额持有人的合法权益，基金管理人可以依照相关法律法规以及基金</w:t>
      </w:r>
      <w:r>
        <w:rPr>
          <w:spacing w:val="-11"/>
          <w:sz w:val="21"/>
        </w:rPr>
        <w:t>合同的约定，在特定市场条件下暂停或者拒绝接受一定金额以上的资金申购，具体以基金管</w:t>
      </w:r>
      <w:r>
        <w:rPr>
          <w:spacing w:val="-6"/>
          <w:sz w:val="21"/>
        </w:rPr>
        <w:t>理人的公告为准。</w:t>
      </w:r>
    </w:p>
    <w:p>
      <w:pPr>
        <w:pStyle w:val="BodyText"/>
        <w:spacing w:before="11"/>
      </w:pPr>
    </w:p>
    <w:p>
      <w:pPr>
        <w:pStyle w:val="ListParagraph"/>
        <w:numPr>
          <w:ilvl w:val="0"/>
          <w:numId w:val="8"/>
        </w:numPr>
        <w:tabs>
          <w:tab w:pos="1067" w:val="left" w:leader="none"/>
        </w:tabs>
        <w:spacing w:line="417" w:lineRule="auto" w:before="0" w:after="0"/>
        <w:ind w:left="118" w:right="436" w:firstLine="419"/>
        <w:jc w:val="both"/>
        <w:rPr>
          <w:sz w:val="21"/>
        </w:rPr>
      </w:pPr>
      <w:r>
        <w:rPr>
          <w:spacing w:val="-3"/>
          <w:sz w:val="21"/>
        </w:rPr>
        <w:t>基金管理人接受某笔或者某些申购申请有可能导致单一投资者持有基金份额的比</w:t>
      </w:r>
      <w:r>
        <w:rPr>
          <w:spacing w:val="-10"/>
          <w:sz w:val="21"/>
        </w:rPr>
        <w:t>例达到或者超过 </w:t>
      </w:r>
      <w:r>
        <w:rPr>
          <w:rFonts w:ascii="Times New Roman" w:eastAsia="Times New Roman"/>
          <w:sz w:val="21"/>
        </w:rPr>
        <w:t>50%</w:t>
      </w:r>
      <w:r>
        <w:rPr>
          <w:spacing w:val="-10"/>
          <w:sz w:val="21"/>
        </w:rPr>
        <w:t>，或者变相规避 </w:t>
      </w:r>
      <w:r>
        <w:rPr>
          <w:rFonts w:ascii="Times New Roman" w:eastAsia="Times New Roman"/>
          <w:sz w:val="21"/>
        </w:rPr>
        <w:t>50%</w:t>
      </w:r>
      <w:r>
        <w:rPr>
          <w:spacing w:val="-3"/>
          <w:sz w:val="21"/>
        </w:rPr>
        <w:t>集中度的情形时。</w:t>
      </w:r>
    </w:p>
    <w:p>
      <w:pPr>
        <w:pStyle w:val="BodyText"/>
        <w:spacing w:before="12"/>
      </w:pPr>
    </w:p>
    <w:p>
      <w:pPr>
        <w:pStyle w:val="ListParagraph"/>
        <w:numPr>
          <w:ilvl w:val="0"/>
          <w:numId w:val="8"/>
        </w:numPr>
        <w:tabs>
          <w:tab w:pos="1067" w:val="left" w:leader="none"/>
        </w:tabs>
        <w:spacing w:line="417" w:lineRule="auto" w:before="0" w:after="0"/>
        <w:ind w:left="118" w:right="433" w:firstLine="419"/>
        <w:jc w:val="both"/>
        <w:rPr>
          <w:sz w:val="21"/>
        </w:rPr>
      </w:pPr>
      <w:r>
        <w:rPr>
          <w:spacing w:val="-3"/>
          <w:sz w:val="21"/>
        </w:rPr>
        <w:t>当一笔新的申购申请被确认成功，使本基金总规模超过基金管理人规定的本基金</w:t>
      </w:r>
      <w:r>
        <w:rPr>
          <w:spacing w:val="-10"/>
          <w:sz w:val="21"/>
        </w:rPr>
        <w:t>总规模上限时；或使本基金单日申购金额，或申购份额，或净申购比例超过基金管理人规定</w:t>
      </w:r>
      <w:r>
        <w:rPr>
          <w:spacing w:val="-11"/>
          <w:sz w:val="21"/>
        </w:rPr>
        <w:t>的当日申购金额上限，或申购份额上限，或净申购比例上限时；或该投资人累计持有的份额</w:t>
      </w:r>
      <w:r>
        <w:rPr>
          <w:spacing w:val="-12"/>
          <w:sz w:val="21"/>
        </w:rPr>
        <w:t>超过单个投资人累计持有的份额上限时；或该投资人当日申购金额或份额超过单个投资人单</w:t>
      </w:r>
      <w:r>
        <w:rPr>
          <w:spacing w:val="-6"/>
          <w:sz w:val="21"/>
        </w:rPr>
        <w:t>日或单笔申购金额或份额上限时。</w:t>
      </w:r>
    </w:p>
    <w:p>
      <w:pPr>
        <w:pStyle w:val="BodyText"/>
        <w:spacing w:before="9"/>
      </w:pPr>
    </w:p>
    <w:p>
      <w:pPr>
        <w:pStyle w:val="ListParagraph"/>
        <w:numPr>
          <w:ilvl w:val="0"/>
          <w:numId w:val="8"/>
        </w:numPr>
        <w:tabs>
          <w:tab w:pos="1067" w:val="left" w:leader="none"/>
        </w:tabs>
        <w:spacing w:line="417" w:lineRule="auto" w:before="0" w:after="0"/>
        <w:ind w:left="118" w:right="436" w:firstLine="419"/>
        <w:jc w:val="both"/>
        <w:rPr>
          <w:sz w:val="21"/>
        </w:rPr>
      </w:pPr>
      <w:r>
        <w:rPr>
          <w:spacing w:val="-3"/>
          <w:sz w:val="21"/>
        </w:rPr>
        <w:t>当影子定价法确定的基金资产净值与摊余成本法计算的基金资产净值的正偏离度</w:t>
      </w:r>
      <w:r>
        <w:rPr>
          <w:spacing w:val="-12"/>
          <w:sz w:val="21"/>
        </w:rPr>
        <w:t>绝对值达到 </w:t>
      </w:r>
      <w:r>
        <w:rPr>
          <w:rFonts w:ascii="Times New Roman" w:eastAsia="Times New Roman"/>
          <w:sz w:val="21"/>
        </w:rPr>
        <w:t>0.5%</w:t>
      </w:r>
      <w:r>
        <w:rPr>
          <w:sz w:val="21"/>
        </w:rPr>
        <w:t>时。</w:t>
      </w:r>
    </w:p>
    <w:p>
      <w:pPr>
        <w:pStyle w:val="BodyText"/>
        <w:spacing w:before="11"/>
      </w:pPr>
    </w:p>
    <w:p>
      <w:pPr>
        <w:pStyle w:val="ListParagraph"/>
        <w:numPr>
          <w:ilvl w:val="0"/>
          <w:numId w:val="8"/>
        </w:numPr>
        <w:tabs>
          <w:tab w:pos="1173" w:val="left" w:leader="none"/>
        </w:tabs>
        <w:spacing w:line="417" w:lineRule="auto" w:before="0" w:after="0"/>
        <w:ind w:left="118" w:right="433" w:firstLine="419"/>
        <w:jc w:val="both"/>
        <w:rPr>
          <w:sz w:val="21"/>
        </w:rPr>
      </w:pPr>
      <w:r>
        <w:rPr>
          <w:spacing w:val="2"/>
          <w:sz w:val="21"/>
        </w:rPr>
        <w:t>当前一估值日基金资产净值 </w:t>
      </w:r>
      <w:r>
        <w:rPr>
          <w:rFonts w:ascii="Times New Roman" w:eastAsia="Times New Roman"/>
          <w:sz w:val="21"/>
        </w:rPr>
        <w:t>50%</w:t>
      </w:r>
      <w:r>
        <w:rPr>
          <w:spacing w:val="-1"/>
          <w:sz w:val="21"/>
        </w:rPr>
        <w:t>以上的资产出现无可参考的活跃市场价格且采</w:t>
      </w:r>
      <w:r>
        <w:rPr>
          <w:spacing w:val="-8"/>
          <w:sz w:val="21"/>
        </w:rPr>
        <w:t>用估值技术仍导致公允价值存在重大不确定性时，经与基金托管人协商确认后，基金管理人</w:t>
      </w:r>
      <w:r>
        <w:rPr>
          <w:spacing w:val="-5"/>
          <w:sz w:val="21"/>
        </w:rPr>
        <w:t>应当采取暂停接受基金申购申请的措施。</w:t>
      </w:r>
    </w:p>
    <w:p>
      <w:pPr>
        <w:pStyle w:val="BodyText"/>
        <w:spacing w:before="12"/>
      </w:pPr>
    </w:p>
    <w:p>
      <w:pPr>
        <w:pStyle w:val="ListParagraph"/>
        <w:numPr>
          <w:ilvl w:val="0"/>
          <w:numId w:val="8"/>
        </w:numPr>
        <w:tabs>
          <w:tab w:pos="1163" w:val="left" w:leader="none"/>
        </w:tabs>
        <w:spacing w:line="240" w:lineRule="auto" w:before="0" w:after="0"/>
        <w:ind w:left="1163" w:right="0" w:hanging="625"/>
        <w:jc w:val="left"/>
        <w:rPr>
          <w:sz w:val="21"/>
        </w:rPr>
      </w:pPr>
      <w:r>
        <w:rPr>
          <w:spacing w:val="-3"/>
          <w:sz w:val="21"/>
        </w:rPr>
        <w:t>法律、法规规定或中国证监会认定的其他情形。</w:t>
      </w:r>
    </w:p>
    <w:p>
      <w:pPr>
        <w:pStyle w:val="BodyText"/>
        <w:rPr>
          <w:sz w:val="22"/>
        </w:rPr>
      </w:pPr>
    </w:p>
    <w:p>
      <w:pPr>
        <w:pStyle w:val="BodyText"/>
        <w:spacing w:line="667" w:lineRule="auto" w:before="196"/>
        <w:ind w:left="538" w:right="2020"/>
      </w:pPr>
      <w:r>
        <w:rPr/>
        <w:t>如发生上述拒绝申购的情形，被拒绝的申购款项应全额退还投资者。基金管理人拒绝或暂停接受申购的方式包括：</w:t>
      </w:r>
    </w:p>
    <w:p>
      <w:pPr>
        <w:pStyle w:val="ListParagraph"/>
        <w:numPr>
          <w:ilvl w:val="0"/>
          <w:numId w:val="9"/>
        </w:numPr>
        <w:tabs>
          <w:tab w:pos="1067" w:val="left" w:leader="none"/>
        </w:tabs>
        <w:spacing w:line="240" w:lineRule="auto" w:before="1" w:after="0"/>
        <w:ind w:left="1067" w:right="0" w:hanging="529"/>
        <w:jc w:val="left"/>
        <w:rPr>
          <w:sz w:val="21"/>
        </w:rPr>
      </w:pPr>
      <w:r>
        <w:rPr>
          <w:spacing w:val="-3"/>
          <w:sz w:val="21"/>
        </w:rPr>
        <w:t>拒绝接受、暂停接受某笔或某数笔申购申请；</w:t>
      </w:r>
    </w:p>
    <w:p>
      <w:pPr>
        <w:pStyle w:val="BodyText"/>
        <w:rPr>
          <w:sz w:val="22"/>
        </w:rPr>
      </w:pPr>
    </w:p>
    <w:p>
      <w:pPr>
        <w:pStyle w:val="ListParagraph"/>
        <w:numPr>
          <w:ilvl w:val="0"/>
          <w:numId w:val="9"/>
        </w:numPr>
        <w:tabs>
          <w:tab w:pos="1067" w:val="left" w:leader="none"/>
        </w:tabs>
        <w:spacing w:line="240" w:lineRule="auto" w:before="196" w:after="0"/>
        <w:ind w:left="1067" w:right="0" w:hanging="529"/>
        <w:jc w:val="left"/>
        <w:rPr>
          <w:sz w:val="21"/>
        </w:rPr>
      </w:pPr>
      <w:r>
        <w:rPr>
          <w:spacing w:val="-3"/>
          <w:sz w:val="21"/>
        </w:rPr>
        <w:t>拒绝接受、暂停接受某个或某数个工作日的全部申购申请；</w:t>
      </w:r>
    </w:p>
    <w:p>
      <w:pPr>
        <w:spacing w:after="0" w:line="240" w:lineRule="auto"/>
        <w:jc w:val="left"/>
        <w:rPr>
          <w:sz w:val="21"/>
        </w:rPr>
        <w:sectPr>
          <w:pgSz w:w="11910" w:h="16850"/>
          <w:pgMar w:header="852" w:footer="1386" w:top="1420" w:bottom="1620" w:left="1680" w:right="1360"/>
        </w:sectPr>
      </w:pPr>
    </w:p>
    <w:p>
      <w:pPr>
        <w:pStyle w:val="ListParagraph"/>
        <w:numPr>
          <w:ilvl w:val="0"/>
          <w:numId w:val="9"/>
        </w:numPr>
        <w:tabs>
          <w:tab w:pos="1067" w:val="left" w:leader="none"/>
        </w:tabs>
        <w:spacing w:line="240" w:lineRule="auto" w:before="142" w:after="0"/>
        <w:ind w:left="1067" w:right="0" w:hanging="529"/>
        <w:jc w:val="left"/>
        <w:rPr>
          <w:sz w:val="21"/>
        </w:rPr>
      </w:pPr>
      <w:r>
        <w:rPr>
          <w:spacing w:val="-3"/>
          <w:sz w:val="21"/>
        </w:rPr>
        <w:t>按比例拒绝接受、暂停接受某个或某数个工作日的申购申请。</w:t>
      </w:r>
    </w:p>
    <w:p>
      <w:pPr>
        <w:pStyle w:val="BodyText"/>
        <w:rPr>
          <w:sz w:val="22"/>
        </w:rPr>
      </w:pPr>
    </w:p>
    <w:p>
      <w:pPr>
        <w:pStyle w:val="ListParagraph"/>
        <w:numPr>
          <w:ilvl w:val="0"/>
          <w:numId w:val="7"/>
        </w:numPr>
        <w:tabs>
          <w:tab w:pos="856" w:val="left" w:leader="none"/>
        </w:tabs>
        <w:spacing w:line="240" w:lineRule="auto" w:before="197" w:after="0"/>
        <w:ind w:left="855" w:right="0" w:hanging="318"/>
        <w:jc w:val="left"/>
        <w:rPr>
          <w:sz w:val="21"/>
        </w:rPr>
      </w:pPr>
      <w:r>
        <w:rPr>
          <w:spacing w:val="-3"/>
          <w:sz w:val="21"/>
        </w:rPr>
        <w:t>除下列情形外，基金管理人不得拒绝接受或暂停接受投资者的赎回申请：</w:t>
      </w:r>
    </w:p>
    <w:p>
      <w:pPr>
        <w:pStyle w:val="BodyText"/>
        <w:rPr>
          <w:sz w:val="22"/>
        </w:rPr>
      </w:pPr>
    </w:p>
    <w:p>
      <w:pPr>
        <w:pStyle w:val="ListParagraph"/>
        <w:numPr>
          <w:ilvl w:val="0"/>
          <w:numId w:val="10"/>
        </w:numPr>
        <w:tabs>
          <w:tab w:pos="1067" w:val="left" w:leader="none"/>
        </w:tabs>
        <w:spacing w:line="240" w:lineRule="auto" w:before="196" w:after="0"/>
        <w:ind w:left="1067" w:right="0" w:hanging="529"/>
        <w:jc w:val="left"/>
        <w:rPr>
          <w:sz w:val="21"/>
        </w:rPr>
      </w:pPr>
      <w:r>
        <w:rPr>
          <w:spacing w:val="-3"/>
          <w:sz w:val="21"/>
        </w:rPr>
        <w:t>不可抗力的原因导致基金无法正常运作；</w:t>
      </w:r>
    </w:p>
    <w:p>
      <w:pPr>
        <w:pStyle w:val="BodyText"/>
        <w:rPr>
          <w:sz w:val="22"/>
        </w:rPr>
      </w:pPr>
    </w:p>
    <w:p>
      <w:pPr>
        <w:pStyle w:val="BodyText"/>
        <w:spacing w:before="5"/>
        <w:rPr>
          <w:sz w:val="15"/>
        </w:rPr>
      </w:pPr>
    </w:p>
    <w:p>
      <w:pPr>
        <w:pStyle w:val="ListParagraph"/>
        <w:numPr>
          <w:ilvl w:val="0"/>
          <w:numId w:val="10"/>
        </w:numPr>
        <w:tabs>
          <w:tab w:pos="1067" w:val="left" w:leader="none"/>
        </w:tabs>
        <w:spacing w:line="240" w:lineRule="auto" w:before="1" w:after="0"/>
        <w:ind w:left="1067" w:right="0" w:hanging="529"/>
        <w:jc w:val="left"/>
        <w:rPr>
          <w:sz w:val="21"/>
        </w:rPr>
      </w:pPr>
      <w:r>
        <w:rPr>
          <w:spacing w:val="-3"/>
          <w:sz w:val="21"/>
        </w:rPr>
        <w:t>证券交易场所交易时间非正常停市；</w:t>
      </w:r>
    </w:p>
    <w:p>
      <w:pPr>
        <w:pStyle w:val="BodyText"/>
        <w:rPr>
          <w:sz w:val="22"/>
        </w:rPr>
      </w:pPr>
    </w:p>
    <w:p>
      <w:pPr>
        <w:pStyle w:val="ListParagraph"/>
        <w:numPr>
          <w:ilvl w:val="0"/>
          <w:numId w:val="10"/>
        </w:numPr>
        <w:tabs>
          <w:tab w:pos="1067" w:val="left" w:leader="none"/>
        </w:tabs>
        <w:spacing w:line="417" w:lineRule="auto" w:before="197" w:after="0"/>
        <w:ind w:left="118" w:right="436" w:firstLine="419"/>
        <w:jc w:val="left"/>
        <w:rPr>
          <w:sz w:val="21"/>
        </w:rPr>
      </w:pPr>
      <w:r>
        <w:rPr>
          <w:spacing w:val="-3"/>
          <w:sz w:val="21"/>
        </w:rPr>
        <w:t>因市场剧烈波动或其它原因而出现连续巨额赎回，导致本基金的现金支付出现困难；</w:t>
      </w:r>
    </w:p>
    <w:p>
      <w:pPr>
        <w:pStyle w:val="BodyText"/>
        <w:spacing w:before="10"/>
      </w:pPr>
    </w:p>
    <w:p>
      <w:pPr>
        <w:pStyle w:val="ListParagraph"/>
        <w:numPr>
          <w:ilvl w:val="0"/>
          <w:numId w:val="10"/>
        </w:numPr>
        <w:tabs>
          <w:tab w:pos="1067" w:val="left" w:leader="none"/>
        </w:tabs>
        <w:spacing w:line="417" w:lineRule="auto" w:before="0" w:after="0"/>
        <w:ind w:left="118" w:right="436" w:firstLine="419"/>
        <w:jc w:val="left"/>
        <w:rPr>
          <w:sz w:val="21"/>
        </w:rPr>
      </w:pPr>
      <w:r>
        <w:rPr>
          <w:spacing w:val="-3"/>
          <w:sz w:val="21"/>
        </w:rPr>
        <w:t>当影子定价确定的基金资产净值与摊余成本法计算的基金资产净值的负偏离度绝</w:t>
      </w:r>
      <w:r>
        <w:rPr>
          <w:spacing w:val="-8"/>
          <w:sz w:val="21"/>
        </w:rPr>
        <w:t>对值连续两个交易日超过 </w:t>
      </w:r>
      <w:r>
        <w:rPr>
          <w:rFonts w:ascii="Times New Roman" w:eastAsia="Times New Roman"/>
          <w:sz w:val="21"/>
        </w:rPr>
        <w:t>0.5%</w:t>
      </w:r>
      <w:r>
        <w:rPr>
          <w:sz w:val="21"/>
        </w:rPr>
        <w:t>；</w:t>
      </w:r>
    </w:p>
    <w:p>
      <w:pPr>
        <w:pStyle w:val="BodyText"/>
        <w:spacing w:before="11"/>
      </w:pPr>
    </w:p>
    <w:p>
      <w:pPr>
        <w:pStyle w:val="ListParagraph"/>
        <w:numPr>
          <w:ilvl w:val="0"/>
          <w:numId w:val="10"/>
        </w:numPr>
        <w:tabs>
          <w:tab w:pos="1067" w:val="left" w:leader="none"/>
        </w:tabs>
        <w:spacing w:line="417" w:lineRule="auto" w:before="0" w:after="0"/>
        <w:ind w:left="118" w:right="433"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当采取延缓支付赎回款项或暂停接受基金赎回申请的措施；</w:t>
      </w:r>
    </w:p>
    <w:p>
      <w:pPr>
        <w:pStyle w:val="BodyText"/>
        <w:spacing w:before="12"/>
      </w:pPr>
    </w:p>
    <w:p>
      <w:pPr>
        <w:pStyle w:val="ListParagraph"/>
        <w:numPr>
          <w:ilvl w:val="0"/>
          <w:numId w:val="10"/>
        </w:numPr>
        <w:tabs>
          <w:tab w:pos="1067" w:val="left" w:leader="none"/>
        </w:tabs>
        <w:spacing w:line="240" w:lineRule="auto" w:before="0" w:after="0"/>
        <w:ind w:left="1067" w:right="0" w:hanging="529"/>
        <w:jc w:val="left"/>
        <w:rPr>
          <w:sz w:val="21"/>
        </w:rPr>
      </w:pPr>
      <w:r>
        <w:rPr>
          <w:spacing w:val="-3"/>
          <w:sz w:val="21"/>
        </w:rPr>
        <w:t>法律、法规规定或中国证监会认定的其它情形。</w:t>
      </w:r>
    </w:p>
    <w:p>
      <w:pPr>
        <w:pStyle w:val="BodyText"/>
        <w:rPr>
          <w:sz w:val="22"/>
        </w:rPr>
      </w:pPr>
    </w:p>
    <w:p>
      <w:pPr>
        <w:pStyle w:val="BodyText"/>
        <w:spacing w:line="417" w:lineRule="auto" w:before="196"/>
        <w:ind w:left="118" w:right="433" w:firstLine="419"/>
        <w:jc w:val="both"/>
      </w:pPr>
      <w:r>
        <w:rPr>
          <w:spacing w:val="-9"/>
        </w:rPr>
        <w:t>发生上述情形之一的，基金管理人应立即向中国证监会备案。已接受的赎回申请，基金</w:t>
      </w:r>
      <w:r>
        <w:rPr>
          <w:spacing w:val="-12"/>
        </w:rPr>
        <w:t>管理人将足额支付；如暂时不能支付时，将按每个赎回申请人已被接受的赎回申请量占已接</w:t>
      </w:r>
      <w:r>
        <w:rPr>
          <w:spacing w:val="-11"/>
        </w:rPr>
        <w:t>受赎回申请总量的比例分配给赎回申请人，其余部分由基金管理人按照相应的处理办法在后</w:t>
      </w:r>
      <w:r>
        <w:rPr>
          <w:spacing w:val="-6"/>
        </w:rPr>
        <w:t>续开放日予以兑付。</w:t>
      </w:r>
    </w:p>
    <w:p>
      <w:pPr>
        <w:pStyle w:val="BodyText"/>
        <w:spacing w:before="10"/>
      </w:pPr>
    </w:p>
    <w:p>
      <w:pPr>
        <w:pStyle w:val="BodyText"/>
        <w:spacing w:line="417" w:lineRule="auto" w:before="1"/>
        <w:ind w:left="118" w:right="433" w:firstLine="419"/>
        <w:jc w:val="both"/>
      </w:pPr>
      <w:r>
        <w:rPr>
          <w:spacing w:val="-6"/>
        </w:rPr>
        <w:t>除因上述</w:t>
      </w:r>
      <w:r>
        <w:rPr>
          <w:spacing w:val="-8"/>
        </w:rPr>
        <w:t>（</w:t>
      </w:r>
      <w:r>
        <w:rPr>
          <w:rFonts w:ascii="Times New Roman" w:eastAsia="Times New Roman"/>
          <w:spacing w:val="-8"/>
        </w:rPr>
        <w:t>1</w:t>
      </w:r>
      <w:r>
        <w:rPr>
          <w:spacing w:val="-8"/>
        </w:rPr>
        <w:t>）</w:t>
      </w:r>
      <w:r>
        <w:rPr>
          <w:spacing w:val="-20"/>
        </w:rPr>
        <w:t>至</w:t>
      </w:r>
      <w:r>
        <w:rPr>
          <w:spacing w:val="-8"/>
        </w:rPr>
        <w:t>（</w:t>
      </w:r>
      <w:r>
        <w:rPr>
          <w:rFonts w:ascii="Times New Roman" w:eastAsia="Times New Roman"/>
          <w:spacing w:val="-8"/>
        </w:rPr>
        <w:t>5</w:t>
      </w:r>
      <w:r>
        <w:rPr>
          <w:spacing w:val="-8"/>
        </w:rPr>
        <w:t>）</w:t>
      </w:r>
      <w:r>
        <w:rPr>
          <w:spacing w:val="-5"/>
        </w:rPr>
        <w:t>的情形外，基金管理人也可在以下情况发生时拒绝接受或暂停接</w:t>
      </w:r>
      <w:r>
        <w:rPr>
          <w:spacing w:val="6"/>
        </w:rPr>
        <w:t>受投资者的</w:t>
      </w:r>
      <w:r>
        <w:rPr>
          <w:rFonts w:ascii="Times New Roman" w:eastAsia="Times New Roman"/>
        </w:rPr>
        <w:t>E </w:t>
      </w:r>
      <w:r>
        <w:rPr>
          <w:spacing w:val="-3"/>
        </w:rPr>
        <w:t>类基金份额的赎回申请：</w:t>
      </w:r>
    </w:p>
    <w:p>
      <w:pPr>
        <w:pStyle w:val="BodyText"/>
        <w:spacing w:before="11"/>
      </w:pPr>
    </w:p>
    <w:p>
      <w:pPr>
        <w:pStyle w:val="ListParagraph"/>
        <w:numPr>
          <w:ilvl w:val="0"/>
          <w:numId w:val="11"/>
        </w:numPr>
        <w:tabs>
          <w:tab w:pos="1067" w:val="left" w:leader="none"/>
        </w:tabs>
        <w:spacing w:line="240" w:lineRule="auto" w:before="1" w:after="0"/>
        <w:ind w:left="1067" w:right="0" w:hanging="529"/>
        <w:jc w:val="left"/>
        <w:rPr>
          <w:sz w:val="21"/>
        </w:rPr>
      </w:pPr>
      <w:r>
        <w:rPr>
          <w:spacing w:val="-7"/>
          <w:sz w:val="21"/>
        </w:rPr>
        <w:t>当日超出基金管理人规定的 </w:t>
      </w:r>
      <w:r>
        <w:rPr>
          <w:rFonts w:ascii="Times New Roman" w:eastAsia="Times New Roman"/>
          <w:sz w:val="21"/>
        </w:rPr>
        <w:t>E</w:t>
      </w:r>
      <w:r>
        <w:rPr>
          <w:rFonts w:ascii="Times New Roman" w:eastAsia="Times New Roman"/>
          <w:spacing w:val="-1"/>
          <w:sz w:val="21"/>
        </w:rPr>
        <w:t> </w:t>
      </w:r>
      <w:r>
        <w:rPr>
          <w:spacing w:val="-3"/>
          <w:sz w:val="21"/>
        </w:rPr>
        <w:t>类基金份额数量限制的赎回申请；</w:t>
      </w:r>
    </w:p>
    <w:p>
      <w:pPr>
        <w:pStyle w:val="BodyText"/>
        <w:rPr>
          <w:sz w:val="22"/>
        </w:rPr>
      </w:pPr>
    </w:p>
    <w:p>
      <w:pPr>
        <w:pStyle w:val="ListParagraph"/>
        <w:numPr>
          <w:ilvl w:val="0"/>
          <w:numId w:val="11"/>
        </w:numPr>
        <w:tabs>
          <w:tab w:pos="1067" w:val="left" w:leader="none"/>
        </w:tabs>
        <w:spacing w:line="417" w:lineRule="auto" w:before="195" w:after="0"/>
        <w:ind w:left="118" w:right="435" w:firstLine="419"/>
        <w:jc w:val="both"/>
        <w:rPr>
          <w:sz w:val="21"/>
        </w:rPr>
      </w:pPr>
      <w:r>
        <w:rPr>
          <w:spacing w:val="-6"/>
          <w:sz w:val="21"/>
        </w:rPr>
        <w:t>上海证券交易所、销售机构、注册登记机构等因异常情况无法办理 </w:t>
      </w:r>
      <w:r>
        <w:rPr>
          <w:rFonts w:ascii="Times New Roman" w:eastAsia="Times New Roman"/>
          <w:sz w:val="21"/>
        </w:rPr>
        <w:t>E</w:t>
      </w:r>
      <w:r>
        <w:rPr>
          <w:rFonts w:ascii="Times New Roman" w:eastAsia="Times New Roman"/>
          <w:spacing w:val="16"/>
          <w:sz w:val="21"/>
        </w:rPr>
        <w:t> </w:t>
      </w:r>
      <w:r>
        <w:rPr>
          <w:spacing w:val="-3"/>
          <w:sz w:val="21"/>
        </w:rPr>
        <w:t>类基金份额赎回的情形。</w:t>
      </w:r>
    </w:p>
    <w:p>
      <w:pPr>
        <w:pStyle w:val="BodyText"/>
        <w:spacing w:before="11"/>
      </w:pPr>
    </w:p>
    <w:p>
      <w:pPr>
        <w:pStyle w:val="BodyText"/>
        <w:ind w:left="538"/>
      </w:pPr>
      <w:r>
        <w:rPr/>
        <w:t>为公平对待不同类别基金份额持有人的合法权益，如本基金单个基金份额持有人在单个</w:t>
      </w:r>
    </w:p>
    <w:p>
      <w:pPr>
        <w:spacing w:after="0"/>
        <w:sectPr>
          <w:pgSz w:w="11910" w:h="16850"/>
          <w:pgMar w:header="852" w:footer="1386" w:top="1420" w:bottom="1620" w:left="1680" w:right="1360"/>
        </w:sectPr>
      </w:pPr>
    </w:p>
    <w:p>
      <w:pPr>
        <w:pStyle w:val="BodyText"/>
        <w:spacing w:line="417" w:lineRule="auto" w:before="142"/>
        <w:ind w:left="118" w:right="434"/>
      </w:pPr>
      <w:r>
        <w:rPr/>
        <w:t>开放日申请赎回基金份额超过基金总份额 </w:t>
      </w:r>
      <w:r>
        <w:rPr>
          <w:rFonts w:ascii="Times New Roman" w:eastAsia="Times New Roman"/>
        </w:rPr>
        <w:t>10%</w:t>
      </w:r>
      <w:r>
        <w:rPr/>
        <w:t>的，基金管理人可对其采取延期办理部分赎回申请或者延缓支付赎回款项的措施。</w:t>
      </w:r>
    </w:p>
    <w:p>
      <w:pPr>
        <w:pStyle w:val="BodyText"/>
        <w:spacing w:before="11"/>
      </w:pPr>
    </w:p>
    <w:p>
      <w:pPr>
        <w:pStyle w:val="ListParagraph"/>
        <w:numPr>
          <w:ilvl w:val="0"/>
          <w:numId w:val="7"/>
        </w:numPr>
        <w:tabs>
          <w:tab w:pos="856" w:val="left" w:leader="none"/>
        </w:tabs>
        <w:spacing w:line="417" w:lineRule="auto" w:before="0" w:after="0"/>
        <w:ind w:left="118" w:right="436" w:firstLine="419"/>
        <w:jc w:val="left"/>
        <w:rPr>
          <w:sz w:val="21"/>
        </w:rPr>
      </w:pPr>
      <w:r>
        <w:rPr>
          <w:spacing w:val="-3"/>
          <w:sz w:val="21"/>
        </w:rPr>
        <w:t>发生基金合同或《招募说明书》中未予载明的事项，但基金管理人有正当理由认为需要暂停接受基金申购、赎回申请的，应当按规定进行公告。</w:t>
      </w:r>
    </w:p>
    <w:p>
      <w:pPr>
        <w:pStyle w:val="BodyText"/>
        <w:spacing w:before="9"/>
      </w:pPr>
    </w:p>
    <w:p>
      <w:pPr>
        <w:pStyle w:val="ListParagraph"/>
        <w:numPr>
          <w:ilvl w:val="0"/>
          <w:numId w:val="7"/>
        </w:numPr>
        <w:tabs>
          <w:tab w:pos="856" w:val="left" w:leader="none"/>
        </w:tabs>
        <w:spacing w:line="417" w:lineRule="auto" w:before="0" w:after="0"/>
        <w:ind w:left="118" w:right="436" w:firstLine="419"/>
        <w:jc w:val="left"/>
        <w:rPr>
          <w:sz w:val="21"/>
        </w:rPr>
      </w:pPr>
      <w:r>
        <w:rPr>
          <w:spacing w:val="-3"/>
          <w:sz w:val="21"/>
        </w:rPr>
        <w:t>基金暂停申购、赎回时或恢复申购和赎回时，基金管理人应根据相应法律法规进行信息披露。</w:t>
      </w:r>
    </w:p>
    <w:p>
      <w:pPr>
        <w:spacing w:after="0" w:line="417" w:lineRule="auto"/>
        <w:jc w:val="left"/>
        <w:rPr>
          <w:sz w:val="21"/>
        </w:rPr>
        <w:sectPr>
          <w:pgSz w:w="11910" w:h="16850"/>
          <w:pgMar w:header="852" w:footer="1386" w:top="1420" w:bottom="1620" w:left="1680" w:right="1360"/>
        </w:sectPr>
      </w:pPr>
    </w:p>
    <w:p>
      <w:pPr>
        <w:pStyle w:val="Heading1"/>
        <w:ind w:left="2289"/>
      </w:pPr>
      <w:bookmarkStart w:name="_bookmark24" w:id="25"/>
      <w:bookmarkEnd w:id="25"/>
      <w:r>
        <w:rPr/>
      </w:r>
      <w:r>
        <w:rPr/>
        <w:t>八、 基金的转换</w:t>
      </w:r>
    </w:p>
    <w:p>
      <w:pPr>
        <w:pStyle w:val="BodyText"/>
        <w:spacing w:before="2"/>
        <w:rPr>
          <w:sz w:val="38"/>
        </w:rPr>
      </w:pPr>
    </w:p>
    <w:p>
      <w:pPr>
        <w:pStyle w:val="BodyText"/>
        <w:spacing w:line="417" w:lineRule="auto" w:before="1"/>
        <w:ind w:left="118" w:right="434" w:firstLine="419"/>
      </w:pPr>
      <w:r>
        <w:rPr>
          <w:spacing w:val="-6"/>
        </w:rPr>
        <w:t>本基金持有人可按照基金管理人的有关规定在其所管理的基金间进行转换。有关业务规</w:t>
      </w:r>
      <w:r>
        <w:rPr>
          <w:spacing w:val="-4"/>
        </w:rPr>
        <w:t>则和费率安排见本基金《招募说明书》和基金管理人的公告。</w:t>
      </w:r>
    </w:p>
    <w:p>
      <w:pPr>
        <w:spacing w:after="0" w:line="417" w:lineRule="auto"/>
        <w:sectPr>
          <w:pgSz w:w="11910" w:h="16850"/>
          <w:pgMar w:header="852" w:footer="1386" w:top="1420" w:bottom="1620" w:left="1680" w:right="1360"/>
        </w:sectPr>
      </w:pPr>
    </w:p>
    <w:p>
      <w:pPr>
        <w:pStyle w:val="BodyText"/>
        <w:spacing w:before="5"/>
        <w:rPr>
          <w:sz w:val="19"/>
        </w:rPr>
      </w:pPr>
    </w:p>
    <w:p>
      <w:pPr>
        <w:pStyle w:val="Heading1"/>
        <w:spacing w:before="54"/>
        <w:ind w:right="322"/>
      </w:pPr>
      <w:bookmarkStart w:name="_bookmark25" w:id="26"/>
      <w:bookmarkEnd w:id="26"/>
      <w:r>
        <w:rPr/>
      </w:r>
      <w:r>
        <w:rPr/>
        <w:t>九、 基金的非交易过户、转托管、冻结与质押</w:t>
      </w:r>
    </w:p>
    <w:p>
      <w:pPr>
        <w:pStyle w:val="BodyText"/>
        <w:rPr>
          <w:sz w:val="32"/>
        </w:rPr>
      </w:pPr>
    </w:p>
    <w:p>
      <w:pPr>
        <w:pStyle w:val="BodyText"/>
        <w:spacing w:line="417" w:lineRule="auto" w:before="236"/>
        <w:ind w:left="118" w:right="327" w:firstLine="359"/>
      </w:pPr>
      <w:r>
        <w:rPr/>
        <w:t>（一</w:t>
      </w:r>
      <w:r>
        <w:rPr>
          <w:spacing w:val="-3"/>
        </w:rPr>
        <w:t>）</w:t>
      </w:r>
      <w:r>
        <w:rPr>
          <w:spacing w:val="-5"/>
        </w:rPr>
        <w:t>   非交易过户是指不采用申购、赎回等基金交易方式， 将一定数量的基金份额</w:t>
      </w:r>
      <w:r>
        <w:rPr>
          <w:spacing w:val="-4"/>
        </w:rPr>
        <w:t>按照一定规则从某一投资者基金账户转移到另一投资者基金账户的行为，包括继承、捐赠、遗赠、自愿离婚、分家析产、国有资产无偿划转、机构合并或分立、资产售卖、机构清算、</w:t>
      </w:r>
      <w:r>
        <w:rPr>
          <w:spacing w:val="-19"/>
        </w:rPr>
        <w:t>企业破产清算、强制执行，及基金注册登记机构认可的其它行为。无论在上述何种情况下，接</w:t>
      </w:r>
      <w:r>
        <w:rPr>
          <w:spacing w:val="-8"/>
        </w:rPr>
        <w:t>受划转的主体必须是适格的个人投资者或机构投资者。其中：</w:t>
      </w:r>
      <w:r>
        <w:rPr/>
        <w:t> </w:t>
      </w:r>
    </w:p>
    <w:p>
      <w:pPr>
        <w:pStyle w:val="BodyText"/>
        <w:spacing w:before="9"/>
      </w:pPr>
    </w:p>
    <w:p>
      <w:pPr>
        <w:pStyle w:val="ListParagraph"/>
        <w:numPr>
          <w:ilvl w:val="0"/>
          <w:numId w:val="12"/>
        </w:numPr>
        <w:tabs>
          <w:tab w:pos="1017" w:val="left" w:leader="none"/>
          <w:tab w:pos="1018" w:val="left" w:leader="none"/>
        </w:tabs>
        <w:spacing w:line="417" w:lineRule="auto" w:before="0" w:after="0"/>
        <w:ind w:left="1018" w:right="439" w:hanging="420"/>
        <w:jc w:val="left"/>
        <w:rPr>
          <w:sz w:val="21"/>
        </w:rPr>
      </w:pPr>
      <w:r>
        <w:rPr>
          <w:spacing w:val="-1"/>
          <w:sz w:val="21"/>
        </w:rPr>
        <w:t>“继承”是指基金份额持有人死亡，其持有的基金份额由其合法的继承人或受遗赠人继承。 </w:t>
      </w:r>
    </w:p>
    <w:p>
      <w:pPr>
        <w:pStyle w:val="ListParagraph"/>
        <w:numPr>
          <w:ilvl w:val="0"/>
          <w:numId w:val="12"/>
        </w:numPr>
        <w:tabs>
          <w:tab w:pos="1017" w:val="left" w:leader="none"/>
          <w:tab w:pos="1018" w:val="left" w:leader="none"/>
        </w:tabs>
        <w:spacing w:line="417" w:lineRule="auto" w:before="0" w:after="0"/>
        <w:ind w:left="1018" w:right="439" w:hanging="420"/>
        <w:jc w:val="left"/>
        <w:rPr>
          <w:sz w:val="21"/>
        </w:rPr>
      </w:pPr>
      <w:r>
        <w:rPr>
          <w:spacing w:val="-1"/>
          <w:sz w:val="21"/>
        </w:rPr>
        <w:t>“捐赠”仅指基金份额持有人将其合法持有的基金份额捐赠给福利性质的基金会</w:t>
      </w:r>
      <w:r>
        <w:rPr>
          <w:spacing w:val="-3"/>
          <w:sz w:val="21"/>
        </w:rPr>
        <w:t>或其他具有社会公益性质的社会团体。 </w:t>
      </w:r>
    </w:p>
    <w:p>
      <w:pPr>
        <w:pStyle w:val="ListParagraph"/>
        <w:numPr>
          <w:ilvl w:val="0"/>
          <w:numId w:val="12"/>
        </w:numPr>
        <w:tabs>
          <w:tab w:pos="1017" w:val="left" w:leader="none"/>
          <w:tab w:pos="1018" w:val="left" w:leader="none"/>
        </w:tabs>
        <w:spacing w:line="417" w:lineRule="auto" w:before="0" w:after="0"/>
        <w:ind w:left="1018" w:right="441" w:hanging="420"/>
        <w:jc w:val="left"/>
        <w:rPr>
          <w:sz w:val="21"/>
        </w:rPr>
      </w:pPr>
      <w:r>
        <w:rPr>
          <w:rFonts w:ascii="Times New Roman" w:hAnsi="Times New Roman" w:eastAsia="Times New Roman"/>
          <w:sz w:val="21"/>
        </w:rPr>
        <w:t>“</w:t>
      </w:r>
      <w:r>
        <w:rPr>
          <w:sz w:val="21"/>
        </w:rPr>
        <w:t>遗赠</w:t>
      </w:r>
      <w:r>
        <w:rPr>
          <w:rFonts w:ascii="Times New Roman" w:hAnsi="Times New Roman" w:eastAsia="Times New Roman"/>
          <w:sz w:val="21"/>
        </w:rPr>
        <w:t>”</w:t>
      </w:r>
      <w:r>
        <w:rPr>
          <w:spacing w:val="-1"/>
          <w:sz w:val="21"/>
        </w:rPr>
        <w:t>指基金份额持有人立遗嘱将其持有的基金份额赠给法定继承人以外的其他</w:t>
      </w:r>
      <w:r>
        <w:rPr>
          <w:sz w:val="21"/>
        </w:rPr>
        <w:t>人；</w:t>
      </w:r>
      <w:r>
        <w:rPr>
          <w:spacing w:val="-55"/>
          <w:sz w:val="21"/>
        </w:rPr>
        <w:t> </w:t>
      </w:r>
      <w:r>
        <w:rPr>
          <w:w w:val="100"/>
          <w:sz w:val="21"/>
        </w:rPr>
        <w:t> </w:t>
      </w:r>
    </w:p>
    <w:p>
      <w:pPr>
        <w:pStyle w:val="ListParagraph"/>
        <w:numPr>
          <w:ilvl w:val="0"/>
          <w:numId w:val="12"/>
        </w:numPr>
        <w:tabs>
          <w:tab w:pos="1017" w:val="left" w:leader="none"/>
          <w:tab w:pos="1018" w:val="left" w:leader="none"/>
        </w:tabs>
        <w:spacing w:line="417" w:lineRule="auto" w:before="0" w:after="0"/>
        <w:ind w:left="1018" w:right="440" w:hanging="420"/>
        <w:jc w:val="left"/>
        <w:rPr>
          <w:sz w:val="21"/>
        </w:rPr>
      </w:pPr>
      <w:r>
        <w:rPr>
          <w:rFonts w:ascii="Times New Roman" w:hAnsi="Times New Roman" w:eastAsia="Times New Roman"/>
          <w:sz w:val="21"/>
        </w:rPr>
        <w:t>“</w:t>
      </w:r>
      <w:r>
        <w:rPr>
          <w:sz w:val="21"/>
        </w:rPr>
        <w:t>自愿离婚</w:t>
      </w:r>
      <w:r>
        <w:rPr>
          <w:rFonts w:ascii="Times New Roman" w:hAnsi="Times New Roman" w:eastAsia="Times New Roman"/>
          <w:sz w:val="21"/>
        </w:rPr>
        <w:t>”</w:t>
      </w:r>
      <w:r>
        <w:rPr>
          <w:spacing w:val="-1"/>
          <w:sz w:val="21"/>
        </w:rPr>
        <w:t>指原属夫妻共同财产的基金份额因基金份额持有人自愿离婚而使原在</w:t>
      </w:r>
      <w:r>
        <w:rPr>
          <w:spacing w:val="-3"/>
          <w:sz w:val="21"/>
        </w:rPr>
        <w:t>某一方名下的部分或全部基金份额划转至另一方名下；</w:t>
      </w:r>
      <w:r>
        <w:rPr>
          <w:spacing w:val="-55"/>
          <w:sz w:val="21"/>
        </w:rPr>
        <w:t> </w:t>
      </w:r>
      <w:r>
        <w:rPr>
          <w:w w:val="100"/>
          <w:sz w:val="21"/>
        </w:rPr>
        <w:t> </w:t>
      </w:r>
    </w:p>
    <w:p>
      <w:pPr>
        <w:pStyle w:val="ListParagraph"/>
        <w:numPr>
          <w:ilvl w:val="0"/>
          <w:numId w:val="12"/>
        </w:numPr>
        <w:tabs>
          <w:tab w:pos="1017" w:val="left" w:leader="none"/>
          <w:tab w:pos="1018" w:val="left" w:leader="none"/>
        </w:tabs>
        <w:spacing w:line="417" w:lineRule="auto" w:before="0" w:after="0"/>
        <w:ind w:left="1018" w:right="433" w:hanging="420"/>
        <w:jc w:val="left"/>
        <w:rPr>
          <w:sz w:val="21"/>
        </w:rPr>
      </w:pPr>
      <w:r>
        <w:rPr>
          <w:rFonts w:ascii="Times New Roman" w:hAnsi="Times New Roman" w:eastAsia="Times New Roman"/>
          <w:sz w:val="21"/>
        </w:rPr>
        <w:t>“</w:t>
      </w:r>
      <w:r>
        <w:rPr>
          <w:spacing w:val="-2"/>
          <w:sz w:val="21"/>
        </w:rPr>
        <w:t>分家析产</w:t>
      </w:r>
      <w:r>
        <w:rPr>
          <w:rFonts w:ascii="Times New Roman" w:hAnsi="Times New Roman" w:eastAsia="Times New Roman"/>
          <w:sz w:val="21"/>
        </w:rPr>
        <w:t>”</w:t>
      </w:r>
      <w:r>
        <w:rPr>
          <w:spacing w:val="-9"/>
          <w:sz w:val="21"/>
        </w:rPr>
        <w:t>指原属家庭共有</w:t>
      </w:r>
      <w:r>
        <w:rPr>
          <w:sz w:val="21"/>
        </w:rPr>
        <w:t>（</w:t>
      </w:r>
      <w:r>
        <w:rPr>
          <w:spacing w:val="-8"/>
          <w:sz w:val="21"/>
        </w:rPr>
        <w:t>如父子共有、兄弟共有等</w:t>
      </w:r>
      <w:r>
        <w:rPr>
          <w:spacing w:val="-44"/>
          <w:sz w:val="21"/>
        </w:rPr>
        <w:t>）</w:t>
      </w:r>
      <w:r>
        <w:rPr>
          <w:spacing w:val="-3"/>
          <w:sz w:val="21"/>
        </w:rPr>
        <w:t>的基金份额从某一家庭成员名下划转至其他家庭成员名下的行为； </w:t>
      </w:r>
    </w:p>
    <w:p>
      <w:pPr>
        <w:pStyle w:val="ListParagraph"/>
        <w:numPr>
          <w:ilvl w:val="0"/>
          <w:numId w:val="12"/>
        </w:numPr>
        <w:tabs>
          <w:tab w:pos="1070" w:val="left" w:leader="none"/>
          <w:tab w:pos="1071" w:val="left" w:leader="none"/>
        </w:tabs>
        <w:spacing w:line="417" w:lineRule="auto" w:before="0" w:after="0"/>
        <w:ind w:left="1018" w:right="436" w:hanging="420"/>
        <w:jc w:val="left"/>
        <w:rPr>
          <w:sz w:val="21"/>
        </w:rPr>
      </w:pPr>
      <w:r>
        <w:rPr/>
        <w:tab/>
      </w:r>
      <w:r>
        <w:rPr>
          <w:rFonts w:ascii="Times New Roman" w:hAnsi="Times New Roman" w:eastAsia="Times New Roman"/>
          <w:sz w:val="21"/>
        </w:rPr>
        <w:t>“</w:t>
      </w:r>
      <w:r>
        <w:rPr>
          <w:sz w:val="21"/>
        </w:rPr>
        <w:t>国有资产无偿划转</w:t>
      </w:r>
      <w:r>
        <w:rPr>
          <w:rFonts w:ascii="Times New Roman" w:hAnsi="Times New Roman" w:eastAsia="Times New Roman"/>
          <w:sz w:val="21"/>
        </w:rPr>
        <w:t>”</w:t>
      </w:r>
      <w:r>
        <w:rPr>
          <w:spacing w:val="-4"/>
          <w:sz w:val="21"/>
        </w:rPr>
        <w:t>指因管理体制改革、组织形式调整或资产重组等原因引起的</w:t>
      </w:r>
      <w:r>
        <w:rPr>
          <w:spacing w:val="-3"/>
          <w:sz w:val="21"/>
        </w:rPr>
        <w:t>作为国有资产的基金份额在不同国有产权主体之间的无偿转移；</w:t>
      </w:r>
      <w:r>
        <w:rPr>
          <w:sz w:val="21"/>
        </w:rPr>
        <w:t> </w:t>
      </w:r>
    </w:p>
    <w:p>
      <w:pPr>
        <w:pStyle w:val="ListParagraph"/>
        <w:numPr>
          <w:ilvl w:val="0"/>
          <w:numId w:val="12"/>
        </w:numPr>
        <w:tabs>
          <w:tab w:pos="1070" w:val="left" w:leader="none"/>
          <w:tab w:pos="1071" w:val="left" w:leader="none"/>
        </w:tabs>
        <w:spacing w:line="269" w:lineRule="exact" w:before="0" w:after="0"/>
        <w:ind w:left="1070" w:right="0" w:hanging="473"/>
        <w:jc w:val="left"/>
        <w:rPr>
          <w:sz w:val="21"/>
        </w:rPr>
      </w:pPr>
      <w:r>
        <w:rPr>
          <w:rFonts w:ascii="Times New Roman" w:hAnsi="Times New Roman" w:eastAsia="Times New Roman"/>
          <w:sz w:val="21"/>
        </w:rPr>
        <w:t>“</w:t>
      </w:r>
      <w:r>
        <w:rPr>
          <w:spacing w:val="-3"/>
          <w:sz w:val="21"/>
        </w:rPr>
        <w:t>机构合并或分立</w:t>
      </w:r>
      <w:r>
        <w:rPr>
          <w:rFonts w:ascii="Times New Roman" w:hAnsi="Times New Roman" w:eastAsia="Times New Roman"/>
          <w:sz w:val="21"/>
        </w:rPr>
        <w:t>”</w:t>
      </w:r>
      <w:r>
        <w:rPr>
          <w:spacing w:val="-3"/>
          <w:sz w:val="21"/>
        </w:rPr>
        <w:t>指因机构的合并或分立而导致的基金份额的划转；</w:t>
      </w:r>
      <w:r>
        <w:rPr>
          <w:sz w:val="21"/>
        </w:rPr>
        <w:t> </w:t>
      </w:r>
    </w:p>
    <w:p>
      <w:pPr>
        <w:pStyle w:val="BodyText"/>
        <w:spacing w:before="5"/>
        <w:rPr>
          <w:sz w:val="15"/>
        </w:rPr>
      </w:pPr>
    </w:p>
    <w:p>
      <w:pPr>
        <w:pStyle w:val="ListParagraph"/>
        <w:numPr>
          <w:ilvl w:val="0"/>
          <w:numId w:val="12"/>
        </w:numPr>
        <w:tabs>
          <w:tab w:pos="1071" w:val="left" w:leader="none"/>
        </w:tabs>
        <w:spacing w:line="417" w:lineRule="auto" w:before="1" w:after="0"/>
        <w:ind w:left="1018" w:right="435" w:hanging="420"/>
        <w:jc w:val="both"/>
        <w:rPr>
          <w:sz w:val="21"/>
        </w:rPr>
      </w:pPr>
      <w:r>
        <w:rPr/>
        <w:tab/>
      </w:r>
      <w:r>
        <w:rPr>
          <w:rFonts w:ascii="Times New Roman" w:hAnsi="Times New Roman" w:eastAsia="Times New Roman"/>
          <w:sz w:val="21"/>
        </w:rPr>
        <w:t>“</w:t>
      </w:r>
      <w:r>
        <w:rPr>
          <w:sz w:val="21"/>
        </w:rPr>
        <w:t>资产售卖</w:t>
      </w:r>
      <w:r>
        <w:rPr>
          <w:rFonts w:ascii="Times New Roman" w:hAnsi="Times New Roman" w:eastAsia="Times New Roman"/>
          <w:sz w:val="21"/>
        </w:rPr>
        <w:t>”</w:t>
      </w:r>
      <w:r>
        <w:rPr>
          <w:spacing w:val="-1"/>
          <w:sz w:val="21"/>
        </w:rPr>
        <w:t>指一企业出售它的下属部门</w:t>
      </w:r>
      <w:r>
        <w:rPr>
          <w:sz w:val="21"/>
        </w:rPr>
        <w:t>（</w:t>
      </w:r>
      <w:r>
        <w:rPr>
          <w:spacing w:val="-3"/>
          <w:sz w:val="21"/>
        </w:rPr>
        <w:t>独立部门、分支机构或生产线</w:t>
      </w:r>
      <w:r>
        <w:rPr>
          <w:sz w:val="21"/>
        </w:rPr>
        <w:t>）</w:t>
      </w:r>
      <w:r>
        <w:rPr>
          <w:spacing w:val="-6"/>
          <w:sz w:val="21"/>
        </w:rPr>
        <w:t>的整体</w:t>
      </w:r>
      <w:r>
        <w:rPr>
          <w:spacing w:val="-12"/>
          <w:sz w:val="21"/>
        </w:rPr>
        <w:t>资产给另一企业的交易， 在这种交易中， 前者持有的基金份额随其他经营性资产</w:t>
      </w:r>
      <w:r>
        <w:rPr>
          <w:spacing w:val="-11"/>
          <w:sz w:val="21"/>
        </w:rPr>
        <w:t>一同转让给后者， 由后者一并支付对价；</w:t>
      </w:r>
      <w:r>
        <w:rPr>
          <w:sz w:val="21"/>
        </w:rPr>
        <w:t> </w:t>
      </w:r>
    </w:p>
    <w:p>
      <w:pPr>
        <w:pStyle w:val="ListParagraph"/>
        <w:numPr>
          <w:ilvl w:val="0"/>
          <w:numId w:val="12"/>
        </w:numPr>
        <w:tabs>
          <w:tab w:pos="1071" w:val="left" w:leader="none"/>
        </w:tabs>
        <w:spacing w:line="417" w:lineRule="auto" w:before="0" w:after="0"/>
        <w:ind w:left="1018" w:right="433" w:hanging="420"/>
        <w:jc w:val="both"/>
        <w:rPr>
          <w:sz w:val="21"/>
        </w:rPr>
      </w:pPr>
      <w:r>
        <w:rPr/>
        <w:tab/>
      </w:r>
      <w:r>
        <w:rPr>
          <w:rFonts w:ascii="Times New Roman" w:hAnsi="Times New Roman" w:eastAsia="Times New Roman"/>
          <w:sz w:val="21"/>
        </w:rPr>
        <w:t>“</w:t>
      </w:r>
      <w:r>
        <w:rPr>
          <w:spacing w:val="-2"/>
          <w:sz w:val="21"/>
        </w:rPr>
        <w:t>机构清算</w:t>
      </w:r>
      <w:r>
        <w:rPr>
          <w:rFonts w:ascii="Times New Roman" w:hAnsi="Times New Roman" w:eastAsia="Times New Roman"/>
          <w:sz w:val="21"/>
        </w:rPr>
        <w:t>”</w:t>
      </w:r>
      <w:r>
        <w:rPr>
          <w:spacing w:val="-5"/>
          <w:sz w:val="21"/>
        </w:rPr>
        <w:t>是指机构因组织文件规定的期限届满或出现其他解散事由， 或因其权</w:t>
      </w:r>
      <w:r>
        <w:rPr>
          <w:spacing w:val="-2"/>
          <w:sz w:val="21"/>
        </w:rPr>
        <w:t>力机关作出解散决议， 或依法被责令关闭或撤销而导致解散， 或因其他原因解</w:t>
      </w:r>
      <w:r>
        <w:rPr>
          <w:spacing w:val="-2"/>
          <w:w w:val="100"/>
          <w:sz w:val="21"/>
        </w:rPr>
        <w:t>散，</w:t>
      </w:r>
      <w:r>
        <w:rPr>
          <w:spacing w:val="-53"/>
          <w:sz w:val="21"/>
        </w:rPr>
        <w:t> </w:t>
      </w:r>
      <w:r>
        <w:rPr>
          <w:spacing w:val="-3"/>
          <w:w w:val="100"/>
          <w:sz w:val="21"/>
        </w:rPr>
        <w:t>从而进入清算程序（破产清算程序除外</w:t>
      </w:r>
      <w:r>
        <w:rPr>
          <w:spacing w:val="-106"/>
          <w:w w:val="100"/>
          <w:sz w:val="21"/>
        </w:rPr>
        <w:t>）</w:t>
      </w:r>
      <w:r>
        <w:rPr>
          <w:w w:val="100"/>
          <w:sz w:val="21"/>
        </w:rPr>
        <w:t>，</w:t>
      </w:r>
      <w:r>
        <w:rPr>
          <w:spacing w:val="-55"/>
          <w:sz w:val="21"/>
        </w:rPr>
        <w:t> </w:t>
      </w:r>
      <w:r>
        <w:rPr>
          <w:spacing w:val="-2"/>
          <w:w w:val="100"/>
          <w:sz w:val="21"/>
        </w:rPr>
        <w:t>清算组</w:t>
      </w:r>
      <w:r>
        <w:rPr>
          <w:spacing w:val="-3"/>
          <w:w w:val="100"/>
          <w:sz w:val="21"/>
        </w:rPr>
        <w:t>（或类似组织，</w:t>
      </w:r>
      <w:r>
        <w:rPr>
          <w:spacing w:val="-52"/>
          <w:sz w:val="21"/>
        </w:rPr>
        <w:t> </w:t>
      </w:r>
      <w:r>
        <w:rPr>
          <w:spacing w:val="-3"/>
          <w:w w:val="100"/>
          <w:sz w:val="21"/>
        </w:rPr>
        <w:t>下同</w:t>
      </w:r>
      <w:r>
        <w:rPr>
          <w:w w:val="100"/>
          <w:sz w:val="21"/>
        </w:rPr>
        <w:t>）将</w:t>
      </w:r>
      <w:r>
        <w:rPr>
          <w:spacing w:val="-4"/>
          <w:sz w:val="21"/>
        </w:rPr>
        <w:t>该机构持有的基金份额分配给该机构的债权人以清偿债务， 或将清偿债务后的剩</w:t>
      </w:r>
      <w:r>
        <w:rPr>
          <w:spacing w:val="-3"/>
          <w:sz w:val="21"/>
        </w:rPr>
        <w:t>余财产中的基金份额分配给机构的股东、成员、出资者或开办人；</w:t>
      </w:r>
      <w:r>
        <w:rPr>
          <w:spacing w:val="-57"/>
          <w:sz w:val="21"/>
        </w:rPr>
        <w:t> </w:t>
      </w:r>
      <w:r>
        <w:rPr>
          <w:w w:val="100"/>
          <w:sz w:val="21"/>
        </w:rPr>
        <w:t> </w:t>
      </w:r>
    </w:p>
    <w:p>
      <w:pPr>
        <w:spacing w:after="0" w:line="417" w:lineRule="auto"/>
        <w:jc w:val="both"/>
        <w:rPr>
          <w:sz w:val="21"/>
        </w:rPr>
        <w:sectPr>
          <w:pgSz w:w="11910" w:h="16850"/>
          <w:pgMar w:header="852" w:footer="1386" w:top="1420" w:bottom="1580" w:left="1680" w:right="1360"/>
        </w:sectPr>
      </w:pPr>
    </w:p>
    <w:p>
      <w:pPr>
        <w:pStyle w:val="ListParagraph"/>
        <w:numPr>
          <w:ilvl w:val="0"/>
          <w:numId w:val="12"/>
        </w:numPr>
        <w:tabs>
          <w:tab w:pos="1018" w:val="left" w:leader="none"/>
        </w:tabs>
        <w:spacing w:line="417" w:lineRule="auto" w:before="142" w:after="0"/>
        <w:ind w:left="1018" w:right="385" w:hanging="420"/>
        <w:jc w:val="both"/>
        <w:rPr>
          <w:sz w:val="21"/>
        </w:rPr>
      </w:pPr>
      <w:r>
        <w:rPr>
          <w:rFonts w:ascii="Times New Roman" w:hAnsi="Times New Roman" w:eastAsia="Times New Roman"/>
          <w:sz w:val="21"/>
        </w:rPr>
        <w:t>“</w:t>
      </w:r>
      <w:r>
        <w:rPr>
          <w:spacing w:val="-3"/>
          <w:sz w:val="21"/>
        </w:rPr>
        <w:t>企业破产清算</w:t>
      </w:r>
      <w:r>
        <w:rPr>
          <w:rFonts w:ascii="Times New Roman" w:hAnsi="Times New Roman" w:eastAsia="Times New Roman"/>
          <w:spacing w:val="-3"/>
          <w:sz w:val="21"/>
        </w:rPr>
        <w:t>”</w:t>
      </w:r>
      <w:r>
        <w:rPr>
          <w:spacing w:val="-13"/>
          <w:sz w:val="21"/>
        </w:rPr>
        <w:t>是指一企业法人根据《中华人民共和国企业破产法</w:t>
      </w:r>
      <w:r>
        <w:rPr>
          <w:spacing w:val="-3"/>
          <w:sz w:val="21"/>
        </w:rPr>
        <w:t>（</w:t>
      </w:r>
      <w:r>
        <w:rPr>
          <w:spacing w:val="-2"/>
          <w:sz w:val="21"/>
        </w:rPr>
        <w:t>试行</w:t>
      </w:r>
      <w:r>
        <w:rPr>
          <w:spacing w:val="-108"/>
          <w:sz w:val="21"/>
        </w:rPr>
        <w:t>）</w:t>
      </w:r>
      <w:r>
        <w:rPr>
          <w:spacing w:val="-31"/>
          <w:sz w:val="21"/>
        </w:rPr>
        <w:t>》或《中华人民共和国民事诉讼法》第十九章的有关规定被宣告破产，清算组依法将破产</w:t>
      </w:r>
      <w:r>
        <w:rPr>
          <w:spacing w:val="-10"/>
          <w:sz w:val="21"/>
        </w:rPr>
        <w:t>企业持有的基金份额直接分配给该破产企业的债权人所导致的基金份额的划转； </w:t>
      </w:r>
    </w:p>
    <w:p>
      <w:pPr>
        <w:pStyle w:val="ListParagraph"/>
        <w:numPr>
          <w:ilvl w:val="0"/>
          <w:numId w:val="12"/>
        </w:numPr>
        <w:tabs>
          <w:tab w:pos="1018" w:val="left" w:leader="none"/>
        </w:tabs>
        <w:spacing w:line="417" w:lineRule="auto" w:before="0" w:after="0"/>
        <w:ind w:left="1018" w:right="439" w:hanging="420"/>
        <w:jc w:val="both"/>
        <w:rPr>
          <w:sz w:val="21"/>
        </w:rPr>
      </w:pPr>
      <w:r>
        <w:rPr>
          <w:spacing w:val="-1"/>
          <w:sz w:val="21"/>
        </w:rPr>
        <w:t>“强制执行”是指国家有权机关依据生效的法律文书将基金份额持有人持有的基</w:t>
      </w:r>
      <w:r>
        <w:rPr>
          <w:spacing w:val="-3"/>
          <w:sz w:val="21"/>
        </w:rPr>
        <w:t>金份额强制执行划转给其他自然人、法人、社会团体或其他组织。 </w:t>
      </w:r>
    </w:p>
    <w:p>
      <w:pPr>
        <w:pStyle w:val="BodyText"/>
        <w:spacing w:before="10"/>
      </w:pPr>
    </w:p>
    <w:p>
      <w:pPr>
        <w:pStyle w:val="BodyText"/>
        <w:spacing w:line="417" w:lineRule="auto" w:before="1"/>
        <w:ind w:left="118" w:right="433" w:firstLine="539"/>
        <w:jc w:val="both"/>
      </w:pPr>
      <w:r>
        <w:rPr/>
        <w:t>（二</w:t>
      </w:r>
      <w:r>
        <w:rPr>
          <w:spacing w:val="-3"/>
        </w:rPr>
        <w:t>）</w:t>
      </w:r>
      <w:r>
        <w:rPr>
          <w:spacing w:val="-7"/>
        </w:rPr>
        <w:t> 办理非交易过户业务必须提供基金注册登记机构规定的相关资料，其中，因继</w:t>
      </w:r>
      <w:r>
        <w:rPr>
          <w:spacing w:val="-10"/>
        </w:rPr>
        <w:t>承、捐赠、遗赠、自愿离婚、分家析产原因导致的非交易过户向基金销售网点申请办理，因</w:t>
      </w:r>
      <w:r>
        <w:rPr>
          <w:spacing w:val="-11"/>
        </w:rPr>
        <w:t>国有资产无偿划转、机构合并或分立、资产售卖、机构清算、企业破产清算、强制执行原因</w:t>
      </w:r>
      <w:r>
        <w:rPr>
          <w:spacing w:val="-6"/>
        </w:rPr>
        <w:t>导致的非交易过户直接向基金注册登记机构统一申请办理。</w:t>
      </w:r>
      <w:r>
        <w:rPr/>
        <w:t> </w:t>
      </w:r>
    </w:p>
    <w:p>
      <w:pPr>
        <w:pStyle w:val="BodyText"/>
        <w:spacing w:before="9"/>
      </w:pPr>
    </w:p>
    <w:p>
      <w:pPr>
        <w:pStyle w:val="BodyText"/>
        <w:spacing w:line="417" w:lineRule="auto"/>
        <w:ind w:left="118" w:right="330" w:firstLine="419"/>
        <w:jc w:val="both"/>
      </w:pPr>
      <w:r>
        <w:rPr/>
        <w:t>（三） 符合条件的</w:t>
      </w:r>
      <w:r>
        <w:rPr>
          <w:rFonts w:ascii="Times New Roman" w:eastAsia="Times New Roman"/>
        </w:rPr>
        <w:t>A </w:t>
      </w:r>
      <w:r>
        <w:rPr/>
        <w:t>类基金份额和</w:t>
      </w:r>
      <w:r>
        <w:rPr>
          <w:rFonts w:ascii="Times New Roman" w:eastAsia="Times New Roman"/>
        </w:rPr>
        <w:t>B </w:t>
      </w:r>
      <w:r>
        <w:rPr/>
        <w:t>类基金份额的非交易过户申请自申请受理日起， 二个月内办理；申请人按基金注册登记机构规定的标准缴纳过户费用。</w:t>
      </w:r>
    </w:p>
    <w:p>
      <w:pPr>
        <w:pStyle w:val="BodyText"/>
        <w:spacing w:before="11"/>
      </w:pPr>
    </w:p>
    <w:p>
      <w:pPr>
        <w:pStyle w:val="BodyText"/>
        <w:spacing w:line="417" w:lineRule="auto"/>
        <w:ind w:left="118" w:right="433" w:firstLine="419"/>
        <w:jc w:val="both"/>
      </w:pPr>
      <w:r>
        <w:rPr/>
        <w:t>（四）</w:t>
      </w:r>
      <w:r>
        <w:rPr>
          <w:spacing w:val="-6"/>
        </w:rPr>
        <w:t> 基金份额持有人可办理 </w:t>
      </w:r>
      <w:r>
        <w:rPr>
          <w:rFonts w:ascii="Times New Roman" w:eastAsia="Times New Roman"/>
        </w:rPr>
        <w:t>A </w:t>
      </w:r>
      <w:r>
        <w:rPr>
          <w:spacing w:val="-8"/>
        </w:rPr>
        <w:t>类基金份额或 </w:t>
      </w:r>
      <w:r>
        <w:rPr>
          <w:rFonts w:ascii="Times New Roman" w:eastAsia="Times New Roman"/>
        </w:rPr>
        <w:t>B </w:t>
      </w:r>
      <w:r>
        <w:rPr>
          <w:spacing w:val="-3"/>
        </w:rPr>
        <w:t>类基金份额在不同场外销售机构的</w:t>
      </w:r>
      <w:r>
        <w:rPr>
          <w:spacing w:val="-13"/>
        </w:rPr>
        <w:t>转托管手续。转托管在转出方进行申报，基金份额转托管一次完成。投资者于 </w:t>
      </w:r>
      <w:r>
        <w:rPr>
          <w:rFonts w:ascii="Times New Roman" w:eastAsia="Times New Roman"/>
        </w:rPr>
        <w:t>T </w:t>
      </w:r>
      <w:r>
        <w:rPr>
          <w:spacing w:val="-3"/>
        </w:rPr>
        <w:t>日转托管基</w:t>
      </w:r>
      <w:r>
        <w:rPr>
          <w:spacing w:val="-6"/>
        </w:rPr>
        <w:t>金份额成功后，转托管份额于 </w:t>
      </w:r>
      <w:r>
        <w:rPr>
          <w:rFonts w:ascii="Times New Roman" w:eastAsia="Times New Roman"/>
        </w:rPr>
        <w:t>T+1 </w:t>
      </w:r>
      <w:r>
        <w:rPr>
          <w:spacing w:val="-6"/>
        </w:rPr>
        <w:t>日到达转入方网点，投资者可于 </w:t>
      </w:r>
      <w:r>
        <w:rPr>
          <w:rFonts w:ascii="Times New Roman" w:eastAsia="Times New Roman"/>
        </w:rPr>
        <w:t>T+2 </w:t>
      </w:r>
      <w:r>
        <w:rPr>
          <w:spacing w:val="-3"/>
        </w:rPr>
        <w:t>日起赎回该部分基金份额。</w:t>
      </w:r>
    </w:p>
    <w:p>
      <w:pPr>
        <w:pStyle w:val="BodyText"/>
        <w:spacing w:before="11"/>
      </w:pPr>
    </w:p>
    <w:p>
      <w:pPr>
        <w:pStyle w:val="BodyText"/>
        <w:spacing w:line="417" w:lineRule="auto" w:before="1"/>
        <w:ind w:left="118" w:right="330" w:firstLine="419"/>
        <w:jc w:val="both"/>
      </w:pPr>
      <w:r>
        <w:rPr/>
        <w:t>（五）  </w:t>
      </w:r>
      <w:r>
        <w:rPr>
          <w:rFonts w:ascii="Times New Roman" w:eastAsia="Times New Roman"/>
        </w:rPr>
        <w:t>A </w:t>
      </w:r>
      <w:r>
        <w:rPr/>
        <w:t>类基金份额或 </w:t>
      </w:r>
      <w:r>
        <w:rPr>
          <w:rFonts w:ascii="Times New Roman" w:eastAsia="Times New Roman"/>
        </w:rPr>
        <w:t>B </w:t>
      </w:r>
      <w:r>
        <w:rPr/>
        <w:t>类基金份额的基金注册登记机构只受理国家有权机关依法要求的 </w:t>
      </w:r>
      <w:r>
        <w:rPr>
          <w:rFonts w:ascii="Times New Roman" w:eastAsia="Times New Roman"/>
        </w:rPr>
        <w:t>A </w:t>
      </w:r>
      <w:r>
        <w:rPr/>
        <w:t>类基金份额或 </w:t>
      </w:r>
      <w:r>
        <w:rPr>
          <w:rFonts w:ascii="Times New Roman" w:eastAsia="Times New Roman"/>
        </w:rPr>
        <w:t>B </w:t>
      </w:r>
      <w:r>
        <w:rPr/>
        <w:t>类基金份额持有人的基金账户或基金份额的冻结与解冻。基金帐户或基金份额被冻结的，被冻结部分产生的权益（包括现金分红和红利再投资）一并冻结。</w:t>
      </w:r>
    </w:p>
    <w:p>
      <w:pPr>
        <w:pStyle w:val="BodyText"/>
        <w:spacing w:before="8"/>
      </w:pPr>
    </w:p>
    <w:p>
      <w:pPr>
        <w:pStyle w:val="BodyText"/>
        <w:spacing w:line="417" w:lineRule="auto"/>
        <w:ind w:left="118" w:right="436" w:firstLine="479"/>
        <w:jc w:val="both"/>
      </w:pPr>
      <w:r>
        <w:rPr/>
        <w:t>（六） 根据相关法律法规的规定，基金管理人将可以办理</w:t>
      </w:r>
      <w:r>
        <w:rPr>
          <w:rFonts w:ascii="Times New Roman" w:eastAsia="Times New Roman"/>
        </w:rPr>
        <w:t>A </w:t>
      </w:r>
      <w:r>
        <w:rPr/>
        <w:t>类基金份额或</w:t>
      </w:r>
      <w:r>
        <w:rPr>
          <w:rFonts w:ascii="Times New Roman" w:eastAsia="Times New Roman"/>
        </w:rPr>
        <w:t>B </w:t>
      </w:r>
      <w:r>
        <w:rPr/>
        <w:t>类基金份额的质押业务或其他基金业务，并制定和实施相应的业务规则。 </w:t>
      </w:r>
    </w:p>
    <w:p>
      <w:pPr>
        <w:pStyle w:val="BodyText"/>
        <w:spacing w:before="12"/>
      </w:pPr>
    </w:p>
    <w:p>
      <w:pPr>
        <w:pStyle w:val="BodyText"/>
        <w:spacing w:line="417" w:lineRule="auto"/>
        <w:ind w:left="118" w:right="433" w:firstLine="419"/>
        <w:jc w:val="both"/>
      </w:pPr>
      <w:r>
        <w:rPr/>
        <w:t>（七</w:t>
      </w:r>
      <w:r>
        <w:rPr>
          <w:spacing w:val="-12"/>
        </w:rPr>
        <w:t>）</w:t>
      </w:r>
      <w:r>
        <w:rPr>
          <w:rFonts w:ascii="Times New Roman" w:eastAsia="Times New Roman"/>
          <w:spacing w:val="-12"/>
        </w:rPr>
        <w:t>E </w:t>
      </w:r>
      <w:r>
        <w:rPr>
          <w:spacing w:val="-7"/>
        </w:rPr>
        <w:t>类基金份额的非交易过户、转托管、冻结与质押按照按照上海证券交易所和中</w:t>
      </w:r>
      <w:r>
        <w:rPr>
          <w:spacing w:val="-5"/>
        </w:rPr>
        <w:t>国证券登记结算有限责任公司的相关业务规则办理。</w:t>
      </w:r>
    </w:p>
    <w:p>
      <w:pPr>
        <w:pStyle w:val="BodyText"/>
        <w:rPr>
          <w:sz w:val="20"/>
        </w:rPr>
      </w:pPr>
    </w:p>
    <w:p>
      <w:pPr>
        <w:pStyle w:val="BodyText"/>
        <w:rPr>
          <w:sz w:val="20"/>
        </w:rPr>
      </w:pPr>
    </w:p>
    <w:p>
      <w:pPr>
        <w:pStyle w:val="BodyText"/>
        <w:rPr>
          <w:sz w:val="20"/>
        </w:rPr>
      </w:pPr>
    </w:p>
    <w:p>
      <w:pPr>
        <w:pStyle w:val="BodyText"/>
        <w:spacing w:before="10"/>
        <w:rPr>
          <w:sz w:val="14"/>
        </w:rPr>
      </w:pPr>
    </w:p>
    <w:p>
      <w:pPr>
        <w:pStyle w:val="Heading4"/>
      </w:pPr>
      <w:r>
        <w:rPr>
          <w:w w:val="201"/>
        </w:rPr>
        <w:t> </w:t>
      </w:r>
    </w:p>
    <w:p>
      <w:pPr>
        <w:spacing w:after="0"/>
        <w:sectPr>
          <w:pgSz w:w="11910" w:h="16850"/>
          <w:pgMar w:header="852" w:footer="1386" w:top="1420" w:bottom="1580" w:left="1680" w:right="1360"/>
        </w:sectPr>
      </w:pPr>
    </w:p>
    <w:p>
      <w:pPr>
        <w:pStyle w:val="BodyText"/>
        <w:spacing w:before="9"/>
        <w:rPr>
          <w:rFonts w:ascii="Microsoft JhengHei"/>
          <w:b/>
          <w:sz w:val="13"/>
        </w:rPr>
      </w:pPr>
    </w:p>
    <w:p>
      <w:pPr>
        <w:pStyle w:val="Heading1"/>
        <w:spacing w:before="55"/>
        <w:ind w:right="324"/>
      </w:pPr>
      <w:bookmarkStart w:name="_bookmark26" w:id="27"/>
      <w:bookmarkEnd w:id="27"/>
      <w:r>
        <w:rPr/>
      </w:r>
      <w:r>
        <w:rPr/>
        <w:t>十、 基金合同当事人及权利义务</w:t>
      </w:r>
    </w:p>
    <w:p>
      <w:pPr>
        <w:pStyle w:val="BodyText"/>
        <w:rPr>
          <w:sz w:val="32"/>
        </w:rPr>
      </w:pPr>
    </w:p>
    <w:p>
      <w:pPr>
        <w:pStyle w:val="Heading2"/>
        <w:spacing w:before="210"/>
      </w:pPr>
      <w:bookmarkStart w:name="_bookmark27" w:id="28"/>
      <w:bookmarkEnd w:id="28"/>
      <w:r>
        <w:rPr>
          <w:b w:val="0"/>
        </w:rPr>
      </w:r>
      <w:r>
        <w:rPr/>
        <w:t>（一）基金管理人基本情况</w:t>
      </w:r>
    </w:p>
    <w:p>
      <w:pPr>
        <w:pStyle w:val="BodyText"/>
        <w:spacing w:before="18"/>
        <w:rPr>
          <w:rFonts w:ascii="Microsoft JhengHei"/>
          <w:b/>
          <w:sz w:val="25"/>
        </w:rPr>
      </w:pPr>
    </w:p>
    <w:p>
      <w:pPr>
        <w:pStyle w:val="BodyText"/>
        <w:ind w:left="538"/>
      </w:pPr>
      <w:r>
        <w:rPr>
          <w:spacing w:val="-3"/>
        </w:rPr>
        <w:t>名称：易方达基金管理有限公司</w:t>
      </w:r>
    </w:p>
    <w:p>
      <w:pPr>
        <w:pStyle w:val="BodyText"/>
        <w:spacing w:before="7"/>
        <w:rPr>
          <w:sz w:val="15"/>
        </w:rPr>
      </w:pPr>
    </w:p>
    <w:p>
      <w:pPr>
        <w:pStyle w:val="BodyText"/>
        <w:spacing w:line="417" w:lineRule="auto"/>
        <w:ind w:left="538" w:right="1845"/>
      </w:pPr>
      <w:r>
        <w:rPr>
          <w:spacing w:val="-6"/>
        </w:rPr>
        <w:t>住所：广东省珠海市横琴新区宝华路 </w:t>
      </w:r>
      <w:r>
        <w:rPr>
          <w:rFonts w:ascii="Times New Roman" w:eastAsia="Times New Roman"/>
        </w:rPr>
        <w:t>6 </w:t>
      </w:r>
      <w:r>
        <w:rPr>
          <w:spacing w:val="-23"/>
        </w:rPr>
        <w:t>号 </w:t>
      </w:r>
      <w:r>
        <w:rPr>
          <w:rFonts w:ascii="Times New Roman" w:eastAsia="Times New Roman"/>
        </w:rPr>
        <w:t>105 </w:t>
      </w:r>
      <w:r>
        <w:rPr/>
        <w:t>室</w:t>
      </w:r>
      <w:r>
        <w:rPr>
          <w:rFonts w:ascii="Times New Roman" w:eastAsia="Times New Roman"/>
        </w:rPr>
        <w:t>-42891</w:t>
      </w:r>
      <w:r>
        <w:rPr/>
        <w:t>（</w:t>
      </w:r>
      <w:r>
        <w:rPr>
          <w:spacing w:val="-3"/>
        </w:rPr>
        <w:t>集中办公区</w:t>
      </w:r>
      <w:r>
        <w:rPr/>
        <w:t>） </w:t>
      </w:r>
      <w:r>
        <w:rPr>
          <w:spacing w:val="-3"/>
        </w:rPr>
        <w:t>法定代表人：刘晓艳</w:t>
      </w:r>
    </w:p>
    <w:p>
      <w:pPr>
        <w:pStyle w:val="BodyText"/>
        <w:ind w:left="538"/>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7"/>
        <w:rPr>
          <w:sz w:val="15"/>
        </w:rPr>
      </w:pPr>
    </w:p>
    <w:p>
      <w:pPr>
        <w:pStyle w:val="BodyText"/>
        <w:spacing w:line="417" w:lineRule="auto"/>
        <w:ind w:left="538" w:right="882"/>
      </w:pPr>
      <w:r>
        <w:rPr/>
        <w:t>批准设立机关及批准设立文号：中国证券监督管理委员会，证监基金字</w:t>
      </w:r>
      <w:r>
        <w:rPr>
          <w:rFonts w:ascii="Times New Roman" w:eastAsia="Times New Roman"/>
        </w:rPr>
        <w:t>[2001]4 </w:t>
      </w:r>
      <w:r>
        <w:rPr/>
        <w:t>号组织形式：有限责任公司</w:t>
      </w:r>
    </w:p>
    <w:p>
      <w:pPr>
        <w:pStyle w:val="BodyText"/>
        <w:spacing w:line="417" w:lineRule="auto"/>
        <w:ind w:left="538" w:right="5592"/>
      </w:pPr>
      <w:r>
        <w:rPr/>
        <w:t>注册资本：</w:t>
      </w:r>
      <w:r>
        <w:rPr>
          <w:rFonts w:ascii="Times New Roman" w:eastAsia="Times New Roman"/>
        </w:rPr>
        <w:t>12,000 </w:t>
      </w:r>
      <w:r>
        <w:rPr/>
        <w:t>万元人民币存续期限：持续经营</w:t>
      </w:r>
    </w:p>
    <w:p>
      <w:pPr>
        <w:pStyle w:val="BodyText"/>
        <w:spacing w:line="269" w:lineRule="exact"/>
        <w:ind w:left="538"/>
        <w:rPr>
          <w:rFonts w:ascii="Times New Roman" w:eastAsia="Times New Roman"/>
        </w:rPr>
      </w:pPr>
      <w:r>
        <w:rPr/>
        <w:t>联系电话：</w:t>
      </w:r>
      <w:r>
        <w:rPr>
          <w:rFonts w:ascii="Times New Roman" w:eastAsia="Times New Roman"/>
        </w:rPr>
        <w:t>400 881 8088</w:t>
      </w:r>
    </w:p>
    <w:p>
      <w:pPr>
        <w:pStyle w:val="BodyText"/>
        <w:rPr>
          <w:rFonts w:ascii="Times New Roman"/>
          <w:sz w:val="22"/>
        </w:rPr>
      </w:pPr>
    </w:p>
    <w:p>
      <w:pPr>
        <w:pStyle w:val="BodyText"/>
        <w:spacing w:before="1"/>
        <w:rPr>
          <w:rFonts w:ascii="Times New Roman"/>
          <w:sz w:val="28"/>
        </w:rPr>
      </w:pPr>
    </w:p>
    <w:p>
      <w:pPr>
        <w:pStyle w:val="Heading2"/>
      </w:pPr>
      <w:bookmarkStart w:name="_bookmark28" w:id="29"/>
      <w:bookmarkEnd w:id="29"/>
      <w:r>
        <w:rPr>
          <w:b w:val="0"/>
        </w:rPr>
      </w:r>
      <w:r>
        <w:rPr/>
        <w:t>（二）基金托管人基本情况</w:t>
      </w:r>
    </w:p>
    <w:p>
      <w:pPr>
        <w:pStyle w:val="BodyText"/>
        <w:spacing w:before="14"/>
        <w:rPr>
          <w:rFonts w:ascii="Microsoft JhengHei"/>
          <w:b/>
          <w:sz w:val="32"/>
        </w:rPr>
      </w:pPr>
    </w:p>
    <w:p>
      <w:pPr>
        <w:pStyle w:val="BodyText"/>
        <w:spacing w:before="1"/>
        <w:ind w:left="538"/>
      </w:pPr>
      <w:r>
        <w:rPr/>
        <w:t>名称：中国银行股份有限公司 </w:t>
      </w:r>
    </w:p>
    <w:p>
      <w:pPr>
        <w:pStyle w:val="BodyText"/>
        <w:spacing w:before="6"/>
        <w:rPr>
          <w:sz w:val="15"/>
        </w:rPr>
      </w:pPr>
    </w:p>
    <w:p>
      <w:pPr>
        <w:pStyle w:val="BodyText"/>
        <w:spacing w:line="417" w:lineRule="auto"/>
        <w:ind w:left="538" w:right="4690"/>
      </w:pPr>
      <w:r>
        <w:rPr/>
        <w:t>住所：北京市西城区复兴门内大街 </w:t>
      </w:r>
      <w:r>
        <w:rPr>
          <w:rFonts w:ascii="Times New Roman" w:eastAsia="Times New Roman"/>
        </w:rPr>
        <w:t>1 </w:t>
      </w:r>
      <w:r>
        <w:rPr/>
        <w:t>号法定代表人：刘连舸</w:t>
      </w:r>
    </w:p>
    <w:p>
      <w:pPr>
        <w:pStyle w:val="BodyText"/>
        <w:spacing w:line="269" w:lineRule="exact"/>
        <w:ind w:left="538"/>
      </w:pPr>
      <w:r>
        <w:rPr/>
        <w:t>成立时间：</w:t>
      </w:r>
      <w:r>
        <w:rPr>
          <w:rFonts w:ascii="Times New Roman" w:eastAsia="Times New Roman"/>
        </w:rPr>
        <w:t>1983 </w:t>
      </w:r>
      <w:r>
        <w:rPr/>
        <w:t>年 </w:t>
      </w:r>
      <w:r>
        <w:rPr>
          <w:rFonts w:ascii="Times New Roman" w:eastAsia="Times New Roman"/>
        </w:rPr>
        <w:t>10 </w:t>
      </w:r>
      <w:r>
        <w:rPr/>
        <w:t>月 </w:t>
      </w:r>
      <w:r>
        <w:rPr>
          <w:rFonts w:ascii="Times New Roman" w:eastAsia="Times New Roman"/>
        </w:rPr>
        <w:t>31 </w:t>
      </w:r>
      <w:r>
        <w:rPr/>
        <w:t>日</w:t>
      </w:r>
    </w:p>
    <w:p>
      <w:pPr>
        <w:pStyle w:val="BodyText"/>
        <w:spacing w:before="7"/>
        <w:rPr>
          <w:sz w:val="15"/>
        </w:rPr>
      </w:pPr>
    </w:p>
    <w:p>
      <w:pPr>
        <w:pStyle w:val="BodyText"/>
        <w:spacing w:line="417" w:lineRule="auto"/>
        <w:ind w:left="118" w:right="433" w:firstLine="419"/>
      </w:pPr>
      <w:r>
        <w:rPr>
          <w:spacing w:val="-9"/>
        </w:rPr>
        <w:t>批准设立机关和批准设立文号：国务院批转中国人民银行《关于改革中国银行体制的请</w:t>
      </w:r>
      <w:r>
        <w:rPr>
          <w:spacing w:val="-33"/>
        </w:rPr>
        <w:t>示报告》</w:t>
      </w:r>
      <w:r>
        <w:rPr>
          <w:spacing w:val="-3"/>
        </w:rPr>
        <w:t>（</w:t>
      </w:r>
      <w:r>
        <w:rPr/>
        <w:t>国发</w:t>
      </w:r>
      <w:r>
        <w:rPr>
          <w:rFonts w:ascii="Times New Roman" w:eastAsia="Times New Roman"/>
        </w:rPr>
        <w:t>[1979]72 </w:t>
      </w:r>
      <w:r>
        <w:rPr>
          <w:spacing w:val="-3"/>
        </w:rPr>
        <w:t>号</w:t>
      </w:r>
      <w:r>
        <w:rPr/>
        <w:t>）</w:t>
      </w:r>
      <w:r>
        <w:rPr>
          <w:spacing w:val="-3"/>
        </w:rPr>
        <w:t>组织形式：股份有限公司</w:t>
      </w:r>
    </w:p>
    <w:p>
      <w:pPr>
        <w:pStyle w:val="BodyText"/>
        <w:spacing w:line="417" w:lineRule="auto"/>
        <w:ind w:left="538" w:right="1389"/>
      </w:pPr>
      <w:r>
        <w:rPr/>
        <w:t>注册资本：人民币贰仟玖佰肆拾叁亿捌仟柒佰柒拾玖万壹仟贰佰肆拾壹元整存续期限：持续经营</w:t>
      </w:r>
    </w:p>
    <w:p>
      <w:pPr>
        <w:pStyle w:val="BodyText"/>
        <w:spacing w:line="269" w:lineRule="exact"/>
        <w:ind w:left="538"/>
      </w:pPr>
      <w:r>
        <w:rPr/>
        <w:t>基金托管资格批文及文号：中国证监会证监基字【</w:t>
      </w:r>
      <w:r>
        <w:rPr>
          <w:rFonts w:ascii="Times New Roman" w:eastAsia="Times New Roman"/>
        </w:rPr>
        <w:t>1998</w:t>
      </w:r>
      <w:r>
        <w:rPr/>
        <w:t>】</w:t>
      </w:r>
      <w:r>
        <w:rPr>
          <w:rFonts w:ascii="Times New Roman" w:eastAsia="Times New Roman"/>
        </w:rPr>
        <w:t>24 </w:t>
      </w:r>
      <w:r>
        <w:rPr/>
        <w:t>号</w:t>
      </w:r>
    </w:p>
    <w:p>
      <w:pPr>
        <w:spacing w:after="0" w:line="269" w:lineRule="exact"/>
        <w:sectPr>
          <w:pgSz w:w="11910" w:h="16850"/>
          <w:pgMar w:header="852" w:footer="1386" w:top="1420" w:bottom="1580" w:left="1680" w:right="1360"/>
        </w:sectPr>
      </w:pPr>
    </w:p>
    <w:p>
      <w:pPr>
        <w:pStyle w:val="BodyText"/>
      </w:pPr>
    </w:p>
    <w:p>
      <w:pPr>
        <w:pStyle w:val="Heading2"/>
        <w:spacing w:line="485" w:lineRule="exact"/>
        <w:rPr>
          <w:rFonts w:ascii="宋体" w:eastAsia="宋体" w:hint="eastAsia"/>
          <w:b w:val="0"/>
        </w:rPr>
      </w:pPr>
      <w:bookmarkStart w:name="_bookmark29" w:id="30"/>
      <w:bookmarkEnd w:id="30"/>
      <w:r>
        <w:rPr>
          <w:b w:val="0"/>
        </w:rPr>
      </w:r>
      <w:r>
        <w:rPr/>
        <w:t>（三）基金管理人的权利与义务</w:t>
      </w:r>
      <w:r>
        <w:rPr>
          <w:rFonts w:ascii="宋体" w:eastAsia="宋体" w:hint="eastAsia"/>
          <w:b w:val="0"/>
        </w:rPr>
        <w:t> </w:t>
      </w:r>
    </w:p>
    <w:p>
      <w:pPr>
        <w:pStyle w:val="BodyText"/>
        <w:rPr>
          <w:sz w:val="28"/>
        </w:rPr>
      </w:pPr>
    </w:p>
    <w:p>
      <w:pPr>
        <w:pStyle w:val="ListParagraph"/>
        <w:numPr>
          <w:ilvl w:val="0"/>
          <w:numId w:val="13"/>
        </w:numPr>
        <w:tabs>
          <w:tab w:pos="856" w:val="left" w:leader="none"/>
        </w:tabs>
        <w:spacing w:line="240" w:lineRule="auto" w:before="246" w:after="0"/>
        <w:ind w:left="855" w:right="0" w:hanging="318"/>
        <w:jc w:val="left"/>
        <w:rPr>
          <w:sz w:val="21"/>
        </w:rPr>
      </w:pPr>
      <w:r>
        <w:rPr>
          <w:spacing w:val="-3"/>
          <w:sz w:val="21"/>
        </w:rPr>
        <w:t>基金管理人的权利</w:t>
      </w:r>
    </w:p>
    <w:p>
      <w:pPr>
        <w:pStyle w:val="BodyText"/>
        <w:rPr>
          <w:sz w:val="20"/>
        </w:rPr>
      </w:pPr>
    </w:p>
    <w:p>
      <w:pPr>
        <w:pStyle w:val="BodyText"/>
        <w:spacing w:before="3"/>
        <w:rPr>
          <w:sz w:val="17"/>
        </w:rPr>
      </w:pPr>
    </w:p>
    <w:p>
      <w:pPr>
        <w:pStyle w:val="ListParagraph"/>
        <w:numPr>
          <w:ilvl w:val="0"/>
          <w:numId w:val="14"/>
        </w:numPr>
        <w:tabs>
          <w:tab w:pos="1067" w:val="left" w:leader="none"/>
        </w:tabs>
        <w:spacing w:line="417" w:lineRule="auto" w:before="0" w:after="0"/>
        <w:ind w:left="118" w:right="436" w:firstLine="419"/>
        <w:jc w:val="left"/>
        <w:rPr>
          <w:sz w:val="21"/>
        </w:rPr>
      </w:pPr>
      <w:r>
        <w:rPr>
          <w:spacing w:val="-3"/>
          <w:sz w:val="21"/>
        </w:rPr>
        <w:t>自本基金合同生效之日起，基金管理人根据基金合同的规定，独立运用并管理基金资产； </w:t>
      </w:r>
      <w:r>
        <w:rPr>
          <w:sz w:val="21"/>
        </w:rPr>
        <w:t> </w:t>
      </w:r>
    </w:p>
    <w:p>
      <w:pPr>
        <w:pStyle w:val="BodyText"/>
        <w:spacing w:before="12"/>
      </w:pPr>
    </w:p>
    <w:p>
      <w:pPr>
        <w:pStyle w:val="ListParagraph"/>
        <w:numPr>
          <w:ilvl w:val="0"/>
          <w:numId w:val="14"/>
        </w:numPr>
        <w:tabs>
          <w:tab w:pos="1067" w:val="left" w:leader="none"/>
        </w:tabs>
        <w:spacing w:line="240" w:lineRule="auto" w:before="0" w:after="0"/>
        <w:ind w:left="1067" w:right="0" w:hanging="529"/>
        <w:jc w:val="left"/>
        <w:rPr>
          <w:sz w:val="21"/>
        </w:rPr>
      </w:pPr>
      <w:r>
        <w:rPr>
          <w:spacing w:val="-3"/>
          <w:sz w:val="21"/>
        </w:rPr>
        <w:t>根据基金合同的规定获得基金管理费；</w:t>
      </w:r>
      <w:r>
        <w:rPr>
          <w:sz w:val="21"/>
        </w:rPr>
        <w:t> </w:t>
      </w:r>
    </w:p>
    <w:p>
      <w:pPr>
        <w:pStyle w:val="BodyText"/>
        <w:rPr>
          <w:sz w:val="20"/>
        </w:rPr>
      </w:pPr>
    </w:p>
    <w:p>
      <w:pPr>
        <w:pStyle w:val="BodyText"/>
        <w:spacing w:before="6"/>
        <w:rPr>
          <w:sz w:val="17"/>
        </w:rPr>
      </w:pPr>
    </w:p>
    <w:p>
      <w:pPr>
        <w:pStyle w:val="ListParagraph"/>
        <w:numPr>
          <w:ilvl w:val="0"/>
          <w:numId w:val="14"/>
        </w:numPr>
        <w:tabs>
          <w:tab w:pos="1067" w:val="left" w:leader="none"/>
        </w:tabs>
        <w:spacing w:line="417" w:lineRule="auto" w:before="0" w:after="0"/>
        <w:ind w:left="118" w:right="436" w:firstLine="419"/>
        <w:jc w:val="left"/>
        <w:rPr>
          <w:sz w:val="21"/>
        </w:rPr>
      </w:pPr>
      <w:r>
        <w:rPr>
          <w:spacing w:val="-3"/>
          <w:sz w:val="21"/>
        </w:rPr>
        <w:t>在符合有关法律法规和基金合同的前提下，制订和调整开放式基金业务规则，决定基金的相关费率结构和收费方式；</w:t>
      </w:r>
      <w:r>
        <w:rPr>
          <w:sz w:val="21"/>
        </w:rPr>
        <w:t> </w:t>
      </w:r>
    </w:p>
    <w:p>
      <w:pPr>
        <w:pStyle w:val="BodyText"/>
        <w:spacing w:before="9"/>
      </w:pPr>
    </w:p>
    <w:p>
      <w:pPr>
        <w:pStyle w:val="ListParagraph"/>
        <w:numPr>
          <w:ilvl w:val="0"/>
          <w:numId w:val="14"/>
        </w:numPr>
        <w:tabs>
          <w:tab w:pos="1067" w:val="left" w:leader="none"/>
        </w:tabs>
        <w:spacing w:line="417" w:lineRule="auto" w:before="0" w:after="0"/>
        <w:ind w:left="118" w:right="436" w:firstLine="419"/>
        <w:jc w:val="left"/>
        <w:rPr>
          <w:sz w:val="21"/>
        </w:rPr>
      </w:pPr>
      <w:r>
        <w:rPr>
          <w:spacing w:val="-3"/>
          <w:sz w:val="21"/>
        </w:rPr>
        <w:t>根据基金合同规定销售基金份额，并收取基金申购费、赎回费及其他法律法规规定的费用；</w:t>
      </w:r>
      <w:r>
        <w:rPr>
          <w:sz w:val="21"/>
        </w:rPr>
        <w:t> </w:t>
      </w:r>
    </w:p>
    <w:p>
      <w:pPr>
        <w:pStyle w:val="BodyText"/>
        <w:spacing w:before="11"/>
      </w:pPr>
    </w:p>
    <w:p>
      <w:pPr>
        <w:pStyle w:val="ListParagraph"/>
        <w:numPr>
          <w:ilvl w:val="0"/>
          <w:numId w:val="14"/>
        </w:numPr>
        <w:tabs>
          <w:tab w:pos="1067" w:val="left" w:leader="none"/>
        </w:tabs>
        <w:spacing w:line="417" w:lineRule="auto" w:before="0" w:after="0"/>
        <w:ind w:left="118" w:right="436" w:firstLine="419"/>
        <w:jc w:val="left"/>
        <w:rPr>
          <w:sz w:val="21"/>
        </w:rPr>
      </w:pPr>
      <w:r>
        <w:rPr>
          <w:spacing w:val="-3"/>
          <w:sz w:val="21"/>
        </w:rPr>
        <w:t>担任基金的注册登记机构并获得基金合同规定的注册登记费用；选择和更换注册登记代理机构,并对其注册登记代理行为进行必要的监督；</w:t>
      </w:r>
      <w:r>
        <w:rPr>
          <w:sz w:val="21"/>
        </w:rPr>
        <w:t> </w:t>
      </w:r>
    </w:p>
    <w:p>
      <w:pPr>
        <w:pStyle w:val="BodyText"/>
        <w:spacing w:before="12"/>
      </w:pPr>
    </w:p>
    <w:p>
      <w:pPr>
        <w:pStyle w:val="ListParagraph"/>
        <w:numPr>
          <w:ilvl w:val="0"/>
          <w:numId w:val="14"/>
        </w:numPr>
        <w:tabs>
          <w:tab w:pos="1067" w:val="left" w:leader="none"/>
        </w:tabs>
        <w:spacing w:line="240" w:lineRule="auto" w:before="0" w:after="0"/>
        <w:ind w:left="1067" w:right="0" w:hanging="529"/>
        <w:jc w:val="left"/>
        <w:rPr>
          <w:sz w:val="21"/>
        </w:rPr>
      </w:pPr>
      <w:r>
        <w:rPr>
          <w:spacing w:val="-3"/>
          <w:sz w:val="21"/>
        </w:rPr>
        <w:t>根据有关法律法规和基金合同的规定，决定开展认购、赎回、基金转换等业务；</w:t>
      </w:r>
      <w:r>
        <w:rPr>
          <w:sz w:val="21"/>
        </w:rPr>
        <w:t> </w:t>
      </w:r>
    </w:p>
    <w:p>
      <w:pPr>
        <w:pStyle w:val="BodyText"/>
        <w:rPr>
          <w:sz w:val="20"/>
        </w:rPr>
      </w:pPr>
    </w:p>
    <w:p>
      <w:pPr>
        <w:pStyle w:val="BodyText"/>
        <w:spacing w:before="3"/>
        <w:rPr>
          <w:sz w:val="17"/>
        </w:rPr>
      </w:pPr>
    </w:p>
    <w:p>
      <w:pPr>
        <w:pStyle w:val="ListParagraph"/>
        <w:numPr>
          <w:ilvl w:val="0"/>
          <w:numId w:val="14"/>
        </w:numPr>
        <w:tabs>
          <w:tab w:pos="1067" w:val="left" w:leader="none"/>
        </w:tabs>
        <w:spacing w:line="417" w:lineRule="auto" w:before="1" w:after="0"/>
        <w:ind w:left="118" w:right="436" w:firstLine="419"/>
        <w:jc w:val="left"/>
        <w:rPr>
          <w:sz w:val="21"/>
        </w:rPr>
      </w:pPr>
      <w:r>
        <w:rPr>
          <w:spacing w:val="-3"/>
          <w:sz w:val="21"/>
        </w:rPr>
        <w:t>在基金存续期内，根据有关法律法规和基金合同的规定，决定拒绝和暂停受理基金份额的申购、赎回和转换申请；</w:t>
      </w:r>
      <w:r>
        <w:rPr>
          <w:sz w:val="21"/>
        </w:rPr>
        <w:t> </w:t>
      </w:r>
    </w:p>
    <w:p>
      <w:pPr>
        <w:pStyle w:val="BodyText"/>
        <w:spacing w:before="11"/>
      </w:pPr>
    </w:p>
    <w:p>
      <w:pPr>
        <w:pStyle w:val="ListParagraph"/>
        <w:numPr>
          <w:ilvl w:val="0"/>
          <w:numId w:val="14"/>
        </w:numPr>
        <w:tabs>
          <w:tab w:pos="1067" w:val="left" w:leader="none"/>
        </w:tabs>
        <w:spacing w:line="240" w:lineRule="auto" w:before="0" w:after="0"/>
        <w:ind w:left="1067" w:right="0" w:hanging="529"/>
        <w:jc w:val="left"/>
        <w:rPr>
          <w:sz w:val="21"/>
        </w:rPr>
      </w:pPr>
      <w:r>
        <w:rPr>
          <w:spacing w:val="-3"/>
          <w:sz w:val="21"/>
        </w:rPr>
        <w:t>依据基金合同的规定，决定基金收益的分配方案；</w:t>
      </w:r>
      <w:r>
        <w:rPr>
          <w:sz w:val="21"/>
        </w:rPr>
        <w:t> </w:t>
      </w:r>
    </w:p>
    <w:p>
      <w:pPr>
        <w:pStyle w:val="BodyText"/>
        <w:rPr>
          <w:sz w:val="20"/>
        </w:rPr>
      </w:pPr>
    </w:p>
    <w:p>
      <w:pPr>
        <w:pStyle w:val="BodyText"/>
        <w:spacing w:before="5"/>
        <w:rPr>
          <w:sz w:val="17"/>
        </w:rPr>
      </w:pPr>
    </w:p>
    <w:p>
      <w:pPr>
        <w:pStyle w:val="ListParagraph"/>
        <w:numPr>
          <w:ilvl w:val="0"/>
          <w:numId w:val="14"/>
        </w:numPr>
        <w:tabs>
          <w:tab w:pos="1067" w:val="left" w:leader="none"/>
        </w:tabs>
        <w:spacing w:line="240" w:lineRule="auto" w:before="1" w:after="0"/>
        <w:ind w:left="1067" w:right="0" w:hanging="529"/>
        <w:jc w:val="left"/>
        <w:rPr>
          <w:sz w:val="21"/>
        </w:rPr>
      </w:pPr>
      <w:r>
        <w:rPr>
          <w:spacing w:val="-3"/>
          <w:sz w:val="21"/>
        </w:rPr>
        <w:t>提议召开基金份额持有人大会；</w:t>
      </w:r>
      <w:r>
        <w:rPr>
          <w:sz w:val="21"/>
        </w:rPr>
        <w:t> </w:t>
      </w:r>
    </w:p>
    <w:p>
      <w:pPr>
        <w:pStyle w:val="BodyText"/>
        <w:rPr>
          <w:sz w:val="20"/>
        </w:rPr>
      </w:pPr>
    </w:p>
    <w:p>
      <w:pPr>
        <w:pStyle w:val="BodyText"/>
        <w:spacing w:before="3"/>
        <w:rPr>
          <w:sz w:val="17"/>
        </w:rPr>
      </w:pPr>
    </w:p>
    <w:p>
      <w:pPr>
        <w:pStyle w:val="ListParagraph"/>
        <w:numPr>
          <w:ilvl w:val="0"/>
          <w:numId w:val="14"/>
        </w:numPr>
        <w:tabs>
          <w:tab w:pos="1173" w:val="left" w:leader="none"/>
        </w:tabs>
        <w:spacing w:line="240" w:lineRule="auto" w:before="0" w:after="0"/>
        <w:ind w:left="1172" w:right="0" w:hanging="635"/>
        <w:jc w:val="left"/>
        <w:rPr>
          <w:sz w:val="21"/>
        </w:rPr>
      </w:pPr>
      <w:r>
        <w:rPr>
          <w:spacing w:val="-3"/>
          <w:sz w:val="21"/>
        </w:rPr>
        <w:t>在基金托管人更换时，提名新的基金托管人； </w:t>
      </w:r>
    </w:p>
    <w:p>
      <w:pPr>
        <w:pStyle w:val="BodyText"/>
        <w:rPr>
          <w:sz w:val="20"/>
        </w:rPr>
      </w:pPr>
    </w:p>
    <w:p>
      <w:pPr>
        <w:pStyle w:val="BodyText"/>
        <w:spacing w:before="6"/>
        <w:rPr>
          <w:sz w:val="17"/>
        </w:rPr>
      </w:pPr>
    </w:p>
    <w:p>
      <w:pPr>
        <w:pStyle w:val="ListParagraph"/>
        <w:numPr>
          <w:ilvl w:val="0"/>
          <w:numId w:val="14"/>
        </w:numPr>
        <w:tabs>
          <w:tab w:pos="1171" w:val="left" w:leader="none"/>
        </w:tabs>
        <w:spacing w:line="417" w:lineRule="auto" w:before="0" w:after="0"/>
        <w:ind w:left="118" w:right="433" w:firstLine="419"/>
        <w:jc w:val="both"/>
        <w:rPr>
          <w:sz w:val="21"/>
        </w:rPr>
      </w:pPr>
      <w:r>
        <w:rPr>
          <w:spacing w:val="-6"/>
          <w:sz w:val="21"/>
        </w:rPr>
        <w:t>依据基金合同及有关法律规定监督基金托管人，如认为基金托管人违反了本基 </w:t>
      </w:r>
      <w:r>
        <w:rPr>
          <w:spacing w:val="-8"/>
          <w:sz w:val="21"/>
        </w:rPr>
        <w:t>金合同或国家有关法律规定对基金资产或基金份额持有人利益造成重大损失的，应呈报中国</w:t>
      </w:r>
      <w:r>
        <w:rPr>
          <w:spacing w:val="-10"/>
          <w:sz w:val="21"/>
        </w:rPr>
        <w:t>证监会和中国银监会，并有权提议召开基金份额持有人大会，由基金份额持有人大会表决更</w:t>
      </w:r>
      <w:r>
        <w:rPr>
          <w:spacing w:val="-7"/>
          <w:sz w:val="21"/>
        </w:rPr>
        <w:t>换基金托管人，或采取其它必要措施保护基金投资者的利益；</w:t>
      </w:r>
      <w:r>
        <w:rPr>
          <w:spacing w:val="-3"/>
          <w:sz w:val="21"/>
        </w:rPr>
        <w:t> </w:t>
      </w:r>
      <w:r>
        <w:rPr>
          <w:sz w:val="21"/>
        </w:rPr>
        <w:t> </w:t>
      </w:r>
    </w:p>
    <w:p>
      <w:pPr>
        <w:spacing w:after="0" w:line="417" w:lineRule="auto"/>
        <w:jc w:val="both"/>
        <w:rPr>
          <w:sz w:val="21"/>
        </w:rPr>
        <w:sectPr>
          <w:pgSz w:w="11910" w:h="16850"/>
          <w:pgMar w:header="852" w:footer="1386" w:top="1420" w:bottom="1580" w:left="1680" w:right="1360"/>
        </w:sectPr>
      </w:pPr>
    </w:p>
    <w:p>
      <w:pPr>
        <w:pStyle w:val="ListParagraph"/>
        <w:numPr>
          <w:ilvl w:val="0"/>
          <w:numId w:val="14"/>
        </w:numPr>
        <w:tabs>
          <w:tab w:pos="1173" w:val="left" w:leader="none"/>
        </w:tabs>
        <w:spacing w:line="417" w:lineRule="auto" w:before="142" w:after="0"/>
        <w:ind w:left="118" w:right="434" w:firstLine="419"/>
        <w:jc w:val="both"/>
        <w:rPr>
          <w:sz w:val="21"/>
        </w:rPr>
      </w:pPr>
      <w:r>
        <w:rPr>
          <w:spacing w:val="-9"/>
          <w:sz w:val="21"/>
        </w:rPr>
        <w:t>选择、更换基金代销机构，对基金代销机构行为进行必要的监督和检查；如果 基金管理人认为基金代销机构的作为或不作为违反了法律法规、基金合同或基金销售代理</w:t>
      </w:r>
      <w:r>
        <w:rPr>
          <w:spacing w:val="-12"/>
          <w:sz w:val="21"/>
        </w:rPr>
        <w:t>协议，基金管理人应行使法律法规、基金合同或基金销售代理协议赋予、给予、规定的基金</w:t>
      </w:r>
      <w:r>
        <w:rPr>
          <w:spacing w:val="-7"/>
          <w:sz w:val="21"/>
        </w:rPr>
        <w:t>管理人的任何及所有权利和救济措施，以保护基金资产的安全和基金投资者的利益；</w:t>
      </w:r>
      <w:r>
        <w:rPr>
          <w:sz w:val="21"/>
        </w:rPr>
        <w:t> </w:t>
      </w:r>
    </w:p>
    <w:p>
      <w:pPr>
        <w:pStyle w:val="BodyText"/>
        <w:spacing w:before="10"/>
      </w:pPr>
    </w:p>
    <w:p>
      <w:pPr>
        <w:pStyle w:val="ListParagraph"/>
        <w:numPr>
          <w:ilvl w:val="0"/>
          <w:numId w:val="14"/>
        </w:numPr>
        <w:tabs>
          <w:tab w:pos="1171" w:val="left" w:leader="none"/>
        </w:tabs>
        <w:spacing w:line="417" w:lineRule="auto" w:before="1" w:after="0"/>
        <w:ind w:left="118" w:right="433" w:firstLine="419"/>
        <w:jc w:val="left"/>
        <w:rPr>
          <w:sz w:val="21"/>
        </w:rPr>
      </w:pPr>
      <w:r>
        <w:rPr>
          <w:spacing w:val="-5"/>
          <w:sz w:val="21"/>
        </w:rPr>
        <w:t>以基金资产负担因处理基金事务所支出的其他费用以及对第三人所负的债务， </w:t>
      </w:r>
      <w:r>
        <w:rPr>
          <w:spacing w:val="-3"/>
          <w:sz w:val="21"/>
        </w:rPr>
        <w:t>若基金管理人以其自有财产先行支付的，对基金资产有优先受偿的权利；</w:t>
      </w:r>
      <w:r>
        <w:rPr>
          <w:sz w:val="21"/>
        </w:rPr>
        <w:t> </w:t>
      </w:r>
    </w:p>
    <w:p>
      <w:pPr>
        <w:pStyle w:val="BodyText"/>
        <w:spacing w:before="8"/>
      </w:pPr>
    </w:p>
    <w:p>
      <w:pPr>
        <w:pStyle w:val="ListParagraph"/>
        <w:numPr>
          <w:ilvl w:val="0"/>
          <w:numId w:val="14"/>
        </w:numPr>
        <w:tabs>
          <w:tab w:pos="1173" w:val="left" w:leader="none"/>
        </w:tabs>
        <w:spacing w:line="417" w:lineRule="auto" w:before="1" w:after="0"/>
        <w:ind w:left="118" w:right="436" w:firstLine="419"/>
        <w:jc w:val="left"/>
        <w:rPr>
          <w:sz w:val="21"/>
        </w:rPr>
      </w:pPr>
      <w:r>
        <w:rPr>
          <w:spacing w:val="-21"/>
          <w:sz w:val="21"/>
        </w:rPr>
        <w:t>按照《基金法》、《运作办法》，代表基金份额持有人利益对其所投资的企业依法</w:t>
      </w:r>
      <w:r>
        <w:rPr>
          <w:spacing w:val="-8"/>
          <w:sz w:val="21"/>
        </w:rPr>
        <w:t>行使诉讼权利或行使因投资于其他证券产生的权利； </w:t>
      </w:r>
    </w:p>
    <w:p>
      <w:pPr>
        <w:pStyle w:val="BodyText"/>
        <w:spacing w:before="11"/>
      </w:pPr>
    </w:p>
    <w:p>
      <w:pPr>
        <w:pStyle w:val="ListParagraph"/>
        <w:numPr>
          <w:ilvl w:val="0"/>
          <w:numId w:val="14"/>
        </w:numPr>
        <w:tabs>
          <w:tab w:pos="1173" w:val="left" w:leader="none"/>
        </w:tabs>
        <w:spacing w:line="417" w:lineRule="auto" w:before="1" w:after="0"/>
        <w:ind w:left="118" w:right="331" w:firstLine="419"/>
        <w:jc w:val="left"/>
        <w:rPr>
          <w:sz w:val="21"/>
        </w:rPr>
      </w:pPr>
      <w:r>
        <w:rPr>
          <w:spacing w:val="-3"/>
          <w:sz w:val="21"/>
        </w:rPr>
        <w:t>本基金合同终止时，组建或参加清算小组，参与基金资产的保管、清理、估价、变现和分配；</w:t>
      </w:r>
      <w:r>
        <w:rPr>
          <w:sz w:val="21"/>
        </w:rPr>
        <w:t> </w:t>
      </w:r>
    </w:p>
    <w:p>
      <w:pPr>
        <w:pStyle w:val="BodyText"/>
        <w:spacing w:before="11"/>
      </w:pPr>
    </w:p>
    <w:p>
      <w:pPr>
        <w:pStyle w:val="ListParagraph"/>
        <w:numPr>
          <w:ilvl w:val="0"/>
          <w:numId w:val="14"/>
        </w:numPr>
        <w:tabs>
          <w:tab w:pos="1173" w:val="left" w:leader="none"/>
        </w:tabs>
        <w:spacing w:line="417" w:lineRule="auto" w:before="0" w:after="0"/>
        <w:ind w:left="118" w:right="434" w:firstLine="419"/>
        <w:jc w:val="left"/>
        <w:rPr>
          <w:sz w:val="21"/>
        </w:rPr>
      </w:pPr>
      <w:r>
        <w:rPr>
          <w:spacing w:val="-10"/>
          <w:sz w:val="21"/>
        </w:rPr>
        <w:t>法律、法规、本基金合同以及依据本基金合同制定的其他法律文件所规定的其 </w:t>
      </w:r>
      <w:r>
        <w:rPr>
          <w:spacing w:val="-1"/>
          <w:sz w:val="21"/>
        </w:rPr>
        <w:t>他权利。</w:t>
      </w:r>
      <w:r>
        <w:rPr>
          <w:sz w:val="21"/>
        </w:rPr>
        <w:t> </w:t>
      </w:r>
    </w:p>
    <w:p>
      <w:pPr>
        <w:pStyle w:val="BodyText"/>
        <w:spacing w:before="9"/>
      </w:pPr>
    </w:p>
    <w:p>
      <w:pPr>
        <w:pStyle w:val="ListParagraph"/>
        <w:numPr>
          <w:ilvl w:val="0"/>
          <w:numId w:val="13"/>
        </w:numPr>
        <w:tabs>
          <w:tab w:pos="856" w:val="left" w:leader="none"/>
        </w:tabs>
        <w:spacing w:line="240" w:lineRule="auto" w:before="0" w:after="0"/>
        <w:ind w:left="855" w:right="0" w:hanging="318"/>
        <w:jc w:val="left"/>
        <w:rPr>
          <w:rFonts w:ascii="Microsoft JhengHei" w:eastAsia="Microsoft JhengHei" w:hint="eastAsia"/>
          <w:b/>
          <w:sz w:val="21"/>
        </w:rPr>
      </w:pPr>
      <w:r>
        <w:rPr>
          <w:spacing w:val="-3"/>
          <w:sz w:val="21"/>
        </w:rPr>
        <w:t>基金管理人的义务</w:t>
      </w:r>
      <w:r>
        <w:rPr>
          <w:rFonts w:ascii="Microsoft JhengHei" w:eastAsia="Microsoft JhengHei" w:hint="eastAsia"/>
          <w:b/>
          <w:w w:val="201"/>
          <w:sz w:val="21"/>
        </w:rPr>
        <w:t> </w:t>
      </w:r>
    </w:p>
    <w:p>
      <w:pPr>
        <w:pStyle w:val="BodyText"/>
        <w:spacing w:before="2"/>
        <w:rPr>
          <w:rFonts w:ascii="Microsoft JhengHei"/>
          <w:b/>
          <w:sz w:val="26"/>
        </w:rPr>
      </w:pPr>
    </w:p>
    <w:p>
      <w:pPr>
        <w:pStyle w:val="ListParagraph"/>
        <w:numPr>
          <w:ilvl w:val="0"/>
          <w:numId w:val="15"/>
        </w:numPr>
        <w:tabs>
          <w:tab w:pos="1067" w:val="left" w:leader="none"/>
        </w:tabs>
        <w:spacing w:line="417" w:lineRule="auto" w:before="0" w:after="0"/>
        <w:ind w:left="118" w:right="433" w:firstLine="419"/>
        <w:jc w:val="both"/>
        <w:rPr>
          <w:sz w:val="21"/>
        </w:rPr>
      </w:pPr>
      <w:r>
        <w:rPr>
          <w:spacing w:val="-28"/>
          <w:sz w:val="21"/>
        </w:rPr>
        <w:t>基金管理人将遵守《基金法》、《运作办法》、《销售办法》、基金合同及其他有关 </w:t>
      </w:r>
      <w:r>
        <w:rPr>
          <w:spacing w:val="-10"/>
          <w:sz w:val="21"/>
        </w:rPr>
        <w:t>规定，为基金份额持有人的最大利益处理基金事务；自基金合同生效之日起，基金管理人保</w:t>
      </w:r>
      <w:r>
        <w:rPr>
          <w:spacing w:val="-3"/>
          <w:sz w:val="21"/>
        </w:rPr>
        <w:t>证恪尽职守，依照诚实信用、勤勉尽责的原则，谨慎、有效管理和运用基金财产；</w:t>
      </w:r>
    </w:p>
    <w:p>
      <w:pPr>
        <w:pStyle w:val="BodyText"/>
        <w:spacing w:before="11"/>
      </w:pPr>
    </w:p>
    <w:p>
      <w:pPr>
        <w:pStyle w:val="ListParagraph"/>
        <w:numPr>
          <w:ilvl w:val="0"/>
          <w:numId w:val="15"/>
        </w:numPr>
        <w:tabs>
          <w:tab w:pos="1067" w:val="left" w:leader="none"/>
        </w:tabs>
        <w:spacing w:line="417" w:lineRule="auto" w:before="0" w:after="0"/>
        <w:ind w:left="118" w:right="436" w:firstLine="419"/>
        <w:jc w:val="left"/>
        <w:rPr>
          <w:sz w:val="21"/>
        </w:rPr>
      </w:pPr>
      <w:r>
        <w:rPr>
          <w:spacing w:val="-3"/>
          <w:sz w:val="21"/>
        </w:rPr>
        <w:t>设置相应的部门并配备足够的具有专业资格的人员进行基金投资分析、决策，以专业化的经营方式管理和运作基金财产；</w:t>
      </w:r>
    </w:p>
    <w:p>
      <w:pPr>
        <w:pStyle w:val="BodyText"/>
        <w:spacing w:before="10"/>
      </w:pPr>
    </w:p>
    <w:p>
      <w:pPr>
        <w:pStyle w:val="ListParagraph"/>
        <w:numPr>
          <w:ilvl w:val="0"/>
          <w:numId w:val="15"/>
        </w:numPr>
        <w:tabs>
          <w:tab w:pos="1067" w:val="left" w:leader="none"/>
        </w:tabs>
        <w:spacing w:line="417" w:lineRule="auto" w:before="0" w:after="0"/>
        <w:ind w:left="118" w:right="436" w:firstLine="419"/>
        <w:jc w:val="left"/>
        <w:rPr>
          <w:sz w:val="21"/>
        </w:rPr>
      </w:pPr>
      <w:r>
        <w:rPr>
          <w:spacing w:val="-3"/>
          <w:sz w:val="21"/>
        </w:rPr>
        <w:t>设置相应的部门并配备足够的专业人员办理基金份额的认购、申购、赎回和其它业务或委托其它机构代理这些业务；</w:t>
      </w:r>
    </w:p>
    <w:p>
      <w:pPr>
        <w:pStyle w:val="BodyText"/>
        <w:spacing w:before="11"/>
      </w:pPr>
    </w:p>
    <w:p>
      <w:pPr>
        <w:pStyle w:val="ListParagraph"/>
        <w:numPr>
          <w:ilvl w:val="0"/>
          <w:numId w:val="15"/>
        </w:numPr>
        <w:tabs>
          <w:tab w:pos="1067" w:val="left" w:leader="none"/>
        </w:tabs>
        <w:spacing w:line="417" w:lineRule="auto" w:before="0" w:after="0"/>
        <w:ind w:left="118" w:right="436" w:firstLine="419"/>
        <w:jc w:val="left"/>
        <w:rPr>
          <w:sz w:val="21"/>
        </w:rPr>
      </w:pPr>
      <w:r>
        <w:rPr>
          <w:spacing w:val="-3"/>
          <w:sz w:val="21"/>
        </w:rPr>
        <w:t>设置相应的部门并配备足够的专业人员办理基金的注册与过户登记工作或委托其它机构代理该项业务；</w:t>
      </w:r>
    </w:p>
    <w:p>
      <w:pPr>
        <w:pStyle w:val="BodyText"/>
        <w:spacing w:before="11"/>
      </w:pPr>
    </w:p>
    <w:p>
      <w:pPr>
        <w:pStyle w:val="ListParagraph"/>
        <w:numPr>
          <w:ilvl w:val="0"/>
          <w:numId w:val="15"/>
        </w:numPr>
        <w:tabs>
          <w:tab w:pos="1067" w:val="left" w:leader="none"/>
        </w:tabs>
        <w:spacing w:line="240" w:lineRule="auto" w:before="1" w:after="0"/>
        <w:ind w:left="1067" w:right="0" w:hanging="529"/>
        <w:jc w:val="left"/>
        <w:rPr>
          <w:sz w:val="21"/>
        </w:rPr>
      </w:pPr>
      <w:r>
        <w:rPr>
          <w:spacing w:val="-3"/>
          <w:sz w:val="21"/>
        </w:rPr>
        <w:t>建立健全内部控制制度，监察与稽核、财务管理及人事管理等制度，保证所管理</w:t>
      </w:r>
    </w:p>
    <w:p>
      <w:pPr>
        <w:spacing w:after="0" w:line="240" w:lineRule="auto"/>
        <w:jc w:val="left"/>
        <w:rPr>
          <w:sz w:val="21"/>
        </w:rPr>
        <w:sectPr>
          <w:pgSz w:w="11910" w:h="16850"/>
          <w:pgMar w:header="852" w:footer="1386" w:top="1420" w:bottom="1580" w:left="1680" w:right="1360"/>
        </w:sectPr>
      </w:pPr>
    </w:p>
    <w:p>
      <w:pPr>
        <w:pStyle w:val="BodyText"/>
        <w:spacing w:line="417" w:lineRule="auto" w:before="142"/>
        <w:ind w:left="118" w:right="433"/>
        <w:jc w:val="both"/>
      </w:pPr>
      <w:r>
        <w:rPr>
          <w:spacing w:val="-7"/>
        </w:rPr>
        <w:t>的基金财产和基金管理人的固有财产相互独立，确保分别管理、分别计帐；保证本基金与基</w:t>
      </w:r>
      <w:r>
        <w:rPr>
          <w:spacing w:val="-9"/>
        </w:rPr>
        <w:t>金管理人管理的其他基金之间在资产运作、财务管理等方面相互独立，确保分别管理、分别计帐。</w:t>
      </w:r>
    </w:p>
    <w:p>
      <w:pPr>
        <w:pStyle w:val="BodyText"/>
        <w:spacing w:before="11"/>
      </w:pPr>
    </w:p>
    <w:p>
      <w:pPr>
        <w:pStyle w:val="ListParagraph"/>
        <w:numPr>
          <w:ilvl w:val="0"/>
          <w:numId w:val="15"/>
        </w:numPr>
        <w:tabs>
          <w:tab w:pos="1067" w:val="left" w:leader="none"/>
        </w:tabs>
        <w:spacing w:line="417" w:lineRule="auto" w:before="0" w:after="0"/>
        <w:ind w:left="118" w:right="433" w:firstLine="419"/>
        <w:jc w:val="both"/>
        <w:rPr>
          <w:sz w:val="21"/>
        </w:rPr>
      </w:pPr>
      <w:r>
        <w:rPr>
          <w:spacing w:val="-29"/>
          <w:sz w:val="21"/>
        </w:rPr>
        <w:t>除依据《基金法》、《运作办法》、《销售办法》、基金合同及其他有关规定外</w:t>
      </w:r>
      <w:r>
        <w:rPr>
          <w:rFonts w:ascii="Times New Roman" w:eastAsia="Times New Roman"/>
          <w:sz w:val="21"/>
        </w:rPr>
        <w:t>,</w:t>
      </w:r>
      <w:r>
        <w:rPr>
          <w:spacing w:val="-2"/>
          <w:sz w:val="21"/>
        </w:rPr>
        <w:t>不得 </w:t>
      </w:r>
      <w:r>
        <w:rPr>
          <w:spacing w:val="-9"/>
          <w:sz w:val="21"/>
        </w:rPr>
        <w:t>为自己及任何第三方谋取利益，基金管理人违反此义务，利用基金资产为自己及任何第三方</w:t>
      </w:r>
      <w:r>
        <w:rPr>
          <w:spacing w:val="-6"/>
          <w:sz w:val="21"/>
        </w:rPr>
        <w:t>谋取利益，所得利益归于基金资产，造成基金资产损失的，承担赔偿责任；</w:t>
      </w:r>
    </w:p>
    <w:p>
      <w:pPr>
        <w:pStyle w:val="BodyText"/>
        <w:spacing w:before="8"/>
      </w:pPr>
    </w:p>
    <w:p>
      <w:pPr>
        <w:pStyle w:val="BodyText"/>
        <w:spacing w:line="417" w:lineRule="auto" w:before="1"/>
        <w:ind w:left="118" w:right="434" w:firstLine="419"/>
      </w:pPr>
      <w:r>
        <w:rPr>
          <w:spacing w:val="-7"/>
        </w:rPr>
        <w:t>基金管理人不得将基金财产转为其自有财产，违背此款规定的，将承担相应的责任，包</w:t>
      </w:r>
      <w:r>
        <w:rPr>
          <w:spacing w:val="-5"/>
        </w:rPr>
        <w:t>括但不限于恢复基金资产的原状、承担赔偿责任；</w:t>
      </w:r>
    </w:p>
    <w:p>
      <w:pPr>
        <w:pStyle w:val="BodyText"/>
        <w:spacing w:before="11"/>
      </w:pPr>
    </w:p>
    <w:p>
      <w:pPr>
        <w:pStyle w:val="ListParagraph"/>
        <w:numPr>
          <w:ilvl w:val="0"/>
          <w:numId w:val="15"/>
        </w:numPr>
        <w:tabs>
          <w:tab w:pos="1065" w:val="left" w:leader="none"/>
        </w:tabs>
        <w:spacing w:line="417" w:lineRule="auto" w:before="1" w:after="0"/>
        <w:ind w:left="118" w:right="434" w:firstLine="419"/>
        <w:jc w:val="left"/>
        <w:rPr>
          <w:sz w:val="21"/>
        </w:rPr>
      </w:pPr>
      <w:r>
        <w:rPr>
          <w:spacing w:val="-28"/>
          <w:sz w:val="21"/>
        </w:rPr>
        <w:t>除依据《基金法》、《运作办法》、《销售办法》、基金合同及其他有关规定外，基金</w:t>
      </w:r>
      <w:r>
        <w:rPr>
          <w:spacing w:val="-9"/>
          <w:sz w:val="21"/>
        </w:rPr>
        <w:t>管理人不得委托第三人管理、运作基金财产；</w:t>
      </w:r>
    </w:p>
    <w:p>
      <w:pPr>
        <w:pStyle w:val="BodyText"/>
        <w:spacing w:before="11"/>
      </w:pPr>
    </w:p>
    <w:p>
      <w:pPr>
        <w:pStyle w:val="ListParagraph"/>
        <w:numPr>
          <w:ilvl w:val="0"/>
          <w:numId w:val="15"/>
        </w:numPr>
        <w:tabs>
          <w:tab w:pos="1067" w:val="left" w:leader="none"/>
        </w:tabs>
        <w:spacing w:line="417" w:lineRule="auto" w:before="0" w:after="0"/>
        <w:ind w:left="118" w:right="436" w:firstLine="419"/>
        <w:jc w:val="left"/>
        <w:rPr>
          <w:sz w:val="21"/>
        </w:rPr>
      </w:pPr>
      <w:r>
        <w:rPr>
          <w:spacing w:val="-3"/>
          <w:sz w:val="21"/>
        </w:rPr>
        <w:t>接受基金托管人依据法律法规、本基金合同和《托管协议》对基金管理人履行本基金合同和托管协议的情况进行的监督；</w:t>
      </w:r>
    </w:p>
    <w:p>
      <w:pPr>
        <w:pStyle w:val="BodyText"/>
        <w:spacing w:before="9"/>
      </w:pPr>
    </w:p>
    <w:p>
      <w:pPr>
        <w:pStyle w:val="ListParagraph"/>
        <w:numPr>
          <w:ilvl w:val="0"/>
          <w:numId w:val="15"/>
        </w:numPr>
        <w:tabs>
          <w:tab w:pos="1067" w:val="left" w:leader="none"/>
        </w:tabs>
        <w:spacing w:line="417" w:lineRule="auto" w:before="0" w:after="0"/>
        <w:ind w:left="118" w:right="436" w:firstLine="419"/>
        <w:jc w:val="left"/>
        <w:rPr>
          <w:sz w:val="21"/>
        </w:rPr>
      </w:pPr>
      <w:r>
        <w:rPr>
          <w:spacing w:val="-3"/>
          <w:sz w:val="21"/>
        </w:rPr>
        <w:t>采取适当合理的措施使计算开放式基金资产净值的方法符合基金合同等法律文件的规定；</w:t>
      </w:r>
    </w:p>
    <w:p>
      <w:pPr>
        <w:pStyle w:val="BodyText"/>
        <w:spacing w:before="12"/>
        <w:rPr>
          <w:sz w:val="15"/>
        </w:rPr>
      </w:pPr>
    </w:p>
    <w:p>
      <w:pPr>
        <w:pStyle w:val="ListParagraph"/>
        <w:numPr>
          <w:ilvl w:val="0"/>
          <w:numId w:val="15"/>
        </w:numPr>
        <w:tabs>
          <w:tab w:pos="1173" w:val="left" w:leader="none"/>
        </w:tabs>
        <w:spacing w:line="240" w:lineRule="auto" w:before="0" w:after="0"/>
        <w:ind w:left="1172" w:right="0" w:hanging="635"/>
        <w:jc w:val="left"/>
        <w:rPr>
          <w:sz w:val="21"/>
        </w:rPr>
      </w:pPr>
      <w:r>
        <w:rPr>
          <w:spacing w:val="-3"/>
          <w:sz w:val="21"/>
        </w:rPr>
        <w:t>按规定计算并公告基金收益信息；</w:t>
      </w:r>
    </w:p>
    <w:p>
      <w:pPr>
        <w:pStyle w:val="BodyText"/>
        <w:spacing w:before="3"/>
        <w:rPr>
          <w:sz w:val="31"/>
        </w:rPr>
      </w:pPr>
    </w:p>
    <w:p>
      <w:pPr>
        <w:pStyle w:val="ListParagraph"/>
        <w:numPr>
          <w:ilvl w:val="0"/>
          <w:numId w:val="15"/>
        </w:numPr>
        <w:tabs>
          <w:tab w:pos="1163" w:val="left" w:leader="none"/>
        </w:tabs>
        <w:spacing w:line="417" w:lineRule="auto" w:before="0" w:after="0"/>
        <w:ind w:left="118" w:right="434" w:firstLine="419"/>
        <w:jc w:val="left"/>
        <w:rPr>
          <w:sz w:val="21"/>
        </w:rPr>
      </w:pPr>
      <w:r>
        <w:rPr>
          <w:spacing w:val="-7"/>
          <w:sz w:val="21"/>
        </w:rPr>
        <w:t>按照法律和本基金合同的规定受理认、申购和赎回申请，及时、足额支付赎回 款项；</w:t>
      </w:r>
    </w:p>
    <w:p>
      <w:pPr>
        <w:pStyle w:val="BodyText"/>
        <w:spacing w:before="9"/>
      </w:pPr>
    </w:p>
    <w:p>
      <w:pPr>
        <w:pStyle w:val="ListParagraph"/>
        <w:numPr>
          <w:ilvl w:val="0"/>
          <w:numId w:val="15"/>
        </w:numPr>
        <w:tabs>
          <w:tab w:pos="1173" w:val="left" w:leader="none"/>
        </w:tabs>
        <w:spacing w:line="417" w:lineRule="auto" w:before="0" w:after="0"/>
        <w:ind w:left="118" w:right="433" w:firstLine="419"/>
        <w:jc w:val="left"/>
        <w:rPr>
          <w:sz w:val="21"/>
        </w:rPr>
      </w:pPr>
      <w:r>
        <w:rPr>
          <w:spacing w:val="-26"/>
          <w:sz w:val="21"/>
        </w:rPr>
        <w:t>严格按照《基金法》、《运作办法》、《销售办法》、基金合同及其他有关规定，编</w:t>
      </w:r>
      <w:r>
        <w:rPr>
          <w:spacing w:val="-9"/>
          <w:sz w:val="21"/>
        </w:rPr>
        <w:t>制中期和年度基金报告，履行信息披露及报告义务；</w:t>
      </w:r>
    </w:p>
    <w:p>
      <w:pPr>
        <w:pStyle w:val="BodyText"/>
        <w:spacing w:before="12"/>
      </w:pPr>
    </w:p>
    <w:p>
      <w:pPr>
        <w:pStyle w:val="ListParagraph"/>
        <w:numPr>
          <w:ilvl w:val="0"/>
          <w:numId w:val="15"/>
        </w:numPr>
        <w:tabs>
          <w:tab w:pos="1173" w:val="left" w:leader="none"/>
        </w:tabs>
        <w:spacing w:line="417" w:lineRule="auto" w:before="0" w:after="0"/>
        <w:ind w:left="118" w:right="433" w:firstLine="419"/>
        <w:jc w:val="both"/>
        <w:rPr>
          <w:sz w:val="21"/>
        </w:rPr>
      </w:pPr>
      <w:r>
        <w:rPr>
          <w:spacing w:val="-8"/>
          <w:sz w:val="21"/>
        </w:rPr>
        <w:t>保守基金的商业秘密，不得泄露基金投资计划、投资意向等；除法律法规、基 </w:t>
      </w:r>
      <w:r>
        <w:rPr>
          <w:spacing w:val="-10"/>
          <w:sz w:val="21"/>
        </w:rPr>
        <w:t>金合同及其他有关规定另有规定外，在基金信息公开披露前应予保密，不向他人泄露，但因</w:t>
      </w:r>
      <w:r>
        <w:rPr>
          <w:spacing w:val="-9"/>
          <w:sz w:val="21"/>
        </w:rPr>
        <w:t>遵守和服从司法机构、中国证监会或其他监管机构的判决、裁决、决定、命令而作出的披露</w:t>
      </w:r>
      <w:r>
        <w:rPr>
          <w:spacing w:val="-3"/>
          <w:sz w:val="21"/>
        </w:rPr>
        <w:t>不应视为基金管理人违反本基金合同规定的保密义务；</w:t>
      </w:r>
    </w:p>
    <w:p>
      <w:pPr>
        <w:spacing w:after="0" w:line="417" w:lineRule="auto"/>
        <w:jc w:val="both"/>
        <w:rPr>
          <w:sz w:val="21"/>
        </w:rPr>
        <w:sectPr>
          <w:pgSz w:w="11910" w:h="16850"/>
          <w:pgMar w:header="852" w:footer="1386" w:top="1420" w:bottom="1580" w:left="1680" w:right="1360"/>
        </w:sectPr>
      </w:pPr>
    </w:p>
    <w:p>
      <w:pPr>
        <w:pStyle w:val="ListParagraph"/>
        <w:numPr>
          <w:ilvl w:val="0"/>
          <w:numId w:val="15"/>
        </w:numPr>
        <w:tabs>
          <w:tab w:pos="1173" w:val="left" w:leader="none"/>
        </w:tabs>
        <w:spacing w:line="417" w:lineRule="auto" w:before="142" w:after="0"/>
        <w:ind w:left="118" w:right="433" w:firstLine="419"/>
        <w:jc w:val="both"/>
        <w:rPr>
          <w:sz w:val="21"/>
        </w:rPr>
      </w:pPr>
      <w:r>
        <w:rPr>
          <w:spacing w:val="-27"/>
          <w:sz w:val="21"/>
        </w:rPr>
        <w:t>依据《基金法》、《运作办法》、《销售办法》、基金合同及其他有关规定召集基金</w:t>
      </w:r>
      <w:r>
        <w:rPr>
          <w:spacing w:val="-13"/>
          <w:sz w:val="21"/>
        </w:rPr>
        <w:t>份额持有人大会或配合基金托管人、基金份额持有人依法召集基金份额持有人大会，并执行</w:t>
      </w:r>
      <w:r>
        <w:rPr>
          <w:spacing w:val="-6"/>
          <w:sz w:val="21"/>
        </w:rPr>
        <w:t>生效的基金份额持有人大会决议；</w:t>
      </w:r>
    </w:p>
    <w:p>
      <w:pPr>
        <w:pStyle w:val="BodyText"/>
        <w:spacing w:before="11"/>
      </w:pPr>
    </w:p>
    <w:p>
      <w:pPr>
        <w:pStyle w:val="ListParagraph"/>
        <w:numPr>
          <w:ilvl w:val="0"/>
          <w:numId w:val="15"/>
        </w:numPr>
        <w:tabs>
          <w:tab w:pos="1171" w:val="left" w:leader="none"/>
        </w:tabs>
        <w:spacing w:line="240" w:lineRule="auto" w:before="0" w:after="0"/>
        <w:ind w:left="1170" w:right="0" w:hanging="633"/>
        <w:jc w:val="left"/>
        <w:rPr>
          <w:sz w:val="21"/>
        </w:rPr>
      </w:pPr>
      <w:r>
        <w:rPr>
          <w:spacing w:val="-15"/>
          <w:sz w:val="21"/>
        </w:rPr>
        <w:t>组织并参加基金财产清算小组，参与基金财产的保管、清理、估价、变现和分配；</w:t>
      </w:r>
    </w:p>
    <w:p>
      <w:pPr>
        <w:pStyle w:val="BodyText"/>
        <w:rPr>
          <w:sz w:val="22"/>
        </w:rPr>
      </w:pPr>
    </w:p>
    <w:p>
      <w:pPr>
        <w:pStyle w:val="ListParagraph"/>
        <w:numPr>
          <w:ilvl w:val="0"/>
          <w:numId w:val="15"/>
        </w:numPr>
        <w:tabs>
          <w:tab w:pos="1173" w:val="left" w:leader="none"/>
        </w:tabs>
        <w:spacing w:line="417" w:lineRule="auto" w:before="195" w:after="0"/>
        <w:ind w:left="118" w:right="225" w:firstLine="419"/>
        <w:jc w:val="left"/>
        <w:rPr>
          <w:sz w:val="21"/>
        </w:rPr>
      </w:pPr>
      <w:r>
        <w:rPr>
          <w:spacing w:val="-3"/>
          <w:sz w:val="21"/>
        </w:rPr>
        <w:t>基金管理人因违反基金合同导致基金财产的损失或损害基金份额持有人合法权益，应当承担赔偿责任，其过错责任不因其退任而免除；</w:t>
      </w:r>
    </w:p>
    <w:p>
      <w:pPr>
        <w:pStyle w:val="BodyText"/>
        <w:spacing w:before="12"/>
      </w:pPr>
    </w:p>
    <w:p>
      <w:pPr>
        <w:pStyle w:val="ListParagraph"/>
        <w:numPr>
          <w:ilvl w:val="0"/>
          <w:numId w:val="15"/>
        </w:numPr>
        <w:tabs>
          <w:tab w:pos="1171" w:val="left" w:leader="none"/>
        </w:tabs>
        <w:spacing w:line="417" w:lineRule="auto" w:before="0" w:after="0"/>
        <w:ind w:left="118" w:right="433" w:firstLine="419"/>
        <w:jc w:val="both"/>
        <w:rPr>
          <w:sz w:val="21"/>
        </w:rPr>
      </w:pPr>
      <w:r>
        <w:rPr>
          <w:spacing w:val="-5"/>
          <w:sz w:val="21"/>
        </w:rPr>
        <w:t>监督基金托管人按法律法规和合同规定履行自己的义务，基金托管人违反基金 </w:t>
      </w:r>
      <w:r>
        <w:rPr>
          <w:spacing w:val="-10"/>
          <w:sz w:val="21"/>
        </w:rPr>
        <w:t>合同造成基金财产损失时，基金管理人应为基金份额持有人利益向基金托管人追偿，但除法</w:t>
      </w:r>
      <w:r>
        <w:rPr>
          <w:spacing w:val="-3"/>
          <w:sz w:val="21"/>
        </w:rPr>
        <w:t>律法规另有规定外，不连带承担基金托管人的责任；</w:t>
      </w:r>
    </w:p>
    <w:p>
      <w:pPr>
        <w:pStyle w:val="BodyText"/>
        <w:spacing w:before="11"/>
      </w:pPr>
    </w:p>
    <w:p>
      <w:pPr>
        <w:pStyle w:val="ListParagraph"/>
        <w:numPr>
          <w:ilvl w:val="0"/>
          <w:numId w:val="15"/>
        </w:numPr>
        <w:tabs>
          <w:tab w:pos="1171" w:val="left" w:leader="none"/>
        </w:tabs>
        <w:spacing w:line="417" w:lineRule="auto" w:before="1" w:after="0"/>
        <w:ind w:left="118" w:right="433" w:firstLine="419"/>
        <w:jc w:val="left"/>
        <w:rPr>
          <w:sz w:val="21"/>
        </w:rPr>
      </w:pPr>
      <w:r>
        <w:rPr>
          <w:spacing w:val="-6"/>
          <w:sz w:val="21"/>
        </w:rPr>
        <w:t>依据基金合同的约定确定基金收益分配方案，并及时向基金份额持有人分配基 金收益；</w:t>
      </w:r>
    </w:p>
    <w:p>
      <w:pPr>
        <w:pStyle w:val="BodyText"/>
        <w:spacing w:before="8"/>
      </w:pPr>
    </w:p>
    <w:p>
      <w:pPr>
        <w:pStyle w:val="ListParagraph"/>
        <w:numPr>
          <w:ilvl w:val="0"/>
          <w:numId w:val="15"/>
        </w:numPr>
        <w:tabs>
          <w:tab w:pos="1173" w:val="left" w:leader="none"/>
        </w:tabs>
        <w:spacing w:line="240" w:lineRule="auto" w:before="1" w:after="0"/>
        <w:ind w:left="1172" w:right="0" w:hanging="635"/>
        <w:jc w:val="left"/>
        <w:rPr>
          <w:sz w:val="21"/>
        </w:rPr>
      </w:pPr>
      <w:r>
        <w:rPr>
          <w:spacing w:val="-3"/>
          <w:sz w:val="21"/>
        </w:rPr>
        <w:t>进行基金会计核算并编制基金财务会计报告；</w:t>
      </w:r>
    </w:p>
    <w:p>
      <w:pPr>
        <w:pStyle w:val="BodyText"/>
        <w:spacing w:before="5"/>
        <w:rPr>
          <w:sz w:val="31"/>
        </w:rPr>
      </w:pPr>
    </w:p>
    <w:p>
      <w:pPr>
        <w:pStyle w:val="ListParagraph"/>
        <w:numPr>
          <w:ilvl w:val="0"/>
          <w:numId w:val="15"/>
        </w:numPr>
        <w:tabs>
          <w:tab w:pos="1173" w:val="left" w:leader="none"/>
        </w:tabs>
        <w:spacing w:line="240" w:lineRule="auto" w:before="1" w:after="0"/>
        <w:ind w:left="1172" w:right="0" w:hanging="635"/>
        <w:jc w:val="left"/>
        <w:rPr>
          <w:sz w:val="21"/>
        </w:rPr>
      </w:pPr>
      <w:r>
        <w:rPr>
          <w:spacing w:val="-3"/>
          <w:sz w:val="21"/>
        </w:rPr>
        <w:t>保存基金财产管理业务活动的记录、帐册、报表和其他相关资料</w:t>
      </w:r>
      <w:r>
        <w:rPr>
          <w:rFonts w:ascii="Times New Roman" w:eastAsia="Times New Roman"/>
          <w:sz w:val="21"/>
        </w:rPr>
        <w:t>15</w:t>
      </w:r>
      <w:r>
        <w:rPr>
          <w:spacing w:val="-2"/>
          <w:sz w:val="21"/>
        </w:rPr>
        <w:t>年以上；</w:t>
      </w:r>
    </w:p>
    <w:p>
      <w:pPr>
        <w:pStyle w:val="BodyText"/>
        <w:spacing w:before="3"/>
        <w:rPr>
          <w:sz w:val="31"/>
        </w:rPr>
      </w:pPr>
    </w:p>
    <w:p>
      <w:pPr>
        <w:pStyle w:val="ListParagraph"/>
        <w:numPr>
          <w:ilvl w:val="0"/>
          <w:numId w:val="15"/>
        </w:numPr>
        <w:tabs>
          <w:tab w:pos="1171" w:val="left" w:leader="none"/>
        </w:tabs>
        <w:spacing w:line="417" w:lineRule="auto" w:before="0" w:after="0"/>
        <w:ind w:left="118" w:right="433" w:firstLine="419"/>
        <w:jc w:val="both"/>
        <w:rPr>
          <w:sz w:val="21"/>
        </w:rPr>
      </w:pPr>
      <w:r>
        <w:rPr>
          <w:spacing w:val="-6"/>
          <w:sz w:val="21"/>
        </w:rPr>
        <w:t>当基金管理人将其义务委托第三方处理时，应当对第三方处理有关基金事务的 </w:t>
      </w:r>
      <w:r>
        <w:rPr>
          <w:spacing w:val="-12"/>
          <w:sz w:val="21"/>
        </w:rPr>
        <w:t>行为承担责任；但因第三方过错导致基金财产或基金份额持有人的利益受到损失，而基金管</w:t>
      </w:r>
      <w:r>
        <w:rPr>
          <w:spacing w:val="-3"/>
          <w:sz w:val="21"/>
        </w:rPr>
        <w:t>理人首先承担了责任的情况下，基金管理人有权向第三方行使追偿权；</w:t>
      </w:r>
    </w:p>
    <w:p>
      <w:pPr>
        <w:pStyle w:val="BodyText"/>
        <w:spacing w:before="9"/>
      </w:pPr>
    </w:p>
    <w:p>
      <w:pPr>
        <w:pStyle w:val="ListParagraph"/>
        <w:numPr>
          <w:ilvl w:val="0"/>
          <w:numId w:val="15"/>
        </w:numPr>
        <w:tabs>
          <w:tab w:pos="1173" w:val="left" w:leader="none"/>
        </w:tabs>
        <w:spacing w:line="417" w:lineRule="auto" w:before="0" w:after="0"/>
        <w:ind w:left="118" w:right="434" w:firstLine="419"/>
        <w:jc w:val="left"/>
        <w:rPr>
          <w:sz w:val="21"/>
        </w:rPr>
      </w:pPr>
      <w:r>
        <w:rPr>
          <w:spacing w:val="-9"/>
          <w:sz w:val="21"/>
        </w:rPr>
        <w:t>面临解散、依法被撤销、破产或者由接管人接管其资产时，及时报告中国证监 </w:t>
      </w:r>
      <w:r>
        <w:rPr>
          <w:spacing w:val="-6"/>
          <w:sz w:val="21"/>
        </w:rPr>
        <w:t>会并通知基金托管人；</w:t>
      </w:r>
    </w:p>
    <w:p>
      <w:pPr>
        <w:pStyle w:val="BodyText"/>
        <w:spacing w:before="12"/>
      </w:pPr>
    </w:p>
    <w:p>
      <w:pPr>
        <w:pStyle w:val="ListParagraph"/>
        <w:numPr>
          <w:ilvl w:val="0"/>
          <w:numId w:val="15"/>
        </w:numPr>
        <w:tabs>
          <w:tab w:pos="1171" w:val="left" w:leader="none"/>
        </w:tabs>
        <w:spacing w:line="417" w:lineRule="auto" w:before="0" w:after="0"/>
        <w:ind w:left="118" w:right="330" w:firstLine="419"/>
        <w:jc w:val="left"/>
        <w:rPr>
          <w:sz w:val="21"/>
        </w:rPr>
      </w:pPr>
      <w:r>
        <w:rPr>
          <w:spacing w:val="-5"/>
          <w:sz w:val="21"/>
        </w:rPr>
        <w:t>确保向基金投资人提供的各项文件或资料在规定时间内发出；保证投资人能够按</w:t>
      </w:r>
      <w:r>
        <w:rPr>
          <w:spacing w:val="-15"/>
          <w:sz w:val="21"/>
        </w:rPr>
        <w:t>照本基金合同规定的时间和方式，查阅到与基金有关的公开资料，并得到有关资料的复印件；</w:t>
      </w:r>
    </w:p>
    <w:p>
      <w:pPr>
        <w:pStyle w:val="BodyText"/>
        <w:spacing w:before="11"/>
      </w:pPr>
    </w:p>
    <w:p>
      <w:pPr>
        <w:pStyle w:val="ListParagraph"/>
        <w:numPr>
          <w:ilvl w:val="0"/>
          <w:numId w:val="15"/>
        </w:numPr>
        <w:tabs>
          <w:tab w:pos="1173" w:val="left" w:leader="none"/>
        </w:tabs>
        <w:spacing w:line="240" w:lineRule="auto" w:before="0" w:after="0"/>
        <w:ind w:left="1172" w:right="0" w:hanging="635"/>
        <w:jc w:val="left"/>
        <w:rPr>
          <w:sz w:val="21"/>
        </w:rPr>
      </w:pPr>
      <w:r>
        <w:rPr>
          <w:spacing w:val="-3"/>
          <w:sz w:val="21"/>
        </w:rPr>
        <w:t>负责为基金聘请注册会计师和律师；</w:t>
      </w:r>
    </w:p>
    <w:p>
      <w:pPr>
        <w:pStyle w:val="BodyText"/>
        <w:rPr>
          <w:sz w:val="22"/>
        </w:rPr>
      </w:pPr>
    </w:p>
    <w:p>
      <w:pPr>
        <w:pStyle w:val="ListParagraph"/>
        <w:numPr>
          <w:ilvl w:val="0"/>
          <w:numId w:val="15"/>
        </w:numPr>
        <w:tabs>
          <w:tab w:pos="1173" w:val="left" w:leader="none"/>
        </w:tabs>
        <w:spacing w:line="240" w:lineRule="auto" w:before="196" w:after="0"/>
        <w:ind w:left="1172" w:right="0" w:hanging="635"/>
        <w:jc w:val="left"/>
        <w:rPr>
          <w:sz w:val="21"/>
        </w:rPr>
      </w:pPr>
      <w:r>
        <w:rPr>
          <w:spacing w:val="-3"/>
          <w:sz w:val="21"/>
        </w:rPr>
        <w:t>不从事任何有损基金及本基金其他当事人利益的活动；</w:t>
      </w:r>
    </w:p>
    <w:p>
      <w:pPr>
        <w:spacing w:after="0" w:line="240" w:lineRule="auto"/>
        <w:jc w:val="left"/>
        <w:rPr>
          <w:sz w:val="21"/>
        </w:rPr>
        <w:sectPr>
          <w:pgSz w:w="11910" w:h="16850"/>
          <w:pgMar w:header="852" w:footer="1386" w:top="1420" w:bottom="1580" w:left="1680" w:right="1360"/>
        </w:sectPr>
      </w:pPr>
    </w:p>
    <w:p>
      <w:pPr>
        <w:pStyle w:val="ListParagraph"/>
        <w:numPr>
          <w:ilvl w:val="0"/>
          <w:numId w:val="15"/>
        </w:numPr>
        <w:tabs>
          <w:tab w:pos="1173" w:val="left" w:leader="none"/>
        </w:tabs>
        <w:spacing w:line="240" w:lineRule="auto" w:before="142" w:after="0"/>
        <w:ind w:left="1172" w:right="0" w:hanging="635"/>
        <w:jc w:val="left"/>
        <w:rPr>
          <w:sz w:val="21"/>
        </w:rPr>
      </w:pPr>
      <w:r>
        <w:rPr>
          <w:spacing w:val="-3"/>
          <w:sz w:val="21"/>
        </w:rPr>
        <w:t>依法募集基金，办理基金备案手续；</w:t>
      </w:r>
    </w:p>
    <w:p>
      <w:pPr>
        <w:pStyle w:val="BodyText"/>
        <w:rPr>
          <w:sz w:val="22"/>
        </w:rPr>
      </w:pPr>
    </w:p>
    <w:p>
      <w:pPr>
        <w:pStyle w:val="ListParagraph"/>
        <w:numPr>
          <w:ilvl w:val="0"/>
          <w:numId w:val="15"/>
        </w:numPr>
        <w:tabs>
          <w:tab w:pos="1171" w:val="left" w:leader="none"/>
        </w:tabs>
        <w:spacing w:line="417" w:lineRule="auto" w:before="197" w:after="0"/>
        <w:ind w:left="118" w:right="433" w:firstLine="419"/>
        <w:jc w:val="left"/>
        <w:rPr>
          <w:sz w:val="21"/>
        </w:rPr>
      </w:pPr>
      <w:r>
        <w:rPr>
          <w:spacing w:val="-8"/>
          <w:sz w:val="21"/>
        </w:rPr>
        <w:t>以基金管理人名义，代表基金份额持有人利益行使诉讼权利或者实施其他法律 </w:t>
      </w:r>
      <w:r>
        <w:rPr>
          <w:sz w:val="21"/>
        </w:rPr>
        <w:t>行为；</w:t>
      </w:r>
    </w:p>
    <w:p>
      <w:pPr>
        <w:pStyle w:val="BodyText"/>
        <w:spacing w:before="9"/>
      </w:pPr>
    </w:p>
    <w:p>
      <w:pPr>
        <w:pStyle w:val="ListParagraph"/>
        <w:numPr>
          <w:ilvl w:val="0"/>
          <w:numId w:val="15"/>
        </w:numPr>
        <w:tabs>
          <w:tab w:pos="1173" w:val="left" w:leader="none"/>
        </w:tabs>
        <w:spacing w:line="417" w:lineRule="auto" w:before="0" w:after="0"/>
        <w:ind w:left="118" w:right="434" w:firstLine="419"/>
        <w:jc w:val="left"/>
        <w:rPr>
          <w:sz w:val="21"/>
        </w:rPr>
      </w:pPr>
      <w:r>
        <w:rPr>
          <w:spacing w:val="-10"/>
          <w:sz w:val="21"/>
        </w:rPr>
        <w:t>法律、法规、本基金合同以及依据本基金合同制定的其他法律文件所规定的其 </w:t>
      </w:r>
      <w:r>
        <w:rPr>
          <w:sz w:val="21"/>
        </w:rPr>
        <w:t>他义务。</w:t>
      </w:r>
    </w:p>
    <w:p>
      <w:pPr>
        <w:pStyle w:val="BodyText"/>
        <w:spacing w:before="6"/>
        <w:rPr>
          <w:sz w:val="29"/>
        </w:rPr>
      </w:pPr>
    </w:p>
    <w:p>
      <w:pPr>
        <w:pStyle w:val="Heading2"/>
        <w:rPr>
          <w:rFonts w:ascii="宋体" w:eastAsia="宋体" w:hint="eastAsia"/>
          <w:b w:val="0"/>
        </w:rPr>
      </w:pPr>
      <w:bookmarkStart w:name="_bookmark30" w:id="31"/>
      <w:bookmarkEnd w:id="31"/>
      <w:r>
        <w:rPr>
          <w:b w:val="0"/>
        </w:rPr>
      </w:r>
      <w:r>
        <w:rPr/>
        <w:t>（四）基金托管人的权利与义务</w:t>
      </w:r>
      <w:r>
        <w:rPr>
          <w:rFonts w:ascii="宋体" w:eastAsia="宋体" w:hint="eastAsia"/>
          <w:b w:val="0"/>
        </w:rPr>
        <w:t> </w:t>
      </w:r>
    </w:p>
    <w:p>
      <w:pPr>
        <w:pStyle w:val="BodyText"/>
        <w:rPr>
          <w:sz w:val="28"/>
        </w:rPr>
      </w:pPr>
    </w:p>
    <w:p>
      <w:pPr>
        <w:pStyle w:val="ListParagraph"/>
        <w:numPr>
          <w:ilvl w:val="0"/>
          <w:numId w:val="16"/>
        </w:numPr>
        <w:tabs>
          <w:tab w:pos="856" w:val="left" w:leader="none"/>
        </w:tabs>
        <w:spacing w:line="240" w:lineRule="auto" w:before="247" w:after="0"/>
        <w:ind w:left="855" w:right="0" w:hanging="318"/>
        <w:jc w:val="left"/>
        <w:rPr>
          <w:sz w:val="21"/>
        </w:rPr>
      </w:pPr>
      <w:r>
        <w:rPr>
          <w:spacing w:val="-3"/>
          <w:sz w:val="21"/>
        </w:rPr>
        <w:t>基金托管人的权利</w:t>
      </w:r>
    </w:p>
    <w:p>
      <w:pPr>
        <w:pStyle w:val="BodyText"/>
        <w:rPr>
          <w:sz w:val="22"/>
        </w:rPr>
      </w:pPr>
    </w:p>
    <w:p>
      <w:pPr>
        <w:pStyle w:val="ListParagraph"/>
        <w:numPr>
          <w:ilvl w:val="0"/>
          <w:numId w:val="17"/>
        </w:numPr>
        <w:tabs>
          <w:tab w:pos="1067" w:val="left" w:leader="none"/>
        </w:tabs>
        <w:spacing w:line="240" w:lineRule="auto" w:before="196" w:after="0"/>
        <w:ind w:left="1067" w:right="0" w:hanging="529"/>
        <w:jc w:val="left"/>
        <w:rPr>
          <w:sz w:val="21"/>
        </w:rPr>
      </w:pPr>
      <w:r>
        <w:rPr>
          <w:spacing w:val="-3"/>
          <w:sz w:val="21"/>
        </w:rPr>
        <w:t>依法持有并保管基金的资产；</w:t>
      </w:r>
    </w:p>
    <w:p>
      <w:pPr>
        <w:pStyle w:val="BodyText"/>
        <w:rPr>
          <w:sz w:val="22"/>
        </w:rPr>
      </w:pPr>
    </w:p>
    <w:p>
      <w:pPr>
        <w:pStyle w:val="ListParagraph"/>
        <w:numPr>
          <w:ilvl w:val="0"/>
          <w:numId w:val="17"/>
        </w:numPr>
        <w:tabs>
          <w:tab w:pos="1067" w:val="left" w:leader="none"/>
        </w:tabs>
        <w:spacing w:line="240" w:lineRule="auto" w:before="197" w:after="0"/>
        <w:ind w:left="1067" w:right="0" w:hanging="529"/>
        <w:jc w:val="left"/>
        <w:rPr>
          <w:sz w:val="21"/>
        </w:rPr>
      </w:pPr>
      <w:r>
        <w:rPr>
          <w:spacing w:val="-3"/>
          <w:sz w:val="21"/>
        </w:rPr>
        <w:t>依照基金合同的约定获得基金托管费；</w:t>
      </w:r>
    </w:p>
    <w:p>
      <w:pPr>
        <w:pStyle w:val="BodyText"/>
        <w:rPr>
          <w:sz w:val="22"/>
        </w:rPr>
      </w:pPr>
    </w:p>
    <w:p>
      <w:pPr>
        <w:pStyle w:val="BodyText"/>
        <w:spacing w:before="6"/>
        <w:rPr>
          <w:sz w:val="15"/>
        </w:rPr>
      </w:pPr>
    </w:p>
    <w:p>
      <w:pPr>
        <w:pStyle w:val="ListParagraph"/>
        <w:numPr>
          <w:ilvl w:val="0"/>
          <w:numId w:val="17"/>
        </w:numPr>
        <w:tabs>
          <w:tab w:pos="1067" w:val="left" w:leader="none"/>
        </w:tabs>
        <w:spacing w:line="417" w:lineRule="auto" w:before="0" w:after="0"/>
        <w:ind w:left="118" w:right="433" w:firstLine="419"/>
        <w:jc w:val="both"/>
        <w:rPr>
          <w:sz w:val="21"/>
        </w:rPr>
      </w:pPr>
      <w:r>
        <w:rPr>
          <w:spacing w:val="-3"/>
          <w:sz w:val="21"/>
        </w:rPr>
        <w:t>监督基金管理人对本基金的投资运作</w:t>
      </w:r>
      <w:r>
        <w:rPr>
          <w:rFonts w:ascii="Times New Roman" w:eastAsia="Times New Roman"/>
          <w:spacing w:val="19"/>
          <w:sz w:val="21"/>
        </w:rPr>
        <w:t>, </w:t>
      </w:r>
      <w:r>
        <w:rPr>
          <w:spacing w:val="-3"/>
          <w:sz w:val="21"/>
        </w:rPr>
        <w:t>如认为基金管理人的投资指令违反基金合</w:t>
      </w:r>
      <w:r>
        <w:rPr>
          <w:spacing w:val="-9"/>
          <w:sz w:val="21"/>
        </w:rPr>
        <w:t>同或有关法律法规的规定，应呈报中国证监会和其他监管部门，并采取必要措施保护基金投</w:t>
      </w:r>
      <w:r>
        <w:rPr>
          <w:spacing w:val="-5"/>
          <w:sz w:val="21"/>
        </w:rPr>
        <w:t>资者的利益；</w:t>
      </w:r>
    </w:p>
    <w:p>
      <w:pPr>
        <w:pStyle w:val="BodyText"/>
        <w:spacing w:before="9"/>
      </w:pPr>
    </w:p>
    <w:p>
      <w:pPr>
        <w:pStyle w:val="ListParagraph"/>
        <w:numPr>
          <w:ilvl w:val="0"/>
          <w:numId w:val="17"/>
        </w:numPr>
        <w:tabs>
          <w:tab w:pos="1067" w:val="left" w:leader="none"/>
        </w:tabs>
        <w:spacing w:line="240" w:lineRule="auto" w:before="0" w:after="0"/>
        <w:ind w:left="1067" w:right="0" w:hanging="529"/>
        <w:jc w:val="left"/>
        <w:rPr>
          <w:sz w:val="21"/>
        </w:rPr>
      </w:pPr>
      <w:r>
        <w:rPr>
          <w:spacing w:val="-3"/>
          <w:sz w:val="21"/>
        </w:rPr>
        <w:t>在基金管理人更换时，提名新的基金管理人；</w:t>
      </w:r>
    </w:p>
    <w:p>
      <w:pPr>
        <w:pStyle w:val="BodyText"/>
        <w:rPr>
          <w:sz w:val="22"/>
        </w:rPr>
      </w:pPr>
    </w:p>
    <w:p>
      <w:pPr>
        <w:pStyle w:val="BodyText"/>
        <w:spacing w:before="6"/>
        <w:rPr>
          <w:sz w:val="15"/>
        </w:rPr>
      </w:pPr>
    </w:p>
    <w:p>
      <w:pPr>
        <w:pStyle w:val="ListParagraph"/>
        <w:numPr>
          <w:ilvl w:val="0"/>
          <w:numId w:val="17"/>
        </w:numPr>
        <w:tabs>
          <w:tab w:pos="1067" w:val="left" w:leader="none"/>
        </w:tabs>
        <w:spacing w:line="240" w:lineRule="auto" w:before="0" w:after="0"/>
        <w:ind w:left="1067" w:right="0" w:hanging="529"/>
        <w:jc w:val="left"/>
        <w:rPr>
          <w:sz w:val="21"/>
        </w:rPr>
      </w:pPr>
      <w:r>
        <w:rPr>
          <w:spacing w:val="-14"/>
          <w:sz w:val="21"/>
        </w:rPr>
        <w:t>法律、法规、基金合同以及依据基金合同制定的其他法律文件所规定的其他权利。</w:t>
      </w:r>
    </w:p>
    <w:p>
      <w:pPr>
        <w:pStyle w:val="BodyText"/>
        <w:rPr>
          <w:sz w:val="22"/>
        </w:rPr>
      </w:pPr>
    </w:p>
    <w:p>
      <w:pPr>
        <w:pStyle w:val="BodyText"/>
        <w:spacing w:before="6"/>
        <w:rPr>
          <w:sz w:val="15"/>
        </w:rPr>
      </w:pPr>
    </w:p>
    <w:p>
      <w:pPr>
        <w:pStyle w:val="ListParagraph"/>
        <w:numPr>
          <w:ilvl w:val="0"/>
          <w:numId w:val="16"/>
        </w:numPr>
        <w:tabs>
          <w:tab w:pos="856" w:val="left" w:leader="none"/>
        </w:tabs>
        <w:spacing w:line="240" w:lineRule="auto" w:before="0" w:after="0"/>
        <w:ind w:left="855" w:right="0" w:hanging="318"/>
        <w:jc w:val="left"/>
        <w:rPr>
          <w:sz w:val="21"/>
        </w:rPr>
      </w:pPr>
      <w:r>
        <w:rPr>
          <w:spacing w:val="-3"/>
          <w:sz w:val="21"/>
        </w:rPr>
        <w:t>基金托管人的义务</w:t>
      </w:r>
    </w:p>
    <w:p>
      <w:pPr>
        <w:pStyle w:val="BodyText"/>
        <w:rPr>
          <w:sz w:val="22"/>
        </w:rPr>
      </w:pPr>
    </w:p>
    <w:p>
      <w:pPr>
        <w:pStyle w:val="ListParagraph"/>
        <w:numPr>
          <w:ilvl w:val="0"/>
          <w:numId w:val="18"/>
        </w:numPr>
        <w:tabs>
          <w:tab w:pos="1067" w:val="left" w:leader="none"/>
        </w:tabs>
        <w:spacing w:line="240" w:lineRule="auto" w:before="196" w:after="0"/>
        <w:ind w:left="1067" w:right="0" w:hanging="529"/>
        <w:jc w:val="left"/>
        <w:rPr>
          <w:sz w:val="21"/>
        </w:rPr>
      </w:pPr>
      <w:r>
        <w:rPr>
          <w:spacing w:val="-3"/>
          <w:sz w:val="21"/>
        </w:rPr>
        <w:t>遵守基金合同；</w:t>
      </w:r>
      <w:r>
        <w:rPr>
          <w:sz w:val="21"/>
        </w:rPr>
        <w:t> </w:t>
      </w:r>
    </w:p>
    <w:p>
      <w:pPr>
        <w:pStyle w:val="BodyText"/>
        <w:rPr>
          <w:sz w:val="20"/>
        </w:rPr>
      </w:pPr>
    </w:p>
    <w:p>
      <w:pPr>
        <w:pStyle w:val="BodyText"/>
        <w:spacing w:before="5"/>
        <w:rPr>
          <w:sz w:val="17"/>
        </w:rPr>
      </w:pPr>
    </w:p>
    <w:p>
      <w:pPr>
        <w:pStyle w:val="ListParagraph"/>
        <w:numPr>
          <w:ilvl w:val="0"/>
          <w:numId w:val="18"/>
        </w:numPr>
        <w:tabs>
          <w:tab w:pos="1067" w:val="left" w:leader="none"/>
        </w:tabs>
        <w:spacing w:line="240" w:lineRule="auto" w:before="0" w:after="0"/>
        <w:ind w:left="1067" w:right="0" w:hanging="529"/>
        <w:jc w:val="left"/>
        <w:rPr>
          <w:sz w:val="21"/>
        </w:rPr>
      </w:pPr>
      <w:r>
        <w:rPr>
          <w:spacing w:val="-3"/>
          <w:sz w:val="21"/>
        </w:rPr>
        <w:t>以诚实信用、勤勉尽责的原则安全保管基金资产；</w:t>
      </w:r>
    </w:p>
    <w:p>
      <w:pPr>
        <w:pStyle w:val="BodyText"/>
        <w:rPr>
          <w:sz w:val="22"/>
        </w:rPr>
      </w:pPr>
    </w:p>
    <w:p>
      <w:pPr>
        <w:pStyle w:val="BodyText"/>
        <w:spacing w:before="6"/>
        <w:rPr>
          <w:sz w:val="15"/>
        </w:rPr>
      </w:pPr>
    </w:p>
    <w:p>
      <w:pPr>
        <w:pStyle w:val="ListParagraph"/>
        <w:numPr>
          <w:ilvl w:val="0"/>
          <w:numId w:val="18"/>
        </w:numPr>
        <w:tabs>
          <w:tab w:pos="1067" w:val="left" w:leader="none"/>
        </w:tabs>
        <w:spacing w:line="417" w:lineRule="auto" w:before="0" w:after="0"/>
        <w:ind w:left="118" w:right="436" w:firstLine="419"/>
        <w:jc w:val="left"/>
        <w:rPr>
          <w:sz w:val="21"/>
        </w:rPr>
      </w:pPr>
      <w:r>
        <w:rPr>
          <w:spacing w:val="-3"/>
          <w:sz w:val="21"/>
        </w:rPr>
        <w:t>设有专门的基金托管部门，具有符合要求的营业场所，配备足够的、合格的熟悉基金托管业务的专职人员，负责基金资产托管事宜； </w:t>
      </w:r>
    </w:p>
    <w:p>
      <w:pPr>
        <w:pStyle w:val="BodyText"/>
        <w:spacing w:before="9"/>
      </w:pPr>
    </w:p>
    <w:p>
      <w:pPr>
        <w:pStyle w:val="ListParagraph"/>
        <w:numPr>
          <w:ilvl w:val="0"/>
          <w:numId w:val="18"/>
        </w:numPr>
        <w:tabs>
          <w:tab w:pos="1067" w:val="left" w:leader="none"/>
        </w:tabs>
        <w:spacing w:line="240" w:lineRule="auto" w:before="0" w:after="0"/>
        <w:ind w:left="1067" w:right="0" w:hanging="529"/>
        <w:jc w:val="left"/>
        <w:rPr>
          <w:sz w:val="21"/>
        </w:rPr>
      </w:pPr>
      <w:r>
        <w:rPr>
          <w:spacing w:val="-24"/>
          <w:sz w:val="21"/>
        </w:rPr>
        <w:t>除依据《基金法》、《运作办法》、《基金合同》及其他有关规定外，不得为自己及</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任何第三人谋取利益，不得委托其他人托管基金资产； </w:t>
      </w:r>
    </w:p>
    <w:p>
      <w:pPr>
        <w:pStyle w:val="BodyText"/>
        <w:rPr>
          <w:sz w:val="20"/>
        </w:rPr>
      </w:pPr>
    </w:p>
    <w:p>
      <w:pPr>
        <w:pStyle w:val="BodyText"/>
        <w:spacing w:before="5"/>
        <w:rPr>
          <w:sz w:val="17"/>
        </w:rPr>
      </w:pPr>
    </w:p>
    <w:p>
      <w:pPr>
        <w:pStyle w:val="ListParagraph"/>
        <w:numPr>
          <w:ilvl w:val="0"/>
          <w:numId w:val="18"/>
        </w:numPr>
        <w:tabs>
          <w:tab w:pos="1067" w:val="left" w:leader="none"/>
        </w:tabs>
        <w:spacing w:line="240" w:lineRule="auto" w:before="0" w:after="0"/>
        <w:ind w:left="1067" w:right="0" w:hanging="529"/>
        <w:jc w:val="left"/>
        <w:rPr>
          <w:sz w:val="21"/>
        </w:rPr>
      </w:pPr>
      <w:r>
        <w:rPr>
          <w:spacing w:val="-3"/>
          <w:sz w:val="21"/>
        </w:rPr>
        <w:t>复核、审查基金管理人计算的基金资产净值和基金收益；</w:t>
      </w:r>
    </w:p>
    <w:p>
      <w:pPr>
        <w:pStyle w:val="BodyText"/>
        <w:rPr>
          <w:sz w:val="22"/>
        </w:rPr>
      </w:pPr>
    </w:p>
    <w:p>
      <w:pPr>
        <w:pStyle w:val="ListParagraph"/>
        <w:numPr>
          <w:ilvl w:val="0"/>
          <w:numId w:val="18"/>
        </w:numPr>
        <w:tabs>
          <w:tab w:pos="1067" w:val="left" w:leader="none"/>
        </w:tabs>
        <w:spacing w:line="417" w:lineRule="auto" w:before="196" w:after="0"/>
        <w:ind w:left="118" w:right="433" w:firstLine="419"/>
        <w:jc w:val="both"/>
        <w:rPr>
          <w:sz w:val="21"/>
        </w:rPr>
      </w:pPr>
      <w:r>
        <w:rPr>
          <w:spacing w:val="-3"/>
          <w:sz w:val="21"/>
        </w:rPr>
        <w:t>建立健全内部风险控制、监察与稽核、财务管理及人事管理等制度，确保基金资</w:t>
      </w:r>
      <w:r>
        <w:rPr>
          <w:spacing w:val="-10"/>
          <w:sz w:val="21"/>
        </w:rPr>
        <w:t>产的安全，保证其托管的基金资产与基金托管人自有资产以及不同的基金资产相互独立；对</w:t>
      </w:r>
      <w:r>
        <w:rPr>
          <w:spacing w:val="-7"/>
          <w:sz w:val="21"/>
        </w:rPr>
        <w:t>所托管的不同基金资产分别设置账户，独立核算，分账管理，确保基金资产的完整,保证不</w:t>
      </w:r>
      <w:r>
        <w:rPr>
          <w:spacing w:val="-5"/>
          <w:sz w:val="21"/>
        </w:rPr>
        <w:t>同基金之间在账户设置、资金划拨、账册记录等方面相互独立,进行证券投资； </w:t>
      </w:r>
    </w:p>
    <w:p>
      <w:pPr>
        <w:pStyle w:val="BodyText"/>
        <w:spacing w:before="11"/>
      </w:pPr>
    </w:p>
    <w:p>
      <w:pPr>
        <w:pStyle w:val="ListParagraph"/>
        <w:numPr>
          <w:ilvl w:val="0"/>
          <w:numId w:val="18"/>
        </w:numPr>
        <w:tabs>
          <w:tab w:pos="1067" w:val="left" w:leader="none"/>
        </w:tabs>
        <w:spacing w:line="240" w:lineRule="auto" w:before="0" w:after="0"/>
        <w:ind w:left="1067" w:right="0" w:hanging="529"/>
        <w:jc w:val="left"/>
        <w:rPr>
          <w:sz w:val="21"/>
        </w:rPr>
      </w:pPr>
      <w:r>
        <w:rPr>
          <w:spacing w:val="-3"/>
          <w:sz w:val="21"/>
        </w:rPr>
        <w:t>保管由基金管理人代表基金签订的与基金有关的重大合同及有关凭证； </w:t>
      </w:r>
    </w:p>
    <w:p>
      <w:pPr>
        <w:pStyle w:val="BodyText"/>
        <w:rPr>
          <w:sz w:val="20"/>
        </w:rPr>
      </w:pPr>
    </w:p>
    <w:p>
      <w:pPr>
        <w:pStyle w:val="BodyText"/>
        <w:spacing w:before="6"/>
        <w:rPr>
          <w:sz w:val="17"/>
        </w:rPr>
      </w:pPr>
    </w:p>
    <w:p>
      <w:pPr>
        <w:pStyle w:val="ListParagraph"/>
        <w:numPr>
          <w:ilvl w:val="0"/>
          <w:numId w:val="18"/>
        </w:numPr>
        <w:tabs>
          <w:tab w:pos="1067" w:val="left" w:leader="none"/>
        </w:tabs>
        <w:spacing w:line="417" w:lineRule="auto" w:before="0" w:after="0"/>
        <w:ind w:left="118" w:right="434" w:firstLine="419"/>
        <w:jc w:val="left"/>
        <w:rPr>
          <w:sz w:val="21"/>
        </w:rPr>
      </w:pPr>
      <w:r>
        <w:rPr>
          <w:spacing w:val="-13"/>
          <w:sz w:val="21"/>
        </w:rPr>
        <w:t>设立证券账户、银行存款账户等基金资产账户，负责基金投资于证券的清算交割</w:t>
      </w:r>
      <w:r>
        <w:rPr>
          <w:spacing w:val="-3"/>
          <w:sz w:val="21"/>
        </w:rPr>
        <w:t>，执行基金管理人的投资指令，负责基金名下的资金往来；</w:t>
      </w:r>
      <w:r>
        <w:rPr>
          <w:sz w:val="21"/>
        </w:rPr>
        <w:t> </w:t>
      </w:r>
    </w:p>
    <w:p>
      <w:pPr>
        <w:pStyle w:val="BodyText"/>
        <w:spacing w:before="9"/>
      </w:pPr>
    </w:p>
    <w:p>
      <w:pPr>
        <w:pStyle w:val="ListParagraph"/>
        <w:numPr>
          <w:ilvl w:val="0"/>
          <w:numId w:val="18"/>
        </w:numPr>
        <w:tabs>
          <w:tab w:pos="1067" w:val="left" w:leader="none"/>
        </w:tabs>
        <w:spacing w:line="417" w:lineRule="auto" w:before="0" w:after="0"/>
        <w:ind w:left="118" w:right="434" w:firstLine="419"/>
        <w:jc w:val="left"/>
        <w:rPr>
          <w:sz w:val="21"/>
        </w:rPr>
      </w:pPr>
      <w:r>
        <w:rPr>
          <w:spacing w:val="-24"/>
          <w:sz w:val="21"/>
        </w:rPr>
        <w:t>保守基金商业秘密，除《基金法》、《运作办法》、《基金合同》及其他有关规定另</w:t>
      </w:r>
      <w:r>
        <w:rPr>
          <w:spacing w:val="-8"/>
          <w:sz w:val="21"/>
        </w:rPr>
        <w:t>有规定外，在基金信息公开披露前予以保密，不得向他人泄露；</w:t>
      </w:r>
      <w:r>
        <w:rPr>
          <w:sz w:val="21"/>
        </w:rPr>
        <w:t> </w:t>
      </w:r>
    </w:p>
    <w:p>
      <w:pPr>
        <w:pStyle w:val="BodyText"/>
        <w:spacing w:before="11"/>
      </w:pPr>
    </w:p>
    <w:p>
      <w:pPr>
        <w:pStyle w:val="ListParagraph"/>
        <w:numPr>
          <w:ilvl w:val="0"/>
          <w:numId w:val="18"/>
        </w:numPr>
        <w:tabs>
          <w:tab w:pos="1173" w:val="left" w:leader="none"/>
        </w:tabs>
        <w:spacing w:line="240" w:lineRule="auto" w:before="0" w:after="0"/>
        <w:ind w:left="1172" w:right="0" w:hanging="635"/>
        <w:jc w:val="left"/>
        <w:rPr>
          <w:sz w:val="21"/>
        </w:rPr>
      </w:pPr>
      <w:r>
        <w:rPr>
          <w:spacing w:val="-3"/>
          <w:sz w:val="21"/>
        </w:rPr>
        <w:t>按规定出具基金业绩和基金托管情况的报告，并报中国证监会和中国银监会；</w:t>
      </w:r>
      <w:r>
        <w:rPr>
          <w:sz w:val="21"/>
        </w:rPr>
        <w:t> </w:t>
      </w:r>
    </w:p>
    <w:p>
      <w:pPr>
        <w:pStyle w:val="BodyText"/>
        <w:rPr>
          <w:sz w:val="20"/>
        </w:rPr>
      </w:pPr>
    </w:p>
    <w:p>
      <w:pPr>
        <w:pStyle w:val="BodyText"/>
        <w:spacing w:before="6"/>
        <w:rPr>
          <w:sz w:val="17"/>
        </w:rPr>
      </w:pPr>
    </w:p>
    <w:p>
      <w:pPr>
        <w:pStyle w:val="ListParagraph"/>
        <w:numPr>
          <w:ilvl w:val="0"/>
          <w:numId w:val="18"/>
        </w:numPr>
        <w:tabs>
          <w:tab w:pos="1171" w:val="left" w:leader="none"/>
        </w:tabs>
        <w:spacing w:line="417" w:lineRule="auto" w:before="1" w:after="0"/>
        <w:ind w:left="118" w:right="434" w:firstLine="419"/>
        <w:jc w:val="left"/>
        <w:rPr>
          <w:sz w:val="21"/>
        </w:rPr>
      </w:pPr>
      <w:r>
        <w:rPr>
          <w:spacing w:val="-18"/>
          <w:sz w:val="21"/>
        </w:rPr>
        <w:t>采取适当、合理的措施，使基金份额的认购、申购、赎回等事项符合《基金合同 </w:t>
      </w:r>
      <w:r>
        <w:rPr>
          <w:spacing w:val="-9"/>
          <w:sz w:val="21"/>
        </w:rPr>
        <w:t>》等有关法律文件的规定；</w:t>
      </w:r>
      <w:r>
        <w:rPr>
          <w:sz w:val="21"/>
        </w:rPr>
        <w:t> </w:t>
      </w:r>
    </w:p>
    <w:p>
      <w:pPr>
        <w:pStyle w:val="BodyText"/>
        <w:spacing w:before="8"/>
      </w:pPr>
    </w:p>
    <w:p>
      <w:pPr>
        <w:pStyle w:val="ListParagraph"/>
        <w:numPr>
          <w:ilvl w:val="0"/>
          <w:numId w:val="18"/>
        </w:numPr>
        <w:tabs>
          <w:tab w:pos="1173" w:val="left" w:leader="none"/>
        </w:tabs>
        <w:spacing w:line="417" w:lineRule="auto" w:before="1" w:after="0"/>
        <w:ind w:left="118" w:right="434" w:firstLine="419"/>
        <w:jc w:val="left"/>
        <w:rPr>
          <w:sz w:val="21"/>
        </w:rPr>
      </w:pPr>
      <w:r>
        <w:rPr>
          <w:spacing w:val="-9"/>
          <w:sz w:val="21"/>
        </w:rPr>
        <w:t>采取适当、合理的措施，使基金管理人用以计算基金资产净值的方法符合《基 </w:t>
      </w:r>
      <w:r>
        <w:rPr>
          <w:spacing w:val="-6"/>
          <w:sz w:val="21"/>
        </w:rPr>
        <w:t>金合同》等法律文件的规定；</w:t>
      </w:r>
      <w:r>
        <w:rPr>
          <w:spacing w:val="-3"/>
          <w:sz w:val="21"/>
        </w:rPr>
        <w:t> </w:t>
      </w:r>
      <w:r>
        <w:rPr>
          <w:sz w:val="21"/>
        </w:rPr>
        <w:t> </w:t>
      </w:r>
    </w:p>
    <w:p>
      <w:pPr>
        <w:pStyle w:val="BodyText"/>
        <w:spacing w:before="11"/>
      </w:pPr>
    </w:p>
    <w:p>
      <w:pPr>
        <w:pStyle w:val="ListParagraph"/>
        <w:numPr>
          <w:ilvl w:val="0"/>
          <w:numId w:val="18"/>
        </w:numPr>
        <w:tabs>
          <w:tab w:pos="1171" w:val="left" w:leader="none"/>
        </w:tabs>
        <w:spacing w:line="240" w:lineRule="auto" w:before="0" w:after="0"/>
        <w:ind w:left="1170" w:right="0" w:hanging="633"/>
        <w:jc w:val="left"/>
        <w:rPr>
          <w:sz w:val="21"/>
        </w:rPr>
      </w:pPr>
      <w:r>
        <w:rPr>
          <w:spacing w:val="-18"/>
          <w:sz w:val="21"/>
        </w:rPr>
        <w:t>采取适当、合理的措施，使基金投资和融资符合《基金合同》等法律文件的规定；</w:t>
      </w:r>
      <w:r>
        <w:rPr>
          <w:sz w:val="21"/>
        </w:rPr>
        <w:t> </w:t>
      </w:r>
    </w:p>
    <w:p>
      <w:pPr>
        <w:pStyle w:val="BodyText"/>
        <w:rPr>
          <w:sz w:val="20"/>
        </w:rPr>
      </w:pPr>
    </w:p>
    <w:p>
      <w:pPr>
        <w:pStyle w:val="BodyText"/>
        <w:spacing w:before="6"/>
        <w:rPr>
          <w:sz w:val="17"/>
        </w:rPr>
      </w:pPr>
    </w:p>
    <w:p>
      <w:pPr>
        <w:pStyle w:val="ListParagraph"/>
        <w:numPr>
          <w:ilvl w:val="0"/>
          <w:numId w:val="18"/>
        </w:numPr>
        <w:tabs>
          <w:tab w:pos="1173" w:val="left" w:leader="none"/>
        </w:tabs>
        <w:spacing w:line="417" w:lineRule="auto" w:before="0" w:after="0"/>
        <w:ind w:left="118" w:right="433" w:firstLine="419"/>
        <w:jc w:val="both"/>
        <w:rPr>
          <w:sz w:val="21"/>
        </w:rPr>
      </w:pPr>
      <w:r>
        <w:rPr>
          <w:spacing w:val="-7"/>
          <w:sz w:val="21"/>
        </w:rPr>
        <w:t>依法履行信息披露义务，负责与基金托管业务活动有关的信息披露事项；对基 </w:t>
      </w:r>
      <w:r>
        <w:rPr>
          <w:spacing w:val="-11"/>
          <w:sz w:val="21"/>
        </w:rPr>
        <w:t>金财务会计报告、中期和年度基金报告等基金定期报告出具基金托管人意见，说明基金管理</w:t>
      </w:r>
      <w:r>
        <w:rPr>
          <w:spacing w:val="-12"/>
          <w:sz w:val="21"/>
        </w:rPr>
        <w:t>人在各重要方面的运作是否严格按照《基金合同》的规定进行；如果基金管理人有未执行《</w:t>
      </w:r>
      <w:r>
        <w:rPr>
          <w:spacing w:val="-7"/>
          <w:sz w:val="21"/>
        </w:rPr>
        <w:t>基金合同》规定的行为，还应当说明基金托管人是否采取了适当的措施；</w:t>
      </w:r>
      <w:r>
        <w:rPr>
          <w:sz w:val="21"/>
        </w:rPr>
        <w:t> </w:t>
      </w:r>
    </w:p>
    <w:p>
      <w:pPr>
        <w:pStyle w:val="BodyText"/>
        <w:spacing w:before="9"/>
      </w:pPr>
    </w:p>
    <w:p>
      <w:pPr>
        <w:pStyle w:val="ListParagraph"/>
        <w:numPr>
          <w:ilvl w:val="0"/>
          <w:numId w:val="18"/>
        </w:numPr>
        <w:tabs>
          <w:tab w:pos="1178" w:val="left" w:leader="none"/>
        </w:tabs>
        <w:spacing w:line="240" w:lineRule="auto" w:before="0" w:after="0"/>
        <w:ind w:left="1177" w:right="0" w:hanging="636"/>
        <w:jc w:val="left"/>
        <w:rPr>
          <w:sz w:val="21"/>
        </w:rPr>
      </w:pPr>
      <w:r>
        <w:rPr>
          <w:spacing w:val="-5"/>
          <w:sz w:val="21"/>
        </w:rPr>
        <w:t>按有关规定，保存基金的会计账册、报表和记录、基金份额持有人名册等 </w:t>
      </w:r>
      <w:r>
        <w:rPr>
          <w:sz w:val="21"/>
        </w:rPr>
        <w:t>15</w:t>
      </w:r>
      <w:r>
        <w:rPr>
          <w:spacing w:val="-23"/>
          <w:sz w:val="21"/>
        </w:rPr>
        <w:t> 年</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以上； </w:t>
      </w:r>
    </w:p>
    <w:p>
      <w:pPr>
        <w:pStyle w:val="BodyText"/>
        <w:rPr>
          <w:sz w:val="20"/>
        </w:rPr>
      </w:pPr>
    </w:p>
    <w:p>
      <w:pPr>
        <w:pStyle w:val="BodyText"/>
        <w:spacing w:before="5"/>
        <w:rPr>
          <w:sz w:val="17"/>
        </w:rPr>
      </w:pPr>
    </w:p>
    <w:p>
      <w:pPr>
        <w:pStyle w:val="ListParagraph"/>
        <w:numPr>
          <w:ilvl w:val="0"/>
          <w:numId w:val="18"/>
        </w:numPr>
        <w:tabs>
          <w:tab w:pos="1173" w:val="left" w:leader="none"/>
        </w:tabs>
        <w:spacing w:line="240" w:lineRule="auto" w:before="0" w:after="0"/>
        <w:ind w:left="1172" w:right="0" w:hanging="635"/>
        <w:jc w:val="left"/>
        <w:rPr>
          <w:sz w:val="21"/>
        </w:rPr>
      </w:pPr>
      <w:r>
        <w:rPr>
          <w:spacing w:val="-3"/>
          <w:sz w:val="21"/>
        </w:rPr>
        <w:t>按规定制作相关账册并与基金管理人核对；</w:t>
      </w:r>
    </w:p>
    <w:p>
      <w:pPr>
        <w:pStyle w:val="BodyText"/>
        <w:rPr>
          <w:sz w:val="22"/>
        </w:rPr>
      </w:pPr>
    </w:p>
    <w:p>
      <w:pPr>
        <w:pStyle w:val="ListParagraph"/>
        <w:numPr>
          <w:ilvl w:val="0"/>
          <w:numId w:val="18"/>
        </w:numPr>
        <w:tabs>
          <w:tab w:pos="1173" w:val="left" w:leader="none"/>
        </w:tabs>
        <w:spacing w:line="240" w:lineRule="auto" w:before="196" w:after="0"/>
        <w:ind w:left="1172" w:right="0" w:hanging="635"/>
        <w:jc w:val="left"/>
        <w:rPr>
          <w:sz w:val="21"/>
        </w:rPr>
      </w:pPr>
      <w:r>
        <w:rPr>
          <w:spacing w:val="-3"/>
          <w:sz w:val="21"/>
        </w:rPr>
        <w:t>依据基金管理人的指令或有关规定支付基金份额持有人的收益和赎回款项； </w:t>
      </w:r>
    </w:p>
    <w:p>
      <w:pPr>
        <w:pStyle w:val="BodyText"/>
        <w:rPr>
          <w:sz w:val="20"/>
        </w:rPr>
      </w:pPr>
    </w:p>
    <w:p>
      <w:pPr>
        <w:pStyle w:val="BodyText"/>
        <w:spacing w:before="5"/>
        <w:rPr>
          <w:sz w:val="17"/>
        </w:rPr>
      </w:pPr>
    </w:p>
    <w:p>
      <w:pPr>
        <w:pStyle w:val="BodyText"/>
        <w:ind w:left="118"/>
      </w:pPr>
      <w:r>
        <w:rPr>
          <w:w w:val="100"/>
        </w:rPr>
        <w:t>    </w:t>
      </w:r>
      <w:r>
        <w:rPr/>
        <w:t>（18）参加基金清算小组，参与基金资产的保管、清理、估价、变现和分配； </w:t>
      </w:r>
    </w:p>
    <w:p>
      <w:pPr>
        <w:pStyle w:val="BodyText"/>
        <w:rPr>
          <w:sz w:val="20"/>
        </w:rPr>
      </w:pPr>
    </w:p>
    <w:p>
      <w:pPr>
        <w:pStyle w:val="BodyText"/>
        <w:spacing w:before="6"/>
        <w:rPr>
          <w:sz w:val="17"/>
        </w:rPr>
      </w:pPr>
    </w:p>
    <w:p>
      <w:pPr>
        <w:pStyle w:val="BodyText"/>
        <w:spacing w:line="417" w:lineRule="auto"/>
        <w:ind w:left="118" w:right="434"/>
      </w:pPr>
      <w:r>
        <w:rPr>
          <w:w w:val="100"/>
        </w:rPr>
        <w:t>    </w:t>
      </w:r>
      <w:r>
        <w:rPr>
          <w:spacing w:val="-8"/>
        </w:rPr>
        <w:t>（19）</w:t>
      </w:r>
      <w:r>
        <w:rPr>
          <w:spacing w:val="-9"/>
        </w:rPr>
        <w:t>面临解散、依法被撤销、破产或者由接管人接管其资产时，及时报告中国证监会</w:t>
      </w:r>
      <w:r>
        <w:rPr>
          <w:spacing w:val="-5"/>
        </w:rPr>
        <w:t>和中国银监会，并通知基金管理人；</w:t>
      </w:r>
      <w:r>
        <w:rPr/>
        <w:t> </w:t>
      </w:r>
    </w:p>
    <w:p>
      <w:pPr>
        <w:pStyle w:val="BodyText"/>
        <w:spacing w:before="10"/>
      </w:pPr>
    </w:p>
    <w:p>
      <w:pPr>
        <w:pStyle w:val="BodyText"/>
        <w:spacing w:line="417" w:lineRule="auto"/>
        <w:ind w:left="118" w:right="437" w:firstLine="177"/>
      </w:pPr>
      <w:r>
        <w:rPr>
          <w:w w:val="100"/>
        </w:rPr>
        <w:t>   </w:t>
      </w:r>
      <w:r>
        <w:rPr/>
        <w:t>（20）因违反基金合同导致基金资产的损失，承担赔偿责任，其过错责任不因其退任而免除； </w:t>
      </w:r>
    </w:p>
    <w:p>
      <w:pPr>
        <w:pStyle w:val="BodyText"/>
        <w:spacing w:before="11"/>
      </w:pPr>
    </w:p>
    <w:p>
      <w:pPr>
        <w:pStyle w:val="BodyText"/>
        <w:spacing w:line="417" w:lineRule="auto"/>
        <w:ind w:left="118" w:right="433" w:firstLine="419"/>
      </w:pPr>
      <w:r>
        <w:rPr>
          <w:spacing w:val="-13"/>
        </w:rPr>
        <w:t>（21）</w:t>
      </w:r>
      <w:r>
        <w:rPr>
          <w:spacing w:val="-5"/>
        </w:rPr>
        <w:t>基金管理人因违反基金合同造成基金资产损失时，基金托管人应为基金向基金管</w:t>
      </w:r>
      <w:r>
        <w:rPr>
          <w:spacing w:val="-4"/>
        </w:rPr>
        <w:t>理人追偿；</w:t>
      </w:r>
      <w:r>
        <w:rPr/>
        <w:t> </w:t>
      </w:r>
    </w:p>
    <w:p>
      <w:pPr>
        <w:pStyle w:val="BodyText"/>
        <w:spacing w:before="11"/>
      </w:pPr>
    </w:p>
    <w:p>
      <w:pPr>
        <w:pStyle w:val="BodyText"/>
        <w:spacing w:line="417" w:lineRule="auto"/>
        <w:ind w:left="118" w:right="433" w:firstLine="419"/>
        <w:jc w:val="both"/>
      </w:pPr>
      <w:r>
        <w:rPr/>
        <w:t>(22)</w:t>
      </w:r>
      <w:r>
        <w:rPr>
          <w:spacing w:val="-28"/>
        </w:rPr>
        <w:t> 依据《基金法》、《运作办法》、《销售办法》、基金合同及其他有关规定召集基金份</w:t>
      </w:r>
      <w:r>
        <w:rPr>
          <w:spacing w:val="-13"/>
        </w:rPr>
        <w:t>额持有人大会或配合基金管理人、基金份额持有人依法召集基金份额持有人大会，并执行生</w:t>
      </w:r>
      <w:r>
        <w:rPr>
          <w:spacing w:val="-6"/>
        </w:rPr>
        <w:t>效的基金份额持有人大会决议；</w:t>
      </w:r>
      <w:r>
        <w:rPr/>
        <w:t> </w:t>
      </w:r>
    </w:p>
    <w:p>
      <w:pPr>
        <w:pStyle w:val="BodyText"/>
        <w:spacing w:before="10"/>
      </w:pPr>
    </w:p>
    <w:p>
      <w:pPr>
        <w:pStyle w:val="ListParagraph"/>
        <w:numPr>
          <w:ilvl w:val="0"/>
          <w:numId w:val="19"/>
        </w:numPr>
        <w:tabs>
          <w:tab w:pos="1173" w:val="left" w:leader="none"/>
        </w:tabs>
        <w:spacing w:line="240" w:lineRule="auto" w:before="0" w:after="0"/>
        <w:ind w:left="1172" w:right="0" w:hanging="635"/>
        <w:jc w:val="left"/>
        <w:rPr>
          <w:sz w:val="21"/>
        </w:rPr>
      </w:pPr>
      <w:r>
        <w:rPr>
          <w:spacing w:val="-3"/>
          <w:sz w:val="21"/>
        </w:rPr>
        <w:t>不从事任何有损基金及本基金其他当事人利益的活动；</w:t>
      </w:r>
      <w:r>
        <w:rPr>
          <w:sz w:val="21"/>
        </w:rPr>
        <w:t> </w:t>
      </w:r>
    </w:p>
    <w:p>
      <w:pPr>
        <w:pStyle w:val="BodyText"/>
        <w:rPr>
          <w:sz w:val="20"/>
        </w:rPr>
      </w:pPr>
    </w:p>
    <w:p>
      <w:pPr>
        <w:pStyle w:val="BodyText"/>
        <w:spacing w:before="5"/>
        <w:rPr>
          <w:sz w:val="17"/>
        </w:rPr>
      </w:pPr>
    </w:p>
    <w:p>
      <w:pPr>
        <w:pStyle w:val="ListParagraph"/>
        <w:numPr>
          <w:ilvl w:val="0"/>
          <w:numId w:val="19"/>
        </w:numPr>
        <w:tabs>
          <w:tab w:pos="1173" w:val="left" w:leader="none"/>
        </w:tabs>
        <w:spacing w:line="240" w:lineRule="auto" w:before="0" w:after="0"/>
        <w:ind w:left="1172" w:right="0" w:hanging="635"/>
        <w:jc w:val="left"/>
        <w:rPr>
          <w:sz w:val="21"/>
        </w:rPr>
      </w:pPr>
      <w:r>
        <w:rPr>
          <w:spacing w:val="-3"/>
          <w:sz w:val="21"/>
        </w:rPr>
        <w:t>法律法规及基金合同规定的其他义务。</w:t>
      </w:r>
      <w:r>
        <w:rPr>
          <w:sz w:val="21"/>
        </w:rPr>
        <w:t> </w:t>
      </w:r>
    </w:p>
    <w:p>
      <w:pPr>
        <w:pStyle w:val="BodyText"/>
        <w:rPr>
          <w:sz w:val="20"/>
        </w:rPr>
      </w:pPr>
    </w:p>
    <w:p>
      <w:pPr>
        <w:pStyle w:val="Heading2"/>
        <w:spacing w:before="165"/>
      </w:pPr>
      <w:bookmarkStart w:name="_bookmark31" w:id="32"/>
      <w:bookmarkEnd w:id="32"/>
      <w:r>
        <w:rPr>
          <w:b w:val="0"/>
        </w:rPr>
      </w:r>
      <w:r>
        <w:rPr/>
        <w:t>（五）基金份额持有人的权利与义务</w:t>
      </w:r>
      <w:r>
        <w:rPr>
          <w:w w:val="200"/>
        </w:rPr>
        <w:t> </w:t>
      </w:r>
    </w:p>
    <w:p>
      <w:pPr>
        <w:pStyle w:val="BodyText"/>
        <w:spacing w:before="5"/>
        <w:rPr>
          <w:rFonts w:ascii="Microsoft JhengHei"/>
          <w:b/>
          <w:sz w:val="24"/>
        </w:rPr>
      </w:pPr>
    </w:p>
    <w:p>
      <w:pPr>
        <w:pStyle w:val="BodyText"/>
        <w:spacing w:line="417" w:lineRule="auto" w:before="1"/>
        <w:ind w:left="118" w:right="433" w:firstLine="419"/>
      </w:pPr>
      <w:r>
        <w:rPr>
          <w:spacing w:val="-8"/>
        </w:rPr>
        <w:t>基金投资者依据基金合同的规定取得本基金份额，即成为基金份额持有人。每份同类基</w:t>
      </w:r>
      <w:r>
        <w:rPr>
          <w:spacing w:val="-5"/>
        </w:rPr>
        <w:t>金份额具有同等的合法权益。</w:t>
      </w:r>
      <w:r>
        <w:rPr/>
        <w:t> </w:t>
      </w:r>
    </w:p>
    <w:p>
      <w:pPr>
        <w:pStyle w:val="BodyText"/>
        <w:spacing w:before="11"/>
      </w:pPr>
    </w:p>
    <w:p>
      <w:pPr>
        <w:pStyle w:val="ListParagraph"/>
        <w:numPr>
          <w:ilvl w:val="0"/>
          <w:numId w:val="20"/>
        </w:numPr>
        <w:tabs>
          <w:tab w:pos="856" w:val="left" w:leader="none"/>
        </w:tabs>
        <w:spacing w:line="240" w:lineRule="auto" w:before="0" w:after="0"/>
        <w:ind w:left="855" w:right="0" w:hanging="318"/>
        <w:jc w:val="left"/>
        <w:rPr>
          <w:sz w:val="21"/>
        </w:rPr>
      </w:pPr>
      <w:r>
        <w:rPr>
          <w:spacing w:val="-3"/>
          <w:sz w:val="21"/>
        </w:rPr>
        <w:t>基金份额持有人的权利</w:t>
      </w:r>
      <w:r>
        <w:rPr>
          <w:sz w:val="21"/>
        </w:rPr>
        <w:t> </w:t>
      </w:r>
    </w:p>
    <w:p>
      <w:pPr>
        <w:pStyle w:val="BodyText"/>
        <w:rPr>
          <w:sz w:val="22"/>
        </w:rPr>
      </w:pPr>
    </w:p>
    <w:p>
      <w:pPr>
        <w:pStyle w:val="BodyText"/>
        <w:spacing w:before="6"/>
        <w:rPr>
          <w:sz w:val="15"/>
        </w:rPr>
      </w:pPr>
    </w:p>
    <w:p>
      <w:pPr>
        <w:pStyle w:val="BodyText"/>
        <w:spacing w:line="417" w:lineRule="auto"/>
        <w:ind w:left="118" w:right="437" w:firstLine="479"/>
      </w:pPr>
      <w:r>
        <w:rPr/>
        <w:t>基金份额持有人有权按法律法规、本基金合同以及依据本基金合同制定的其他法律文件的规定： </w:t>
      </w:r>
    </w:p>
    <w:p>
      <w:pPr>
        <w:spacing w:after="0" w:line="417" w:lineRule="auto"/>
        <w:sectPr>
          <w:pgSz w:w="11910" w:h="16850"/>
          <w:pgMar w:header="852" w:footer="1386" w:top="1420" w:bottom="1580" w:left="1680" w:right="1360"/>
        </w:sectPr>
      </w:pPr>
    </w:p>
    <w:p>
      <w:pPr>
        <w:pStyle w:val="ListParagraph"/>
        <w:numPr>
          <w:ilvl w:val="0"/>
          <w:numId w:val="21"/>
        </w:numPr>
        <w:tabs>
          <w:tab w:pos="1067" w:val="left" w:leader="none"/>
        </w:tabs>
        <w:spacing w:line="240" w:lineRule="auto" w:before="142" w:after="0"/>
        <w:ind w:left="1067" w:right="0" w:hanging="529"/>
        <w:jc w:val="left"/>
        <w:rPr>
          <w:sz w:val="21"/>
        </w:rPr>
      </w:pPr>
      <w:r>
        <w:rPr>
          <w:spacing w:val="-3"/>
          <w:sz w:val="21"/>
        </w:rPr>
        <w:t>分享基金财产收益；</w:t>
      </w:r>
    </w:p>
    <w:p>
      <w:pPr>
        <w:pStyle w:val="BodyText"/>
        <w:rPr>
          <w:sz w:val="22"/>
        </w:rPr>
      </w:pPr>
    </w:p>
    <w:p>
      <w:pPr>
        <w:pStyle w:val="ListParagraph"/>
        <w:numPr>
          <w:ilvl w:val="0"/>
          <w:numId w:val="21"/>
        </w:numPr>
        <w:tabs>
          <w:tab w:pos="1067" w:val="left" w:leader="none"/>
        </w:tabs>
        <w:spacing w:line="240" w:lineRule="auto" w:before="197" w:after="0"/>
        <w:ind w:left="1067" w:right="0" w:hanging="529"/>
        <w:jc w:val="left"/>
        <w:rPr>
          <w:sz w:val="21"/>
        </w:rPr>
      </w:pPr>
      <w:r>
        <w:rPr>
          <w:spacing w:val="-3"/>
          <w:sz w:val="21"/>
        </w:rPr>
        <w:t>参与分配基金财产清算后的剩余财产；</w:t>
      </w:r>
    </w:p>
    <w:p>
      <w:pPr>
        <w:pStyle w:val="BodyText"/>
        <w:rPr>
          <w:sz w:val="22"/>
        </w:rPr>
      </w:pPr>
    </w:p>
    <w:p>
      <w:pPr>
        <w:pStyle w:val="ListParagraph"/>
        <w:numPr>
          <w:ilvl w:val="0"/>
          <w:numId w:val="21"/>
        </w:numPr>
        <w:tabs>
          <w:tab w:pos="1067" w:val="left" w:leader="none"/>
        </w:tabs>
        <w:spacing w:line="240" w:lineRule="auto" w:before="196" w:after="0"/>
        <w:ind w:left="1067" w:right="0" w:hanging="529"/>
        <w:jc w:val="left"/>
        <w:rPr>
          <w:sz w:val="21"/>
        </w:rPr>
      </w:pPr>
      <w:r>
        <w:rPr>
          <w:spacing w:val="-3"/>
          <w:sz w:val="21"/>
        </w:rPr>
        <w:t>依法转让或者申请赎回其持有的基金份额；</w:t>
      </w:r>
    </w:p>
    <w:p>
      <w:pPr>
        <w:pStyle w:val="BodyText"/>
        <w:rPr>
          <w:sz w:val="22"/>
        </w:rPr>
      </w:pPr>
    </w:p>
    <w:p>
      <w:pPr>
        <w:pStyle w:val="BodyText"/>
        <w:spacing w:before="5"/>
        <w:rPr>
          <w:sz w:val="15"/>
        </w:rPr>
      </w:pPr>
    </w:p>
    <w:p>
      <w:pPr>
        <w:pStyle w:val="ListParagraph"/>
        <w:numPr>
          <w:ilvl w:val="0"/>
          <w:numId w:val="21"/>
        </w:numPr>
        <w:tabs>
          <w:tab w:pos="1067" w:val="left" w:leader="none"/>
        </w:tabs>
        <w:spacing w:line="240" w:lineRule="auto" w:before="1" w:after="0"/>
        <w:ind w:left="1067" w:right="0" w:hanging="529"/>
        <w:jc w:val="left"/>
        <w:rPr>
          <w:sz w:val="21"/>
        </w:rPr>
      </w:pPr>
      <w:r>
        <w:rPr>
          <w:spacing w:val="-3"/>
          <w:sz w:val="21"/>
        </w:rPr>
        <w:t>按照规定要求召开基金份额持有人大会；</w:t>
      </w:r>
    </w:p>
    <w:p>
      <w:pPr>
        <w:pStyle w:val="BodyText"/>
        <w:rPr>
          <w:sz w:val="22"/>
        </w:rPr>
      </w:pPr>
    </w:p>
    <w:p>
      <w:pPr>
        <w:pStyle w:val="ListParagraph"/>
        <w:numPr>
          <w:ilvl w:val="0"/>
          <w:numId w:val="21"/>
        </w:numPr>
        <w:tabs>
          <w:tab w:pos="1067" w:val="left" w:leader="none"/>
        </w:tabs>
        <w:spacing w:line="417" w:lineRule="auto" w:before="197" w:after="0"/>
        <w:ind w:left="118" w:right="436" w:firstLine="419"/>
        <w:jc w:val="left"/>
        <w:rPr>
          <w:sz w:val="21"/>
        </w:rPr>
      </w:pPr>
      <w:r>
        <w:rPr>
          <w:spacing w:val="-3"/>
          <w:sz w:val="21"/>
        </w:rPr>
        <w:t>出席或者委派代表出席基金份额持有人大会，对基金份额持有人大会审议事项行使表决权；</w:t>
      </w:r>
    </w:p>
    <w:p>
      <w:pPr>
        <w:pStyle w:val="BodyText"/>
        <w:spacing w:before="10"/>
      </w:pPr>
    </w:p>
    <w:p>
      <w:pPr>
        <w:pStyle w:val="ListParagraph"/>
        <w:numPr>
          <w:ilvl w:val="0"/>
          <w:numId w:val="21"/>
        </w:numPr>
        <w:tabs>
          <w:tab w:pos="1067" w:val="left" w:leader="none"/>
        </w:tabs>
        <w:spacing w:line="240" w:lineRule="auto" w:before="0" w:after="0"/>
        <w:ind w:left="1067" w:right="0" w:hanging="529"/>
        <w:jc w:val="left"/>
        <w:rPr>
          <w:sz w:val="21"/>
        </w:rPr>
      </w:pPr>
      <w:r>
        <w:rPr>
          <w:spacing w:val="-3"/>
          <w:sz w:val="21"/>
        </w:rPr>
        <w:t>查阅或者复制公开披露的基金信息资料；</w:t>
      </w:r>
    </w:p>
    <w:p>
      <w:pPr>
        <w:pStyle w:val="BodyText"/>
        <w:rPr>
          <w:sz w:val="22"/>
        </w:rPr>
      </w:pPr>
    </w:p>
    <w:p>
      <w:pPr>
        <w:pStyle w:val="BodyText"/>
        <w:spacing w:before="6"/>
        <w:rPr>
          <w:sz w:val="15"/>
        </w:rPr>
      </w:pPr>
    </w:p>
    <w:p>
      <w:pPr>
        <w:pStyle w:val="ListParagraph"/>
        <w:numPr>
          <w:ilvl w:val="0"/>
          <w:numId w:val="21"/>
        </w:numPr>
        <w:tabs>
          <w:tab w:pos="1067" w:val="left" w:leader="none"/>
        </w:tabs>
        <w:spacing w:line="240" w:lineRule="auto" w:before="0" w:after="0"/>
        <w:ind w:left="1067" w:right="0" w:hanging="529"/>
        <w:jc w:val="left"/>
        <w:rPr>
          <w:sz w:val="21"/>
        </w:rPr>
      </w:pPr>
      <w:r>
        <w:rPr>
          <w:spacing w:val="-3"/>
          <w:sz w:val="21"/>
        </w:rPr>
        <w:t>监督基金管理人的投资运作；</w:t>
      </w:r>
    </w:p>
    <w:p>
      <w:pPr>
        <w:pStyle w:val="BodyText"/>
        <w:rPr>
          <w:sz w:val="22"/>
        </w:rPr>
      </w:pPr>
    </w:p>
    <w:p>
      <w:pPr>
        <w:pStyle w:val="ListParagraph"/>
        <w:numPr>
          <w:ilvl w:val="0"/>
          <w:numId w:val="21"/>
        </w:numPr>
        <w:tabs>
          <w:tab w:pos="1067" w:val="left" w:leader="none"/>
        </w:tabs>
        <w:spacing w:line="417" w:lineRule="auto" w:before="198" w:after="0"/>
        <w:ind w:left="118" w:right="436" w:firstLine="419"/>
        <w:jc w:val="left"/>
        <w:rPr>
          <w:sz w:val="21"/>
        </w:rPr>
      </w:pPr>
      <w:r>
        <w:rPr>
          <w:spacing w:val="-3"/>
          <w:sz w:val="21"/>
        </w:rPr>
        <w:t>对基金管理人、基金托管人、基金份额发售机构损害其合法权益的行为依法提起诉讼；</w:t>
      </w:r>
    </w:p>
    <w:p>
      <w:pPr>
        <w:pStyle w:val="BodyText"/>
        <w:spacing w:before="8"/>
      </w:pPr>
    </w:p>
    <w:p>
      <w:pPr>
        <w:pStyle w:val="ListParagraph"/>
        <w:numPr>
          <w:ilvl w:val="0"/>
          <w:numId w:val="21"/>
        </w:numPr>
        <w:tabs>
          <w:tab w:pos="1067" w:val="left" w:leader="none"/>
        </w:tabs>
        <w:spacing w:line="417" w:lineRule="auto" w:before="1" w:after="0"/>
        <w:ind w:left="118" w:right="436" w:firstLine="419"/>
        <w:jc w:val="left"/>
        <w:rPr>
          <w:sz w:val="21"/>
        </w:rPr>
      </w:pPr>
      <w:r>
        <w:rPr>
          <w:spacing w:val="-3"/>
          <w:sz w:val="21"/>
        </w:rPr>
        <w:t>要求基金管理人或基金托管人按法律法规、本基金合同以及依据本基金合同制定的其他法律文件的规定履行其义务；</w:t>
      </w:r>
    </w:p>
    <w:p>
      <w:pPr>
        <w:pStyle w:val="BodyText"/>
        <w:spacing w:before="11"/>
      </w:pPr>
    </w:p>
    <w:p>
      <w:pPr>
        <w:pStyle w:val="ListParagraph"/>
        <w:numPr>
          <w:ilvl w:val="0"/>
          <w:numId w:val="21"/>
        </w:numPr>
        <w:tabs>
          <w:tab w:pos="1173" w:val="left" w:leader="none"/>
        </w:tabs>
        <w:spacing w:line="417" w:lineRule="auto" w:before="0" w:after="0"/>
        <w:ind w:left="118" w:right="433" w:firstLine="419"/>
        <w:jc w:val="left"/>
        <w:rPr>
          <w:sz w:val="21"/>
        </w:rPr>
      </w:pPr>
      <w:r>
        <w:rPr>
          <w:spacing w:val="-10"/>
          <w:sz w:val="21"/>
        </w:rPr>
        <w:t>法律、法规、本基金合同以及依据本基金合同制定的其他法律文件规定的其他 </w:t>
      </w:r>
      <w:r>
        <w:rPr>
          <w:sz w:val="21"/>
        </w:rPr>
        <w:t>权利。</w:t>
      </w:r>
    </w:p>
    <w:p>
      <w:pPr>
        <w:pStyle w:val="BodyText"/>
        <w:spacing w:before="12"/>
      </w:pPr>
    </w:p>
    <w:p>
      <w:pPr>
        <w:pStyle w:val="ListParagraph"/>
        <w:numPr>
          <w:ilvl w:val="0"/>
          <w:numId w:val="20"/>
        </w:numPr>
        <w:tabs>
          <w:tab w:pos="856" w:val="left" w:leader="none"/>
        </w:tabs>
        <w:spacing w:line="240" w:lineRule="auto" w:before="0" w:after="0"/>
        <w:ind w:left="855" w:right="0" w:hanging="318"/>
        <w:jc w:val="left"/>
        <w:rPr>
          <w:sz w:val="21"/>
        </w:rPr>
      </w:pPr>
      <w:r>
        <w:rPr>
          <w:spacing w:val="-3"/>
          <w:sz w:val="21"/>
        </w:rPr>
        <w:t>基金份额持有人的义务</w:t>
      </w:r>
      <w:r>
        <w:rPr>
          <w:sz w:val="21"/>
        </w:rPr>
        <w:t> </w:t>
      </w:r>
    </w:p>
    <w:p>
      <w:pPr>
        <w:pStyle w:val="BodyText"/>
        <w:rPr>
          <w:sz w:val="22"/>
        </w:rPr>
      </w:pPr>
    </w:p>
    <w:p>
      <w:pPr>
        <w:pStyle w:val="ListParagraph"/>
        <w:numPr>
          <w:ilvl w:val="0"/>
          <w:numId w:val="22"/>
        </w:numPr>
        <w:tabs>
          <w:tab w:pos="1067" w:val="left" w:leader="none"/>
        </w:tabs>
        <w:spacing w:line="240" w:lineRule="auto" w:before="195" w:after="0"/>
        <w:ind w:left="1067" w:right="0" w:hanging="529"/>
        <w:jc w:val="left"/>
        <w:rPr>
          <w:sz w:val="21"/>
        </w:rPr>
      </w:pPr>
      <w:r>
        <w:rPr>
          <w:spacing w:val="-3"/>
          <w:sz w:val="21"/>
        </w:rPr>
        <w:t>遵守本基金合同及根据本基金合同制订的相关业务规则；</w:t>
      </w:r>
    </w:p>
    <w:p>
      <w:pPr>
        <w:pStyle w:val="BodyText"/>
        <w:rPr>
          <w:sz w:val="22"/>
        </w:rPr>
      </w:pPr>
    </w:p>
    <w:p>
      <w:pPr>
        <w:pStyle w:val="BodyText"/>
        <w:spacing w:before="6"/>
        <w:rPr>
          <w:sz w:val="15"/>
        </w:rPr>
      </w:pPr>
    </w:p>
    <w:p>
      <w:pPr>
        <w:pStyle w:val="ListParagraph"/>
        <w:numPr>
          <w:ilvl w:val="0"/>
          <w:numId w:val="22"/>
        </w:numPr>
        <w:tabs>
          <w:tab w:pos="1067" w:val="left" w:leader="none"/>
        </w:tabs>
        <w:spacing w:line="240" w:lineRule="auto" w:before="1" w:after="0"/>
        <w:ind w:left="1067" w:right="0" w:hanging="529"/>
        <w:jc w:val="left"/>
        <w:rPr>
          <w:sz w:val="21"/>
        </w:rPr>
      </w:pPr>
      <w:r>
        <w:rPr>
          <w:spacing w:val="-3"/>
          <w:sz w:val="21"/>
        </w:rPr>
        <w:t>交纳基金认购、申购款项及规定的费用；</w:t>
      </w:r>
    </w:p>
    <w:p>
      <w:pPr>
        <w:pStyle w:val="BodyText"/>
        <w:rPr>
          <w:sz w:val="22"/>
        </w:rPr>
      </w:pPr>
    </w:p>
    <w:p>
      <w:pPr>
        <w:pStyle w:val="ListParagraph"/>
        <w:numPr>
          <w:ilvl w:val="0"/>
          <w:numId w:val="22"/>
        </w:numPr>
        <w:tabs>
          <w:tab w:pos="1055" w:val="left" w:leader="none"/>
        </w:tabs>
        <w:spacing w:line="240" w:lineRule="auto" w:before="197" w:after="0"/>
        <w:ind w:left="1055" w:right="0" w:hanging="530"/>
        <w:jc w:val="left"/>
        <w:rPr>
          <w:sz w:val="21"/>
        </w:rPr>
      </w:pPr>
      <w:r>
        <w:rPr>
          <w:spacing w:val="-3"/>
          <w:sz w:val="21"/>
        </w:rPr>
        <w:t>在持有的基金份额范围内，承担基金财产亏损或者基金合同终止的有限责任；</w:t>
      </w:r>
    </w:p>
    <w:p>
      <w:pPr>
        <w:pStyle w:val="BodyText"/>
        <w:rPr>
          <w:sz w:val="22"/>
        </w:rPr>
      </w:pPr>
    </w:p>
    <w:p>
      <w:pPr>
        <w:pStyle w:val="ListParagraph"/>
        <w:numPr>
          <w:ilvl w:val="0"/>
          <w:numId w:val="22"/>
        </w:numPr>
        <w:tabs>
          <w:tab w:pos="1055" w:val="left" w:leader="none"/>
        </w:tabs>
        <w:spacing w:line="240" w:lineRule="auto" w:before="196" w:after="0"/>
        <w:ind w:left="1055" w:right="0" w:hanging="530"/>
        <w:jc w:val="left"/>
        <w:rPr>
          <w:sz w:val="21"/>
        </w:rPr>
      </w:pPr>
      <w:r>
        <w:rPr>
          <w:spacing w:val="-3"/>
          <w:sz w:val="21"/>
        </w:rPr>
        <w:t>返还持有基金过程中获得的不当得利；</w:t>
      </w:r>
    </w:p>
    <w:p>
      <w:pPr>
        <w:pStyle w:val="BodyText"/>
        <w:rPr>
          <w:sz w:val="22"/>
        </w:rPr>
      </w:pPr>
    </w:p>
    <w:p>
      <w:pPr>
        <w:pStyle w:val="ListParagraph"/>
        <w:numPr>
          <w:ilvl w:val="0"/>
          <w:numId w:val="22"/>
        </w:numPr>
        <w:tabs>
          <w:tab w:pos="1055" w:val="left" w:leader="none"/>
        </w:tabs>
        <w:spacing w:line="240" w:lineRule="auto" w:before="198" w:after="0"/>
        <w:ind w:left="1055" w:right="0" w:hanging="530"/>
        <w:jc w:val="left"/>
        <w:rPr>
          <w:sz w:val="21"/>
        </w:rPr>
      </w:pPr>
      <w:r>
        <w:rPr>
          <w:spacing w:val="-3"/>
          <w:sz w:val="21"/>
        </w:rPr>
        <w:t>不从事任何有损基金及其他基金份额持有人合法权益的活动；</w:t>
      </w:r>
    </w:p>
    <w:p>
      <w:pPr>
        <w:spacing w:after="0" w:line="240" w:lineRule="auto"/>
        <w:jc w:val="left"/>
        <w:rPr>
          <w:sz w:val="21"/>
        </w:rPr>
        <w:sectPr>
          <w:pgSz w:w="11910" w:h="16850"/>
          <w:pgMar w:header="852" w:footer="1386" w:top="1420" w:bottom="1580" w:left="1680" w:right="1360"/>
        </w:sectPr>
      </w:pPr>
    </w:p>
    <w:p>
      <w:pPr>
        <w:pStyle w:val="ListParagraph"/>
        <w:numPr>
          <w:ilvl w:val="0"/>
          <w:numId w:val="22"/>
        </w:numPr>
        <w:tabs>
          <w:tab w:pos="1067" w:val="left" w:leader="none"/>
        </w:tabs>
        <w:spacing w:line="417" w:lineRule="auto" w:before="142" w:after="0"/>
        <w:ind w:left="118" w:right="436" w:firstLine="419"/>
        <w:jc w:val="left"/>
        <w:rPr>
          <w:sz w:val="21"/>
        </w:rPr>
      </w:pPr>
      <w:r>
        <w:rPr>
          <w:spacing w:val="-3"/>
          <w:sz w:val="21"/>
        </w:rPr>
        <w:t>法律、法规、本基金合同以及依据本基金合同制定的其他法律文件所规定的其他义务。</w:t>
      </w:r>
    </w:p>
    <w:p>
      <w:pPr>
        <w:spacing w:after="0" w:line="417" w:lineRule="auto"/>
        <w:jc w:val="left"/>
        <w:rPr>
          <w:sz w:val="21"/>
        </w:rPr>
        <w:sectPr>
          <w:pgSz w:w="11910" w:h="16850"/>
          <w:pgMar w:header="852" w:footer="1386" w:top="1420" w:bottom="1580" w:left="1680" w:right="1360"/>
        </w:sectPr>
      </w:pPr>
    </w:p>
    <w:p>
      <w:pPr>
        <w:pStyle w:val="Heading1"/>
        <w:ind w:right="321"/>
      </w:pPr>
      <w:bookmarkStart w:name="_bookmark32" w:id="33"/>
      <w:bookmarkEnd w:id="33"/>
      <w:r>
        <w:rPr/>
      </w:r>
      <w:r>
        <w:rPr/>
        <w:t>十一、 基金份额持有人大会</w:t>
      </w:r>
    </w:p>
    <w:p>
      <w:pPr>
        <w:pStyle w:val="BodyText"/>
        <w:spacing w:before="2"/>
        <w:rPr>
          <w:sz w:val="38"/>
        </w:rPr>
      </w:pPr>
    </w:p>
    <w:p>
      <w:pPr>
        <w:pStyle w:val="BodyText"/>
        <w:spacing w:line="417" w:lineRule="auto" w:before="1"/>
        <w:ind w:left="118" w:right="433" w:firstLine="419"/>
        <w:jc w:val="both"/>
      </w:pPr>
      <w:r>
        <w:rPr/>
        <w:t>（</w:t>
      </w:r>
      <w:r>
        <w:rPr>
          <w:spacing w:val="-3"/>
        </w:rPr>
        <w:t>一</w:t>
      </w:r>
      <w:r>
        <w:rPr>
          <w:spacing w:val="-46"/>
        </w:rPr>
        <w:t>）</w:t>
      </w:r>
      <w:r>
        <w:rPr>
          <w:spacing w:val="-5"/>
        </w:rPr>
        <w:t>基金份额持有人大会由基金份额持有人共同组成。基金份额持有人持有的每一份</w:t>
      </w:r>
      <w:r>
        <w:rPr>
          <w:rFonts w:ascii="Times New Roman" w:eastAsia="Times New Roman"/>
          <w:spacing w:val="-5"/>
        </w:rPr>
        <w:t>A </w:t>
      </w:r>
      <w:r>
        <w:rPr>
          <w:spacing w:val="-6"/>
        </w:rPr>
        <w:t>类基金份额和每一份 </w:t>
      </w:r>
      <w:r>
        <w:rPr>
          <w:rFonts w:ascii="Times New Roman" w:eastAsia="Times New Roman"/>
        </w:rPr>
        <w:t>B </w:t>
      </w:r>
      <w:r>
        <w:rPr>
          <w:spacing w:val="-5"/>
        </w:rPr>
        <w:t>类基金份额拥有平等的投票权，持有的每一份 </w:t>
      </w:r>
      <w:r>
        <w:rPr>
          <w:rFonts w:ascii="Times New Roman" w:eastAsia="Times New Roman"/>
        </w:rPr>
        <w:t>E </w:t>
      </w:r>
      <w:r>
        <w:rPr>
          <w:spacing w:val="-3"/>
        </w:rPr>
        <w:t>类基金份额与每</w:t>
      </w:r>
      <w:r>
        <w:rPr>
          <w:rFonts w:ascii="Times New Roman" w:eastAsia="Times New Roman"/>
          <w:spacing w:val="-3"/>
        </w:rPr>
        <w:t>100 </w:t>
      </w:r>
      <w:r>
        <w:rPr>
          <w:spacing w:val="50"/>
        </w:rPr>
        <w:t>份</w:t>
      </w:r>
      <w:r>
        <w:rPr>
          <w:rFonts w:ascii="Times New Roman" w:eastAsia="Times New Roman"/>
        </w:rPr>
        <w:t>A </w:t>
      </w:r>
      <w:r>
        <w:rPr/>
        <w:t>类</w:t>
      </w:r>
      <w:r>
        <w:rPr>
          <w:rFonts w:ascii="Times New Roman" w:eastAsia="Times New Roman"/>
        </w:rPr>
        <w:t>/</w:t>
      </w:r>
      <w:r>
        <w:rPr>
          <w:spacing w:val="-27"/>
        </w:rPr>
        <w:t>每 </w:t>
      </w:r>
      <w:r>
        <w:rPr>
          <w:rFonts w:ascii="Times New Roman" w:eastAsia="Times New Roman"/>
        </w:rPr>
        <w:t>100 </w:t>
      </w:r>
      <w:r>
        <w:rPr>
          <w:spacing w:val="-26"/>
        </w:rPr>
        <w:t>份 </w:t>
      </w:r>
      <w:r>
        <w:rPr>
          <w:rFonts w:ascii="Times New Roman" w:eastAsia="Times New Roman"/>
        </w:rPr>
        <w:t>B </w:t>
      </w:r>
      <w:r>
        <w:rPr>
          <w:spacing w:val="-3"/>
        </w:rPr>
        <w:t>类基金份额享有平等的投票权。</w:t>
      </w:r>
    </w:p>
    <w:p>
      <w:pPr>
        <w:pStyle w:val="BodyText"/>
        <w:spacing w:before="8"/>
      </w:pPr>
    </w:p>
    <w:p>
      <w:pPr>
        <w:pStyle w:val="BodyText"/>
        <w:spacing w:line="417" w:lineRule="auto"/>
        <w:ind w:left="118" w:right="433" w:firstLine="419"/>
        <w:jc w:val="both"/>
      </w:pPr>
      <w:r>
        <w:rPr>
          <w:spacing w:val="-9"/>
        </w:rPr>
        <w:t>为体现基金份额持有人的权益，本合同第十一章、第十二章及基金合同其他条款中涉及</w:t>
      </w:r>
      <w:r>
        <w:rPr>
          <w:spacing w:val="-11"/>
        </w:rPr>
        <w:t>基金份额持有人的提议召集权、召集权、计算到会或出具表决意见的持有人所代表的基金份</w:t>
      </w:r>
      <w:r>
        <w:rPr>
          <w:spacing w:val="-6"/>
        </w:rPr>
        <w:t>额数量、表决权等需要统计基金份额持有人所持份额及其占总份额比例时，每一份 </w:t>
      </w:r>
      <w:r>
        <w:rPr>
          <w:rFonts w:ascii="Times New Roman" w:eastAsia="Times New Roman"/>
        </w:rPr>
        <w:t>E </w:t>
      </w:r>
      <w:r>
        <w:rPr>
          <w:spacing w:val="-3"/>
        </w:rPr>
        <w:t>类份</w:t>
      </w:r>
      <w:r>
        <w:rPr>
          <w:spacing w:val="-12"/>
        </w:rPr>
        <w:t>额均与每 </w:t>
      </w:r>
      <w:r>
        <w:rPr>
          <w:rFonts w:ascii="Times New Roman" w:eastAsia="Times New Roman"/>
        </w:rPr>
        <w:t>100 </w:t>
      </w:r>
      <w:r>
        <w:rPr>
          <w:spacing w:val="50"/>
        </w:rPr>
        <w:t>份</w:t>
      </w:r>
      <w:r>
        <w:rPr>
          <w:rFonts w:ascii="Times New Roman" w:eastAsia="Times New Roman"/>
        </w:rPr>
        <w:t>A </w:t>
      </w:r>
      <w:r>
        <w:rPr/>
        <w:t>类</w:t>
      </w:r>
      <w:r>
        <w:rPr>
          <w:rFonts w:ascii="Times New Roman" w:eastAsia="Times New Roman"/>
        </w:rPr>
        <w:t>/</w:t>
      </w:r>
      <w:r>
        <w:rPr>
          <w:spacing w:val="-28"/>
        </w:rPr>
        <w:t>每 </w:t>
      </w:r>
      <w:r>
        <w:rPr>
          <w:rFonts w:ascii="Times New Roman" w:eastAsia="Times New Roman"/>
        </w:rPr>
        <w:t>100 </w:t>
      </w:r>
      <w:r>
        <w:rPr>
          <w:spacing w:val="50"/>
        </w:rPr>
        <w:t>份</w:t>
      </w:r>
      <w:r>
        <w:rPr>
          <w:rFonts w:ascii="Times New Roman" w:eastAsia="Times New Roman"/>
        </w:rPr>
        <w:t>B </w:t>
      </w:r>
      <w:r>
        <w:rPr>
          <w:spacing w:val="-3"/>
        </w:rPr>
        <w:t>类基金份额代表同等权利。</w:t>
      </w:r>
    </w:p>
    <w:p>
      <w:pPr>
        <w:pStyle w:val="BodyText"/>
        <w:spacing w:before="12"/>
      </w:pPr>
    </w:p>
    <w:p>
      <w:pPr>
        <w:pStyle w:val="BodyText"/>
        <w:ind w:left="538"/>
      </w:pPr>
      <w:r>
        <w:rPr/>
        <w:t>（二）召开事由</w:t>
      </w:r>
    </w:p>
    <w:p>
      <w:pPr>
        <w:pStyle w:val="BodyText"/>
        <w:rPr>
          <w:sz w:val="20"/>
        </w:rPr>
      </w:pPr>
    </w:p>
    <w:p>
      <w:pPr>
        <w:pStyle w:val="BodyText"/>
        <w:spacing w:before="6"/>
        <w:rPr>
          <w:sz w:val="17"/>
        </w:rPr>
      </w:pPr>
    </w:p>
    <w:p>
      <w:pPr>
        <w:pStyle w:val="BodyText"/>
        <w:ind w:left="538"/>
      </w:pPr>
      <w:r>
        <w:rPr>
          <w:rFonts w:ascii="Times New Roman" w:eastAsia="Times New Roman"/>
        </w:rPr>
        <w:t>1</w:t>
      </w:r>
      <w:r>
        <w:rPr/>
        <w:t>、有以下事由情形之一的，应当召开基金份额持有人大会：</w:t>
      </w:r>
    </w:p>
    <w:p>
      <w:pPr>
        <w:pStyle w:val="BodyText"/>
        <w:rPr>
          <w:sz w:val="22"/>
        </w:rPr>
      </w:pPr>
    </w:p>
    <w:p>
      <w:pPr>
        <w:pStyle w:val="ListParagraph"/>
        <w:numPr>
          <w:ilvl w:val="0"/>
          <w:numId w:val="23"/>
        </w:numPr>
        <w:tabs>
          <w:tab w:pos="1067" w:val="left" w:leader="none"/>
        </w:tabs>
        <w:spacing w:line="240" w:lineRule="auto" w:before="195" w:after="0"/>
        <w:ind w:left="1067" w:right="0" w:hanging="529"/>
        <w:jc w:val="left"/>
        <w:rPr>
          <w:sz w:val="21"/>
        </w:rPr>
      </w:pPr>
      <w:r>
        <w:rPr>
          <w:spacing w:val="-3"/>
          <w:sz w:val="21"/>
        </w:rPr>
        <w:t>提前终止基金合同；</w:t>
      </w:r>
    </w:p>
    <w:p>
      <w:pPr>
        <w:pStyle w:val="BodyText"/>
        <w:rPr>
          <w:sz w:val="22"/>
        </w:rPr>
      </w:pPr>
    </w:p>
    <w:p>
      <w:pPr>
        <w:pStyle w:val="BodyText"/>
        <w:spacing w:before="6"/>
        <w:rPr>
          <w:sz w:val="15"/>
        </w:rPr>
      </w:pPr>
    </w:p>
    <w:p>
      <w:pPr>
        <w:pStyle w:val="ListParagraph"/>
        <w:numPr>
          <w:ilvl w:val="0"/>
          <w:numId w:val="23"/>
        </w:numPr>
        <w:tabs>
          <w:tab w:pos="1067" w:val="left" w:leader="none"/>
        </w:tabs>
        <w:spacing w:line="240" w:lineRule="auto" w:before="0" w:after="0"/>
        <w:ind w:left="1067" w:right="0" w:hanging="529"/>
        <w:jc w:val="left"/>
        <w:rPr>
          <w:sz w:val="21"/>
        </w:rPr>
      </w:pPr>
      <w:r>
        <w:rPr>
          <w:spacing w:val="-3"/>
          <w:sz w:val="21"/>
        </w:rPr>
        <w:t>转换基金运作方式；</w:t>
      </w:r>
    </w:p>
    <w:p>
      <w:pPr>
        <w:pStyle w:val="BodyText"/>
        <w:rPr>
          <w:sz w:val="22"/>
        </w:rPr>
      </w:pPr>
    </w:p>
    <w:p>
      <w:pPr>
        <w:pStyle w:val="BodyText"/>
        <w:spacing w:before="6"/>
        <w:rPr>
          <w:sz w:val="15"/>
        </w:rPr>
      </w:pPr>
    </w:p>
    <w:p>
      <w:pPr>
        <w:pStyle w:val="ListParagraph"/>
        <w:numPr>
          <w:ilvl w:val="0"/>
          <w:numId w:val="23"/>
        </w:numPr>
        <w:tabs>
          <w:tab w:pos="1067" w:val="left" w:leader="none"/>
        </w:tabs>
        <w:spacing w:line="240" w:lineRule="auto" w:before="0" w:after="0"/>
        <w:ind w:left="1067" w:right="0" w:hanging="529"/>
        <w:jc w:val="left"/>
        <w:rPr>
          <w:sz w:val="21"/>
        </w:rPr>
      </w:pPr>
      <w:r>
        <w:rPr>
          <w:spacing w:val="-3"/>
          <w:sz w:val="21"/>
        </w:rPr>
        <w:t>提高基金管理人、基金托管人的报酬标准或基金销售服务费；</w:t>
      </w:r>
    </w:p>
    <w:p>
      <w:pPr>
        <w:pStyle w:val="BodyText"/>
        <w:rPr>
          <w:sz w:val="22"/>
        </w:rPr>
      </w:pPr>
    </w:p>
    <w:p>
      <w:pPr>
        <w:pStyle w:val="ListParagraph"/>
        <w:numPr>
          <w:ilvl w:val="0"/>
          <w:numId w:val="23"/>
        </w:numPr>
        <w:tabs>
          <w:tab w:pos="1067" w:val="left" w:leader="none"/>
        </w:tabs>
        <w:spacing w:line="240" w:lineRule="auto" w:before="195" w:after="0"/>
        <w:ind w:left="1067" w:right="0" w:hanging="529"/>
        <w:jc w:val="left"/>
        <w:rPr>
          <w:sz w:val="21"/>
        </w:rPr>
      </w:pPr>
      <w:r>
        <w:rPr>
          <w:spacing w:val="-3"/>
          <w:sz w:val="21"/>
        </w:rPr>
        <w:t>更换基金托管人、基金管理人；</w:t>
      </w:r>
    </w:p>
    <w:p>
      <w:pPr>
        <w:pStyle w:val="BodyText"/>
        <w:rPr>
          <w:sz w:val="22"/>
        </w:rPr>
      </w:pPr>
    </w:p>
    <w:p>
      <w:pPr>
        <w:pStyle w:val="BodyText"/>
        <w:spacing w:before="6"/>
        <w:rPr>
          <w:sz w:val="15"/>
        </w:rPr>
      </w:pPr>
    </w:p>
    <w:p>
      <w:pPr>
        <w:pStyle w:val="ListParagraph"/>
        <w:numPr>
          <w:ilvl w:val="0"/>
          <w:numId w:val="23"/>
        </w:numPr>
        <w:tabs>
          <w:tab w:pos="1067" w:val="left" w:leader="none"/>
        </w:tabs>
        <w:spacing w:line="240" w:lineRule="auto" w:before="0" w:after="0"/>
        <w:ind w:left="1067" w:right="0" w:hanging="529"/>
        <w:jc w:val="left"/>
        <w:rPr>
          <w:sz w:val="21"/>
        </w:rPr>
      </w:pPr>
      <w:r>
        <w:rPr>
          <w:spacing w:val="-3"/>
          <w:sz w:val="21"/>
        </w:rPr>
        <w:t>变更基金类别；</w:t>
      </w:r>
    </w:p>
    <w:p>
      <w:pPr>
        <w:pStyle w:val="BodyText"/>
        <w:rPr>
          <w:sz w:val="22"/>
        </w:rPr>
      </w:pPr>
    </w:p>
    <w:p>
      <w:pPr>
        <w:pStyle w:val="BodyText"/>
        <w:spacing w:before="6"/>
        <w:rPr>
          <w:sz w:val="15"/>
        </w:rPr>
      </w:pPr>
    </w:p>
    <w:p>
      <w:pPr>
        <w:pStyle w:val="ListParagraph"/>
        <w:numPr>
          <w:ilvl w:val="0"/>
          <w:numId w:val="23"/>
        </w:numPr>
        <w:tabs>
          <w:tab w:pos="1067" w:val="left" w:leader="none"/>
        </w:tabs>
        <w:spacing w:line="240" w:lineRule="auto" w:before="0" w:after="0"/>
        <w:ind w:left="1067" w:right="0" w:hanging="529"/>
        <w:jc w:val="left"/>
        <w:rPr>
          <w:sz w:val="21"/>
        </w:rPr>
      </w:pPr>
      <w:r>
        <w:rPr>
          <w:spacing w:val="-3"/>
          <w:sz w:val="21"/>
        </w:rPr>
        <w:t>变更基金投资目标、范围或策略；</w:t>
      </w:r>
    </w:p>
    <w:p>
      <w:pPr>
        <w:pStyle w:val="BodyText"/>
        <w:rPr>
          <w:sz w:val="22"/>
        </w:rPr>
      </w:pPr>
    </w:p>
    <w:p>
      <w:pPr>
        <w:pStyle w:val="ListParagraph"/>
        <w:numPr>
          <w:ilvl w:val="0"/>
          <w:numId w:val="23"/>
        </w:numPr>
        <w:tabs>
          <w:tab w:pos="1067" w:val="left" w:leader="none"/>
        </w:tabs>
        <w:spacing w:line="240" w:lineRule="auto" w:before="196" w:after="0"/>
        <w:ind w:left="1067" w:right="0" w:hanging="529"/>
        <w:jc w:val="left"/>
        <w:rPr>
          <w:sz w:val="21"/>
        </w:rPr>
      </w:pPr>
      <w:r>
        <w:rPr>
          <w:spacing w:val="-3"/>
          <w:sz w:val="21"/>
        </w:rPr>
        <w:t>变更基金份额持有人大会程序；</w:t>
      </w:r>
    </w:p>
    <w:p>
      <w:pPr>
        <w:pStyle w:val="BodyText"/>
        <w:rPr>
          <w:sz w:val="22"/>
        </w:rPr>
      </w:pPr>
    </w:p>
    <w:p>
      <w:pPr>
        <w:pStyle w:val="ListParagraph"/>
        <w:numPr>
          <w:ilvl w:val="0"/>
          <w:numId w:val="23"/>
        </w:numPr>
        <w:tabs>
          <w:tab w:pos="1067" w:val="left" w:leader="none"/>
        </w:tabs>
        <w:spacing w:line="240" w:lineRule="auto" w:before="198" w:after="0"/>
        <w:ind w:left="1067" w:right="0" w:hanging="529"/>
        <w:jc w:val="left"/>
        <w:rPr>
          <w:sz w:val="21"/>
        </w:rPr>
      </w:pPr>
      <w:r>
        <w:rPr>
          <w:spacing w:val="-3"/>
          <w:sz w:val="21"/>
        </w:rPr>
        <w:t>基金管理人或基金托管人要求召开基金份额持有人大会；</w:t>
      </w:r>
    </w:p>
    <w:p>
      <w:pPr>
        <w:pStyle w:val="BodyText"/>
        <w:rPr>
          <w:sz w:val="22"/>
        </w:rPr>
      </w:pPr>
    </w:p>
    <w:p>
      <w:pPr>
        <w:pStyle w:val="ListParagraph"/>
        <w:numPr>
          <w:ilvl w:val="0"/>
          <w:numId w:val="23"/>
        </w:numPr>
        <w:tabs>
          <w:tab w:pos="1067" w:val="left" w:leader="none"/>
        </w:tabs>
        <w:spacing w:line="240" w:lineRule="auto" w:before="198" w:after="0"/>
        <w:ind w:left="1067" w:right="0" w:hanging="529"/>
        <w:jc w:val="left"/>
        <w:rPr>
          <w:sz w:val="21"/>
        </w:rPr>
      </w:pPr>
      <w:r>
        <w:rPr>
          <w:spacing w:val="-3"/>
          <w:sz w:val="21"/>
        </w:rPr>
        <w:t>单独或合计持有本基金总份额 </w:t>
      </w:r>
      <w:r>
        <w:rPr>
          <w:rFonts w:ascii="Times New Roman" w:eastAsia="Times New Roman"/>
          <w:sz w:val="21"/>
        </w:rPr>
        <w:t>10</w:t>
      </w:r>
      <w:r>
        <w:rPr>
          <w:spacing w:val="-1"/>
          <w:sz w:val="21"/>
        </w:rPr>
        <w:t>％以上</w:t>
      </w:r>
      <w:r>
        <w:rPr>
          <w:sz w:val="21"/>
        </w:rPr>
        <w:t>（</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6"/>
        <w:rPr>
          <w:sz w:val="15"/>
        </w:rPr>
      </w:pPr>
    </w:p>
    <w:p>
      <w:pPr>
        <w:pStyle w:val="BodyText"/>
        <w:spacing w:line="417" w:lineRule="auto"/>
        <w:ind w:left="118" w:right="433"/>
      </w:pPr>
      <w:r>
        <w:rPr/>
        <w:t>（</w:t>
      </w:r>
      <w:r>
        <w:rPr>
          <w:spacing w:val="-6"/>
        </w:rPr>
        <w:t>以基金管理人收到提议当日的基金份额计算，下同</w:t>
      </w:r>
      <w:r>
        <w:rPr>
          <w:spacing w:val="-48"/>
        </w:rPr>
        <w:t>）</w:t>
      </w:r>
      <w:r>
        <w:rPr>
          <w:spacing w:val="-3"/>
        </w:rPr>
        <w:t>就涉及本基金的同一事项书面要求召开基金份额持有人大会；</w:t>
      </w:r>
    </w:p>
    <w:p>
      <w:pPr>
        <w:spacing w:after="0" w:line="417" w:lineRule="auto"/>
        <w:sectPr>
          <w:pgSz w:w="11910" w:h="16850"/>
          <w:pgMar w:header="852" w:footer="1386" w:top="1420" w:bottom="1580" w:left="1680" w:right="1360"/>
        </w:sectPr>
      </w:pPr>
    </w:p>
    <w:p>
      <w:pPr>
        <w:pStyle w:val="ListParagraph"/>
        <w:numPr>
          <w:ilvl w:val="0"/>
          <w:numId w:val="23"/>
        </w:numPr>
        <w:tabs>
          <w:tab w:pos="1173" w:val="left" w:leader="none"/>
        </w:tabs>
        <w:spacing w:line="240" w:lineRule="auto" w:before="142" w:after="0"/>
        <w:ind w:left="1172" w:right="0" w:hanging="635"/>
        <w:jc w:val="left"/>
        <w:rPr>
          <w:sz w:val="21"/>
        </w:rPr>
      </w:pPr>
      <w:r>
        <w:rPr>
          <w:spacing w:val="-3"/>
          <w:sz w:val="21"/>
        </w:rPr>
        <w:t>法律法规和本基金合同规定的其他情形。</w:t>
      </w:r>
    </w:p>
    <w:p>
      <w:pPr>
        <w:pStyle w:val="BodyText"/>
        <w:spacing w:before="7"/>
        <w:rPr>
          <w:sz w:val="29"/>
        </w:rPr>
      </w:pPr>
    </w:p>
    <w:p>
      <w:pPr>
        <w:pStyle w:val="BodyText"/>
        <w:ind w:left="538"/>
      </w:pPr>
      <w:r>
        <w:rPr>
          <w:rFonts w:ascii="Times New Roman" w:eastAsia="Times New Roman"/>
        </w:rPr>
        <w:t>2</w:t>
      </w:r>
      <w:r>
        <w:rPr/>
        <w:t>、需要决定下列事项之一时，不需召开基金份额持有人大会：</w:t>
      </w:r>
    </w:p>
    <w:p>
      <w:pPr>
        <w:pStyle w:val="BodyText"/>
        <w:spacing w:before="10"/>
        <w:rPr>
          <w:sz w:val="32"/>
        </w:rPr>
      </w:pPr>
    </w:p>
    <w:p>
      <w:pPr>
        <w:pStyle w:val="ListParagraph"/>
        <w:numPr>
          <w:ilvl w:val="0"/>
          <w:numId w:val="24"/>
        </w:numPr>
        <w:tabs>
          <w:tab w:pos="1222" w:val="left" w:leader="none"/>
        </w:tabs>
        <w:spacing w:line="240" w:lineRule="auto" w:before="0" w:after="0"/>
        <w:ind w:left="1222" w:right="0" w:hanging="684"/>
        <w:jc w:val="left"/>
        <w:rPr>
          <w:sz w:val="21"/>
        </w:rPr>
      </w:pPr>
      <w:r>
        <w:rPr>
          <w:spacing w:val="-3"/>
          <w:sz w:val="21"/>
        </w:rPr>
        <w:t>调低基金管理费、基金托管费、基金销售服务费；</w:t>
      </w:r>
    </w:p>
    <w:p>
      <w:pPr>
        <w:pStyle w:val="BodyText"/>
        <w:spacing w:before="9"/>
        <w:rPr>
          <w:sz w:val="32"/>
        </w:rPr>
      </w:pPr>
    </w:p>
    <w:p>
      <w:pPr>
        <w:pStyle w:val="ListParagraph"/>
        <w:numPr>
          <w:ilvl w:val="0"/>
          <w:numId w:val="24"/>
        </w:numPr>
        <w:tabs>
          <w:tab w:pos="1222" w:val="left" w:leader="none"/>
        </w:tabs>
        <w:spacing w:line="240" w:lineRule="auto" w:before="0" w:after="0"/>
        <w:ind w:left="1222" w:right="0" w:hanging="684"/>
        <w:jc w:val="left"/>
        <w:rPr>
          <w:sz w:val="21"/>
        </w:rPr>
      </w:pPr>
      <w:r>
        <w:rPr>
          <w:spacing w:val="-3"/>
          <w:sz w:val="21"/>
        </w:rPr>
        <w:t>在本基金合同规定的范围内变更本基金的申购费率、赎回费率或收费方式；</w:t>
      </w:r>
    </w:p>
    <w:p>
      <w:pPr>
        <w:pStyle w:val="BodyText"/>
        <w:spacing w:before="8"/>
        <w:rPr>
          <w:sz w:val="32"/>
        </w:rPr>
      </w:pPr>
    </w:p>
    <w:p>
      <w:pPr>
        <w:pStyle w:val="ListParagraph"/>
        <w:numPr>
          <w:ilvl w:val="0"/>
          <w:numId w:val="24"/>
        </w:numPr>
        <w:tabs>
          <w:tab w:pos="1222" w:val="left" w:leader="none"/>
        </w:tabs>
        <w:spacing w:line="240" w:lineRule="auto" w:before="0" w:after="0"/>
        <w:ind w:left="1222" w:right="0" w:hanging="684"/>
        <w:jc w:val="left"/>
        <w:rPr>
          <w:sz w:val="21"/>
        </w:rPr>
      </w:pPr>
      <w:r>
        <w:rPr>
          <w:spacing w:val="-3"/>
          <w:sz w:val="21"/>
        </w:rPr>
        <w:t>因相应的法律、法规发生变动必须对基金合同进行修改；</w:t>
      </w:r>
    </w:p>
    <w:p>
      <w:pPr>
        <w:pStyle w:val="BodyText"/>
        <w:spacing w:before="9"/>
        <w:rPr>
          <w:sz w:val="32"/>
        </w:rPr>
      </w:pPr>
    </w:p>
    <w:p>
      <w:pPr>
        <w:pStyle w:val="ListParagraph"/>
        <w:numPr>
          <w:ilvl w:val="0"/>
          <w:numId w:val="24"/>
        </w:numPr>
        <w:tabs>
          <w:tab w:pos="1222" w:val="left" w:leader="none"/>
        </w:tabs>
        <w:spacing w:line="240" w:lineRule="auto" w:before="1" w:after="0"/>
        <w:ind w:left="1222" w:right="0" w:hanging="684"/>
        <w:jc w:val="left"/>
        <w:rPr>
          <w:sz w:val="21"/>
        </w:rPr>
      </w:pPr>
      <w:r>
        <w:rPr>
          <w:spacing w:val="-3"/>
          <w:sz w:val="21"/>
        </w:rPr>
        <w:t>基金合同的修改对基金份额持有人利益无实质性不利影响；</w:t>
      </w:r>
    </w:p>
    <w:p>
      <w:pPr>
        <w:pStyle w:val="BodyText"/>
        <w:rPr>
          <w:sz w:val="22"/>
        </w:rPr>
      </w:pPr>
    </w:p>
    <w:p>
      <w:pPr>
        <w:pStyle w:val="BodyText"/>
        <w:spacing w:before="8"/>
        <w:rPr>
          <w:sz w:val="18"/>
        </w:rPr>
      </w:pPr>
    </w:p>
    <w:p>
      <w:pPr>
        <w:pStyle w:val="ListParagraph"/>
        <w:numPr>
          <w:ilvl w:val="0"/>
          <w:numId w:val="24"/>
        </w:numPr>
        <w:tabs>
          <w:tab w:pos="1067" w:val="left" w:leader="none"/>
        </w:tabs>
        <w:spacing w:line="417" w:lineRule="auto" w:before="0" w:after="0"/>
        <w:ind w:left="118" w:right="436" w:firstLine="419"/>
        <w:jc w:val="left"/>
        <w:rPr>
          <w:sz w:val="21"/>
        </w:rPr>
      </w:pPr>
      <w:r>
        <w:rPr>
          <w:spacing w:val="-3"/>
          <w:sz w:val="21"/>
        </w:rPr>
        <w:t>因相应上海证券交易所或者注册登记机构的相关业务规则发生变动，需要对基金合同进行修改；</w:t>
      </w:r>
    </w:p>
    <w:p>
      <w:pPr>
        <w:pStyle w:val="BodyText"/>
        <w:spacing w:before="3"/>
        <w:rPr>
          <w:sz w:val="14"/>
        </w:rPr>
      </w:pPr>
    </w:p>
    <w:p>
      <w:pPr>
        <w:pStyle w:val="ListParagraph"/>
        <w:numPr>
          <w:ilvl w:val="0"/>
          <w:numId w:val="24"/>
        </w:numPr>
        <w:tabs>
          <w:tab w:pos="1067" w:val="left" w:leader="none"/>
        </w:tabs>
        <w:spacing w:line="362" w:lineRule="auto" w:before="0" w:after="0"/>
        <w:ind w:left="118" w:right="328" w:firstLine="419"/>
        <w:jc w:val="left"/>
        <w:rPr>
          <w:sz w:val="21"/>
        </w:rPr>
      </w:pPr>
      <w:r>
        <w:rPr>
          <w:spacing w:val="-3"/>
          <w:sz w:val="21"/>
        </w:rPr>
        <w:t>当影子定价确定的基金资产净值与摊余成本法计算的基金资产净值的负偏离度绝</w:t>
      </w:r>
      <w:r>
        <w:rPr>
          <w:spacing w:val="-5"/>
          <w:sz w:val="21"/>
        </w:rPr>
        <w:t>对值连续两个交易日超过 </w:t>
      </w:r>
      <w:r>
        <w:rPr>
          <w:rFonts w:ascii="Times New Roman" w:eastAsia="Times New Roman"/>
          <w:spacing w:val="-13"/>
          <w:sz w:val="21"/>
        </w:rPr>
        <w:t>0.5%</w:t>
      </w:r>
      <w:r>
        <w:rPr>
          <w:spacing w:val="-5"/>
          <w:sz w:val="21"/>
        </w:rPr>
        <w:t>，且基金管理人决定暂停接受所有赎回申请并终止基金合同， </w:t>
      </w:r>
      <w:r>
        <w:rPr>
          <w:spacing w:val="-4"/>
          <w:sz w:val="21"/>
        </w:rPr>
        <w:t>则基金合同将根据第二十三部分的约定进行基金财产清算并终止。</w:t>
      </w:r>
    </w:p>
    <w:p>
      <w:pPr>
        <w:pStyle w:val="BodyText"/>
        <w:spacing w:before="1"/>
        <w:rPr>
          <w:sz w:val="22"/>
        </w:rPr>
      </w:pPr>
    </w:p>
    <w:p>
      <w:pPr>
        <w:pStyle w:val="ListParagraph"/>
        <w:numPr>
          <w:ilvl w:val="0"/>
          <w:numId w:val="24"/>
        </w:numPr>
        <w:tabs>
          <w:tab w:pos="1067" w:val="left" w:leader="none"/>
        </w:tabs>
        <w:spacing w:line="240" w:lineRule="auto" w:before="1" w:after="0"/>
        <w:ind w:left="1067" w:right="0" w:hanging="529"/>
        <w:jc w:val="left"/>
        <w:rPr>
          <w:sz w:val="21"/>
        </w:rPr>
      </w:pPr>
      <w:r>
        <w:rPr>
          <w:spacing w:val="-3"/>
          <w:sz w:val="21"/>
        </w:rPr>
        <w:t>按照法律法规或本基金合同规定不需召开基金份额持有人大会的其它情形。</w:t>
      </w:r>
    </w:p>
    <w:p>
      <w:pPr>
        <w:pStyle w:val="BodyText"/>
        <w:rPr>
          <w:sz w:val="22"/>
        </w:rPr>
      </w:pPr>
    </w:p>
    <w:p>
      <w:pPr>
        <w:pStyle w:val="BodyText"/>
        <w:spacing w:before="8"/>
        <w:rPr>
          <w:sz w:val="18"/>
        </w:rPr>
      </w:pPr>
    </w:p>
    <w:p>
      <w:pPr>
        <w:pStyle w:val="BodyText"/>
        <w:ind w:left="538"/>
      </w:pPr>
      <w:r>
        <w:rPr/>
        <w:t>（三）召集</w:t>
      </w:r>
    </w:p>
    <w:p>
      <w:pPr>
        <w:pStyle w:val="BodyText"/>
        <w:rPr>
          <w:sz w:val="20"/>
        </w:rPr>
      </w:pPr>
    </w:p>
    <w:p>
      <w:pPr>
        <w:pStyle w:val="BodyText"/>
        <w:spacing w:before="5"/>
        <w:rPr>
          <w:sz w:val="17"/>
        </w:rPr>
      </w:pPr>
    </w:p>
    <w:p>
      <w:pPr>
        <w:pStyle w:val="BodyText"/>
        <w:spacing w:line="417" w:lineRule="auto" w:before="1"/>
        <w:ind w:left="118" w:right="436" w:firstLine="419"/>
      </w:pPr>
      <w:r>
        <w:rPr>
          <w:rFonts w:ascii="Times New Roman" w:eastAsia="Times New Roman"/>
        </w:rPr>
        <w:t>1</w:t>
      </w:r>
      <w:r>
        <w:rPr/>
        <w:t>、 在正常情况下， 基金份额持有人大会由基金管理人召集，开会时间及地点由基金管理人选择确定。</w:t>
      </w:r>
    </w:p>
    <w:p>
      <w:pPr>
        <w:pStyle w:val="BodyText"/>
        <w:spacing w:before="8"/>
      </w:pPr>
    </w:p>
    <w:p>
      <w:pPr>
        <w:pStyle w:val="BodyText"/>
        <w:spacing w:line="417" w:lineRule="auto" w:before="1"/>
        <w:ind w:left="118" w:right="328" w:firstLine="419"/>
      </w:pPr>
      <w:r>
        <w:rPr>
          <w:rFonts w:ascii="Times New Roman" w:eastAsia="Times New Roman"/>
        </w:rPr>
        <w:t>2</w:t>
      </w:r>
      <w:r>
        <w:rPr>
          <w:spacing w:val="-7"/>
        </w:rPr>
        <w:t>、 基金托管人认为有必要召开基金份额持有人大会的，应当向基金管理人提出书面提</w:t>
      </w:r>
      <w:r>
        <w:rPr>
          <w:spacing w:val="-5"/>
        </w:rPr>
        <w:t>议。基金管理人应当自收到书面提议之日起十日内决定是否召集，并书面告知基金托管人。</w:t>
      </w:r>
      <w:r>
        <w:rPr>
          <w:spacing w:val="-15"/>
        </w:rPr>
        <w:t>基金管理人决定召集的，应当自出具书面决定之日起六十日内召开；基金管理人决定不召集， </w:t>
      </w:r>
      <w:r>
        <w:rPr>
          <w:spacing w:val="-7"/>
        </w:rPr>
        <w:t>基金托管人仍认为有必要召开的，应当自行召集。</w:t>
      </w:r>
      <w:r>
        <w:rPr/>
        <w:t> </w:t>
      </w:r>
    </w:p>
    <w:p>
      <w:pPr>
        <w:pStyle w:val="BodyText"/>
        <w:spacing w:before="11"/>
      </w:pPr>
    </w:p>
    <w:p>
      <w:pPr>
        <w:pStyle w:val="BodyText"/>
        <w:spacing w:line="417" w:lineRule="auto"/>
        <w:ind w:left="118" w:right="433" w:firstLine="419"/>
        <w:jc w:val="both"/>
      </w:pPr>
      <w:r>
        <w:rPr>
          <w:rFonts w:ascii="Times New Roman" w:eastAsia="Times New Roman"/>
        </w:rPr>
        <w:t>3</w:t>
      </w:r>
      <w:r>
        <w:rPr>
          <w:spacing w:val="-6"/>
        </w:rPr>
        <w:t>、 代表基金份额 </w:t>
      </w:r>
      <w:r>
        <w:rPr>
          <w:rFonts w:ascii="Times New Roman" w:eastAsia="Times New Roman"/>
        </w:rPr>
        <w:t>10</w:t>
      </w:r>
      <w:r>
        <w:rPr/>
        <w:t>％（</w:t>
      </w:r>
      <w:r>
        <w:rPr>
          <w:spacing w:val="-20"/>
        </w:rPr>
        <w:t>含 </w:t>
      </w:r>
      <w:r>
        <w:rPr>
          <w:rFonts w:ascii="Times New Roman" w:eastAsia="Times New Roman"/>
        </w:rPr>
        <w:t>10</w:t>
      </w:r>
      <w:r>
        <w:rPr/>
        <w:t>％）</w:t>
      </w:r>
      <w:r>
        <w:rPr>
          <w:spacing w:val="-3"/>
        </w:rPr>
        <w:t>以上的基金份额持有人认为有必要召开基金份额持</w:t>
      </w:r>
      <w:r>
        <w:rPr>
          <w:spacing w:val="-11"/>
        </w:rPr>
        <w:t>有人大会的，应当向基金管理人提出书面提议。基金管理人应当自收到书面提议之日起十日</w:t>
      </w:r>
      <w:r>
        <w:rPr>
          <w:spacing w:val="-6"/>
        </w:rPr>
        <w:t>内决定是否召集，并书面告知提出提议的基金份额持有人代表和基金托管人。 </w:t>
      </w:r>
    </w:p>
    <w:p>
      <w:pPr>
        <w:spacing w:after="0" w:line="417" w:lineRule="auto"/>
        <w:jc w:val="both"/>
        <w:sectPr>
          <w:pgSz w:w="11910" w:h="16850"/>
          <w:pgMar w:header="852" w:footer="1386" w:top="1420" w:bottom="1580" w:left="1680" w:right="1360"/>
        </w:sectPr>
      </w:pPr>
    </w:p>
    <w:p>
      <w:pPr>
        <w:pStyle w:val="BodyText"/>
        <w:spacing w:line="417" w:lineRule="auto" w:before="142"/>
        <w:ind w:left="118" w:right="433" w:firstLine="419"/>
        <w:jc w:val="both"/>
      </w:pPr>
      <w:r>
        <w:rPr>
          <w:spacing w:val="-10"/>
        </w:rPr>
        <w:t>基金管理人决定召集的，应当自出具书面决定之日起六十日内召开；基金管理人决定不</w:t>
      </w:r>
      <w:r>
        <w:rPr>
          <w:spacing w:val="-8"/>
        </w:rPr>
        <w:t>召集，代表基金份额 </w:t>
      </w:r>
      <w:r>
        <w:rPr>
          <w:rFonts w:ascii="Times New Roman" w:eastAsia="Times New Roman"/>
        </w:rPr>
        <w:t>10</w:t>
      </w:r>
      <w:r>
        <w:rPr/>
        <w:t>％（</w:t>
      </w:r>
      <w:r>
        <w:rPr>
          <w:spacing w:val="-17"/>
        </w:rPr>
        <w:t>含 </w:t>
      </w:r>
      <w:r>
        <w:rPr>
          <w:rFonts w:ascii="Times New Roman" w:eastAsia="Times New Roman"/>
        </w:rPr>
        <w:t>10</w:t>
      </w:r>
      <w:r>
        <w:rPr/>
        <w:t>％）</w:t>
      </w:r>
      <w:r>
        <w:rPr>
          <w:spacing w:val="-3"/>
        </w:rPr>
        <w:t>以上的基金份额持有人仍认为有必要召开的，应当向基金托管人提出书面提议。 </w:t>
      </w:r>
    </w:p>
    <w:p>
      <w:pPr>
        <w:pStyle w:val="BodyText"/>
        <w:spacing w:line="417" w:lineRule="auto"/>
        <w:ind w:left="118" w:right="433"/>
        <w:jc w:val="both"/>
      </w:pPr>
      <w:r>
        <w:rPr>
          <w:w w:val="100"/>
        </w:rPr>
        <w:t>    </w:t>
      </w:r>
      <w:r>
        <w:rPr>
          <w:spacing w:val="-7"/>
        </w:rPr>
        <w:t>基金托管人应当自收到书面提议之日起十日内决定是否召集，并书面告知提出提议的基</w:t>
      </w:r>
      <w:r>
        <w:rPr>
          <w:spacing w:val="-10"/>
        </w:rPr>
        <w:t>金份额持有人代表和基金管理人；基金托管人决定召集的，应当自出具书面决定之日起六十</w:t>
      </w:r>
      <w:r>
        <w:rPr>
          <w:spacing w:val="-6"/>
        </w:rPr>
        <w:t>日内召开。</w:t>
      </w:r>
      <w:r>
        <w:rPr/>
        <w:t> </w:t>
      </w:r>
    </w:p>
    <w:p>
      <w:pPr>
        <w:pStyle w:val="BodyText"/>
        <w:spacing w:line="417" w:lineRule="auto"/>
        <w:ind w:left="118" w:right="433"/>
        <w:jc w:val="both"/>
      </w:pPr>
      <w:r>
        <w:rPr>
          <w:w w:val="100"/>
        </w:rPr>
        <w:t>    </w:t>
      </w:r>
      <w:r>
        <w:rPr>
          <w:spacing w:val="-7"/>
        </w:rPr>
        <w:t>代表基金总份额 </w:t>
      </w:r>
      <w:r>
        <w:rPr>
          <w:rFonts w:ascii="Times New Roman" w:eastAsia="Times New Roman"/>
        </w:rPr>
        <w:t>10</w:t>
      </w:r>
      <w:r>
        <w:rPr/>
        <w:t>％以上</w:t>
      </w:r>
      <w:r>
        <w:rPr>
          <w:spacing w:val="-3"/>
        </w:rPr>
        <w:t>（</w:t>
      </w:r>
      <w:r>
        <w:rPr>
          <w:spacing w:val="-17"/>
        </w:rPr>
        <w:t>含 </w:t>
      </w:r>
      <w:r>
        <w:rPr>
          <w:rFonts w:ascii="Times New Roman" w:eastAsia="Times New Roman"/>
        </w:rPr>
        <w:t>10</w:t>
      </w:r>
      <w:r>
        <w:rPr/>
        <w:t>％）</w:t>
      </w:r>
      <w:r>
        <w:rPr>
          <w:spacing w:val="-3"/>
        </w:rPr>
        <w:t>的基金份额持有人就同一事项要求召开基金份额</w:t>
      </w:r>
      <w:r>
        <w:rPr>
          <w:spacing w:val="-10"/>
        </w:rPr>
        <w:t>持有人大会，而基金管理人、基金托管人都不召集或均无法行使召集权的，代表基金总份额</w:t>
      </w:r>
      <w:r>
        <w:rPr>
          <w:rFonts w:ascii="Times New Roman" w:eastAsia="Times New Roman"/>
          <w:spacing w:val="-10"/>
        </w:rPr>
        <w:t>10</w:t>
      </w:r>
      <w:r>
        <w:rPr>
          <w:spacing w:val="-8"/>
        </w:rPr>
        <w:t>％以上</w:t>
      </w:r>
      <w:r>
        <w:rPr>
          <w:spacing w:val="-3"/>
        </w:rPr>
        <w:t>（</w:t>
      </w:r>
      <w:r>
        <w:rPr>
          <w:spacing w:val="18"/>
        </w:rPr>
        <w:t>含 </w:t>
      </w:r>
      <w:r>
        <w:rPr>
          <w:rFonts w:ascii="Times New Roman" w:eastAsia="Times New Roman"/>
        </w:rPr>
        <w:t>10</w:t>
      </w:r>
      <w:r>
        <w:rPr/>
        <w:t>％）</w:t>
      </w:r>
      <w:r>
        <w:rPr>
          <w:spacing w:val="-3"/>
        </w:rPr>
        <w:t>的基金份额持有人有权自行召集。基金份额持有人自行召集基金份额</w:t>
      </w:r>
      <w:r>
        <w:rPr>
          <w:spacing w:val="-11"/>
        </w:rPr>
        <w:t>持有人大会的，应当至少提前三十日向中国证监会备案。基金份额持有人依法自行召集基金</w:t>
      </w:r>
      <w:r>
        <w:rPr>
          <w:spacing w:val="-6"/>
        </w:rPr>
        <w:t>份额持有人大会的，基金管理人、基金托管人应当配合，不得阻碍、干扰。</w:t>
      </w:r>
    </w:p>
    <w:p>
      <w:pPr>
        <w:pStyle w:val="BodyText"/>
        <w:spacing w:before="10"/>
      </w:pPr>
    </w:p>
    <w:p>
      <w:pPr>
        <w:pStyle w:val="BodyText"/>
        <w:ind w:left="538"/>
      </w:pPr>
      <w:r>
        <w:rPr/>
        <w:t>（四）通知</w:t>
      </w:r>
    </w:p>
    <w:p>
      <w:pPr>
        <w:pStyle w:val="BodyText"/>
        <w:rPr>
          <w:sz w:val="20"/>
        </w:rPr>
      </w:pPr>
    </w:p>
    <w:p>
      <w:pPr>
        <w:pStyle w:val="BodyText"/>
        <w:spacing w:before="3"/>
        <w:rPr>
          <w:sz w:val="17"/>
        </w:rPr>
      </w:pPr>
    </w:p>
    <w:p>
      <w:pPr>
        <w:pStyle w:val="BodyText"/>
        <w:spacing w:line="667" w:lineRule="auto"/>
        <w:ind w:left="538" w:right="549"/>
      </w:pPr>
      <w:r>
        <w:rPr/>
        <w:t>召开基金份额持有人大会，召集人应当至少提前三十日通过指定媒介公告会议通知。基金份额持有人大会通知将至少载明以下内容：</w:t>
      </w:r>
    </w:p>
    <w:p>
      <w:pPr>
        <w:pStyle w:val="BodyText"/>
        <w:spacing w:before="2"/>
        <w:ind w:left="538"/>
      </w:pPr>
      <w:r>
        <w:rPr>
          <w:rFonts w:ascii="Times New Roman" w:eastAsia="Times New Roman"/>
        </w:rPr>
        <w:t>1</w:t>
      </w:r>
      <w:r>
        <w:rPr/>
        <w:t>、 会议召开的时间、地点、方式；</w:t>
      </w:r>
    </w:p>
    <w:p>
      <w:pPr>
        <w:pStyle w:val="BodyText"/>
        <w:rPr>
          <w:sz w:val="22"/>
        </w:rPr>
      </w:pPr>
    </w:p>
    <w:p>
      <w:pPr>
        <w:pStyle w:val="BodyText"/>
        <w:spacing w:before="196"/>
        <w:ind w:left="538"/>
      </w:pPr>
      <w:r>
        <w:rPr>
          <w:rFonts w:ascii="Times New Roman" w:eastAsia="Times New Roman"/>
        </w:rPr>
        <w:t>2</w:t>
      </w:r>
      <w:r>
        <w:rPr/>
        <w:t>、 会议拟审议的主要事项、议事程序、表决方式；</w:t>
      </w:r>
    </w:p>
    <w:p>
      <w:pPr>
        <w:pStyle w:val="BodyText"/>
        <w:rPr>
          <w:sz w:val="22"/>
        </w:rPr>
      </w:pPr>
    </w:p>
    <w:p>
      <w:pPr>
        <w:pStyle w:val="BodyText"/>
        <w:spacing w:before="5"/>
        <w:rPr>
          <w:sz w:val="15"/>
        </w:rPr>
      </w:pPr>
    </w:p>
    <w:p>
      <w:pPr>
        <w:pStyle w:val="BodyText"/>
        <w:spacing w:before="1"/>
        <w:ind w:left="538"/>
      </w:pPr>
      <w:r>
        <w:rPr>
          <w:rFonts w:ascii="Times New Roman" w:eastAsia="Times New Roman"/>
        </w:rPr>
        <w:t>3</w:t>
      </w:r>
      <w:r>
        <w:rPr/>
        <w:t>、 权益登记日；</w:t>
      </w:r>
    </w:p>
    <w:p>
      <w:pPr>
        <w:pStyle w:val="BodyText"/>
        <w:rPr>
          <w:sz w:val="22"/>
        </w:rPr>
      </w:pPr>
    </w:p>
    <w:p>
      <w:pPr>
        <w:pStyle w:val="BodyText"/>
        <w:spacing w:before="197"/>
        <w:ind w:left="538"/>
      </w:pPr>
      <w:r>
        <w:rPr>
          <w:rFonts w:ascii="Times New Roman" w:eastAsia="Times New Roman"/>
        </w:rPr>
        <w:t>4</w:t>
      </w:r>
      <w:r>
        <w:rPr>
          <w:spacing w:val="-3"/>
        </w:rPr>
        <w:t>、 投票委托书送达时间和地点；</w:t>
      </w:r>
    </w:p>
    <w:p>
      <w:pPr>
        <w:pStyle w:val="BodyText"/>
        <w:rPr>
          <w:sz w:val="22"/>
        </w:rPr>
      </w:pPr>
    </w:p>
    <w:p>
      <w:pPr>
        <w:pStyle w:val="BodyText"/>
        <w:spacing w:before="196"/>
        <w:ind w:left="538"/>
      </w:pPr>
      <w:r>
        <w:rPr>
          <w:rFonts w:ascii="Times New Roman" w:eastAsia="Times New Roman"/>
        </w:rPr>
        <w:t>5</w:t>
      </w:r>
      <w:r>
        <w:rPr>
          <w:spacing w:val="-3"/>
        </w:rPr>
        <w:t>、 会务常设联系人姓名、电话；</w:t>
      </w:r>
    </w:p>
    <w:p>
      <w:pPr>
        <w:pStyle w:val="BodyText"/>
        <w:rPr>
          <w:sz w:val="22"/>
        </w:rPr>
      </w:pPr>
    </w:p>
    <w:p>
      <w:pPr>
        <w:pStyle w:val="BodyText"/>
        <w:spacing w:before="6"/>
        <w:rPr>
          <w:sz w:val="15"/>
        </w:rPr>
      </w:pPr>
    </w:p>
    <w:p>
      <w:pPr>
        <w:pStyle w:val="BodyText"/>
        <w:ind w:left="538"/>
      </w:pPr>
      <w:r>
        <w:rPr>
          <w:rFonts w:ascii="Times New Roman" w:eastAsia="Times New Roman"/>
        </w:rPr>
        <w:t>6</w:t>
      </w:r>
      <w:r>
        <w:rPr/>
        <w:t>、 其他注意事项。</w:t>
      </w:r>
    </w:p>
    <w:p>
      <w:pPr>
        <w:pStyle w:val="BodyText"/>
        <w:rPr>
          <w:sz w:val="22"/>
        </w:rPr>
      </w:pPr>
    </w:p>
    <w:p>
      <w:pPr>
        <w:pStyle w:val="BodyText"/>
        <w:spacing w:before="6"/>
        <w:rPr>
          <w:sz w:val="15"/>
        </w:rPr>
      </w:pPr>
    </w:p>
    <w:p>
      <w:pPr>
        <w:pStyle w:val="BodyText"/>
        <w:spacing w:line="417" w:lineRule="auto"/>
        <w:ind w:left="118" w:right="433" w:firstLine="419"/>
        <w:jc w:val="both"/>
      </w:pPr>
      <w:r>
        <w:rPr>
          <w:spacing w:val="-8"/>
        </w:rPr>
        <w:t>如采用通讯方式开会并进行表决的情况下，会议通知应报中国证监会备案，且除上述内</w:t>
      </w:r>
      <w:r>
        <w:rPr>
          <w:spacing w:val="-10"/>
        </w:rPr>
        <w:t>容外还要在会议通知中说明具体通讯方式、委托的公证机关及其联系方式和联系人、书面表</w:t>
      </w:r>
      <w:r>
        <w:rPr>
          <w:spacing w:val="-5"/>
        </w:rPr>
        <w:t>决意见的寄交和收取的方式等。</w:t>
      </w:r>
    </w:p>
    <w:p>
      <w:pPr>
        <w:spacing w:after="0" w:line="417" w:lineRule="auto"/>
        <w:jc w:val="both"/>
        <w:sectPr>
          <w:pgSz w:w="11910" w:h="16850"/>
          <w:pgMar w:header="852" w:footer="1386" w:top="1420" w:bottom="1580" w:left="1680" w:right="1360"/>
        </w:sectPr>
      </w:pPr>
    </w:p>
    <w:p>
      <w:pPr>
        <w:pStyle w:val="BodyText"/>
        <w:tabs>
          <w:tab w:pos="1377" w:val="left" w:leader="none"/>
        </w:tabs>
        <w:spacing w:before="142"/>
        <w:ind w:left="538"/>
      </w:pPr>
      <w:r>
        <w:rPr/>
        <w:t>（五）</w:t>
        <w:tab/>
        <w:t>召开</w:t>
      </w:r>
      <w:r>
        <w:rPr>
          <w:spacing w:val="-3"/>
        </w:rPr>
        <w:t>方</w:t>
      </w:r>
      <w:r>
        <w:rPr/>
        <w:t>式</w:t>
      </w:r>
    </w:p>
    <w:p>
      <w:pPr>
        <w:pStyle w:val="BodyText"/>
        <w:rPr>
          <w:sz w:val="20"/>
        </w:rPr>
      </w:pPr>
    </w:p>
    <w:p>
      <w:pPr>
        <w:pStyle w:val="BodyText"/>
        <w:spacing w:before="5"/>
        <w:rPr>
          <w:sz w:val="17"/>
        </w:rPr>
      </w:pPr>
    </w:p>
    <w:p>
      <w:pPr>
        <w:pStyle w:val="BodyText"/>
        <w:spacing w:line="417" w:lineRule="auto"/>
        <w:ind w:left="118" w:right="433" w:firstLine="419"/>
      </w:pPr>
      <w:r>
        <w:rPr>
          <w:spacing w:val="-7"/>
        </w:rPr>
        <w:t>基金份额持有人大会的召开方式包括现场开会和通讯方式开会，具体由召集人确定，但</w:t>
      </w:r>
      <w:r>
        <w:rPr>
          <w:spacing w:val="-5"/>
        </w:rPr>
        <w:t>更换基金管理人和基金托管人必须采取现场开会方式。</w:t>
      </w:r>
    </w:p>
    <w:p>
      <w:pPr>
        <w:pStyle w:val="BodyText"/>
        <w:spacing w:before="9"/>
      </w:pPr>
    </w:p>
    <w:p>
      <w:pPr>
        <w:pStyle w:val="BodyText"/>
        <w:ind w:left="538"/>
      </w:pPr>
      <w:r>
        <w:rPr>
          <w:rFonts w:ascii="Times New Roman" w:eastAsia="Times New Roman"/>
        </w:rPr>
        <w:t>1</w:t>
      </w:r>
      <w:r>
        <w:rPr/>
        <w:t>、 现场开会</w:t>
      </w:r>
    </w:p>
    <w:p>
      <w:pPr>
        <w:pStyle w:val="BodyText"/>
        <w:rPr>
          <w:sz w:val="22"/>
        </w:rPr>
      </w:pPr>
    </w:p>
    <w:p>
      <w:pPr>
        <w:pStyle w:val="BodyText"/>
        <w:spacing w:before="6"/>
        <w:rPr>
          <w:sz w:val="15"/>
        </w:rPr>
      </w:pPr>
    </w:p>
    <w:p>
      <w:pPr>
        <w:pStyle w:val="ListParagraph"/>
        <w:numPr>
          <w:ilvl w:val="0"/>
          <w:numId w:val="25"/>
        </w:numPr>
        <w:tabs>
          <w:tab w:pos="1067" w:val="left" w:leader="none"/>
        </w:tabs>
        <w:spacing w:line="417" w:lineRule="auto" w:before="0" w:after="0"/>
        <w:ind w:left="118" w:right="433" w:firstLine="419"/>
        <w:jc w:val="both"/>
        <w:rPr>
          <w:sz w:val="21"/>
        </w:rPr>
      </w:pPr>
      <w:r>
        <w:rPr>
          <w:spacing w:val="-3"/>
          <w:sz w:val="21"/>
        </w:rPr>
        <w:t>本基金合同所指现场开会系指由基金份额持有人本人出席或出具授权委托书委派</w:t>
      </w:r>
      <w:r>
        <w:rPr>
          <w:spacing w:val="-9"/>
          <w:sz w:val="21"/>
        </w:rPr>
        <w:t>其代理人出席参加基金份额持有人大会。现场开会时基金管理人和基金托管人的授权代表应</w:t>
      </w:r>
      <w:r>
        <w:rPr>
          <w:spacing w:val="-7"/>
          <w:sz w:val="21"/>
        </w:rPr>
        <w:t>当出席。</w:t>
      </w:r>
      <w:r>
        <w:rPr>
          <w:sz w:val="21"/>
        </w:rPr>
        <w:t> </w:t>
      </w:r>
    </w:p>
    <w:p>
      <w:pPr>
        <w:pStyle w:val="BodyText"/>
        <w:spacing w:before="12"/>
      </w:pPr>
    </w:p>
    <w:p>
      <w:pPr>
        <w:pStyle w:val="ListParagraph"/>
        <w:numPr>
          <w:ilvl w:val="0"/>
          <w:numId w:val="25"/>
        </w:numPr>
        <w:tabs>
          <w:tab w:pos="1067" w:val="left" w:leader="none"/>
        </w:tabs>
        <w:spacing w:line="417" w:lineRule="auto" w:before="0" w:after="0"/>
        <w:ind w:left="118" w:right="433" w:firstLine="419"/>
        <w:jc w:val="both"/>
        <w:rPr>
          <w:sz w:val="21"/>
        </w:rPr>
      </w:pPr>
      <w:r>
        <w:rPr>
          <w:spacing w:val="-3"/>
          <w:sz w:val="21"/>
        </w:rPr>
        <w:t>基金份额持有人本人在出席基金份额持有人大会时，应向召集人出具符合法律、</w:t>
      </w:r>
      <w:r>
        <w:rPr>
          <w:spacing w:val="-11"/>
          <w:sz w:val="21"/>
        </w:rPr>
        <w:t>法规和规章、本基金合同及会议通知规定的有关证明文件。基金份额持有人的代理人在出席</w:t>
      </w:r>
      <w:r>
        <w:rPr>
          <w:spacing w:val="-12"/>
          <w:sz w:val="21"/>
        </w:rPr>
        <w:t>基金份额持有人大会时，除应向召集人提交上述证明文件外，还应提交有关基金份额持有人</w:t>
      </w:r>
      <w:r>
        <w:rPr>
          <w:spacing w:val="-6"/>
          <w:sz w:val="21"/>
        </w:rPr>
        <w:t>出具的有效书面授权书。</w:t>
      </w:r>
      <w:r>
        <w:rPr>
          <w:sz w:val="21"/>
        </w:rPr>
        <w:t> </w:t>
      </w:r>
    </w:p>
    <w:p>
      <w:pPr>
        <w:pStyle w:val="BodyText"/>
        <w:spacing w:before="8"/>
      </w:pPr>
    </w:p>
    <w:p>
      <w:pPr>
        <w:pStyle w:val="ListParagraph"/>
        <w:numPr>
          <w:ilvl w:val="0"/>
          <w:numId w:val="25"/>
        </w:numPr>
        <w:tabs>
          <w:tab w:pos="1067" w:val="left" w:leader="none"/>
        </w:tabs>
        <w:spacing w:line="417" w:lineRule="auto" w:before="0" w:after="0"/>
        <w:ind w:left="118" w:right="448" w:firstLine="419"/>
        <w:jc w:val="left"/>
        <w:rPr>
          <w:sz w:val="21"/>
        </w:rPr>
      </w:pPr>
      <w:r>
        <w:rPr>
          <w:spacing w:val="-3"/>
          <w:sz w:val="21"/>
        </w:rPr>
        <w:t>现场开会须符合以下条件时，方可进行基金份额持有人大会议程：经核对，汇总到会者出示的在权益登记日持有基金份额的凭证显示，到会的基金份额持有人代表的基金份额不少于本基金在权益登记日基金总份额的</w:t>
      </w:r>
      <w:r>
        <w:rPr>
          <w:sz w:val="21"/>
        </w:rPr>
        <w:t>50</w:t>
      </w:r>
      <w:r>
        <w:rPr>
          <w:spacing w:val="-2"/>
          <w:sz w:val="21"/>
        </w:rPr>
        <w:t>％。</w:t>
      </w:r>
    </w:p>
    <w:p>
      <w:pPr>
        <w:pStyle w:val="BodyText"/>
        <w:spacing w:before="12"/>
      </w:pPr>
    </w:p>
    <w:p>
      <w:pPr>
        <w:pStyle w:val="BodyText"/>
        <w:ind w:left="538"/>
      </w:pPr>
      <w:r>
        <w:rPr>
          <w:rFonts w:ascii="Times New Roman" w:eastAsia="Times New Roman"/>
        </w:rPr>
        <w:t>2</w:t>
      </w:r>
      <w:r>
        <w:rPr/>
        <w:t>、 通讯方式开会</w:t>
      </w:r>
    </w:p>
    <w:p>
      <w:pPr>
        <w:pStyle w:val="BodyText"/>
        <w:rPr>
          <w:sz w:val="22"/>
        </w:rPr>
      </w:pPr>
    </w:p>
    <w:p>
      <w:pPr>
        <w:pStyle w:val="BodyText"/>
        <w:spacing w:before="6"/>
        <w:rPr>
          <w:sz w:val="15"/>
        </w:rPr>
      </w:pPr>
    </w:p>
    <w:p>
      <w:pPr>
        <w:pStyle w:val="ListParagraph"/>
        <w:numPr>
          <w:ilvl w:val="0"/>
          <w:numId w:val="26"/>
        </w:numPr>
        <w:tabs>
          <w:tab w:pos="1067" w:val="left" w:leader="none"/>
        </w:tabs>
        <w:spacing w:line="417" w:lineRule="auto" w:before="0" w:after="0"/>
        <w:ind w:left="118" w:right="436" w:firstLine="419"/>
        <w:jc w:val="left"/>
        <w:rPr>
          <w:sz w:val="21"/>
        </w:rPr>
      </w:pPr>
      <w:r>
        <w:rPr>
          <w:spacing w:val="-3"/>
          <w:sz w:val="21"/>
        </w:rPr>
        <w:t>本基金合同所指通讯方式开会系指基金份额持有人将其对表决事项的投票以书面形式在表决截至日以前送达至召集人指定的地址。</w:t>
      </w:r>
      <w:r>
        <w:rPr>
          <w:sz w:val="21"/>
        </w:rPr>
        <w:t> </w:t>
      </w:r>
    </w:p>
    <w:p>
      <w:pPr>
        <w:pStyle w:val="BodyText"/>
        <w:spacing w:before="9"/>
      </w:pPr>
    </w:p>
    <w:p>
      <w:pPr>
        <w:pStyle w:val="ListParagraph"/>
        <w:numPr>
          <w:ilvl w:val="0"/>
          <w:numId w:val="26"/>
        </w:numPr>
        <w:tabs>
          <w:tab w:pos="1067" w:val="left" w:leader="none"/>
        </w:tabs>
        <w:spacing w:line="417" w:lineRule="auto" w:before="0" w:after="0"/>
        <w:ind w:left="118" w:right="436" w:firstLine="419"/>
        <w:jc w:val="both"/>
        <w:rPr>
          <w:sz w:val="21"/>
        </w:rPr>
      </w:pPr>
      <w:r>
        <w:rPr>
          <w:spacing w:val="-5"/>
          <w:sz w:val="21"/>
        </w:rPr>
        <w:t>召集人按本基金合同规定公布会议通知后，在 </w:t>
      </w:r>
      <w:r>
        <w:rPr>
          <w:sz w:val="21"/>
        </w:rPr>
        <w:t>2</w:t>
      </w:r>
      <w:r>
        <w:rPr>
          <w:spacing w:val="-7"/>
          <w:sz w:val="21"/>
        </w:rPr>
        <w:t> 个工作日内连续公布相关提示性</w:t>
      </w:r>
      <w:r>
        <w:rPr>
          <w:spacing w:val="-6"/>
          <w:sz w:val="21"/>
        </w:rPr>
        <w:t>公告。</w:t>
      </w:r>
      <w:r>
        <w:rPr>
          <w:sz w:val="21"/>
        </w:rPr>
        <w:t> </w:t>
      </w:r>
    </w:p>
    <w:p>
      <w:pPr>
        <w:pStyle w:val="ListParagraph"/>
        <w:numPr>
          <w:ilvl w:val="0"/>
          <w:numId w:val="26"/>
        </w:numPr>
        <w:tabs>
          <w:tab w:pos="1067" w:val="left" w:leader="none"/>
        </w:tabs>
        <w:spacing w:line="460" w:lineRule="atLeast" w:before="90" w:after="0"/>
        <w:ind w:left="118" w:right="433" w:firstLine="419"/>
        <w:jc w:val="both"/>
        <w:rPr>
          <w:sz w:val="21"/>
        </w:rPr>
      </w:pPr>
      <w:r>
        <w:rPr>
          <w:spacing w:val="-3"/>
          <w:sz w:val="21"/>
        </w:rPr>
        <w:t>基金份额持有人本人在以书面通讯方式进行表决时，应向召集人以书面方式提交</w:t>
      </w:r>
      <w:r>
        <w:rPr>
          <w:spacing w:val="-12"/>
          <w:sz w:val="21"/>
        </w:rPr>
        <w:t>符合法律、法规和规章、本基金合同及会议通知规定的有关证明文件。基金份额持有人的代理人在以书面通讯方式进行表决时，应向召集人以书面方式提交有关基金份额持有人出具的</w:t>
      </w:r>
      <w:r>
        <w:rPr>
          <w:spacing w:val="-9"/>
          <w:sz w:val="21"/>
        </w:rPr>
        <w:t>有效的书面授权委托书和基金份额持有人应当提交的上述有关证明文件。不能满足上述要求</w:t>
      </w:r>
      <w:r>
        <w:rPr>
          <w:spacing w:val="-8"/>
          <w:sz w:val="21"/>
        </w:rPr>
        <w:t>的基金份额持有人或基金份额持有人的代理人所提交的书面表决意见被视为无效，其代表的</w:t>
      </w:r>
    </w:p>
    <w:p>
      <w:pPr>
        <w:spacing w:after="0" w:line="460" w:lineRule="atLeast"/>
        <w:jc w:val="both"/>
        <w:rPr>
          <w:sz w:val="21"/>
        </w:rPr>
        <w:sectPr>
          <w:pgSz w:w="11910" w:h="16850"/>
          <w:pgMar w:header="852" w:footer="1386" w:top="1420" w:bottom="1580" w:left="1680" w:right="1360"/>
        </w:sectPr>
      </w:pPr>
    </w:p>
    <w:p>
      <w:pPr>
        <w:pStyle w:val="BodyText"/>
        <w:spacing w:before="142"/>
        <w:ind w:left="118"/>
      </w:pPr>
      <w:r>
        <w:rPr/>
        <w:t>基金份额不计入参加表决的总份额。 </w:t>
      </w:r>
    </w:p>
    <w:p>
      <w:pPr>
        <w:pStyle w:val="BodyText"/>
        <w:rPr>
          <w:sz w:val="20"/>
        </w:rPr>
      </w:pPr>
    </w:p>
    <w:p>
      <w:pPr>
        <w:pStyle w:val="BodyText"/>
        <w:spacing w:before="5"/>
        <w:rPr>
          <w:sz w:val="17"/>
        </w:rPr>
      </w:pPr>
    </w:p>
    <w:p>
      <w:pPr>
        <w:pStyle w:val="BodyText"/>
        <w:spacing w:line="417" w:lineRule="auto"/>
        <w:ind w:left="118" w:right="437" w:firstLine="419"/>
      </w:pPr>
      <w:r>
        <w:rPr/>
        <w:t>召集人在公证机关的监督下按照会议通知规定的方式收取基金份额持有人的书面表决意见；在表决截止日以前实际送达召集人指定的地址的投票视为有效投票。 </w:t>
      </w:r>
    </w:p>
    <w:p>
      <w:pPr>
        <w:pStyle w:val="ListParagraph"/>
        <w:numPr>
          <w:ilvl w:val="0"/>
          <w:numId w:val="26"/>
        </w:numPr>
        <w:tabs>
          <w:tab w:pos="1067" w:val="left" w:leader="none"/>
        </w:tabs>
        <w:spacing w:line="468" w:lineRule="exact" w:before="114" w:after="0"/>
        <w:ind w:left="118" w:right="435" w:firstLine="419"/>
        <w:jc w:val="both"/>
        <w:rPr>
          <w:rFonts w:ascii="Microsoft JhengHei" w:eastAsia="Microsoft JhengHei" w:hint="eastAsia"/>
          <w:b/>
          <w:sz w:val="21"/>
        </w:rPr>
      </w:pPr>
      <w:r>
        <w:rPr>
          <w:spacing w:val="-3"/>
          <w:sz w:val="21"/>
        </w:rPr>
        <w:t>以通讯方式开会须符合下列条件方视为有效：本人直接或委托授权代表出具有效</w:t>
      </w:r>
      <w:r>
        <w:rPr>
          <w:spacing w:val="-4"/>
          <w:sz w:val="21"/>
        </w:rPr>
        <w:t>书面意见的基金份额持有人所持有的基金份额不少于本基金在权益登记日基金份额总数的</w:t>
      </w:r>
      <w:r>
        <w:rPr>
          <w:rFonts w:ascii="Times New Roman" w:eastAsia="Times New Roman"/>
          <w:sz w:val="21"/>
        </w:rPr>
        <w:t>50</w:t>
      </w:r>
      <w:r>
        <w:rPr>
          <w:sz w:val="21"/>
        </w:rPr>
        <w:t>％</w:t>
      </w:r>
      <w:r>
        <w:rPr>
          <w:rFonts w:ascii="Microsoft JhengHei" w:eastAsia="Microsoft JhengHei" w:hint="eastAsia"/>
          <w:b/>
          <w:sz w:val="21"/>
        </w:rPr>
        <w:t>。</w:t>
      </w:r>
    </w:p>
    <w:p>
      <w:pPr>
        <w:pStyle w:val="BodyText"/>
        <w:spacing w:before="4"/>
        <w:rPr>
          <w:rFonts w:ascii="Microsoft JhengHei"/>
          <w:b/>
          <w:sz w:val="24"/>
        </w:rPr>
      </w:pPr>
    </w:p>
    <w:p>
      <w:pPr>
        <w:pStyle w:val="BodyText"/>
        <w:ind w:left="538"/>
      </w:pPr>
      <w:r>
        <w:rPr>
          <w:rFonts w:ascii="Times New Roman" w:eastAsia="Times New Roman"/>
        </w:rPr>
        <w:t>3</w:t>
      </w:r>
      <w:r>
        <w:rPr/>
        <w:t>、重新召集基金份额持有人大会的条件</w:t>
      </w:r>
    </w:p>
    <w:p>
      <w:pPr>
        <w:pStyle w:val="BodyText"/>
        <w:rPr>
          <w:sz w:val="22"/>
        </w:rPr>
      </w:pPr>
    </w:p>
    <w:p>
      <w:pPr>
        <w:pStyle w:val="BodyText"/>
        <w:spacing w:before="6"/>
        <w:rPr>
          <w:sz w:val="15"/>
        </w:rPr>
      </w:pPr>
    </w:p>
    <w:p>
      <w:pPr>
        <w:pStyle w:val="BodyText"/>
        <w:ind w:left="538"/>
      </w:pPr>
      <w:r>
        <w:rPr/>
        <w:t>基金份额持有人大会应当有代表 </w:t>
      </w:r>
      <w:r>
        <w:rPr>
          <w:rFonts w:ascii="Times New Roman" w:eastAsia="Times New Roman"/>
        </w:rPr>
        <w:t>50%</w:t>
      </w:r>
      <w:r>
        <w:rPr/>
        <w:t>以上基金份额的持有人参加，方可召开。</w:t>
      </w:r>
    </w:p>
    <w:p>
      <w:pPr>
        <w:pStyle w:val="BodyText"/>
        <w:rPr>
          <w:sz w:val="22"/>
        </w:rPr>
      </w:pPr>
    </w:p>
    <w:p>
      <w:pPr>
        <w:pStyle w:val="BodyText"/>
        <w:spacing w:line="417" w:lineRule="auto" w:before="196"/>
        <w:ind w:left="118" w:right="433" w:firstLine="419"/>
        <w:jc w:val="both"/>
      </w:pPr>
      <w:r>
        <w:rPr>
          <w:spacing w:val="-7"/>
        </w:rPr>
        <w:t>参加基金份额持有人大会的持有人的基金份额低于上述规定比例的，召集人可以在原公</w:t>
      </w:r>
      <w:r>
        <w:rPr>
          <w:spacing w:val="-9"/>
        </w:rPr>
        <w:t>告的基金份额持有人大会召开时间的三个月以后、六个月以内，就原定审议事项重新召集基</w:t>
      </w:r>
      <w:r>
        <w:rPr>
          <w:spacing w:val="-13"/>
        </w:rPr>
        <w:t>金份额持有人大会。重新召集的基金份额持有人大会应当有代表三分之一以上基金份额的持</w:t>
      </w:r>
      <w:r>
        <w:rPr>
          <w:spacing w:val="-6"/>
        </w:rPr>
        <w:t>有人参加，方可召开。</w:t>
      </w:r>
    </w:p>
    <w:p>
      <w:pPr>
        <w:pStyle w:val="BodyText"/>
        <w:spacing w:before="11"/>
      </w:pPr>
    </w:p>
    <w:p>
      <w:pPr>
        <w:pStyle w:val="BodyText"/>
        <w:ind w:left="538"/>
      </w:pPr>
      <w:r>
        <w:rPr/>
        <w:t>（六）议事内容与程序</w:t>
      </w:r>
    </w:p>
    <w:p>
      <w:pPr>
        <w:pStyle w:val="BodyText"/>
        <w:rPr>
          <w:sz w:val="20"/>
        </w:rPr>
      </w:pPr>
    </w:p>
    <w:p>
      <w:pPr>
        <w:pStyle w:val="BodyText"/>
        <w:spacing w:before="147"/>
        <w:ind w:left="118"/>
      </w:pPr>
      <w:r>
        <w:rPr>
          <w:rFonts w:ascii="Times New Roman" w:eastAsia="Times New Roman"/>
        </w:rPr>
        <w:t>1</w:t>
      </w:r>
      <w:r>
        <w:rPr/>
        <w:t>、 议事内容：</w:t>
      </w:r>
    </w:p>
    <w:p>
      <w:pPr>
        <w:pStyle w:val="BodyText"/>
        <w:spacing w:before="3"/>
        <w:rPr>
          <w:sz w:val="31"/>
        </w:rPr>
      </w:pPr>
    </w:p>
    <w:p>
      <w:pPr>
        <w:pStyle w:val="ListParagraph"/>
        <w:numPr>
          <w:ilvl w:val="0"/>
          <w:numId w:val="27"/>
        </w:numPr>
        <w:tabs>
          <w:tab w:pos="1127" w:val="left" w:leader="none"/>
        </w:tabs>
        <w:spacing w:line="240" w:lineRule="auto" w:before="0" w:after="0"/>
        <w:ind w:left="1127" w:right="0" w:hanging="529"/>
        <w:jc w:val="left"/>
        <w:rPr>
          <w:sz w:val="21"/>
        </w:rPr>
      </w:pPr>
      <w:r>
        <w:rPr>
          <w:spacing w:val="-3"/>
          <w:sz w:val="21"/>
        </w:rPr>
        <w:t>议事内容包括“召开事由”所规定的事项；</w:t>
      </w:r>
      <w:r>
        <w:rPr>
          <w:sz w:val="21"/>
        </w:rPr>
        <w:t> </w:t>
      </w:r>
    </w:p>
    <w:p>
      <w:pPr>
        <w:pStyle w:val="ListParagraph"/>
        <w:numPr>
          <w:ilvl w:val="0"/>
          <w:numId w:val="27"/>
        </w:numPr>
        <w:tabs>
          <w:tab w:pos="1127" w:val="left" w:leader="none"/>
        </w:tabs>
        <w:spacing w:line="417" w:lineRule="auto" w:before="197" w:after="0"/>
        <w:ind w:left="1123" w:right="435" w:hanging="526"/>
        <w:jc w:val="both"/>
        <w:rPr>
          <w:sz w:val="21"/>
        </w:rPr>
      </w:pPr>
      <w:r>
        <w:rPr>
          <w:spacing w:val="-6"/>
          <w:sz w:val="21"/>
        </w:rPr>
        <w:t>基金管理人、基金托管人、单独或合计持有本基金 </w:t>
      </w:r>
      <w:r>
        <w:rPr>
          <w:rFonts w:ascii="Times New Roman" w:eastAsia="Times New Roman"/>
          <w:sz w:val="21"/>
        </w:rPr>
        <w:t>10%</w:t>
      </w:r>
      <w:r>
        <w:rPr>
          <w:spacing w:val="-2"/>
          <w:sz w:val="21"/>
        </w:rPr>
        <w:t>以上</w:t>
      </w:r>
      <w:r>
        <w:rPr>
          <w:rFonts w:ascii="Times New Roman" w:eastAsia="Times New Roman"/>
          <w:sz w:val="21"/>
        </w:rPr>
        <w:t>(</w:t>
      </w:r>
      <w:r>
        <w:rPr>
          <w:spacing w:val="-19"/>
          <w:sz w:val="21"/>
        </w:rPr>
        <w:t>含 </w:t>
      </w:r>
      <w:r>
        <w:rPr>
          <w:rFonts w:ascii="Times New Roman" w:eastAsia="Times New Roman"/>
          <w:sz w:val="21"/>
        </w:rPr>
        <w:t>10%)</w:t>
      </w:r>
      <w:r>
        <w:rPr>
          <w:spacing w:val="-3"/>
          <w:sz w:val="21"/>
        </w:rPr>
        <w:t>基金总份额</w:t>
      </w:r>
      <w:r>
        <w:rPr>
          <w:sz w:val="21"/>
        </w:rPr>
        <w:t>的基金份额持有人可以在基金份额持有人大会召集人发出会议通知前向大会召</w:t>
      </w:r>
      <w:r>
        <w:rPr>
          <w:spacing w:val="-3"/>
          <w:sz w:val="21"/>
        </w:rPr>
        <w:t>集人提交需审议表决的议案。</w:t>
      </w:r>
    </w:p>
    <w:p>
      <w:pPr>
        <w:pStyle w:val="ListParagraph"/>
        <w:numPr>
          <w:ilvl w:val="0"/>
          <w:numId w:val="27"/>
        </w:numPr>
        <w:tabs>
          <w:tab w:pos="1127" w:val="left" w:leader="none"/>
        </w:tabs>
        <w:spacing w:line="417" w:lineRule="auto" w:before="0" w:after="0"/>
        <w:ind w:left="1123" w:right="433" w:hanging="526"/>
        <w:jc w:val="both"/>
        <w:rPr>
          <w:sz w:val="21"/>
        </w:rPr>
      </w:pPr>
      <w:r>
        <w:rPr>
          <w:spacing w:val="-5"/>
          <w:sz w:val="21"/>
        </w:rPr>
        <w:t>基金份额持有人大会的召集人发出召集会议的通知后，对原有提案的修改应当在基金份额持有人大会召开日前 </w:t>
      </w:r>
      <w:r>
        <w:rPr>
          <w:rFonts w:ascii="Times New Roman" w:eastAsia="Times New Roman"/>
          <w:sz w:val="21"/>
        </w:rPr>
        <w:t>10</w:t>
      </w:r>
      <w:r>
        <w:rPr>
          <w:rFonts w:ascii="Times New Roman" w:eastAsia="Times New Roman"/>
          <w:spacing w:val="46"/>
          <w:sz w:val="21"/>
        </w:rPr>
        <w:t> </w:t>
      </w:r>
      <w:r>
        <w:rPr>
          <w:spacing w:val="-3"/>
          <w:sz w:val="21"/>
        </w:rPr>
        <w:t>天公告，否则会议的召开日期应当顺延并保证</w:t>
      </w:r>
    </w:p>
    <w:p>
      <w:pPr>
        <w:pStyle w:val="BodyText"/>
        <w:spacing w:line="269" w:lineRule="exact"/>
        <w:ind w:left="1123"/>
        <w:jc w:val="both"/>
      </w:pPr>
      <w:r>
        <w:rPr/>
        <w:t>至少有 </w:t>
      </w:r>
      <w:r>
        <w:rPr>
          <w:rFonts w:ascii="Times New Roman" w:eastAsia="Times New Roman"/>
        </w:rPr>
        <w:t>10 </w:t>
      </w:r>
      <w:r>
        <w:rPr/>
        <w:t>天的间隔期。</w:t>
      </w:r>
    </w:p>
    <w:p>
      <w:pPr>
        <w:pStyle w:val="BodyText"/>
        <w:rPr>
          <w:sz w:val="22"/>
        </w:rPr>
      </w:pPr>
    </w:p>
    <w:p>
      <w:pPr>
        <w:pStyle w:val="ListParagraph"/>
        <w:numPr>
          <w:ilvl w:val="0"/>
          <w:numId w:val="27"/>
        </w:numPr>
        <w:tabs>
          <w:tab w:pos="1067" w:val="left" w:leader="none"/>
        </w:tabs>
        <w:spacing w:line="240" w:lineRule="auto" w:before="198" w:after="0"/>
        <w:ind w:left="1067" w:right="0" w:hanging="529"/>
        <w:jc w:val="left"/>
        <w:rPr>
          <w:sz w:val="21"/>
        </w:rPr>
      </w:pPr>
      <w:r>
        <w:rPr>
          <w:spacing w:val="-3"/>
          <w:sz w:val="21"/>
        </w:rPr>
        <w:t>基金份额持有人大会不得对未事先公告的议事内容进行表决。</w:t>
      </w:r>
    </w:p>
    <w:p>
      <w:pPr>
        <w:pStyle w:val="BodyText"/>
        <w:rPr>
          <w:sz w:val="22"/>
        </w:rPr>
      </w:pPr>
    </w:p>
    <w:p>
      <w:pPr>
        <w:pStyle w:val="BodyText"/>
        <w:spacing w:before="197"/>
        <w:ind w:left="538"/>
      </w:pPr>
      <w:r>
        <w:rPr>
          <w:rFonts w:ascii="Times New Roman" w:eastAsia="Times New Roman"/>
        </w:rPr>
        <w:t>2</w:t>
      </w:r>
      <w:r>
        <w:rPr/>
        <w:t>、 议事程序</w:t>
      </w:r>
    </w:p>
    <w:p>
      <w:pPr>
        <w:spacing w:after="0"/>
        <w:sectPr>
          <w:pgSz w:w="11910" w:h="16850"/>
          <w:pgMar w:header="852" w:footer="1386" w:top="1420" w:bottom="1580" w:left="1680" w:right="1360"/>
        </w:sectPr>
      </w:pPr>
    </w:p>
    <w:p>
      <w:pPr>
        <w:pStyle w:val="BodyText"/>
        <w:spacing w:before="142"/>
        <w:ind w:left="538"/>
      </w:pPr>
      <w:r>
        <w:rPr>
          <w:rFonts w:ascii="Times New Roman" w:eastAsia="Times New Roman"/>
        </w:rPr>
        <w:t>(1)</w:t>
      </w:r>
      <w:r>
        <w:rPr/>
        <w:t>现场开会</w:t>
      </w:r>
    </w:p>
    <w:p>
      <w:pPr>
        <w:pStyle w:val="BodyText"/>
        <w:rPr>
          <w:sz w:val="22"/>
        </w:rPr>
      </w:pPr>
    </w:p>
    <w:p>
      <w:pPr>
        <w:pStyle w:val="BodyText"/>
        <w:spacing w:line="417" w:lineRule="auto" w:before="197"/>
        <w:ind w:left="118" w:right="433" w:firstLine="422"/>
        <w:jc w:val="both"/>
      </w:pPr>
      <w:r>
        <w:rPr/>
        <w:t>在现场开会的方式下</w:t>
      </w:r>
      <w:r>
        <w:rPr>
          <w:rFonts w:ascii="Times New Roman" w:eastAsia="Times New Roman"/>
        </w:rPr>
        <w:t>,</w:t>
      </w:r>
      <w:r>
        <w:rPr/>
        <w:t>首先由大会主持人按照规定程序宣布会议议事程序及注意事项</w:t>
      </w:r>
      <w:r>
        <w:rPr>
          <w:rFonts w:ascii="Times New Roman" w:eastAsia="Times New Roman"/>
        </w:rPr>
        <w:t>,</w:t>
      </w:r>
      <w:r>
        <w:rPr/>
        <w:t>确定和公布监票人</w:t>
      </w:r>
      <w:r>
        <w:rPr>
          <w:rFonts w:ascii="Times New Roman" w:eastAsia="Times New Roman"/>
        </w:rPr>
        <w:t>,</w:t>
      </w:r>
      <w:r>
        <w:rPr/>
        <w:t>然后由大会主持人宣读提案</w:t>
      </w:r>
      <w:r>
        <w:rPr>
          <w:rFonts w:ascii="Times New Roman" w:eastAsia="Times New Roman"/>
        </w:rPr>
        <w:t>,</w:t>
      </w:r>
      <w:r>
        <w:rPr/>
        <w:t>经讨论后进行表决，经律师见证或公证员公证后形成大会决议。</w:t>
      </w:r>
    </w:p>
    <w:p>
      <w:pPr>
        <w:pStyle w:val="BodyText"/>
        <w:spacing w:before="9"/>
      </w:pPr>
    </w:p>
    <w:p>
      <w:pPr>
        <w:pStyle w:val="BodyText"/>
        <w:spacing w:line="417" w:lineRule="auto"/>
        <w:ind w:left="118" w:right="433" w:firstLine="422"/>
        <w:jc w:val="both"/>
      </w:pPr>
      <w:r>
        <w:rPr>
          <w:spacing w:val="-8"/>
        </w:rPr>
        <w:t>基金份额持有人大会由基金管理人授权代表主持。在基金管理人授权代表未能主持大会的情况下</w:t>
      </w:r>
      <w:r>
        <w:rPr>
          <w:rFonts w:ascii="Times New Roman" w:eastAsia="Times New Roman"/>
          <w:spacing w:val="-8"/>
        </w:rPr>
        <w:t>,</w:t>
      </w:r>
      <w:r>
        <w:rPr>
          <w:spacing w:val="-9"/>
        </w:rPr>
        <w:t>由基金托管人授权代表主持；如果基金管理人和基金托管人授权代表均未能主持</w:t>
      </w:r>
      <w:r>
        <w:rPr>
          <w:spacing w:val="-3"/>
        </w:rPr>
        <w:t>大会，则由出席大会的基金份额持有人或其代理人以所代表的基金份额 </w:t>
      </w:r>
      <w:r>
        <w:rPr>
          <w:rFonts w:ascii="Times New Roman" w:eastAsia="Times New Roman"/>
        </w:rPr>
        <w:t>50%</w:t>
      </w:r>
      <w:r>
        <w:rPr>
          <w:spacing w:val="-1"/>
        </w:rPr>
        <w:t>以上多数</w:t>
      </w:r>
      <w:r>
        <w:rPr>
          <w:rFonts w:ascii="Times New Roman" w:eastAsia="Times New Roman"/>
        </w:rPr>
        <w:t>(</w:t>
      </w:r>
      <w:r>
        <w:rPr>
          <w:spacing w:val="-3"/>
        </w:rPr>
        <w:t>不含</w:t>
      </w:r>
      <w:r>
        <w:rPr>
          <w:rFonts w:ascii="Times New Roman" w:eastAsia="Times New Roman"/>
        </w:rPr>
        <w:t>50%)</w:t>
      </w:r>
      <w:r>
        <w:rPr>
          <w:spacing w:val="-3"/>
        </w:rPr>
        <w:t>选举产生一名代表作为该次基金份额持有人大会的主持人。</w:t>
      </w:r>
    </w:p>
    <w:p>
      <w:pPr>
        <w:pStyle w:val="BodyText"/>
        <w:spacing w:before="12"/>
      </w:pPr>
    </w:p>
    <w:p>
      <w:pPr>
        <w:pStyle w:val="BodyText"/>
        <w:spacing w:line="417" w:lineRule="auto"/>
        <w:ind w:left="118" w:right="330" w:firstLine="419"/>
      </w:pPr>
      <w:r>
        <w:rPr/>
        <w:t>召集人应当制作出席会议人员的签名册。签名册载明参加会议人员姓名</w:t>
      </w:r>
      <w:r>
        <w:rPr>
          <w:rFonts w:ascii="Times New Roman" w:eastAsia="Times New Roman"/>
        </w:rPr>
        <w:t>(</w:t>
      </w:r>
      <w:r>
        <w:rPr/>
        <w:t>或单位名称</w:t>
      </w:r>
      <w:r>
        <w:rPr>
          <w:rFonts w:ascii="Times New Roman" w:eastAsia="Times New Roman"/>
        </w:rPr>
        <w:t>)</w:t>
      </w:r>
      <w:r>
        <w:rPr>
          <w:spacing w:val="-13"/>
        </w:rPr>
        <w:t>、</w:t>
      </w:r>
      <w:r>
        <w:rPr>
          <w:spacing w:val="-6"/>
        </w:rPr>
        <w:t>身份证号码、住所地址、持有或者代表有表决权的基金份额、委托人姓名</w:t>
      </w:r>
      <w:r>
        <w:rPr>
          <w:rFonts w:ascii="Times New Roman" w:eastAsia="Times New Roman"/>
        </w:rPr>
        <w:t>(</w:t>
      </w:r>
      <w:r>
        <w:rPr>
          <w:spacing w:val="-3"/>
        </w:rPr>
        <w:t>或单位名称</w:t>
      </w:r>
      <w:r>
        <w:rPr>
          <w:rFonts w:ascii="Times New Roman" w:eastAsia="Times New Roman"/>
        </w:rPr>
        <w:t>)</w:t>
      </w:r>
      <w:r>
        <w:rPr>
          <w:spacing w:val="-3"/>
        </w:rPr>
        <w:t>等事</w:t>
      </w:r>
      <w:r>
        <w:rPr/>
        <w:t>项。</w:t>
      </w:r>
    </w:p>
    <w:p>
      <w:pPr>
        <w:pStyle w:val="BodyText"/>
        <w:spacing w:before="11"/>
      </w:pPr>
    </w:p>
    <w:p>
      <w:pPr>
        <w:pStyle w:val="BodyText"/>
        <w:ind w:left="538"/>
      </w:pPr>
      <w:r>
        <w:rPr/>
        <w:t>（</w:t>
      </w:r>
      <w:r>
        <w:rPr>
          <w:rFonts w:ascii="Times New Roman" w:eastAsia="Times New Roman"/>
        </w:rPr>
        <w:t>2</w:t>
      </w:r>
      <w:r>
        <w:rPr/>
        <w:t>）通讯方式开会</w:t>
      </w:r>
    </w:p>
    <w:p>
      <w:pPr>
        <w:pStyle w:val="BodyText"/>
        <w:rPr>
          <w:sz w:val="22"/>
        </w:rPr>
      </w:pPr>
    </w:p>
    <w:p>
      <w:pPr>
        <w:pStyle w:val="BodyText"/>
        <w:spacing w:line="417" w:lineRule="auto" w:before="196"/>
        <w:ind w:left="118" w:right="433" w:firstLine="419"/>
      </w:pPr>
      <w:r>
        <w:rPr>
          <w:spacing w:val="-9"/>
        </w:rPr>
        <w:t>在通讯方式开会的情况下，公告会议通知时应当同时公布提案；在通知载明的表决截止</w:t>
      </w:r>
      <w:r>
        <w:rPr>
          <w:spacing w:val="-5"/>
        </w:rPr>
        <w:t>日期后第二天在公证机构监督下统计全部有效表决，形成决议，报中国证监会备案。</w:t>
      </w:r>
    </w:p>
    <w:p>
      <w:pPr>
        <w:pStyle w:val="BodyText"/>
        <w:spacing w:before="11"/>
      </w:pPr>
    </w:p>
    <w:p>
      <w:pPr>
        <w:pStyle w:val="BodyText"/>
        <w:ind w:left="538"/>
      </w:pPr>
      <w:r>
        <w:rPr/>
        <w:t>（七）表决</w:t>
      </w:r>
    </w:p>
    <w:p>
      <w:pPr>
        <w:pStyle w:val="BodyText"/>
        <w:rPr>
          <w:sz w:val="20"/>
        </w:rPr>
      </w:pPr>
    </w:p>
    <w:p>
      <w:pPr>
        <w:pStyle w:val="BodyText"/>
        <w:spacing w:before="6"/>
        <w:rPr>
          <w:sz w:val="17"/>
        </w:rPr>
      </w:pPr>
    </w:p>
    <w:p>
      <w:pPr>
        <w:pStyle w:val="BodyText"/>
        <w:spacing w:line="417" w:lineRule="auto"/>
        <w:ind w:left="118" w:right="328" w:firstLine="419"/>
      </w:pPr>
      <w:r>
        <w:rPr>
          <w:rFonts w:ascii="Times New Roman" w:eastAsia="Times New Roman"/>
        </w:rPr>
        <w:t>1</w:t>
      </w:r>
      <w:r>
        <w:rPr/>
        <w:t>、 基金份额持有人所持每一份</w:t>
      </w:r>
      <w:r>
        <w:rPr>
          <w:rFonts w:ascii="Times New Roman" w:eastAsia="Times New Roman"/>
        </w:rPr>
        <w:t>A </w:t>
      </w:r>
      <w:r>
        <w:rPr/>
        <w:t>类基金份额或每一份</w:t>
      </w:r>
      <w:r>
        <w:rPr>
          <w:rFonts w:ascii="Times New Roman" w:eastAsia="Times New Roman"/>
        </w:rPr>
        <w:t>B </w:t>
      </w:r>
      <w:r>
        <w:rPr/>
        <w:t>类基金份额具有一票表决权， 所持每一份 </w:t>
      </w:r>
      <w:r>
        <w:rPr>
          <w:rFonts w:ascii="Times New Roman" w:eastAsia="Times New Roman"/>
        </w:rPr>
        <w:t>E </w:t>
      </w:r>
      <w:r>
        <w:rPr/>
        <w:t>类基金份额具有 </w:t>
      </w:r>
      <w:r>
        <w:rPr>
          <w:rFonts w:ascii="Times New Roman" w:eastAsia="Times New Roman"/>
        </w:rPr>
        <w:t>100 </w:t>
      </w:r>
      <w:r>
        <w:rPr/>
        <w:t>票表决权，基金份额持有人可以委托代理人出席基金份额持有人大会并行使表决权；</w:t>
      </w:r>
    </w:p>
    <w:p>
      <w:pPr>
        <w:pStyle w:val="BodyText"/>
        <w:spacing w:before="9"/>
      </w:pPr>
    </w:p>
    <w:p>
      <w:pPr>
        <w:pStyle w:val="BodyText"/>
        <w:spacing w:before="1"/>
        <w:ind w:left="538"/>
      </w:pPr>
      <w:r>
        <w:rPr>
          <w:rFonts w:ascii="Times New Roman" w:eastAsia="Times New Roman"/>
        </w:rPr>
        <w:t>2</w:t>
      </w:r>
      <w:r>
        <w:rPr/>
        <w:t>、 基金份额持有人大会决议分为一般决议和特别决议。</w:t>
      </w:r>
    </w:p>
    <w:p>
      <w:pPr>
        <w:pStyle w:val="BodyText"/>
        <w:rPr>
          <w:sz w:val="22"/>
        </w:rPr>
      </w:pPr>
    </w:p>
    <w:p>
      <w:pPr>
        <w:pStyle w:val="ListParagraph"/>
        <w:numPr>
          <w:ilvl w:val="0"/>
          <w:numId w:val="28"/>
        </w:numPr>
        <w:tabs>
          <w:tab w:pos="1067" w:val="left" w:leader="none"/>
        </w:tabs>
        <w:spacing w:line="240" w:lineRule="auto" w:before="197" w:after="0"/>
        <w:ind w:left="1067" w:right="0" w:hanging="529"/>
        <w:jc w:val="left"/>
        <w:rPr>
          <w:sz w:val="21"/>
        </w:rPr>
      </w:pPr>
      <w:r>
        <w:rPr>
          <w:spacing w:val="-2"/>
          <w:sz w:val="21"/>
        </w:rPr>
        <w:t>一般决议</w:t>
      </w:r>
    </w:p>
    <w:p>
      <w:pPr>
        <w:pStyle w:val="BodyText"/>
        <w:rPr>
          <w:sz w:val="22"/>
        </w:rPr>
      </w:pPr>
    </w:p>
    <w:p>
      <w:pPr>
        <w:pStyle w:val="BodyText"/>
        <w:spacing w:before="6"/>
        <w:rPr>
          <w:sz w:val="15"/>
        </w:rPr>
      </w:pPr>
    </w:p>
    <w:p>
      <w:pPr>
        <w:pStyle w:val="BodyText"/>
        <w:spacing w:line="417" w:lineRule="auto"/>
        <w:ind w:left="118" w:right="435" w:firstLine="419"/>
      </w:pPr>
      <w:r>
        <w:rPr/>
        <w:t>一般决议须经参加会议的基金份额持有人或其代理人所持表决权的 </w:t>
      </w:r>
      <w:r>
        <w:rPr>
          <w:rFonts w:ascii="Times New Roman" w:eastAsia="Times New Roman"/>
        </w:rPr>
        <w:t>50</w:t>
      </w:r>
      <w:r>
        <w:rPr/>
        <w:t>％以上通过方为有效。</w:t>
      </w:r>
    </w:p>
    <w:p>
      <w:pPr>
        <w:spacing w:after="0" w:line="417" w:lineRule="auto"/>
        <w:sectPr>
          <w:pgSz w:w="11910" w:h="16850"/>
          <w:pgMar w:header="852" w:footer="1386" w:top="1420" w:bottom="1580" w:left="1680" w:right="1360"/>
        </w:sectPr>
      </w:pPr>
    </w:p>
    <w:p>
      <w:pPr>
        <w:pStyle w:val="BodyText"/>
        <w:spacing w:line="417" w:lineRule="auto" w:before="142"/>
        <w:ind w:left="118" w:right="436" w:firstLine="419"/>
      </w:pPr>
      <w:r>
        <w:rPr/>
        <w:t>除下列（</w:t>
      </w:r>
      <w:r>
        <w:rPr>
          <w:rFonts w:ascii="Times New Roman" w:eastAsia="Times New Roman"/>
        </w:rPr>
        <w:t>2</w:t>
      </w:r>
      <w:r>
        <w:rPr/>
        <w:t>）所规定的须以特别决议通过的事项以外的其他事项均应以一般决议的方式通过。法律法规另有规定时从其规定。</w:t>
      </w:r>
    </w:p>
    <w:p>
      <w:pPr>
        <w:pStyle w:val="BodyText"/>
        <w:spacing w:before="11"/>
      </w:pPr>
    </w:p>
    <w:p>
      <w:pPr>
        <w:pStyle w:val="ListParagraph"/>
        <w:numPr>
          <w:ilvl w:val="0"/>
          <w:numId w:val="28"/>
        </w:numPr>
        <w:tabs>
          <w:tab w:pos="1067" w:val="left" w:leader="none"/>
        </w:tabs>
        <w:spacing w:line="240" w:lineRule="auto" w:before="0" w:after="0"/>
        <w:ind w:left="1067" w:right="0" w:hanging="529"/>
        <w:jc w:val="left"/>
        <w:rPr>
          <w:sz w:val="21"/>
        </w:rPr>
      </w:pPr>
      <w:r>
        <w:rPr>
          <w:spacing w:val="-2"/>
          <w:sz w:val="21"/>
        </w:rPr>
        <w:t>特别决议</w:t>
      </w:r>
    </w:p>
    <w:p>
      <w:pPr>
        <w:pStyle w:val="BodyText"/>
        <w:rPr>
          <w:sz w:val="22"/>
        </w:rPr>
      </w:pPr>
    </w:p>
    <w:p>
      <w:pPr>
        <w:pStyle w:val="BodyText"/>
        <w:spacing w:line="417" w:lineRule="auto" w:before="195"/>
        <w:ind w:left="118" w:right="433" w:firstLine="419"/>
        <w:jc w:val="both"/>
      </w:pPr>
      <w:r>
        <w:rPr/>
        <w:t>须经基金份额持有人大会通过的特别决议应当经参加会议的基金份额持有人或其代理</w:t>
      </w:r>
      <w:r>
        <w:rPr>
          <w:spacing w:val="-8"/>
        </w:rPr>
        <w:t>人所持表决权的三分之二以上通过方为有效。除基金合同另有约定外，涉及转换本基金运作</w:t>
      </w:r>
      <w:r>
        <w:rPr>
          <w:spacing w:val="-12"/>
        </w:rPr>
        <w:t>方式、本基金合同的提前终止、更换基金管理人、更换基金托管人等事由必须以特别决议通</w:t>
      </w:r>
      <w:r>
        <w:rPr>
          <w:spacing w:val="-6"/>
        </w:rPr>
        <w:t>过方为有效。</w:t>
      </w:r>
    </w:p>
    <w:p>
      <w:pPr>
        <w:pStyle w:val="BodyText"/>
        <w:spacing w:before="12"/>
      </w:pPr>
    </w:p>
    <w:p>
      <w:pPr>
        <w:pStyle w:val="BodyText"/>
        <w:spacing w:line="417" w:lineRule="auto"/>
        <w:ind w:left="118" w:right="433" w:firstLine="419"/>
        <w:jc w:val="both"/>
        <w:rPr>
          <w:rFonts w:ascii="Microsoft JhengHei" w:eastAsia="Microsoft JhengHei" w:hint="eastAsia"/>
          <w:b/>
        </w:rPr>
      </w:pPr>
      <w:r>
        <w:rPr>
          <w:rFonts w:ascii="Times New Roman" w:eastAsia="Times New Roman"/>
        </w:rPr>
        <w:t>3</w:t>
      </w:r>
      <w:r>
        <w:rPr>
          <w:spacing w:val="-6"/>
        </w:rPr>
        <w:t>、 与某一表决事项有利害关系的基金份额持有人不得就该事项行使表决权；该基金份</w:t>
      </w:r>
      <w:r>
        <w:rPr>
          <w:spacing w:val="-8"/>
        </w:rPr>
        <w:t>额持有人持有的基金份额所代表的表决权份额不计入有效的表决权总额；但是，上述有利害关系的基金份额持有人所代表的基金份额仍应计算入出席基金份额持有人大会之基金份额</w:t>
      </w:r>
      <w:r>
        <w:rPr>
          <w:spacing w:val="-5"/>
        </w:rPr>
        <w:t>持有人及代理人所代表的基金份额总数。</w:t>
      </w:r>
      <w:r>
        <w:rPr>
          <w:rFonts w:ascii="Microsoft JhengHei" w:eastAsia="Microsoft JhengHei" w:hint="eastAsia"/>
          <w:b/>
          <w:w w:val="201"/>
        </w:rPr>
        <w:t> </w:t>
      </w:r>
    </w:p>
    <w:p>
      <w:pPr>
        <w:pStyle w:val="BodyText"/>
        <w:spacing w:before="4"/>
        <w:rPr>
          <w:rFonts w:ascii="Microsoft JhengHei"/>
          <w:b/>
          <w:sz w:val="15"/>
        </w:rPr>
      </w:pPr>
    </w:p>
    <w:p>
      <w:pPr>
        <w:pStyle w:val="BodyText"/>
        <w:ind w:left="598"/>
      </w:pPr>
      <w:r>
        <w:rPr>
          <w:rFonts w:ascii="Times New Roman" w:eastAsia="Times New Roman"/>
        </w:rPr>
        <w:t>4</w:t>
      </w:r>
      <w:r>
        <w:rPr/>
        <w:t>、基金份额持有人大会采取记名方式进行投票表决。 </w:t>
      </w:r>
    </w:p>
    <w:p>
      <w:pPr>
        <w:pStyle w:val="BodyText"/>
        <w:rPr>
          <w:sz w:val="22"/>
        </w:rPr>
      </w:pPr>
    </w:p>
    <w:p>
      <w:pPr>
        <w:pStyle w:val="BodyText"/>
        <w:spacing w:line="417" w:lineRule="auto" w:before="196"/>
        <w:ind w:left="118" w:right="433" w:firstLine="419"/>
        <w:jc w:val="both"/>
      </w:pPr>
      <w:r>
        <w:rPr>
          <w:rFonts w:ascii="Times New Roman" w:eastAsia="Times New Roman"/>
        </w:rPr>
        <w:t>5</w:t>
      </w:r>
      <w:r>
        <w:rPr>
          <w:spacing w:val="-3"/>
        </w:rPr>
        <w:t>、采取书面通讯方式进行表决时，除非在计票时有充分的相反证据证明，否则表面符</w:t>
      </w:r>
      <w:r>
        <w:rPr>
          <w:spacing w:val="-11"/>
        </w:rPr>
        <w:t>合法律、法规和会议通知规定的书面表决意见即视为有效的表决；表决意见模糊不清或相互</w:t>
      </w:r>
      <w:r>
        <w:rPr>
          <w:spacing w:val="-6"/>
        </w:rPr>
        <w:t>矛盾的视为无效表决。</w:t>
      </w:r>
      <w:r>
        <w:rPr/>
        <w:t> </w:t>
      </w:r>
    </w:p>
    <w:p>
      <w:pPr>
        <w:pStyle w:val="BodyText"/>
        <w:spacing w:before="11"/>
      </w:pPr>
    </w:p>
    <w:p>
      <w:pPr>
        <w:pStyle w:val="BodyText"/>
        <w:spacing w:line="417" w:lineRule="auto" w:before="1"/>
        <w:ind w:left="118" w:right="436" w:firstLine="419"/>
      </w:pPr>
      <w:r>
        <w:rPr>
          <w:rFonts w:ascii="Times New Roman" w:eastAsia="Times New Roman"/>
        </w:rPr>
        <w:t>6</w:t>
      </w:r>
      <w:r>
        <w:rPr/>
        <w:t>、基金份额持有人大会的各项提案或同一项提案内并列的各项议题应当分开审议、逐项表决。</w:t>
      </w:r>
    </w:p>
    <w:p>
      <w:pPr>
        <w:pStyle w:val="BodyText"/>
        <w:spacing w:before="11"/>
      </w:pPr>
    </w:p>
    <w:p>
      <w:pPr>
        <w:pStyle w:val="BodyText"/>
        <w:ind w:left="598"/>
      </w:pPr>
      <w:r>
        <w:rPr/>
        <w:t>（八）计票</w:t>
      </w:r>
    </w:p>
    <w:p>
      <w:pPr>
        <w:pStyle w:val="BodyText"/>
        <w:rPr>
          <w:sz w:val="20"/>
        </w:rPr>
      </w:pPr>
    </w:p>
    <w:p>
      <w:pPr>
        <w:pStyle w:val="BodyText"/>
        <w:spacing w:before="4"/>
        <w:rPr>
          <w:sz w:val="17"/>
        </w:rPr>
      </w:pPr>
    </w:p>
    <w:p>
      <w:pPr>
        <w:pStyle w:val="BodyText"/>
        <w:ind w:left="538"/>
      </w:pPr>
      <w:r>
        <w:rPr>
          <w:rFonts w:ascii="Times New Roman" w:eastAsia="Times New Roman"/>
        </w:rPr>
        <w:t>1</w:t>
      </w:r>
      <w:r>
        <w:rPr/>
        <w:t>、现场开会</w:t>
      </w:r>
    </w:p>
    <w:p>
      <w:pPr>
        <w:pStyle w:val="BodyText"/>
        <w:spacing w:before="7"/>
        <w:rPr>
          <w:sz w:val="22"/>
        </w:rPr>
      </w:pPr>
    </w:p>
    <w:p>
      <w:pPr>
        <w:pStyle w:val="ListParagraph"/>
        <w:numPr>
          <w:ilvl w:val="0"/>
          <w:numId w:val="29"/>
        </w:numPr>
        <w:tabs>
          <w:tab w:pos="785" w:val="left" w:leader="none"/>
        </w:tabs>
        <w:spacing w:line="460" w:lineRule="atLeast" w:before="0" w:after="0"/>
        <w:ind w:left="118" w:right="436" w:firstLine="419"/>
        <w:jc w:val="both"/>
        <w:rPr>
          <w:sz w:val="21"/>
        </w:rPr>
      </w:pPr>
      <w:r>
        <w:rPr>
          <w:spacing w:val="-3"/>
          <w:sz w:val="21"/>
        </w:rPr>
        <w:t>如基金份额持有人大会由基金管理人或基金托管人召集</w:t>
      </w:r>
      <w:r>
        <w:rPr>
          <w:rFonts w:ascii="Times New Roman" w:eastAsia="Times New Roman"/>
          <w:sz w:val="21"/>
        </w:rPr>
        <w:t>,</w:t>
      </w:r>
      <w:r>
        <w:rPr>
          <w:spacing w:val="-3"/>
          <w:sz w:val="21"/>
        </w:rPr>
        <w:t>则基金份额持有人大会的主</w:t>
      </w:r>
      <w:r>
        <w:rPr>
          <w:sz w:val="21"/>
        </w:rPr>
        <w:t>持人应当在会议开始后宣布在出席会议的基金份额持有人和代理人中选举两名代表与大会召集人授权的一名监督员共同担任监票人；如大会由基金份额持有人自行召集</w:t>
      </w:r>
      <w:r>
        <w:rPr>
          <w:rFonts w:ascii="Times New Roman" w:eastAsia="Times New Roman"/>
          <w:sz w:val="21"/>
        </w:rPr>
        <w:t>,</w:t>
      </w:r>
      <w:r>
        <w:rPr>
          <w:spacing w:val="-4"/>
          <w:sz w:val="21"/>
        </w:rPr>
        <w:t>基金份额持</w:t>
      </w:r>
      <w:r>
        <w:rPr>
          <w:sz w:val="21"/>
        </w:rPr>
        <w:t>有人大会的主持人应当在会议开始后宣布在出席会议的基金份额持有人和代理人中选举三</w:t>
      </w:r>
      <w:r>
        <w:rPr>
          <w:spacing w:val="-3"/>
          <w:sz w:val="21"/>
        </w:rPr>
        <w:t>名代表担任监票人。</w:t>
      </w:r>
    </w:p>
    <w:p>
      <w:pPr>
        <w:spacing w:after="0" w:line="460" w:lineRule="atLeast"/>
        <w:jc w:val="both"/>
        <w:rPr>
          <w:sz w:val="21"/>
        </w:rPr>
        <w:sectPr>
          <w:pgSz w:w="11910" w:h="16850"/>
          <w:pgMar w:header="852" w:footer="1386" w:top="1420" w:bottom="1580" w:left="1680" w:right="1360"/>
        </w:sectPr>
      </w:pPr>
    </w:p>
    <w:p>
      <w:pPr>
        <w:pStyle w:val="ListParagraph"/>
        <w:numPr>
          <w:ilvl w:val="0"/>
          <w:numId w:val="29"/>
        </w:numPr>
        <w:tabs>
          <w:tab w:pos="786" w:val="left" w:leader="none"/>
        </w:tabs>
        <w:spacing w:line="417" w:lineRule="auto" w:before="142" w:after="0"/>
        <w:ind w:left="118" w:right="440" w:firstLine="419"/>
        <w:jc w:val="left"/>
        <w:rPr>
          <w:sz w:val="21"/>
        </w:rPr>
      </w:pPr>
      <w:r>
        <w:rPr>
          <w:spacing w:val="-1"/>
          <w:sz w:val="21"/>
        </w:rPr>
        <w:t>监票人应当在基金份额持有人表决后立即进行清点并由大会主持人当场公布计票结</w:t>
      </w:r>
      <w:r>
        <w:rPr>
          <w:sz w:val="21"/>
        </w:rPr>
        <w:t>果。</w:t>
      </w:r>
    </w:p>
    <w:p>
      <w:pPr>
        <w:pStyle w:val="BodyText"/>
        <w:spacing w:before="11"/>
      </w:pPr>
    </w:p>
    <w:p>
      <w:pPr>
        <w:pStyle w:val="ListParagraph"/>
        <w:numPr>
          <w:ilvl w:val="0"/>
          <w:numId w:val="29"/>
        </w:numPr>
        <w:tabs>
          <w:tab w:pos="785" w:val="left" w:leader="none"/>
        </w:tabs>
        <w:spacing w:line="417" w:lineRule="auto" w:before="0" w:after="0"/>
        <w:ind w:left="118" w:right="433" w:firstLine="419"/>
        <w:jc w:val="both"/>
        <w:rPr>
          <w:sz w:val="21"/>
        </w:rPr>
      </w:pPr>
      <w:r>
        <w:rPr>
          <w:spacing w:val="-1"/>
          <w:sz w:val="21"/>
        </w:rPr>
        <w:t>如果大会主持人对于提交的表决结果有怀疑</w:t>
      </w:r>
      <w:r>
        <w:rPr>
          <w:rFonts w:ascii="Times New Roman" w:eastAsia="Times New Roman"/>
          <w:sz w:val="21"/>
        </w:rPr>
        <w:t>,</w:t>
      </w:r>
      <w:r>
        <w:rPr>
          <w:spacing w:val="-3"/>
          <w:sz w:val="21"/>
        </w:rPr>
        <w:t>可以对所投票数进行重新清点；如果大会主持人未进行重新清点</w:t>
      </w:r>
      <w:r>
        <w:rPr>
          <w:rFonts w:ascii="Times New Roman" w:eastAsia="Times New Roman"/>
          <w:sz w:val="21"/>
        </w:rPr>
        <w:t>,</w:t>
      </w:r>
      <w:r>
        <w:rPr>
          <w:spacing w:val="-1"/>
          <w:sz w:val="21"/>
        </w:rPr>
        <w:t>而出席会议的基金份额持有人或者代理人对大会主持人宣布的表决结果有异议</w:t>
      </w:r>
      <w:r>
        <w:rPr>
          <w:rFonts w:ascii="Times New Roman" w:eastAsia="Times New Roman"/>
          <w:spacing w:val="-3"/>
          <w:sz w:val="21"/>
        </w:rPr>
        <w:t>,</w:t>
      </w:r>
      <w:r>
        <w:rPr>
          <w:spacing w:val="-3"/>
          <w:sz w:val="21"/>
        </w:rPr>
        <w:t>有权在宣布表决结果后立即要求重新清点</w:t>
      </w:r>
      <w:r>
        <w:rPr>
          <w:rFonts w:ascii="Times New Roman" w:eastAsia="Times New Roman"/>
          <w:sz w:val="21"/>
        </w:rPr>
        <w:t>,</w:t>
      </w:r>
      <w:r>
        <w:rPr>
          <w:spacing w:val="-3"/>
          <w:sz w:val="21"/>
        </w:rPr>
        <w:t>大会主持人应当立即重新清点并公布重新清点结果。</w:t>
      </w:r>
    </w:p>
    <w:p>
      <w:pPr>
        <w:pStyle w:val="BodyText"/>
        <w:spacing w:before="8"/>
      </w:pPr>
    </w:p>
    <w:p>
      <w:pPr>
        <w:pStyle w:val="BodyText"/>
        <w:spacing w:before="1"/>
        <w:ind w:left="538"/>
      </w:pPr>
      <w:r>
        <w:rPr>
          <w:rFonts w:ascii="Times New Roman" w:eastAsia="Times New Roman"/>
        </w:rPr>
        <w:t>2</w:t>
      </w:r>
      <w:r>
        <w:rPr/>
        <w:t>、通讯方式开会</w:t>
      </w:r>
    </w:p>
    <w:p>
      <w:pPr>
        <w:pStyle w:val="BodyText"/>
        <w:rPr>
          <w:sz w:val="22"/>
        </w:rPr>
      </w:pPr>
    </w:p>
    <w:p>
      <w:pPr>
        <w:pStyle w:val="BodyText"/>
        <w:spacing w:before="6"/>
        <w:rPr>
          <w:sz w:val="15"/>
        </w:rPr>
      </w:pPr>
    </w:p>
    <w:p>
      <w:pPr>
        <w:pStyle w:val="BodyText"/>
        <w:spacing w:line="417" w:lineRule="auto"/>
        <w:ind w:left="118" w:right="436" w:firstLine="479"/>
      </w:pPr>
      <w:r>
        <w:rPr/>
        <w:t>在通讯方式开会的情况下</w:t>
      </w:r>
      <w:r>
        <w:rPr>
          <w:rFonts w:ascii="Times New Roman" w:eastAsia="Times New Roman"/>
        </w:rPr>
        <w:t>,</w:t>
      </w:r>
      <w:r>
        <w:rPr/>
        <w:t>计票方式为：由大会召集人授权的两名监督员在基金托管人授权代表的监督下进行计票</w:t>
      </w:r>
      <w:r>
        <w:rPr>
          <w:rFonts w:ascii="Times New Roman" w:eastAsia="Times New Roman"/>
        </w:rPr>
        <w:t>,</w:t>
      </w:r>
      <w:r>
        <w:rPr/>
        <w:t>并由公证机关对其计票过程予以公证。</w:t>
      </w:r>
    </w:p>
    <w:p>
      <w:pPr>
        <w:pStyle w:val="BodyText"/>
        <w:spacing w:before="11"/>
      </w:pPr>
    </w:p>
    <w:p>
      <w:pPr>
        <w:pStyle w:val="BodyText"/>
        <w:ind w:left="538"/>
      </w:pPr>
      <w:r>
        <w:rPr/>
        <w:t>（九）生效与公告</w:t>
      </w:r>
    </w:p>
    <w:p>
      <w:pPr>
        <w:pStyle w:val="BodyText"/>
        <w:rPr>
          <w:sz w:val="20"/>
        </w:rPr>
      </w:pPr>
    </w:p>
    <w:p>
      <w:pPr>
        <w:pStyle w:val="BodyText"/>
        <w:spacing w:before="3"/>
        <w:rPr>
          <w:sz w:val="17"/>
        </w:rPr>
      </w:pPr>
    </w:p>
    <w:p>
      <w:pPr>
        <w:pStyle w:val="BodyText"/>
        <w:spacing w:line="417" w:lineRule="auto" w:before="1"/>
        <w:ind w:left="118" w:right="436" w:firstLine="631"/>
        <w:jc w:val="both"/>
      </w:pPr>
      <w:r>
        <w:rPr>
          <w:spacing w:val="-6"/>
        </w:rPr>
        <w:t>基金份额持有人大会的召集人自决议事项通过之日起五日内报中国证监会备案，自基</w:t>
      </w:r>
      <w:r>
        <w:rPr>
          <w:spacing w:val="-3"/>
        </w:rPr>
        <w:t>金份额持有人大会决议表决通过之日起生效。基金份额持有人大会决议自生效之日起 </w:t>
      </w:r>
      <w:r>
        <w:rPr>
          <w:rFonts w:ascii="Times New Roman" w:eastAsia="Times New Roman"/>
        </w:rPr>
        <w:t>2 </w:t>
      </w:r>
      <w:r>
        <w:rPr/>
        <w:t>日</w:t>
      </w:r>
      <w:r>
        <w:rPr>
          <w:spacing w:val="-3"/>
        </w:rPr>
        <w:t>内由相关信息披露义务人在至少一种中国证监会指定的媒介予以公告。</w:t>
      </w:r>
    </w:p>
    <w:p>
      <w:pPr>
        <w:pStyle w:val="BodyText"/>
        <w:spacing w:before="11"/>
      </w:pPr>
    </w:p>
    <w:p>
      <w:pPr>
        <w:pStyle w:val="BodyText"/>
        <w:spacing w:line="417" w:lineRule="auto"/>
        <w:ind w:left="118" w:right="433" w:firstLine="631"/>
        <w:jc w:val="both"/>
      </w:pPr>
      <w:r>
        <w:rPr>
          <w:spacing w:val="-12"/>
        </w:rPr>
        <w:t>除非法律法规、本基金合同另有规定，生效的基金份额持有人大会决议对全体基金份额持有人、基金管理人、基金托管人均具有法律约束力，基金管理人、基金托管人和基金份</w:t>
      </w:r>
      <w:r>
        <w:rPr>
          <w:spacing w:val="-6"/>
        </w:rPr>
        <w:t>额持有人应当执行。</w:t>
      </w:r>
    </w:p>
    <w:p>
      <w:pPr>
        <w:spacing w:after="0" w:line="417" w:lineRule="auto"/>
        <w:jc w:val="both"/>
        <w:sectPr>
          <w:pgSz w:w="11910" w:h="16850"/>
          <w:pgMar w:header="852" w:footer="1386" w:top="1420" w:bottom="1580" w:left="1680" w:right="1360"/>
        </w:sectPr>
      </w:pPr>
    </w:p>
    <w:p>
      <w:pPr>
        <w:pStyle w:val="Heading1"/>
        <w:ind w:left="600" w:right="0"/>
        <w:jc w:val="left"/>
      </w:pPr>
      <w:bookmarkStart w:name="_bookmark33" w:id="34"/>
      <w:bookmarkEnd w:id="34"/>
      <w:r>
        <w:rPr/>
      </w:r>
      <w:r>
        <w:rPr/>
        <w:t>十二、 基金管理人、基金托管人的更换条件和程序</w:t>
      </w:r>
    </w:p>
    <w:p>
      <w:pPr>
        <w:pStyle w:val="BodyText"/>
        <w:spacing w:before="5"/>
        <w:rPr>
          <w:sz w:val="43"/>
        </w:rPr>
      </w:pPr>
    </w:p>
    <w:p>
      <w:pPr>
        <w:spacing w:before="0"/>
        <w:ind w:left="118" w:right="0" w:firstLine="0"/>
        <w:jc w:val="left"/>
        <w:rPr>
          <w:rFonts w:ascii="Microsoft JhengHei" w:eastAsia="Microsoft JhengHei" w:hint="eastAsia"/>
          <w:b/>
          <w:sz w:val="28"/>
        </w:rPr>
      </w:pPr>
      <w:bookmarkStart w:name="_bookmark34" w:id="35"/>
      <w:bookmarkEnd w:id="35"/>
      <w:r>
        <w:rPr/>
      </w:r>
      <w:r>
        <w:rPr>
          <w:sz w:val="28"/>
        </w:rPr>
        <w:t>（一）基金管理人和基金托管人的更换条件</w:t>
      </w:r>
      <w:r>
        <w:rPr>
          <w:rFonts w:ascii="Microsoft JhengHei" w:eastAsia="Microsoft JhengHei" w:hint="eastAsia"/>
          <w:b/>
          <w:w w:val="200"/>
          <w:sz w:val="28"/>
        </w:rPr>
        <w:t> </w:t>
      </w:r>
    </w:p>
    <w:p>
      <w:pPr>
        <w:pStyle w:val="BodyText"/>
        <w:spacing w:before="8"/>
        <w:rPr>
          <w:rFonts w:ascii="Microsoft JhengHei"/>
          <w:b/>
          <w:sz w:val="29"/>
        </w:rPr>
      </w:pPr>
    </w:p>
    <w:p>
      <w:pPr>
        <w:pStyle w:val="BodyText"/>
        <w:spacing w:before="1"/>
        <w:ind w:left="538"/>
      </w:pPr>
      <w:r>
        <w:rPr>
          <w:rFonts w:ascii="Times New Roman" w:eastAsia="Times New Roman"/>
        </w:rPr>
        <w:t>1</w:t>
      </w:r>
      <w:r>
        <w:rPr/>
        <w:t>、基金管理人的更换条件</w:t>
      </w:r>
    </w:p>
    <w:p>
      <w:pPr>
        <w:pStyle w:val="BodyText"/>
        <w:rPr>
          <w:sz w:val="22"/>
        </w:rPr>
      </w:pPr>
    </w:p>
    <w:p>
      <w:pPr>
        <w:pStyle w:val="BodyText"/>
        <w:spacing w:before="198"/>
        <w:ind w:left="538"/>
      </w:pPr>
      <w:r>
        <w:rPr/>
        <w:t>有下列情形之一的，须更换基金管理人：</w:t>
      </w:r>
    </w:p>
    <w:p>
      <w:pPr>
        <w:pStyle w:val="BodyText"/>
        <w:rPr>
          <w:sz w:val="20"/>
        </w:rPr>
      </w:pPr>
    </w:p>
    <w:p>
      <w:pPr>
        <w:pStyle w:val="BodyText"/>
        <w:spacing w:before="3"/>
        <w:rPr>
          <w:sz w:val="17"/>
        </w:rPr>
      </w:pPr>
    </w:p>
    <w:p>
      <w:pPr>
        <w:pStyle w:val="ListParagraph"/>
        <w:numPr>
          <w:ilvl w:val="0"/>
          <w:numId w:val="30"/>
        </w:numPr>
        <w:tabs>
          <w:tab w:pos="1067" w:val="left" w:leader="none"/>
        </w:tabs>
        <w:spacing w:line="417" w:lineRule="auto" w:before="0" w:after="0"/>
        <w:ind w:left="118" w:right="436" w:firstLine="419"/>
        <w:jc w:val="left"/>
        <w:rPr>
          <w:sz w:val="21"/>
        </w:rPr>
      </w:pPr>
      <w:r>
        <w:rPr>
          <w:spacing w:val="-3"/>
          <w:sz w:val="21"/>
        </w:rPr>
        <w:t>基金管理人解散、依法被撤销、被裁定进入破产清算程序或者由接管人接管其资产的；</w:t>
      </w:r>
    </w:p>
    <w:p>
      <w:pPr>
        <w:pStyle w:val="BodyText"/>
        <w:spacing w:before="12"/>
      </w:pPr>
    </w:p>
    <w:p>
      <w:pPr>
        <w:pStyle w:val="ListParagraph"/>
        <w:numPr>
          <w:ilvl w:val="0"/>
          <w:numId w:val="30"/>
        </w:numPr>
        <w:tabs>
          <w:tab w:pos="1067" w:val="left" w:leader="none"/>
        </w:tabs>
        <w:spacing w:line="240" w:lineRule="auto" w:before="0" w:after="0"/>
        <w:ind w:left="1067" w:right="0" w:hanging="529"/>
        <w:jc w:val="left"/>
        <w:rPr>
          <w:sz w:val="21"/>
        </w:rPr>
      </w:pPr>
      <w:r>
        <w:rPr>
          <w:spacing w:val="-3"/>
          <w:sz w:val="21"/>
        </w:rPr>
        <w:t>基金托管人有充分理由认为更换基金管理人符合基金份额持有人利益的；</w:t>
      </w:r>
    </w:p>
    <w:p>
      <w:pPr>
        <w:pStyle w:val="BodyText"/>
        <w:rPr>
          <w:sz w:val="22"/>
        </w:rPr>
      </w:pPr>
    </w:p>
    <w:p>
      <w:pPr>
        <w:pStyle w:val="ListParagraph"/>
        <w:numPr>
          <w:ilvl w:val="0"/>
          <w:numId w:val="30"/>
        </w:numPr>
        <w:tabs>
          <w:tab w:pos="1067" w:val="left" w:leader="none"/>
        </w:tabs>
        <w:spacing w:line="240" w:lineRule="auto" w:before="198" w:after="0"/>
        <w:ind w:left="1067" w:right="0" w:hanging="529"/>
        <w:jc w:val="left"/>
        <w:rPr>
          <w:sz w:val="21"/>
        </w:rPr>
      </w:pPr>
      <w:r>
        <w:rPr>
          <w:spacing w:val="-3"/>
          <w:sz w:val="21"/>
        </w:rPr>
        <w:t>根据本基金合同，经基金份额持有人大会特别决议通过的；</w:t>
      </w:r>
    </w:p>
    <w:p>
      <w:pPr>
        <w:pStyle w:val="BodyText"/>
        <w:rPr>
          <w:sz w:val="22"/>
        </w:rPr>
      </w:pPr>
    </w:p>
    <w:p>
      <w:pPr>
        <w:pStyle w:val="ListParagraph"/>
        <w:numPr>
          <w:ilvl w:val="0"/>
          <w:numId w:val="30"/>
        </w:numPr>
        <w:tabs>
          <w:tab w:pos="1031" w:val="left" w:leader="none"/>
        </w:tabs>
        <w:spacing w:line="417" w:lineRule="auto" w:before="195" w:after="0"/>
        <w:ind w:left="118" w:right="436" w:firstLine="383"/>
        <w:jc w:val="left"/>
        <w:rPr>
          <w:sz w:val="21"/>
        </w:rPr>
      </w:pPr>
      <w:r>
        <w:rPr>
          <w:spacing w:val="-1"/>
          <w:sz w:val="21"/>
        </w:rPr>
        <w:t>中国证监会有充分理由认为基金管理人不能继续履行基金管理职责，并作出要求</w:t>
      </w:r>
      <w:r>
        <w:rPr>
          <w:spacing w:val="-3"/>
          <w:sz w:val="21"/>
        </w:rPr>
        <w:t>基金管理人退任的决定的；</w:t>
      </w:r>
    </w:p>
    <w:p>
      <w:pPr>
        <w:pStyle w:val="BodyText"/>
        <w:spacing w:before="12"/>
      </w:pPr>
    </w:p>
    <w:p>
      <w:pPr>
        <w:pStyle w:val="BodyText"/>
        <w:ind w:left="538"/>
      </w:pPr>
      <w:r>
        <w:rPr>
          <w:rFonts w:ascii="Times New Roman" w:eastAsia="Times New Roman"/>
        </w:rPr>
        <w:t>2</w:t>
      </w:r>
      <w:r>
        <w:rPr/>
        <w:t>、基金托管人的更换条件</w:t>
      </w:r>
    </w:p>
    <w:p>
      <w:pPr>
        <w:pStyle w:val="BodyText"/>
        <w:rPr>
          <w:sz w:val="22"/>
        </w:rPr>
      </w:pPr>
    </w:p>
    <w:p>
      <w:pPr>
        <w:pStyle w:val="BodyText"/>
        <w:spacing w:before="5"/>
        <w:rPr>
          <w:sz w:val="15"/>
        </w:rPr>
      </w:pPr>
    </w:p>
    <w:p>
      <w:pPr>
        <w:pStyle w:val="BodyText"/>
        <w:spacing w:before="1"/>
        <w:ind w:left="538"/>
      </w:pPr>
      <w:r>
        <w:rPr/>
        <w:t>有下列情形之一的，须更换基金托管人：</w:t>
      </w:r>
    </w:p>
    <w:p>
      <w:pPr>
        <w:pStyle w:val="BodyText"/>
        <w:rPr>
          <w:sz w:val="20"/>
        </w:rPr>
      </w:pPr>
    </w:p>
    <w:p>
      <w:pPr>
        <w:pStyle w:val="BodyText"/>
        <w:spacing w:before="3"/>
        <w:rPr>
          <w:sz w:val="17"/>
        </w:rPr>
      </w:pPr>
    </w:p>
    <w:p>
      <w:pPr>
        <w:pStyle w:val="ListParagraph"/>
        <w:numPr>
          <w:ilvl w:val="0"/>
          <w:numId w:val="31"/>
        </w:numPr>
        <w:tabs>
          <w:tab w:pos="1067" w:val="left" w:leader="none"/>
        </w:tabs>
        <w:spacing w:line="417" w:lineRule="auto" w:before="0" w:after="0"/>
        <w:ind w:left="118" w:right="436" w:firstLine="419"/>
        <w:jc w:val="left"/>
        <w:rPr>
          <w:sz w:val="21"/>
        </w:rPr>
      </w:pPr>
      <w:r>
        <w:rPr>
          <w:spacing w:val="-3"/>
          <w:sz w:val="21"/>
        </w:rPr>
        <w:t>基金托管人解散、依法被撤销、被裁定进入破产清算程序或者由接管人接管其资产的；</w:t>
      </w:r>
    </w:p>
    <w:p>
      <w:pPr>
        <w:pStyle w:val="BodyText"/>
        <w:spacing w:before="11"/>
      </w:pPr>
    </w:p>
    <w:p>
      <w:pPr>
        <w:pStyle w:val="ListParagraph"/>
        <w:numPr>
          <w:ilvl w:val="0"/>
          <w:numId w:val="31"/>
        </w:numPr>
        <w:tabs>
          <w:tab w:pos="1067" w:val="left" w:leader="none"/>
        </w:tabs>
        <w:spacing w:line="240" w:lineRule="auto" w:before="0" w:after="0"/>
        <w:ind w:left="1067" w:right="0" w:hanging="529"/>
        <w:jc w:val="left"/>
        <w:rPr>
          <w:sz w:val="21"/>
        </w:rPr>
      </w:pPr>
      <w:r>
        <w:rPr>
          <w:spacing w:val="-3"/>
          <w:sz w:val="21"/>
        </w:rPr>
        <w:t>基金管理人有充分理由认为更换基金托管人符合基金份额持有人利益的；</w:t>
      </w:r>
    </w:p>
    <w:p>
      <w:pPr>
        <w:pStyle w:val="BodyText"/>
        <w:rPr>
          <w:sz w:val="22"/>
        </w:rPr>
      </w:pPr>
    </w:p>
    <w:p>
      <w:pPr>
        <w:pStyle w:val="BodyText"/>
        <w:spacing w:before="6"/>
        <w:rPr>
          <w:sz w:val="15"/>
        </w:rPr>
      </w:pPr>
    </w:p>
    <w:p>
      <w:pPr>
        <w:pStyle w:val="ListParagraph"/>
        <w:numPr>
          <w:ilvl w:val="0"/>
          <w:numId w:val="31"/>
        </w:numPr>
        <w:tabs>
          <w:tab w:pos="1067" w:val="left" w:leader="none"/>
        </w:tabs>
        <w:spacing w:line="240" w:lineRule="auto" w:before="1" w:after="0"/>
        <w:ind w:left="1067" w:right="0" w:hanging="529"/>
        <w:jc w:val="left"/>
        <w:rPr>
          <w:sz w:val="21"/>
        </w:rPr>
      </w:pPr>
      <w:r>
        <w:rPr>
          <w:spacing w:val="-3"/>
          <w:sz w:val="21"/>
        </w:rPr>
        <w:t>根据本基金合同，经基金份额持有人大会特别决议通过的；</w:t>
      </w:r>
    </w:p>
    <w:p>
      <w:pPr>
        <w:pStyle w:val="BodyText"/>
        <w:rPr>
          <w:sz w:val="22"/>
        </w:rPr>
      </w:pPr>
    </w:p>
    <w:p>
      <w:pPr>
        <w:pStyle w:val="ListParagraph"/>
        <w:numPr>
          <w:ilvl w:val="0"/>
          <w:numId w:val="31"/>
        </w:numPr>
        <w:tabs>
          <w:tab w:pos="1067" w:val="left" w:leader="none"/>
        </w:tabs>
        <w:spacing w:line="417" w:lineRule="auto" w:before="195" w:after="0"/>
        <w:ind w:left="118" w:right="436" w:firstLine="419"/>
        <w:jc w:val="left"/>
        <w:rPr>
          <w:sz w:val="21"/>
        </w:rPr>
      </w:pPr>
      <w:r>
        <w:rPr>
          <w:spacing w:val="-3"/>
          <w:sz w:val="21"/>
        </w:rPr>
        <w:t>中国证监会或中国银监会有充分理由认为基金托管人不能继续基金托管职责，并作出要求基金托管人退任的决定的。</w:t>
      </w:r>
    </w:p>
    <w:p>
      <w:pPr>
        <w:spacing w:after="0" w:line="417" w:lineRule="auto"/>
        <w:jc w:val="left"/>
        <w:rPr>
          <w:sz w:val="21"/>
        </w:rPr>
        <w:sectPr>
          <w:pgSz w:w="11910" w:h="16850"/>
          <w:pgMar w:header="852" w:footer="1386" w:top="1420" w:bottom="1580" w:left="1680" w:right="1360"/>
        </w:sectPr>
      </w:pPr>
    </w:p>
    <w:p>
      <w:pPr>
        <w:pStyle w:val="BodyText"/>
        <w:rPr>
          <w:sz w:val="9"/>
        </w:rPr>
      </w:pPr>
    </w:p>
    <w:p>
      <w:pPr>
        <w:spacing w:before="62"/>
        <w:ind w:left="118" w:right="0" w:firstLine="0"/>
        <w:jc w:val="left"/>
        <w:rPr>
          <w:rFonts w:ascii="Microsoft JhengHei" w:eastAsia="Microsoft JhengHei" w:hint="eastAsia"/>
          <w:b/>
          <w:sz w:val="28"/>
        </w:rPr>
      </w:pPr>
      <w:bookmarkStart w:name="_bookmark35" w:id="36"/>
      <w:bookmarkEnd w:id="36"/>
      <w:r>
        <w:rPr/>
      </w:r>
      <w:r>
        <w:rPr>
          <w:sz w:val="28"/>
        </w:rPr>
        <w:t>（二）基金管理人和基金托管人的更换程序</w:t>
      </w:r>
      <w:r>
        <w:rPr>
          <w:rFonts w:ascii="Microsoft JhengHei" w:eastAsia="Microsoft JhengHei" w:hint="eastAsia"/>
          <w:b/>
          <w:w w:val="200"/>
          <w:sz w:val="28"/>
        </w:rPr>
        <w:t> </w:t>
      </w:r>
    </w:p>
    <w:p>
      <w:pPr>
        <w:pStyle w:val="BodyText"/>
        <w:spacing w:before="8"/>
        <w:rPr>
          <w:rFonts w:ascii="Microsoft JhengHei"/>
          <w:b/>
          <w:sz w:val="29"/>
        </w:rPr>
      </w:pPr>
    </w:p>
    <w:p>
      <w:pPr>
        <w:pStyle w:val="BodyText"/>
        <w:ind w:left="538"/>
      </w:pPr>
      <w:r>
        <w:rPr>
          <w:rFonts w:ascii="Times New Roman" w:eastAsia="Times New Roman"/>
        </w:rPr>
        <w:t>1</w:t>
      </w:r>
      <w:r>
        <w:rPr/>
        <w:t>、基金管理人的更换程序</w:t>
      </w:r>
    </w:p>
    <w:p>
      <w:pPr>
        <w:pStyle w:val="BodyText"/>
        <w:rPr>
          <w:sz w:val="22"/>
        </w:rPr>
      </w:pPr>
    </w:p>
    <w:p>
      <w:pPr>
        <w:pStyle w:val="BodyText"/>
        <w:spacing w:before="6"/>
        <w:rPr>
          <w:sz w:val="15"/>
        </w:rPr>
      </w:pPr>
    </w:p>
    <w:p>
      <w:pPr>
        <w:pStyle w:val="ListParagraph"/>
        <w:numPr>
          <w:ilvl w:val="0"/>
          <w:numId w:val="32"/>
        </w:numPr>
        <w:tabs>
          <w:tab w:pos="1067" w:val="left" w:leader="none"/>
        </w:tabs>
        <w:spacing w:line="240" w:lineRule="auto" w:before="0" w:after="0"/>
        <w:ind w:left="1067" w:right="0" w:hanging="529"/>
        <w:jc w:val="left"/>
        <w:rPr>
          <w:sz w:val="21"/>
        </w:rPr>
      </w:pPr>
      <w:r>
        <w:rPr>
          <w:spacing w:val="-3"/>
          <w:sz w:val="21"/>
        </w:rPr>
        <w:t>提名：新任基金管理人由基金托管人提名。</w:t>
      </w:r>
    </w:p>
    <w:p>
      <w:pPr>
        <w:pStyle w:val="BodyText"/>
        <w:rPr>
          <w:sz w:val="22"/>
        </w:rPr>
      </w:pPr>
    </w:p>
    <w:p>
      <w:pPr>
        <w:pStyle w:val="ListParagraph"/>
        <w:numPr>
          <w:ilvl w:val="0"/>
          <w:numId w:val="32"/>
        </w:numPr>
        <w:tabs>
          <w:tab w:pos="1067" w:val="left" w:leader="none"/>
        </w:tabs>
        <w:spacing w:line="417" w:lineRule="auto" w:before="195" w:after="0"/>
        <w:ind w:left="118" w:right="436" w:firstLine="419"/>
        <w:jc w:val="left"/>
        <w:rPr>
          <w:sz w:val="21"/>
        </w:rPr>
      </w:pPr>
      <w:r>
        <w:rPr>
          <w:spacing w:val="-3"/>
          <w:sz w:val="21"/>
        </w:rPr>
        <w:t>决议：根据本基金合同，基金份额持有人大会对被提名的新任基金管理人形成特别决议。</w:t>
      </w:r>
    </w:p>
    <w:p>
      <w:pPr>
        <w:pStyle w:val="BodyText"/>
        <w:spacing w:before="12"/>
      </w:pPr>
    </w:p>
    <w:p>
      <w:pPr>
        <w:pStyle w:val="ListParagraph"/>
        <w:numPr>
          <w:ilvl w:val="0"/>
          <w:numId w:val="32"/>
        </w:numPr>
        <w:tabs>
          <w:tab w:pos="1067" w:val="left" w:leader="none"/>
        </w:tabs>
        <w:spacing w:line="240" w:lineRule="auto" w:before="0" w:after="0"/>
        <w:ind w:left="1067" w:right="0" w:hanging="529"/>
        <w:jc w:val="left"/>
        <w:rPr>
          <w:sz w:val="21"/>
        </w:rPr>
      </w:pPr>
      <w:r>
        <w:rPr>
          <w:spacing w:val="-3"/>
          <w:sz w:val="21"/>
        </w:rPr>
        <w:t>备案：基金份额持有人大会选任基金管理人的决议须经中国证监会备案。</w:t>
      </w:r>
    </w:p>
    <w:p>
      <w:pPr>
        <w:pStyle w:val="BodyText"/>
        <w:rPr>
          <w:sz w:val="22"/>
        </w:rPr>
      </w:pPr>
    </w:p>
    <w:p>
      <w:pPr>
        <w:pStyle w:val="BodyText"/>
        <w:spacing w:before="6"/>
        <w:rPr>
          <w:sz w:val="15"/>
        </w:rPr>
      </w:pPr>
    </w:p>
    <w:p>
      <w:pPr>
        <w:pStyle w:val="ListParagraph"/>
        <w:numPr>
          <w:ilvl w:val="0"/>
          <w:numId w:val="32"/>
        </w:numPr>
        <w:tabs>
          <w:tab w:pos="1067" w:val="left" w:leader="none"/>
        </w:tabs>
        <w:spacing w:line="417" w:lineRule="auto" w:before="0" w:after="0"/>
        <w:ind w:left="118" w:right="433" w:firstLine="419"/>
        <w:jc w:val="left"/>
        <w:rPr>
          <w:sz w:val="21"/>
        </w:rPr>
      </w:pPr>
      <w:r>
        <w:rPr>
          <w:spacing w:val="-5"/>
          <w:sz w:val="21"/>
        </w:rPr>
        <w:t>公告：基金管理人更换后，由基金托管人在决议生效后 </w:t>
      </w:r>
      <w:r>
        <w:rPr>
          <w:rFonts w:ascii="Times New Roman" w:eastAsia="Times New Roman"/>
          <w:sz w:val="21"/>
        </w:rPr>
        <w:t>2</w:t>
      </w:r>
      <w:r>
        <w:rPr>
          <w:rFonts w:ascii="Times New Roman" w:eastAsia="Times New Roman"/>
          <w:spacing w:val="23"/>
          <w:sz w:val="21"/>
        </w:rPr>
        <w:t> </w:t>
      </w:r>
      <w:r>
        <w:rPr>
          <w:spacing w:val="-3"/>
          <w:sz w:val="21"/>
        </w:rPr>
        <w:t>日内公告。如果基金托管人和基金管理人同时更换，由新任基金管理人和新任基金托管人联名公告。</w:t>
      </w:r>
    </w:p>
    <w:p>
      <w:pPr>
        <w:pStyle w:val="BodyText"/>
        <w:spacing w:before="9"/>
      </w:pPr>
    </w:p>
    <w:p>
      <w:pPr>
        <w:pStyle w:val="ListParagraph"/>
        <w:numPr>
          <w:ilvl w:val="0"/>
          <w:numId w:val="32"/>
        </w:numPr>
        <w:tabs>
          <w:tab w:pos="1067" w:val="left" w:leader="none"/>
        </w:tabs>
        <w:spacing w:line="417" w:lineRule="auto" w:before="0" w:after="0"/>
        <w:ind w:left="118" w:right="436" w:firstLine="419"/>
        <w:jc w:val="left"/>
        <w:rPr>
          <w:sz w:val="21"/>
        </w:rPr>
      </w:pPr>
      <w:r>
        <w:rPr>
          <w:spacing w:val="-3"/>
          <w:sz w:val="21"/>
        </w:rPr>
        <w:t>交接：原基金管理人应作出处理基金事务的报告，并向新任基金管理人办理基金事务的移交手续；新任基金管理人应与基金托管人核对基金财产总值和净值。</w:t>
      </w:r>
    </w:p>
    <w:p>
      <w:pPr>
        <w:pStyle w:val="BodyText"/>
        <w:spacing w:before="11"/>
      </w:pPr>
    </w:p>
    <w:p>
      <w:pPr>
        <w:pStyle w:val="ListParagraph"/>
        <w:numPr>
          <w:ilvl w:val="0"/>
          <w:numId w:val="32"/>
        </w:numPr>
        <w:tabs>
          <w:tab w:pos="1067" w:val="left" w:leader="none"/>
        </w:tabs>
        <w:spacing w:line="417" w:lineRule="auto" w:before="0" w:after="0"/>
        <w:ind w:left="118" w:right="436" w:firstLine="419"/>
        <w:jc w:val="left"/>
        <w:rPr>
          <w:sz w:val="21"/>
        </w:rPr>
      </w:pPr>
      <w:r>
        <w:rPr>
          <w:spacing w:val="-3"/>
          <w:sz w:val="21"/>
        </w:rPr>
        <w:t>基金名称变更：基金管理人更换后，如果更换后的基金管理人要求，应按其要求替换或删除基金名称中原公司的商号字样。</w:t>
      </w:r>
    </w:p>
    <w:p>
      <w:pPr>
        <w:pStyle w:val="BodyText"/>
        <w:spacing w:before="12"/>
      </w:pPr>
    </w:p>
    <w:p>
      <w:pPr>
        <w:pStyle w:val="BodyText"/>
        <w:ind w:left="538"/>
      </w:pPr>
      <w:r>
        <w:rPr>
          <w:rFonts w:ascii="Times New Roman" w:eastAsia="Times New Roman"/>
        </w:rPr>
        <w:t>2</w:t>
      </w:r>
      <w:r>
        <w:rPr/>
        <w:t>、基金托管人的更换程序</w:t>
      </w:r>
    </w:p>
    <w:p>
      <w:pPr>
        <w:pStyle w:val="BodyText"/>
        <w:rPr>
          <w:sz w:val="22"/>
        </w:rPr>
      </w:pPr>
    </w:p>
    <w:p>
      <w:pPr>
        <w:pStyle w:val="ListParagraph"/>
        <w:numPr>
          <w:ilvl w:val="0"/>
          <w:numId w:val="33"/>
        </w:numPr>
        <w:tabs>
          <w:tab w:pos="1067" w:val="left" w:leader="none"/>
        </w:tabs>
        <w:spacing w:line="240" w:lineRule="auto" w:before="196" w:after="0"/>
        <w:ind w:left="1067" w:right="0" w:hanging="529"/>
        <w:jc w:val="left"/>
        <w:rPr>
          <w:sz w:val="21"/>
        </w:rPr>
      </w:pPr>
      <w:r>
        <w:rPr>
          <w:spacing w:val="-3"/>
          <w:sz w:val="21"/>
        </w:rPr>
        <w:t>提名：新任基金托管人由基金管理人提名。</w:t>
      </w:r>
    </w:p>
    <w:p>
      <w:pPr>
        <w:pStyle w:val="BodyText"/>
        <w:rPr>
          <w:sz w:val="22"/>
        </w:rPr>
      </w:pPr>
    </w:p>
    <w:p>
      <w:pPr>
        <w:pStyle w:val="ListParagraph"/>
        <w:numPr>
          <w:ilvl w:val="0"/>
          <w:numId w:val="33"/>
        </w:numPr>
        <w:tabs>
          <w:tab w:pos="1067" w:val="left" w:leader="none"/>
        </w:tabs>
        <w:spacing w:line="417" w:lineRule="auto" w:before="198" w:after="0"/>
        <w:ind w:left="118" w:right="436" w:firstLine="419"/>
        <w:jc w:val="left"/>
        <w:rPr>
          <w:sz w:val="21"/>
        </w:rPr>
      </w:pPr>
      <w:r>
        <w:rPr>
          <w:spacing w:val="-3"/>
          <w:sz w:val="21"/>
        </w:rPr>
        <w:t>决议：根据本基金合同，基金份额持有人大会对被提名的新任基金托管人形成特别决议。</w:t>
      </w:r>
    </w:p>
    <w:p>
      <w:pPr>
        <w:pStyle w:val="BodyText"/>
        <w:spacing w:before="11"/>
      </w:pPr>
    </w:p>
    <w:p>
      <w:pPr>
        <w:pStyle w:val="ListParagraph"/>
        <w:numPr>
          <w:ilvl w:val="0"/>
          <w:numId w:val="33"/>
        </w:numPr>
        <w:tabs>
          <w:tab w:pos="1067" w:val="left" w:leader="none"/>
        </w:tabs>
        <w:spacing w:line="240" w:lineRule="auto" w:before="1" w:after="0"/>
        <w:ind w:left="1067" w:right="0" w:hanging="529"/>
        <w:jc w:val="left"/>
        <w:rPr>
          <w:sz w:val="21"/>
        </w:rPr>
      </w:pPr>
      <w:r>
        <w:rPr>
          <w:spacing w:val="-3"/>
          <w:sz w:val="21"/>
        </w:rPr>
        <w:t>备案：基金份额持有人大会更换基金托管人的决议须经中国证监会备案；</w:t>
      </w:r>
    </w:p>
    <w:p>
      <w:pPr>
        <w:pStyle w:val="BodyText"/>
        <w:rPr>
          <w:sz w:val="22"/>
        </w:rPr>
      </w:pPr>
    </w:p>
    <w:p>
      <w:pPr>
        <w:pStyle w:val="ListParagraph"/>
        <w:numPr>
          <w:ilvl w:val="0"/>
          <w:numId w:val="33"/>
        </w:numPr>
        <w:tabs>
          <w:tab w:pos="1067" w:val="left" w:leader="none"/>
        </w:tabs>
        <w:spacing w:line="417" w:lineRule="auto" w:before="195" w:after="0"/>
        <w:ind w:left="118" w:right="433" w:firstLine="419"/>
        <w:jc w:val="both"/>
        <w:rPr>
          <w:sz w:val="21"/>
        </w:rPr>
      </w:pPr>
      <w:r>
        <w:rPr>
          <w:spacing w:val="-5"/>
          <w:sz w:val="21"/>
        </w:rPr>
        <w:t>公告：基金托管人更换后，由基金管理人在决议生效后 </w:t>
      </w:r>
      <w:r>
        <w:rPr>
          <w:rFonts w:ascii="Times New Roman" w:eastAsia="Times New Roman"/>
          <w:sz w:val="21"/>
        </w:rPr>
        <w:t>2</w:t>
      </w:r>
      <w:r>
        <w:rPr>
          <w:rFonts w:ascii="Times New Roman" w:eastAsia="Times New Roman"/>
          <w:spacing w:val="23"/>
          <w:sz w:val="21"/>
        </w:rPr>
        <w:t> </w:t>
      </w:r>
      <w:r>
        <w:rPr>
          <w:spacing w:val="-3"/>
          <w:sz w:val="21"/>
        </w:rPr>
        <w:t>日内公告。如果基金托</w:t>
      </w:r>
      <w:r>
        <w:rPr>
          <w:spacing w:val="-9"/>
          <w:sz w:val="21"/>
        </w:rPr>
        <w:t>管人和基金管理人同时更换，如果基金托管人和基金管理人同时更换，由新任基金管理人和</w:t>
      </w:r>
      <w:r>
        <w:rPr>
          <w:spacing w:val="-5"/>
          <w:sz w:val="21"/>
        </w:rPr>
        <w:t>新任基金托管人联名公告。</w:t>
      </w:r>
    </w:p>
    <w:p>
      <w:pPr>
        <w:pStyle w:val="BodyText"/>
        <w:spacing w:before="11"/>
      </w:pPr>
    </w:p>
    <w:p>
      <w:pPr>
        <w:pStyle w:val="ListParagraph"/>
        <w:numPr>
          <w:ilvl w:val="0"/>
          <w:numId w:val="33"/>
        </w:numPr>
        <w:tabs>
          <w:tab w:pos="1067" w:val="left" w:leader="none"/>
        </w:tabs>
        <w:spacing w:line="240" w:lineRule="auto" w:before="0" w:after="0"/>
        <w:ind w:left="1067" w:right="0" w:hanging="529"/>
        <w:jc w:val="left"/>
        <w:rPr>
          <w:sz w:val="21"/>
        </w:rPr>
      </w:pPr>
      <w:r>
        <w:rPr>
          <w:spacing w:val="-3"/>
          <w:sz w:val="21"/>
        </w:rPr>
        <w:t>交接：原基金托管人应作出处理基金事务的报告，并与新任基金托管人进行基金</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财产移交手续；新任基金托管人与基金管理人核对基金财产总值和净值。</w:t>
      </w:r>
    </w:p>
    <w:p>
      <w:pPr>
        <w:spacing w:after="0"/>
        <w:sectPr>
          <w:pgSz w:w="11910" w:h="16850"/>
          <w:pgMar w:header="852" w:footer="1386" w:top="1420" w:bottom="1580" w:left="1680" w:right="1360"/>
        </w:sectPr>
      </w:pPr>
    </w:p>
    <w:p>
      <w:pPr>
        <w:pStyle w:val="Heading1"/>
        <w:ind w:left="2287"/>
      </w:pPr>
      <w:bookmarkStart w:name="_bookmark36" w:id="37"/>
      <w:bookmarkEnd w:id="37"/>
      <w:r>
        <w:rPr/>
      </w:r>
      <w:r>
        <w:rPr/>
        <w:t>十三、 基金的托管</w:t>
      </w:r>
    </w:p>
    <w:p>
      <w:pPr>
        <w:pStyle w:val="BodyText"/>
        <w:spacing w:before="2"/>
        <w:rPr>
          <w:sz w:val="38"/>
        </w:rPr>
      </w:pPr>
    </w:p>
    <w:p>
      <w:pPr>
        <w:pStyle w:val="BodyText"/>
        <w:spacing w:line="417" w:lineRule="auto" w:before="1"/>
        <w:ind w:left="118" w:right="433" w:firstLine="419"/>
        <w:jc w:val="both"/>
      </w:pPr>
      <w:r>
        <w:rPr>
          <w:spacing w:val="-10"/>
        </w:rPr>
        <w:t>为确保基金财产的安全，保护基金份额持有人的合法权益，基金托管人与基金管理人按</w:t>
      </w:r>
      <w:r>
        <w:rPr>
          <w:spacing w:val="-22"/>
        </w:rPr>
        <w:t>照《基金法》、《运作办法》、本基金合同及其他有关规定订立托管协议，用以明确基金托管</w:t>
      </w:r>
      <w:r>
        <w:rPr>
          <w:spacing w:val="-12"/>
        </w:rPr>
        <w:t>人与基金管理人之间在基金份额持有人名册登记、基金财产的保管、基金财产的管理和运用</w:t>
      </w:r>
      <w:r>
        <w:rPr>
          <w:spacing w:val="-11"/>
        </w:rPr>
        <w:t>及相互监督等相关事宜中的权利、义务及职责，确保基金财产的安全，保护基金份额持有人</w:t>
      </w:r>
      <w:r>
        <w:rPr>
          <w:spacing w:val="-6"/>
        </w:rPr>
        <w:t>的合法权益。</w:t>
      </w:r>
    </w:p>
    <w:p>
      <w:pPr>
        <w:spacing w:after="0" w:line="417" w:lineRule="auto"/>
        <w:jc w:val="both"/>
        <w:sectPr>
          <w:pgSz w:w="11910" w:h="16850"/>
          <w:pgMar w:header="852" w:footer="1386" w:top="1420" w:bottom="1580" w:left="1680" w:right="1360"/>
        </w:sectPr>
      </w:pPr>
    </w:p>
    <w:p>
      <w:pPr>
        <w:pStyle w:val="Heading1"/>
        <w:ind w:right="321"/>
      </w:pPr>
      <w:bookmarkStart w:name="_bookmark37" w:id="38"/>
      <w:bookmarkEnd w:id="38"/>
      <w:r>
        <w:rPr/>
      </w:r>
      <w:r>
        <w:rPr/>
        <w:t>十四、 基金份额的注册登记</w:t>
      </w:r>
    </w:p>
    <w:p>
      <w:pPr>
        <w:pStyle w:val="BodyText"/>
        <w:spacing w:before="2"/>
        <w:rPr>
          <w:sz w:val="38"/>
        </w:rPr>
      </w:pPr>
    </w:p>
    <w:p>
      <w:pPr>
        <w:pStyle w:val="BodyText"/>
        <w:spacing w:line="417" w:lineRule="auto" w:before="1"/>
        <w:ind w:left="118" w:right="433" w:firstLine="419"/>
        <w:jc w:val="both"/>
      </w:pPr>
      <w:r>
        <w:rPr>
          <w:spacing w:val="-8"/>
        </w:rPr>
        <w:t>本基金份额的注册登记业务指基金登记、存管、清算和交收业务，具体内容包括投资人</w:t>
      </w:r>
      <w:r>
        <w:rPr>
          <w:spacing w:val="-12"/>
        </w:rPr>
        <w:t>基金账户管理、基金份额注册登记、基金清算及基金交易确认、建立并保管基金份额持有人</w:t>
      </w:r>
      <w:r>
        <w:rPr>
          <w:spacing w:val="-7"/>
        </w:rPr>
        <w:t>名册等。</w:t>
      </w:r>
    </w:p>
    <w:p>
      <w:pPr>
        <w:pStyle w:val="BodyText"/>
        <w:spacing w:before="8"/>
      </w:pPr>
    </w:p>
    <w:p>
      <w:pPr>
        <w:pStyle w:val="BodyText"/>
        <w:spacing w:line="417" w:lineRule="auto"/>
        <w:ind w:left="118" w:right="433" w:firstLine="419"/>
        <w:jc w:val="both"/>
      </w:pPr>
      <w:r>
        <w:rPr>
          <w:spacing w:val="-11"/>
        </w:rPr>
        <w:t>本基金 </w:t>
      </w:r>
      <w:r>
        <w:rPr>
          <w:rFonts w:ascii="Times New Roman" w:eastAsia="Times New Roman"/>
        </w:rPr>
        <w:t>A </w:t>
      </w:r>
      <w:r>
        <w:rPr>
          <w:spacing w:val="-8"/>
        </w:rPr>
        <w:t>类基金份额和 </w:t>
      </w:r>
      <w:r>
        <w:rPr>
          <w:rFonts w:ascii="Times New Roman" w:eastAsia="Times New Roman"/>
        </w:rPr>
        <w:t>B </w:t>
      </w:r>
      <w:r>
        <w:rPr>
          <w:spacing w:val="-3"/>
        </w:rPr>
        <w:t>类基金份额的注册登记机构为易方达基金管理有限公司（</w:t>
      </w:r>
      <w:r>
        <w:rPr/>
        <w:t>基</w:t>
      </w:r>
      <w:r>
        <w:rPr>
          <w:spacing w:val="-1"/>
          <w:w w:val="100"/>
        </w:rPr>
        <w:t>金管理人</w:t>
      </w:r>
      <w:r>
        <w:rPr>
          <w:spacing w:val="-109"/>
          <w:w w:val="100"/>
        </w:rPr>
        <w:t>）</w:t>
      </w:r>
      <w:r>
        <w:rPr>
          <w:w w:val="100"/>
        </w:rPr>
        <w:t>，</w:t>
      </w:r>
      <w:r>
        <w:rPr>
          <w:rFonts w:ascii="Times New Roman" w:eastAsia="Times New Roman"/>
          <w:w w:val="100"/>
        </w:rPr>
        <w:t>E</w:t>
      </w:r>
      <w:r>
        <w:rPr>
          <w:rFonts w:ascii="Times New Roman" w:eastAsia="Times New Roman"/>
          <w:spacing w:val="-7"/>
        </w:rPr>
        <w:t>  </w:t>
      </w:r>
      <w:r>
        <w:rPr>
          <w:spacing w:val="-3"/>
          <w:w w:val="100"/>
        </w:rPr>
        <w:t>类基金份额的注册登记机构为中国证券登记结算有限责任公司。基金管理人</w:t>
      </w:r>
      <w:r>
        <w:rPr>
          <w:spacing w:val="-10"/>
        </w:rPr>
        <w:t>有权根据其判断与决定，委托其他机构作为本基金的注册登记机构，办理基金份额的注册与</w:t>
      </w:r>
      <w:r>
        <w:rPr>
          <w:spacing w:val="-11"/>
        </w:rPr>
        <w:t>过户登记手续。基金管理人委托其他机构代为办理开放式基金份额的登记业务的，应当与有</w:t>
      </w:r>
      <w:r>
        <w:rPr>
          <w:spacing w:val="-6"/>
        </w:rPr>
        <w:t>关机构签订委托代理协议，并列明代为办理开放式基金份额登记机构的权限和职责。 </w:t>
      </w:r>
    </w:p>
    <w:p>
      <w:pPr>
        <w:pStyle w:val="BodyText"/>
        <w:spacing w:before="12"/>
      </w:pPr>
    </w:p>
    <w:p>
      <w:pPr>
        <w:pStyle w:val="BodyText"/>
        <w:ind w:left="538"/>
      </w:pPr>
      <w:r>
        <w:rPr/>
        <w:t>注册登记机构的职责如下：</w:t>
      </w:r>
    </w:p>
    <w:p>
      <w:pPr>
        <w:pStyle w:val="BodyText"/>
        <w:rPr>
          <w:sz w:val="20"/>
        </w:rPr>
      </w:pPr>
    </w:p>
    <w:p>
      <w:pPr>
        <w:pStyle w:val="BodyText"/>
        <w:spacing w:before="5"/>
        <w:rPr>
          <w:sz w:val="17"/>
        </w:rPr>
      </w:pPr>
    </w:p>
    <w:p>
      <w:pPr>
        <w:pStyle w:val="BodyText"/>
        <w:spacing w:before="1"/>
        <w:ind w:left="538"/>
      </w:pPr>
      <w:r>
        <w:rPr>
          <w:rFonts w:ascii="Times New Roman" w:eastAsia="Times New Roman"/>
        </w:rPr>
        <w:t>1</w:t>
      </w:r>
      <w:r>
        <w:rPr/>
        <w:t>、配备足够的专业人员办理基金的注册登记业务；</w:t>
      </w:r>
    </w:p>
    <w:p>
      <w:pPr>
        <w:pStyle w:val="BodyText"/>
        <w:rPr>
          <w:sz w:val="22"/>
        </w:rPr>
      </w:pPr>
    </w:p>
    <w:p>
      <w:pPr>
        <w:pStyle w:val="BodyText"/>
        <w:spacing w:before="195"/>
        <w:ind w:left="538"/>
      </w:pPr>
      <w:r>
        <w:rPr>
          <w:rFonts w:ascii="Times New Roman" w:eastAsia="Times New Roman"/>
        </w:rPr>
        <w:t>2</w:t>
      </w:r>
      <w:r>
        <w:rPr/>
        <w:t>、严格按照法律法规和本基金合同规定的条件办理基金的注册登记业务；</w:t>
      </w:r>
    </w:p>
    <w:p>
      <w:pPr>
        <w:pStyle w:val="BodyText"/>
        <w:rPr>
          <w:sz w:val="22"/>
        </w:rPr>
      </w:pPr>
    </w:p>
    <w:p>
      <w:pPr>
        <w:pStyle w:val="BodyText"/>
        <w:spacing w:before="6"/>
        <w:rPr>
          <w:sz w:val="15"/>
        </w:rPr>
      </w:pPr>
    </w:p>
    <w:p>
      <w:pPr>
        <w:pStyle w:val="BodyText"/>
        <w:spacing w:line="417" w:lineRule="auto"/>
        <w:ind w:left="118" w:right="436" w:firstLine="419"/>
      </w:pPr>
      <w:r>
        <w:rPr>
          <w:rFonts w:ascii="Times New Roman" w:eastAsia="Times New Roman"/>
        </w:rPr>
        <w:t>3</w:t>
      </w:r>
      <w:r>
        <w:rPr/>
        <w:t>、妥善保存登记数据，并将基金份额持有人名称、身份信息及基金份额明细等数据备份至中国证监会认定的机构。其保存期限自基金账户销户之日起不得少于二十年；</w:t>
      </w:r>
    </w:p>
    <w:p>
      <w:pPr>
        <w:pStyle w:val="BodyText"/>
        <w:spacing w:before="11"/>
      </w:pPr>
    </w:p>
    <w:p>
      <w:pPr>
        <w:pStyle w:val="BodyText"/>
        <w:spacing w:line="417" w:lineRule="auto"/>
        <w:ind w:left="118" w:right="330" w:firstLine="419"/>
      </w:pPr>
      <w:r>
        <w:rPr>
          <w:rFonts w:ascii="Times New Roman" w:eastAsia="Times New Roman"/>
        </w:rPr>
        <w:t>4</w:t>
      </w:r>
      <w:r>
        <w:rPr>
          <w:spacing w:val="-3"/>
        </w:rPr>
        <w:t>、对基金份额持有人的基金账户信息负有保密义务，因违反该保密义务给投资者或基金带来的损失，须承担相应的赔偿责任，但司法强制检查及法律法规规定的其他情形除外；</w:t>
      </w:r>
    </w:p>
    <w:p>
      <w:pPr>
        <w:pStyle w:val="BodyText"/>
        <w:spacing w:before="9"/>
      </w:pPr>
    </w:p>
    <w:p>
      <w:pPr>
        <w:pStyle w:val="BodyText"/>
        <w:spacing w:line="417" w:lineRule="auto"/>
        <w:ind w:left="118" w:right="436" w:firstLine="419"/>
      </w:pPr>
      <w:r>
        <w:rPr>
          <w:rFonts w:ascii="Times New Roman" w:eastAsia="Times New Roman"/>
        </w:rPr>
        <w:t>5</w:t>
      </w:r>
      <w:r>
        <w:rPr/>
        <w:t>、按本基金合同及《招募说明书》的规定为投资人办理非交易过户业务、提供其他必要的服务；</w:t>
      </w:r>
    </w:p>
    <w:p>
      <w:pPr>
        <w:pStyle w:val="BodyText"/>
        <w:spacing w:before="12"/>
      </w:pPr>
    </w:p>
    <w:p>
      <w:pPr>
        <w:pStyle w:val="BodyText"/>
        <w:ind w:left="538"/>
      </w:pPr>
      <w:r>
        <w:rPr>
          <w:rFonts w:ascii="Times New Roman" w:eastAsia="Times New Roman"/>
        </w:rPr>
        <w:t>6</w:t>
      </w:r>
      <w:r>
        <w:rPr/>
        <w:t>、法律法规规定的其他职责。</w:t>
      </w:r>
    </w:p>
    <w:p>
      <w:pPr>
        <w:spacing w:after="0"/>
        <w:sectPr>
          <w:pgSz w:w="11910" w:h="16850"/>
          <w:pgMar w:header="852" w:footer="1386" w:top="1420" w:bottom="1580" w:left="1680" w:right="1360"/>
        </w:sectPr>
      </w:pPr>
    </w:p>
    <w:p>
      <w:pPr>
        <w:pStyle w:val="BodyText"/>
        <w:spacing w:before="5"/>
        <w:rPr>
          <w:sz w:val="19"/>
        </w:rPr>
      </w:pPr>
    </w:p>
    <w:p>
      <w:pPr>
        <w:pStyle w:val="Heading1"/>
        <w:spacing w:before="54"/>
        <w:ind w:left="2287"/>
      </w:pPr>
      <w:bookmarkStart w:name="_bookmark38" w:id="39"/>
      <w:bookmarkEnd w:id="39"/>
      <w:r>
        <w:rPr/>
      </w:r>
      <w:r>
        <w:rPr/>
        <w:t>十五、 基金的投资</w:t>
      </w:r>
    </w:p>
    <w:p>
      <w:pPr>
        <w:pStyle w:val="BodyText"/>
        <w:rPr>
          <w:sz w:val="20"/>
        </w:rPr>
      </w:pPr>
    </w:p>
    <w:p>
      <w:pPr>
        <w:pStyle w:val="BodyText"/>
        <w:rPr>
          <w:sz w:val="20"/>
        </w:rPr>
      </w:pPr>
    </w:p>
    <w:p>
      <w:pPr>
        <w:spacing w:before="200"/>
        <w:ind w:left="118" w:right="0" w:firstLine="0"/>
        <w:jc w:val="left"/>
        <w:rPr>
          <w:sz w:val="28"/>
        </w:rPr>
      </w:pPr>
      <w:bookmarkStart w:name="_bookmark39" w:id="40"/>
      <w:bookmarkEnd w:id="40"/>
      <w:r>
        <w:rPr/>
      </w:r>
      <w:r>
        <w:rPr>
          <w:sz w:val="28"/>
        </w:rPr>
        <w:t>(一) 投资目标 </w:t>
      </w:r>
    </w:p>
    <w:p>
      <w:pPr>
        <w:pStyle w:val="BodyText"/>
        <w:rPr>
          <w:sz w:val="28"/>
        </w:rPr>
      </w:pPr>
    </w:p>
    <w:p>
      <w:pPr>
        <w:pStyle w:val="BodyText"/>
        <w:spacing w:before="183"/>
        <w:ind w:left="538"/>
      </w:pPr>
      <w:r>
        <w:rPr/>
        <w:t>在确保本金安全和高流动性的前提下，追求超过基准的回报。</w:t>
      </w:r>
    </w:p>
    <w:p>
      <w:pPr>
        <w:pStyle w:val="BodyText"/>
        <w:rPr>
          <w:sz w:val="20"/>
        </w:rPr>
      </w:pPr>
    </w:p>
    <w:p>
      <w:pPr>
        <w:pStyle w:val="BodyText"/>
        <w:rPr>
          <w:sz w:val="20"/>
        </w:rPr>
      </w:pPr>
    </w:p>
    <w:p>
      <w:pPr>
        <w:spacing w:before="1"/>
        <w:ind w:left="118" w:right="0" w:firstLine="0"/>
        <w:jc w:val="left"/>
        <w:rPr>
          <w:sz w:val="28"/>
        </w:rPr>
      </w:pPr>
      <w:bookmarkStart w:name="_bookmark40" w:id="41"/>
      <w:bookmarkEnd w:id="41"/>
      <w:r>
        <w:rPr/>
      </w:r>
      <w:r>
        <w:rPr>
          <w:sz w:val="28"/>
        </w:rPr>
        <w:t>(二) 投资范围 </w:t>
      </w:r>
    </w:p>
    <w:p>
      <w:pPr>
        <w:pStyle w:val="BodyText"/>
        <w:spacing w:before="11"/>
        <w:rPr>
          <w:sz w:val="39"/>
        </w:rPr>
      </w:pPr>
    </w:p>
    <w:p>
      <w:pPr>
        <w:pStyle w:val="BodyText"/>
        <w:spacing w:line="417" w:lineRule="auto"/>
        <w:ind w:left="118" w:right="433" w:firstLine="412"/>
        <w:jc w:val="both"/>
      </w:pPr>
      <w:r>
        <w:rPr>
          <w:spacing w:val="-15"/>
        </w:rPr>
        <w:t>本基金的投资范围为具有良好流动性的金融工具，包括现金，期限在一年以内</w:t>
      </w:r>
      <w:r>
        <w:rPr>
          <w:spacing w:val="-3"/>
        </w:rPr>
        <w:t>（</w:t>
      </w:r>
      <w:r>
        <w:rPr>
          <w:spacing w:val="-1"/>
        </w:rPr>
        <w:t>含一年</w:t>
      </w:r>
      <w:r>
        <w:rPr/>
        <w:t>） </w:t>
      </w:r>
      <w:r>
        <w:rPr>
          <w:spacing w:val="-11"/>
        </w:rPr>
        <w:t>的银行存款、债券回购、中央银行票据、同业存单，剩余期限在 </w:t>
      </w:r>
      <w:r>
        <w:rPr/>
        <w:t>397</w:t>
      </w:r>
      <w:r>
        <w:rPr>
          <w:spacing w:val="-17"/>
        </w:rPr>
        <w:t> 天以内</w:t>
      </w:r>
      <w:r>
        <w:rPr>
          <w:spacing w:val="-3"/>
        </w:rPr>
        <w:t>（</w:t>
      </w:r>
      <w:r>
        <w:rPr>
          <w:spacing w:val="-21"/>
        </w:rPr>
        <w:t>含 </w:t>
      </w:r>
      <w:r>
        <w:rPr/>
        <w:t>397</w:t>
      </w:r>
      <w:r>
        <w:rPr>
          <w:spacing w:val="-24"/>
        </w:rPr>
        <w:t> 天</w:t>
      </w:r>
      <w:r>
        <w:rPr>
          <w:spacing w:val="-15"/>
        </w:rPr>
        <w:t>）</w:t>
      </w:r>
      <w:r>
        <w:rPr/>
        <w:t>的</w:t>
      </w:r>
      <w:r>
        <w:rPr>
          <w:spacing w:val="-10"/>
        </w:rPr>
        <w:t>债券、非金融企业债务融资工具、资产支持证券，以及法律法规或中国证监会、中国人民银</w:t>
      </w:r>
      <w:r>
        <w:rPr>
          <w:spacing w:val="-5"/>
        </w:rPr>
        <w:t>行认可的其他具有良好流动性的货币市场工具。 </w:t>
      </w:r>
    </w:p>
    <w:p>
      <w:pPr>
        <w:pStyle w:val="BodyText"/>
        <w:spacing w:before="1"/>
        <w:rPr>
          <w:sz w:val="27"/>
        </w:rPr>
      </w:pPr>
    </w:p>
    <w:p>
      <w:pPr>
        <w:spacing w:before="0"/>
        <w:ind w:left="118" w:right="0" w:firstLine="0"/>
        <w:jc w:val="left"/>
        <w:rPr>
          <w:sz w:val="28"/>
        </w:rPr>
      </w:pPr>
      <w:bookmarkStart w:name="_bookmark41" w:id="42"/>
      <w:bookmarkEnd w:id="42"/>
      <w:r>
        <w:rPr/>
      </w:r>
      <w:r>
        <w:rPr>
          <w:sz w:val="28"/>
        </w:rPr>
        <w:t>(三) 投资理念 </w:t>
      </w:r>
    </w:p>
    <w:p>
      <w:pPr>
        <w:pStyle w:val="BodyText"/>
        <w:rPr>
          <w:sz w:val="28"/>
        </w:rPr>
      </w:pPr>
    </w:p>
    <w:p>
      <w:pPr>
        <w:pStyle w:val="BodyText"/>
        <w:spacing w:line="417" w:lineRule="auto" w:before="183"/>
        <w:ind w:left="118" w:right="433" w:firstLine="419"/>
      </w:pPr>
      <w:r>
        <w:rPr>
          <w:spacing w:val="-9"/>
        </w:rPr>
        <w:t>主动判断短期利率变动，合理配置组合期限结构，积极把握市场套利机会，稳定获取超</w:t>
      </w:r>
      <w:r>
        <w:rPr>
          <w:spacing w:val="-6"/>
        </w:rPr>
        <w:t>额收益。</w:t>
      </w:r>
    </w:p>
    <w:p>
      <w:pPr>
        <w:pStyle w:val="BodyText"/>
        <w:spacing w:before="1"/>
        <w:rPr>
          <w:sz w:val="27"/>
        </w:rPr>
      </w:pPr>
    </w:p>
    <w:p>
      <w:pPr>
        <w:spacing w:before="1"/>
        <w:ind w:left="118" w:right="0" w:firstLine="0"/>
        <w:jc w:val="left"/>
        <w:rPr>
          <w:sz w:val="28"/>
        </w:rPr>
      </w:pPr>
      <w:bookmarkStart w:name="_bookmark42" w:id="43"/>
      <w:bookmarkEnd w:id="43"/>
      <w:r>
        <w:rPr/>
      </w:r>
      <w:r>
        <w:rPr>
          <w:sz w:val="28"/>
        </w:rPr>
        <w:t>(四) 投资策略 </w:t>
      </w:r>
    </w:p>
    <w:p>
      <w:pPr>
        <w:pStyle w:val="BodyText"/>
        <w:rPr>
          <w:sz w:val="28"/>
        </w:rPr>
      </w:pPr>
    </w:p>
    <w:p>
      <w:pPr>
        <w:pStyle w:val="BodyText"/>
        <w:spacing w:line="417" w:lineRule="auto" w:before="182"/>
        <w:ind w:left="118" w:right="433" w:firstLine="419"/>
      </w:pPr>
      <w:r>
        <w:rPr>
          <w:spacing w:val="-8"/>
        </w:rPr>
        <w:t>本基金主要为投资者提供短期现金管理工具，因此本基金最主要的投资策略在保持安全</w:t>
      </w:r>
      <w:r>
        <w:rPr>
          <w:spacing w:val="-5"/>
        </w:rPr>
        <w:t>性和流动性的前提下尽可能提升组合的收益。</w:t>
      </w:r>
    </w:p>
    <w:p>
      <w:pPr>
        <w:pStyle w:val="BodyText"/>
        <w:spacing w:line="417" w:lineRule="auto" w:before="101"/>
        <w:ind w:left="118" w:right="434" w:firstLine="419"/>
        <w:jc w:val="both"/>
      </w:pPr>
      <w:r>
        <w:rPr>
          <w:spacing w:val="-3"/>
        </w:rPr>
        <w:t>本基金的投资策略分为两个层次,其中战略资产配置部分由基金管理人根据对宏观经济</w:t>
      </w:r>
      <w:r>
        <w:rPr>
          <w:spacing w:val="-12"/>
        </w:rPr>
        <w:t>走势、国家货币政策、资金供求、利率期限结构变动趋势等的研究与判断，预测货币市场利</w:t>
      </w:r>
      <w:r>
        <w:rPr>
          <w:spacing w:val="-6"/>
        </w:rPr>
        <w:t>率水平，确定投资组合的平均剩余期限。</w:t>
      </w:r>
    </w:p>
    <w:p>
      <w:pPr>
        <w:pStyle w:val="BodyText"/>
        <w:spacing w:line="417" w:lineRule="auto" w:before="101"/>
        <w:ind w:left="118" w:right="225" w:firstLine="419"/>
      </w:pPr>
      <w:r>
        <w:rPr>
          <w:spacing w:val="-8"/>
        </w:rPr>
        <w:t>战术资产配置部分主要包括交易市场和品种选择等，将由基金经理根据当时的市场情况， </w:t>
      </w:r>
      <w:r>
        <w:rPr>
          <w:spacing w:val="-12"/>
        </w:rPr>
        <w:t>结合各品种之间流动性、收益性、信用等级和到期期限等因素，确定组合的各品种比例，在  </w:t>
      </w:r>
      <w:r>
        <w:rPr>
          <w:spacing w:val="-3"/>
        </w:rPr>
        <w:t>保证组合低风险、高流动性的前提下尽可能提升组合的收益。</w:t>
      </w:r>
    </w:p>
    <w:p>
      <w:pPr>
        <w:spacing w:after="0" w:line="417" w:lineRule="auto"/>
        <w:sectPr>
          <w:pgSz w:w="11910" w:h="16850"/>
          <w:pgMar w:header="852" w:footer="1386" w:top="1420" w:bottom="1580" w:left="1680" w:right="1360"/>
        </w:sectPr>
      </w:pPr>
    </w:p>
    <w:p>
      <w:pPr>
        <w:pStyle w:val="BodyText"/>
        <w:spacing w:line="417" w:lineRule="auto" w:before="142"/>
        <w:ind w:left="118" w:right="433" w:firstLine="419"/>
        <w:jc w:val="both"/>
      </w:pPr>
      <w:r>
        <w:rPr>
          <w:spacing w:val="-10"/>
        </w:rPr>
        <w:t>同时，管理人还将积极把握短期市场出现的套利机会。由于市场分割、信息不对称等情况会造成市场在短期内的非有效性，这种非有效性会带来一定的套利机会，基金管理人通过</w:t>
      </w:r>
      <w:r>
        <w:rPr>
          <w:spacing w:val="-5"/>
        </w:rPr>
        <w:t>跨市场套利、跨品种套利、跨期限套利等策略积极把握市场出现的套利机会。</w:t>
      </w:r>
    </w:p>
    <w:p>
      <w:pPr>
        <w:pStyle w:val="BodyText"/>
        <w:spacing w:before="11"/>
      </w:pPr>
    </w:p>
    <w:p>
      <w:pPr>
        <w:pStyle w:val="BodyText"/>
        <w:spacing w:line="417" w:lineRule="auto"/>
        <w:ind w:left="118" w:right="433" w:firstLine="419"/>
      </w:pPr>
      <w:r>
        <w:rPr>
          <w:spacing w:val="-10"/>
        </w:rPr>
        <w:t>由于新股、新债发行以及季节效应等因素会使市场资金供求关系短期内发生变化，这种</w:t>
      </w:r>
      <w:r>
        <w:rPr>
          <w:spacing w:val="-5"/>
        </w:rPr>
        <w:t>变化会带来市场短期收益率的上升，基金管理人将积极利用这种机会获得超额收益。</w:t>
      </w:r>
    </w:p>
    <w:p>
      <w:pPr>
        <w:pStyle w:val="BodyText"/>
        <w:spacing w:before="11"/>
        <w:rPr>
          <w:sz w:val="26"/>
        </w:rPr>
      </w:pPr>
    </w:p>
    <w:p>
      <w:pPr>
        <w:spacing w:before="1"/>
        <w:ind w:left="0" w:right="6083" w:firstLine="0"/>
        <w:jc w:val="right"/>
        <w:rPr>
          <w:sz w:val="28"/>
        </w:rPr>
      </w:pPr>
      <w:bookmarkStart w:name="_bookmark43" w:id="44"/>
      <w:bookmarkEnd w:id="44"/>
      <w:r>
        <w:rPr/>
      </w:r>
      <w:r>
        <w:rPr>
          <w:rFonts w:ascii="Microsoft JhengHei" w:eastAsia="Microsoft JhengHei" w:hint="eastAsia"/>
          <w:b/>
          <w:w w:val="200"/>
          <w:sz w:val="28"/>
        </w:rPr>
        <w:t> </w:t>
      </w:r>
      <w:r>
        <w:rPr>
          <w:sz w:val="28"/>
        </w:rPr>
        <w:t>(五) 业绩比较基准 </w:t>
      </w:r>
    </w:p>
    <w:p>
      <w:pPr>
        <w:pStyle w:val="BodyText"/>
        <w:rPr>
          <w:sz w:val="28"/>
        </w:rPr>
      </w:pPr>
    </w:p>
    <w:p>
      <w:pPr>
        <w:pStyle w:val="BodyText"/>
        <w:spacing w:before="185"/>
        <w:ind w:left="538"/>
      </w:pPr>
      <w:r>
        <w:rPr/>
        <w:t>税后活期存款利率(即活期存款利率×(1－利息税率))。</w:t>
      </w:r>
    </w:p>
    <w:p>
      <w:pPr>
        <w:pStyle w:val="BodyText"/>
        <w:spacing w:before="3"/>
        <w:rPr>
          <w:sz w:val="23"/>
        </w:rPr>
      </w:pPr>
    </w:p>
    <w:p>
      <w:pPr>
        <w:pStyle w:val="BodyText"/>
        <w:spacing w:line="417" w:lineRule="auto"/>
        <w:ind w:left="118" w:right="433" w:firstLine="419"/>
        <w:jc w:val="both"/>
      </w:pPr>
      <w:r>
        <w:rPr>
          <w:spacing w:val="-9"/>
        </w:rPr>
        <w:t>货币市场基金作为现金管理的工具，采用活期存款税后利率作为业绩比较基准更能体现</w:t>
      </w:r>
      <w:r>
        <w:rPr>
          <w:spacing w:val="-11"/>
        </w:rPr>
        <w:t>本基金良好的流动性。当法律法规发生变化或市场有更加适合的业绩比较基准时，基金管理</w:t>
      </w:r>
      <w:r>
        <w:rPr>
          <w:spacing w:val="-6"/>
        </w:rPr>
        <w:t>人有权对此基准进行调整；并提前三个工作日在至少一种指定媒介上公告。</w:t>
      </w:r>
    </w:p>
    <w:p>
      <w:pPr>
        <w:pStyle w:val="BodyText"/>
        <w:spacing w:before="6"/>
        <w:rPr>
          <w:sz w:val="24"/>
        </w:rPr>
      </w:pPr>
    </w:p>
    <w:p>
      <w:pPr>
        <w:spacing w:before="0"/>
        <w:ind w:left="0" w:right="6083" w:firstLine="0"/>
        <w:jc w:val="right"/>
        <w:rPr>
          <w:sz w:val="28"/>
        </w:rPr>
      </w:pPr>
      <w:bookmarkStart w:name="_bookmark44" w:id="45"/>
      <w:bookmarkEnd w:id="45"/>
      <w:r>
        <w:rPr/>
      </w:r>
      <w:r>
        <w:rPr>
          <w:sz w:val="28"/>
        </w:rPr>
        <w:t>(六) 风险收益特征 </w:t>
      </w:r>
    </w:p>
    <w:p>
      <w:pPr>
        <w:pStyle w:val="BodyText"/>
        <w:spacing w:before="4"/>
        <w:rPr>
          <w:sz w:val="32"/>
        </w:rPr>
      </w:pPr>
    </w:p>
    <w:p>
      <w:pPr>
        <w:pStyle w:val="BodyText"/>
        <w:spacing w:line="362" w:lineRule="auto" w:before="1"/>
        <w:ind w:left="118" w:right="433" w:firstLine="419"/>
      </w:pPr>
      <w:r>
        <w:rPr>
          <w:spacing w:val="-8"/>
        </w:rPr>
        <w:t>本基金属于证券投资基金中高流动性、低风险的品种，其预期风险和预期收益率都低于</w:t>
      </w:r>
      <w:r>
        <w:rPr>
          <w:spacing w:val="-5"/>
        </w:rPr>
        <w:t>股票基金、债券基金和混合基金。</w:t>
      </w:r>
    </w:p>
    <w:p>
      <w:pPr>
        <w:pStyle w:val="BodyText"/>
        <w:rPr>
          <w:sz w:val="20"/>
        </w:rPr>
      </w:pPr>
    </w:p>
    <w:p>
      <w:pPr>
        <w:pStyle w:val="BodyText"/>
        <w:spacing w:before="1"/>
        <w:rPr>
          <w:sz w:val="15"/>
        </w:rPr>
      </w:pPr>
    </w:p>
    <w:p>
      <w:pPr>
        <w:spacing w:before="0"/>
        <w:ind w:left="118" w:right="0" w:firstLine="0"/>
        <w:jc w:val="left"/>
        <w:rPr>
          <w:sz w:val="28"/>
        </w:rPr>
      </w:pPr>
      <w:bookmarkStart w:name="_bookmark45" w:id="46"/>
      <w:bookmarkEnd w:id="46"/>
      <w:r>
        <w:rPr/>
      </w:r>
      <w:r>
        <w:rPr>
          <w:sz w:val="28"/>
        </w:rPr>
        <w:t>(七) 投资决策  </w:t>
      </w:r>
    </w:p>
    <w:p>
      <w:pPr>
        <w:pStyle w:val="BodyText"/>
        <w:rPr>
          <w:sz w:val="28"/>
        </w:rPr>
      </w:pPr>
    </w:p>
    <w:p>
      <w:pPr>
        <w:pStyle w:val="BodyText"/>
        <w:spacing w:before="183"/>
        <w:ind w:left="538"/>
        <w:rPr>
          <w:rFonts w:ascii="Microsoft JhengHei" w:eastAsia="Microsoft JhengHei" w:hint="eastAsia"/>
          <w:b/>
        </w:rPr>
      </w:pPr>
      <w:r>
        <w:rPr/>
        <w:t>1、决策依据</w:t>
      </w:r>
      <w:r>
        <w:rPr>
          <w:rFonts w:ascii="Microsoft JhengHei" w:eastAsia="Microsoft JhengHei" w:hint="eastAsia"/>
          <w:b/>
          <w:w w:val="201"/>
        </w:rPr>
        <w:t> </w:t>
      </w:r>
    </w:p>
    <w:p>
      <w:pPr>
        <w:pStyle w:val="BodyText"/>
        <w:spacing w:before="5"/>
        <w:rPr>
          <w:rFonts w:ascii="Microsoft JhengHei"/>
          <w:b/>
          <w:sz w:val="16"/>
        </w:rPr>
      </w:pPr>
    </w:p>
    <w:p>
      <w:pPr>
        <w:pStyle w:val="ListParagraph"/>
        <w:numPr>
          <w:ilvl w:val="0"/>
          <w:numId w:val="34"/>
        </w:numPr>
        <w:tabs>
          <w:tab w:pos="1067" w:val="left" w:leader="none"/>
        </w:tabs>
        <w:spacing w:line="240" w:lineRule="auto" w:before="0" w:after="0"/>
        <w:ind w:left="1067" w:right="0" w:hanging="529"/>
        <w:jc w:val="left"/>
        <w:rPr>
          <w:sz w:val="21"/>
        </w:rPr>
      </w:pPr>
      <w:r>
        <w:rPr>
          <w:spacing w:val="-3"/>
          <w:sz w:val="21"/>
        </w:rPr>
        <w:t>国家有关法律、法规和本基金合同的有关规定。</w:t>
      </w:r>
      <w:r>
        <w:rPr>
          <w:sz w:val="21"/>
        </w:rPr>
        <w:t> </w:t>
      </w:r>
    </w:p>
    <w:p>
      <w:pPr>
        <w:pStyle w:val="BodyText"/>
        <w:spacing w:before="5"/>
        <w:rPr>
          <w:sz w:val="23"/>
        </w:rPr>
      </w:pPr>
    </w:p>
    <w:p>
      <w:pPr>
        <w:pStyle w:val="ListParagraph"/>
        <w:numPr>
          <w:ilvl w:val="0"/>
          <w:numId w:val="34"/>
        </w:numPr>
        <w:tabs>
          <w:tab w:pos="1067" w:val="left" w:leader="none"/>
        </w:tabs>
        <w:spacing w:line="506" w:lineRule="auto" w:before="0" w:after="0"/>
        <w:ind w:left="538" w:right="2337" w:firstLine="0"/>
        <w:jc w:val="left"/>
        <w:rPr>
          <w:sz w:val="21"/>
        </w:rPr>
      </w:pPr>
      <w:r>
        <w:rPr>
          <w:spacing w:val="-2"/>
          <w:sz w:val="21"/>
        </w:rPr>
        <w:t>宏观经济发展态势、微观经济运行环境和证券市场走势。 </w:t>
      </w:r>
      <w:r>
        <w:rPr>
          <w:sz w:val="21"/>
        </w:rPr>
        <w:t>2 </w:t>
      </w:r>
      <w:r>
        <w:rPr>
          <w:spacing w:val="-3"/>
          <w:sz w:val="21"/>
        </w:rPr>
        <w:t>、决策程序</w:t>
      </w:r>
      <w:r>
        <w:rPr>
          <w:sz w:val="21"/>
        </w:rPr>
        <w:t> </w:t>
      </w:r>
    </w:p>
    <w:p>
      <w:pPr>
        <w:pStyle w:val="ListParagraph"/>
        <w:numPr>
          <w:ilvl w:val="0"/>
          <w:numId w:val="35"/>
        </w:numPr>
        <w:tabs>
          <w:tab w:pos="898" w:val="left" w:leader="none"/>
        </w:tabs>
        <w:spacing w:line="417" w:lineRule="auto" w:before="1" w:after="0"/>
        <w:ind w:left="118" w:right="436" w:firstLine="419"/>
        <w:jc w:val="left"/>
        <w:rPr>
          <w:sz w:val="21"/>
        </w:rPr>
      </w:pPr>
      <w:r>
        <w:rPr>
          <w:spacing w:val="-3"/>
          <w:sz w:val="21"/>
        </w:rPr>
        <w:t>研究员提交有关宏观经济分析、投资策略、债券分析等各类报告和投资建议</w:t>
      </w:r>
      <w:r>
        <w:rPr>
          <w:rFonts w:ascii="Times New Roman" w:eastAsia="Times New Roman"/>
          <w:spacing w:val="-3"/>
          <w:sz w:val="21"/>
        </w:rPr>
        <w:t>,</w:t>
      </w:r>
      <w:r>
        <w:rPr>
          <w:sz w:val="21"/>
        </w:rPr>
        <w:t>为投</w:t>
      </w:r>
      <w:r>
        <w:rPr>
          <w:spacing w:val="-3"/>
          <w:sz w:val="21"/>
        </w:rPr>
        <w:t>资运作提供决策支持；</w:t>
      </w:r>
      <w:r>
        <w:rPr>
          <w:sz w:val="21"/>
        </w:rPr>
        <w:t> </w:t>
      </w:r>
    </w:p>
    <w:p>
      <w:pPr>
        <w:pStyle w:val="ListParagraph"/>
        <w:numPr>
          <w:ilvl w:val="0"/>
          <w:numId w:val="35"/>
        </w:numPr>
        <w:tabs>
          <w:tab w:pos="898" w:val="left" w:leader="none"/>
        </w:tabs>
        <w:spacing w:line="240" w:lineRule="auto" w:before="100" w:after="0"/>
        <w:ind w:left="898" w:right="0" w:hanging="360"/>
        <w:jc w:val="left"/>
        <w:rPr>
          <w:sz w:val="21"/>
        </w:rPr>
      </w:pPr>
      <w:r>
        <w:rPr>
          <w:spacing w:val="-3"/>
          <w:sz w:val="21"/>
        </w:rPr>
        <w:t>基金经理根据研究员的报告和对市场走势的判断拟订资产配置方案； </w:t>
      </w:r>
    </w:p>
    <w:p>
      <w:pPr>
        <w:pStyle w:val="BodyText"/>
        <w:spacing w:before="3"/>
        <w:rPr>
          <w:sz w:val="23"/>
        </w:rPr>
      </w:pPr>
    </w:p>
    <w:p>
      <w:pPr>
        <w:pStyle w:val="ListParagraph"/>
        <w:numPr>
          <w:ilvl w:val="0"/>
          <w:numId w:val="35"/>
        </w:numPr>
        <w:tabs>
          <w:tab w:pos="856" w:val="left" w:leader="none"/>
        </w:tabs>
        <w:spacing w:line="240" w:lineRule="auto" w:before="0" w:after="0"/>
        <w:ind w:left="855" w:right="0" w:hanging="318"/>
        <w:jc w:val="left"/>
        <w:rPr>
          <w:sz w:val="21"/>
        </w:rPr>
      </w:pPr>
      <w:r>
        <w:rPr>
          <w:spacing w:val="-3"/>
          <w:sz w:val="21"/>
        </w:rPr>
        <w:t>投资决策委员会听取基金经理拟定的资产配置报告，同时听取金融工程部的绩效</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spacing w:val="-3"/>
        </w:rPr>
        <w:t>与风险报告，对基金投资组合的资产配置提出指导意见；</w:t>
      </w:r>
      <w:r>
        <w:rPr/>
        <w:t> </w:t>
      </w:r>
    </w:p>
    <w:p>
      <w:pPr>
        <w:pStyle w:val="BodyText"/>
        <w:spacing w:before="4"/>
        <w:rPr>
          <w:sz w:val="23"/>
        </w:rPr>
      </w:pPr>
    </w:p>
    <w:p>
      <w:pPr>
        <w:pStyle w:val="ListParagraph"/>
        <w:numPr>
          <w:ilvl w:val="0"/>
          <w:numId w:val="36"/>
        </w:numPr>
        <w:tabs>
          <w:tab w:pos="1005" w:val="left" w:leader="none"/>
        </w:tabs>
        <w:spacing w:line="417" w:lineRule="auto" w:before="1" w:after="0"/>
        <w:ind w:left="118" w:right="436" w:firstLine="359"/>
        <w:jc w:val="left"/>
        <w:rPr>
          <w:sz w:val="21"/>
        </w:rPr>
      </w:pPr>
      <w:r>
        <w:rPr>
          <w:spacing w:val="-8"/>
          <w:sz w:val="21"/>
        </w:rPr>
        <w:t>市场部每日提供基金申购赎回的数据，同时根据对历史数据、对投资者调查、市 </w:t>
      </w:r>
      <w:r>
        <w:rPr>
          <w:spacing w:val="-3"/>
          <w:sz w:val="21"/>
        </w:rPr>
        <w:t>场环境判断，动态预测投资者申购赎回金额，并将结果提交基金经理参考；</w:t>
      </w:r>
      <w:r>
        <w:rPr>
          <w:sz w:val="21"/>
        </w:rPr>
        <w:t> </w:t>
      </w:r>
    </w:p>
    <w:p>
      <w:pPr>
        <w:pStyle w:val="ListParagraph"/>
        <w:numPr>
          <w:ilvl w:val="0"/>
          <w:numId w:val="36"/>
        </w:numPr>
        <w:tabs>
          <w:tab w:pos="1007" w:val="left" w:leader="none"/>
        </w:tabs>
        <w:spacing w:line="417" w:lineRule="auto" w:before="98" w:after="0"/>
        <w:ind w:left="118" w:right="433" w:firstLine="359"/>
        <w:jc w:val="left"/>
        <w:rPr>
          <w:sz w:val="21"/>
        </w:rPr>
      </w:pPr>
      <w:r>
        <w:rPr>
          <w:spacing w:val="-8"/>
          <w:sz w:val="21"/>
        </w:rPr>
        <w:t>基金经理根据投资决策委员会的决议，结合市场部提供的报告，构造具体的投资 </w:t>
      </w:r>
      <w:r>
        <w:rPr>
          <w:spacing w:val="-3"/>
          <w:sz w:val="21"/>
        </w:rPr>
        <w:t>组合及操作方案，进行投资组合的构建和日常管理； </w:t>
      </w:r>
    </w:p>
    <w:p>
      <w:pPr>
        <w:pStyle w:val="ListParagraph"/>
        <w:numPr>
          <w:ilvl w:val="0"/>
          <w:numId w:val="36"/>
        </w:numPr>
        <w:tabs>
          <w:tab w:pos="1007" w:val="left" w:leader="none"/>
        </w:tabs>
        <w:spacing w:line="417" w:lineRule="auto" w:before="100" w:after="0"/>
        <w:ind w:left="118" w:right="433" w:firstLine="359"/>
        <w:jc w:val="left"/>
        <w:rPr>
          <w:sz w:val="20"/>
        </w:rPr>
      </w:pPr>
      <w:r>
        <w:rPr>
          <w:spacing w:val="-8"/>
          <w:sz w:val="21"/>
        </w:rPr>
        <w:t>集中交易室依据基金经理的指令，制定交易策略并执行交易，交易情况及时反馈 </w:t>
      </w:r>
      <w:r>
        <w:rPr>
          <w:spacing w:val="-2"/>
          <w:sz w:val="21"/>
        </w:rPr>
        <w:t>到基金经理；</w:t>
      </w:r>
      <w:r>
        <w:rPr>
          <w:w w:val="99"/>
          <w:sz w:val="20"/>
        </w:rPr>
        <w:t> </w:t>
      </w:r>
    </w:p>
    <w:p>
      <w:pPr>
        <w:pStyle w:val="ListParagraph"/>
        <w:numPr>
          <w:ilvl w:val="0"/>
          <w:numId w:val="36"/>
        </w:numPr>
        <w:tabs>
          <w:tab w:pos="1011" w:val="left" w:leader="none"/>
        </w:tabs>
        <w:spacing w:line="417" w:lineRule="auto" w:before="101" w:after="0"/>
        <w:ind w:left="118" w:right="433" w:firstLine="359"/>
        <w:jc w:val="both"/>
        <w:rPr>
          <w:sz w:val="21"/>
        </w:rPr>
      </w:pPr>
      <w:r>
        <w:rPr>
          <w:spacing w:val="-1"/>
          <w:sz w:val="21"/>
        </w:rPr>
        <w:t>金融工程部对投资组合进行跟踪评估，监察部对投资组合的执行过程进行风险监</w:t>
      </w:r>
      <w:r>
        <w:rPr>
          <w:spacing w:val="-10"/>
          <w:sz w:val="21"/>
        </w:rPr>
        <w:t>控；金融工程部和监察部定期或随时向基金经理、投资总监、投资决策委员会提供基金投资</w:t>
      </w:r>
      <w:r>
        <w:rPr>
          <w:spacing w:val="-5"/>
          <w:sz w:val="21"/>
        </w:rPr>
        <w:t>风险评估报告并对风险隐患进行提示；</w:t>
      </w:r>
      <w:r>
        <w:rPr>
          <w:sz w:val="21"/>
        </w:rPr>
        <w:t> </w:t>
      </w:r>
    </w:p>
    <w:p>
      <w:pPr>
        <w:pStyle w:val="ListParagraph"/>
        <w:numPr>
          <w:ilvl w:val="0"/>
          <w:numId w:val="36"/>
        </w:numPr>
        <w:tabs>
          <w:tab w:pos="1007" w:val="left" w:leader="none"/>
        </w:tabs>
        <w:spacing w:line="240" w:lineRule="auto" w:before="98" w:after="0"/>
        <w:ind w:left="1007" w:right="0" w:hanging="529"/>
        <w:jc w:val="left"/>
        <w:rPr>
          <w:sz w:val="21"/>
        </w:rPr>
      </w:pPr>
      <w:r>
        <w:rPr>
          <w:spacing w:val="-3"/>
          <w:sz w:val="21"/>
        </w:rPr>
        <w:t>基金经理定期检讨投资组合的运作成效，并进行相应的组合调整。</w:t>
      </w:r>
    </w:p>
    <w:p>
      <w:pPr>
        <w:pStyle w:val="BodyText"/>
        <w:rPr>
          <w:sz w:val="22"/>
        </w:rPr>
      </w:pPr>
    </w:p>
    <w:p>
      <w:pPr>
        <w:pStyle w:val="BodyText"/>
        <w:spacing w:before="8"/>
        <w:rPr>
          <w:sz w:val="20"/>
        </w:rPr>
      </w:pPr>
    </w:p>
    <w:p>
      <w:pPr>
        <w:spacing w:before="1"/>
        <w:ind w:left="118" w:right="0" w:firstLine="0"/>
        <w:jc w:val="left"/>
        <w:rPr>
          <w:sz w:val="28"/>
        </w:rPr>
      </w:pPr>
      <w:bookmarkStart w:name="_bookmark46" w:id="47"/>
      <w:bookmarkEnd w:id="47"/>
      <w:r>
        <w:rPr/>
      </w:r>
      <w:r>
        <w:rPr>
          <w:sz w:val="28"/>
        </w:rPr>
        <w:t>(八) 投资组合限制 </w:t>
      </w:r>
    </w:p>
    <w:p>
      <w:pPr>
        <w:pStyle w:val="BodyText"/>
        <w:rPr>
          <w:sz w:val="28"/>
        </w:rPr>
      </w:pPr>
    </w:p>
    <w:p>
      <w:pPr>
        <w:pStyle w:val="BodyText"/>
        <w:spacing w:before="182"/>
        <w:ind w:left="538"/>
      </w:pPr>
      <w:r>
        <w:rPr/>
        <w:t>1、本基金不得投资于以下金融工具：  </w:t>
      </w:r>
    </w:p>
    <w:p>
      <w:pPr>
        <w:pStyle w:val="BodyText"/>
        <w:rPr>
          <w:sz w:val="20"/>
        </w:rPr>
      </w:pPr>
    </w:p>
    <w:p>
      <w:pPr>
        <w:pStyle w:val="BodyText"/>
        <w:spacing w:before="6"/>
        <w:rPr>
          <w:sz w:val="17"/>
        </w:rPr>
      </w:pPr>
    </w:p>
    <w:p>
      <w:pPr>
        <w:pStyle w:val="BodyText"/>
        <w:spacing w:before="1"/>
        <w:ind w:left="538"/>
      </w:pPr>
      <w:r>
        <w:rPr/>
        <w:t>（1）股票；  </w:t>
      </w:r>
    </w:p>
    <w:p>
      <w:pPr>
        <w:pStyle w:val="BodyText"/>
        <w:rPr>
          <w:sz w:val="20"/>
        </w:rPr>
      </w:pPr>
    </w:p>
    <w:p>
      <w:pPr>
        <w:pStyle w:val="BodyText"/>
        <w:spacing w:before="5"/>
        <w:rPr>
          <w:sz w:val="17"/>
        </w:rPr>
      </w:pPr>
    </w:p>
    <w:p>
      <w:pPr>
        <w:pStyle w:val="ListParagraph"/>
        <w:numPr>
          <w:ilvl w:val="0"/>
          <w:numId w:val="37"/>
        </w:numPr>
        <w:tabs>
          <w:tab w:pos="1067" w:val="left" w:leader="none"/>
        </w:tabs>
        <w:spacing w:line="240" w:lineRule="auto" w:before="0" w:after="0"/>
        <w:ind w:left="1067" w:right="0" w:hanging="529"/>
        <w:jc w:val="left"/>
        <w:rPr>
          <w:sz w:val="21"/>
        </w:rPr>
      </w:pPr>
      <w:r>
        <w:rPr>
          <w:spacing w:val="-3"/>
          <w:sz w:val="21"/>
        </w:rPr>
        <w:t>可转换债券、可交换债券； </w:t>
      </w:r>
      <w:r>
        <w:rPr>
          <w:sz w:val="21"/>
        </w:rPr>
        <w:t> </w:t>
      </w:r>
    </w:p>
    <w:p>
      <w:pPr>
        <w:pStyle w:val="BodyText"/>
        <w:rPr>
          <w:sz w:val="20"/>
        </w:rPr>
      </w:pPr>
    </w:p>
    <w:p>
      <w:pPr>
        <w:pStyle w:val="BodyText"/>
        <w:spacing w:before="3"/>
        <w:rPr>
          <w:sz w:val="17"/>
        </w:rPr>
      </w:pPr>
    </w:p>
    <w:p>
      <w:pPr>
        <w:pStyle w:val="ListParagraph"/>
        <w:numPr>
          <w:ilvl w:val="0"/>
          <w:numId w:val="37"/>
        </w:numPr>
        <w:tabs>
          <w:tab w:pos="1067" w:val="left" w:leader="none"/>
        </w:tabs>
        <w:spacing w:line="240" w:lineRule="auto" w:before="0" w:after="0"/>
        <w:ind w:left="1067" w:right="0" w:hanging="529"/>
        <w:jc w:val="left"/>
        <w:rPr>
          <w:sz w:val="21"/>
        </w:rPr>
      </w:pPr>
      <w:r>
        <w:rPr>
          <w:spacing w:val="-8"/>
          <w:sz w:val="21"/>
        </w:rPr>
        <w:t>以定期存款利率为基准利率的浮动利率债券，已进入最后一个利率调整期的除外； </w:t>
      </w:r>
      <w:r>
        <w:rPr>
          <w:sz w:val="21"/>
        </w:rPr>
        <w:t> </w:t>
      </w:r>
    </w:p>
    <w:p>
      <w:pPr>
        <w:pStyle w:val="BodyText"/>
        <w:rPr>
          <w:sz w:val="20"/>
        </w:rPr>
      </w:pPr>
    </w:p>
    <w:p>
      <w:pPr>
        <w:pStyle w:val="BodyText"/>
        <w:spacing w:before="6"/>
        <w:rPr>
          <w:sz w:val="17"/>
        </w:rPr>
      </w:pPr>
    </w:p>
    <w:p>
      <w:pPr>
        <w:pStyle w:val="ListParagraph"/>
        <w:numPr>
          <w:ilvl w:val="0"/>
          <w:numId w:val="37"/>
        </w:numPr>
        <w:tabs>
          <w:tab w:pos="1067" w:val="left" w:leader="none"/>
        </w:tabs>
        <w:spacing w:line="240" w:lineRule="auto" w:before="0" w:after="0"/>
        <w:ind w:left="1067" w:right="0" w:hanging="529"/>
        <w:jc w:val="left"/>
        <w:rPr>
          <w:sz w:val="21"/>
        </w:rPr>
      </w:pPr>
      <w:r>
        <w:rPr>
          <w:spacing w:val="-12"/>
          <w:sz w:val="21"/>
        </w:rPr>
        <w:t>信用等级在 </w:t>
      </w:r>
      <w:r>
        <w:rPr>
          <w:sz w:val="21"/>
        </w:rPr>
        <w:t>AA</w:t>
      </w:r>
      <w:r>
        <w:rPr>
          <w:spacing w:val="-3"/>
          <w:sz w:val="21"/>
        </w:rPr>
        <w:t>+级以下的债券与非金融企业债务融资工具； </w:t>
      </w:r>
      <w:r>
        <w:rPr>
          <w:sz w:val="21"/>
        </w:rPr>
        <w:t> </w:t>
      </w:r>
    </w:p>
    <w:p>
      <w:pPr>
        <w:pStyle w:val="BodyText"/>
        <w:rPr>
          <w:sz w:val="20"/>
        </w:rPr>
      </w:pPr>
    </w:p>
    <w:p>
      <w:pPr>
        <w:pStyle w:val="BodyText"/>
        <w:spacing w:before="6"/>
        <w:rPr>
          <w:sz w:val="17"/>
        </w:rPr>
      </w:pPr>
    </w:p>
    <w:p>
      <w:pPr>
        <w:pStyle w:val="ListParagraph"/>
        <w:numPr>
          <w:ilvl w:val="0"/>
          <w:numId w:val="37"/>
        </w:numPr>
        <w:tabs>
          <w:tab w:pos="1067" w:val="left" w:leader="none"/>
        </w:tabs>
        <w:spacing w:line="240" w:lineRule="auto" w:before="0" w:after="0"/>
        <w:ind w:left="1067" w:right="0" w:hanging="529"/>
        <w:jc w:val="left"/>
        <w:rPr>
          <w:sz w:val="21"/>
        </w:rPr>
      </w:pPr>
      <w:r>
        <w:rPr>
          <w:spacing w:val="-3"/>
          <w:sz w:val="21"/>
        </w:rPr>
        <w:t>中国证监会、中国人民银行禁止投资的其他金融工具。</w:t>
      </w:r>
      <w:r>
        <w:rPr>
          <w:sz w:val="21"/>
        </w:rPr>
        <w:t> </w:t>
      </w:r>
    </w:p>
    <w:p>
      <w:pPr>
        <w:pStyle w:val="BodyText"/>
        <w:rPr>
          <w:sz w:val="20"/>
        </w:rPr>
      </w:pPr>
    </w:p>
    <w:p>
      <w:pPr>
        <w:pStyle w:val="BodyText"/>
        <w:spacing w:before="4"/>
        <w:rPr>
          <w:sz w:val="17"/>
        </w:rPr>
      </w:pPr>
    </w:p>
    <w:p>
      <w:pPr>
        <w:pStyle w:val="BodyText"/>
        <w:spacing w:line="417" w:lineRule="auto"/>
        <w:ind w:left="118" w:right="434" w:firstLine="419"/>
      </w:pPr>
      <w:r>
        <w:rPr>
          <w:spacing w:val="-8"/>
        </w:rPr>
        <w:t>法律法规或监管部门取消或变更上述限制后，本基金不受上述规定的限制并以最新规定</w:t>
      </w:r>
      <w:r>
        <w:rPr>
          <w:spacing w:val="-7"/>
        </w:rPr>
        <w:t>为准。</w:t>
      </w:r>
      <w:r>
        <w:rPr/>
        <w:t> </w:t>
      </w:r>
    </w:p>
    <w:p>
      <w:pPr>
        <w:pStyle w:val="BodyText"/>
        <w:spacing w:before="11"/>
      </w:pPr>
    </w:p>
    <w:p>
      <w:pPr>
        <w:pStyle w:val="BodyText"/>
        <w:ind w:left="538"/>
      </w:pPr>
      <w:r>
        <w:rPr/>
        <w:t>2、本基金投资组合应符合以下规定： </w:t>
      </w:r>
    </w:p>
    <w:p>
      <w:pPr>
        <w:pStyle w:val="BodyText"/>
        <w:rPr>
          <w:sz w:val="20"/>
        </w:rPr>
      </w:pPr>
    </w:p>
    <w:p>
      <w:pPr>
        <w:pStyle w:val="BodyText"/>
        <w:spacing w:before="6"/>
        <w:rPr>
          <w:sz w:val="17"/>
        </w:rPr>
      </w:pPr>
    </w:p>
    <w:p>
      <w:pPr>
        <w:pStyle w:val="ListParagraph"/>
        <w:numPr>
          <w:ilvl w:val="0"/>
          <w:numId w:val="38"/>
        </w:numPr>
        <w:tabs>
          <w:tab w:pos="1067" w:val="left" w:leader="none"/>
        </w:tabs>
        <w:spacing w:line="240" w:lineRule="auto" w:before="0" w:after="0"/>
        <w:ind w:left="1067" w:right="0" w:hanging="529"/>
        <w:jc w:val="left"/>
        <w:rPr>
          <w:sz w:val="21"/>
        </w:rPr>
      </w:pPr>
      <w:r>
        <w:rPr>
          <w:spacing w:val="-5"/>
          <w:sz w:val="21"/>
        </w:rPr>
        <w:t>本基金投资组合的平均剩余期限不得超过 </w:t>
      </w:r>
      <w:r>
        <w:rPr>
          <w:sz w:val="21"/>
        </w:rPr>
        <w:t>120</w:t>
      </w:r>
      <w:r>
        <w:rPr>
          <w:spacing w:val="-9"/>
          <w:sz w:val="21"/>
        </w:rPr>
        <w:t> 天，平均剩余存续期不得超过 </w:t>
      </w:r>
      <w:r>
        <w:rPr>
          <w:sz w:val="21"/>
        </w:rPr>
        <w:t>240</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spacing w:val="-2"/>
        </w:rPr>
        <w:t>天；</w:t>
      </w:r>
      <w:r>
        <w:rPr/>
        <w:t> </w:t>
      </w:r>
    </w:p>
    <w:p>
      <w:pPr>
        <w:pStyle w:val="BodyText"/>
        <w:rPr>
          <w:sz w:val="20"/>
        </w:rPr>
      </w:pPr>
    </w:p>
    <w:p>
      <w:pPr>
        <w:pStyle w:val="BodyText"/>
        <w:spacing w:before="5"/>
        <w:rPr>
          <w:sz w:val="17"/>
        </w:rPr>
      </w:pPr>
    </w:p>
    <w:p>
      <w:pPr>
        <w:pStyle w:val="ListParagraph"/>
        <w:numPr>
          <w:ilvl w:val="0"/>
          <w:numId w:val="38"/>
        </w:numPr>
        <w:tabs>
          <w:tab w:pos="1067" w:val="left" w:leader="none"/>
        </w:tabs>
        <w:spacing w:line="417" w:lineRule="auto" w:before="0" w:after="0"/>
        <w:ind w:left="118" w:right="433" w:firstLine="419"/>
        <w:jc w:val="both"/>
        <w:rPr>
          <w:sz w:val="21"/>
        </w:rPr>
      </w:pPr>
      <w:r>
        <w:rPr>
          <w:spacing w:val="-3"/>
          <w:sz w:val="21"/>
        </w:rPr>
        <w:t>本基金持有同一机构发行的债券、非金融企业债务融资工具及其作为原始权益人</w:t>
      </w:r>
      <w:r>
        <w:rPr>
          <w:spacing w:val="-4"/>
          <w:sz w:val="21"/>
        </w:rPr>
        <w:t>的资产支持证券占基金资产净值的比例合计不得超过 </w:t>
      </w:r>
      <w:r>
        <w:rPr>
          <w:spacing w:val="-5"/>
          <w:sz w:val="21"/>
        </w:rPr>
        <w:t>10%</w:t>
      </w:r>
      <w:r>
        <w:rPr>
          <w:spacing w:val="-6"/>
          <w:sz w:val="21"/>
        </w:rPr>
        <w:t>，国债、中央银行票据、政策性金</w:t>
      </w:r>
      <w:r>
        <w:rPr>
          <w:spacing w:val="-4"/>
          <w:sz w:val="21"/>
        </w:rPr>
        <w:t>融债券除外；</w:t>
      </w:r>
      <w:r>
        <w:rPr>
          <w:sz w:val="21"/>
        </w:rPr>
        <w:t> </w:t>
      </w:r>
    </w:p>
    <w:p>
      <w:pPr>
        <w:pStyle w:val="BodyText"/>
        <w:spacing w:before="9"/>
      </w:pPr>
    </w:p>
    <w:p>
      <w:pPr>
        <w:pStyle w:val="ListParagraph"/>
        <w:numPr>
          <w:ilvl w:val="0"/>
          <w:numId w:val="38"/>
        </w:numPr>
        <w:tabs>
          <w:tab w:pos="1067" w:val="left" w:leader="none"/>
        </w:tabs>
        <w:spacing w:line="417" w:lineRule="auto" w:before="0" w:after="0"/>
        <w:ind w:left="118" w:right="435" w:firstLine="419"/>
        <w:jc w:val="both"/>
        <w:rPr>
          <w:sz w:val="21"/>
        </w:rPr>
      </w:pPr>
      <w:r>
        <w:rPr>
          <w:spacing w:val="-2"/>
          <w:sz w:val="21"/>
        </w:rPr>
        <w:t>本基金持有一家公司发行的证券，其市值不得超过基金资产净值的 </w:t>
      </w:r>
      <w:r>
        <w:rPr>
          <w:sz w:val="21"/>
        </w:rPr>
        <w:t>10</w:t>
      </w:r>
      <w:r>
        <w:rPr>
          <w:spacing w:val="-1"/>
          <w:sz w:val="21"/>
        </w:rPr>
        <w:t>%；本基金</w:t>
      </w:r>
      <w:r>
        <w:rPr>
          <w:spacing w:val="-5"/>
          <w:sz w:val="21"/>
        </w:rPr>
        <w:t>与由基金管理人管理的其他全部基金持有一家公司发行的证券，不得超过该证券的 </w:t>
      </w:r>
      <w:r>
        <w:rPr>
          <w:sz w:val="21"/>
        </w:rPr>
        <w:t>10%； </w:t>
      </w:r>
    </w:p>
    <w:p>
      <w:pPr>
        <w:pStyle w:val="BodyText"/>
        <w:spacing w:before="12"/>
      </w:pPr>
    </w:p>
    <w:p>
      <w:pPr>
        <w:pStyle w:val="ListParagraph"/>
        <w:numPr>
          <w:ilvl w:val="0"/>
          <w:numId w:val="38"/>
        </w:numPr>
        <w:tabs>
          <w:tab w:pos="1067" w:val="left" w:leader="none"/>
        </w:tabs>
        <w:spacing w:line="417" w:lineRule="auto" w:before="0" w:after="0"/>
        <w:ind w:left="118" w:right="433" w:firstLine="419"/>
        <w:jc w:val="both"/>
        <w:rPr>
          <w:sz w:val="21"/>
        </w:rPr>
      </w:pPr>
      <w:r>
        <w:rPr>
          <w:spacing w:val="-2"/>
          <w:sz w:val="21"/>
        </w:rPr>
        <w:t>本基金投资于有固定期限银行存款的比例，不得超过基金资产净值的 </w:t>
      </w:r>
      <w:r>
        <w:rPr>
          <w:sz w:val="21"/>
        </w:rPr>
        <w:t>30%，但投</w:t>
      </w:r>
      <w:r>
        <w:rPr>
          <w:spacing w:val="-10"/>
          <w:sz w:val="21"/>
        </w:rPr>
        <w:t>资于有存款期限，根据协议可提前支取的银行存款不受上述比例限制；本基金投资于具有基金托管人资格的同一商业银行的银行存款、同业存单占基金资产净值的比例合计不得超过20</w:t>
      </w:r>
      <w:r>
        <w:rPr>
          <w:spacing w:val="-5"/>
          <w:sz w:val="21"/>
        </w:rPr>
        <w:t>%，投资于不具有基金托管人资格的同一商业银行的银行存款、同业存单占基金资产净值</w:t>
      </w:r>
      <w:r>
        <w:rPr>
          <w:spacing w:val="-9"/>
          <w:sz w:val="21"/>
        </w:rPr>
        <w:t>的比例合计不得超过 </w:t>
      </w:r>
      <w:r>
        <w:rPr>
          <w:sz w:val="21"/>
        </w:rPr>
        <w:t>5%； </w:t>
      </w:r>
    </w:p>
    <w:p>
      <w:pPr>
        <w:pStyle w:val="BodyText"/>
        <w:spacing w:before="11"/>
      </w:pPr>
    </w:p>
    <w:p>
      <w:pPr>
        <w:pStyle w:val="ListParagraph"/>
        <w:numPr>
          <w:ilvl w:val="0"/>
          <w:numId w:val="38"/>
        </w:numPr>
        <w:tabs>
          <w:tab w:pos="1067" w:val="left" w:leader="none"/>
        </w:tabs>
        <w:spacing w:line="417" w:lineRule="auto" w:before="0" w:after="0"/>
        <w:ind w:left="118" w:right="436" w:firstLine="419"/>
        <w:jc w:val="left"/>
        <w:rPr>
          <w:sz w:val="21"/>
        </w:rPr>
      </w:pPr>
      <w:r>
        <w:rPr>
          <w:spacing w:val="-3"/>
          <w:sz w:val="21"/>
        </w:rPr>
        <w:t>本基金应保持足够比例的流动性资产以应对潜在的赎回要求，其投资组合应当符合下列规定：</w:t>
      </w:r>
      <w:r>
        <w:rPr>
          <w:sz w:val="21"/>
        </w:rPr>
        <w:t> </w:t>
      </w:r>
    </w:p>
    <w:p>
      <w:pPr>
        <w:pStyle w:val="BodyText"/>
        <w:spacing w:before="9"/>
      </w:pPr>
    </w:p>
    <w:p>
      <w:pPr>
        <w:pStyle w:val="BodyText"/>
        <w:spacing w:line="417" w:lineRule="auto"/>
        <w:ind w:left="118" w:right="434" w:firstLine="419"/>
      </w:pPr>
      <w:r>
        <w:rPr>
          <w:w w:val="100"/>
        </w:rPr>
        <w:t> </w:t>
      </w:r>
      <w:r>
        <w:rPr>
          <w:spacing w:val="-13"/>
        </w:rPr>
        <w:t>1）</w:t>
      </w:r>
      <w:r>
        <w:rPr>
          <w:spacing w:val="-12"/>
        </w:rPr>
        <w:t>现金、国债、中央银行票据、政策性金融债券占基金资产净值的比例合计不得低于5</w:t>
      </w:r>
      <w:r>
        <w:rPr>
          <w:spacing w:val="-6"/>
        </w:rPr>
        <w:t>%，其中现金不包括结算备付金、存出保证金、应收申购款等；</w:t>
      </w:r>
      <w:r>
        <w:rPr/>
        <w:t> </w:t>
      </w:r>
    </w:p>
    <w:p>
      <w:pPr>
        <w:pStyle w:val="BodyText"/>
        <w:spacing w:before="12"/>
      </w:pPr>
    </w:p>
    <w:p>
      <w:pPr>
        <w:pStyle w:val="BodyText"/>
        <w:spacing w:line="417" w:lineRule="auto"/>
        <w:ind w:left="118" w:right="434" w:firstLine="419"/>
      </w:pPr>
      <w:r>
        <w:rPr>
          <w:w w:val="100"/>
        </w:rPr>
        <w:t> </w:t>
      </w:r>
      <w:r>
        <w:rPr>
          <w:spacing w:val="-13"/>
        </w:rPr>
        <w:t>2）</w:t>
      </w:r>
      <w:r>
        <w:rPr>
          <w:spacing w:val="-12"/>
        </w:rPr>
        <w:t>现金、国债、中央银行票据、政策性金融债券以及五个交易日内到期的其他金融工</w:t>
      </w:r>
      <w:r>
        <w:rPr>
          <w:spacing w:val="-9"/>
        </w:rPr>
        <w:t>具占基金资产净值的比例合计不得低于 </w:t>
      </w:r>
      <w:r>
        <w:rPr/>
        <w:t>10%； </w:t>
      </w:r>
    </w:p>
    <w:p>
      <w:pPr>
        <w:pStyle w:val="BodyText"/>
        <w:spacing w:before="11"/>
      </w:pPr>
    </w:p>
    <w:p>
      <w:pPr>
        <w:pStyle w:val="ListParagraph"/>
        <w:numPr>
          <w:ilvl w:val="0"/>
          <w:numId w:val="39"/>
        </w:numPr>
        <w:tabs>
          <w:tab w:pos="856" w:val="left" w:leader="none"/>
        </w:tabs>
        <w:spacing w:line="417" w:lineRule="auto" w:before="0" w:after="0"/>
        <w:ind w:left="118" w:right="434" w:firstLine="419"/>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11"/>
          <w:sz w:val="21"/>
        </w:rPr>
        <w:t>资产净值的比例合计不得超过 </w:t>
      </w:r>
      <w:r>
        <w:rPr>
          <w:sz w:val="21"/>
        </w:rPr>
        <w:t>30%；</w:t>
      </w:r>
      <w:r>
        <w:rPr>
          <w:spacing w:val="-3"/>
          <w:sz w:val="21"/>
        </w:rPr>
        <w:t> </w:t>
      </w:r>
      <w:r>
        <w:rPr>
          <w:sz w:val="21"/>
        </w:rPr>
        <w:t> </w:t>
      </w:r>
    </w:p>
    <w:p>
      <w:pPr>
        <w:pStyle w:val="BodyText"/>
        <w:spacing w:before="10"/>
      </w:pPr>
    </w:p>
    <w:p>
      <w:pPr>
        <w:pStyle w:val="ListParagraph"/>
        <w:numPr>
          <w:ilvl w:val="0"/>
          <w:numId w:val="39"/>
        </w:numPr>
        <w:tabs>
          <w:tab w:pos="856" w:val="left" w:leader="none"/>
        </w:tabs>
        <w:spacing w:line="240" w:lineRule="auto" w:before="0" w:after="0"/>
        <w:ind w:left="855" w:right="0" w:hanging="318"/>
        <w:jc w:val="left"/>
        <w:rPr>
          <w:sz w:val="21"/>
        </w:rPr>
      </w:pPr>
      <w:r>
        <w:rPr>
          <w:spacing w:val="-7"/>
          <w:sz w:val="21"/>
        </w:rPr>
        <w:t>除发生巨额赎回、连续 </w:t>
      </w:r>
      <w:r>
        <w:rPr>
          <w:sz w:val="21"/>
        </w:rPr>
        <w:t>3</w:t>
      </w:r>
      <w:r>
        <w:rPr>
          <w:spacing w:val="-11"/>
          <w:sz w:val="21"/>
        </w:rPr>
        <w:t> 个交易日累计赎回 </w:t>
      </w:r>
      <w:r>
        <w:rPr>
          <w:sz w:val="21"/>
        </w:rPr>
        <w:t>20</w:t>
      </w:r>
      <w:r>
        <w:rPr>
          <w:spacing w:val="-7"/>
          <w:sz w:val="21"/>
        </w:rPr>
        <w:t>%以上或者连续 </w:t>
      </w:r>
      <w:r>
        <w:rPr>
          <w:sz w:val="21"/>
        </w:rPr>
        <w:t>5</w:t>
      </w:r>
      <w:r>
        <w:rPr>
          <w:spacing w:val="-8"/>
          <w:sz w:val="21"/>
        </w:rPr>
        <w:t> 个交易日累计赎回</w:t>
      </w:r>
    </w:p>
    <w:p>
      <w:pPr>
        <w:pStyle w:val="BodyText"/>
        <w:spacing w:before="6"/>
        <w:rPr>
          <w:sz w:val="15"/>
        </w:rPr>
      </w:pPr>
    </w:p>
    <w:p>
      <w:pPr>
        <w:pStyle w:val="BodyText"/>
        <w:spacing w:before="1"/>
        <w:ind w:left="118"/>
      </w:pPr>
      <w:r>
        <w:rPr/>
        <w:t>30%以上的情形外，本基金债券正回购的资金余额占基金资产净值的比例不得超过 20%； </w:t>
      </w:r>
    </w:p>
    <w:p>
      <w:pPr>
        <w:pStyle w:val="BodyText"/>
        <w:rPr>
          <w:sz w:val="20"/>
        </w:rPr>
      </w:pPr>
    </w:p>
    <w:p>
      <w:pPr>
        <w:pStyle w:val="BodyText"/>
        <w:spacing w:before="5"/>
        <w:rPr>
          <w:sz w:val="17"/>
        </w:rPr>
      </w:pPr>
    </w:p>
    <w:p>
      <w:pPr>
        <w:pStyle w:val="ListParagraph"/>
        <w:numPr>
          <w:ilvl w:val="0"/>
          <w:numId w:val="38"/>
        </w:numPr>
        <w:tabs>
          <w:tab w:pos="1067" w:val="left" w:leader="none"/>
        </w:tabs>
        <w:spacing w:line="240" w:lineRule="auto" w:before="0" w:after="0"/>
        <w:ind w:left="1067" w:right="0" w:hanging="529"/>
        <w:jc w:val="left"/>
        <w:rPr>
          <w:sz w:val="21"/>
        </w:rPr>
      </w:pPr>
      <w:r>
        <w:rPr>
          <w:spacing w:val="-6"/>
          <w:sz w:val="21"/>
        </w:rPr>
        <w:t>本基金基金总资产不得超过基金净资产的 </w:t>
      </w:r>
      <w:r>
        <w:rPr>
          <w:sz w:val="21"/>
        </w:rPr>
        <w:t>140%； </w:t>
      </w:r>
    </w:p>
    <w:p>
      <w:pPr>
        <w:pStyle w:val="BodyText"/>
        <w:rPr>
          <w:sz w:val="20"/>
        </w:rPr>
      </w:pPr>
    </w:p>
    <w:p>
      <w:pPr>
        <w:pStyle w:val="BodyText"/>
        <w:spacing w:before="6"/>
        <w:rPr>
          <w:sz w:val="17"/>
        </w:rPr>
      </w:pPr>
    </w:p>
    <w:p>
      <w:pPr>
        <w:pStyle w:val="ListParagraph"/>
        <w:numPr>
          <w:ilvl w:val="0"/>
          <w:numId w:val="38"/>
        </w:numPr>
        <w:tabs>
          <w:tab w:pos="1067" w:val="left" w:leader="none"/>
        </w:tabs>
        <w:spacing w:line="240" w:lineRule="auto" w:before="0" w:after="0"/>
        <w:ind w:left="1067" w:right="0" w:hanging="529"/>
        <w:jc w:val="left"/>
        <w:rPr>
          <w:sz w:val="21"/>
        </w:rPr>
      </w:pPr>
      <w:r>
        <w:rPr>
          <w:spacing w:val="-5"/>
          <w:sz w:val="21"/>
        </w:rPr>
        <w:t>本基金在全国银行间同业市场的债券回购最长期限为 </w:t>
      </w:r>
      <w:r>
        <w:rPr>
          <w:sz w:val="21"/>
        </w:rPr>
        <w:t>1</w:t>
      </w:r>
      <w:r>
        <w:rPr>
          <w:spacing w:val="-8"/>
          <w:sz w:val="21"/>
        </w:rPr>
        <w:t> 年，债券回购到期后不得</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展期； </w:t>
      </w:r>
    </w:p>
    <w:p>
      <w:pPr>
        <w:pStyle w:val="BodyText"/>
        <w:rPr>
          <w:sz w:val="20"/>
        </w:rPr>
      </w:pPr>
    </w:p>
    <w:p>
      <w:pPr>
        <w:pStyle w:val="BodyText"/>
        <w:spacing w:before="5"/>
        <w:rPr>
          <w:sz w:val="17"/>
        </w:rPr>
      </w:pPr>
    </w:p>
    <w:p>
      <w:pPr>
        <w:pStyle w:val="ListParagraph"/>
        <w:numPr>
          <w:ilvl w:val="0"/>
          <w:numId w:val="38"/>
        </w:numPr>
        <w:tabs>
          <w:tab w:pos="1067" w:val="left" w:leader="none"/>
        </w:tabs>
        <w:spacing w:line="417" w:lineRule="auto" w:before="0" w:after="0"/>
        <w:ind w:left="118" w:right="328" w:firstLine="419"/>
        <w:jc w:val="left"/>
        <w:rPr>
          <w:sz w:val="21"/>
        </w:rPr>
      </w:pPr>
      <w:r>
        <w:rPr>
          <w:spacing w:val="-3"/>
          <w:sz w:val="21"/>
        </w:rPr>
        <w:t>本基金投资于同一原始权益人的各类资产支持证券的比例，不得超过基金资产净</w:t>
      </w:r>
      <w:r>
        <w:rPr>
          <w:spacing w:val="-15"/>
          <w:sz w:val="21"/>
        </w:rPr>
        <w:t>值的 </w:t>
      </w:r>
      <w:r>
        <w:rPr>
          <w:sz w:val="21"/>
        </w:rPr>
        <w:t>10</w:t>
      </w:r>
      <w:r>
        <w:rPr>
          <w:spacing w:val="-5"/>
          <w:sz w:val="21"/>
        </w:rPr>
        <w:t>%；本基金持有的全部资产支持证券，其市值不得超过基金资产净值的 </w:t>
      </w:r>
      <w:r>
        <w:rPr>
          <w:sz w:val="21"/>
        </w:rPr>
        <w:t>20%</w:t>
      </w:r>
      <w:r>
        <w:rPr>
          <w:spacing w:val="-1"/>
          <w:sz w:val="21"/>
        </w:rPr>
        <w:t>；本基金</w:t>
      </w:r>
      <w:r>
        <w:rPr>
          <w:spacing w:val="-2"/>
          <w:sz w:val="21"/>
        </w:rPr>
        <w:t>持有的同一(指同一信用级别)资产支持证券的比例，不得超过该资产支持证券规模的 </w:t>
      </w:r>
      <w:r>
        <w:rPr>
          <w:sz w:val="21"/>
        </w:rPr>
        <w:t>10%； </w:t>
      </w:r>
      <w:r>
        <w:rPr>
          <w:spacing w:val="-6"/>
          <w:sz w:val="21"/>
        </w:rPr>
        <w:t>本基金管理人管理的全部基金投资于同一原始权益人的各类资产支持证券，不得超过其各类</w:t>
      </w:r>
      <w:r>
        <w:rPr>
          <w:spacing w:val="-9"/>
          <w:sz w:val="21"/>
        </w:rPr>
        <w:t>资产支持证券合计规模的 </w:t>
      </w:r>
      <w:r>
        <w:rPr>
          <w:sz w:val="21"/>
        </w:rPr>
        <w:t>10%； </w:t>
      </w:r>
    </w:p>
    <w:p>
      <w:pPr>
        <w:pStyle w:val="BodyText"/>
        <w:spacing w:before="9"/>
      </w:pPr>
    </w:p>
    <w:p>
      <w:pPr>
        <w:pStyle w:val="ListParagraph"/>
        <w:numPr>
          <w:ilvl w:val="0"/>
          <w:numId w:val="38"/>
        </w:numPr>
        <w:tabs>
          <w:tab w:pos="1067" w:val="left" w:leader="none"/>
        </w:tabs>
        <w:spacing w:line="417" w:lineRule="auto" w:before="0" w:after="0"/>
        <w:ind w:left="118" w:right="434" w:firstLine="419"/>
        <w:jc w:val="both"/>
        <w:rPr>
          <w:sz w:val="21"/>
        </w:rPr>
      </w:pPr>
      <w:r>
        <w:rPr>
          <w:spacing w:val="-2"/>
          <w:sz w:val="21"/>
        </w:rPr>
        <w:t>本基金主动投资于流动性受限资产的市值合计不得超过基金资产净值的 </w:t>
      </w:r>
      <w:r>
        <w:rPr>
          <w:sz w:val="21"/>
        </w:rPr>
        <w:t>10%</w:t>
      </w:r>
      <w:r>
        <w:rPr>
          <w:spacing w:val="-3"/>
          <w:sz w:val="21"/>
        </w:rPr>
        <w:t>。因</w:t>
      </w:r>
      <w:r>
        <w:rPr>
          <w:spacing w:val="-12"/>
          <w:sz w:val="21"/>
        </w:rPr>
        <w:t>证券市场波动、证券停牌、基金规模变动等基金管理人之外的因素致使基金不符合前款所规</w:t>
      </w:r>
      <w:r>
        <w:rPr>
          <w:spacing w:val="-6"/>
          <w:sz w:val="21"/>
        </w:rPr>
        <w:t>定比例限制的，基金管理人不得主动新增流动性受限资产的投资；</w:t>
      </w:r>
      <w:r>
        <w:rPr>
          <w:sz w:val="21"/>
        </w:rPr>
        <w:t> </w:t>
      </w:r>
    </w:p>
    <w:p>
      <w:pPr>
        <w:pStyle w:val="BodyText"/>
        <w:spacing w:before="11"/>
      </w:pPr>
    </w:p>
    <w:p>
      <w:pPr>
        <w:pStyle w:val="ListParagraph"/>
        <w:numPr>
          <w:ilvl w:val="0"/>
          <w:numId w:val="38"/>
        </w:numPr>
        <w:tabs>
          <w:tab w:pos="1173" w:val="left" w:leader="none"/>
        </w:tabs>
        <w:spacing w:line="417" w:lineRule="auto" w:before="1" w:after="0"/>
        <w:ind w:left="118" w:right="433" w:firstLine="419"/>
        <w:jc w:val="both"/>
        <w:rPr>
          <w:sz w:val="21"/>
        </w:rPr>
      </w:pPr>
      <w:r>
        <w:rPr>
          <w:spacing w:val="-5"/>
          <w:sz w:val="21"/>
        </w:rPr>
        <w:t>本基金投资于主体信用评级低于 </w:t>
      </w:r>
      <w:r>
        <w:rPr>
          <w:sz w:val="21"/>
        </w:rPr>
        <w:t>AAA</w:t>
      </w:r>
      <w:r>
        <w:rPr>
          <w:spacing w:val="-2"/>
          <w:sz w:val="21"/>
        </w:rPr>
        <w:t> 的机构发行的金融工具占基金资产净值的</w:t>
      </w:r>
      <w:r>
        <w:rPr>
          <w:spacing w:val="-5"/>
          <w:sz w:val="21"/>
        </w:rPr>
        <w:t>比例合计不得超过 </w:t>
      </w:r>
      <w:r>
        <w:rPr>
          <w:spacing w:val="-12"/>
          <w:sz w:val="21"/>
        </w:rPr>
        <w:t>10%</w:t>
      </w:r>
      <w:r>
        <w:rPr>
          <w:spacing w:val="-5"/>
          <w:sz w:val="21"/>
        </w:rPr>
        <w:t>，其中单一机构发行的金融工具占基金资产净值的比例合计不得超过2</w:t>
      </w:r>
      <w:r>
        <w:rPr>
          <w:spacing w:val="-11"/>
          <w:sz w:val="21"/>
        </w:rPr>
        <w:t>%。前述金融工具包括债券、非金融企业债务融资工具、银行存款、同业存单、相关机构作</w:t>
      </w:r>
      <w:r>
        <w:rPr>
          <w:spacing w:val="-10"/>
          <w:sz w:val="21"/>
        </w:rPr>
        <w:t>为原始权益人的资产支持证券及中国证监会认定的其他品种。本基金拟投资于主体信用评级</w:t>
      </w:r>
      <w:r>
        <w:rPr>
          <w:spacing w:val="-15"/>
          <w:sz w:val="21"/>
        </w:rPr>
        <w:t>低于 </w:t>
      </w:r>
      <w:r>
        <w:rPr>
          <w:sz w:val="21"/>
        </w:rPr>
        <w:t>AA</w:t>
      </w:r>
      <w:r>
        <w:rPr>
          <w:spacing w:val="-6"/>
          <w:sz w:val="21"/>
        </w:rPr>
        <w:t>+的商业银行的银行存款与同业存单的，应当经基金管理人董事会审议批准，相关交</w:t>
      </w:r>
      <w:r>
        <w:rPr>
          <w:spacing w:val="-4"/>
          <w:sz w:val="21"/>
        </w:rPr>
        <w:t>易应当事先征得基金托管人的同意，并作为重大事项履行信息披露程序；</w:t>
      </w:r>
      <w:r>
        <w:rPr>
          <w:sz w:val="21"/>
        </w:rPr>
        <w:t> </w:t>
      </w:r>
    </w:p>
    <w:p>
      <w:pPr>
        <w:pStyle w:val="BodyText"/>
        <w:spacing w:before="11"/>
      </w:pPr>
    </w:p>
    <w:p>
      <w:pPr>
        <w:pStyle w:val="ListParagraph"/>
        <w:numPr>
          <w:ilvl w:val="0"/>
          <w:numId w:val="38"/>
        </w:numPr>
        <w:tabs>
          <w:tab w:pos="1171" w:val="left" w:leader="none"/>
        </w:tabs>
        <w:spacing w:line="417" w:lineRule="auto" w:before="0" w:after="0"/>
        <w:ind w:left="118" w:right="433" w:firstLine="419"/>
        <w:jc w:val="left"/>
        <w:rPr>
          <w:sz w:val="21"/>
        </w:rPr>
      </w:pPr>
      <w:r>
        <w:rPr>
          <w:spacing w:val="-5"/>
          <w:sz w:val="21"/>
        </w:rPr>
        <w:t>本基金根据份额持有人集中度情况对本基金的投资组合实施调整，并遵守以下 要求：</w:t>
      </w:r>
      <w:r>
        <w:rPr>
          <w:sz w:val="21"/>
        </w:rPr>
        <w:t> </w:t>
      </w:r>
    </w:p>
    <w:p>
      <w:pPr>
        <w:pStyle w:val="BodyText"/>
        <w:spacing w:before="9"/>
      </w:pPr>
    </w:p>
    <w:p>
      <w:pPr>
        <w:pStyle w:val="ListParagraph"/>
        <w:numPr>
          <w:ilvl w:val="0"/>
          <w:numId w:val="40"/>
        </w:numPr>
        <w:tabs>
          <w:tab w:pos="856" w:val="left" w:leader="none"/>
        </w:tabs>
        <w:spacing w:line="417" w:lineRule="auto" w:before="0" w:after="0"/>
        <w:ind w:left="118" w:right="328" w:firstLine="419"/>
        <w:jc w:val="both"/>
        <w:rPr>
          <w:sz w:val="21"/>
        </w:rPr>
      </w:pPr>
      <w:r>
        <w:rPr>
          <w:spacing w:val="-10"/>
          <w:sz w:val="21"/>
        </w:rPr>
        <w:t>当本基金前 </w:t>
      </w:r>
      <w:r>
        <w:rPr>
          <w:sz w:val="21"/>
        </w:rPr>
        <w:t>10</w:t>
      </w:r>
      <w:r>
        <w:rPr>
          <w:spacing w:val="-10"/>
          <w:sz w:val="21"/>
        </w:rPr>
        <w:t> 名份额持有人的持有份额合计超过基金总份额的 </w:t>
      </w:r>
      <w:r>
        <w:rPr>
          <w:sz w:val="21"/>
        </w:rPr>
        <w:t>50</w:t>
      </w:r>
      <w:r>
        <w:rPr>
          <w:spacing w:val="-5"/>
          <w:sz w:val="21"/>
        </w:rPr>
        <w:t>%时，本基金投资</w:t>
      </w:r>
      <w:r>
        <w:rPr>
          <w:spacing w:val="-7"/>
          <w:sz w:val="21"/>
        </w:rPr>
        <w:t>组合的平均剩余期限不得超过 </w:t>
      </w:r>
      <w:r>
        <w:rPr>
          <w:sz w:val="21"/>
        </w:rPr>
        <w:t>60</w:t>
      </w:r>
      <w:r>
        <w:rPr>
          <w:spacing w:val="-3"/>
          <w:sz w:val="21"/>
        </w:rPr>
        <w:t> 天，平均剩余存续期不得超过 </w:t>
      </w:r>
      <w:r>
        <w:rPr>
          <w:sz w:val="21"/>
        </w:rPr>
        <w:t>120</w:t>
      </w:r>
      <w:r>
        <w:rPr>
          <w:spacing w:val="-8"/>
          <w:sz w:val="21"/>
        </w:rPr>
        <w:t> 天；投资组合中现金、</w:t>
      </w:r>
    </w:p>
    <w:p>
      <w:pPr>
        <w:pStyle w:val="BodyText"/>
        <w:spacing w:line="417" w:lineRule="auto"/>
        <w:ind w:left="118" w:right="433"/>
      </w:pPr>
      <w:r>
        <w:rPr>
          <w:spacing w:val="-14"/>
        </w:rPr>
        <w:t>国债、中央银行票据、政策性金融债券以及 </w:t>
      </w:r>
      <w:r>
        <w:rPr/>
        <w:t>5</w:t>
      </w:r>
      <w:r>
        <w:rPr>
          <w:spacing w:val="-7"/>
        </w:rPr>
        <w:t> 个交易日内到期的其他金融工具占基金资产净</w:t>
      </w:r>
      <w:r>
        <w:rPr>
          <w:spacing w:val="-10"/>
        </w:rPr>
        <w:t>值的比例合计不得低于 </w:t>
      </w:r>
      <w:r>
        <w:rPr>
          <w:spacing w:val="-3"/>
        </w:rPr>
        <w:t>30%；</w:t>
      </w:r>
      <w:r>
        <w:rPr/>
        <w:t> </w:t>
      </w:r>
    </w:p>
    <w:p>
      <w:pPr>
        <w:pStyle w:val="BodyText"/>
        <w:spacing w:before="11"/>
      </w:pPr>
    </w:p>
    <w:p>
      <w:pPr>
        <w:pStyle w:val="ListParagraph"/>
        <w:numPr>
          <w:ilvl w:val="0"/>
          <w:numId w:val="40"/>
        </w:numPr>
        <w:tabs>
          <w:tab w:pos="856" w:val="left" w:leader="none"/>
        </w:tabs>
        <w:spacing w:line="417" w:lineRule="auto" w:before="0" w:after="0"/>
        <w:ind w:left="118" w:right="433" w:firstLine="419"/>
        <w:jc w:val="both"/>
        <w:rPr>
          <w:sz w:val="21"/>
        </w:rPr>
      </w:pPr>
      <w:r>
        <w:rPr>
          <w:spacing w:val="-11"/>
          <w:sz w:val="21"/>
        </w:rPr>
        <w:t>当本基金前 </w:t>
      </w:r>
      <w:r>
        <w:rPr>
          <w:sz w:val="21"/>
        </w:rPr>
        <w:t>10</w:t>
      </w:r>
      <w:r>
        <w:rPr>
          <w:spacing w:val="-5"/>
          <w:sz w:val="21"/>
        </w:rPr>
        <w:t> 名份额持有人的持有份额合计超过基金总份额的 </w:t>
      </w:r>
      <w:r>
        <w:rPr>
          <w:sz w:val="21"/>
        </w:rPr>
        <w:t>20</w:t>
      </w:r>
      <w:r>
        <w:rPr>
          <w:spacing w:val="-9"/>
          <w:sz w:val="21"/>
        </w:rPr>
        <w:t>%时，本基金投</w:t>
      </w:r>
      <w:r>
        <w:rPr>
          <w:spacing w:val="-6"/>
          <w:sz w:val="21"/>
        </w:rPr>
        <w:t>资组合的平均剩余期限不得超过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z w:val="21"/>
        </w:rPr>
        <w:t>、</w:t>
      </w:r>
    </w:p>
    <w:p>
      <w:pPr>
        <w:pStyle w:val="BodyText"/>
        <w:spacing w:line="417" w:lineRule="auto"/>
        <w:ind w:left="118" w:right="433"/>
      </w:pPr>
      <w:r>
        <w:rPr>
          <w:spacing w:val="-14"/>
        </w:rPr>
        <w:t>国债、中央银行票据、政策性金融债券以及 </w:t>
      </w:r>
      <w:r>
        <w:rPr/>
        <w:t>5</w:t>
      </w:r>
      <w:r>
        <w:rPr>
          <w:spacing w:val="-7"/>
        </w:rPr>
        <w:t> 个交易日内到期的其他金融工具占基金资产净</w:t>
      </w:r>
      <w:r>
        <w:rPr>
          <w:spacing w:val="-10"/>
        </w:rPr>
        <w:t>值的比例合计不得低于 </w:t>
      </w:r>
      <w:r>
        <w:rPr>
          <w:spacing w:val="-3"/>
        </w:rPr>
        <w:t>20%；</w:t>
      </w:r>
      <w:r>
        <w:rPr/>
        <w:t> </w:t>
      </w:r>
    </w:p>
    <w:p>
      <w:pPr>
        <w:spacing w:after="0" w:line="417" w:lineRule="auto"/>
        <w:sectPr>
          <w:pgSz w:w="11910" w:h="16850"/>
          <w:pgMar w:header="852" w:footer="1386" w:top="1420" w:bottom="1580" w:left="1680" w:right="1360"/>
        </w:sectPr>
      </w:pPr>
    </w:p>
    <w:p>
      <w:pPr>
        <w:pStyle w:val="ListParagraph"/>
        <w:numPr>
          <w:ilvl w:val="0"/>
          <w:numId w:val="38"/>
        </w:numPr>
        <w:tabs>
          <w:tab w:pos="1173" w:val="left" w:leader="none"/>
        </w:tabs>
        <w:spacing w:line="417" w:lineRule="auto" w:before="142" w:after="0"/>
        <w:ind w:left="118" w:right="433"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r>
        <w:rPr>
          <w:sz w:val="21"/>
        </w:rPr>
        <w:t> </w:t>
      </w:r>
    </w:p>
    <w:p>
      <w:pPr>
        <w:pStyle w:val="BodyText"/>
        <w:spacing w:before="11"/>
      </w:pPr>
    </w:p>
    <w:p>
      <w:pPr>
        <w:pStyle w:val="ListParagraph"/>
        <w:numPr>
          <w:ilvl w:val="0"/>
          <w:numId w:val="38"/>
        </w:numPr>
        <w:tabs>
          <w:tab w:pos="1173" w:val="left" w:leader="none"/>
        </w:tabs>
        <w:spacing w:line="240" w:lineRule="auto" w:before="0" w:after="0"/>
        <w:ind w:left="1172" w:right="0" w:hanging="635"/>
        <w:jc w:val="left"/>
        <w:rPr>
          <w:sz w:val="21"/>
        </w:rPr>
      </w:pPr>
      <w:r>
        <w:rPr>
          <w:spacing w:val="-3"/>
          <w:sz w:val="21"/>
        </w:rPr>
        <w:t>中国证监会规定的其他比例限制。</w:t>
      </w:r>
      <w:r>
        <w:rPr>
          <w:sz w:val="21"/>
        </w:rPr>
        <w:t> </w:t>
      </w:r>
    </w:p>
    <w:p>
      <w:pPr>
        <w:pStyle w:val="BodyText"/>
        <w:rPr>
          <w:sz w:val="20"/>
        </w:rPr>
      </w:pPr>
    </w:p>
    <w:p>
      <w:pPr>
        <w:pStyle w:val="BodyText"/>
        <w:spacing w:before="3"/>
        <w:rPr>
          <w:sz w:val="17"/>
        </w:rPr>
      </w:pPr>
    </w:p>
    <w:p>
      <w:pPr>
        <w:pStyle w:val="BodyText"/>
        <w:spacing w:line="417" w:lineRule="auto"/>
        <w:ind w:left="118" w:right="433" w:firstLine="419"/>
        <w:jc w:val="both"/>
      </w:pPr>
      <w:r>
        <w:rPr>
          <w:spacing w:val="-10"/>
          <w:w w:val="100"/>
        </w:rPr>
        <w:t>除第</w:t>
      </w:r>
      <w:r>
        <w:rPr>
          <w:w w:val="100"/>
        </w:rPr>
        <w:t>（</w:t>
      </w:r>
      <w:r>
        <w:rPr>
          <w:spacing w:val="-3"/>
          <w:w w:val="100"/>
        </w:rPr>
        <w:t>1</w:t>
      </w:r>
      <w:r>
        <w:rPr>
          <w:spacing w:val="-106"/>
          <w:w w:val="100"/>
        </w:rPr>
        <w:t>）</w:t>
      </w:r>
      <w:r>
        <w:rPr>
          <w:spacing w:val="-125"/>
          <w:w w:val="100"/>
        </w:rPr>
        <w:t>、</w:t>
      </w:r>
      <w:r>
        <w:rPr>
          <w:w w:val="100"/>
        </w:rPr>
        <w:t>（5</w:t>
      </w:r>
      <w:r>
        <w:rPr>
          <w:spacing w:val="-22"/>
          <w:w w:val="100"/>
        </w:rPr>
        <w:t>）</w:t>
      </w:r>
      <w:r>
        <w:rPr>
          <w:w w:val="100"/>
        </w:rPr>
        <w:t>之</w:t>
      </w:r>
      <w:r>
        <w:rPr>
          <w:spacing w:val="-52"/>
        </w:rPr>
        <w:t> </w:t>
      </w:r>
      <w:r>
        <w:rPr>
          <w:w w:val="100"/>
        </w:rPr>
        <w:t>1</w:t>
      </w:r>
      <w:r>
        <w:rPr>
          <w:spacing w:val="-108"/>
          <w:w w:val="100"/>
        </w:rPr>
        <w:t>）</w:t>
      </w:r>
      <w:r>
        <w:rPr>
          <w:spacing w:val="-125"/>
          <w:w w:val="100"/>
        </w:rPr>
        <w:t>、</w:t>
      </w:r>
      <w:r>
        <w:rPr>
          <w:spacing w:val="-1"/>
          <w:w w:val="100"/>
        </w:rPr>
        <w:t>（</w:t>
      </w:r>
      <w:r>
        <w:rPr>
          <w:w w:val="100"/>
        </w:rPr>
        <w:t>9</w:t>
      </w:r>
      <w:r>
        <w:rPr>
          <w:spacing w:val="-108"/>
          <w:w w:val="100"/>
        </w:rPr>
        <w:t>）</w:t>
      </w:r>
      <w:r>
        <w:rPr>
          <w:spacing w:val="-125"/>
          <w:w w:val="100"/>
        </w:rPr>
        <w:t>、</w:t>
      </w:r>
      <w:r>
        <w:rPr>
          <w:spacing w:val="-1"/>
          <w:w w:val="100"/>
        </w:rPr>
        <w:t>（</w:t>
      </w:r>
      <w:r>
        <w:rPr>
          <w:w w:val="100"/>
        </w:rPr>
        <w:t>12</w:t>
      </w:r>
      <w:r>
        <w:rPr>
          <w:spacing w:val="-20"/>
          <w:w w:val="100"/>
        </w:rPr>
        <w:t>）</w:t>
      </w:r>
      <w:r>
        <w:rPr>
          <w:spacing w:val="-8"/>
          <w:w w:val="100"/>
        </w:rPr>
        <w:t>项外，因市场波动、基金规模变动等基金管理人之外</w:t>
      </w:r>
      <w:r>
        <w:rPr>
          <w:spacing w:val="-6"/>
        </w:rPr>
        <w:t>的因素致使基金投资不符合上述规定投资比例的，基金管理人应当在 </w:t>
      </w:r>
      <w:r>
        <w:rPr/>
        <w:t>10</w:t>
      </w:r>
      <w:r>
        <w:rPr>
          <w:spacing w:val="-7"/>
        </w:rPr>
        <w:t> 个交易日内进行调</w:t>
      </w:r>
      <w:r>
        <w:rPr>
          <w:spacing w:val="-10"/>
        </w:rPr>
        <w:t>整，但中国证监会规定或上述条款另有约定的特殊情形除外。法律法规另有规定的，从其规</w:t>
      </w:r>
      <w:r>
        <w:rPr>
          <w:spacing w:val="-7"/>
        </w:rPr>
        <w:t>定。</w:t>
      </w:r>
      <w:r>
        <w:rPr/>
        <w:t> </w:t>
      </w:r>
    </w:p>
    <w:p>
      <w:pPr>
        <w:pStyle w:val="BodyText"/>
        <w:spacing w:before="12"/>
      </w:pPr>
    </w:p>
    <w:p>
      <w:pPr>
        <w:pStyle w:val="BodyText"/>
        <w:ind w:left="538"/>
      </w:pPr>
      <w:r>
        <w:rPr/>
        <w:t>3、投资组合平均剩余期限和剩余存续期限的计算 </w:t>
      </w:r>
    </w:p>
    <w:p>
      <w:pPr>
        <w:pStyle w:val="BodyText"/>
        <w:rPr>
          <w:sz w:val="20"/>
        </w:rPr>
      </w:pPr>
    </w:p>
    <w:p>
      <w:pPr>
        <w:pStyle w:val="BodyText"/>
        <w:spacing w:before="5"/>
        <w:rPr>
          <w:sz w:val="17"/>
        </w:rPr>
      </w:pPr>
    </w:p>
    <w:p>
      <w:pPr>
        <w:pStyle w:val="ListParagraph"/>
        <w:numPr>
          <w:ilvl w:val="0"/>
          <w:numId w:val="41"/>
        </w:numPr>
        <w:tabs>
          <w:tab w:pos="1067" w:val="left" w:leader="none"/>
        </w:tabs>
        <w:spacing w:line="240" w:lineRule="auto" w:before="1" w:after="0"/>
        <w:ind w:left="1067" w:right="0" w:hanging="529"/>
        <w:jc w:val="left"/>
        <w:rPr>
          <w:sz w:val="21"/>
        </w:rPr>
      </w:pPr>
      <w:r>
        <w:rPr>
          <w:spacing w:val="-3"/>
          <w:sz w:val="21"/>
        </w:rPr>
        <w:t>平均剩余期限</w:t>
      </w:r>
      <w:r>
        <w:rPr>
          <w:sz w:val="21"/>
        </w:rPr>
        <w:t>（</w:t>
      </w:r>
      <w:r>
        <w:rPr>
          <w:spacing w:val="-3"/>
          <w:sz w:val="21"/>
        </w:rPr>
        <w:t>天）的计算公式如下：</w:t>
      </w:r>
      <w:r>
        <w:rPr>
          <w:sz w:val="21"/>
        </w:rPr>
        <w:t> </w:t>
      </w:r>
    </w:p>
    <w:p>
      <w:pPr>
        <w:pStyle w:val="BodyText"/>
        <w:rPr>
          <w:sz w:val="20"/>
        </w:rPr>
      </w:pPr>
    </w:p>
    <w:p>
      <w:pPr>
        <w:pStyle w:val="BodyText"/>
        <w:spacing w:before="3"/>
        <w:rPr>
          <w:sz w:val="17"/>
        </w:rPr>
      </w:pPr>
    </w:p>
    <w:p>
      <w:pPr>
        <w:pStyle w:val="BodyText"/>
        <w:ind w:left="538"/>
      </w:pPr>
      <w:r>
        <w:rPr/>
        <w:t>（Σ投资于金融工具产生的资产×剩余期限-Σ投资于金融工具产生的负债×剩余期限</w:t>
      </w:r>
    </w:p>
    <w:p>
      <w:pPr>
        <w:pStyle w:val="BodyText"/>
        <w:spacing w:before="6"/>
        <w:rPr>
          <w:sz w:val="15"/>
        </w:rPr>
      </w:pPr>
    </w:p>
    <w:p>
      <w:pPr>
        <w:pStyle w:val="BodyText"/>
        <w:spacing w:line="417" w:lineRule="auto" w:before="1"/>
        <w:ind w:left="118" w:right="438"/>
      </w:pPr>
      <w:r>
        <w:rPr>
          <w:spacing w:val="-3"/>
        </w:rPr>
        <w:t>+债券正回购×剩余期限</w:t>
      </w:r>
      <w:r>
        <w:rPr>
          <w:spacing w:val="-33"/>
        </w:rPr>
        <w:t>）/（</w:t>
      </w:r>
      <w:r>
        <w:rPr>
          <w:spacing w:val="-3"/>
        </w:rPr>
        <w:t>投资于金融工具产生的资产-投资于金融工具产生的负债+债券</w:t>
      </w:r>
      <w:r>
        <w:rPr>
          <w:spacing w:val="-1"/>
        </w:rPr>
        <w:t>正回购</w:t>
      </w:r>
      <w:r>
        <w:rPr>
          <w:spacing w:val="-3"/>
        </w:rPr>
        <w:t>）</w:t>
      </w:r>
      <w:r>
        <w:rPr/>
        <w:t> </w:t>
      </w:r>
    </w:p>
    <w:p>
      <w:pPr>
        <w:pStyle w:val="BodyText"/>
        <w:spacing w:before="11"/>
      </w:pPr>
    </w:p>
    <w:p>
      <w:pPr>
        <w:pStyle w:val="ListParagraph"/>
        <w:numPr>
          <w:ilvl w:val="0"/>
          <w:numId w:val="41"/>
        </w:numPr>
        <w:tabs>
          <w:tab w:pos="1067" w:val="left" w:leader="none"/>
        </w:tabs>
        <w:spacing w:line="240" w:lineRule="auto" w:before="0" w:after="0"/>
        <w:ind w:left="1067" w:right="0" w:hanging="529"/>
        <w:jc w:val="left"/>
        <w:rPr>
          <w:sz w:val="21"/>
        </w:rPr>
      </w:pPr>
      <w:r>
        <w:rPr>
          <w:spacing w:val="-3"/>
          <w:sz w:val="21"/>
        </w:rPr>
        <w:t>平均剩余存续期限的计算公式如下：</w:t>
      </w:r>
      <w:r>
        <w:rPr>
          <w:sz w:val="21"/>
        </w:rPr>
        <w:t> </w:t>
      </w:r>
    </w:p>
    <w:p>
      <w:pPr>
        <w:pStyle w:val="BodyText"/>
        <w:rPr>
          <w:sz w:val="20"/>
        </w:rPr>
      </w:pPr>
    </w:p>
    <w:p>
      <w:pPr>
        <w:pStyle w:val="BodyText"/>
        <w:spacing w:before="6"/>
        <w:rPr>
          <w:sz w:val="17"/>
        </w:rPr>
      </w:pPr>
    </w:p>
    <w:p>
      <w:pPr>
        <w:pStyle w:val="BodyText"/>
        <w:spacing w:line="417" w:lineRule="auto"/>
        <w:ind w:left="118" w:right="433" w:firstLine="419"/>
        <w:jc w:val="both"/>
      </w:pPr>
      <w:r>
        <w:rPr/>
        <w:t>（Σ投资于金融工具产生的资产×剩余存续期限-Σ投资于金融工具产生的负债×剩余存续期限+债券正回购×剩余存续期限）/（投资于金融工具产生的资产-投资于金融工具产生的负债+债券正回购） </w:t>
      </w:r>
    </w:p>
    <w:p>
      <w:pPr>
        <w:pStyle w:val="BodyText"/>
        <w:spacing w:before="9"/>
      </w:pPr>
    </w:p>
    <w:p>
      <w:pPr>
        <w:pStyle w:val="ListParagraph"/>
        <w:numPr>
          <w:ilvl w:val="0"/>
          <w:numId w:val="41"/>
        </w:numPr>
        <w:tabs>
          <w:tab w:pos="1067" w:val="left" w:leader="none"/>
        </w:tabs>
        <w:spacing w:line="240" w:lineRule="auto" w:before="0" w:after="0"/>
        <w:ind w:left="1067" w:right="0" w:hanging="529"/>
        <w:jc w:val="left"/>
        <w:rPr>
          <w:sz w:val="21"/>
        </w:rPr>
      </w:pPr>
      <w:r>
        <w:rPr>
          <w:spacing w:val="-3"/>
          <w:sz w:val="21"/>
        </w:rPr>
        <w:t>各类资产和负债剩余期限和剩余存续期限的确定 </w:t>
      </w:r>
    </w:p>
    <w:p>
      <w:pPr>
        <w:pStyle w:val="BodyText"/>
        <w:rPr>
          <w:sz w:val="20"/>
        </w:rPr>
      </w:pPr>
    </w:p>
    <w:p>
      <w:pPr>
        <w:pStyle w:val="BodyText"/>
        <w:spacing w:before="6"/>
        <w:rPr>
          <w:sz w:val="17"/>
        </w:rPr>
      </w:pPr>
    </w:p>
    <w:p>
      <w:pPr>
        <w:pStyle w:val="ListParagraph"/>
        <w:numPr>
          <w:ilvl w:val="0"/>
          <w:numId w:val="42"/>
        </w:numPr>
        <w:tabs>
          <w:tab w:pos="856" w:val="left" w:leader="none"/>
        </w:tabs>
        <w:spacing w:line="417" w:lineRule="auto" w:before="0" w:after="0"/>
        <w:ind w:left="118" w:right="433" w:firstLine="419"/>
        <w:jc w:val="both"/>
        <w:rPr>
          <w:sz w:val="21"/>
        </w:rPr>
      </w:pPr>
      <w:r>
        <w:rPr>
          <w:spacing w:val="-4"/>
          <w:sz w:val="21"/>
        </w:rPr>
        <w:t>银行活期存款、清算备付金、交易保证金的剩余期限和剩余存续期限为 </w:t>
      </w:r>
      <w:r>
        <w:rPr>
          <w:sz w:val="21"/>
        </w:rPr>
        <w:t>0</w:t>
      </w:r>
      <w:r>
        <w:rPr>
          <w:spacing w:val="-8"/>
          <w:sz w:val="21"/>
        </w:rPr>
        <w:t> 天；证券</w:t>
      </w:r>
      <w:r>
        <w:rPr>
          <w:spacing w:val="-5"/>
          <w:sz w:val="21"/>
        </w:rPr>
        <w:t>清算款的剩余期限和剩余存续期限以计算日至交收日的剩余交易日天数计算； </w:t>
      </w:r>
    </w:p>
    <w:p>
      <w:pPr>
        <w:pStyle w:val="BodyText"/>
        <w:spacing w:before="11"/>
      </w:pPr>
    </w:p>
    <w:p>
      <w:pPr>
        <w:pStyle w:val="ListParagraph"/>
        <w:numPr>
          <w:ilvl w:val="0"/>
          <w:numId w:val="42"/>
        </w:numPr>
        <w:tabs>
          <w:tab w:pos="856" w:val="left" w:leader="none"/>
        </w:tabs>
        <w:spacing w:line="417" w:lineRule="auto" w:before="1" w:after="0"/>
        <w:ind w:left="118" w:right="433" w:firstLine="419"/>
        <w:jc w:val="both"/>
        <w:rPr>
          <w:sz w:val="21"/>
        </w:rPr>
      </w:pPr>
      <w:r>
        <w:rPr>
          <w:spacing w:val="-2"/>
          <w:sz w:val="21"/>
        </w:rPr>
        <w:t>回购</w:t>
      </w:r>
      <w:r>
        <w:rPr>
          <w:sz w:val="21"/>
        </w:rPr>
        <w:t>（</w:t>
      </w:r>
      <w:r>
        <w:rPr>
          <w:spacing w:val="-3"/>
          <w:sz w:val="21"/>
        </w:rPr>
        <w:t>包括正回购和逆回购</w:t>
      </w:r>
      <w:r>
        <w:rPr>
          <w:sz w:val="21"/>
        </w:rPr>
        <w:t>）</w:t>
      </w:r>
      <w:r>
        <w:rPr>
          <w:spacing w:val="-3"/>
          <w:sz w:val="21"/>
        </w:rPr>
        <w:t>的剩余期限和剩余存续期限以计算日至回购协议到期</w:t>
      </w:r>
      <w:r>
        <w:rPr>
          <w:spacing w:val="-12"/>
          <w:sz w:val="21"/>
        </w:rPr>
        <w:t>日的实际剩余天数计算；买断式回购产生的待回购债券的剩余期限和剩余存续期限为该基础</w:t>
      </w:r>
      <w:r>
        <w:rPr>
          <w:spacing w:val="-13"/>
          <w:sz w:val="21"/>
        </w:rPr>
        <w:t>债券的剩余期限，待返售债券的剩余期限和剩余存续期限以计算日至回购协议到期日的实际</w:t>
      </w:r>
      <w:r>
        <w:rPr>
          <w:spacing w:val="-6"/>
          <w:sz w:val="21"/>
        </w:rPr>
        <w:t>剩余天数计算； </w:t>
      </w:r>
      <w:r>
        <w:rPr>
          <w:sz w:val="21"/>
        </w:rPr>
        <w:t> </w:t>
      </w:r>
    </w:p>
    <w:p>
      <w:pPr>
        <w:spacing w:after="0" w:line="417" w:lineRule="auto"/>
        <w:jc w:val="both"/>
        <w:rPr>
          <w:sz w:val="21"/>
        </w:rPr>
        <w:sectPr>
          <w:pgSz w:w="11910" w:h="16850"/>
          <w:pgMar w:header="852" w:footer="1386" w:top="1420" w:bottom="1580" w:left="1680" w:right="1360"/>
        </w:sectPr>
      </w:pPr>
    </w:p>
    <w:p>
      <w:pPr>
        <w:pStyle w:val="ListParagraph"/>
        <w:numPr>
          <w:ilvl w:val="0"/>
          <w:numId w:val="42"/>
        </w:numPr>
        <w:tabs>
          <w:tab w:pos="856" w:val="left" w:leader="none"/>
        </w:tabs>
        <w:spacing w:line="417" w:lineRule="auto" w:before="142" w:after="0"/>
        <w:ind w:left="118" w:right="433" w:firstLine="419"/>
        <w:jc w:val="both"/>
        <w:rPr>
          <w:sz w:val="21"/>
        </w:rPr>
      </w:pPr>
      <w:r>
        <w:rPr>
          <w:spacing w:val="-3"/>
          <w:sz w:val="21"/>
        </w:rPr>
        <w:t>银行定期存款、同业存单的剩余期限和剩余存续期限以计算日至协议到期日的实际</w:t>
      </w:r>
      <w:r>
        <w:rPr>
          <w:spacing w:val="-10"/>
          <w:sz w:val="21"/>
        </w:rPr>
        <w:t>剩余天数计算；有存款期限，根据协议可提前支取且没有利息损失的银行存款，剩余期限和</w:t>
      </w:r>
      <w:r>
        <w:rPr>
          <w:spacing w:val="-9"/>
          <w:sz w:val="21"/>
        </w:rPr>
        <w:t>剩余存续期限以计算日至协议到期日的实际剩余天数计算；银行通知存款的剩余期限和剩余</w:t>
      </w:r>
      <w:r>
        <w:rPr>
          <w:spacing w:val="-5"/>
          <w:sz w:val="21"/>
        </w:rPr>
        <w:t>存续期限以存款协议中约定的通知期计算；</w:t>
      </w:r>
      <w:r>
        <w:rPr>
          <w:sz w:val="21"/>
        </w:rPr>
        <w:t> </w:t>
      </w:r>
    </w:p>
    <w:p>
      <w:pPr>
        <w:pStyle w:val="BodyText"/>
        <w:spacing w:before="10"/>
      </w:pPr>
    </w:p>
    <w:p>
      <w:pPr>
        <w:pStyle w:val="ListParagraph"/>
        <w:numPr>
          <w:ilvl w:val="0"/>
          <w:numId w:val="42"/>
        </w:numPr>
        <w:tabs>
          <w:tab w:pos="856" w:val="left" w:leader="none"/>
        </w:tabs>
        <w:spacing w:line="417" w:lineRule="auto" w:before="1" w:after="0"/>
        <w:ind w:left="118" w:right="436" w:firstLine="419"/>
        <w:jc w:val="left"/>
        <w:rPr>
          <w:sz w:val="21"/>
        </w:rPr>
      </w:pPr>
      <w:r>
        <w:rPr>
          <w:spacing w:val="-3"/>
          <w:sz w:val="21"/>
        </w:rPr>
        <w:t>中央银行票据的剩余期限和剩余存续期限以计算日至中央银行票据到期日的实际剩余天数计算；</w:t>
      </w:r>
      <w:r>
        <w:rPr>
          <w:sz w:val="21"/>
        </w:rPr>
        <w:t> </w:t>
      </w:r>
    </w:p>
    <w:p>
      <w:pPr>
        <w:pStyle w:val="BodyText"/>
        <w:spacing w:before="8"/>
      </w:pPr>
    </w:p>
    <w:p>
      <w:pPr>
        <w:pStyle w:val="ListParagraph"/>
        <w:numPr>
          <w:ilvl w:val="0"/>
          <w:numId w:val="42"/>
        </w:numPr>
        <w:tabs>
          <w:tab w:pos="856" w:val="left" w:leader="none"/>
        </w:tabs>
        <w:spacing w:line="417" w:lineRule="auto" w:before="1" w:after="0"/>
        <w:ind w:left="118" w:right="328" w:firstLine="419"/>
        <w:jc w:val="left"/>
        <w:rPr>
          <w:sz w:val="21"/>
        </w:rPr>
      </w:pPr>
      <w:r>
        <w:rPr>
          <w:spacing w:val="-3"/>
          <w:sz w:val="21"/>
        </w:rPr>
        <w:t>组合中债券的剩余期限和剩余存续期限是指计算日至债券到期日为止所剩余的天数，以下情况除外：</w:t>
      </w:r>
      <w:r>
        <w:rPr>
          <w:sz w:val="21"/>
        </w:rPr>
        <w:t> </w:t>
      </w:r>
    </w:p>
    <w:p>
      <w:pPr>
        <w:pStyle w:val="BodyText"/>
        <w:spacing w:before="11"/>
      </w:pPr>
    </w:p>
    <w:p>
      <w:pPr>
        <w:pStyle w:val="BodyText"/>
        <w:spacing w:line="417" w:lineRule="auto" w:before="1"/>
        <w:ind w:left="118" w:right="436" w:firstLine="419"/>
      </w:pPr>
      <w:r>
        <w:rPr/>
        <w:t>A、允许投资的可变利率或浮动利率债券的剩余期限以计算日至下一个利率调整日的实际剩余天数计算。 </w:t>
      </w:r>
    </w:p>
    <w:p>
      <w:pPr>
        <w:pStyle w:val="BodyText"/>
        <w:spacing w:before="11"/>
      </w:pPr>
    </w:p>
    <w:p>
      <w:pPr>
        <w:pStyle w:val="BodyText"/>
        <w:spacing w:line="417" w:lineRule="auto"/>
        <w:ind w:left="118" w:right="436" w:firstLine="419"/>
      </w:pPr>
      <w:r>
        <w:rPr/>
        <w:t>B、允许投资的可变利率或浮动利率债券的剩余存续期限以计算日至债券到期日的实际剩余天数计算。 </w:t>
      </w:r>
    </w:p>
    <w:p>
      <w:pPr>
        <w:pStyle w:val="BodyText"/>
        <w:spacing w:before="9"/>
      </w:pPr>
    </w:p>
    <w:p>
      <w:pPr>
        <w:pStyle w:val="BodyText"/>
        <w:spacing w:line="417" w:lineRule="auto"/>
        <w:ind w:left="118" w:right="433" w:firstLine="419"/>
      </w:pPr>
      <w:r>
        <w:rPr>
          <w:spacing w:val="-8"/>
        </w:rPr>
        <w:t>平均剩余期限的计算结果保留至整数位，小数点后四舍五入。如法律法规或中国证监会</w:t>
      </w:r>
      <w:r>
        <w:rPr>
          <w:spacing w:val="-5"/>
        </w:rPr>
        <w:t>对剩余期限计算方法另有规定的从其规定。</w:t>
      </w:r>
      <w:r>
        <w:rPr/>
        <w:t> </w:t>
      </w:r>
    </w:p>
    <w:p>
      <w:pPr>
        <w:pStyle w:val="BodyText"/>
        <w:spacing w:before="12"/>
      </w:pPr>
    </w:p>
    <w:p>
      <w:pPr>
        <w:pStyle w:val="BodyText"/>
        <w:spacing w:line="417" w:lineRule="auto"/>
        <w:ind w:left="118" w:right="434" w:firstLine="419"/>
      </w:pPr>
      <w:r>
        <w:rPr>
          <w:spacing w:val="-8"/>
        </w:rPr>
        <w:t>法律法规或监管部门修改或取消上述限制规定时，本基金将相应修改其投资组合限制规定。</w:t>
      </w:r>
    </w:p>
    <w:p>
      <w:pPr>
        <w:pStyle w:val="BodyText"/>
        <w:spacing w:before="1"/>
        <w:rPr>
          <w:sz w:val="27"/>
        </w:rPr>
      </w:pPr>
    </w:p>
    <w:p>
      <w:pPr>
        <w:spacing w:before="0"/>
        <w:ind w:left="118" w:right="0" w:firstLine="0"/>
        <w:jc w:val="left"/>
        <w:rPr>
          <w:sz w:val="28"/>
        </w:rPr>
      </w:pPr>
      <w:bookmarkStart w:name="_bookmark47" w:id="48"/>
      <w:bookmarkEnd w:id="48"/>
      <w:r>
        <w:rPr/>
      </w:r>
      <w:r>
        <w:rPr>
          <w:sz w:val="28"/>
        </w:rPr>
        <w:t>(九) 禁止行为 </w:t>
      </w:r>
    </w:p>
    <w:p>
      <w:pPr>
        <w:pStyle w:val="BodyText"/>
        <w:rPr>
          <w:sz w:val="28"/>
        </w:rPr>
      </w:pPr>
    </w:p>
    <w:p>
      <w:pPr>
        <w:pStyle w:val="BodyText"/>
        <w:spacing w:before="183"/>
        <w:ind w:left="538"/>
      </w:pPr>
      <w:r>
        <w:rPr/>
        <w:t>为维护基金份额持有人的合法权益，基金财产不得用于下列投资或者活动：</w:t>
      </w:r>
    </w:p>
    <w:p>
      <w:pPr>
        <w:pStyle w:val="BodyText"/>
        <w:rPr>
          <w:sz w:val="20"/>
        </w:rPr>
      </w:pPr>
    </w:p>
    <w:p>
      <w:pPr>
        <w:pStyle w:val="BodyText"/>
        <w:spacing w:before="6"/>
        <w:rPr>
          <w:sz w:val="17"/>
        </w:rPr>
      </w:pPr>
    </w:p>
    <w:p>
      <w:pPr>
        <w:pStyle w:val="ListParagraph"/>
        <w:numPr>
          <w:ilvl w:val="0"/>
          <w:numId w:val="43"/>
        </w:numPr>
        <w:tabs>
          <w:tab w:pos="1067" w:val="left" w:leader="none"/>
        </w:tabs>
        <w:spacing w:line="240" w:lineRule="auto" w:before="0" w:after="0"/>
        <w:ind w:left="1067" w:right="0" w:hanging="529"/>
        <w:jc w:val="left"/>
        <w:rPr>
          <w:sz w:val="21"/>
        </w:rPr>
      </w:pPr>
      <w:r>
        <w:rPr>
          <w:spacing w:val="-3"/>
          <w:sz w:val="21"/>
        </w:rPr>
        <w:t>承销证券；</w:t>
      </w:r>
    </w:p>
    <w:p>
      <w:pPr>
        <w:pStyle w:val="BodyText"/>
        <w:rPr>
          <w:sz w:val="22"/>
        </w:rPr>
      </w:pPr>
    </w:p>
    <w:p>
      <w:pPr>
        <w:pStyle w:val="ListParagraph"/>
        <w:numPr>
          <w:ilvl w:val="0"/>
          <w:numId w:val="43"/>
        </w:numPr>
        <w:tabs>
          <w:tab w:pos="1067" w:val="left" w:leader="none"/>
        </w:tabs>
        <w:spacing w:line="240" w:lineRule="auto" w:before="196" w:after="0"/>
        <w:ind w:left="1067" w:right="0" w:hanging="529"/>
        <w:jc w:val="left"/>
        <w:rPr>
          <w:sz w:val="21"/>
        </w:rPr>
      </w:pPr>
      <w:r>
        <w:rPr>
          <w:spacing w:val="-3"/>
          <w:sz w:val="21"/>
        </w:rPr>
        <w:t>违反规定向他人贷款或者提供担保；</w:t>
      </w:r>
    </w:p>
    <w:p>
      <w:pPr>
        <w:pStyle w:val="BodyText"/>
        <w:rPr>
          <w:sz w:val="22"/>
        </w:rPr>
      </w:pPr>
    </w:p>
    <w:p>
      <w:pPr>
        <w:pStyle w:val="ListParagraph"/>
        <w:numPr>
          <w:ilvl w:val="0"/>
          <w:numId w:val="43"/>
        </w:numPr>
        <w:tabs>
          <w:tab w:pos="1067" w:val="left" w:leader="none"/>
        </w:tabs>
        <w:spacing w:line="240" w:lineRule="auto" w:before="198" w:after="0"/>
        <w:ind w:left="1067" w:right="0" w:hanging="529"/>
        <w:jc w:val="left"/>
        <w:rPr>
          <w:sz w:val="21"/>
        </w:rPr>
      </w:pPr>
      <w:r>
        <w:rPr>
          <w:spacing w:val="-3"/>
          <w:sz w:val="21"/>
        </w:rPr>
        <w:t>从事承担无限责任的投资；</w:t>
      </w:r>
    </w:p>
    <w:p>
      <w:pPr>
        <w:spacing w:after="0" w:line="240" w:lineRule="auto"/>
        <w:jc w:val="left"/>
        <w:rPr>
          <w:sz w:val="21"/>
        </w:rPr>
        <w:sectPr>
          <w:pgSz w:w="11910" w:h="16850"/>
          <w:pgMar w:header="852" w:footer="1386" w:top="1420" w:bottom="1580" w:left="1680" w:right="1360"/>
        </w:sectPr>
      </w:pPr>
    </w:p>
    <w:p>
      <w:pPr>
        <w:pStyle w:val="ListParagraph"/>
        <w:numPr>
          <w:ilvl w:val="0"/>
          <w:numId w:val="43"/>
        </w:numPr>
        <w:tabs>
          <w:tab w:pos="1067" w:val="left" w:leader="none"/>
        </w:tabs>
        <w:spacing w:line="240" w:lineRule="auto" w:before="142" w:after="0"/>
        <w:ind w:left="1067" w:right="0" w:hanging="529"/>
        <w:jc w:val="left"/>
        <w:rPr>
          <w:sz w:val="21"/>
        </w:rPr>
      </w:pPr>
      <w:r>
        <w:rPr>
          <w:spacing w:val="-3"/>
          <w:sz w:val="21"/>
        </w:rPr>
        <w:t>买卖其他基金份额，但是中国证监会另有规定的除外；</w:t>
      </w:r>
    </w:p>
    <w:p>
      <w:pPr>
        <w:pStyle w:val="BodyText"/>
        <w:rPr>
          <w:sz w:val="22"/>
        </w:rPr>
      </w:pPr>
    </w:p>
    <w:p>
      <w:pPr>
        <w:pStyle w:val="ListParagraph"/>
        <w:numPr>
          <w:ilvl w:val="0"/>
          <w:numId w:val="43"/>
        </w:numPr>
        <w:tabs>
          <w:tab w:pos="1067" w:val="left" w:leader="none"/>
        </w:tabs>
        <w:spacing w:line="240" w:lineRule="auto" w:before="197" w:after="0"/>
        <w:ind w:left="1067" w:right="0" w:hanging="529"/>
        <w:jc w:val="left"/>
        <w:rPr>
          <w:sz w:val="21"/>
        </w:rPr>
      </w:pPr>
      <w:r>
        <w:rPr>
          <w:spacing w:val="-3"/>
          <w:sz w:val="21"/>
        </w:rPr>
        <w:t>向其基金管理人、基金托管人出资；</w:t>
      </w:r>
    </w:p>
    <w:p>
      <w:pPr>
        <w:pStyle w:val="BodyText"/>
        <w:rPr>
          <w:sz w:val="22"/>
        </w:rPr>
      </w:pPr>
    </w:p>
    <w:p>
      <w:pPr>
        <w:pStyle w:val="ListParagraph"/>
        <w:numPr>
          <w:ilvl w:val="0"/>
          <w:numId w:val="43"/>
        </w:numPr>
        <w:tabs>
          <w:tab w:pos="1067" w:val="left" w:leader="none"/>
        </w:tabs>
        <w:spacing w:line="240" w:lineRule="auto" w:before="196" w:after="0"/>
        <w:ind w:left="1067" w:right="0" w:hanging="529"/>
        <w:jc w:val="left"/>
        <w:rPr>
          <w:sz w:val="21"/>
        </w:rPr>
      </w:pPr>
      <w:r>
        <w:rPr>
          <w:spacing w:val="-3"/>
          <w:sz w:val="21"/>
        </w:rPr>
        <w:t>从事内幕交易、操纵证券交易价格及其他不正当的证券交易活动；</w:t>
      </w:r>
    </w:p>
    <w:p>
      <w:pPr>
        <w:pStyle w:val="BodyText"/>
        <w:rPr>
          <w:sz w:val="22"/>
        </w:rPr>
      </w:pPr>
    </w:p>
    <w:p>
      <w:pPr>
        <w:pStyle w:val="BodyText"/>
        <w:spacing w:before="5"/>
        <w:rPr>
          <w:sz w:val="15"/>
        </w:rPr>
      </w:pPr>
    </w:p>
    <w:p>
      <w:pPr>
        <w:pStyle w:val="ListParagraph"/>
        <w:numPr>
          <w:ilvl w:val="0"/>
          <w:numId w:val="43"/>
        </w:numPr>
        <w:tabs>
          <w:tab w:pos="1067" w:val="left" w:leader="none"/>
        </w:tabs>
        <w:spacing w:line="240" w:lineRule="auto" w:before="1" w:after="0"/>
        <w:ind w:left="1067" w:right="0" w:hanging="529"/>
        <w:jc w:val="left"/>
        <w:rPr>
          <w:sz w:val="21"/>
        </w:rPr>
      </w:pPr>
      <w:r>
        <w:rPr>
          <w:spacing w:val="-3"/>
          <w:sz w:val="21"/>
        </w:rPr>
        <w:t>法律、行政法规和中国证监会规定禁止的其他活动。</w:t>
      </w:r>
    </w:p>
    <w:p>
      <w:pPr>
        <w:pStyle w:val="BodyText"/>
        <w:rPr>
          <w:sz w:val="22"/>
        </w:rPr>
      </w:pPr>
    </w:p>
    <w:p>
      <w:pPr>
        <w:pStyle w:val="BodyText"/>
        <w:spacing w:before="8"/>
        <w:rPr>
          <w:sz w:val="20"/>
        </w:rPr>
      </w:pPr>
    </w:p>
    <w:p>
      <w:pPr>
        <w:spacing w:line="415" w:lineRule="auto" w:before="0"/>
        <w:ind w:left="118" w:right="441" w:firstLine="0"/>
        <w:jc w:val="left"/>
        <w:rPr>
          <w:rFonts w:ascii="Microsoft JhengHei" w:eastAsia="Microsoft JhengHei" w:hint="eastAsia"/>
          <w:b/>
          <w:sz w:val="28"/>
        </w:rPr>
      </w:pPr>
      <w:bookmarkStart w:name="_bookmark48" w:id="49"/>
      <w:bookmarkEnd w:id="49"/>
      <w:r>
        <w:rPr/>
      </w:r>
      <w:r>
        <w:rPr>
          <w:sz w:val="28"/>
        </w:rPr>
        <w:t>(十) 基金管理人代表基金行使所投资证券产生权利的处理原则及方法</w:t>
      </w:r>
      <w:r>
        <w:rPr>
          <w:rFonts w:ascii="Microsoft JhengHei" w:eastAsia="Microsoft JhengHei" w:hint="eastAsia"/>
          <w:b/>
          <w:w w:val="200"/>
          <w:sz w:val="28"/>
        </w:rPr>
        <w:t> </w:t>
      </w:r>
    </w:p>
    <w:p>
      <w:pPr>
        <w:pStyle w:val="BodyText"/>
        <w:spacing w:before="8"/>
        <w:rPr>
          <w:rFonts w:ascii="Microsoft JhengHei"/>
          <w:b/>
          <w:sz w:val="15"/>
        </w:rPr>
      </w:pPr>
    </w:p>
    <w:p>
      <w:pPr>
        <w:pStyle w:val="ListParagraph"/>
        <w:numPr>
          <w:ilvl w:val="0"/>
          <w:numId w:val="44"/>
        </w:numPr>
        <w:tabs>
          <w:tab w:pos="856" w:val="left" w:leader="none"/>
        </w:tabs>
        <w:spacing w:line="417" w:lineRule="auto" w:before="0" w:after="0"/>
        <w:ind w:left="118" w:right="436" w:firstLine="419"/>
        <w:jc w:val="left"/>
        <w:rPr>
          <w:sz w:val="21"/>
        </w:rPr>
      </w:pPr>
      <w:r>
        <w:rPr>
          <w:spacing w:val="-3"/>
          <w:sz w:val="21"/>
        </w:rPr>
        <w:t>基金管理人按照国家有关规定代表基金独立行使债权人权利，保护基金投资者的利益；</w:t>
      </w:r>
    </w:p>
    <w:p>
      <w:pPr>
        <w:pStyle w:val="ListParagraph"/>
        <w:numPr>
          <w:ilvl w:val="0"/>
          <w:numId w:val="44"/>
        </w:numPr>
        <w:tabs>
          <w:tab w:pos="856" w:val="left" w:leader="none"/>
        </w:tabs>
        <w:spacing w:line="240" w:lineRule="auto" w:before="100" w:after="0"/>
        <w:ind w:left="855" w:right="0" w:hanging="318"/>
        <w:jc w:val="left"/>
        <w:rPr>
          <w:sz w:val="21"/>
        </w:rPr>
      </w:pPr>
      <w:r>
        <w:rPr>
          <w:spacing w:val="-3"/>
          <w:sz w:val="21"/>
        </w:rPr>
        <w:t>有利于基金资产的安全与增值。</w:t>
      </w:r>
    </w:p>
    <w:p>
      <w:pPr>
        <w:pStyle w:val="BodyText"/>
        <w:rPr>
          <w:sz w:val="22"/>
        </w:rPr>
      </w:pPr>
    </w:p>
    <w:p>
      <w:pPr>
        <w:pStyle w:val="BodyText"/>
        <w:spacing w:before="6"/>
        <w:rPr>
          <w:sz w:val="20"/>
        </w:rPr>
      </w:pPr>
    </w:p>
    <w:p>
      <w:pPr>
        <w:spacing w:before="0"/>
        <w:ind w:left="118" w:right="0" w:firstLine="0"/>
        <w:jc w:val="left"/>
        <w:rPr>
          <w:sz w:val="28"/>
        </w:rPr>
      </w:pPr>
      <w:bookmarkStart w:name="_bookmark49" w:id="50"/>
      <w:bookmarkEnd w:id="50"/>
      <w:r>
        <w:rPr/>
      </w:r>
      <w:r>
        <w:rPr>
          <w:sz w:val="28"/>
        </w:rPr>
        <w:t>（十一）基金的融资 </w:t>
      </w:r>
    </w:p>
    <w:p>
      <w:pPr>
        <w:pStyle w:val="BodyText"/>
        <w:rPr>
          <w:sz w:val="28"/>
        </w:rPr>
      </w:pPr>
    </w:p>
    <w:p>
      <w:pPr>
        <w:pStyle w:val="BodyText"/>
        <w:spacing w:before="186"/>
        <w:ind w:left="538"/>
      </w:pPr>
      <w:r>
        <w:rPr/>
        <w:t>本基金可以按照国家的有关规定进行融资。</w:t>
      </w:r>
    </w:p>
    <w:p>
      <w:pPr>
        <w:pStyle w:val="BodyText"/>
        <w:rPr>
          <w:sz w:val="20"/>
        </w:rPr>
      </w:pPr>
    </w:p>
    <w:p>
      <w:pPr>
        <w:pStyle w:val="BodyText"/>
        <w:spacing w:before="6"/>
        <w:rPr>
          <w:sz w:val="22"/>
        </w:rPr>
      </w:pPr>
    </w:p>
    <w:p>
      <w:pPr>
        <w:spacing w:before="0"/>
        <w:ind w:left="118" w:right="0" w:firstLine="0"/>
        <w:jc w:val="left"/>
        <w:rPr>
          <w:sz w:val="28"/>
        </w:rPr>
      </w:pPr>
      <w:bookmarkStart w:name="_bookmark50" w:id="51"/>
      <w:bookmarkEnd w:id="51"/>
      <w:r>
        <w:rPr/>
      </w:r>
      <w:r>
        <w:rPr>
          <w:sz w:val="28"/>
        </w:rPr>
        <w:t>（十二）基金管理人和基金经理的承诺 </w:t>
      </w:r>
    </w:p>
    <w:p>
      <w:pPr>
        <w:pStyle w:val="BodyText"/>
        <w:rPr>
          <w:sz w:val="28"/>
        </w:rPr>
      </w:pPr>
    </w:p>
    <w:p>
      <w:pPr>
        <w:pStyle w:val="BodyText"/>
        <w:spacing w:line="417" w:lineRule="auto" w:before="185"/>
        <w:ind w:left="118" w:right="433" w:firstLine="419"/>
      </w:pPr>
      <w:r>
        <w:rPr>
          <w:rFonts w:ascii="Arial" w:eastAsia="Arial"/>
        </w:rPr>
        <w:t>1</w:t>
      </w:r>
      <w:r>
        <w:rPr/>
        <w:t>、本基金管理人承诺严格遵守现行有效的相关法律、法规、规章、基金合同和中国证监会的有关规定，建立健全内部控制制度，采取有效措施，防止违反现行有效的有关法</w:t>
      </w:r>
    </w:p>
    <w:p>
      <w:pPr>
        <w:pStyle w:val="BodyText"/>
        <w:spacing w:line="269" w:lineRule="exact"/>
        <w:ind w:left="118"/>
      </w:pPr>
      <w:r>
        <w:rPr/>
        <w:t>律、法规、规章、基金合同和中国证监会有关规定的行为发生。 </w:t>
      </w:r>
    </w:p>
    <w:p>
      <w:pPr>
        <w:pStyle w:val="BodyText"/>
        <w:spacing w:before="3"/>
        <w:rPr>
          <w:sz w:val="23"/>
        </w:rPr>
      </w:pPr>
    </w:p>
    <w:p>
      <w:pPr>
        <w:pStyle w:val="BodyText"/>
        <w:spacing w:line="417" w:lineRule="auto" w:before="1"/>
        <w:ind w:left="118" w:right="433" w:firstLine="419"/>
      </w:pPr>
      <w:r>
        <w:rPr>
          <w:rFonts w:ascii="Arial" w:eastAsia="Arial"/>
        </w:rPr>
        <w:t>2</w:t>
      </w:r>
      <w:r>
        <w:rPr>
          <w:spacing w:val="-15"/>
        </w:rPr>
        <w:t>、本基金管理人承诺严格遵守《证券法》、《基金法》及有关法律法规，建立健全的内</w:t>
      </w:r>
      <w:r>
        <w:rPr>
          <w:spacing w:val="-7"/>
        </w:rPr>
        <w:t>部控制制度，采取有效措施，防止下列行为发生：</w:t>
      </w:r>
      <w:r>
        <w:rPr/>
        <w:t> </w:t>
      </w:r>
    </w:p>
    <w:p>
      <w:pPr>
        <w:pStyle w:val="BodyText"/>
        <w:spacing w:before="8"/>
        <w:rPr>
          <w:sz w:val="22"/>
        </w:rPr>
      </w:pPr>
    </w:p>
    <w:p>
      <w:pPr>
        <w:pStyle w:val="ListParagraph"/>
        <w:numPr>
          <w:ilvl w:val="0"/>
          <w:numId w:val="45"/>
        </w:numPr>
        <w:tabs>
          <w:tab w:pos="1067" w:val="left" w:leader="none"/>
        </w:tabs>
        <w:spacing w:line="240" w:lineRule="auto" w:before="0" w:after="0"/>
        <w:ind w:left="1067" w:right="0" w:hanging="529"/>
        <w:jc w:val="left"/>
        <w:rPr>
          <w:sz w:val="21"/>
        </w:rPr>
      </w:pPr>
      <w:r>
        <w:rPr>
          <w:spacing w:val="-3"/>
          <w:sz w:val="21"/>
        </w:rPr>
        <w:t>将其固有财产或者他人财产混同于基金财产从事证券投资；</w:t>
      </w:r>
      <w:r>
        <w:rPr>
          <w:sz w:val="21"/>
        </w:rPr>
        <w:t> </w:t>
      </w:r>
    </w:p>
    <w:p>
      <w:pPr>
        <w:pStyle w:val="ListParagraph"/>
        <w:numPr>
          <w:ilvl w:val="0"/>
          <w:numId w:val="45"/>
        </w:numPr>
        <w:tabs>
          <w:tab w:pos="1067" w:val="left" w:leader="none"/>
        </w:tabs>
        <w:spacing w:line="240" w:lineRule="auto" w:before="132" w:after="0"/>
        <w:ind w:left="1067" w:right="0" w:hanging="529"/>
        <w:jc w:val="left"/>
        <w:rPr>
          <w:sz w:val="21"/>
        </w:rPr>
      </w:pPr>
      <w:r>
        <w:rPr>
          <w:spacing w:val="-3"/>
          <w:sz w:val="21"/>
        </w:rPr>
        <w:t>不公平地对待其管理的不同基金财产； </w:t>
      </w:r>
    </w:p>
    <w:p>
      <w:pPr>
        <w:pStyle w:val="ListParagraph"/>
        <w:numPr>
          <w:ilvl w:val="0"/>
          <w:numId w:val="45"/>
        </w:numPr>
        <w:tabs>
          <w:tab w:pos="1067" w:val="left" w:leader="none"/>
        </w:tabs>
        <w:spacing w:line="240" w:lineRule="auto" w:before="129" w:after="0"/>
        <w:ind w:left="1067" w:right="0" w:hanging="529"/>
        <w:jc w:val="left"/>
        <w:rPr>
          <w:sz w:val="21"/>
        </w:rPr>
      </w:pPr>
      <w:r>
        <w:rPr>
          <w:spacing w:val="-3"/>
          <w:sz w:val="21"/>
        </w:rPr>
        <w:t>利用基金财产为基金份额持有人以外的第三人谋取利益；</w:t>
      </w:r>
      <w:r>
        <w:rPr>
          <w:sz w:val="21"/>
        </w:rPr>
        <w:t> </w:t>
      </w:r>
    </w:p>
    <w:p>
      <w:pPr>
        <w:pStyle w:val="ListParagraph"/>
        <w:numPr>
          <w:ilvl w:val="0"/>
          <w:numId w:val="45"/>
        </w:numPr>
        <w:tabs>
          <w:tab w:pos="1067" w:val="left" w:leader="none"/>
        </w:tabs>
        <w:spacing w:line="240" w:lineRule="auto" w:before="132" w:after="0"/>
        <w:ind w:left="1067" w:right="0" w:hanging="529"/>
        <w:jc w:val="left"/>
        <w:rPr>
          <w:sz w:val="21"/>
        </w:rPr>
      </w:pPr>
      <w:r>
        <w:rPr>
          <w:spacing w:val="-3"/>
          <w:sz w:val="21"/>
        </w:rPr>
        <w:t>向基金份额持有人违规承诺收益或者承担损失；</w:t>
      </w:r>
      <w:r>
        <w:rPr>
          <w:sz w:val="21"/>
        </w:rPr>
        <w:t> </w:t>
      </w:r>
    </w:p>
    <w:p>
      <w:pPr>
        <w:spacing w:after="0" w:line="240" w:lineRule="auto"/>
        <w:jc w:val="left"/>
        <w:rPr>
          <w:sz w:val="21"/>
        </w:rPr>
        <w:sectPr>
          <w:pgSz w:w="11910" w:h="16850"/>
          <w:pgMar w:header="852" w:footer="1386" w:top="1420" w:bottom="1580" w:left="1680" w:right="1360"/>
        </w:sectPr>
      </w:pPr>
    </w:p>
    <w:p>
      <w:pPr>
        <w:pStyle w:val="ListParagraph"/>
        <w:numPr>
          <w:ilvl w:val="0"/>
          <w:numId w:val="45"/>
        </w:numPr>
        <w:tabs>
          <w:tab w:pos="1067" w:val="left" w:leader="none"/>
        </w:tabs>
        <w:spacing w:line="240" w:lineRule="auto" w:before="151" w:after="0"/>
        <w:ind w:left="1067" w:right="0" w:hanging="529"/>
        <w:jc w:val="left"/>
        <w:rPr>
          <w:sz w:val="21"/>
        </w:rPr>
      </w:pPr>
      <w:r>
        <w:rPr>
          <w:spacing w:val="-3"/>
          <w:sz w:val="21"/>
        </w:rPr>
        <w:t>法律法规或中国证监会禁止的其他行为。 </w:t>
      </w:r>
    </w:p>
    <w:p>
      <w:pPr>
        <w:pStyle w:val="BodyText"/>
        <w:rPr>
          <w:sz w:val="20"/>
        </w:rPr>
      </w:pPr>
    </w:p>
    <w:p>
      <w:pPr>
        <w:pStyle w:val="BodyText"/>
        <w:spacing w:line="417" w:lineRule="auto" w:before="144"/>
        <w:ind w:left="118" w:right="433" w:firstLine="419"/>
      </w:pPr>
      <w:r>
        <w:rPr>
          <w:rFonts w:ascii="Arial" w:eastAsia="Arial"/>
        </w:rPr>
        <w:t>3</w:t>
      </w:r>
      <w:r>
        <w:rPr/>
        <w:t>、本基金管理人承诺加强人员管理，强化职业操守，督促和约束员工遵守国家有关法律、法规及行业规范，诚实信用、勤勉尽责，不从事以下活动： </w:t>
      </w:r>
    </w:p>
    <w:p>
      <w:pPr>
        <w:pStyle w:val="ListParagraph"/>
        <w:numPr>
          <w:ilvl w:val="0"/>
          <w:numId w:val="46"/>
        </w:numPr>
        <w:tabs>
          <w:tab w:pos="1079" w:val="left" w:leader="none"/>
        </w:tabs>
        <w:spacing w:line="240" w:lineRule="auto" w:before="101" w:after="0"/>
        <w:ind w:left="1079" w:right="0" w:hanging="541"/>
        <w:jc w:val="left"/>
        <w:rPr>
          <w:sz w:val="21"/>
        </w:rPr>
      </w:pPr>
      <w:r>
        <w:rPr>
          <w:spacing w:val="-3"/>
          <w:sz w:val="21"/>
        </w:rPr>
        <w:t>越权或违规经营；</w:t>
      </w:r>
      <w:r>
        <w:rPr>
          <w:sz w:val="21"/>
        </w:rPr>
        <w:t> </w:t>
      </w:r>
    </w:p>
    <w:p>
      <w:pPr>
        <w:pStyle w:val="BodyText"/>
        <w:spacing w:before="5"/>
        <w:rPr>
          <w:sz w:val="23"/>
        </w:rPr>
      </w:pPr>
    </w:p>
    <w:p>
      <w:pPr>
        <w:pStyle w:val="ListParagraph"/>
        <w:numPr>
          <w:ilvl w:val="0"/>
          <w:numId w:val="46"/>
        </w:numPr>
        <w:tabs>
          <w:tab w:pos="1079" w:val="left" w:leader="none"/>
        </w:tabs>
        <w:spacing w:line="240" w:lineRule="auto" w:before="0" w:after="0"/>
        <w:ind w:left="1079" w:right="0" w:hanging="541"/>
        <w:jc w:val="left"/>
        <w:rPr>
          <w:sz w:val="21"/>
        </w:rPr>
      </w:pPr>
      <w:r>
        <w:rPr>
          <w:spacing w:val="-3"/>
          <w:sz w:val="21"/>
        </w:rPr>
        <w:t>违反基金合同或托管协议；</w:t>
      </w:r>
      <w:r>
        <w:rPr>
          <w:sz w:val="21"/>
        </w:rPr>
        <w:t> </w:t>
      </w:r>
    </w:p>
    <w:p>
      <w:pPr>
        <w:pStyle w:val="BodyText"/>
        <w:spacing w:before="2"/>
        <w:rPr>
          <w:sz w:val="23"/>
        </w:rPr>
      </w:pPr>
    </w:p>
    <w:p>
      <w:pPr>
        <w:pStyle w:val="ListParagraph"/>
        <w:numPr>
          <w:ilvl w:val="0"/>
          <w:numId w:val="46"/>
        </w:numPr>
        <w:tabs>
          <w:tab w:pos="1079" w:val="left" w:leader="none"/>
        </w:tabs>
        <w:spacing w:line="240" w:lineRule="auto" w:before="1" w:after="0"/>
        <w:ind w:left="1079" w:right="0" w:hanging="541"/>
        <w:jc w:val="left"/>
        <w:rPr>
          <w:sz w:val="21"/>
        </w:rPr>
      </w:pPr>
      <w:r>
        <w:rPr>
          <w:spacing w:val="-3"/>
          <w:sz w:val="21"/>
        </w:rPr>
        <w:t>故意损害基金份额持有人或其他基金相关机构的合法利益；</w:t>
      </w:r>
      <w:r>
        <w:rPr>
          <w:sz w:val="21"/>
        </w:rPr>
        <w:t> </w:t>
      </w:r>
    </w:p>
    <w:p>
      <w:pPr>
        <w:pStyle w:val="BodyText"/>
        <w:spacing w:before="5"/>
        <w:rPr>
          <w:sz w:val="23"/>
        </w:rPr>
      </w:pPr>
    </w:p>
    <w:p>
      <w:pPr>
        <w:pStyle w:val="ListParagraph"/>
        <w:numPr>
          <w:ilvl w:val="0"/>
          <w:numId w:val="46"/>
        </w:numPr>
        <w:tabs>
          <w:tab w:pos="1079" w:val="left" w:leader="none"/>
        </w:tabs>
        <w:spacing w:line="240" w:lineRule="auto" w:before="0" w:after="0"/>
        <w:ind w:left="1079" w:right="0" w:hanging="541"/>
        <w:jc w:val="left"/>
        <w:rPr>
          <w:sz w:val="21"/>
        </w:rPr>
      </w:pPr>
      <w:r>
        <w:rPr>
          <w:spacing w:val="-3"/>
          <w:sz w:val="21"/>
        </w:rPr>
        <w:t>在向中国证监会报送的资料中弄虚作假；</w:t>
      </w:r>
      <w:r>
        <w:rPr>
          <w:sz w:val="21"/>
        </w:rPr>
        <w:t> </w:t>
      </w:r>
    </w:p>
    <w:p>
      <w:pPr>
        <w:pStyle w:val="BodyText"/>
        <w:spacing w:before="5"/>
        <w:rPr>
          <w:sz w:val="23"/>
        </w:rPr>
      </w:pPr>
    </w:p>
    <w:p>
      <w:pPr>
        <w:pStyle w:val="ListParagraph"/>
        <w:numPr>
          <w:ilvl w:val="0"/>
          <w:numId w:val="46"/>
        </w:numPr>
        <w:tabs>
          <w:tab w:pos="1079" w:val="left" w:leader="none"/>
        </w:tabs>
        <w:spacing w:line="240" w:lineRule="auto" w:before="0" w:after="0"/>
        <w:ind w:left="1079" w:right="0" w:hanging="541"/>
        <w:jc w:val="left"/>
        <w:rPr>
          <w:sz w:val="21"/>
        </w:rPr>
      </w:pPr>
      <w:r>
        <w:rPr>
          <w:spacing w:val="-3"/>
          <w:sz w:val="21"/>
        </w:rPr>
        <w:t>拒绝、干扰、阻挠或严重影响中国证监会依法监管；</w:t>
      </w:r>
      <w:r>
        <w:rPr>
          <w:sz w:val="21"/>
        </w:rPr>
        <w:t> </w:t>
      </w:r>
    </w:p>
    <w:p>
      <w:pPr>
        <w:pStyle w:val="BodyText"/>
        <w:spacing w:before="3"/>
        <w:rPr>
          <w:sz w:val="23"/>
        </w:rPr>
      </w:pPr>
    </w:p>
    <w:p>
      <w:pPr>
        <w:pStyle w:val="ListParagraph"/>
        <w:numPr>
          <w:ilvl w:val="0"/>
          <w:numId w:val="46"/>
        </w:numPr>
        <w:tabs>
          <w:tab w:pos="1079" w:val="left" w:leader="none"/>
        </w:tabs>
        <w:spacing w:line="240" w:lineRule="auto" w:before="0" w:after="0"/>
        <w:ind w:left="1079" w:right="0" w:hanging="541"/>
        <w:jc w:val="left"/>
        <w:rPr>
          <w:sz w:val="21"/>
        </w:rPr>
      </w:pPr>
      <w:r>
        <w:rPr>
          <w:spacing w:val="-3"/>
          <w:sz w:val="21"/>
        </w:rPr>
        <w:t>玩忽职守、滥用职权； </w:t>
      </w:r>
    </w:p>
    <w:p>
      <w:pPr>
        <w:pStyle w:val="BodyText"/>
        <w:spacing w:before="5"/>
        <w:rPr>
          <w:sz w:val="23"/>
        </w:rPr>
      </w:pPr>
    </w:p>
    <w:p>
      <w:pPr>
        <w:pStyle w:val="ListParagraph"/>
        <w:numPr>
          <w:ilvl w:val="0"/>
          <w:numId w:val="46"/>
        </w:numPr>
        <w:tabs>
          <w:tab w:pos="1079" w:val="left" w:leader="none"/>
        </w:tabs>
        <w:spacing w:line="417" w:lineRule="auto" w:before="0" w:after="0"/>
        <w:ind w:left="118" w:right="433" w:firstLine="419"/>
        <w:jc w:val="left"/>
        <w:rPr>
          <w:sz w:val="21"/>
        </w:rPr>
      </w:pPr>
      <w:r>
        <w:rPr>
          <w:spacing w:val="-3"/>
          <w:sz w:val="21"/>
        </w:rPr>
        <w:t>违反现行有效的有关法律、法规、规章、基金合同和中国证监会的有关规定，泄漏在任职期间知悉的有关证券、基金的商业秘密，尚未依法公开的基金投资内容、基金投资计划等信息；</w:t>
      </w:r>
      <w:r>
        <w:rPr>
          <w:sz w:val="21"/>
        </w:rPr>
        <w:t> </w:t>
      </w:r>
    </w:p>
    <w:p>
      <w:pPr>
        <w:pStyle w:val="ListParagraph"/>
        <w:numPr>
          <w:ilvl w:val="0"/>
          <w:numId w:val="46"/>
        </w:numPr>
        <w:tabs>
          <w:tab w:pos="1079" w:val="left" w:leader="none"/>
        </w:tabs>
        <w:spacing w:line="417" w:lineRule="auto" w:before="100" w:after="0"/>
        <w:ind w:left="118" w:right="433" w:firstLine="419"/>
        <w:jc w:val="left"/>
        <w:rPr>
          <w:sz w:val="21"/>
        </w:rPr>
      </w:pPr>
      <w:r>
        <w:rPr>
          <w:spacing w:val="-3"/>
          <w:sz w:val="21"/>
        </w:rPr>
        <w:t>违反证券交易场所业务规则，利用对敲、倒仓等手段操纵市场价格，扰乱市场秩序；</w:t>
      </w:r>
      <w:r>
        <w:rPr>
          <w:sz w:val="21"/>
        </w:rPr>
        <w:t> </w:t>
      </w:r>
    </w:p>
    <w:p>
      <w:pPr>
        <w:pStyle w:val="ListParagraph"/>
        <w:numPr>
          <w:ilvl w:val="0"/>
          <w:numId w:val="46"/>
        </w:numPr>
        <w:tabs>
          <w:tab w:pos="1019" w:val="left" w:leader="none"/>
        </w:tabs>
        <w:spacing w:line="240" w:lineRule="auto" w:before="99" w:after="0"/>
        <w:ind w:left="1019" w:right="0" w:hanging="541"/>
        <w:jc w:val="left"/>
        <w:rPr>
          <w:sz w:val="21"/>
        </w:rPr>
      </w:pPr>
      <w:r>
        <w:rPr>
          <w:spacing w:val="-3"/>
          <w:sz w:val="21"/>
        </w:rPr>
        <w:t>贬损同行，以抬高自己；</w:t>
      </w:r>
      <w:r>
        <w:rPr>
          <w:sz w:val="21"/>
        </w:rPr>
        <w:t> </w:t>
      </w:r>
    </w:p>
    <w:p>
      <w:pPr>
        <w:pStyle w:val="BodyText"/>
        <w:spacing w:before="5"/>
        <w:rPr>
          <w:sz w:val="23"/>
        </w:rPr>
      </w:pPr>
    </w:p>
    <w:p>
      <w:pPr>
        <w:pStyle w:val="ListParagraph"/>
        <w:numPr>
          <w:ilvl w:val="0"/>
          <w:numId w:val="46"/>
        </w:numPr>
        <w:tabs>
          <w:tab w:pos="1135" w:val="left" w:leader="none"/>
        </w:tabs>
        <w:spacing w:line="240" w:lineRule="auto" w:before="0" w:after="0"/>
        <w:ind w:left="1134" w:right="0" w:hanging="657"/>
        <w:jc w:val="left"/>
        <w:rPr>
          <w:sz w:val="21"/>
        </w:rPr>
      </w:pPr>
      <w:r>
        <w:rPr>
          <w:spacing w:val="-3"/>
          <w:sz w:val="21"/>
        </w:rPr>
        <w:t>以不正当手段谋求业务发展；</w:t>
      </w:r>
      <w:r>
        <w:rPr>
          <w:sz w:val="21"/>
        </w:rPr>
        <w:t> </w:t>
      </w:r>
    </w:p>
    <w:p>
      <w:pPr>
        <w:pStyle w:val="BodyText"/>
        <w:spacing w:before="5"/>
        <w:rPr>
          <w:sz w:val="23"/>
        </w:rPr>
      </w:pPr>
    </w:p>
    <w:p>
      <w:pPr>
        <w:pStyle w:val="ListParagraph"/>
        <w:numPr>
          <w:ilvl w:val="0"/>
          <w:numId w:val="46"/>
        </w:numPr>
        <w:tabs>
          <w:tab w:pos="1135" w:val="left" w:leader="none"/>
        </w:tabs>
        <w:spacing w:line="240" w:lineRule="auto" w:before="0" w:after="0"/>
        <w:ind w:left="1134" w:right="0" w:hanging="657"/>
        <w:jc w:val="left"/>
        <w:rPr>
          <w:sz w:val="21"/>
        </w:rPr>
      </w:pPr>
      <w:r>
        <w:rPr>
          <w:spacing w:val="-3"/>
          <w:sz w:val="21"/>
        </w:rPr>
        <w:t>有悖社会公德，损害证券投资基金人员形象； </w:t>
      </w:r>
    </w:p>
    <w:p>
      <w:pPr>
        <w:pStyle w:val="BodyText"/>
        <w:spacing w:before="2"/>
        <w:rPr>
          <w:sz w:val="23"/>
        </w:rPr>
      </w:pPr>
    </w:p>
    <w:p>
      <w:pPr>
        <w:pStyle w:val="ListParagraph"/>
        <w:numPr>
          <w:ilvl w:val="0"/>
          <w:numId w:val="46"/>
        </w:numPr>
        <w:tabs>
          <w:tab w:pos="1135" w:val="left" w:leader="none"/>
        </w:tabs>
        <w:spacing w:line="240" w:lineRule="auto" w:before="1" w:after="0"/>
        <w:ind w:left="1134" w:right="0" w:hanging="657"/>
        <w:jc w:val="left"/>
        <w:rPr>
          <w:sz w:val="21"/>
        </w:rPr>
      </w:pPr>
      <w:r>
        <w:rPr>
          <w:spacing w:val="-3"/>
          <w:sz w:val="21"/>
        </w:rPr>
        <w:t>在公开信息披露和广告中故意含有虚假、误导、欺诈成分；</w:t>
      </w:r>
      <w:r>
        <w:rPr>
          <w:sz w:val="21"/>
        </w:rPr>
        <w:t> </w:t>
      </w:r>
    </w:p>
    <w:p>
      <w:pPr>
        <w:pStyle w:val="BodyText"/>
        <w:spacing w:before="4"/>
        <w:rPr>
          <w:sz w:val="23"/>
        </w:rPr>
      </w:pPr>
    </w:p>
    <w:p>
      <w:pPr>
        <w:pStyle w:val="ListParagraph"/>
        <w:numPr>
          <w:ilvl w:val="0"/>
          <w:numId w:val="46"/>
        </w:numPr>
        <w:tabs>
          <w:tab w:pos="1195" w:val="left" w:leader="none"/>
        </w:tabs>
        <w:spacing w:line="240" w:lineRule="auto" w:before="1" w:after="0"/>
        <w:ind w:left="1194" w:right="0" w:hanging="657"/>
        <w:jc w:val="left"/>
        <w:rPr>
          <w:sz w:val="21"/>
        </w:rPr>
      </w:pPr>
      <w:r>
        <w:rPr>
          <w:spacing w:val="-3"/>
          <w:sz w:val="21"/>
        </w:rPr>
        <w:t>其他法律、行政法规以及中国证监会禁止的行为。</w:t>
      </w:r>
      <w:r>
        <w:rPr>
          <w:sz w:val="21"/>
        </w:rPr>
        <w:t> </w:t>
      </w:r>
    </w:p>
    <w:p>
      <w:pPr>
        <w:pStyle w:val="BodyText"/>
        <w:spacing w:before="5"/>
        <w:rPr>
          <w:sz w:val="23"/>
        </w:rPr>
      </w:pPr>
    </w:p>
    <w:p>
      <w:pPr>
        <w:pStyle w:val="BodyText"/>
        <w:ind w:left="538"/>
      </w:pPr>
      <w:r>
        <w:rPr>
          <w:rFonts w:ascii="Arial" w:eastAsia="Arial"/>
        </w:rPr>
        <w:t>4</w:t>
      </w:r>
      <w:r>
        <w:rPr/>
        <w:t>、基金经理承诺 </w:t>
      </w:r>
    </w:p>
    <w:p>
      <w:pPr>
        <w:pStyle w:val="BodyText"/>
        <w:spacing w:before="3"/>
        <w:rPr>
          <w:sz w:val="23"/>
        </w:rPr>
      </w:pPr>
    </w:p>
    <w:p>
      <w:pPr>
        <w:pStyle w:val="ListParagraph"/>
        <w:numPr>
          <w:ilvl w:val="1"/>
          <w:numId w:val="46"/>
        </w:numPr>
        <w:tabs>
          <w:tab w:pos="1185" w:val="left" w:leader="none"/>
        </w:tabs>
        <w:spacing w:line="417" w:lineRule="auto" w:before="0" w:after="0"/>
        <w:ind w:left="118" w:right="537" w:firstLine="525"/>
        <w:jc w:val="left"/>
        <w:rPr>
          <w:sz w:val="21"/>
        </w:rPr>
      </w:pPr>
      <w:r>
        <w:rPr>
          <w:spacing w:val="-3"/>
          <w:sz w:val="21"/>
        </w:rPr>
        <w:t>依照有关法律、法规和基金合同的规定，本着谨慎的原则为基金份额持有人谋取最大利益；</w:t>
      </w:r>
      <w:r>
        <w:rPr>
          <w:sz w:val="21"/>
        </w:rPr>
        <w:t> </w:t>
      </w:r>
    </w:p>
    <w:p>
      <w:pPr>
        <w:pStyle w:val="ListParagraph"/>
        <w:numPr>
          <w:ilvl w:val="1"/>
          <w:numId w:val="46"/>
        </w:numPr>
        <w:tabs>
          <w:tab w:pos="1185" w:val="left" w:leader="none"/>
        </w:tabs>
        <w:spacing w:line="240" w:lineRule="auto" w:before="100" w:after="0"/>
        <w:ind w:left="1184" w:right="0" w:hanging="542"/>
        <w:jc w:val="left"/>
        <w:rPr>
          <w:sz w:val="21"/>
        </w:rPr>
      </w:pPr>
      <w:r>
        <w:rPr>
          <w:spacing w:val="-3"/>
          <w:sz w:val="21"/>
        </w:rPr>
        <w:t>不利用职务之便为自己及其代理人、受雇人或任何第三人谋取利益； </w:t>
      </w:r>
    </w:p>
    <w:p>
      <w:pPr>
        <w:pStyle w:val="BodyText"/>
        <w:spacing w:before="5"/>
        <w:rPr>
          <w:sz w:val="23"/>
        </w:rPr>
      </w:pPr>
    </w:p>
    <w:p>
      <w:pPr>
        <w:pStyle w:val="ListParagraph"/>
        <w:numPr>
          <w:ilvl w:val="1"/>
          <w:numId w:val="46"/>
        </w:numPr>
        <w:tabs>
          <w:tab w:pos="1185" w:val="left" w:leader="none"/>
        </w:tabs>
        <w:spacing w:line="417" w:lineRule="auto" w:before="0" w:after="0"/>
        <w:ind w:left="118" w:right="549" w:firstLine="525"/>
        <w:jc w:val="left"/>
        <w:rPr>
          <w:sz w:val="21"/>
        </w:rPr>
      </w:pPr>
      <w:r>
        <w:rPr>
          <w:spacing w:val="-3"/>
          <w:sz w:val="21"/>
        </w:rPr>
        <w:t>不违反现行有效的有关法律、法规、规章、基金合同和中国证监会的有关规 定，泄漏在任职期间知悉的有关证券、基金的商业秘密、尚未依法公开的基金投资内容、</w:t>
      </w:r>
    </w:p>
    <w:p>
      <w:pPr>
        <w:spacing w:after="0" w:line="417" w:lineRule="auto"/>
        <w:jc w:val="left"/>
        <w:rPr>
          <w:sz w:val="21"/>
        </w:rPr>
        <w:sectPr>
          <w:pgSz w:w="11910" w:h="16850"/>
          <w:pgMar w:header="852" w:footer="1386" w:top="1420" w:bottom="1580" w:left="1680" w:right="1360"/>
        </w:sectPr>
      </w:pPr>
    </w:p>
    <w:p>
      <w:pPr>
        <w:pStyle w:val="BodyText"/>
        <w:spacing w:before="142"/>
        <w:ind w:left="118"/>
      </w:pPr>
      <w:r>
        <w:rPr/>
        <w:t>基金投资计划等信息；</w:t>
      </w:r>
    </w:p>
    <w:p>
      <w:pPr>
        <w:pStyle w:val="BodyText"/>
        <w:spacing w:before="4"/>
        <w:rPr>
          <w:sz w:val="23"/>
        </w:rPr>
      </w:pPr>
    </w:p>
    <w:p>
      <w:pPr>
        <w:pStyle w:val="ListParagraph"/>
        <w:numPr>
          <w:ilvl w:val="1"/>
          <w:numId w:val="46"/>
        </w:numPr>
        <w:tabs>
          <w:tab w:pos="1127" w:val="left" w:leader="none"/>
        </w:tabs>
        <w:spacing w:line="240" w:lineRule="auto" w:before="1" w:after="0"/>
        <w:ind w:left="1127" w:right="0" w:hanging="529"/>
        <w:jc w:val="left"/>
        <w:rPr>
          <w:sz w:val="21"/>
        </w:rPr>
      </w:pPr>
      <w:r>
        <w:rPr>
          <w:spacing w:val="-3"/>
          <w:sz w:val="21"/>
        </w:rPr>
        <w:t>不从事损害基金财产和基金份额持有人利益的证券交易及其他活动。</w:t>
      </w:r>
    </w:p>
    <w:p>
      <w:pPr>
        <w:spacing w:after="0" w:line="240" w:lineRule="auto"/>
        <w:jc w:val="left"/>
        <w:rPr>
          <w:sz w:val="21"/>
        </w:rPr>
        <w:sectPr>
          <w:pgSz w:w="11910" w:h="16850"/>
          <w:pgMar w:header="852" w:footer="1386" w:top="1420" w:bottom="1580" w:left="1680" w:right="1360"/>
        </w:sectPr>
      </w:pPr>
    </w:p>
    <w:p>
      <w:pPr>
        <w:pStyle w:val="BodyText"/>
        <w:spacing w:before="5"/>
        <w:rPr>
          <w:sz w:val="19"/>
        </w:rPr>
      </w:pPr>
    </w:p>
    <w:p>
      <w:pPr>
        <w:pStyle w:val="Heading1"/>
        <w:spacing w:before="54"/>
        <w:ind w:left="2287"/>
      </w:pPr>
      <w:bookmarkStart w:name="_bookmark51" w:id="52"/>
      <w:bookmarkEnd w:id="52"/>
      <w:r>
        <w:rPr/>
      </w:r>
      <w:r>
        <w:rPr/>
        <w:t>十六、 基金的财产</w:t>
      </w:r>
    </w:p>
    <w:p>
      <w:pPr>
        <w:pStyle w:val="BodyText"/>
        <w:rPr>
          <w:sz w:val="20"/>
        </w:rPr>
      </w:pPr>
    </w:p>
    <w:p>
      <w:pPr>
        <w:pStyle w:val="BodyText"/>
        <w:rPr>
          <w:sz w:val="20"/>
        </w:rPr>
      </w:pPr>
    </w:p>
    <w:p>
      <w:pPr>
        <w:pStyle w:val="BodyText"/>
        <w:spacing w:before="5"/>
        <w:rPr>
          <w:sz w:val="20"/>
        </w:rPr>
      </w:pPr>
    </w:p>
    <w:p>
      <w:pPr>
        <w:pStyle w:val="Heading2"/>
        <w:spacing w:line="484" w:lineRule="exact"/>
        <w:rPr>
          <w:rFonts w:ascii="宋体" w:eastAsia="宋体" w:hint="eastAsia"/>
          <w:b w:val="0"/>
        </w:rPr>
      </w:pPr>
      <w:bookmarkStart w:name="_bookmark52" w:id="53"/>
      <w:bookmarkEnd w:id="53"/>
      <w:r>
        <w:rPr>
          <w:b w:val="0"/>
        </w:rPr>
      </w:r>
      <w:r>
        <w:rPr/>
        <w:t>（一）基金资产总值</w:t>
      </w:r>
      <w:r>
        <w:rPr>
          <w:rFonts w:ascii="宋体" w:eastAsia="宋体" w:hint="eastAsia"/>
          <w:b w:val="0"/>
        </w:rPr>
        <w:t> </w:t>
      </w:r>
    </w:p>
    <w:p>
      <w:pPr>
        <w:pStyle w:val="BodyText"/>
        <w:rPr>
          <w:sz w:val="28"/>
        </w:rPr>
      </w:pPr>
    </w:p>
    <w:p>
      <w:pPr>
        <w:pStyle w:val="BodyText"/>
        <w:spacing w:line="417" w:lineRule="auto" w:before="244"/>
        <w:ind w:left="118" w:right="435" w:firstLine="482"/>
      </w:pPr>
      <w:r>
        <w:rPr/>
        <w:t>基金资产总值是指基金所购买的各类证券价值、银行存款本息和基金应收的申购款项以及其他投资所形成的价值总和。</w:t>
      </w:r>
    </w:p>
    <w:p>
      <w:pPr>
        <w:pStyle w:val="BodyText"/>
        <w:spacing w:before="6"/>
        <w:rPr>
          <w:sz w:val="29"/>
        </w:rPr>
      </w:pPr>
    </w:p>
    <w:p>
      <w:pPr>
        <w:pStyle w:val="Heading2"/>
        <w:rPr>
          <w:rFonts w:ascii="宋体" w:eastAsia="宋体" w:hint="eastAsia"/>
          <w:b w:val="0"/>
        </w:rPr>
      </w:pPr>
      <w:bookmarkStart w:name="_bookmark53" w:id="54"/>
      <w:bookmarkEnd w:id="54"/>
      <w:r>
        <w:rPr>
          <w:b w:val="0"/>
        </w:rPr>
      </w:r>
      <w:r>
        <w:rPr/>
        <w:t>（二）基金资产净值</w:t>
      </w:r>
      <w:r>
        <w:rPr>
          <w:rFonts w:ascii="宋体" w:eastAsia="宋体" w:hint="eastAsia"/>
          <w:b w:val="0"/>
        </w:rPr>
        <w:t> </w:t>
      </w:r>
    </w:p>
    <w:p>
      <w:pPr>
        <w:pStyle w:val="BodyText"/>
        <w:rPr>
          <w:sz w:val="28"/>
        </w:rPr>
      </w:pPr>
    </w:p>
    <w:p>
      <w:pPr>
        <w:pStyle w:val="BodyText"/>
        <w:spacing w:before="246"/>
        <w:ind w:left="598"/>
      </w:pPr>
      <w:r>
        <w:rPr/>
        <w:t>基金资产净值是指基金资产总值减去负债后的价值。 </w:t>
      </w:r>
    </w:p>
    <w:p>
      <w:pPr>
        <w:pStyle w:val="BodyText"/>
        <w:rPr>
          <w:sz w:val="20"/>
        </w:rPr>
      </w:pPr>
    </w:p>
    <w:p>
      <w:pPr>
        <w:pStyle w:val="Heading2"/>
        <w:spacing w:before="162"/>
        <w:rPr>
          <w:rFonts w:ascii="宋体" w:eastAsia="宋体" w:hint="eastAsia"/>
          <w:b w:val="0"/>
        </w:rPr>
      </w:pPr>
      <w:bookmarkStart w:name="_bookmark54" w:id="55"/>
      <w:bookmarkEnd w:id="55"/>
      <w:r>
        <w:rPr>
          <w:b w:val="0"/>
        </w:rPr>
      </w:r>
      <w:r>
        <w:rPr/>
        <w:t>（三）基金财产的帐户</w:t>
      </w:r>
      <w:r>
        <w:rPr>
          <w:rFonts w:ascii="宋体" w:eastAsia="宋体" w:hint="eastAsia"/>
          <w:b w:val="0"/>
        </w:rPr>
        <w:t> </w:t>
      </w:r>
    </w:p>
    <w:p>
      <w:pPr>
        <w:pStyle w:val="BodyText"/>
        <w:spacing w:before="1"/>
        <w:rPr>
          <w:sz w:val="35"/>
        </w:rPr>
      </w:pPr>
    </w:p>
    <w:p>
      <w:pPr>
        <w:pStyle w:val="BodyText"/>
        <w:spacing w:line="417" w:lineRule="auto"/>
        <w:ind w:left="118" w:right="434" w:firstLine="479"/>
      </w:pPr>
      <w:r>
        <w:rPr/>
        <w:t>本基金需按有关规定开立基金专用银行存款账户以及证券账户，与基金管理人、基金托管人自有的财产账户以及其它基金财产账户相互独立。 </w:t>
      </w:r>
    </w:p>
    <w:p>
      <w:pPr>
        <w:pStyle w:val="BodyText"/>
        <w:spacing w:before="4"/>
        <w:rPr>
          <w:sz w:val="17"/>
        </w:rPr>
      </w:pPr>
    </w:p>
    <w:p>
      <w:pPr>
        <w:pStyle w:val="Heading2"/>
        <w:rPr>
          <w:rFonts w:ascii="宋体" w:eastAsia="宋体" w:hint="eastAsia"/>
          <w:b w:val="0"/>
        </w:rPr>
      </w:pPr>
      <w:bookmarkStart w:name="_bookmark55" w:id="56"/>
      <w:bookmarkEnd w:id="56"/>
      <w:r>
        <w:rPr>
          <w:b w:val="0"/>
        </w:rPr>
      </w:r>
      <w:r>
        <w:rPr/>
        <w:t>（四）基金财产的保管与处分</w:t>
      </w:r>
      <w:r>
        <w:rPr>
          <w:rFonts w:ascii="宋体" w:eastAsia="宋体" w:hint="eastAsia"/>
          <w:b w:val="0"/>
        </w:rPr>
        <w:t> </w:t>
      </w:r>
    </w:p>
    <w:p>
      <w:pPr>
        <w:pStyle w:val="BodyText"/>
        <w:spacing w:before="11"/>
        <w:rPr>
          <w:sz w:val="34"/>
        </w:rPr>
      </w:pPr>
    </w:p>
    <w:p>
      <w:pPr>
        <w:pStyle w:val="BodyText"/>
        <w:spacing w:line="417" w:lineRule="auto"/>
        <w:ind w:left="118" w:right="433" w:firstLine="479"/>
        <w:jc w:val="both"/>
      </w:pPr>
      <w:r>
        <w:rPr>
          <w:spacing w:val="-1"/>
        </w:rPr>
        <w:t>本基金财产独立于基金管理人、基金托管人的固有财产，并由基金托管人保管。基金</w:t>
      </w:r>
      <w:r>
        <w:rPr>
          <w:spacing w:val="-10"/>
        </w:rPr>
        <w:t>管理人、基金托管人不得将基金财产归入其固有财产；基金管理人、基金托管人因基金财产</w:t>
      </w:r>
      <w:r>
        <w:rPr>
          <w:spacing w:val="-11"/>
        </w:rPr>
        <w:t>的管理、运用或其他情形而取得的财产和收益，归入基金财产。基金管理人、基金托管人以</w:t>
      </w:r>
      <w:r>
        <w:rPr>
          <w:spacing w:val="-5"/>
        </w:rPr>
        <w:t>其自有的财产承担自身相应的法律责任， 其债权人不得对基金财产行使请求冻结、扣押或</w:t>
      </w:r>
      <w:r>
        <w:rPr>
          <w:spacing w:val="-13"/>
        </w:rPr>
        <w:t>其他权利。基金管理人、基金托管人因依法解散、被依法撤消或被依法宣告破产等原因进行</w:t>
      </w:r>
      <w:r>
        <w:rPr>
          <w:spacing w:val="-3"/>
        </w:rPr>
        <w:t>清算的， 基金财产不属于其清算财产。非因基金财产本身承担的债务不得对基金财产强制</w:t>
      </w:r>
      <w:r>
        <w:rPr>
          <w:spacing w:val="-20"/>
        </w:rPr>
        <w:t>执行。除依据《基金法》、《运作办法》、基金合同及其他有关规定处分外，基金财产不得被</w:t>
      </w:r>
      <w:r>
        <w:rPr>
          <w:spacing w:val="-15"/>
        </w:rPr>
        <w:t>处分。</w:t>
      </w:r>
      <w:r>
        <w:rPr/>
        <w:t> </w:t>
      </w:r>
    </w:p>
    <w:p>
      <w:pPr>
        <w:pStyle w:val="BodyText"/>
        <w:spacing w:before="11"/>
      </w:pPr>
    </w:p>
    <w:p>
      <w:pPr>
        <w:pStyle w:val="BodyText"/>
        <w:spacing w:line="417" w:lineRule="auto"/>
        <w:ind w:left="118" w:right="331" w:firstLine="419"/>
      </w:pPr>
      <w:r>
        <w:rPr/>
        <w:t>基金管理人管理运作基金资产所产生的债权，不得与其固有资产产生的债务相互抵消； 基金管理人管理运作不同基金的基金资产所产生的债权债务不得相互抵消。</w:t>
      </w:r>
    </w:p>
    <w:p>
      <w:pPr>
        <w:spacing w:after="0" w:line="417" w:lineRule="auto"/>
        <w:sectPr>
          <w:pgSz w:w="11910" w:h="16850"/>
          <w:pgMar w:header="852" w:footer="1386" w:top="1420" w:bottom="1580" w:left="1680" w:right="1360"/>
        </w:sectPr>
      </w:pPr>
    </w:p>
    <w:p>
      <w:pPr>
        <w:pStyle w:val="BodyText"/>
        <w:spacing w:before="5"/>
        <w:rPr>
          <w:sz w:val="19"/>
        </w:rPr>
      </w:pPr>
    </w:p>
    <w:p>
      <w:pPr>
        <w:pStyle w:val="Heading1"/>
        <w:spacing w:before="54"/>
        <w:ind w:left="2289"/>
      </w:pPr>
      <w:bookmarkStart w:name="_bookmark56" w:id="57"/>
      <w:bookmarkEnd w:id="57"/>
      <w:r>
        <w:rPr/>
      </w:r>
      <w:r>
        <w:rPr/>
        <w:t>十七、 基金资产估值</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pStyle w:val="Heading2"/>
        <w:spacing w:line="484" w:lineRule="exact"/>
        <w:rPr>
          <w:rFonts w:ascii="宋体" w:eastAsia="宋体" w:hint="eastAsia"/>
          <w:b w:val="0"/>
        </w:rPr>
      </w:pPr>
      <w:bookmarkStart w:name="_bookmark57" w:id="58"/>
      <w:bookmarkEnd w:id="58"/>
      <w:r>
        <w:rPr>
          <w:b w:val="0"/>
        </w:rPr>
      </w:r>
      <w:r>
        <w:rPr/>
        <w:t>（一）估值目的</w:t>
      </w:r>
      <w:r>
        <w:rPr>
          <w:rFonts w:ascii="宋体" w:eastAsia="宋体" w:hint="eastAsia"/>
          <w:b w:val="0"/>
        </w:rPr>
        <w:t> </w:t>
      </w:r>
    </w:p>
    <w:p>
      <w:pPr>
        <w:pStyle w:val="BodyText"/>
        <w:spacing w:before="6"/>
        <w:rPr>
          <w:sz w:val="37"/>
        </w:rPr>
      </w:pPr>
    </w:p>
    <w:p>
      <w:pPr>
        <w:pStyle w:val="BodyText"/>
        <w:spacing w:line="417" w:lineRule="auto"/>
        <w:ind w:left="118" w:right="434" w:firstLine="419"/>
      </w:pPr>
      <w:r>
        <w:rPr>
          <w:spacing w:val="-8"/>
        </w:rPr>
        <w:t>基金资产估值的目的是客观、准确地反映基金资产的价值，确定基金资产净值，计算出</w:t>
      </w:r>
      <w:r>
        <w:rPr>
          <w:spacing w:val="-5"/>
        </w:rPr>
        <w:t>基金收益。</w:t>
      </w:r>
    </w:p>
    <w:p>
      <w:pPr>
        <w:pStyle w:val="BodyText"/>
        <w:spacing w:before="9"/>
        <w:rPr>
          <w:sz w:val="19"/>
        </w:rPr>
      </w:pPr>
    </w:p>
    <w:p>
      <w:pPr>
        <w:pStyle w:val="Heading2"/>
        <w:spacing w:before="1"/>
        <w:rPr>
          <w:rFonts w:ascii="宋体" w:eastAsia="宋体" w:hint="eastAsia"/>
          <w:b w:val="0"/>
        </w:rPr>
      </w:pPr>
      <w:bookmarkStart w:name="_bookmark58" w:id="59"/>
      <w:bookmarkEnd w:id="59"/>
      <w:r>
        <w:rPr>
          <w:b w:val="0"/>
        </w:rPr>
      </w:r>
      <w:r>
        <w:rPr/>
        <w:t>（二）估值日</w:t>
      </w:r>
      <w:r>
        <w:rPr>
          <w:rFonts w:ascii="宋体" w:eastAsia="宋体" w:hint="eastAsia"/>
          <w:b w:val="0"/>
        </w:rPr>
        <w:t> </w:t>
      </w:r>
    </w:p>
    <w:p>
      <w:pPr>
        <w:pStyle w:val="BodyText"/>
        <w:spacing w:before="6"/>
        <w:rPr>
          <w:sz w:val="37"/>
        </w:rPr>
      </w:pPr>
    </w:p>
    <w:p>
      <w:pPr>
        <w:pStyle w:val="BodyText"/>
        <w:spacing w:line="417" w:lineRule="auto"/>
        <w:ind w:left="118" w:right="437" w:firstLine="419"/>
      </w:pPr>
      <w:r>
        <w:rPr/>
        <w:t>本基金的估值日为上海和深圳证券交易所的交易日以及国家法律法规规定需要对外披露基金净值的非营业日。</w:t>
      </w:r>
    </w:p>
    <w:p>
      <w:pPr>
        <w:pStyle w:val="BodyText"/>
        <w:spacing w:before="9"/>
        <w:rPr>
          <w:sz w:val="19"/>
        </w:rPr>
      </w:pPr>
    </w:p>
    <w:p>
      <w:pPr>
        <w:pStyle w:val="Heading2"/>
        <w:rPr>
          <w:rFonts w:ascii="宋体" w:eastAsia="宋体" w:hint="eastAsia"/>
          <w:b w:val="0"/>
        </w:rPr>
      </w:pPr>
      <w:bookmarkStart w:name="_bookmark59" w:id="60"/>
      <w:bookmarkEnd w:id="60"/>
      <w:r>
        <w:rPr>
          <w:b w:val="0"/>
        </w:rPr>
      </w:r>
      <w:r>
        <w:rPr/>
        <w:t>（三）估值对象</w:t>
      </w:r>
      <w:r>
        <w:rPr>
          <w:rFonts w:ascii="宋体" w:eastAsia="宋体" w:hint="eastAsia"/>
          <w:b w:val="0"/>
        </w:rPr>
        <w:t> </w:t>
      </w:r>
    </w:p>
    <w:p>
      <w:pPr>
        <w:pStyle w:val="BodyText"/>
        <w:spacing w:before="6"/>
        <w:rPr>
          <w:sz w:val="37"/>
        </w:rPr>
      </w:pPr>
    </w:p>
    <w:p>
      <w:pPr>
        <w:pStyle w:val="BodyText"/>
        <w:spacing w:before="1"/>
        <w:ind w:left="538"/>
      </w:pPr>
      <w:r>
        <w:rPr/>
        <w:t>基金所持有的金融资产和金融负债。 </w:t>
      </w:r>
    </w:p>
    <w:p>
      <w:pPr>
        <w:pStyle w:val="BodyText"/>
        <w:rPr>
          <w:sz w:val="20"/>
        </w:rPr>
      </w:pPr>
    </w:p>
    <w:p>
      <w:pPr>
        <w:pStyle w:val="BodyText"/>
        <w:spacing w:before="3"/>
        <w:rPr>
          <w:sz w:val="15"/>
        </w:rPr>
      </w:pPr>
    </w:p>
    <w:p>
      <w:pPr>
        <w:pStyle w:val="Heading2"/>
        <w:rPr>
          <w:rFonts w:ascii="宋体" w:eastAsia="宋体" w:hint="eastAsia"/>
          <w:b w:val="0"/>
        </w:rPr>
      </w:pPr>
      <w:bookmarkStart w:name="_bookmark60" w:id="61"/>
      <w:bookmarkEnd w:id="61"/>
      <w:r>
        <w:rPr>
          <w:b w:val="0"/>
        </w:rPr>
      </w:r>
      <w:r>
        <w:rPr/>
        <w:t>（四）估值方法</w:t>
      </w:r>
      <w:r>
        <w:rPr>
          <w:rFonts w:ascii="宋体" w:eastAsia="宋体" w:hint="eastAsia"/>
          <w:b w:val="0"/>
        </w:rPr>
        <w:t> </w:t>
      </w:r>
    </w:p>
    <w:p>
      <w:pPr>
        <w:pStyle w:val="BodyText"/>
        <w:spacing w:before="6"/>
        <w:rPr>
          <w:sz w:val="37"/>
        </w:rPr>
      </w:pPr>
    </w:p>
    <w:p>
      <w:pPr>
        <w:pStyle w:val="BodyText"/>
        <w:spacing w:line="417" w:lineRule="auto"/>
        <w:ind w:left="118" w:right="328" w:firstLine="419"/>
      </w:pPr>
      <w:r>
        <w:rPr/>
        <w:t>1</w:t>
      </w:r>
      <w:r>
        <w:rPr>
          <w:spacing w:val="-18"/>
        </w:rPr>
        <w:t>、本基金估值采用“摊余成本法”，即计价对象以买入成本列示，按照票面利率或协议</w:t>
      </w:r>
      <w:r>
        <w:rPr>
          <w:spacing w:val="-9"/>
        </w:rPr>
        <w:t>利率并考虑其买入时的溢价与折价，在剩余存续期内按照实际利率法摊销，每日计提损益。</w:t>
      </w:r>
      <w:r>
        <w:rPr>
          <w:spacing w:val="-8"/>
        </w:rPr>
        <w:t>本基金不采用市场利率和上市交易的债券和票据的市价计算基金资产净值；本基金目前投资</w:t>
      </w:r>
      <w:r>
        <w:rPr>
          <w:spacing w:val="-5"/>
        </w:rPr>
        <w:t>工具的估值方法如下：</w:t>
      </w:r>
      <w:r>
        <w:rPr/>
        <w:t> </w:t>
      </w:r>
    </w:p>
    <w:p>
      <w:pPr>
        <w:pStyle w:val="BodyText"/>
        <w:spacing w:before="9"/>
      </w:pPr>
    </w:p>
    <w:p>
      <w:pPr>
        <w:pStyle w:val="ListParagraph"/>
        <w:numPr>
          <w:ilvl w:val="0"/>
          <w:numId w:val="47"/>
        </w:numPr>
        <w:tabs>
          <w:tab w:pos="1067" w:val="left" w:leader="none"/>
        </w:tabs>
        <w:spacing w:line="417" w:lineRule="auto" w:before="0" w:after="0"/>
        <w:ind w:left="118" w:right="436" w:firstLine="419"/>
        <w:jc w:val="left"/>
        <w:rPr>
          <w:sz w:val="21"/>
        </w:rPr>
      </w:pPr>
      <w:r>
        <w:rPr>
          <w:spacing w:val="-3"/>
          <w:sz w:val="21"/>
        </w:rPr>
        <w:t>基金持有的债券</w:t>
      </w:r>
      <w:r>
        <w:rPr>
          <w:sz w:val="21"/>
        </w:rPr>
        <w:t>（</w:t>
      </w:r>
      <w:r>
        <w:rPr>
          <w:spacing w:val="-2"/>
          <w:sz w:val="21"/>
        </w:rPr>
        <w:t>包括票据</w:t>
      </w:r>
      <w:r>
        <w:rPr>
          <w:spacing w:val="-3"/>
          <w:sz w:val="21"/>
        </w:rPr>
        <w:t>）购买时采用实际支付价款</w:t>
      </w:r>
      <w:r>
        <w:rPr>
          <w:sz w:val="21"/>
        </w:rPr>
        <w:t>（</w:t>
      </w:r>
      <w:r>
        <w:rPr>
          <w:spacing w:val="-3"/>
          <w:sz w:val="21"/>
        </w:rPr>
        <w:t>包含交易费用</w:t>
      </w:r>
      <w:r>
        <w:rPr>
          <w:sz w:val="21"/>
        </w:rPr>
        <w:t>）</w:t>
      </w:r>
      <w:r>
        <w:rPr>
          <w:spacing w:val="-2"/>
          <w:sz w:val="21"/>
        </w:rPr>
        <w:t>确定初</w:t>
      </w:r>
      <w:r>
        <w:rPr>
          <w:spacing w:val="-3"/>
          <w:sz w:val="21"/>
        </w:rPr>
        <w:t>始成本，按实际利率计算其摊余成本及各期利息收入，每日计提收益；</w:t>
      </w:r>
      <w:r>
        <w:rPr>
          <w:sz w:val="21"/>
        </w:rPr>
        <w:t> </w:t>
      </w:r>
    </w:p>
    <w:p>
      <w:pPr>
        <w:pStyle w:val="BodyText"/>
        <w:spacing w:before="12"/>
      </w:pPr>
    </w:p>
    <w:p>
      <w:pPr>
        <w:pStyle w:val="ListParagraph"/>
        <w:numPr>
          <w:ilvl w:val="0"/>
          <w:numId w:val="47"/>
        </w:numPr>
        <w:tabs>
          <w:tab w:pos="1067" w:val="left" w:leader="none"/>
        </w:tabs>
        <w:spacing w:line="417" w:lineRule="auto" w:before="0" w:after="0"/>
        <w:ind w:left="118" w:right="436" w:firstLine="419"/>
        <w:jc w:val="left"/>
        <w:rPr>
          <w:sz w:val="21"/>
        </w:rPr>
      </w:pPr>
      <w:r>
        <w:rPr>
          <w:spacing w:val="-3"/>
          <w:sz w:val="21"/>
        </w:rPr>
        <w:t>基金持有的回购以成本列示，按实际利率在实际持有期间内逐日计提利息；合同利率与实际利率差异较小的，也可采用合同利率计算确定利息收入；</w:t>
      </w:r>
      <w:r>
        <w:rPr>
          <w:sz w:val="21"/>
        </w:rPr>
        <w:t> </w:t>
      </w:r>
    </w:p>
    <w:p>
      <w:pPr>
        <w:spacing w:after="0" w:line="417" w:lineRule="auto"/>
        <w:jc w:val="left"/>
        <w:rPr>
          <w:sz w:val="21"/>
        </w:rPr>
        <w:sectPr>
          <w:pgSz w:w="11910" w:h="16850"/>
          <w:pgMar w:header="852" w:footer="1386" w:top="1420" w:bottom="1580" w:left="1680" w:right="1360"/>
        </w:sectPr>
      </w:pPr>
    </w:p>
    <w:p>
      <w:pPr>
        <w:pStyle w:val="ListParagraph"/>
        <w:numPr>
          <w:ilvl w:val="0"/>
          <w:numId w:val="47"/>
        </w:numPr>
        <w:tabs>
          <w:tab w:pos="1067" w:val="left" w:leader="none"/>
        </w:tabs>
        <w:spacing w:line="240" w:lineRule="auto" w:before="142" w:after="0"/>
        <w:ind w:left="1067" w:right="0" w:hanging="529"/>
        <w:jc w:val="left"/>
        <w:rPr>
          <w:sz w:val="21"/>
        </w:rPr>
      </w:pPr>
      <w:r>
        <w:rPr>
          <w:spacing w:val="-3"/>
          <w:sz w:val="21"/>
        </w:rPr>
        <w:t>基金持有的银行存款以本金列示，按实际协议利率逐日计提利息。 </w:t>
      </w:r>
    </w:p>
    <w:p>
      <w:pPr>
        <w:pStyle w:val="BodyText"/>
        <w:rPr>
          <w:sz w:val="20"/>
        </w:rPr>
      </w:pPr>
    </w:p>
    <w:p>
      <w:pPr>
        <w:pStyle w:val="BodyText"/>
        <w:spacing w:before="5"/>
        <w:rPr>
          <w:sz w:val="17"/>
        </w:rPr>
      </w:pPr>
    </w:p>
    <w:p>
      <w:pPr>
        <w:pStyle w:val="BodyText"/>
        <w:spacing w:line="417" w:lineRule="auto"/>
        <w:ind w:left="118" w:right="327" w:firstLine="419"/>
      </w:pPr>
      <w:r>
        <w:rPr/>
        <w:t>2</w:t>
      </w:r>
      <w:r>
        <w:rPr>
          <w:spacing w:val="-3"/>
        </w:rPr>
        <w:t>、为了避免采用摊余成本法计算的基金资产净值与按市场利率和交易市价计算的基金</w:t>
      </w:r>
      <w:r>
        <w:rPr>
          <w:spacing w:val="-10"/>
        </w:rPr>
        <w:t>资产净值发生重大偏离，从而对基金份额持有人的利益产生稀释和不公平的结果，基金管理人于每一估值日，对基金持有的估值对象进行重新评估，即“影子定价”。 当“影子定价” 确定的基金资产净值与“摊余成本法”计算的基金资产净值的负偏离度绝对值达到或超过0.25</w:t>
      </w:r>
      <w:r>
        <w:rPr>
          <w:spacing w:val="-7"/>
        </w:rPr>
        <w:t>%时，基金管理人应当在 </w:t>
      </w:r>
      <w:r>
        <w:rPr/>
        <w:t>5</w:t>
      </w:r>
      <w:r>
        <w:rPr>
          <w:spacing w:val="-7"/>
        </w:rPr>
        <w:t> 个交易日内将负偏离度绝对值调整到 </w:t>
      </w:r>
      <w:r>
        <w:rPr/>
        <w:t>0.25</w:t>
      </w:r>
      <w:r>
        <w:rPr>
          <w:spacing w:val="-3"/>
        </w:rPr>
        <w:t>%以内。当正偏离</w:t>
      </w:r>
      <w:r>
        <w:rPr>
          <w:spacing w:val="-6"/>
        </w:rPr>
        <w:t>度绝对值达到 </w:t>
      </w:r>
      <w:r>
        <w:rPr/>
        <w:t>0.5</w:t>
      </w:r>
      <w:r>
        <w:rPr>
          <w:spacing w:val="-4"/>
        </w:rPr>
        <w:t>%时，基金管理人应当暂停接受申购并在 </w:t>
      </w:r>
      <w:r>
        <w:rPr/>
        <w:t>5</w:t>
      </w:r>
      <w:r>
        <w:rPr>
          <w:spacing w:val="-6"/>
        </w:rPr>
        <w:t> 个交易日内将正偏离度绝对值</w:t>
      </w:r>
      <w:r>
        <w:rPr>
          <w:spacing w:val="-15"/>
        </w:rPr>
        <w:t>调整到 </w:t>
      </w:r>
      <w:r>
        <w:rPr/>
        <w:t>0.5</w:t>
      </w:r>
      <w:r>
        <w:rPr>
          <w:spacing w:val="-6"/>
        </w:rPr>
        <w:t>%以内。当负偏离度绝对值达到 </w:t>
      </w:r>
      <w:r>
        <w:rPr/>
        <w:t>0.5</w:t>
      </w:r>
      <w:r>
        <w:rPr>
          <w:spacing w:val="-3"/>
        </w:rPr>
        <w:t>%时，基金管理人应当使用风险准备金或者固有资金弥补潜在资产损失，将负偏离度绝对值控制在 </w:t>
      </w:r>
      <w:r>
        <w:rPr/>
        <w:t>0.5</w:t>
      </w:r>
      <w:r>
        <w:rPr>
          <w:spacing w:val="-3"/>
        </w:rPr>
        <w:t>%以内。当负偏离度绝对值连续两</w:t>
      </w:r>
      <w:r>
        <w:rPr/>
        <w:t>个交易日超过 0.5</w:t>
      </w:r>
      <w:r>
        <w:rPr>
          <w:spacing w:val="-3"/>
        </w:rPr>
        <w:t>%时，基金管理人应当采用公允价值估值方法对持有投资组合的账面价值进行调整，或者采取暂停接受所有赎回申请并终止基金合同进行财产清算等措施。</w:t>
      </w:r>
      <w:r>
        <w:rPr/>
        <w:t> </w:t>
      </w:r>
    </w:p>
    <w:p>
      <w:pPr>
        <w:pStyle w:val="BodyText"/>
        <w:spacing w:before="8"/>
      </w:pPr>
    </w:p>
    <w:p>
      <w:pPr>
        <w:pStyle w:val="BodyText"/>
        <w:spacing w:line="417" w:lineRule="auto" w:before="1"/>
        <w:ind w:left="118" w:right="438" w:firstLine="419"/>
      </w:pPr>
      <w:r>
        <w:rPr/>
        <w:t>3、如有确凿证据表明按上述方法进行估值不能客观反映其公允价值的，基金管理人可根据具体情况与基金托管人商定后，按最能反映公允价值的方法估值。 </w:t>
      </w:r>
    </w:p>
    <w:p>
      <w:pPr>
        <w:pStyle w:val="BodyText"/>
        <w:spacing w:before="11"/>
      </w:pPr>
    </w:p>
    <w:p>
      <w:pPr>
        <w:pStyle w:val="BodyText"/>
        <w:spacing w:line="417" w:lineRule="auto"/>
        <w:ind w:left="118" w:right="433" w:firstLine="479"/>
      </w:pPr>
      <w:r>
        <w:rPr/>
        <w:t>4</w:t>
      </w:r>
      <w:r>
        <w:rPr>
          <w:spacing w:val="-8"/>
        </w:rPr>
        <w:t>、相关法律法规以及监管部门有强制规定的，从其规定。如有新增事项，按国家最新</w:t>
      </w:r>
      <w:r>
        <w:rPr>
          <w:spacing w:val="-6"/>
        </w:rPr>
        <w:t>规定估值。</w:t>
      </w:r>
      <w:r>
        <w:rPr/>
        <w:t> </w:t>
      </w:r>
    </w:p>
    <w:p>
      <w:pPr>
        <w:pStyle w:val="BodyText"/>
        <w:spacing w:before="12"/>
        <w:rPr>
          <w:sz w:val="19"/>
        </w:rPr>
      </w:pPr>
    </w:p>
    <w:p>
      <w:pPr>
        <w:pStyle w:val="Heading2"/>
        <w:rPr>
          <w:rFonts w:ascii="宋体" w:eastAsia="宋体" w:hint="eastAsia"/>
          <w:b w:val="0"/>
        </w:rPr>
      </w:pPr>
      <w:bookmarkStart w:name="_bookmark61" w:id="62"/>
      <w:bookmarkEnd w:id="62"/>
      <w:r>
        <w:rPr>
          <w:b w:val="0"/>
        </w:rPr>
      </w:r>
      <w:r>
        <w:rPr/>
        <w:t>（五）估值程序</w:t>
      </w:r>
      <w:r>
        <w:rPr>
          <w:rFonts w:ascii="宋体" w:eastAsia="宋体" w:hint="eastAsia"/>
          <w:b w:val="0"/>
        </w:rPr>
        <w:t> </w:t>
      </w:r>
    </w:p>
    <w:p>
      <w:pPr>
        <w:pStyle w:val="BodyText"/>
        <w:spacing w:before="3"/>
        <w:rPr>
          <w:sz w:val="37"/>
        </w:rPr>
      </w:pPr>
    </w:p>
    <w:p>
      <w:pPr>
        <w:pStyle w:val="BodyText"/>
        <w:spacing w:line="417" w:lineRule="auto" w:before="1"/>
        <w:ind w:left="118" w:right="433" w:firstLine="479"/>
        <w:jc w:val="both"/>
      </w:pPr>
      <w:r>
        <w:rPr>
          <w:spacing w:val="-1"/>
        </w:rPr>
        <w:t>基金资产估值由基金管理人进行。基金管理人完成基金资产净值的估值后，将估值结</w:t>
      </w:r>
      <w:r>
        <w:rPr>
          <w:spacing w:val="-8"/>
        </w:rPr>
        <w:t>果以书面形式报给基金托管人，基金托管人按本基金合同所规定的估值方法、时间、程序进</w:t>
      </w:r>
      <w:r>
        <w:rPr>
          <w:spacing w:val="-10"/>
        </w:rPr>
        <w:t>行复核，复核无误后加盖业务公章返回给基金管理人。月末、年中和年末估值复核与基金会</w:t>
      </w:r>
      <w:r>
        <w:rPr>
          <w:spacing w:val="-5"/>
        </w:rPr>
        <w:t>计账目的核对同时进行。</w:t>
      </w:r>
      <w:r>
        <w:rPr/>
        <w:t> </w:t>
      </w:r>
    </w:p>
    <w:p>
      <w:pPr>
        <w:pStyle w:val="BodyText"/>
        <w:spacing w:before="11"/>
        <w:rPr>
          <w:sz w:val="19"/>
        </w:rPr>
      </w:pPr>
    </w:p>
    <w:p>
      <w:pPr>
        <w:pStyle w:val="Heading2"/>
        <w:rPr>
          <w:rFonts w:ascii="宋体" w:eastAsia="宋体" w:hint="eastAsia"/>
          <w:b w:val="0"/>
        </w:rPr>
      </w:pPr>
      <w:bookmarkStart w:name="_bookmark62" w:id="63"/>
      <w:bookmarkEnd w:id="63"/>
      <w:r>
        <w:rPr>
          <w:b w:val="0"/>
        </w:rPr>
      </w:r>
      <w:r>
        <w:rPr/>
        <w:t>（六）暂停估值的情形</w:t>
      </w:r>
      <w:r>
        <w:rPr>
          <w:rFonts w:ascii="宋体" w:eastAsia="宋体" w:hint="eastAsia"/>
          <w:b w:val="0"/>
        </w:rPr>
        <w:t> </w:t>
      </w:r>
    </w:p>
    <w:p>
      <w:pPr>
        <w:pStyle w:val="BodyText"/>
        <w:spacing w:before="4"/>
        <w:rPr>
          <w:sz w:val="37"/>
        </w:rPr>
      </w:pPr>
    </w:p>
    <w:p>
      <w:pPr>
        <w:pStyle w:val="BodyText"/>
        <w:ind w:left="538"/>
      </w:pPr>
      <w:r>
        <w:rPr/>
        <w:t>1、基金投资所涉及的证券交易所遇法定节假日或因其他原因暂停营业时； </w:t>
      </w:r>
    </w:p>
    <w:p>
      <w:pPr>
        <w:pStyle w:val="BodyText"/>
        <w:rPr>
          <w:sz w:val="20"/>
        </w:rPr>
      </w:pPr>
    </w:p>
    <w:p>
      <w:pPr>
        <w:pStyle w:val="BodyText"/>
        <w:spacing w:before="6"/>
        <w:rPr>
          <w:sz w:val="17"/>
        </w:rPr>
      </w:pPr>
    </w:p>
    <w:p>
      <w:pPr>
        <w:pStyle w:val="BodyText"/>
        <w:ind w:left="538"/>
      </w:pPr>
      <w:r>
        <w:rPr/>
        <w:t>2、因不可抗力或其他情形致使基金管理人、托管人无法准确评估基金资产价值时； </w:t>
      </w:r>
    </w:p>
    <w:p>
      <w:pPr>
        <w:spacing w:after="0"/>
        <w:sectPr>
          <w:pgSz w:w="11910" w:h="16850"/>
          <w:pgMar w:header="852" w:footer="1386" w:top="1420" w:bottom="1580" w:left="1680" w:right="1360"/>
        </w:sectPr>
      </w:pPr>
    </w:p>
    <w:p>
      <w:pPr>
        <w:pStyle w:val="BodyText"/>
        <w:spacing w:line="417" w:lineRule="auto" w:before="142"/>
        <w:ind w:left="538" w:right="433"/>
      </w:pPr>
      <w:r>
        <w:rPr/>
        <w:t>3、当前一估值日基金资产净值 50%以上的资产出现无可参考的活跃市场价格且采用估值技术仍导致公允价值存在重大不确定性时，经与基金托管人协商一致的； </w:t>
      </w:r>
    </w:p>
    <w:p>
      <w:pPr>
        <w:pStyle w:val="BodyText"/>
        <w:spacing w:before="100"/>
        <w:ind w:left="538"/>
      </w:pPr>
      <w:r>
        <w:rPr/>
        <w:t>4、中国证监会认定的其他情形。</w:t>
      </w:r>
    </w:p>
    <w:p>
      <w:pPr>
        <w:pStyle w:val="BodyText"/>
        <w:rPr>
          <w:sz w:val="20"/>
        </w:rPr>
      </w:pPr>
    </w:p>
    <w:p>
      <w:pPr>
        <w:pStyle w:val="BodyText"/>
        <w:spacing w:before="3"/>
        <w:rPr>
          <w:sz w:val="15"/>
        </w:rPr>
      </w:pPr>
    </w:p>
    <w:p>
      <w:pPr>
        <w:pStyle w:val="Heading2"/>
        <w:rPr>
          <w:rFonts w:ascii="宋体" w:eastAsia="宋体" w:hint="eastAsia"/>
          <w:b w:val="0"/>
        </w:rPr>
      </w:pPr>
      <w:bookmarkStart w:name="_bookmark63" w:id="64"/>
      <w:bookmarkEnd w:id="64"/>
      <w:r>
        <w:rPr>
          <w:b w:val="0"/>
        </w:rPr>
      </w:r>
      <w:r>
        <w:rPr/>
        <w:t>（七）估值错误的处理方式</w:t>
      </w:r>
      <w:r>
        <w:rPr>
          <w:rFonts w:ascii="宋体" w:eastAsia="宋体" w:hint="eastAsia"/>
          <w:b w:val="0"/>
        </w:rPr>
        <w:t> </w:t>
      </w:r>
    </w:p>
    <w:p>
      <w:pPr>
        <w:pStyle w:val="BodyText"/>
        <w:spacing w:before="6"/>
        <w:rPr>
          <w:sz w:val="37"/>
        </w:rPr>
      </w:pPr>
    </w:p>
    <w:p>
      <w:pPr>
        <w:pStyle w:val="BodyText"/>
        <w:spacing w:line="417" w:lineRule="auto" w:before="1"/>
        <w:ind w:left="118" w:right="433" w:firstLine="419"/>
        <w:jc w:val="both"/>
      </w:pPr>
      <w:r>
        <w:rPr/>
        <w:t>1</w:t>
      </w:r>
      <w:r>
        <w:rPr>
          <w:spacing w:val="-3"/>
        </w:rPr>
        <w:t>、基金管理人和基金托管人应采取必要、适当、合理的措施确保基金资产估值的准确性和及时性。当基金资产估值出现差错时，基金管理人应当予以纠正,尽快采取合理的措施</w:t>
      </w:r>
      <w:r>
        <w:rPr>
          <w:spacing w:val="-6"/>
        </w:rPr>
        <w:t>防止损失进一步扩大。当估值错误偏差达到或超过基金资产净值的 </w:t>
      </w:r>
      <w:r>
        <w:rPr/>
        <w:t>0.25</w:t>
      </w:r>
      <w:r>
        <w:rPr>
          <w:spacing w:val="-6"/>
        </w:rPr>
        <w:t>%时，基金管理人应</w:t>
      </w:r>
      <w:r>
        <w:rPr>
          <w:spacing w:val="-4"/>
        </w:rPr>
        <w:t>当报中国证监会备案；当估值错误偏差达到或超过基金资产净值的 </w:t>
      </w:r>
      <w:r>
        <w:rPr/>
        <w:t>0.5</w:t>
      </w:r>
      <w:r>
        <w:rPr>
          <w:spacing w:val="-2"/>
        </w:rPr>
        <w:t>%时，基金管理人应</w:t>
      </w:r>
      <w:r>
        <w:rPr>
          <w:spacing w:val="-3"/>
        </w:rPr>
        <w:t>当公告，并同时报中国证监会备案。</w:t>
      </w:r>
      <w:r>
        <w:rPr/>
        <w:t> </w:t>
      </w:r>
    </w:p>
    <w:p>
      <w:pPr>
        <w:pStyle w:val="BodyText"/>
        <w:spacing w:before="9"/>
      </w:pPr>
    </w:p>
    <w:p>
      <w:pPr>
        <w:pStyle w:val="BodyText"/>
        <w:spacing w:line="417" w:lineRule="auto"/>
        <w:ind w:left="118" w:right="433" w:firstLine="419"/>
        <w:jc w:val="both"/>
      </w:pPr>
      <w:r>
        <w:rPr/>
        <w:t>2</w:t>
      </w:r>
      <w:r>
        <w:rPr>
          <w:spacing w:val="-7"/>
        </w:rPr>
        <w:t>、基金管理人按上述</w:t>
      </w:r>
      <w:r>
        <w:rPr/>
        <w:t>（</w:t>
      </w:r>
      <w:r>
        <w:rPr>
          <w:spacing w:val="-3"/>
        </w:rPr>
        <w:t>四</w:t>
      </w:r>
      <w:r>
        <w:rPr>
          <w:spacing w:val="-20"/>
        </w:rPr>
        <w:t>）</w:t>
      </w:r>
      <w:r>
        <w:rPr>
          <w:spacing w:val="-8"/>
        </w:rPr>
        <w:t>估值方法的第 </w:t>
      </w:r>
      <w:r>
        <w:rPr/>
        <w:t>2</w:t>
      </w:r>
      <w:r>
        <w:rPr>
          <w:spacing w:val="-20"/>
        </w:rPr>
        <w:t>、</w:t>
      </w:r>
      <w:r>
        <w:rPr/>
        <w:t>3</w:t>
      </w:r>
      <w:r>
        <w:rPr>
          <w:spacing w:val="-9"/>
        </w:rPr>
        <w:t> 条方法进行计价时，所造成的误差不作</w:t>
      </w:r>
      <w:r>
        <w:rPr>
          <w:spacing w:val="-5"/>
        </w:rPr>
        <w:t>为基金资产估值错误处理； </w:t>
      </w:r>
    </w:p>
    <w:p>
      <w:pPr>
        <w:pStyle w:val="BodyText"/>
        <w:spacing w:before="11"/>
      </w:pPr>
    </w:p>
    <w:p>
      <w:pPr>
        <w:pStyle w:val="BodyText"/>
        <w:spacing w:line="417" w:lineRule="auto"/>
        <w:ind w:left="118" w:right="433" w:firstLine="419"/>
        <w:jc w:val="both"/>
      </w:pPr>
      <w:r>
        <w:rPr/>
        <w:t>3</w:t>
      </w:r>
      <w:r>
        <w:rPr>
          <w:spacing w:val="-3"/>
        </w:rPr>
        <w:t>、由于本基金所投资的各个市场及其登记结算机构发送的数据错误，或由于其他不可</w:t>
      </w:r>
      <w:r>
        <w:rPr>
          <w:spacing w:val="-10"/>
        </w:rPr>
        <w:t>抗力原因，基金管理人和基金托管人虽然已经采取必要、适当、合理的措施进行检查，但是</w:t>
      </w:r>
      <w:r>
        <w:rPr>
          <w:spacing w:val="-12"/>
        </w:rPr>
        <w:t>未能发现该错误的，由此造成的基金资产估值错误，基金管理人和基金托管人可以免除赔偿</w:t>
      </w:r>
      <w:r>
        <w:rPr>
          <w:spacing w:val="-6"/>
        </w:rPr>
        <w:t>责任。但基金管理人和基金托管人应当积极采取必要的措施消除由此造成的影响。</w:t>
      </w:r>
      <w:r>
        <w:rPr/>
        <w:t> </w:t>
      </w:r>
    </w:p>
    <w:p>
      <w:pPr>
        <w:pStyle w:val="BodyText"/>
        <w:spacing w:before="11"/>
      </w:pPr>
    </w:p>
    <w:p>
      <w:pPr>
        <w:pStyle w:val="BodyText"/>
        <w:spacing w:before="1"/>
        <w:ind w:left="538"/>
      </w:pPr>
      <w:r>
        <w:rPr/>
        <w:t>4、如果法律、法规、规章及中国证监会另有规定的，从其规定。</w:t>
      </w:r>
    </w:p>
    <w:p>
      <w:pPr>
        <w:spacing w:after="0"/>
        <w:sectPr>
          <w:pgSz w:w="11910" w:h="16850"/>
          <w:pgMar w:header="852" w:footer="1386" w:top="1420" w:bottom="1580" w:left="1680" w:right="1360"/>
        </w:sectPr>
      </w:pPr>
    </w:p>
    <w:p>
      <w:pPr>
        <w:pStyle w:val="Heading1"/>
        <w:ind w:left="2289"/>
      </w:pPr>
      <w:bookmarkStart w:name="_bookmark64" w:id="65"/>
      <w:bookmarkEnd w:id="65"/>
      <w:r>
        <w:rPr/>
      </w:r>
      <w:r>
        <w:rPr/>
        <w:t>十八、 基金的费用与税收</w:t>
      </w:r>
    </w:p>
    <w:p>
      <w:pPr>
        <w:pStyle w:val="BodyText"/>
        <w:spacing w:before="2"/>
        <w:rPr>
          <w:sz w:val="36"/>
        </w:rPr>
      </w:pPr>
    </w:p>
    <w:p>
      <w:pPr>
        <w:pStyle w:val="Heading2"/>
        <w:spacing w:before="1"/>
        <w:rPr>
          <w:rFonts w:ascii="宋体" w:eastAsia="宋体" w:hint="eastAsia"/>
          <w:b w:val="0"/>
        </w:rPr>
      </w:pPr>
      <w:bookmarkStart w:name="_bookmark65" w:id="66"/>
      <w:bookmarkEnd w:id="66"/>
      <w:r>
        <w:rPr>
          <w:b w:val="0"/>
        </w:rPr>
      </w:r>
      <w:r>
        <w:rPr/>
        <w:t>（一）基金费用的种类</w:t>
      </w:r>
      <w:r>
        <w:rPr>
          <w:rFonts w:ascii="宋体" w:eastAsia="宋体" w:hint="eastAsia"/>
          <w:b w:val="0"/>
        </w:rPr>
        <w:t> </w:t>
      </w:r>
    </w:p>
    <w:p>
      <w:pPr>
        <w:pStyle w:val="BodyText"/>
        <w:spacing w:before="3"/>
        <w:rPr>
          <w:sz w:val="37"/>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基金管理人的管理费；</w:t>
      </w:r>
      <w:r>
        <w:rPr>
          <w:sz w:val="21"/>
        </w:rPr>
        <w:t> </w:t>
      </w:r>
    </w:p>
    <w:p>
      <w:pPr>
        <w:pStyle w:val="BodyText"/>
        <w:spacing w:before="5"/>
        <w:rPr>
          <w:sz w:val="23"/>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基金托管人的托管费；</w:t>
      </w:r>
      <w:r>
        <w:rPr>
          <w:sz w:val="21"/>
        </w:rPr>
        <w:t> </w:t>
      </w:r>
    </w:p>
    <w:p>
      <w:pPr>
        <w:pStyle w:val="BodyText"/>
        <w:spacing w:before="3"/>
        <w:rPr>
          <w:sz w:val="23"/>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基金销售服务费；</w:t>
      </w:r>
      <w:r>
        <w:rPr>
          <w:sz w:val="21"/>
        </w:rPr>
        <w:t> </w:t>
      </w:r>
    </w:p>
    <w:p>
      <w:pPr>
        <w:pStyle w:val="BodyText"/>
        <w:spacing w:before="6"/>
        <w:rPr>
          <w:sz w:val="23"/>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基金合同生效后的信息披露费用；</w:t>
      </w:r>
      <w:r>
        <w:rPr>
          <w:sz w:val="21"/>
        </w:rPr>
        <w:t> </w:t>
      </w:r>
    </w:p>
    <w:p>
      <w:pPr>
        <w:pStyle w:val="BodyText"/>
        <w:spacing w:before="5"/>
        <w:rPr>
          <w:sz w:val="23"/>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基金份额持有人大会费用； </w:t>
      </w:r>
    </w:p>
    <w:p>
      <w:pPr>
        <w:pStyle w:val="BodyText"/>
        <w:spacing w:before="2"/>
        <w:rPr>
          <w:sz w:val="23"/>
        </w:rPr>
      </w:pPr>
    </w:p>
    <w:p>
      <w:pPr>
        <w:pStyle w:val="ListParagraph"/>
        <w:numPr>
          <w:ilvl w:val="0"/>
          <w:numId w:val="48"/>
        </w:numPr>
        <w:tabs>
          <w:tab w:pos="537" w:val="left" w:leader="none"/>
          <w:tab w:pos="538" w:val="left" w:leader="none"/>
        </w:tabs>
        <w:spacing w:line="240" w:lineRule="auto" w:before="0" w:after="0"/>
        <w:ind w:left="538" w:right="0" w:hanging="420"/>
        <w:jc w:val="left"/>
        <w:rPr>
          <w:sz w:val="21"/>
        </w:rPr>
      </w:pPr>
      <w:r>
        <w:rPr>
          <w:spacing w:val="-3"/>
          <w:sz w:val="21"/>
        </w:rPr>
        <w:t>基金合同生效后的与基金相关的会计师费和律师费； </w:t>
      </w:r>
    </w:p>
    <w:p>
      <w:pPr>
        <w:pStyle w:val="BodyText"/>
        <w:spacing w:before="5"/>
        <w:rPr>
          <w:sz w:val="23"/>
        </w:rPr>
      </w:pPr>
    </w:p>
    <w:p>
      <w:pPr>
        <w:pStyle w:val="ListParagraph"/>
        <w:numPr>
          <w:ilvl w:val="0"/>
          <w:numId w:val="48"/>
        </w:numPr>
        <w:tabs>
          <w:tab w:pos="537" w:val="left" w:leader="none"/>
          <w:tab w:pos="538" w:val="left" w:leader="none"/>
        </w:tabs>
        <w:spacing w:line="240" w:lineRule="auto" w:before="1" w:after="0"/>
        <w:ind w:left="538" w:right="0" w:hanging="420"/>
        <w:jc w:val="left"/>
        <w:rPr>
          <w:sz w:val="21"/>
        </w:rPr>
      </w:pPr>
      <w:r>
        <w:rPr>
          <w:spacing w:val="-3"/>
          <w:sz w:val="21"/>
        </w:rPr>
        <w:t>证券交易费用；</w:t>
      </w:r>
      <w:r>
        <w:rPr>
          <w:sz w:val="21"/>
        </w:rPr>
        <w:t> </w:t>
      </w:r>
    </w:p>
    <w:p>
      <w:pPr>
        <w:pStyle w:val="BodyText"/>
        <w:spacing w:before="4"/>
        <w:rPr>
          <w:sz w:val="23"/>
        </w:rPr>
      </w:pPr>
    </w:p>
    <w:p>
      <w:pPr>
        <w:pStyle w:val="ListParagraph"/>
        <w:numPr>
          <w:ilvl w:val="0"/>
          <w:numId w:val="48"/>
        </w:numPr>
        <w:tabs>
          <w:tab w:pos="537" w:val="left" w:leader="none"/>
          <w:tab w:pos="538" w:val="left" w:leader="none"/>
        </w:tabs>
        <w:spacing w:line="240" w:lineRule="auto" w:before="1" w:after="0"/>
        <w:ind w:left="538" w:right="0" w:hanging="420"/>
        <w:jc w:val="left"/>
        <w:rPr>
          <w:sz w:val="21"/>
        </w:rPr>
      </w:pPr>
      <w:r>
        <w:rPr>
          <w:sz w:val="21"/>
        </w:rPr>
        <w:t>E</w:t>
      </w:r>
      <w:r>
        <w:rPr>
          <w:spacing w:val="-9"/>
          <w:sz w:val="21"/>
        </w:rPr>
        <w:t> 类基金份额上市费用及上市年费</w:t>
      </w:r>
      <w:r>
        <w:rPr>
          <w:sz w:val="21"/>
        </w:rPr>
        <w:t> </w:t>
      </w:r>
    </w:p>
    <w:p>
      <w:pPr>
        <w:pStyle w:val="BodyText"/>
        <w:spacing w:before="2"/>
        <w:rPr>
          <w:sz w:val="23"/>
        </w:rPr>
      </w:pPr>
    </w:p>
    <w:p>
      <w:pPr>
        <w:pStyle w:val="ListParagraph"/>
        <w:numPr>
          <w:ilvl w:val="0"/>
          <w:numId w:val="48"/>
        </w:numPr>
        <w:tabs>
          <w:tab w:pos="537" w:val="left" w:leader="none"/>
          <w:tab w:pos="538" w:val="left" w:leader="none"/>
        </w:tabs>
        <w:spacing w:line="508" w:lineRule="auto" w:before="0" w:after="0"/>
        <w:ind w:left="576" w:right="2757" w:hanging="459"/>
        <w:jc w:val="left"/>
        <w:rPr>
          <w:sz w:val="21"/>
        </w:rPr>
      </w:pPr>
      <w:r>
        <w:rPr>
          <w:spacing w:val="-3"/>
          <w:sz w:val="21"/>
        </w:rPr>
        <w:t>按照国家有关规定和本基金合同规定可以列入的其他费用。法律法规另有规定时从其规定。</w:t>
      </w:r>
      <w:r>
        <w:rPr>
          <w:sz w:val="21"/>
        </w:rPr>
        <w:t> </w:t>
      </w:r>
    </w:p>
    <w:p>
      <w:pPr>
        <w:pStyle w:val="Heading2"/>
        <w:spacing w:before="118"/>
        <w:rPr>
          <w:rFonts w:ascii="宋体" w:eastAsia="宋体" w:hint="eastAsia"/>
          <w:b w:val="0"/>
        </w:rPr>
      </w:pPr>
      <w:bookmarkStart w:name="_bookmark66" w:id="67"/>
      <w:bookmarkEnd w:id="67"/>
      <w:r>
        <w:rPr>
          <w:b w:val="0"/>
        </w:rPr>
      </w:r>
      <w:r>
        <w:rPr/>
        <w:t>（二）基金费用计提方法、计提标准和支付方式</w:t>
      </w:r>
      <w:r>
        <w:rPr>
          <w:rFonts w:ascii="宋体" w:eastAsia="宋体" w:hint="eastAsia"/>
          <w:b w:val="0"/>
        </w:rPr>
        <w:t> </w:t>
      </w:r>
    </w:p>
    <w:p>
      <w:pPr>
        <w:pStyle w:val="BodyText"/>
        <w:spacing w:before="11"/>
        <w:rPr>
          <w:sz w:val="34"/>
        </w:rPr>
      </w:pPr>
    </w:p>
    <w:p>
      <w:pPr>
        <w:pStyle w:val="ListParagraph"/>
        <w:numPr>
          <w:ilvl w:val="0"/>
          <w:numId w:val="49"/>
        </w:numPr>
        <w:tabs>
          <w:tab w:pos="436" w:val="left" w:leader="none"/>
        </w:tabs>
        <w:spacing w:line="240" w:lineRule="auto" w:before="0" w:after="0"/>
        <w:ind w:left="435" w:right="0" w:hanging="318"/>
        <w:jc w:val="left"/>
        <w:rPr>
          <w:sz w:val="21"/>
        </w:rPr>
      </w:pPr>
      <w:r>
        <w:rPr>
          <w:spacing w:val="-3"/>
          <w:sz w:val="21"/>
        </w:rPr>
        <w:t>基金管理人的管理费</w:t>
      </w:r>
      <w:r>
        <w:rPr>
          <w:sz w:val="21"/>
        </w:rPr>
        <w:t> </w:t>
      </w:r>
    </w:p>
    <w:p>
      <w:pPr>
        <w:pStyle w:val="BodyText"/>
        <w:rPr>
          <w:sz w:val="20"/>
        </w:rPr>
      </w:pPr>
    </w:p>
    <w:p>
      <w:pPr>
        <w:pStyle w:val="BodyText"/>
        <w:spacing w:before="6"/>
        <w:rPr>
          <w:sz w:val="17"/>
        </w:rPr>
      </w:pPr>
    </w:p>
    <w:p>
      <w:pPr>
        <w:pStyle w:val="BodyText"/>
        <w:spacing w:line="417" w:lineRule="auto"/>
        <w:ind w:left="118" w:right="433" w:firstLine="419"/>
        <w:jc w:val="both"/>
      </w:pPr>
      <w:r>
        <w:rPr>
          <w:spacing w:val="-4"/>
        </w:rPr>
        <w:t>基金管理费按基金前一日的资产净值乘以 </w:t>
      </w:r>
      <w:r>
        <w:rPr>
          <w:rFonts w:ascii="Times New Roman" w:eastAsia="Times New Roman"/>
        </w:rPr>
        <w:t>0.33</w:t>
      </w:r>
      <w:r>
        <w:rPr>
          <w:spacing w:val="-11"/>
        </w:rPr>
        <w:t>％的管理费年费率来计算，具体计算方法如下：</w:t>
      </w:r>
    </w:p>
    <w:p>
      <w:pPr>
        <w:pStyle w:val="BodyText"/>
        <w:spacing w:before="12"/>
      </w:pPr>
    </w:p>
    <w:p>
      <w:pPr>
        <w:pStyle w:val="BodyText"/>
        <w:ind w:left="538"/>
      </w:pPr>
      <w:r>
        <w:rPr/>
        <w:t>每日应付的基金管理费</w:t>
      </w:r>
      <w:r>
        <w:rPr>
          <w:rFonts w:ascii="Times New Roman" w:hAnsi="Times New Roman" w:eastAsia="Times New Roman"/>
        </w:rPr>
        <w:t>=</w:t>
      </w:r>
      <w:r>
        <w:rPr/>
        <w:t>前一日该基金的资产净值</w:t>
      </w:r>
      <w:r>
        <w:rPr>
          <w:rFonts w:ascii="Times New Roman" w:hAnsi="Times New Roman" w:eastAsia="Times New Roman"/>
        </w:rPr>
        <w:t>×</w:t>
      </w:r>
      <w:r>
        <w:rPr/>
        <w:t>年管理费率</w:t>
      </w:r>
      <w:r>
        <w:rPr>
          <w:rFonts w:ascii="Times New Roman" w:hAnsi="Times New Roman" w:eastAsia="Times New Roman"/>
        </w:rPr>
        <w:t>÷</w:t>
      </w:r>
      <w:r>
        <w:rPr/>
        <w:t>当年天数</w:t>
      </w:r>
    </w:p>
    <w:p>
      <w:pPr>
        <w:pStyle w:val="BodyText"/>
        <w:rPr>
          <w:sz w:val="22"/>
        </w:rPr>
      </w:pPr>
    </w:p>
    <w:p>
      <w:pPr>
        <w:pStyle w:val="BodyText"/>
        <w:spacing w:line="417" w:lineRule="auto" w:before="195"/>
        <w:ind w:left="118" w:right="433" w:firstLine="419"/>
        <w:jc w:val="both"/>
      </w:pPr>
      <w:r>
        <w:rPr>
          <w:spacing w:val="-9"/>
        </w:rPr>
        <w:t>基金管理费每日计算，逐日累计至每个月月末，按月支付，由基金管理人向基金托管人</w:t>
      </w:r>
      <w:r>
        <w:rPr>
          <w:spacing w:val="-12"/>
        </w:rPr>
        <w:t>发送基金管理费划付指令，基金托管人复核后于次月的前两个工作日内从基金资产中一次性</w:t>
      </w:r>
      <w:r>
        <w:rPr>
          <w:spacing w:val="-6"/>
        </w:rPr>
        <w:t>支付给基金管理人。</w:t>
      </w:r>
      <w:r>
        <w:rPr/>
        <w:t> </w:t>
      </w:r>
    </w:p>
    <w:p>
      <w:pPr>
        <w:pStyle w:val="BodyText"/>
        <w:spacing w:before="11"/>
      </w:pPr>
    </w:p>
    <w:p>
      <w:pPr>
        <w:pStyle w:val="ListParagraph"/>
        <w:numPr>
          <w:ilvl w:val="0"/>
          <w:numId w:val="49"/>
        </w:numPr>
        <w:tabs>
          <w:tab w:pos="436" w:val="left" w:leader="none"/>
        </w:tabs>
        <w:spacing w:line="240" w:lineRule="auto" w:before="1" w:after="0"/>
        <w:ind w:left="435" w:right="0" w:hanging="318"/>
        <w:jc w:val="left"/>
        <w:rPr>
          <w:sz w:val="21"/>
        </w:rPr>
      </w:pPr>
      <w:r>
        <w:rPr>
          <w:spacing w:val="-3"/>
          <w:sz w:val="21"/>
        </w:rPr>
        <w:t>基金托管人的托管费</w:t>
      </w:r>
      <w:r>
        <w:rPr>
          <w:sz w:val="21"/>
        </w:rPr>
        <w:t> </w:t>
      </w:r>
    </w:p>
    <w:p>
      <w:pPr>
        <w:spacing w:after="0" w:line="240" w:lineRule="auto"/>
        <w:jc w:val="left"/>
        <w:rPr>
          <w:sz w:val="21"/>
        </w:rPr>
        <w:sectPr>
          <w:pgSz w:w="11910" w:h="16850"/>
          <w:pgMar w:header="852" w:footer="1386" w:top="1420" w:bottom="1580" w:left="1680" w:right="1360"/>
        </w:sectPr>
      </w:pPr>
    </w:p>
    <w:p>
      <w:pPr>
        <w:pStyle w:val="BodyText"/>
        <w:spacing w:line="417" w:lineRule="auto" w:before="142"/>
        <w:ind w:left="118" w:right="433" w:firstLine="419"/>
        <w:jc w:val="both"/>
      </w:pPr>
      <w:r>
        <w:rPr>
          <w:spacing w:val="-4"/>
        </w:rPr>
        <w:t>本基金的托管费按该基金前一日资产净值乘以 </w:t>
      </w:r>
      <w:r>
        <w:rPr>
          <w:rFonts w:ascii="Times New Roman" w:eastAsia="Times New Roman"/>
        </w:rPr>
        <w:t>0.10%</w:t>
      </w:r>
      <w:r>
        <w:rPr>
          <w:spacing w:val="-9"/>
        </w:rPr>
        <w:t>的托管费年费率来计算。计算方法如下：</w:t>
      </w:r>
    </w:p>
    <w:p>
      <w:pPr>
        <w:pStyle w:val="BodyText"/>
        <w:spacing w:before="11"/>
      </w:pPr>
    </w:p>
    <w:p>
      <w:pPr>
        <w:pStyle w:val="BodyText"/>
        <w:ind w:left="538"/>
      </w:pPr>
      <w:r>
        <w:rPr/>
        <w:t>每日应支付的基金托管费</w:t>
      </w:r>
      <w:r>
        <w:rPr>
          <w:rFonts w:ascii="Times New Roman" w:hAnsi="Times New Roman" w:eastAsia="Times New Roman"/>
        </w:rPr>
        <w:t>=</w:t>
      </w:r>
      <w:r>
        <w:rPr/>
        <w:t>前一日该基金资产净值</w:t>
      </w:r>
      <w:r>
        <w:rPr>
          <w:rFonts w:ascii="Times New Roman" w:hAnsi="Times New Roman" w:eastAsia="Times New Roman"/>
        </w:rPr>
        <w:t>×</w:t>
      </w:r>
      <w:r>
        <w:rPr/>
        <w:t>年托管费率</w:t>
      </w:r>
      <w:r>
        <w:rPr>
          <w:rFonts w:ascii="Times New Roman" w:hAnsi="Times New Roman" w:eastAsia="Times New Roman"/>
        </w:rPr>
        <w:t>÷</w:t>
      </w:r>
      <w:r>
        <w:rPr/>
        <w:t>当年天数</w:t>
      </w:r>
    </w:p>
    <w:p>
      <w:pPr>
        <w:pStyle w:val="BodyText"/>
        <w:rPr>
          <w:sz w:val="22"/>
        </w:rPr>
      </w:pPr>
    </w:p>
    <w:p>
      <w:pPr>
        <w:pStyle w:val="BodyText"/>
        <w:spacing w:line="417" w:lineRule="auto" w:before="195"/>
        <w:ind w:left="118" w:right="433" w:firstLine="419"/>
        <w:jc w:val="both"/>
      </w:pPr>
      <w:r>
        <w:rPr>
          <w:spacing w:val="-9"/>
        </w:rPr>
        <w:t>基金托管费每日计算，逐日累计至每个月月末，按月支付。由基金管理人向基金托管人</w:t>
      </w:r>
      <w:r>
        <w:rPr>
          <w:spacing w:val="-12"/>
        </w:rPr>
        <w:t>发送基金托管费划付指令，基金托管人复核后于次月的前两个工作日内从基金资产中一次性</w:t>
      </w:r>
      <w:r>
        <w:rPr>
          <w:spacing w:val="-6"/>
        </w:rPr>
        <w:t>支付给基金托管人。</w:t>
      </w:r>
      <w:r>
        <w:rPr/>
        <w:t> </w:t>
      </w:r>
    </w:p>
    <w:p>
      <w:pPr>
        <w:pStyle w:val="ListParagraph"/>
        <w:numPr>
          <w:ilvl w:val="0"/>
          <w:numId w:val="49"/>
        </w:numPr>
        <w:tabs>
          <w:tab w:pos="436" w:val="left" w:leader="none"/>
        </w:tabs>
        <w:spacing w:line="240" w:lineRule="auto" w:before="101" w:after="0"/>
        <w:ind w:left="435" w:right="0" w:hanging="318"/>
        <w:jc w:val="left"/>
        <w:rPr>
          <w:sz w:val="21"/>
        </w:rPr>
      </w:pPr>
      <w:r>
        <w:rPr>
          <w:spacing w:val="-3"/>
          <w:sz w:val="21"/>
        </w:rPr>
        <w:t>基金的销售服务费</w:t>
      </w:r>
      <w:r>
        <w:rPr>
          <w:sz w:val="21"/>
        </w:rPr>
        <w:t> </w:t>
      </w:r>
    </w:p>
    <w:p>
      <w:pPr>
        <w:pStyle w:val="BodyText"/>
        <w:rPr>
          <w:sz w:val="20"/>
        </w:rPr>
      </w:pPr>
    </w:p>
    <w:p>
      <w:pPr>
        <w:pStyle w:val="BodyText"/>
        <w:spacing w:before="6"/>
        <w:rPr>
          <w:sz w:val="17"/>
        </w:rPr>
      </w:pPr>
    </w:p>
    <w:p>
      <w:pPr>
        <w:pStyle w:val="BodyText"/>
        <w:spacing w:line="417" w:lineRule="auto"/>
        <w:ind w:left="118" w:right="433" w:firstLine="419"/>
      </w:pPr>
      <w:r>
        <w:rPr>
          <w:spacing w:val="-7"/>
        </w:rPr>
        <w:t>基金销售服务费用于支付销售机构佣金以及本基金的市场推广、销售、服务等活动。各</w:t>
      </w:r>
      <w:r>
        <w:rPr>
          <w:spacing w:val="-5"/>
        </w:rPr>
        <w:t>类基金份额的销售服务费计提的计算方法如下：</w:t>
      </w:r>
    </w:p>
    <w:p>
      <w:pPr>
        <w:pStyle w:val="BodyText"/>
        <w:spacing w:before="9"/>
      </w:pPr>
    </w:p>
    <w:p>
      <w:pPr>
        <w:pStyle w:val="BodyText"/>
        <w:spacing w:line="417" w:lineRule="auto"/>
        <w:ind w:left="118" w:right="433" w:firstLine="419"/>
      </w:pPr>
      <w:r>
        <w:rPr/>
        <w:t>每日应支付的各类基金销售服务费</w:t>
      </w:r>
      <w:r>
        <w:rPr>
          <w:rFonts w:ascii="Times New Roman" w:hAnsi="Times New Roman" w:eastAsia="Times New Roman"/>
        </w:rPr>
        <w:t>=</w:t>
      </w:r>
      <w:r>
        <w:rPr/>
        <w:t>前一日该类基金资产净值</w:t>
      </w:r>
      <w:r>
        <w:rPr>
          <w:rFonts w:ascii="Times New Roman" w:hAnsi="Times New Roman" w:eastAsia="Times New Roman"/>
        </w:rPr>
        <w:t>×</w:t>
      </w:r>
      <w:r>
        <w:rPr/>
        <w:t>该类基金份额的年销售服务费年费率</w:t>
      </w:r>
      <w:r>
        <w:rPr>
          <w:rFonts w:ascii="Times New Roman" w:hAnsi="Times New Roman" w:eastAsia="Times New Roman"/>
        </w:rPr>
        <w:t>÷</w:t>
      </w:r>
      <w:r>
        <w:rPr/>
        <w:t>当年天数</w:t>
      </w:r>
    </w:p>
    <w:p>
      <w:pPr>
        <w:pStyle w:val="BodyText"/>
        <w:spacing w:before="11"/>
      </w:pPr>
    </w:p>
    <w:p>
      <w:pPr>
        <w:pStyle w:val="BodyText"/>
        <w:spacing w:line="417" w:lineRule="auto"/>
        <w:ind w:left="118" w:right="355" w:firstLine="419"/>
      </w:pPr>
      <w:r>
        <w:rPr/>
        <w:t>本基金 </w:t>
      </w:r>
      <w:r>
        <w:rPr>
          <w:rFonts w:ascii="Times New Roman" w:eastAsia="Times New Roman"/>
        </w:rPr>
        <w:t>A </w:t>
      </w:r>
      <w:r>
        <w:rPr/>
        <w:t>类基金份额的销售服务费年费率为 </w:t>
      </w:r>
      <w:r>
        <w:rPr>
          <w:rFonts w:ascii="Times New Roman" w:eastAsia="Times New Roman"/>
        </w:rPr>
        <w:t>0.25%</w:t>
      </w:r>
      <w:r>
        <w:rPr/>
        <w:t>；本基金 </w:t>
      </w:r>
      <w:r>
        <w:rPr>
          <w:rFonts w:ascii="Times New Roman" w:eastAsia="Times New Roman"/>
        </w:rPr>
        <w:t>B </w:t>
      </w:r>
      <w:r>
        <w:rPr/>
        <w:t>类基金份额的销售服务费年费率为 </w:t>
      </w:r>
      <w:r>
        <w:rPr>
          <w:rFonts w:ascii="Times New Roman" w:eastAsia="Times New Roman"/>
        </w:rPr>
        <w:t>0.01%</w:t>
      </w:r>
      <w:r>
        <w:rPr/>
        <w:t>；本基金 </w:t>
      </w:r>
      <w:r>
        <w:rPr>
          <w:rFonts w:ascii="Times New Roman" w:eastAsia="Times New Roman"/>
        </w:rPr>
        <w:t>E </w:t>
      </w:r>
      <w:r>
        <w:rPr/>
        <w:t>类基金份额的销售服务费年费率为 </w:t>
      </w:r>
      <w:r>
        <w:rPr>
          <w:rFonts w:ascii="Times New Roman" w:eastAsia="Times New Roman"/>
        </w:rPr>
        <w:t>0.25%</w:t>
      </w:r>
      <w:r>
        <w:rPr/>
        <w:t>。</w:t>
      </w:r>
    </w:p>
    <w:p>
      <w:pPr>
        <w:pStyle w:val="BodyText"/>
        <w:spacing w:before="12"/>
      </w:pPr>
    </w:p>
    <w:p>
      <w:pPr>
        <w:pStyle w:val="BodyText"/>
        <w:spacing w:line="417" w:lineRule="auto"/>
        <w:ind w:left="118" w:right="433" w:firstLine="419"/>
        <w:jc w:val="both"/>
      </w:pPr>
      <w:r>
        <w:rPr>
          <w:spacing w:val="-9"/>
        </w:rPr>
        <w:t>基金销售服务费每日计算，逐日累计至每个月月末，按月支付，由基金管理人向基金托</w:t>
      </w:r>
      <w:r>
        <w:rPr>
          <w:spacing w:val="-11"/>
        </w:rPr>
        <w:t>管人发送基金销售服务费划付指令，基金托管人复核后于次月的前两个工作日内从基金资产</w:t>
      </w:r>
      <w:r>
        <w:rPr>
          <w:spacing w:val="-6"/>
        </w:rPr>
        <w:t>中一次性支付给基金销售机构。</w:t>
      </w:r>
    </w:p>
    <w:p>
      <w:pPr>
        <w:pStyle w:val="BodyText"/>
        <w:spacing w:before="9"/>
      </w:pPr>
    </w:p>
    <w:p>
      <w:pPr>
        <w:pStyle w:val="ListParagraph"/>
        <w:numPr>
          <w:ilvl w:val="0"/>
          <w:numId w:val="49"/>
        </w:numPr>
        <w:tabs>
          <w:tab w:pos="856" w:val="left" w:leader="none"/>
        </w:tabs>
        <w:spacing w:line="417" w:lineRule="auto" w:before="0" w:after="0"/>
        <w:ind w:left="118" w:right="433" w:firstLine="419"/>
        <w:jc w:val="both"/>
        <w:rPr>
          <w:sz w:val="21"/>
        </w:rPr>
      </w:pPr>
      <w:r>
        <w:rPr>
          <w:spacing w:val="-2"/>
          <w:sz w:val="21"/>
        </w:rPr>
        <w:t>上述</w:t>
      </w:r>
      <w:r>
        <w:rPr>
          <w:sz w:val="21"/>
        </w:rPr>
        <w:t>（一</w:t>
      </w:r>
      <w:r>
        <w:rPr>
          <w:spacing w:val="-3"/>
          <w:sz w:val="21"/>
        </w:rPr>
        <w:t>）</w:t>
      </w:r>
      <w:r>
        <w:rPr>
          <w:spacing w:val="-2"/>
          <w:sz w:val="21"/>
        </w:rPr>
        <w:t>基金费用的种类中</w:t>
      </w:r>
      <w:r>
        <w:rPr>
          <w:spacing w:val="-3"/>
          <w:sz w:val="21"/>
        </w:rPr>
        <w:t>4</w:t>
      </w:r>
      <w:r>
        <w:rPr>
          <w:sz w:val="21"/>
        </w:rPr>
        <w:t>至7</w:t>
      </w:r>
      <w:r>
        <w:rPr>
          <w:spacing w:val="-3"/>
          <w:sz w:val="21"/>
        </w:rPr>
        <w:t>项费用由基金托管人根据有关法规及相应协议的规定，按费用实际支出金额支付，列入当期基金费用。上述</w:t>
      </w:r>
      <w:r>
        <w:rPr>
          <w:sz w:val="21"/>
        </w:rPr>
        <w:t>（</w:t>
      </w:r>
      <w:r>
        <w:rPr>
          <w:spacing w:val="-3"/>
          <w:sz w:val="21"/>
        </w:rPr>
        <w:t>一</w:t>
      </w:r>
      <w:r>
        <w:rPr>
          <w:sz w:val="21"/>
        </w:rPr>
        <w:t>）</w:t>
      </w:r>
      <w:r>
        <w:rPr>
          <w:spacing w:val="-3"/>
          <w:sz w:val="21"/>
        </w:rPr>
        <w:t>基金费用的种类中第</w:t>
      </w:r>
      <w:r>
        <w:rPr>
          <w:rFonts w:ascii="Times New Roman" w:eastAsia="Times New Roman"/>
          <w:sz w:val="21"/>
        </w:rPr>
        <w:t>8</w:t>
      </w:r>
      <w:r>
        <w:rPr>
          <w:sz w:val="21"/>
        </w:rPr>
        <w:t>项</w:t>
      </w:r>
      <w:r>
        <w:rPr>
          <w:spacing w:val="-5"/>
          <w:sz w:val="21"/>
        </w:rPr>
        <w:t>费用由基金托管人根据有关法律及相应协议的规定，按费用实际支出支付，由</w:t>
      </w:r>
      <w:r>
        <w:rPr>
          <w:rFonts w:ascii="Times New Roman" w:eastAsia="Times New Roman"/>
          <w:sz w:val="21"/>
        </w:rPr>
        <w:t>E</w:t>
      </w:r>
      <w:r>
        <w:rPr>
          <w:spacing w:val="-3"/>
          <w:sz w:val="21"/>
        </w:rPr>
        <w:t>类基金份额持有人承担，列入当期基金费用。</w:t>
      </w:r>
      <w:r>
        <w:rPr>
          <w:sz w:val="21"/>
        </w:rPr>
        <w:t> </w:t>
      </w:r>
    </w:p>
    <w:p>
      <w:pPr>
        <w:pStyle w:val="BodyText"/>
        <w:spacing w:before="4"/>
        <w:rPr>
          <w:sz w:val="17"/>
        </w:rPr>
      </w:pPr>
    </w:p>
    <w:p>
      <w:pPr>
        <w:pStyle w:val="Heading2"/>
        <w:rPr>
          <w:rFonts w:ascii="宋体" w:eastAsia="宋体" w:hint="eastAsia"/>
          <w:b w:val="0"/>
        </w:rPr>
      </w:pPr>
      <w:bookmarkStart w:name="_bookmark67" w:id="68"/>
      <w:bookmarkEnd w:id="68"/>
      <w:r>
        <w:rPr>
          <w:b w:val="0"/>
        </w:rPr>
      </w:r>
      <w:r>
        <w:rPr/>
        <w:t>（三）不列入基金费用的项目</w:t>
      </w:r>
      <w:r>
        <w:rPr>
          <w:rFonts w:ascii="宋体" w:eastAsia="宋体" w:hint="eastAsia"/>
          <w:b w:val="0"/>
        </w:rPr>
        <w:t> </w:t>
      </w:r>
    </w:p>
    <w:p>
      <w:pPr>
        <w:pStyle w:val="BodyText"/>
        <w:rPr>
          <w:sz w:val="35"/>
        </w:rPr>
      </w:pPr>
    </w:p>
    <w:p>
      <w:pPr>
        <w:pStyle w:val="BodyText"/>
        <w:spacing w:line="417" w:lineRule="auto"/>
        <w:ind w:left="118" w:right="437" w:firstLine="419"/>
      </w:pPr>
      <w:r>
        <w:rPr/>
        <w:t>基金管理人和基金托管人因未履行或未完全履行义务导致的费用支出或基金资产的损失，以及处理与基金运作无关的事项发生的费用等不列入基金费用。 </w:t>
      </w:r>
    </w:p>
    <w:p>
      <w:pPr>
        <w:spacing w:after="0" w:line="417" w:lineRule="auto"/>
        <w:sectPr>
          <w:pgSz w:w="11910" w:h="16850"/>
          <w:pgMar w:header="852" w:footer="1386" w:top="1420" w:bottom="1580" w:left="1680" w:right="1360"/>
        </w:sectPr>
      </w:pPr>
    </w:p>
    <w:p>
      <w:pPr>
        <w:pStyle w:val="BodyText"/>
        <w:spacing w:before="11"/>
        <w:rPr>
          <w:sz w:val="8"/>
        </w:rPr>
      </w:pPr>
    </w:p>
    <w:p>
      <w:pPr>
        <w:pStyle w:val="Heading2"/>
        <w:spacing w:line="484" w:lineRule="exact"/>
        <w:rPr>
          <w:rFonts w:ascii="宋体" w:eastAsia="宋体" w:hint="eastAsia"/>
          <w:b w:val="0"/>
        </w:rPr>
      </w:pPr>
      <w:bookmarkStart w:name="_bookmark68" w:id="69"/>
      <w:bookmarkEnd w:id="69"/>
      <w:r>
        <w:rPr>
          <w:b w:val="0"/>
        </w:rPr>
      </w:r>
      <w:r>
        <w:rPr/>
        <w:t>（四）基金费用的调整</w:t>
      </w:r>
      <w:r>
        <w:rPr>
          <w:rFonts w:ascii="宋体" w:eastAsia="宋体" w:hint="eastAsia"/>
          <w:b w:val="0"/>
        </w:rPr>
        <w:t> </w:t>
      </w:r>
    </w:p>
    <w:p>
      <w:pPr>
        <w:pStyle w:val="BodyText"/>
        <w:rPr>
          <w:sz w:val="35"/>
        </w:rPr>
      </w:pPr>
    </w:p>
    <w:p>
      <w:pPr>
        <w:pStyle w:val="BodyText"/>
        <w:spacing w:line="417" w:lineRule="auto"/>
        <w:ind w:left="118" w:right="433" w:firstLine="458"/>
      </w:pPr>
      <w:r>
        <w:rPr>
          <w:spacing w:val="-8"/>
        </w:rPr>
        <w:t>基金管理人和基金托管人可磋商酌情调低基金管理费、托管费和销售服务费，并按规定</w:t>
      </w:r>
      <w:r>
        <w:rPr>
          <w:spacing w:val="-5"/>
        </w:rPr>
        <w:t>公告。此项调整不需要基金份额持有人大会决议通过。</w:t>
      </w:r>
      <w:r>
        <w:rPr/>
        <w:t> </w:t>
      </w:r>
    </w:p>
    <w:p>
      <w:pPr>
        <w:pStyle w:val="BodyText"/>
        <w:spacing w:before="1"/>
        <w:rPr>
          <w:sz w:val="17"/>
        </w:rPr>
      </w:pPr>
    </w:p>
    <w:p>
      <w:pPr>
        <w:pStyle w:val="Heading2"/>
        <w:rPr>
          <w:rFonts w:ascii="宋体" w:eastAsia="宋体" w:hint="eastAsia"/>
          <w:b w:val="0"/>
        </w:rPr>
      </w:pPr>
      <w:bookmarkStart w:name="_bookmark69" w:id="70"/>
      <w:bookmarkEnd w:id="70"/>
      <w:r>
        <w:rPr>
          <w:b w:val="0"/>
        </w:rPr>
      </w:r>
      <w:r>
        <w:rPr/>
        <w:t>（五）基金税收</w:t>
      </w:r>
      <w:r>
        <w:rPr>
          <w:rFonts w:ascii="宋体" w:eastAsia="宋体" w:hint="eastAsia"/>
          <w:b w:val="0"/>
        </w:rPr>
        <w:t> </w:t>
      </w:r>
    </w:p>
    <w:p>
      <w:pPr>
        <w:pStyle w:val="BodyText"/>
        <w:spacing w:before="1"/>
        <w:rPr>
          <w:sz w:val="35"/>
        </w:rPr>
      </w:pPr>
    </w:p>
    <w:p>
      <w:pPr>
        <w:pStyle w:val="BodyText"/>
        <w:ind w:left="598"/>
      </w:pPr>
      <w:r>
        <w:rPr/>
        <w:t>本基金运作过程中涉及的各纳税主体，应按国家税收法律、法规履行其纳税义务。 </w:t>
      </w:r>
    </w:p>
    <w:p>
      <w:pPr>
        <w:pStyle w:val="BodyText"/>
        <w:rPr>
          <w:sz w:val="20"/>
        </w:rPr>
      </w:pPr>
    </w:p>
    <w:p>
      <w:pPr>
        <w:pStyle w:val="BodyText"/>
        <w:spacing w:before="6"/>
        <w:rPr>
          <w:sz w:val="17"/>
        </w:rPr>
      </w:pPr>
    </w:p>
    <w:p>
      <w:pPr>
        <w:pStyle w:val="BodyText"/>
        <w:ind w:left="598"/>
      </w:pPr>
      <w:r>
        <w:rPr>
          <w:w w:val="100"/>
        </w:rPr>
        <w:t> </w:t>
      </w:r>
    </w:p>
    <w:p>
      <w:pPr>
        <w:spacing w:after="0"/>
        <w:sectPr>
          <w:pgSz w:w="11910" w:h="16850"/>
          <w:pgMar w:header="852" w:footer="1386" w:top="1420" w:bottom="1580" w:left="1680" w:right="1360"/>
        </w:sectPr>
      </w:pPr>
    </w:p>
    <w:p>
      <w:pPr>
        <w:pStyle w:val="Heading1"/>
        <w:ind w:left="2289"/>
      </w:pPr>
      <w:bookmarkStart w:name="_bookmark70" w:id="71"/>
      <w:bookmarkEnd w:id="71"/>
      <w:r>
        <w:rPr/>
      </w:r>
      <w:r>
        <w:rPr/>
        <w:t>十九、 基金的收益与分配</w:t>
      </w:r>
    </w:p>
    <w:p>
      <w:pPr>
        <w:pStyle w:val="BodyText"/>
        <w:spacing w:before="2"/>
        <w:rPr>
          <w:sz w:val="36"/>
        </w:rPr>
      </w:pPr>
    </w:p>
    <w:p>
      <w:pPr>
        <w:pStyle w:val="Heading2"/>
        <w:spacing w:before="1"/>
        <w:rPr>
          <w:rFonts w:ascii="宋体" w:eastAsia="宋体" w:hint="eastAsia"/>
          <w:b w:val="0"/>
        </w:rPr>
      </w:pPr>
      <w:bookmarkStart w:name="_bookmark71" w:id="72"/>
      <w:bookmarkEnd w:id="72"/>
      <w:r>
        <w:rPr>
          <w:b w:val="0"/>
        </w:rPr>
      </w:r>
      <w:r>
        <w:rPr/>
        <w:t>（一）基金利润的构成</w:t>
      </w:r>
      <w:r>
        <w:rPr>
          <w:rFonts w:ascii="宋体" w:eastAsia="宋体" w:hint="eastAsia"/>
          <w:b w:val="0"/>
        </w:rPr>
        <w:t> </w:t>
      </w:r>
    </w:p>
    <w:p>
      <w:pPr>
        <w:pStyle w:val="BodyText"/>
        <w:spacing w:before="3"/>
        <w:rPr>
          <w:sz w:val="37"/>
        </w:rPr>
      </w:pPr>
    </w:p>
    <w:p>
      <w:pPr>
        <w:pStyle w:val="BodyText"/>
        <w:spacing w:line="417" w:lineRule="auto"/>
        <w:ind w:left="118" w:right="434" w:firstLine="419"/>
      </w:pPr>
      <w:r>
        <w:rPr>
          <w:spacing w:val="-10"/>
        </w:rPr>
        <w:t>基金利润指基金利息收入、投资收益、公允价值变动收益和其他收入扣除相关费用后的</w:t>
      </w:r>
      <w:r>
        <w:rPr>
          <w:spacing w:val="-5"/>
        </w:rPr>
        <w:t>余额；基金已实现收益指基金利润减去公允价值变动损益后的余额。</w:t>
      </w:r>
    </w:p>
    <w:p>
      <w:pPr>
        <w:pStyle w:val="BodyText"/>
        <w:spacing w:before="12"/>
        <w:rPr>
          <w:sz w:val="19"/>
        </w:rPr>
      </w:pPr>
    </w:p>
    <w:p>
      <w:pPr>
        <w:pStyle w:val="Heading2"/>
        <w:rPr>
          <w:rFonts w:ascii="宋体" w:eastAsia="宋体" w:hint="eastAsia"/>
          <w:b w:val="0"/>
        </w:rPr>
      </w:pPr>
      <w:bookmarkStart w:name="_bookmark72" w:id="73"/>
      <w:bookmarkEnd w:id="73"/>
      <w:r>
        <w:rPr>
          <w:b w:val="0"/>
        </w:rPr>
      </w:r>
      <w:r>
        <w:rPr/>
        <w:t>（二）收益分配原则</w:t>
      </w:r>
      <w:r>
        <w:rPr>
          <w:rFonts w:ascii="宋体" w:eastAsia="宋体" w:hint="eastAsia"/>
          <w:b w:val="0"/>
        </w:rPr>
        <w:t> </w:t>
      </w:r>
    </w:p>
    <w:p>
      <w:pPr>
        <w:pStyle w:val="BodyText"/>
        <w:spacing w:before="4"/>
        <w:rPr>
          <w:sz w:val="37"/>
        </w:rPr>
      </w:pPr>
    </w:p>
    <w:p>
      <w:pPr>
        <w:pStyle w:val="ListParagraph"/>
        <w:numPr>
          <w:ilvl w:val="0"/>
          <w:numId w:val="50"/>
        </w:numPr>
        <w:tabs>
          <w:tab w:pos="856" w:val="left" w:leader="none"/>
        </w:tabs>
        <w:spacing w:line="417" w:lineRule="auto" w:before="0" w:after="0"/>
        <w:ind w:left="118" w:right="433" w:firstLine="419"/>
        <w:jc w:val="both"/>
        <w:rPr>
          <w:rFonts w:ascii="Times New Roman" w:eastAsia="Times New Roman"/>
          <w:sz w:val="19"/>
        </w:rPr>
      </w:pPr>
      <w:r>
        <w:rPr>
          <w:spacing w:val="-10"/>
          <w:sz w:val="21"/>
        </w:rPr>
        <w:t>本基金每日将 </w:t>
      </w:r>
      <w:r>
        <w:rPr>
          <w:rFonts w:ascii="Times New Roman" w:eastAsia="Times New Roman"/>
          <w:sz w:val="21"/>
        </w:rPr>
        <w:t>A</w:t>
      </w:r>
      <w:r>
        <w:rPr>
          <w:rFonts w:ascii="Times New Roman" w:eastAsia="Times New Roman"/>
          <w:spacing w:val="8"/>
          <w:sz w:val="21"/>
        </w:rPr>
        <w:t> </w:t>
      </w:r>
      <w:r>
        <w:rPr>
          <w:spacing w:val="6"/>
          <w:sz w:val="21"/>
        </w:rPr>
        <w:t>类基金份额和</w:t>
      </w:r>
      <w:r>
        <w:rPr>
          <w:rFonts w:ascii="Times New Roman" w:eastAsia="Times New Roman"/>
          <w:sz w:val="21"/>
        </w:rPr>
        <w:t>B</w:t>
      </w:r>
      <w:r>
        <w:rPr>
          <w:rFonts w:ascii="Times New Roman" w:eastAsia="Times New Roman"/>
          <w:spacing w:val="5"/>
          <w:sz w:val="21"/>
        </w:rPr>
        <w:t> </w:t>
      </w:r>
      <w:r>
        <w:rPr>
          <w:spacing w:val="-3"/>
          <w:sz w:val="21"/>
        </w:rPr>
        <w:t>类份额的基金已实现收益分配给相应的基金份额</w:t>
      </w:r>
      <w:r>
        <w:rPr>
          <w:spacing w:val="-9"/>
          <w:sz w:val="21"/>
        </w:rPr>
        <w:t>持有人</w:t>
      </w:r>
      <w:r>
        <w:rPr>
          <w:spacing w:val="-3"/>
          <w:sz w:val="21"/>
        </w:rPr>
        <w:t>（该收益将于下一工作日会计确认为实收基金</w:t>
      </w:r>
      <w:r>
        <w:rPr>
          <w:spacing w:val="-108"/>
          <w:sz w:val="21"/>
        </w:rPr>
        <w:t>）</w:t>
      </w:r>
      <w:r>
        <w:rPr>
          <w:spacing w:val="-10"/>
          <w:sz w:val="21"/>
        </w:rPr>
        <w:t>。通常情况下，本基金每月 </w:t>
      </w:r>
      <w:r>
        <w:rPr>
          <w:rFonts w:ascii="Times New Roman" w:eastAsia="Times New Roman"/>
          <w:sz w:val="21"/>
        </w:rPr>
        <w:t>15</w:t>
      </w:r>
      <w:r>
        <w:rPr>
          <w:rFonts w:ascii="Times New Roman" w:eastAsia="Times New Roman"/>
          <w:spacing w:val="16"/>
          <w:sz w:val="21"/>
        </w:rPr>
        <w:t> </w:t>
      </w:r>
      <w:r>
        <w:rPr>
          <w:spacing w:val="-25"/>
          <w:sz w:val="21"/>
        </w:rPr>
        <w:t>日</w:t>
      </w:r>
      <w:r>
        <w:rPr>
          <w:sz w:val="21"/>
        </w:rPr>
        <w:t>（</w:t>
      </w:r>
      <w:r>
        <w:rPr>
          <w:spacing w:val="-3"/>
          <w:sz w:val="21"/>
        </w:rPr>
        <w:t>如</w:t>
      </w:r>
      <w:r>
        <w:rPr>
          <w:spacing w:val="-2"/>
          <w:sz w:val="21"/>
        </w:rPr>
        <w:t>遇节假日顺延</w:t>
      </w:r>
      <w:r>
        <w:rPr>
          <w:spacing w:val="-25"/>
          <w:sz w:val="21"/>
        </w:rPr>
        <w:t>）</w:t>
      </w:r>
      <w:r>
        <w:rPr>
          <w:spacing w:val="-9"/>
          <w:sz w:val="21"/>
        </w:rPr>
        <w:t>集中支付收益，结转为相应的基金份额；对于可支持按日支付的销售机构， </w:t>
      </w:r>
      <w:r>
        <w:rPr>
          <w:spacing w:val="-6"/>
          <w:sz w:val="21"/>
        </w:rPr>
        <w:t>本基金的收益支付方式经基金管理人和销售机构双方协商一致后可以按日支付。不论何种支</w:t>
      </w:r>
      <w:r>
        <w:rPr>
          <w:spacing w:val="-10"/>
          <w:sz w:val="21"/>
        </w:rPr>
        <w:t>付方式，当日收益均参与下一日的收益分配，不影响基金份额持有人实际获得的投资收益。</w:t>
      </w:r>
      <w:r>
        <w:rPr>
          <w:spacing w:val="-7"/>
          <w:sz w:val="21"/>
        </w:rPr>
        <w:t>基金合同生效不满 </w:t>
      </w:r>
      <w:r>
        <w:rPr>
          <w:rFonts w:ascii="Times New Roman" w:eastAsia="Times New Roman"/>
          <w:sz w:val="21"/>
        </w:rPr>
        <w:t>1</w:t>
      </w:r>
      <w:r>
        <w:rPr>
          <w:rFonts w:ascii="Times New Roman" w:eastAsia="Times New Roman"/>
          <w:spacing w:val="26"/>
          <w:sz w:val="21"/>
        </w:rPr>
        <w:t> </w:t>
      </w:r>
      <w:r>
        <w:rPr>
          <w:spacing w:val="-5"/>
          <w:sz w:val="21"/>
        </w:rPr>
        <w:t>个月时可不结转。投资者当日收益的精度为 </w:t>
      </w:r>
      <w:r>
        <w:rPr>
          <w:rFonts w:ascii="Times New Roman" w:eastAsia="Times New Roman"/>
          <w:sz w:val="21"/>
        </w:rPr>
        <w:t>0.01</w:t>
      </w:r>
      <w:r>
        <w:rPr>
          <w:rFonts w:ascii="Times New Roman" w:eastAsia="Times New Roman"/>
          <w:spacing w:val="23"/>
          <w:sz w:val="21"/>
        </w:rPr>
        <w:t> </w:t>
      </w:r>
      <w:r>
        <w:rPr>
          <w:spacing w:val="-3"/>
          <w:sz w:val="21"/>
        </w:rPr>
        <w:t>元，第三位采用去尾的方式，因去尾形成的余额进行再次分配。</w:t>
      </w:r>
    </w:p>
    <w:p>
      <w:pPr>
        <w:pStyle w:val="ListParagraph"/>
        <w:numPr>
          <w:ilvl w:val="0"/>
          <w:numId w:val="50"/>
        </w:numPr>
        <w:tabs>
          <w:tab w:pos="802" w:val="left" w:leader="none"/>
        </w:tabs>
        <w:spacing w:line="417" w:lineRule="auto" w:before="100" w:after="0"/>
        <w:ind w:left="118" w:right="433" w:firstLine="419"/>
        <w:jc w:val="both"/>
        <w:rPr>
          <w:rFonts w:ascii="Times New Roman" w:eastAsia="Times New Roman"/>
          <w:sz w:val="21"/>
        </w:rPr>
      </w:pPr>
      <w:r>
        <w:rPr>
          <w:spacing w:val="-5"/>
          <w:sz w:val="21"/>
        </w:rPr>
        <w:t>本基金每日将 </w:t>
      </w:r>
      <w:r>
        <w:rPr>
          <w:rFonts w:ascii="Times New Roman" w:eastAsia="Times New Roman"/>
          <w:sz w:val="21"/>
        </w:rPr>
        <w:t>E</w:t>
      </w:r>
      <w:r>
        <w:rPr>
          <w:rFonts w:ascii="Times New Roman" w:eastAsia="Times New Roman"/>
          <w:spacing w:val="36"/>
          <w:sz w:val="21"/>
        </w:rPr>
        <w:t> </w:t>
      </w:r>
      <w:r>
        <w:rPr>
          <w:spacing w:val="-3"/>
          <w:sz w:val="21"/>
        </w:rPr>
        <w:t>类基金份额的基金已实现收益分配给相应的基金份额持有人，并记</w:t>
      </w:r>
      <w:r>
        <w:rPr>
          <w:spacing w:val="-3"/>
          <w:w w:val="100"/>
          <w:sz w:val="21"/>
        </w:rPr>
        <w:t>入</w:t>
      </w:r>
      <w:r>
        <w:rPr>
          <w:spacing w:val="-53"/>
          <w:sz w:val="21"/>
        </w:rPr>
        <w:t> </w:t>
      </w:r>
      <w:r>
        <w:rPr>
          <w:rFonts w:ascii="Times New Roman" w:eastAsia="Times New Roman"/>
          <w:w w:val="100"/>
          <w:sz w:val="21"/>
        </w:rPr>
        <w:t>E</w:t>
      </w:r>
      <w:r>
        <w:rPr>
          <w:rFonts w:ascii="Times New Roman" w:eastAsia="Times New Roman"/>
          <w:spacing w:val="-2"/>
          <w:sz w:val="21"/>
        </w:rPr>
        <w:t> </w:t>
      </w:r>
      <w:r>
        <w:rPr>
          <w:spacing w:val="-4"/>
          <w:w w:val="100"/>
          <w:sz w:val="21"/>
        </w:rPr>
        <w:t>类份额持有人的收益账户</w:t>
      </w:r>
      <w:r>
        <w:rPr>
          <w:w w:val="100"/>
          <w:sz w:val="21"/>
        </w:rPr>
        <w:t>（</w:t>
      </w:r>
      <w:r>
        <w:rPr>
          <w:spacing w:val="-3"/>
          <w:w w:val="100"/>
          <w:sz w:val="21"/>
        </w:rPr>
        <w:t>该收益将于下一工作日会计确认为实收基金</w:t>
      </w:r>
      <w:r>
        <w:rPr>
          <w:spacing w:val="-108"/>
          <w:w w:val="100"/>
          <w:sz w:val="21"/>
        </w:rPr>
        <w:t>）</w:t>
      </w:r>
      <w:r>
        <w:rPr>
          <w:spacing w:val="-3"/>
          <w:w w:val="100"/>
          <w:sz w:val="21"/>
        </w:rPr>
        <w:t>，当日收益参</w:t>
      </w:r>
      <w:r>
        <w:rPr>
          <w:spacing w:val="-5"/>
          <w:sz w:val="21"/>
        </w:rPr>
        <w:t>与下一日的收益分配。若 </w:t>
      </w:r>
      <w:r>
        <w:rPr>
          <w:sz w:val="21"/>
        </w:rPr>
        <w:t>E</w:t>
      </w:r>
      <w:r>
        <w:rPr>
          <w:spacing w:val="-6"/>
          <w:sz w:val="21"/>
        </w:rPr>
        <w:t> 类基金份额持有人收益账户内的累计收益不低于 </w:t>
      </w:r>
      <w:r>
        <w:rPr>
          <w:sz w:val="21"/>
        </w:rPr>
        <w:t>100</w:t>
      </w:r>
      <w:r>
        <w:rPr>
          <w:spacing w:val="-6"/>
          <w:sz w:val="21"/>
        </w:rPr>
        <w:t> 元时，则</w:t>
      </w:r>
      <w:r>
        <w:rPr>
          <w:sz w:val="21"/>
        </w:rPr>
        <w:t>100</w:t>
      </w:r>
      <w:r>
        <w:rPr>
          <w:spacing w:val="-9"/>
          <w:sz w:val="21"/>
        </w:rPr>
        <w:t> 元整数倍的累计收益将兑付为相应 </w:t>
      </w:r>
      <w:r>
        <w:rPr>
          <w:sz w:val="21"/>
        </w:rPr>
        <w:t>E</w:t>
      </w:r>
      <w:r>
        <w:rPr>
          <w:spacing w:val="-9"/>
          <w:sz w:val="21"/>
        </w:rPr>
        <w:t> 类基金份额。投资者当日收益的精度为 </w:t>
      </w:r>
      <w:r>
        <w:rPr>
          <w:sz w:val="21"/>
        </w:rPr>
        <w:t>0.01</w:t>
      </w:r>
      <w:r>
        <w:rPr>
          <w:spacing w:val="-12"/>
          <w:sz w:val="21"/>
        </w:rPr>
        <w:t> 元， </w:t>
      </w:r>
      <w:r>
        <w:rPr>
          <w:spacing w:val="-6"/>
          <w:sz w:val="21"/>
        </w:rPr>
        <w:t>第三位采用去尾的方式，因去尾形成的余额进行再次分配。</w:t>
      </w:r>
    </w:p>
    <w:p>
      <w:pPr>
        <w:pStyle w:val="BodyText"/>
        <w:spacing w:before="9"/>
      </w:pPr>
    </w:p>
    <w:p>
      <w:pPr>
        <w:pStyle w:val="ListParagraph"/>
        <w:numPr>
          <w:ilvl w:val="0"/>
          <w:numId w:val="50"/>
        </w:numPr>
        <w:tabs>
          <w:tab w:pos="751" w:val="left" w:leader="none"/>
        </w:tabs>
        <w:spacing w:line="417" w:lineRule="auto" w:before="0" w:after="0"/>
        <w:ind w:left="118" w:right="433" w:firstLine="419"/>
        <w:jc w:val="both"/>
        <w:rPr>
          <w:sz w:val="19"/>
        </w:rPr>
      </w:pPr>
      <w:r>
        <w:rPr>
          <w:spacing w:val="-4"/>
          <w:sz w:val="21"/>
        </w:rPr>
        <w:t>本基金的分红方式限于红利再投资。对按月支付收益的情形，如</w:t>
      </w:r>
      <w:r>
        <w:rPr>
          <w:rFonts w:ascii="Times New Roman" w:eastAsia="Times New Roman"/>
          <w:sz w:val="21"/>
        </w:rPr>
        <w:t>A</w:t>
      </w:r>
      <w:r>
        <w:rPr>
          <w:rFonts w:ascii="Times New Roman" w:eastAsia="Times New Roman"/>
          <w:spacing w:val="8"/>
          <w:sz w:val="21"/>
        </w:rPr>
        <w:t> </w:t>
      </w:r>
      <w:r>
        <w:rPr>
          <w:spacing w:val="-9"/>
          <w:sz w:val="21"/>
        </w:rPr>
        <w:t>类基金份额和 </w:t>
      </w:r>
      <w:r>
        <w:rPr>
          <w:rFonts w:ascii="Times New Roman" w:eastAsia="Times New Roman"/>
          <w:sz w:val="21"/>
        </w:rPr>
        <w:t>B </w:t>
      </w:r>
      <w:r>
        <w:rPr>
          <w:spacing w:val="-8"/>
          <w:sz w:val="21"/>
        </w:rPr>
        <w:t>类基金份额当月累计分配的基金收益为正，则为持有人增加相应的基金份额；如当月累计分</w:t>
      </w:r>
      <w:r>
        <w:rPr>
          <w:spacing w:val="-5"/>
          <w:sz w:val="21"/>
        </w:rPr>
        <w:t>配的基金收益为负，则为持有人缩减相应的基金份额。对按日支付收益的情形，如 </w:t>
      </w:r>
      <w:r>
        <w:rPr>
          <w:rFonts w:ascii="Times New Roman" w:eastAsia="Times New Roman"/>
          <w:sz w:val="21"/>
        </w:rPr>
        <w:t>A</w:t>
      </w:r>
      <w:r>
        <w:rPr>
          <w:rFonts w:ascii="Times New Roman" w:eastAsia="Times New Roman"/>
          <w:spacing w:val="3"/>
          <w:sz w:val="21"/>
        </w:rPr>
        <w:t> </w:t>
      </w:r>
      <w:r>
        <w:rPr>
          <w:spacing w:val="-3"/>
          <w:sz w:val="21"/>
        </w:rPr>
        <w:t>类基</w:t>
      </w:r>
      <w:r>
        <w:rPr>
          <w:sz w:val="21"/>
        </w:rPr>
        <w:t>金份额和 </w:t>
      </w:r>
      <w:r>
        <w:rPr>
          <w:rFonts w:ascii="Times New Roman" w:eastAsia="Times New Roman"/>
          <w:sz w:val="21"/>
        </w:rPr>
        <w:t>B</w:t>
      </w:r>
      <w:r>
        <w:rPr>
          <w:rFonts w:ascii="Times New Roman" w:eastAsia="Times New Roman"/>
          <w:spacing w:val="11"/>
          <w:sz w:val="21"/>
        </w:rPr>
        <w:t> </w:t>
      </w:r>
      <w:r>
        <w:rPr>
          <w:spacing w:val="-3"/>
          <w:sz w:val="21"/>
        </w:rPr>
        <w:t>类基金份额当日分配的基金收益为正，则为持有人增加相应的基金份额；如当</w:t>
      </w:r>
      <w:r>
        <w:rPr>
          <w:spacing w:val="-10"/>
          <w:sz w:val="21"/>
        </w:rPr>
        <w:t>日分配的基金收益为负，则为持有人缩减相应的基金份额。投资者可通过赎回基金份额获取</w:t>
      </w:r>
      <w:r>
        <w:rPr>
          <w:spacing w:val="-6"/>
          <w:sz w:val="21"/>
        </w:rPr>
        <w:t>现金收益。</w:t>
      </w:r>
      <w:r>
        <w:rPr>
          <w:sz w:val="21"/>
        </w:rPr>
        <w:t> </w:t>
      </w:r>
    </w:p>
    <w:p>
      <w:pPr>
        <w:pStyle w:val="BodyText"/>
        <w:spacing w:before="11"/>
      </w:pPr>
    </w:p>
    <w:p>
      <w:pPr>
        <w:pStyle w:val="ListParagraph"/>
        <w:numPr>
          <w:ilvl w:val="0"/>
          <w:numId w:val="50"/>
        </w:numPr>
        <w:tabs>
          <w:tab w:pos="856" w:val="left" w:leader="none"/>
        </w:tabs>
        <w:spacing w:line="240" w:lineRule="auto" w:before="0" w:after="0"/>
        <w:ind w:left="855" w:right="0" w:hanging="318"/>
        <w:jc w:val="left"/>
        <w:rPr>
          <w:sz w:val="19"/>
        </w:rPr>
      </w:pPr>
      <w:r>
        <w:rPr>
          <w:spacing w:val="-10"/>
          <w:sz w:val="21"/>
        </w:rPr>
        <w:t>对按月支付收益的情形，在 </w:t>
      </w:r>
      <w:r>
        <w:rPr>
          <w:rFonts w:ascii="Times New Roman" w:eastAsia="Times New Roman"/>
          <w:sz w:val="21"/>
        </w:rPr>
        <w:t>A</w:t>
      </w:r>
      <w:r>
        <w:rPr>
          <w:rFonts w:ascii="Times New Roman" w:eastAsia="Times New Roman"/>
          <w:spacing w:val="4"/>
          <w:sz w:val="21"/>
        </w:rPr>
        <w:t> </w:t>
      </w:r>
      <w:r>
        <w:rPr>
          <w:spacing w:val="-8"/>
          <w:sz w:val="21"/>
        </w:rPr>
        <w:t>类基金份额持有人或 </w:t>
      </w:r>
      <w:r>
        <w:rPr>
          <w:rFonts w:ascii="Times New Roman" w:eastAsia="Times New Roman"/>
          <w:sz w:val="21"/>
        </w:rPr>
        <w:t>B</w:t>
      </w:r>
      <w:r>
        <w:rPr>
          <w:rFonts w:ascii="Times New Roman" w:eastAsia="Times New Roman"/>
          <w:spacing w:val="1"/>
          <w:sz w:val="21"/>
        </w:rPr>
        <w:t> </w:t>
      </w:r>
      <w:r>
        <w:rPr>
          <w:spacing w:val="-3"/>
          <w:sz w:val="21"/>
        </w:rPr>
        <w:t>类基金份额持有人全部赎回基</w:t>
      </w:r>
    </w:p>
    <w:p>
      <w:pPr>
        <w:spacing w:after="0" w:line="240" w:lineRule="auto"/>
        <w:jc w:val="left"/>
        <w:rPr>
          <w:sz w:val="19"/>
        </w:rPr>
        <w:sectPr>
          <w:pgSz w:w="11910" w:h="16850"/>
          <w:pgMar w:header="852" w:footer="1386" w:top="1420" w:bottom="1580" w:left="1680" w:right="1360"/>
        </w:sectPr>
      </w:pPr>
    </w:p>
    <w:p>
      <w:pPr>
        <w:pStyle w:val="BodyText"/>
        <w:spacing w:line="417" w:lineRule="auto" w:before="142"/>
        <w:ind w:left="118" w:right="433"/>
        <w:jc w:val="both"/>
      </w:pPr>
      <w:r>
        <w:rPr>
          <w:spacing w:val="-10"/>
        </w:rPr>
        <w:t>金份额时，其账户在本月累计的基金收益将立即结算，并随赎回款项一起支付给投资者，如</w:t>
      </w:r>
      <w:r>
        <w:rPr>
          <w:spacing w:val="-7"/>
        </w:rPr>
        <w:t>本月累计的基金收益为负，则扣减赎回金额；在 </w:t>
      </w:r>
      <w:r>
        <w:rPr>
          <w:rFonts w:ascii="Times New Roman" w:eastAsia="Times New Roman"/>
        </w:rPr>
        <w:t>A </w:t>
      </w:r>
      <w:r>
        <w:rPr>
          <w:spacing w:val="-7"/>
        </w:rPr>
        <w:t>类基金份额持有人和 </w:t>
      </w:r>
      <w:r>
        <w:rPr>
          <w:rFonts w:ascii="Times New Roman" w:eastAsia="Times New Roman"/>
        </w:rPr>
        <w:t>B </w:t>
      </w:r>
      <w:r>
        <w:rPr>
          <w:spacing w:val="-3"/>
        </w:rPr>
        <w:t>类基金份额持有</w:t>
      </w:r>
      <w:r>
        <w:rPr>
          <w:spacing w:val="-9"/>
        </w:rPr>
        <w:t>人部分赎回基金份额时，不结算基金收益，而是待全部赎回时再一并结算基金收益。对按日</w:t>
      </w:r>
      <w:r>
        <w:rPr>
          <w:spacing w:val="-7"/>
        </w:rPr>
        <w:t>支付收益的情形，在 </w:t>
      </w:r>
      <w:r>
        <w:rPr>
          <w:rFonts w:ascii="Times New Roman" w:eastAsia="Times New Roman"/>
        </w:rPr>
        <w:t>A </w:t>
      </w:r>
      <w:r>
        <w:rPr>
          <w:spacing w:val="-7"/>
        </w:rPr>
        <w:t>类基金份额持有人或 </w:t>
      </w:r>
      <w:r>
        <w:rPr>
          <w:rFonts w:ascii="Times New Roman" w:eastAsia="Times New Roman"/>
        </w:rPr>
        <w:t>B </w:t>
      </w:r>
      <w:r>
        <w:rPr>
          <w:spacing w:val="-3"/>
        </w:rPr>
        <w:t>类基金份额持有人全部赎回基金份额时，其</w:t>
      </w:r>
      <w:r>
        <w:rPr>
          <w:spacing w:val="-8"/>
        </w:rPr>
        <w:t>账户在当日的基金收益将立即结算，并随赎回款项一起支付给投资者，如当日的基金收益为</w:t>
      </w:r>
      <w:r>
        <w:rPr>
          <w:spacing w:val="-22"/>
        </w:rPr>
        <w:t>负，则扣减赎回金额；在 </w:t>
      </w:r>
      <w:r>
        <w:rPr>
          <w:rFonts w:ascii="Times New Roman" w:eastAsia="Times New Roman"/>
        </w:rPr>
        <w:t>A </w:t>
      </w:r>
      <w:r>
        <w:rPr>
          <w:spacing w:val="3"/>
        </w:rPr>
        <w:t>类基金份额持有人和</w:t>
      </w:r>
      <w:r>
        <w:rPr>
          <w:rFonts w:ascii="Times New Roman" w:eastAsia="Times New Roman"/>
        </w:rPr>
        <w:t>B </w:t>
      </w:r>
      <w:r>
        <w:rPr>
          <w:spacing w:val="-3"/>
        </w:rPr>
        <w:t>类基金份额持有人部分赎回基金份额时， 不结算基金收益，而是待全部赎回时再一并结算基金收益。在 </w:t>
      </w:r>
      <w:r>
        <w:rPr>
          <w:rFonts w:ascii="Times New Roman" w:eastAsia="Times New Roman"/>
        </w:rPr>
        <w:t>E </w:t>
      </w:r>
      <w:r>
        <w:rPr>
          <w:spacing w:val="-3"/>
        </w:rPr>
        <w:t>类基金份额持有人赎回基</w:t>
      </w:r>
      <w:r>
        <w:rPr>
          <w:spacing w:val="-11"/>
        </w:rPr>
        <w:t>金份额时，其对应比例的累计收益将立即结清，以现金支付给投资人，如累计的基金收益为</w:t>
      </w:r>
      <w:r>
        <w:rPr>
          <w:spacing w:val="-6"/>
        </w:rPr>
        <w:t>负，则扣减赎回金额。</w:t>
      </w:r>
    </w:p>
    <w:p>
      <w:pPr>
        <w:pStyle w:val="BodyText"/>
        <w:spacing w:before="10"/>
      </w:pPr>
    </w:p>
    <w:p>
      <w:pPr>
        <w:pStyle w:val="ListParagraph"/>
        <w:numPr>
          <w:ilvl w:val="0"/>
          <w:numId w:val="50"/>
        </w:numPr>
        <w:tabs>
          <w:tab w:pos="802" w:val="left" w:leader="none"/>
        </w:tabs>
        <w:spacing w:line="417" w:lineRule="auto" w:before="0" w:after="0"/>
        <w:ind w:left="118" w:right="433" w:firstLine="419"/>
        <w:jc w:val="both"/>
        <w:rPr>
          <w:rFonts w:ascii="Times New Roman" w:eastAsia="Times New Roman"/>
          <w:sz w:val="21"/>
        </w:rPr>
      </w:pPr>
      <w:r>
        <w:rPr>
          <w:spacing w:val="-7"/>
          <w:sz w:val="21"/>
        </w:rPr>
        <w:t>基金份额持有人部分卖出 </w:t>
      </w:r>
      <w:r>
        <w:rPr>
          <w:rFonts w:ascii="Times New Roman" w:eastAsia="Times New Roman"/>
          <w:sz w:val="21"/>
        </w:rPr>
        <w:t>E</w:t>
      </w:r>
      <w:r>
        <w:rPr>
          <w:rFonts w:ascii="Times New Roman" w:eastAsia="Times New Roman"/>
          <w:spacing w:val="15"/>
          <w:sz w:val="21"/>
        </w:rPr>
        <w:t> </w:t>
      </w:r>
      <w:r>
        <w:rPr>
          <w:spacing w:val="-5"/>
          <w:sz w:val="21"/>
        </w:rPr>
        <w:t>类基金份额时，不支付对应的收益，全部卖出 </w:t>
      </w:r>
      <w:r>
        <w:rPr>
          <w:rFonts w:ascii="Times New Roman" w:eastAsia="Times New Roman"/>
          <w:sz w:val="21"/>
        </w:rPr>
        <w:t>E</w:t>
      </w:r>
      <w:r>
        <w:rPr>
          <w:rFonts w:ascii="Times New Roman" w:eastAsia="Times New Roman"/>
          <w:spacing w:val="15"/>
          <w:sz w:val="21"/>
        </w:rPr>
        <w:t> </w:t>
      </w:r>
      <w:r>
        <w:rPr>
          <w:spacing w:val="-2"/>
          <w:sz w:val="21"/>
        </w:rPr>
        <w:t>类基金</w:t>
      </w:r>
      <w:r>
        <w:rPr>
          <w:spacing w:val="-10"/>
          <w:sz w:val="21"/>
        </w:rPr>
        <w:t>份额时，以现金方式将全部累计收益与基金份额持有人结清。若累计收益为负，则投资人应</w:t>
      </w:r>
      <w:r>
        <w:rPr>
          <w:spacing w:val="-5"/>
          <w:sz w:val="21"/>
        </w:rPr>
        <w:t>当以现金方式全额弥补，否则基金管理人有权向基金份额持有人追索相应收益及损失。</w:t>
      </w:r>
      <w:r>
        <w:rPr>
          <w:sz w:val="21"/>
        </w:rPr>
        <w:t> </w:t>
      </w:r>
    </w:p>
    <w:p>
      <w:pPr>
        <w:pStyle w:val="BodyText"/>
        <w:spacing w:before="9"/>
      </w:pPr>
    </w:p>
    <w:p>
      <w:pPr>
        <w:pStyle w:val="BodyText"/>
        <w:spacing w:line="417" w:lineRule="auto"/>
        <w:ind w:left="118" w:right="433" w:firstLine="419"/>
        <w:jc w:val="both"/>
      </w:pPr>
      <w:r>
        <w:rPr/>
        <w:t>6．T</w:t>
      </w:r>
      <w:r>
        <w:rPr>
          <w:spacing w:val="-9"/>
        </w:rPr>
        <w:t> 日申购的基金份额不享有 </w:t>
      </w:r>
      <w:r>
        <w:rPr/>
        <w:t>T</w:t>
      </w:r>
      <w:r>
        <w:rPr>
          <w:spacing w:val="-7"/>
        </w:rPr>
        <w:t> 日分红权益</w:t>
      </w:r>
      <w:r>
        <w:rPr/>
        <w:t>，T</w:t>
      </w:r>
      <w:r>
        <w:rPr>
          <w:spacing w:val="-9"/>
        </w:rPr>
        <w:t> 日赎回的基金份额仍享有 </w:t>
      </w:r>
      <w:r>
        <w:rPr/>
        <w:t>T</w:t>
      </w:r>
      <w:r>
        <w:rPr>
          <w:spacing w:val="-8"/>
        </w:rPr>
        <w:t> 日分红权</w:t>
      </w:r>
      <w:r>
        <w:rPr>
          <w:spacing w:val="-15"/>
        </w:rPr>
        <w:t>益。当日买入的 </w:t>
      </w:r>
      <w:r>
        <w:rPr/>
        <w:t>E</w:t>
      </w:r>
      <w:r>
        <w:rPr>
          <w:spacing w:val="-12"/>
        </w:rPr>
        <w:t> 类基金份额自买入当日起享有基金的分红权益；当日卖出的 </w:t>
      </w:r>
      <w:r>
        <w:rPr/>
        <w:t>E</w:t>
      </w:r>
      <w:r>
        <w:rPr>
          <w:spacing w:val="-10"/>
        </w:rPr>
        <w:t> 类基金份额</w:t>
      </w:r>
      <w:r>
        <w:rPr>
          <w:spacing w:val="-5"/>
        </w:rPr>
        <w:t>自卖出当日起，不享有基金的分红权益。</w:t>
      </w:r>
      <w:r>
        <w:rPr/>
        <w:t> </w:t>
      </w:r>
    </w:p>
    <w:p>
      <w:pPr>
        <w:pStyle w:val="BodyText"/>
        <w:spacing w:before="12"/>
      </w:pPr>
    </w:p>
    <w:p>
      <w:pPr>
        <w:pStyle w:val="ListParagraph"/>
        <w:numPr>
          <w:ilvl w:val="0"/>
          <w:numId w:val="51"/>
        </w:numPr>
        <w:tabs>
          <w:tab w:pos="856" w:val="left" w:leader="none"/>
        </w:tabs>
        <w:spacing w:line="240" w:lineRule="auto" w:before="0" w:after="0"/>
        <w:ind w:left="855" w:right="0" w:hanging="318"/>
        <w:jc w:val="left"/>
        <w:rPr>
          <w:sz w:val="19"/>
        </w:rPr>
      </w:pPr>
      <w:r>
        <w:rPr>
          <w:spacing w:val="-3"/>
          <w:sz w:val="21"/>
        </w:rPr>
        <w:t>相同类别的基金份额享有同等收益分配权。 </w:t>
      </w:r>
    </w:p>
    <w:p>
      <w:pPr>
        <w:pStyle w:val="BodyText"/>
        <w:spacing w:before="5"/>
        <w:rPr>
          <w:sz w:val="23"/>
        </w:rPr>
      </w:pPr>
    </w:p>
    <w:p>
      <w:pPr>
        <w:pStyle w:val="ListParagraph"/>
        <w:numPr>
          <w:ilvl w:val="0"/>
          <w:numId w:val="51"/>
        </w:numPr>
        <w:tabs>
          <w:tab w:pos="802" w:val="left" w:leader="none"/>
        </w:tabs>
        <w:spacing w:line="417" w:lineRule="auto" w:before="0" w:after="0"/>
        <w:ind w:left="118" w:right="440" w:firstLine="419"/>
        <w:jc w:val="left"/>
        <w:rPr>
          <w:rFonts w:ascii="Times New Roman" w:eastAsia="Times New Roman"/>
          <w:sz w:val="21"/>
        </w:rPr>
      </w:pPr>
      <w:r>
        <w:rPr>
          <w:spacing w:val="-1"/>
          <w:sz w:val="21"/>
        </w:rPr>
        <w:t>在不影响基金份额持有人利益的前提下，基金管理人可在中国证监会允许的条件下</w:t>
      </w:r>
      <w:r>
        <w:rPr>
          <w:spacing w:val="-3"/>
          <w:sz w:val="21"/>
        </w:rPr>
        <w:t>调整基金收益的分配原则和支付方式，不需召开基金份额持有人大会。</w:t>
      </w:r>
    </w:p>
    <w:p>
      <w:pPr>
        <w:pStyle w:val="ListParagraph"/>
        <w:numPr>
          <w:ilvl w:val="0"/>
          <w:numId w:val="51"/>
        </w:numPr>
        <w:tabs>
          <w:tab w:pos="856" w:val="left" w:leader="none"/>
        </w:tabs>
        <w:spacing w:line="240" w:lineRule="auto" w:before="98" w:after="0"/>
        <w:ind w:left="855" w:right="0" w:hanging="318"/>
        <w:jc w:val="left"/>
        <w:rPr>
          <w:rFonts w:ascii="Times New Roman" w:eastAsia="Times New Roman"/>
          <w:sz w:val="19"/>
        </w:rPr>
      </w:pPr>
      <w:r>
        <w:rPr>
          <w:spacing w:val="-3"/>
          <w:sz w:val="21"/>
        </w:rPr>
        <w:t>法律法规或监管机关另有规定的，从其规定。</w:t>
      </w:r>
      <w:r>
        <w:rPr>
          <w:sz w:val="21"/>
        </w:rPr>
        <w:t> </w:t>
      </w:r>
    </w:p>
    <w:p>
      <w:pPr>
        <w:pStyle w:val="BodyText"/>
        <w:rPr>
          <w:sz w:val="22"/>
        </w:rPr>
      </w:pPr>
    </w:p>
    <w:p>
      <w:pPr>
        <w:pStyle w:val="Heading2"/>
        <w:spacing w:before="172"/>
        <w:rPr>
          <w:rFonts w:ascii="宋体" w:eastAsia="宋体" w:hint="eastAsia"/>
          <w:b w:val="0"/>
        </w:rPr>
      </w:pPr>
      <w:bookmarkStart w:name="_bookmark73" w:id="74"/>
      <w:bookmarkEnd w:id="74"/>
      <w:r>
        <w:rPr>
          <w:b w:val="0"/>
        </w:rPr>
      </w:r>
      <w:r>
        <w:rPr/>
        <w:t>（三）收益分配的确定与公告</w:t>
      </w:r>
      <w:r>
        <w:rPr>
          <w:rFonts w:ascii="宋体" w:eastAsia="宋体" w:hint="eastAsia"/>
          <w:b w:val="0"/>
        </w:rPr>
        <w:t> </w:t>
      </w:r>
    </w:p>
    <w:p>
      <w:pPr>
        <w:pStyle w:val="BodyText"/>
        <w:spacing w:before="5"/>
        <w:rPr>
          <w:sz w:val="37"/>
        </w:rPr>
      </w:pPr>
    </w:p>
    <w:p>
      <w:pPr>
        <w:pStyle w:val="BodyText"/>
        <w:spacing w:line="417" w:lineRule="auto"/>
        <w:ind w:left="118" w:right="433" w:firstLine="419"/>
      </w:pPr>
      <w:r>
        <w:rPr>
          <w:spacing w:val="-7"/>
        </w:rPr>
        <w:t>本基金每开放日的次日公告该开放日的基金收益情况，包括基金日收益和基金七日收益率。</w:t>
      </w:r>
    </w:p>
    <w:p>
      <w:pPr>
        <w:pStyle w:val="BodyText"/>
        <w:spacing w:line="667" w:lineRule="auto" w:before="100"/>
        <w:ind w:left="538" w:right="332"/>
      </w:pPr>
      <w:r>
        <w:rPr>
          <w:spacing w:val="-6"/>
        </w:rPr>
        <w:t>本基金收益分配方案由基金管理人拟定、基金托管人核实后确定，并按有关规定公告。</w:t>
      </w:r>
      <w:r>
        <w:rPr>
          <w:spacing w:val="-14"/>
        </w:rPr>
        <w:t>本基金 </w:t>
      </w:r>
      <w:r>
        <w:rPr/>
        <w:t>A</w:t>
      </w:r>
      <w:r>
        <w:rPr>
          <w:spacing w:val="-15"/>
        </w:rPr>
        <w:t> 类基金份额和 </w:t>
      </w:r>
      <w:r>
        <w:rPr/>
        <w:t>B</w:t>
      </w:r>
      <w:r>
        <w:rPr>
          <w:spacing w:val="-12"/>
        </w:rPr>
        <w:t> 类基金份额的每万份基金已实现收益及 </w:t>
      </w:r>
      <w:r>
        <w:rPr/>
        <w:t>7</w:t>
      </w:r>
      <w:r>
        <w:rPr>
          <w:spacing w:val="-15"/>
        </w:rPr>
        <w:t> 日年化收益率、</w:t>
      </w:r>
      <w:r>
        <w:rPr/>
        <w:t>E</w:t>
      </w:r>
      <w:r>
        <w:rPr>
          <w:spacing w:val="-25"/>
        </w:rPr>
        <w:t> 类</w:t>
      </w:r>
    </w:p>
    <w:p>
      <w:pPr>
        <w:spacing w:after="0" w:line="667" w:lineRule="auto"/>
        <w:sectPr>
          <w:pgSz w:w="11910" w:h="16850"/>
          <w:pgMar w:header="852" w:footer="1386" w:top="1420" w:bottom="1580" w:left="1680" w:right="1360"/>
        </w:sectPr>
      </w:pPr>
    </w:p>
    <w:p>
      <w:pPr>
        <w:pStyle w:val="BodyText"/>
        <w:spacing w:before="142"/>
        <w:ind w:left="118"/>
      </w:pPr>
      <w:r>
        <w:rPr/>
        <w:t>基金份额的每百份基金已实现收益及 7 日年化收益率的计算见本基金招募说明书。 </w:t>
      </w:r>
    </w:p>
    <w:p>
      <w:pPr>
        <w:pStyle w:val="BodyText"/>
        <w:rPr>
          <w:sz w:val="20"/>
        </w:rPr>
      </w:pPr>
    </w:p>
    <w:p>
      <w:pPr>
        <w:pStyle w:val="BodyText"/>
        <w:spacing w:before="5"/>
        <w:rPr>
          <w:sz w:val="15"/>
        </w:rPr>
      </w:pPr>
    </w:p>
    <w:p>
      <w:pPr>
        <w:pStyle w:val="Heading2"/>
        <w:rPr>
          <w:rFonts w:ascii="宋体" w:eastAsia="宋体" w:hint="eastAsia"/>
          <w:b w:val="0"/>
        </w:rPr>
      </w:pPr>
      <w:bookmarkStart w:name="_bookmark74" w:id="75"/>
      <w:bookmarkEnd w:id="75"/>
      <w:r>
        <w:rPr>
          <w:b w:val="0"/>
        </w:rPr>
      </w:r>
      <w:r>
        <w:rPr/>
        <w:t>（四）收益分配中发生的费用</w:t>
      </w:r>
      <w:r>
        <w:rPr>
          <w:rFonts w:ascii="宋体" w:eastAsia="宋体" w:hint="eastAsia"/>
          <w:b w:val="0"/>
        </w:rPr>
        <w:t> </w:t>
      </w:r>
    </w:p>
    <w:p>
      <w:pPr>
        <w:pStyle w:val="BodyText"/>
        <w:spacing w:before="4"/>
        <w:rPr>
          <w:sz w:val="37"/>
        </w:rPr>
      </w:pPr>
    </w:p>
    <w:p>
      <w:pPr>
        <w:pStyle w:val="BodyText"/>
        <w:ind w:left="598"/>
      </w:pPr>
      <w:r>
        <w:rPr/>
        <w:t>收益分配采用红利再投资方式免收再投资的费用。 </w:t>
      </w:r>
    </w:p>
    <w:p>
      <w:pPr>
        <w:spacing w:after="0"/>
        <w:sectPr>
          <w:pgSz w:w="11910" w:h="16850"/>
          <w:pgMar w:header="852" w:footer="1386" w:top="1420" w:bottom="1580" w:left="1680" w:right="1360"/>
        </w:sectPr>
      </w:pPr>
    </w:p>
    <w:p>
      <w:pPr>
        <w:pStyle w:val="Heading1"/>
        <w:ind w:left="2289"/>
      </w:pPr>
      <w:bookmarkStart w:name="_bookmark75" w:id="76"/>
      <w:bookmarkEnd w:id="76"/>
      <w:r>
        <w:rPr/>
      </w:r>
      <w:r>
        <w:rPr/>
        <w:t>二十、 基金的会计与审计</w:t>
      </w:r>
    </w:p>
    <w:p>
      <w:pPr>
        <w:pStyle w:val="BodyText"/>
        <w:spacing w:before="7"/>
        <w:rPr>
          <w:sz w:val="33"/>
        </w:rPr>
      </w:pPr>
    </w:p>
    <w:p>
      <w:pPr>
        <w:pStyle w:val="Heading2"/>
        <w:rPr>
          <w:rFonts w:ascii="宋体" w:eastAsia="宋体" w:hint="eastAsia"/>
          <w:b w:val="0"/>
        </w:rPr>
      </w:pPr>
      <w:bookmarkStart w:name="_bookmark76" w:id="77"/>
      <w:bookmarkEnd w:id="77"/>
      <w:r>
        <w:rPr>
          <w:b w:val="0"/>
        </w:rPr>
      </w:r>
      <w:r>
        <w:rPr/>
        <w:t>（一）基金会计政策</w:t>
      </w:r>
      <w:r>
        <w:rPr>
          <w:rFonts w:ascii="宋体" w:eastAsia="宋体" w:hint="eastAsia"/>
          <w:b w:val="0"/>
        </w:rPr>
        <w:t> </w:t>
      </w:r>
    </w:p>
    <w:p>
      <w:pPr>
        <w:pStyle w:val="BodyText"/>
        <w:spacing w:before="11"/>
        <w:rPr>
          <w:sz w:val="34"/>
        </w:rPr>
      </w:pPr>
    </w:p>
    <w:p>
      <w:pPr>
        <w:pStyle w:val="ListParagraph"/>
        <w:numPr>
          <w:ilvl w:val="0"/>
          <w:numId w:val="52"/>
        </w:numPr>
        <w:tabs>
          <w:tab w:pos="1017" w:val="left" w:leader="none"/>
          <w:tab w:pos="1018" w:val="left" w:leader="none"/>
        </w:tabs>
        <w:spacing w:line="240" w:lineRule="auto" w:before="0" w:after="0"/>
        <w:ind w:left="1018" w:right="0" w:hanging="420"/>
        <w:jc w:val="left"/>
        <w:rPr>
          <w:sz w:val="21"/>
        </w:rPr>
      </w:pPr>
      <w:r>
        <w:rPr>
          <w:spacing w:val="-3"/>
          <w:sz w:val="21"/>
        </w:rPr>
        <w:t>基金管理人为本基金的基金会计责任方； </w:t>
      </w:r>
    </w:p>
    <w:p>
      <w:pPr>
        <w:pStyle w:val="BodyText"/>
        <w:spacing w:before="7"/>
        <w:rPr>
          <w:sz w:val="15"/>
        </w:rPr>
      </w:pPr>
    </w:p>
    <w:p>
      <w:pPr>
        <w:pStyle w:val="ListParagraph"/>
        <w:numPr>
          <w:ilvl w:val="0"/>
          <w:numId w:val="52"/>
        </w:numPr>
        <w:tabs>
          <w:tab w:pos="1017" w:val="left" w:leader="none"/>
          <w:tab w:pos="1018" w:val="left" w:leader="none"/>
        </w:tabs>
        <w:spacing w:line="417" w:lineRule="auto" w:before="0" w:after="0"/>
        <w:ind w:left="1018" w:right="433" w:hanging="420"/>
        <w:jc w:val="left"/>
        <w:rPr>
          <w:sz w:val="21"/>
        </w:rPr>
      </w:pPr>
      <w:r>
        <w:rPr>
          <w:spacing w:val="-6"/>
          <w:sz w:val="21"/>
        </w:rPr>
        <w:t>基金的会计年度为公历每年 </w:t>
      </w:r>
      <w:r>
        <w:rPr>
          <w:sz w:val="21"/>
        </w:rPr>
        <w:t>1</w:t>
      </w:r>
      <w:r>
        <w:rPr>
          <w:spacing w:val="-28"/>
          <w:sz w:val="21"/>
        </w:rPr>
        <w:t> 月 </w:t>
      </w:r>
      <w:r>
        <w:rPr>
          <w:sz w:val="21"/>
        </w:rPr>
        <w:t>1</w:t>
      </w:r>
      <w:r>
        <w:rPr>
          <w:spacing w:val="-22"/>
          <w:sz w:val="21"/>
        </w:rPr>
        <w:t> 日至 </w:t>
      </w:r>
      <w:r>
        <w:rPr>
          <w:sz w:val="21"/>
        </w:rPr>
        <w:t>12</w:t>
      </w:r>
      <w:r>
        <w:rPr>
          <w:spacing w:val="-29"/>
          <w:sz w:val="21"/>
        </w:rPr>
        <w:t> 月 </w:t>
      </w:r>
      <w:r>
        <w:rPr>
          <w:sz w:val="21"/>
        </w:rPr>
        <w:t>31</w:t>
      </w:r>
      <w:r>
        <w:rPr>
          <w:spacing w:val="-8"/>
          <w:sz w:val="21"/>
        </w:rPr>
        <w:t> 日；基金首次募集的会计年度按如下原则：如果基金合同生效少于 </w:t>
      </w:r>
      <w:r>
        <w:rPr>
          <w:sz w:val="21"/>
        </w:rPr>
        <w:t>3</w:t>
      </w:r>
      <w:r>
        <w:rPr>
          <w:spacing w:val="-8"/>
          <w:sz w:val="21"/>
        </w:rPr>
        <w:t> 个月，可以并入下一个会计年度；</w:t>
      </w:r>
      <w:r>
        <w:rPr>
          <w:spacing w:val="-3"/>
          <w:sz w:val="21"/>
        </w:rPr>
        <w:t> </w:t>
      </w:r>
      <w:r>
        <w:rPr>
          <w:sz w:val="21"/>
        </w:rPr>
        <w:t> </w:t>
      </w:r>
    </w:p>
    <w:p>
      <w:pPr>
        <w:pStyle w:val="ListParagraph"/>
        <w:numPr>
          <w:ilvl w:val="0"/>
          <w:numId w:val="52"/>
        </w:numPr>
        <w:tabs>
          <w:tab w:pos="1017" w:val="left" w:leader="none"/>
          <w:tab w:pos="1018" w:val="left" w:leader="none"/>
        </w:tabs>
        <w:spacing w:line="269" w:lineRule="exact" w:before="0" w:after="0"/>
        <w:ind w:left="1018" w:right="0" w:hanging="420"/>
        <w:jc w:val="left"/>
        <w:rPr>
          <w:sz w:val="21"/>
        </w:rPr>
      </w:pPr>
      <w:r>
        <w:rPr>
          <w:spacing w:val="-3"/>
          <w:sz w:val="21"/>
        </w:rPr>
        <w:t>基金核算以人民币为记帐本位币，记帐单位是人民币元；</w:t>
      </w:r>
      <w:r>
        <w:rPr>
          <w:sz w:val="21"/>
        </w:rPr>
        <w:t> </w:t>
      </w:r>
    </w:p>
    <w:p>
      <w:pPr>
        <w:pStyle w:val="BodyText"/>
        <w:spacing w:before="7"/>
        <w:rPr>
          <w:sz w:val="15"/>
        </w:rPr>
      </w:pPr>
    </w:p>
    <w:p>
      <w:pPr>
        <w:pStyle w:val="ListParagraph"/>
        <w:numPr>
          <w:ilvl w:val="0"/>
          <w:numId w:val="52"/>
        </w:numPr>
        <w:tabs>
          <w:tab w:pos="1017" w:val="left" w:leader="none"/>
          <w:tab w:pos="1018" w:val="left" w:leader="none"/>
        </w:tabs>
        <w:spacing w:line="240" w:lineRule="auto" w:before="1" w:after="0"/>
        <w:ind w:left="1018" w:right="0" w:hanging="420"/>
        <w:jc w:val="left"/>
        <w:rPr>
          <w:sz w:val="21"/>
        </w:rPr>
      </w:pPr>
      <w:r>
        <w:rPr>
          <w:spacing w:val="-3"/>
          <w:sz w:val="21"/>
        </w:rPr>
        <w:t>会计制度执行国家有关的会计制度；</w:t>
      </w:r>
      <w:r>
        <w:rPr>
          <w:sz w:val="21"/>
        </w:rPr>
        <w:t> </w:t>
      </w:r>
    </w:p>
    <w:p>
      <w:pPr>
        <w:pStyle w:val="BodyText"/>
        <w:spacing w:before="6"/>
        <w:rPr>
          <w:sz w:val="15"/>
        </w:rPr>
      </w:pPr>
    </w:p>
    <w:p>
      <w:pPr>
        <w:pStyle w:val="ListParagraph"/>
        <w:numPr>
          <w:ilvl w:val="0"/>
          <w:numId w:val="52"/>
        </w:numPr>
        <w:tabs>
          <w:tab w:pos="1017" w:val="left" w:leader="none"/>
          <w:tab w:pos="1018" w:val="left" w:leader="none"/>
        </w:tabs>
        <w:spacing w:line="240" w:lineRule="auto" w:before="0" w:after="0"/>
        <w:ind w:left="1018" w:right="0" w:hanging="420"/>
        <w:jc w:val="left"/>
        <w:rPr>
          <w:sz w:val="21"/>
        </w:rPr>
      </w:pPr>
      <w:r>
        <w:rPr>
          <w:spacing w:val="-3"/>
          <w:sz w:val="21"/>
        </w:rPr>
        <w:t>本基金独立建帐、独立核算；</w:t>
      </w:r>
      <w:r>
        <w:rPr>
          <w:sz w:val="21"/>
        </w:rPr>
        <w:t> </w:t>
      </w:r>
    </w:p>
    <w:p>
      <w:pPr>
        <w:pStyle w:val="BodyText"/>
        <w:spacing w:before="7"/>
        <w:rPr>
          <w:sz w:val="15"/>
        </w:rPr>
      </w:pPr>
    </w:p>
    <w:p>
      <w:pPr>
        <w:pStyle w:val="ListParagraph"/>
        <w:numPr>
          <w:ilvl w:val="0"/>
          <w:numId w:val="52"/>
        </w:numPr>
        <w:tabs>
          <w:tab w:pos="1017" w:val="left" w:leader="none"/>
          <w:tab w:pos="1018" w:val="left" w:leader="none"/>
        </w:tabs>
        <w:spacing w:line="417" w:lineRule="auto" w:before="0" w:after="0"/>
        <w:ind w:left="1018" w:right="436" w:hanging="420"/>
        <w:jc w:val="left"/>
        <w:rPr>
          <w:sz w:val="21"/>
        </w:rPr>
      </w:pPr>
      <w:r>
        <w:rPr>
          <w:spacing w:val="-1"/>
          <w:sz w:val="21"/>
        </w:rPr>
        <w:t>基金管理人及基金托管人各自保留完整的基金会计帐目、凭证并进行日常的会计</w:t>
      </w:r>
      <w:r>
        <w:rPr>
          <w:spacing w:val="-3"/>
          <w:sz w:val="21"/>
        </w:rPr>
        <w:t>核算，按照有关规定编制基金会计报表； </w:t>
      </w:r>
    </w:p>
    <w:p>
      <w:pPr>
        <w:pStyle w:val="ListParagraph"/>
        <w:numPr>
          <w:ilvl w:val="0"/>
          <w:numId w:val="52"/>
        </w:numPr>
        <w:tabs>
          <w:tab w:pos="1017" w:val="left" w:leader="none"/>
          <w:tab w:pos="1018" w:val="left" w:leader="none"/>
        </w:tabs>
        <w:spacing w:line="417" w:lineRule="auto" w:before="0" w:after="0"/>
        <w:ind w:left="1018" w:right="439" w:hanging="420"/>
        <w:jc w:val="left"/>
        <w:rPr>
          <w:sz w:val="21"/>
        </w:rPr>
      </w:pPr>
      <w:r>
        <w:rPr>
          <w:spacing w:val="-1"/>
          <w:sz w:val="21"/>
        </w:rPr>
        <w:t>基金托管人每月与基金管理人就基金的会计核算、报表编制等进行核对并以书面方式确认。 </w:t>
      </w:r>
    </w:p>
    <w:p>
      <w:pPr>
        <w:pStyle w:val="BodyText"/>
        <w:spacing w:before="3"/>
        <w:rPr>
          <w:sz w:val="17"/>
        </w:rPr>
      </w:pPr>
    </w:p>
    <w:p>
      <w:pPr>
        <w:pStyle w:val="Heading2"/>
        <w:rPr>
          <w:rFonts w:ascii="宋体" w:eastAsia="宋体" w:hint="eastAsia"/>
          <w:b w:val="0"/>
        </w:rPr>
      </w:pPr>
      <w:bookmarkStart w:name="_bookmark77" w:id="78"/>
      <w:bookmarkEnd w:id="78"/>
      <w:r>
        <w:rPr>
          <w:b w:val="0"/>
        </w:rPr>
      </w:r>
      <w:r>
        <w:rPr/>
        <w:t>（二）基金审计</w:t>
      </w:r>
      <w:r>
        <w:rPr>
          <w:rFonts w:ascii="宋体" w:eastAsia="宋体" w:hint="eastAsia"/>
          <w:b w:val="0"/>
        </w:rPr>
        <w:t> </w:t>
      </w:r>
    </w:p>
    <w:p>
      <w:pPr>
        <w:pStyle w:val="BodyText"/>
        <w:spacing w:before="1"/>
        <w:rPr>
          <w:sz w:val="35"/>
        </w:rPr>
      </w:pPr>
    </w:p>
    <w:p>
      <w:pPr>
        <w:pStyle w:val="ListParagraph"/>
        <w:numPr>
          <w:ilvl w:val="0"/>
          <w:numId w:val="53"/>
        </w:numPr>
        <w:tabs>
          <w:tab w:pos="1018" w:val="left" w:leader="none"/>
        </w:tabs>
        <w:spacing w:line="417" w:lineRule="auto" w:before="0" w:after="0"/>
        <w:ind w:left="1018" w:right="437" w:hanging="420"/>
        <w:jc w:val="both"/>
        <w:rPr>
          <w:sz w:val="21"/>
        </w:rPr>
      </w:pPr>
      <w:r>
        <w:rPr>
          <w:spacing w:val="-1"/>
          <w:sz w:val="21"/>
        </w:rPr>
        <w:t>基金管理人聘请具有证券、期货相关业务资格资格的会计师事务所及其注册会计师对基金年度财务报表及其它规定事项进行审计。会计师事务所及其注册会计师</w:t>
      </w:r>
      <w:r>
        <w:rPr>
          <w:spacing w:val="-3"/>
          <w:sz w:val="21"/>
        </w:rPr>
        <w:t>与基金管理人、基金托管人相互独立。 </w:t>
      </w:r>
    </w:p>
    <w:p>
      <w:pPr>
        <w:pStyle w:val="ListParagraph"/>
        <w:numPr>
          <w:ilvl w:val="0"/>
          <w:numId w:val="53"/>
        </w:numPr>
        <w:tabs>
          <w:tab w:pos="1018" w:val="left" w:leader="none"/>
        </w:tabs>
        <w:spacing w:line="269" w:lineRule="exact" w:before="0" w:after="0"/>
        <w:ind w:left="1018" w:right="0" w:hanging="420"/>
        <w:jc w:val="both"/>
        <w:rPr>
          <w:sz w:val="21"/>
        </w:rPr>
      </w:pPr>
      <w:r>
        <w:rPr>
          <w:spacing w:val="-3"/>
          <w:sz w:val="21"/>
        </w:rPr>
        <w:t>会计师事务所更换经办注册会计师时，须事先征得基金管理人同意； </w:t>
      </w:r>
      <w:r>
        <w:rPr>
          <w:sz w:val="21"/>
        </w:rPr>
        <w:t> </w:t>
      </w:r>
    </w:p>
    <w:p>
      <w:pPr>
        <w:pStyle w:val="BodyText"/>
        <w:spacing w:before="7"/>
        <w:rPr>
          <w:sz w:val="15"/>
        </w:rPr>
      </w:pPr>
    </w:p>
    <w:p>
      <w:pPr>
        <w:pStyle w:val="ListParagraph"/>
        <w:numPr>
          <w:ilvl w:val="0"/>
          <w:numId w:val="53"/>
        </w:numPr>
        <w:tabs>
          <w:tab w:pos="1017" w:val="left" w:leader="none"/>
          <w:tab w:pos="1018" w:val="left" w:leader="none"/>
        </w:tabs>
        <w:spacing w:line="240" w:lineRule="auto" w:before="0" w:after="0"/>
        <w:ind w:left="1018" w:right="0" w:hanging="420"/>
        <w:jc w:val="left"/>
        <w:rPr>
          <w:sz w:val="21"/>
        </w:rPr>
      </w:pPr>
      <w:r>
        <w:rPr>
          <w:sz w:val="21"/>
        </w:rPr>
        <w:t>基金管理人（或基金托管人）认为有充足理由更换会计师事务所，经基金托管人</w:t>
      </w:r>
    </w:p>
    <w:p>
      <w:pPr>
        <w:pStyle w:val="BodyText"/>
        <w:spacing w:before="7"/>
        <w:rPr>
          <w:sz w:val="15"/>
        </w:rPr>
      </w:pPr>
    </w:p>
    <w:p>
      <w:pPr>
        <w:pStyle w:val="BodyText"/>
        <w:spacing w:line="417" w:lineRule="auto"/>
        <w:ind w:left="1018" w:right="375"/>
      </w:pPr>
      <w:r>
        <w:rPr/>
        <w:t>（或基金管理人）同意后可以更换。基金管理人应当在更换会计师事务所后 2 日内公告。 </w:t>
      </w:r>
    </w:p>
    <w:p>
      <w:pPr>
        <w:pStyle w:val="BodyText"/>
        <w:spacing w:before="9"/>
      </w:pPr>
    </w:p>
    <w:p>
      <w:pPr>
        <w:pStyle w:val="BodyText"/>
        <w:ind w:left="118"/>
      </w:pPr>
      <w:r>
        <w:rPr>
          <w:w w:val="100"/>
        </w:rPr>
        <w:t> </w:t>
      </w:r>
    </w:p>
    <w:p>
      <w:pPr>
        <w:spacing w:after="0"/>
        <w:sectPr>
          <w:pgSz w:w="11910" w:h="16850"/>
          <w:pgMar w:header="852" w:footer="1386" w:top="1420" w:bottom="1580" w:left="1680" w:right="1360"/>
        </w:sectPr>
      </w:pPr>
    </w:p>
    <w:p>
      <w:pPr>
        <w:pStyle w:val="Heading1"/>
        <w:tabs>
          <w:tab w:pos="1679" w:val="left" w:leader="none"/>
        </w:tabs>
        <w:ind w:right="321"/>
      </w:pPr>
      <w:bookmarkStart w:name="_bookmark78" w:id="79"/>
      <w:bookmarkEnd w:id="79"/>
      <w:r>
        <w:rPr/>
      </w:r>
      <w:r>
        <w:rPr/>
        <w:t>二十一、</w:t>
        <w:tab/>
        <w:t>基金的信息披露</w:t>
      </w:r>
    </w:p>
    <w:p>
      <w:pPr>
        <w:pStyle w:val="BodyText"/>
        <w:spacing w:before="2"/>
        <w:rPr>
          <w:sz w:val="38"/>
        </w:rPr>
      </w:pPr>
    </w:p>
    <w:p>
      <w:pPr>
        <w:pStyle w:val="BodyText"/>
        <w:spacing w:line="417" w:lineRule="auto" w:before="1"/>
        <w:ind w:left="118" w:right="434" w:firstLine="479"/>
        <w:jc w:val="both"/>
      </w:pPr>
      <w:r>
        <w:rPr>
          <w:spacing w:val="-20"/>
        </w:rPr>
        <w:t>本基金的信息披露将严格按照《基金法》、《运作办法》、《证券投资基金信息披露管理</w:t>
      </w:r>
      <w:r>
        <w:rPr>
          <w:spacing w:val="-21"/>
        </w:rPr>
        <w:t>办法》、基金合同及其它有关规定进行。相关法律法规关于信息披露的披露方式、登载媒介、</w:t>
      </w:r>
      <w:r>
        <w:rPr>
          <w:spacing w:val="-8"/>
        </w:rPr>
        <w:t>报备方式等规定发生变化时，本基金从其最新规定。</w:t>
      </w:r>
    </w:p>
    <w:p>
      <w:pPr>
        <w:pStyle w:val="BodyText"/>
        <w:rPr>
          <w:sz w:val="20"/>
        </w:rPr>
      </w:pPr>
    </w:p>
    <w:p>
      <w:pPr>
        <w:pStyle w:val="BodyText"/>
        <w:rPr>
          <w:sz w:val="20"/>
        </w:rPr>
      </w:pPr>
    </w:p>
    <w:p>
      <w:pPr>
        <w:pStyle w:val="BodyText"/>
        <w:rPr>
          <w:sz w:val="20"/>
        </w:rPr>
      </w:pPr>
    </w:p>
    <w:p>
      <w:pPr>
        <w:pStyle w:val="BodyText"/>
        <w:spacing w:before="9"/>
        <w:rPr>
          <w:sz w:val="22"/>
        </w:rPr>
      </w:pPr>
    </w:p>
    <w:p>
      <w:pPr>
        <w:spacing w:before="0"/>
        <w:ind w:left="118" w:right="0" w:firstLine="0"/>
        <w:jc w:val="left"/>
        <w:rPr>
          <w:sz w:val="28"/>
        </w:rPr>
      </w:pPr>
      <w:bookmarkStart w:name="_bookmark79" w:id="80"/>
      <w:bookmarkEnd w:id="80"/>
      <w:r>
        <w:rPr/>
      </w:r>
      <w:r>
        <w:rPr>
          <w:sz w:val="28"/>
        </w:rPr>
        <w:t>（一）招募说明书、基金产品资料概要 </w:t>
      </w:r>
    </w:p>
    <w:p>
      <w:pPr>
        <w:pStyle w:val="BodyText"/>
        <w:spacing w:before="1"/>
        <w:rPr>
          <w:sz w:val="40"/>
        </w:rPr>
      </w:pPr>
    </w:p>
    <w:p>
      <w:pPr>
        <w:pStyle w:val="BodyText"/>
        <w:spacing w:line="417" w:lineRule="auto"/>
        <w:ind w:left="118" w:right="332" w:firstLine="479"/>
        <w:jc w:val="both"/>
      </w:pPr>
      <w:r>
        <w:rPr/>
        <w:t>1</w:t>
      </w:r>
      <w:r>
        <w:rPr>
          <w:spacing w:val="-8"/>
        </w:rPr>
        <w:t>、基金招募说明书应当最大限度地披露影响基金投资者决策的全部事项，说明基金认</w:t>
      </w:r>
      <w:r>
        <w:rPr>
          <w:spacing w:val="-12"/>
        </w:rPr>
        <w:t>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w:t>
      </w:r>
      <w:r>
        <w:rPr>
          <w:spacing w:val="-22"/>
        </w:rPr>
        <w:t>的，基金管理人至少每年更新一次。基金终止运作的，基金管理人不再更新基金招募说明书。 </w:t>
      </w:r>
    </w:p>
    <w:p>
      <w:pPr>
        <w:pStyle w:val="BodyText"/>
        <w:spacing w:before="8"/>
      </w:pPr>
    </w:p>
    <w:p>
      <w:pPr>
        <w:pStyle w:val="BodyText"/>
        <w:spacing w:line="417" w:lineRule="auto"/>
        <w:ind w:left="118" w:right="433" w:firstLine="479"/>
        <w:jc w:val="both"/>
      </w:pPr>
      <w:r>
        <w:rPr/>
        <w:t>2</w:t>
      </w:r>
      <w:r>
        <w:rPr>
          <w:spacing w:val="-8"/>
        </w:rPr>
        <w:t>、基金产品资料概要是基金招募说明书的摘要文件，用于向投资者提供简明的基金概</w:t>
      </w:r>
      <w:r>
        <w:rPr>
          <w:spacing w:val="-13"/>
        </w:rPr>
        <w:t>要信息。《基金合同》生效后，基金产品资料概要的信息发生重大变更的，基金管理人应当在三个工作日内，更新基金产品资料概要，并登载在指定网站及基金销售机构网站或营业网</w:t>
      </w:r>
      <w:r>
        <w:rPr>
          <w:spacing w:val="-11"/>
        </w:rPr>
        <w:t>点；基金产品资料概要其他信息发生变更的，基金管理人至少每年更新一次。基金终止运作</w:t>
      </w:r>
      <w:r>
        <w:rPr>
          <w:spacing w:val="-6"/>
        </w:rPr>
        <w:t>的，基金管理人不再更新基金产品资料概要。</w:t>
      </w:r>
      <w:r>
        <w:rPr/>
        <w:t> </w:t>
      </w:r>
    </w:p>
    <w:p>
      <w:pPr>
        <w:pStyle w:val="BodyText"/>
        <w:spacing w:before="6"/>
        <w:rPr>
          <w:sz w:val="24"/>
        </w:rPr>
      </w:pPr>
    </w:p>
    <w:p>
      <w:pPr>
        <w:spacing w:before="0"/>
        <w:ind w:left="118" w:right="0" w:firstLine="0"/>
        <w:jc w:val="left"/>
        <w:rPr>
          <w:sz w:val="28"/>
        </w:rPr>
      </w:pPr>
      <w:bookmarkStart w:name="_bookmark80" w:id="81"/>
      <w:bookmarkEnd w:id="81"/>
      <w:r>
        <w:rPr/>
      </w:r>
      <w:r>
        <w:rPr>
          <w:sz w:val="28"/>
        </w:rPr>
        <w:t>（二）份额发售公告</w:t>
      </w:r>
    </w:p>
    <w:p>
      <w:pPr>
        <w:pStyle w:val="BodyText"/>
        <w:rPr>
          <w:sz w:val="40"/>
        </w:rPr>
      </w:pPr>
    </w:p>
    <w:p>
      <w:pPr>
        <w:pStyle w:val="BodyText"/>
        <w:spacing w:line="417" w:lineRule="auto" w:before="1"/>
        <w:ind w:left="118" w:right="434" w:firstLine="479"/>
      </w:pPr>
      <w:r>
        <w:rPr>
          <w:spacing w:val="-28"/>
        </w:rPr>
        <w:t>本基金管理人依据《基金法》、《运作办法》、《证券投资基金信息披露管理办法》、基金</w:t>
      </w:r>
      <w:r>
        <w:rPr>
          <w:spacing w:val="-9"/>
        </w:rPr>
        <w:t>合同等有关规定编制并发布份额发售公告。</w:t>
      </w:r>
    </w:p>
    <w:p>
      <w:pPr>
        <w:pStyle w:val="BodyText"/>
        <w:spacing w:before="4"/>
        <w:rPr>
          <w:sz w:val="24"/>
        </w:rPr>
      </w:pPr>
    </w:p>
    <w:p>
      <w:pPr>
        <w:spacing w:before="0"/>
        <w:ind w:left="118" w:right="0" w:firstLine="0"/>
        <w:jc w:val="left"/>
        <w:rPr>
          <w:sz w:val="28"/>
        </w:rPr>
      </w:pPr>
      <w:bookmarkStart w:name="_bookmark81" w:id="82"/>
      <w:bookmarkEnd w:id="82"/>
      <w:r>
        <w:rPr/>
      </w:r>
      <w:r>
        <w:rPr>
          <w:sz w:val="28"/>
        </w:rPr>
        <w:t>（三</w:t>
      </w:r>
      <w:r>
        <w:rPr>
          <w:spacing w:val="-32"/>
          <w:sz w:val="28"/>
        </w:rPr>
        <w:t>）</w:t>
      </w:r>
      <w:r>
        <w:rPr>
          <w:spacing w:val="-9"/>
          <w:sz w:val="28"/>
        </w:rPr>
        <w:t>定期报告，包括基金年度报告、基金中期报告和基金季度报告</w:t>
      </w:r>
    </w:p>
    <w:p>
      <w:pPr>
        <w:pStyle w:val="BodyText"/>
        <w:rPr>
          <w:sz w:val="40"/>
        </w:rPr>
      </w:pPr>
    </w:p>
    <w:p>
      <w:pPr>
        <w:pStyle w:val="BodyText"/>
        <w:spacing w:line="417" w:lineRule="auto"/>
        <w:ind w:left="118" w:right="433" w:firstLine="419"/>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p>
    <w:p>
      <w:pPr>
        <w:spacing w:after="0" w:line="417" w:lineRule="auto"/>
        <w:sectPr>
          <w:pgSz w:w="11910" w:h="16850"/>
          <w:pgMar w:header="852" w:footer="1386" w:top="1420" w:bottom="1580" w:left="1680" w:right="1360"/>
        </w:sectPr>
      </w:pPr>
    </w:p>
    <w:p>
      <w:pPr>
        <w:pStyle w:val="BodyText"/>
        <w:spacing w:before="142"/>
        <w:ind w:left="118"/>
      </w:pPr>
      <w:r>
        <w:rPr>
          <w:spacing w:val="-3"/>
        </w:rPr>
        <w:t>告应当经过具有证券、期货相关业务资格的会计师事务所审计。</w:t>
      </w:r>
      <w:r>
        <w:rPr/>
        <w:t> </w:t>
      </w:r>
    </w:p>
    <w:p>
      <w:pPr>
        <w:pStyle w:val="BodyText"/>
        <w:rPr>
          <w:sz w:val="20"/>
        </w:rPr>
      </w:pPr>
    </w:p>
    <w:p>
      <w:pPr>
        <w:pStyle w:val="BodyText"/>
        <w:spacing w:before="5"/>
        <w:rPr>
          <w:sz w:val="17"/>
        </w:rPr>
      </w:pPr>
    </w:p>
    <w:p>
      <w:pPr>
        <w:pStyle w:val="BodyText"/>
        <w:spacing w:line="417" w:lineRule="auto"/>
        <w:ind w:left="118" w:right="433" w:firstLine="419"/>
      </w:pPr>
      <w:r>
        <w:rPr>
          <w:spacing w:val="-8"/>
        </w:rPr>
        <w:t>基金管理人应当在上半年结束之日起两个月内，编制完成基金中期报告，将中期报告登</w:t>
      </w:r>
      <w:r>
        <w:rPr>
          <w:spacing w:val="-5"/>
        </w:rPr>
        <w:t>载在指定网站上，并将中期报告提示性公告登载在指定报刊上。</w:t>
      </w:r>
      <w:r>
        <w:rPr/>
        <w:t> </w:t>
      </w:r>
    </w:p>
    <w:p>
      <w:pPr>
        <w:pStyle w:val="BodyText"/>
        <w:spacing w:before="9"/>
      </w:pPr>
    </w:p>
    <w:p>
      <w:pPr>
        <w:pStyle w:val="BodyText"/>
        <w:spacing w:line="417" w:lineRule="auto"/>
        <w:ind w:left="118" w:right="433" w:firstLine="419"/>
      </w:pPr>
      <w:r>
        <w:rPr>
          <w:spacing w:val="-5"/>
        </w:rPr>
        <w:t>基金管理人应当在季度结束之日起 </w:t>
      </w:r>
      <w:r>
        <w:rPr/>
        <w:t>15</w:t>
      </w:r>
      <w:r>
        <w:rPr>
          <w:spacing w:val="-7"/>
        </w:rPr>
        <w:t> 个工作日内，编制完成基金季度报告，将季度报</w:t>
      </w:r>
      <w:r>
        <w:rPr>
          <w:spacing w:val="-5"/>
        </w:rPr>
        <w:t>告登载在指定网站上，并将季度报告提示性公告登载在指定报刊上。</w:t>
      </w:r>
      <w:r>
        <w:rPr/>
        <w:t> </w:t>
      </w:r>
    </w:p>
    <w:p>
      <w:pPr>
        <w:pStyle w:val="BodyText"/>
        <w:spacing w:before="11"/>
      </w:pPr>
    </w:p>
    <w:p>
      <w:pPr>
        <w:pStyle w:val="BodyText"/>
        <w:spacing w:line="417" w:lineRule="auto" w:before="1"/>
        <w:ind w:left="118" w:right="433" w:firstLine="419"/>
      </w:pPr>
      <w:r>
        <w:rPr>
          <w:spacing w:val="-10"/>
        </w:rPr>
        <w:t>《基金合同》生效不足 </w:t>
      </w:r>
      <w:r>
        <w:rPr/>
        <w:t>2</w:t>
      </w:r>
      <w:r>
        <w:rPr>
          <w:spacing w:val="-11"/>
        </w:rPr>
        <w:t> 个月的，基金管理人可以不编制当期季度报告、中期报告或者</w:t>
      </w:r>
      <w:r>
        <w:rPr>
          <w:spacing w:val="-7"/>
        </w:rPr>
        <w:t>年度报告。</w:t>
      </w:r>
      <w:r>
        <w:rPr/>
        <w:t> </w:t>
      </w:r>
    </w:p>
    <w:p>
      <w:pPr>
        <w:pStyle w:val="BodyText"/>
        <w:spacing w:before="11"/>
      </w:pPr>
    </w:p>
    <w:p>
      <w:pPr>
        <w:pStyle w:val="BodyText"/>
        <w:spacing w:line="417" w:lineRule="auto" w:before="1"/>
        <w:ind w:left="118" w:right="332" w:firstLine="419"/>
        <w:jc w:val="both"/>
      </w:pPr>
      <w:r>
        <w:rPr>
          <w:spacing w:val="-5"/>
        </w:rPr>
        <w:t>报告期内出现单一投资者持有基金份额比例达到或超过 </w:t>
      </w:r>
      <w:r>
        <w:rPr/>
        <w:t>20</w:t>
      </w:r>
      <w:r>
        <w:rPr>
          <w:spacing w:val="-9"/>
        </w:rPr>
        <w:t>%的情形，基金管理人应当在</w:t>
      </w:r>
      <w:r>
        <w:rPr>
          <w:spacing w:val="-12"/>
        </w:rPr>
        <w:t>季度报告、中期报告、年度报告等定期报告文件中披露该投资者的类别、报告期末持有份额</w:t>
      </w:r>
      <w:r>
        <w:rPr>
          <w:spacing w:val="-10"/>
        </w:rPr>
        <w:t>及占比、报告期内持有份额变化情况及产品的特有风险，中国证监会认定的特殊情形除外。</w:t>
      </w:r>
      <w:r>
        <w:rPr/>
        <w:t> </w:t>
      </w:r>
    </w:p>
    <w:p>
      <w:pPr>
        <w:pStyle w:val="BodyText"/>
        <w:spacing w:before="8"/>
      </w:pPr>
    </w:p>
    <w:p>
      <w:pPr>
        <w:pStyle w:val="BodyText"/>
        <w:spacing w:line="417" w:lineRule="auto" w:before="1"/>
        <w:ind w:left="118" w:right="433" w:firstLine="419"/>
        <w:jc w:val="both"/>
      </w:pPr>
      <w:r>
        <w:rPr>
          <w:spacing w:val="-4"/>
        </w:rPr>
        <w:t>基金管理人应当在本基金年度报告、中期报告中，至少披露报告期末基金前 </w:t>
      </w:r>
      <w:r>
        <w:rPr/>
        <w:t>10</w:t>
      </w:r>
      <w:r>
        <w:rPr>
          <w:spacing w:val="-9"/>
        </w:rPr>
        <w:t> 名份额</w:t>
      </w:r>
      <w:r>
        <w:rPr>
          <w:spacing w:val="-5"/>
        </w:rPr>
        <w:t>持有人的类别、持有份额及占总份额的比例等信息。 </w:t>
      </w:r>
    </w:p>
    <w:p>
      <w:pPr>
        <w:pStyle w:val="BodyText"/>
        <w:spacing w:before="11"/>
      </w:pPr>
    </w:p>
    <w:p>
      <w:pPr>
        <w:pStyle w:val="BodyText"/>
        <w:spacing w:line="417" w:lineRule="auto"/>
        <w:ind w:left="118" w:right="433" w:firstLine="419"/>
      </w:pPr>
      <w:r>
        <w:rPr>
          <w:spacing w:val="-12"/>
        </w:rPr>
        <w:t>基金持续运作过程中，基金管理人应当在基金年度报告和中期报告中披露基金组合资产</w:t>
      </w:r>
      <w:r>
        <w:rPr>
          <w:spacing w:val="-6"/>
        </w:rPr>
        <w:t>情况及其流动性风险分析等。</w:t>
      </w:r>
      <w:r>
        <w:rPr/>
        <w:t> </w:t>
      </w:r>
    </w:p>
    <w:p>
      <w:pPr>
        <w:pStyle w:val="BodyText"/>
        <w:rPr>
          <w:sz w:val="20"/>
        </w:rPr>
      </w:pPr>
    </w:p>
    <w:p>
      <w:pPr>
        <w:pStyle w:val="BodyText"/>
        <w:rPr>
          <w:sz w:val="20"/>
        </w:rPr>
      </w:pPr>
    </w:p>
    <w:p>
      <w:pPr>
        <w:pStyle w:val="BodyText"/>
        <w:rPr>
          <w:sz w:val="20"/>
        </w:rPr>
      </w:pPr>
    </w:p>
    <w:p>
      <w:pPr>
        <w:pStyle w:val="BodyText"/>
        <w:spacing w:before="12"/>
        <w:rPr>
          <w:sz w:val="22"/>
        </w:rPr>
      </w:pPr>
    </w:p>
    <w:p>
      <w:pPr>
        <w:spacing w:before="0"/>
        <w:ind w:left="118" w:right="0" w:firstLine="0"/>
        <w:jc w:val="left"/>
        <w:rPr>
          <w:sz w:val="28"/>
        </w:rPr>
      </w:pPr>
      <w:bookmarkStart w:name="_bookmark82" w:id="83"/>
      <w:bookmarkEnd w:id="83"/>
      <w:r>
        <w:rPr/>
      </w:r>
      <w:r>
        <w:rPr>
          <w:sz w:val="28"/>
        </w:rPr>
        <w:t>（四）临时报告与公告</w:t>
      </w:r>
    </w:p>
    <w:p>
      <w:pPr>
        <w:pStyle w:val="BodyText"/>
        <w:spacing w:before="11"/>
        <w:rPr>
          <w:sz w:val="39"/>
        </w:rPr>
      </w:pPr>
    </w:p>
    <w:p>
      <w:pPr>
        <w:pStyle w:val="BodyText"/>
        <w:spacing w:line="417" w:lineRule="auto"/>
        <w:ind w:left="118" w:right="433" w:firstLine="479"/>
        <w:jc w:val="both"/>
      </w:pPr>
      <w:r>
        <w:rPr>
          <w:spacing w:val="-12"/>
        </w:rPr>
        <w:t>本基金发生重大事件，有关信息披露义务人应当在 </w:t>
      </w:r>
      <w:r>
        <w:rPr/>
        <w:t>2</w:t>
      </w:r>
      <w:r>
        <w:rPr>
          <w:spacing w:val="-13"/>
        </w:rPr>
        <w:t> 日内编制临时报告书，予以公告， </w:t>
      </w:r>
      <w:r>
        <w:rPr>
          <w:spacing w:val="-6"/>
        </w:rPr>
        <w:t>并登载在指定报刊和指定网站上。</w:t>
      </w:r>
      <w:r>
        <w:rPr/>
        <w:t> </w:t>
      </w:r>
    </w:p>
    <w:p>
      <w:pPr>
        <w:pStyle w:val="BodyText"/>
        <w:spacing w:before="12"/>
      </w:pPr>
    </w:p>
    <w:p>
      <w:pPr>
        <w:pStyle w:val="BodyText"/>
        <w:spacing w:line="417" w:lineRule="auto"/>
        <w:ind w:left="118" w:right="437" w:firstLine="479"/>
      </w:pPr>
      <w:r>
        <w:rPr/>
        <w:t>前款所称重大事件，是指可能对基金份额持有人权益或者基金份额的价格产生重大影响的下列事件： </w:t>
      </w:r>
    </w:p>
    <w:p>
      <w:pPr>
        <w:pStyle w:val="BodyText"/>
        <w:spacing w:before="9"/>
      </w:pPr>
    </w:p>
    <w:p>
      <w:pPr>
        <w:pStyle w:val="BodyText"/>
        <w:ind w:left="598"/>
      </w:pPr>
      <w:r>
        <w:rPr/>
        <w:t>1、基金份额持有人大会的召开及决定的事项； </w:t>
      </w:r>
    </w:p>
    <w:p>
      <w:pPr>
        <w:pStyle w:val="BodyText"/>
        <w:rPr>
          <w:sz w:val="20"/>
        </w:rPr>
      </w:pPr>
    </w:p>
    <w:p>
      <w:pPr>
        <w:pStyle w:val="BodyText"/>
        <w:spacing w:before="5"/>
        <w:rPr>
          <w:sz w:val="17"/>
        </w:rPr>
      </w:pPr>
    </w:p>
    <w:p>
      <w:pPr>
        <w:pStyle w:val="BodyText"/>
        <w:spacing w:before="1"/>
        <w:ind w:left="598"/>
      </w:pPr>
      <w:r>
        <w:rPr/>
        <w:t>2、基金终止上市交易、基金合同终止、基金清算； </w:t>
      </w:r>
    </w:p>
    <w:p>
      <w:pPr>
        <w:spacing w:after="0"/>
        <w:sectPr>
          <w:pgSz w:w="11910" w:h="16850"/>
          <w:pgMar w:header="852" w:footer="1386" w:top="1420" w:bottom="1580" w:left="1680" w:right="1360"/>
        </w:sectPr>
      </w:pPr>
    </w:p>
    <w:p>
      <w:pPr>
        <w:pStyle w:val="BodyText"/>
        <w:spacing w:before="142"/>
        <w:ind w:left="598"/>
      </w:pPr>
      <w:r>
        <w:rPr/>
        <w:t>3、转换基金运作方式、基金合并； </w:t>
      </w:r>
    </w:p>
    <w:p>
      <w:pPr>
        <w:pStyle w:val="BodyText"/>
        <w:rPr>
          <w:sz w:val="20"/>
        </w:rPr>
      </w:pPr>
    </w:p>
    <w:p>
      <w:pPr>
        <w:pStyle w:val="BodyText"/>
        <w:spacing w:before="5"/>
        <w:rPr>
          <w:sz w:val="17"/>
        </w:rPr>
      </w:pPr>
    </w:p>
    <w:p>
      <w:pPr>
        <w:pStyle w:val="BodyText"/>
        <w:ind w:left="598"/>
      </w:pPr>
      <w:r>
        <w:rPr/>
        <w:t>4、更换基金管理人、基金托管人、基金份额登记机构，基金改聘会计师事务所； </w:t>
      </w:r>
    </w:p>
    <w:p>
      <w:pPr>
        <w:pStyle w:val="BodyText"/>
        <w:rPr>
          <w:sz w:val="20"/>
        </w:rPr>
      </w:pPr>
    </w:p>
    <w:p>
      <w:pPr>
        <w:pStyle w:val="BodyText"/>
        <w:spacing w:before="3"/>
        <w:rPr>
          <w:sz w:val="17"/>
        </w:rPr>
      </w:pPr>
    </w:p>
    <w:p>
      <w:pPr>
        <w:pStyle w:val="BodyText"/>
        <w:spacing w:line="417" w:lineRule="auto" w:before="1"/>
        <w:ind w:left="118" w:right="434" w:firstLine="479"/>
      </w:pPr>
      <w:r>
        <w:rPr/>
        <w:t>5</w:t>
      </w:r>
      <w:r>
        <w:rPr>
          <w:spacing w:val="-8"/>
        </w:rPr>
        <w:t>、基金管理人委托基金服务机构代为办理基金的份额登记、核算、估值等事项，基金</w:t>
      </w:r>
      <w:r>
        <w:rPr>
          <w:spacing w:val="-5"/>
        </w:rPr>
        <w:t>托管人委托基金服务机构代为办理基金的核算、估值、复核等事项；</w:t>
      </w:r>
      <w:r>
        <w:rPr/>
        <w:t> </w:t>
      </w:r>
    </w:p>
    <w:p>
      <w:pPr>
        <w:pStyle w:val="BodyText"/>
        <w:spacing w:before="11"/>
      </w:pPr>
    </w:p>
    <w:p>
      <w:pPr>
        <w:pStyle w:val="BodyText"/>
        <w:ind w:left="598"/>
      </w:pPr>
      <w:r>
        <w:rPr/>
        <w:t>6、基金管理人、基金托管人的法定名称、住所发生变更； </w:t>
      </w:r>
    </w:p>
    <w:p>
      <w:pPr>
        <w:pStyle w:val="BodyText"/>
        <w:rPr>
          <w:sz w:val="20"/>
        </w:rPr>
      </w:pPr>
    </w:p>
    <w:p>
      <w:pPr>
        <w:pStyle w:val="BodyText"/>
        <w:spacing w:before="5"/>
        <w:rPr>
          <w:sz w:val="17"/>
        </w:rPr>
      </w:pPr>
    </w:p>
    <w:p>
      <w:pPr>
        <w:pStyle w:val="BodyText"/>
        <w:spacing w:before="1"/>
        <w:ind w:left="598"/>
      </w:pPr>
      <w:r>
        <w:rPr/>
        <w:t>7、基金管理公司变更持有百分之五以上股权的股东、基金管理人的实际控制人变更； </w:t>
      </w:r>
    </w:p>
    <w:p>
      <w:pPr>
        <w:pStyle w:val="BodyText"/>
        <w:rPr>
          <w:sz w:val="20"/>
        </w:rPr>
      </w:pPr>
    </w:p>
    <w:p>
      <w:pPr>
        <w:pStyle w:val="BodyText"/>
        <w:spacing w:before="3"/>
        <w:rPr>
          <w:sz w:val="17"/>
        </w:rPr>
      </w:pPr>
    </w:p>
    <w:p>
      <w:pPr>
        <w:pStyle w:val="BodyText"/>
        <w:spacing w:before="1"/>
        <w:ind w:left="598"/>
      </w:pPr>
      <w:r>
        <w:rPr/>
        <w:t>8、基金募集期延长或提前结束募集； </w:t>
      </w:r>
    </w:p>
    <w:p>
      <w:pPr>
        <w:pStyle w:val="BodyText"/>
        <w:rPr>
          <w:sz w:val="20"/>
        </w:rPr>
      </w:pPr>
    </w:p>
    <w:p>
      <w:pPr>
        <w:pStyle w:val="BodyText"/>
        <w:spacing w:before="5"/>
        <w:rPr>
          <w:sz w:val="17"/>
        </w:rPr>
      </w:pPr>
    </w:p>
    <w:p>
      <w:pPr>
        <w:pStyle w:val="BodyText"/>
        <w:spacing w:line="417" w:lineRule="auto"/>
        <w:ind w:left="118" w:right="434" w:firstLine="479"/>
      </w:pPr>
      <w:r>
        <w:rPr/>
        <w:t>9</w:t>
      </w:r>
      <w:r>
        <w:rPr>
          <w:spacing w:val="-9"/>
        </w:rPr>
        <w:t>、基金管理人的高级管理人员、基金经理和基金托管人专门基金托管部门负责人发生</w:t>
      </w:r>
      <w:r>
        <w:rPr>
          <w:spacing w:val="-8"/>
        </w:rPr>
        <w:t>变动；</w:t>
      </w:r>
      <w:r>
        <w:rPr/>
        <w:t> </w:t>
      </w:r>
    </w:p>
    <w:p>
      <w:pPr>
        <w:pStyle w:val="BodyText"/>
        <w:spacing w:before="11"/>
      </w:pPr>
    </w:p>
    <w:p>
      <w:pPr>
        <w:pStyle w:val="BodyText"/>
        <w:spacing w:before="1"/>
        <w:ind w:left="598"/>
      </w:pPr>
      <w:r>
        <w:rPr/>
        <w:t>10、基金管理人的董事在最近 12 个月内变更超过百分之五十，基金管理人、基金托管</w:t>
      </w:r>
    </w:p>
    <w:p>
      <w:pPr>
        <w:pStyle w:val="BodyText"/>
        <w:spacing w:before="6"/>
        <w:rPr>
          <w:sz w:val="15"/>
        </w:rPr>
      </w:pPr>
    </w:p>
    <w:p>
      <w:pPr>
        <w:pStyle w:val="BodyText"/>
        <w:spacing w:line="667" w:lineRule="auto"/>
        <w:ind w:left="598" w:right="1602" w:hanging="480"/>
        <w:jc w:val="both"/>
      </w:pPr>
      <w:r>
        <w:rPr>
          <w:spacing w:val="-6"/>
        </w:rPr>
        <w:t>人专门基金托管部门的主要业务人员在最近 </w:t>
      </w:r>
      <w:r>
        <w:rPr/>
        <w:t>12</w:t>
      </w:r>
      <w:r>
        <w:rPr>
          <w:spacing w:val="-8"/>
        </w:rPr>
        <w:t> 个月内变动超过百分之三十； 11</w:t>
      </w:r>
      <w:r>
        <w:rPr>
          <w:spacing w:val="-4"/>
        </w:rPr>
        <w:t>、涉及基金管理业务、基金财产、基金托管业务的诉讼或者仲裁；</w:t>
      </w:r>
      <w:r>
        <w:rPr/>
        <w:t> </w:t>
      </w:r>
    </w:p>
    <w:p>
      <w:pPr>
        <w:pStyle w:val="BodyText"/>
        <w:spacing w:line="417" w:lineRule="auto"/>
        <w:ind w:left="118" w:right="433" w:firstLine="479"/>
        <w:jc w:val="both"/>
      </w:pPr>
      <w:r>
        <w:rPr/>
        <w:t>12</w:t>
      </w:r>
      <w:r>
        <w:rPr>
          <w:spacing w:val="-1"/>
        </w:rPr>
        <w:t>、基金管理人或其高级管理人员、基金经理因基金管理业务相关行为受到重大行政</w:t>
      </w:r>
      <w:r>
        <w:rPr>
          <w:spacing w:val="-12"/>
        </w:rPr>
        <w:t>处罚、刑事处罚，基金托管人或其专门基金托管部门负责人因基金托管业务相关行为受到重</w:t>
      </w:r>
      <w:r>
        <w:rPr>
          <w:spacing w:val="-6"/>
        </w:rPr>
        <w:t>大行政处罚、刑事处罚；</w:t>
      </w:r>
      <w:r>
        <w:rPr/>
        <w:t> </w:t>
      </w:r>
    </w:p>
    <w:p>
      <w:pPr>
        <w:pStyle w:val="BodyText"/>
        <w:spacing w:before="11"/>
      </w:pPr>
    </w:p>
    <w:p>
      <w:pPr>
        <w:pStyle w:val="BodyText"/>
        <w:spacing w:line="417" w:lineRule="auto"/>
        <w:ind w:left="118" w:right="433" w:firstLine="479"/>
        <w:jc w:val="both"/>
      </w:pPr>
      <w:r>
        <w:rPr/>
        <w:t>13</w:t>
      </w:r>
      <w:r>
        <w:rPr>
          <w:spacing w:val="-1"/>
        </w:rPr>
        <w:t>、基金管理人运用基金财产买卖基金管理人、基金托管人及其控股股东、实际控制</w:t>
      </w:r>
      <w:r>
        <w:rPr>
          <w:spacing w:val="-6"/>
        </w:rPr>
        <w:t>人或者与其有重大利害关系的公司发行的证券或者承销期内承销的证券，或者从事其他重大</w:t>
      </w:r>
      <w:r>
        <w:rPr>
          <w:spacing w:val="-4"/>
        </w:rPr>
        <w:t>关联交易事项，中国证监会另有规定的情形除外；</w:t>
      </w:r>
      <w:r>
        <w:rPr/>
        <w:t> </w:t>
      </w:r>
    </w:p>
    <w:p>
      <w:pPr>
        <w:pStyle w:val="BodyText"/>
        <w:spacing w:before="9"/>
      </w:pPr>
    </w:p>
    <w:p>
      <w:pPr>
        <w:pStyle w:val="BodyText"/>
        <w:spacing w:before="1"/>
        <w:ind w:left="598"/>
      </w:pPr>
      <w:r>
        <w:rPr/>
        <w:t>14、基金收益分配事项； </w:t>
      </w:r>
    </w:p>
    <w:p>
      <w:pPr>
        <w:pStyle w:val="BodyText"/>
        <w:rPr>
          <w:sz w:val="20"/>
        </w:rPr>
      </w:pPr>
    </w:p>
    <w:p>
      <w:pPr>
        <w:pStyle w:val="BodyText"/>
        <w:spacing w:before="5"/>
        <w:rPr>
          <w:sz w:val="17"/>
        </w:rPr>
      </w:pPr>
    </w:p>
    <w:p>
      <w:pPr>
        <w:pStyle w:val="BodyText"/>
        <w:ind w:left="598"/>
      </w:pPr>
      <w:r>
        <w:rPr/>
        <w:t>15、管理费、托管费、销售服务费等费用计提标准、计提方式和费率发生变更； </w:t>
      </w:r>
    </w:p>
    <w:p>
      <w:pPr>
        <w:pStyle w:val="BodyText"/>
        <w:rPr>
          <w:sz w:val="20"/>
        </w:rPr>
      </w:pPr>
    </w:p>
    <w:p>
      <w:pPr>
        <w:pStyle w:val="BodyText"/>
        <w:spacing w:before="6"/>
        <w:rPr>
          <w:sz w:val="17"/>
        </w:rPr>
      </w:pPr>
    </w:p>
    <w:p>
      <w:pPr>
        <w:pStyle w:val="BodyText"/>
        <w:ind w:left="598"/>
      </w:pPr>
      <w:r>
        <w:rPr/>
        <w:t>16、基金资产净值计算错误达基金资产净值百分之零点五； </w:t>
      </w:r>
    </w:p>
    <w:p>
      <w:pPr>
        <w:spacing w:after="0"/>
        <w:sectPr>
          <w:pgSz w:w="11910" w:h="16850"/>
          <w:pgMar w:header="852" w:footer="1386" w:top="1420" w:bottom="1580" w:left="1680" w:right="1360"/>
        </w:sectPr>
      </w:pPr>
    </w:p>
    <w:p>
      <w:pPr>
        <w:pStyle w:val="BodyText"/>
        <w:spacing w:line="417" w:lineRule="auto" w:before="142"/>
        <w:ind w:left="118" w:right="434" w:firstLine="479"/>
      </w:pPr>
      <w:r>
        <w:rPr/>
        <w:t>17</w:t>
      </w:r>
      <w:r>
        <w:rPr>
          <w:spacing w:val="-15"/>
        </w:rPr>
        <w:t>、当“摊余成本法”计算的基金资产净值与“影子定价”确定的基金资产净值偏离度</w:t>
      </w:r>
      <w:r>
        <w:rPr>
          <w:spacing w:val="-13"/>
        </w:rPr>
        <w:t>绝对值达到或超过 </w:t>
      </w:r>
      <w:r>
        <w:rPr/>
        <w:t>0.5</w:t>
      </w:r>
      <w:r>
        <w:rPr>
          <w:spacing w:val="-3"/>
        </w:rPr>
        <w:t>%的情形；</w:t>
      </w:r>
      <w:r>
        <w:rPr/>
        <w:t> </w:t>
      </w:r>
    </w:p>
    <w:p>
      <w:pPr>
        <w:pStyle w:val="BodyText"/>
        <w:spacing w:before="11"/>
      </w:pPr>
    </w:p>
    <w:p>
      <w:pPr>
        <w:pStyle w:val="BodyText"/>
        <w:ind w:left="598"/>
      </w:pPr>
      <w:r>
        <w:rPr/>
        <w:t>18、本基金开始办理申购、赎回； </w:t>
      </w:r>
    </w:p>
    <w:p>
      <w:pPr>
        <w:pStyle w:val="BodyText"/>
        <w:rPr>
          <w:sz w:val="20"/>
        </w:rPr>
      </w:pPr>
    </w:p>
    <w:p>
      <w:pPr>
        <w:pStyle w:val="BodyText"/>
        <w:spacing w:before="3"/>
        <w:rPr>
          <w:sz w:val="17"/>
        </w:rPr>
      </w:pPr>
    </w:p>
    <w:p>
      <w:pPr>
        <w:pStyle w:val="BodyText"/>
        <w:ind w:left="598"/>
      </w:pPr>
      <w:r>
        <w:rPr/>
        <w:t>19</w:t>
      </w:r>
      <w:r>
        <w:rPr>
          <w:spacing w:val="-3"/>
        </w:rPr>
        <w:t>、本基金暂停接受申购、赎回申请或重新接受申购、赎回申请；</w:t>
      </w:r>
      <w:r>
        <w:rPr/>
        <w:t> </w:t>
      </w:r>
    </w:p>
    <w:p>
      <w:pPr>
        <w:pStyle w:val="BodyText"/>
        <w:rPr>
          <w:sz w:val="20"/>
        </w:rPr>
      </w:pPr>
    </w:p>
    <w:p>
      <w:pPr>
        <w:pStyle w:val="BodyText"/>
        <w:spacing w:before="6"/>
        <w:rPr>
          <w:sz w:val="17"/>
        </w:rPr>
      </w:pPr>
    </w:p>
    <w:p>
      <w:pPr>
        <w:pStyle w:val="BodyText"/>
        <w:ind w:left="598"/>
      </w:pPr>
      <w:r>
        <w:rPr/>
        <w:t>20</w:t>
      </w:r>
      <w:r>
        <w:rPr>
          <w:spacing w:val="-3"/>
        </w:rPr>
        <w:t>、基金份额停牌、复牌、暂停上市、恢复上市或终止上市交易；</w:t>
      </w:r>
      <w:r>
        <w:rPr/>
        <w:t> </w:t>
      </w:r>
    </w:p>
    <w:p>
      <w:pPr>
        <w:pStyle w:val="BodyText"/>
        <w:rPr>
          <w:sz w:val="20"/>
        </w:rPr>
      </w:pPr>
    </w:p>
    <w:p>
      <w:pPr>
        <w:pStyle w:val="BodyText"/>
        <w:spacing w:before="5"/>
        <w:rPr>
          <w:sz w:val="17"/>
        </w:rPr>
      </w:pPr>
    </w:p>
    <w:p>
      <w:pPr>
        <w:pStyle w:val="BodyText"/>
        <w:spacing w:before="1"/>
        <w:ind w:left="598"/>
      </w:pPr>
      <w:r>
        <w:rPr/>
        <w:t>21、调整最小申购赎回单位、申购赎回方式及申购对价、赎回对价组成； </w:t>
      </w:r>
    </w:p>
    <w:p>
      <w:pPr>
        <w:pStyle w:val="BodyText"/>
        <w:rPr>
          <w:sz w:val="20"/>
        </w:rPr>
      </w:pPr>
    </w:p>
    <w:p>
      <w:pPr>
        <w:pStyle w:val="BodyText"/>
        <w:spacing w:before="3"/>
        <w:rPr>
          <w:sz w:val="17"/>
        </w:rPr>
      </w:pPr>
    </w:p>
    <w:p>
      <w:pPr>
        <w:pStyle w:val="BodyText"/>
        <w:spacing w:before="1"/>
        <w:ind w:left="598"/>
      </w:pPr>
      <w:r>
        <w:rPr/>
        <w:t>22、调整基金份额类别的设置； </w:t>
      </w:r>
    </w:p>
    <w:p>
      <w:pPr>
        <w:pStyle w:val="BodyText"/>
        <w:rPr>
          <w:sz w:val="20"/>
        </w:rPr>
      </w:pPr>
    </w:p>
    <w:p>
      <w:pPr>
        <w:pStyle w:val="BodyText"/>
        <w:spacing w:before="5"/>
        <w:rPr>
          <w:sz w:val="17"/>
        </w:rPr>
      </w:pPr>
    </w:p>
    <w:p>
      <w:pPr>
        <w:pStyle w:val="BodyText"/>
        <w:ind w:left="598"/>
      </w:pPr>
      <w:r>
        <w:rPr/>
        <w:t>23、基金推出新业务或服务； </w:t>
      </w:r>
    </w:p>
    <w:p>
      <w:pPr>
        <w:pStyle w:val="BodyText"/>
        <w:rPr>
          <w:sz w:val="20"/>
        </w:rPr>
      </w:pPr>
    </w:p>
    <w:p>
      <w:pPr>
        <w:pStyle w:val="BodyText"/>
        <w:spacing w:before="6"/>
        <w:rPr>
          <w:sz w:val="17"/>
        </w:rPr>
      </w:pPr>
    </w:p>
    <w:p>
      <w:pPr>
        <w:pStyle w:val="BodyText"/>
        <w:spacing w:line="417" w:lineRule="auto"/>
        <w:ind w:left="118" w:right="437" w:firstLine="479"/>
      </w:pPr>
      <w:r>
        <w:rPr/>
        <w:t>24、基金信息披露义务人认为可能对基金份额持有人权益或者基金份额的价格产生重大影响的其他事项或中国证监会规定的其他事项。 </w:t>
      </w:r>
    </w:p>
    <w:p>
      <w:pPr>
        <w:pStyle w:val="BodyText"/>
        <w:spacing w:before="9"/>
      </w:pPr>
    </w:p>
    <w:p>
      <w:pPr>
        <w:pStyle w:val="BodyText"/>
        <w:ind w:left="118"/>
      </w:pPr>
      <w:bookmarkStart w:name="_bookmark83" w:id="84"/>
      <w:bookmarkEnd w:id="84"/>
      <w:r>
        <w:rPr/>
      </w:r>
      <w:r>
        <w:rPr/>
        <w:t>（五）信息披露文件的存放与查阅 </w:t>
      </w:r>
    </w:p>
    <w:p>
      <w:pPr>
        <w:pStyle w:val="BodyText"/>
        <w:rPr>
          <w:sz w:val="20"/>
        </w:rPr>
      </w:pPr>
    </w:p>
    <w:p>
      <w:pPr>
        <w:pStyle w:val="BodyText"/>
        <w:spacing w:before="6"/>
        <w:rPr>
          <w:sz w:val="17"/>
        </w:rPr>
      </w:pPr>
    </w:p>
    <w:p>
      <w:pPr>
        <w:pStyle w:val="BodyText"/>
        <w:spacing w:line="417" w:lineRule="auto"/>
        <w:ind w:left="118" w:right="437" w:firstLine="479"/>
      </w:pPr>
      <w:r>
        <w:rPr/>
        <w:t>依法必须披露的信息发布后，基金管理人、基金托管人应当按照相关法律法规规定将信息置备于公司办公场所、基金上市交易的证券交易所，供社会公众查阅、复制。</w:t>
      </w:r>
    </w:p>
    <w:p>
      <w:pPr>
        <w:spacing w:after="0" w:line="417" w:lineRule="auto"/>
        <w:sectPr>
          <w:pgSz w:w="11910" w:h="16850"/>
          <w:pgMar w:header="852" w:footer="1386" w:top="1420" w:bottom="1580" w:left="1680" w:right="1360"/>
        </w:sectPr>
      </w:pPr>
    </w:p>
    <w:p>
      <w:pPr>
        <w:tabs>
          <w:tab w:pos="1679" w:val="left" w:leader="none"/>
        </w:tabs>
        <w:spacing w:before="41"/>
        <w:ind w:left="0" w:right="160" w:firstLine="0"/>
        <w:jc w:val="center"/>
        <w:rPr>
          <w:rFonts w:ascii="Microsoft JhengHei" w:eastAsia="Microsoft JhengHei" w:hint="eastAsia"/>
          <w:b/>
          <w:sz w:val="32"/>
        </w:rPr>
      </w:pPr>
      <w:bookmarkStart w:name="_bookmark84" w:id="85"/>
      <w:bookmarkEnd w:id="85"/>
      <w:r>
        <w:rPr/>
      </w:r>
      <w:r>
        <w:rPr>
          <w:rFonts w:ascii="Microsoft JhengHei" w:eastAsia="Microsoft JhengHei" w:hint="eastAsia"/>
          <w:b/>
          <w:sz w:val="32"/>
        </w:rPr>
        <w:t>二十二、</w:t>
        <w:tab/>
      </w:r>
      <w:r>
        <w:rPr>
          <w:sz w:val="32"/>
        </w:rPr>
        <w:t>差错处理</w:t>
      </w:r>
      <w:r>
        <w:rPr>
          <w:rFonts w:ascii="Microsoft JhengHei" w:eastAsia="Microsoft JhengHei" w:hint="eastAsia"/>
          <w:b/>
          <w:w w:val="199"/>
          <w:sz w:val="32"/>
        </w:rPr>
        <w:t> </w:t>
      </w:r>
    </w:p>
    <w:p>
      <w:pPr>
        <w:pStyle w:val="BodyText"/>
        <w:spacing w:before="16"/>
        <w:rPr>
          <w:rFonts w:ascii="Microsoft JhengHei"/>
          <w:b/>
          <w:sz w:val="5"/>
        </w:rPr>
      </w:pPr>
    </w:p>
    <w:p>
      <w:pPr>
        <w:pStyle w:val="Heading2"/>
        <w:spacing w:line="484" w:lineRule="exact"/>
      </w:pPr>
      <w:bookmarkStart w:name="_bookmark85" w:id="86"/>
      <w:bookmarkEnd w:id="86"/>
      <w:r>
        <w:rPr>
          <w:b w:val="0"/>
        </w:rPr>
      </w:r>
      <w:r>
        <w:rPr/>
        <w:t>（一） 差错类型</w:t>
      </w:r>
      <w:r>
        <w:rPr>
          <w:w w:val="200"/>
        </w:rPr>
        <w:t> </w:t>
      </w:r>
    </w:p>
    <w:p>
      <w:pPr>
        <w:pStyle w:val="BodyText"/>
        <w:spacing w:before="7"/>
        <w:rPr>
          <w:rFonts w:ascii="Microsoft JhengHei"/>
          <w:b/>
          <w:sz w:val="24"/>
        </w:rPr>
      </w:pPr>
    </w:p>
    <w:p>
      <w:pPr>
        <w:pStyle w:val="BodyText"/>
        <w:spacing w:line="417" w:lineRule="auto" w:before="1"/>
        <w:ind w:left="118" w:right="328" w:firstLine="419"/>
      </w:pPr>
      <w:r>
        <w:rPr>
          <w:spacing w:val="-10"/>
        </w:rPr>
        <w:t>基金运作过程中，如果由于基金管理人或基金托管人或投资者自身的过错造成差错，导</w:t>
      </w:r>
      <w:r>
        <w:rPr>
          <w:spacing w:val="-7"/>
          <w:w w:val="100"/>
        </w:rPr>
        <w:t>致其他当事人遭受损失的，过错的责任人应当对由于该差错遭受损失的当事人</w:t>
      </w:r>
      <w:r>
        <w:rPr>
          <w:spacing w:val="-106"/>
          <w:w w:val="100"/>
        </w:rPr>
        <w:t>（</w:t>
      </w:r>
      <w:r>
        <w:rPr>
          <w:spacing w:val="-23"/>
          <w:w w:val="100"/>
        </w:rPr>
        <w:t>“受损方”</w:t>
      </w:r>
      <w:r>
        <w:rPr>
          <w:w w:val="100"/>
        </w:rPr>
        <w:t>）</w:t>
      </w:r>
      <w:r>
        <w:rPr>
          <w:spacing w:val="-3"/>
        </w:rPr>
        <w:t>按下述“差错处理原则”给予赔偿承担赔偿责任。</w:t>
      </w:r>
      <w:r>
        <w:rPr/>
        <w:t> </w:t>
      </w:r>
    </w:p>
    <w:p>
      <w:pPr>
        <w:pStyle w:val="BodyText"/>
        <w:spacing w:before="8"/>
      </w:pPr>
    </w:p>
    <w:p>
      <w:pPr>
        <w:pStyle w:val="BodyText"/>
        <w:spacing w:line="417" w:lineRule="auto"/>
        <w:ind w:left="118" w:right="434" w:firstLine="419"/>
      </w:pPr>
      <w:r>
        <w:rPr>
          <w:spacing w:val="-8"/>
        </w:rPr>
        <w:t>上述差错的主要类型包括但不限于：资料申报差错、数据传输差错、数据计算差错、系</w:t>
      </w:r>
      <w:r>
        <w:rPr>
          <w:spacing w:val="-5"/>
        </w:rPr>
        <w:t>统故障差错、下达指令差错等。</w:t>
      </w:r>
      <w:r>
        <w:rPr/>
        <w:t> </w:t>
      </w:r>
    </w:p>
    <w:p>
      <w:pPr>
        <w:pStyle w:val="BodyText"/>
        <w:spacing w:before="12"/>
      </w:pPr>
    </w:p>
    <w:p>
      <w:pPr>
        <w:pStyle w:val="BodyText"/>
        <w:spacing w:line="417" w:lineRule="auto"/>
        <w:ind w:left="118" w:right="433"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r>
        <w:rPr/>
        <w:t> </w:t>
      </w:r>
    </w:p>
    <w:p>
      <w:pPr>
        <w:pStyle w:val="BodyText"/>
        <w:spacing w:before="3"/>
        <w:rPr>
          <w:sz w:val="17"/>
        </w:rPr>
      </w:pPr>
    </w:p>
    <w:p>
      <w:pPr>
        <w:pStyle w:val="Heading2"/>
        <w:spacing w:before="1"/>
      </w:pPr>
      <w:bookmarkStart w:name="_bookmark86" w:id="87"/>
      <w:bookmarkEnd w:id="87"/>
      <w:r>
        <w:rPr>
          <w:b w:val="0"/>
        </w:rPr>
      </w:r>
      <w:r>
        <w:rPr/>
        <w:t>（二） 差错处理原则</w:t>
      </w:r>
      <w:r>
        <w:rPr>
          <w:w w:val="200"/>
        </w:rPr>
        <w:t> </w:t>
      </w:r>
    </w:p>
    <w:p>
      <w:pPr>
        <w:pStyle w:val="BodyText"/>
        <w:spacing w:before="5"/>
        <w:rPr>
          <w:rFonts w:ascii="Microsoft JhengHei"/>
          <w:b/>
          <w:sz w:val="24"/>
        </w:rPr>
      </w:pPr>
    </w:p>
    <w:p>
      <w:pPr>
        <w:pStyle w:val="BodyText"/>
        <w:spacing w:line="417" w:lineRule="auto"/>
        <w:ind w:left="118" w:right="328" w:firstLine="419"/>
      </w:pPr>
      <w:r>
        <w:rPr/>
        <w:t>1</w:t>
      </w:r>
      <w:r>
        <w:rPr>
          <w:spacing w:val="-3"/>
        </w:rPr>
        <w:t>、差错已发生，但尚未给当事人造成损失时，差错责任方应及时协调各方，及时进行</w:t>
      </w:r>
      <w:r>
        <w:rPr>
          <w:spacing w:val="-17"/>
        </w:rPr>
        <w:t>更正，因更正差错发生的费用由差错责任方承担；由于差错责任方未及时更正已产生的差错， </w:t>
      </w:r>
      <w:r>
        <w:rPr>
          <w:spacing w:val="-12"/>
        </w:rPr>
        <w:t>给当事人造成损失的由差错责任方承担；若差错责任方已经积极协调，并且有协助义务的当</w:t>
      </w:r>
      <w:r>
        <w:rPr>
          <w:spacing w:val="-11"/>
        </w:rPr>
        <w:t>事人有足够的时间进行更正而未更正，则其应当承担相应赔偿责任。差错责任方应对更正的</w:t>
      </w:r>
      <w:r>
        <w:rPr>
          <w:spacing w:val="-6"/>
        </w:rPr>
        <w:t>情况向有关当事人进行确认，确保差错已得到更正。 </w:t>
      </w:r>
    </w:p>
    <w:p>
      <w:pPr>
        <w:pStyle w:val="BodyText"/>
        <w:spacing w:before="11"/>
      </w:pPr>
    </w:p>
    <w:p>
      <w:pPr>
        <w:pStyle w:val="BodyText"/>
        <w:spacing w:line="417" w:lineRule="auto"/>
        <w:ind w:left="118" w:right="436" w:firstLine="419"/>
      </w:pPr>
      <w:r>
        <w:rPr/>
        <w:t>2、差错的责任方对可能导致有关当事人的直接损失负责，不对间接损失负责，并且仅对差错的有关直接当事人负责，不对第三方负责； </w:t>
      </w:r>
    </w:p>
    <w:p>
      <w:pPr>
        <w:pStyle w:val="BodyText"/>
        <w:spacing w:before="12"/>
      </w:pPr>
    </w:p>
    <w:p>
      <w:pPr>
        <w:pStyle w:val="BodyText"/>
        <w:spacing w:line="417" w:lineRule="auto"/>
        <w:ind w:left="118" w:right="433" w:firstLine="419"/>
        <w:jc w:val="both"/>
      </w:pPr>
      <w:r>
        <w:rPr/>
        <w:t>3</w:t>
      </w:r>
      <w:r>
        <w:rPr>
          <w:spacing w:val="-3"/>
        </w:rPr>
        <w:t>、因差错而获得不当得利的当事人负有及时返还不当得利的义务。但差错责任方仍应</w:t>
      </w:r>
      <w:r>
        <w:rPr>
          <w:spacing w:val="-12"/>
        </w:rPr>
        <w:t>对差错负责，如果由于获得不当得利的当事人不返还或不全部返还不当得利造成其他当事人</w:t>
      </w:r>
      <w:r>
        <w:rPr>
          <w:spacing w:val="-8"/>
          <w:w w:val="100"/>
        </w:rPr>
        <w:t>的利益损失</w:t>
      </w:r>
      <w:r>
        <w:rPr>
          <w:spacing w:val="-106"/>
          <w:w w:val="100"/>
        </w:rPr>
        <w:t>（</w:t>
      </w:r>
      <w:r>
        <w:rPr>
          <w:spacing w:val="-3"/>
          <w:w w:val="100"/>
        </w:rPr>
        <w:t>“受损方</w:t>
      </w:r>
      <w:r>
        <w:rPr>
          <w:spacing w:val="-106"/>
          <w:w w:val="100"/>
        </w:rPr>
        <w:t>”）</w:t>
      </w:r>
      <w:r>
        <w:rPr>
          <w:spacing w:val="-3"/>
          <w:w w:val="100"/>
        </w:rPr>
        <w:t>，则差错责任方应赔偿受损方的损失，并在其支付的赔偿金额的范</w:t>
      </w:r>
      <w:r>
        <w:rPr>
          <w:spacing w:val="-7"/>
        </w:rPr>
        <w:t>围内对获得不当得利的当事人享有要求交付不当得利的权利；如果获得不当得利的当事人已</w:t>
      </w:r>
      <w:r>
        <w:rPr>
          <w:spacing w:val="-11"/>
        </w:rPr>
        <w:t>经将此部分不当得利返还给受损方，则受损方应当将其已经获得的赔偿额加上已经获得的不</w:t>
      </w:r>
      <w:r>
        <w:rPr>
          <w:spacing w:val="-6"/>
        </w:rPr>
        <w:t>当得利返还的总和超过其实际损失的差额部分支付给差错责任方。</w:t>
      </w:r>
      <w:r>
        <w:rPr/>
        <w:t> </w:t>
      </w:r>
    </w:p>
    <w:p>
      <w:pPr>
        <w:spacing w:after="0" w:line="417" w:lineRule="auto"/>
        <w:jc w:val="both"/>
        <w:sectPr>
          <w:pgSz w:w="11910" w:h="16850"/>
          <w:pgMar w:header="852" w:footer="1386" w:top="1420" w:bottom="1580" w:left="1680" w:right="1360"/>
        </w:sectPr>
      </w:pPr>
    </w:p>
    <w:p>
      <w:pPr>
        <w:pStyle w:val="BodyText"/>
        <w:spacing w:before="142"/>
        <w:ind w:left="538"/>
      </w:pPr>
      <w:r>
        <w:rPr/>
        <w:t>4、差错调整采用尽量恢复至假设未发生差错的正确情形的方式； </w:t>
      </w:r>
    </w:p>
    <w:p>
      <w:pPr>
        <w:pStyle w:val="BodyText"/>
        <w:rPr>
          <w:sz w:val="20"/>
        </w:rPr>
      </w:pPr>
    </w:p>
    <w:p>
      <w:pPr>
        <w:pStyle w:val="BodyText"/>
        <w:spacing w:before="5"/>
        <w:rPr>
          <w:sz w:val="17"/>
        </w:rPr>
      </w:pPr>
    </w:p>
    <w:p>
      <w:pPr>
        <w:pStyle w:val="BodyText"/>
        <w:spacing w:line="417" w:lineRule="auto"/>
        <w:ind w:left="118" w:right="436" w:firstLine="419"/>
      </w:pPr>
      <w:r>
        <w:rPr/>
        <w:t>5、差错责任方拒绝进行赔偿时，基金管理人或基金托管人协助受损方向差错责任方追偿； </w:t>
      </w:r>
    </w:p>
    <w:p>
      <w:pPr>
        <w:pStyle w:val="BodyText"/>
        <w:spacing w:before="9"/>
      </w:pPr>
    </w:p>
    <w:p>
      <w:pPr>
        <w:pStyle w:val="BodyText"/>
        <w:ind w:left="538"/>
      </w:pPr>
      <w:r>
        <w:rPr/>
        <w:t>6、如果出现差错的当事人未按规定对受损方进行赔偿，并且依据法律、行政法规、本</w:t>
      </w:r>
    </w:p>
    <w:p>
      <w:pPr>
        <w:pStyle w:val="BodyText"/>
        <w:spacing w:before="7"/>
        <w:rPr>
          <w:sz w:val="15"/>
        </w:rPr>
      </w:pPr>
    </w:p>
    <w:p>
      <w:pPr>
        <w:pStyle w:val="BodyText"/>
        <w:spacing w:line="417" w:lineRule="auto"/>
        <w:ind w:left="118" w:right="433"/>
        <w:jc w:val="both"/>
      </w:pPr>
      <w:r>
        <w:rPr>
          <w:spacing w:val="-11"/>
        </w:rPr>
        <w:t>《基金合同》或其他规定，基金管理人自行或依据法院判决、仲裁裁决对受损方承担了赔偿</w:t>
      </w:r>
      <w:r>
        <w:rPr>
          <w:spacing w:val="-12"/>
        </w:rPr>
        <w:t>责任，则基金管理人有权向出现过错的当事人进行追索，并有权要求其赔偿或补偿由此发生</w:t>
      </w:r>
      <w:r>
        <w:rPr>
          <w:spacing w:val="-6"/>
        </w:rPr>
        <w:t>的费用和遭受的损失。</w:t>
      </w:r>
      <w:r>
        <w:rPr/>
        <w:t> </w:t>
      </w:r>
    </w:p>
    <w:p>
      <w:pPr>
        <w:pStyle w:val="BodyText"/>
        <w:spacing w:before="12"/>
      </w:pPr>
    </w:p>
    <w:p>
      <w:pPr>
        <w:pStyle w:val="BodyText"/>
        <w:ind w:left="538"/>
      </w:pPr>
      <w:r>
        <w:rPr/>
        <w:t>7、按法律法规规定的其他原则处理差错。</w:t>
      </w:r>
    </w:p>
    <w:p>
      <w:pPr>
        <w:pStyle w:val="BodyText"/>
        <w:rPr>
          <w:sz w:val="20"/>
        </w:rPr>
      </w:pPr>
    </w:p>
    <w:p>
      <w:pPr>
        <w:pStyle w:val="Heading2"/>
        <w:spacing w:before="164"/>
      </w:pPr>
      <w:bookmarkStart w:name="_bookmark87" w:id="88"/>
      <w:bookmarkEnd w:id="88"/>
      <w:r>
        <w:rPr>
          <w:b w:val="0"/>
        </w:rPr>
      </w:r>
      <w:r>
        <w:rPr/>
        <w:t>（三） 差错处理程序</w:t>
      </w:r>
      <w:r>
        <w:rPr>
          <w:w w:val="200"/>
        </w:rPr>
        <w:t> </w:t>
      </w:r>
    </w:p>
    <w:p>
      <w:pPr>
        <w:pStyle w:val="BodyText"/>
        <w:spacing w:before="5"/>
        <w:rPr>
          <w:rFonts w:ascii="Microsoft JhengHei"/>
          <w:b/>
          <w:sz w:val="24"/>
        </w:rPr>
      </w:pPr>
    </w:p>
    <w:p>
      <w:pPr>
        <w:pStyle w:val="BodyText"/>
        <w:spacing w:before="1"/>
        <w:ind w:left="538"/>
      </w:pPr>
      <w:r>
        <w:rPr/>
        <w:t>差错被发现后，有关的当事人应当及时进行处理，处理的程序如下： </w:t>
      </w:r>
    </w:p>
    <w:p>
      <w:pPr>
        <w:pStyle w:val="BodyText"/>
        <w:rPr>
          <w:sz w:val="20"/>
        </w:rPr>
      </w:pPr>
    </w:p>
    <w:p>
      <w:pPr>
        <w:pStyle w:val="BodyText"/>
        <w:spacing w:before="5"/>
        <w:rPr>
          <w:sz w:val="17"/>
        </w:rPr>
      </w:pPr>
    </w:p>
    <w:p>
      <w:pPr>
        <w:pStyle w:val="BodyText"/>
        <w:spacing w:line="417" w:lineRule="auto"/>
        <w:ind w:left="118" w:right="436" w:firstLine="419"/>
      </w:pPr>
      <w:r>
        <w:rPr/>
        <w:t>1、查明差错发生的原因，列明所有的当事人，并根据差错发生的原因确定差错的责任方； </w:t>
      </w:r>
    </w:p>
    <w:p>
      <w:pPr>
        <w:pStyle w:val="BodyText"/>
        <w:spacing w:before="12"/>
      </w:pPr>
    </w:p>
    <w:p>
      <w:pPr>
        <w:pStyle w:val="BodyText"/>
        <w:ind w:left="538"/>
      </w:pPr>
      <w:r>
        <w:rPr/>
        <w:t>2、根据差错处理原则或当事人协商的方法对因差错造成的损失进行评估； </w:t>
      </w:r>
    </w:p>
    <w:p>
      <w:pPr>
        <w:pStyle w:val="BodyText"/>
        <w:rPr>
          <w:sz w:val="20"/>
        </w:rPr>
      </w:pPr>
    </w:p>
    <w:p>
      <w:pPr>
        <w:pStyle w:val="BodyText"/>
        <w:spacing w:before="3"/>
        <w:rPr>
          <w:sz w:val="17"/>
        </w:rPr>
      </w:pPr>
    </w:p>
    <w:p>
      <w:pPr>
        <w:pStyle w:val="BodyText"/>
        <w:ind w:left="538"/>
      </w:pPr>
      <w:r>
        <w:rPr/>
        <w:t>3、根据差错处理原则或当事人协商的方法由差错的责任方进行更正和赔偿损失； </w:t>
      </w:r>
    </w:p>
    <w:p>
      <w:pPr>
        <w:pStyle w:val="BodyText"/>
        <w:rPr>
          <w:sz w:val="20"/>
        </w:rPr>
      </w:pPr>
    </w:p>
    <w:p>
      <w:pPr>
        <w:pStyle w:val="BodyText"/>
        <w:spacing w:before="6"/>
        <w:rPr>
          <w:sz w:val="17"/>
        </w:rPr>
      </w:pPr>
    </w:p>
    <w:p>
      <w:pPr>
        <w:pStyle w:val="BodyText"/>
        <w:spacing w:line="417" w:lineRule="auto"/>
        <w:ind w:left="118" w:right="436" w:firstLine="419"/>
      </w:pPr>
      <w:r>
        <w:rPr/>
        <w:t>4、根据差错处理的方法，需要修改基金注册登记机构的交易数据的，由基金注册登记机构进行更正，并就差错的更正向有关当事人进行确认； </w:t>
      </w:r>
    </w:p>
    <w:p>
      <w:pPr>
        <w:pStyle w:val="BodyText"/>
        <w:spacing w:before="11"/>
      </w:pPr>
    </w:p>
    <w:p>
      <w:pPr>
        <w:pStyle w:val="BodyText"/>
        <w:spacing w:line="417" w:lineRule="auto"/>
        <w:ind w:left="118" w:right="433" w:firstLine="419"/>
      </w:pPr>
      <w:r>
        <w:rPr>
          <w:rFonts w:ascii="Times New Roman" w:eastAsia="Times New Roman"/>
          <w:w w:val="100"/>
        </w:rPr>
        <w:t>5</w:t>
      </w:r>
      <w:r>
        <w:rPr>
          <w:spacing w:val="-3"/>
          <w:w w:val="100"/>
        </w:rPr>
        <w:t>、基金管理人及基金托管人基金资产估值错误偏差达到基金资产净值的</w:t>
      </w:r>
      <w:r>
        <w:rPr>
          <w:spacing w:val="-3"/>
        </w:rPr>
        <w:t> </w:t>
      </w:r>
      <w:r>
        <w:rPr>
          <w:w w:val="100"/>
        </w:rPr>
        <w:t>0.5</w:t>
      </w:r>
      <w:r>
        <w:rPr>
          <w:spacing w:val="-23"/>
          <w:w w:val="100"/>
        </w:rPr>
        <w:t>%；，基金</w:t>
      </w:r>
      <w:r>
        <w:rPr>
          <w:spacing w:val="-8"/>
        </w:rPr>
        <w:t>管理人应当公告，并报中国证监会备案。</w:t>
      </w:r>
    </w:p>
    <w:p>
      <w:pPr>
        <w:spacing w:after="0" w:line="417" w:lineRule="auto"/>
        <w:sectPr>
          <w:pgSz w:w="11910" w:h="16850"/>
          <w:pgMar w:header="852" w:footer="1386" w:top="1420" w:bottom="1580" w:left="1680" w:right="1360"/>
        </w:sectPr>
      </w:pPr>
    </w:p>
    <w:p>
      <w:pPr>
        <w:pStyle w:val="Heading1"/>
        <w:tabs>
          <w:tab w:pos="2232" w:val="left" w:leader="none"/>
        </w:tabs>
        <w:ind w:left="552" w:right="0"/>
        <w:jc w:val="left"/>
      </w:pPr>
      <w:bookmarkStart w:name="_bookmark88" w:id="89"/>
      <w:bookmarkEnd w:id="89"/>
      <w:r>
        <w:rPr/>
      </w:r>
      <w:r>
        <w:rPr/>
        <w:t>二十三、</w:t>
        <w:tab/>
        <w:t>基金合同的变更、终止与基金财产的清算</w:t>
      </w:r>
    </w:p>
    <w:p>
      <w:pPr>
        <w:pStyle w:val="BodyText"/>
        <w:spacing w:before="2"/>
        <w:rPr>
          <w:sz w:val="36"/>
        </w:rPr>
      </w:pPr>
    </w:p>
    <w:p>
      <w:pPr>
        <w:pStyle w:val="Heading2"/>
        <w:spacing w:before="1"/>
      </w:pPr>
      <w:bookmarkStart w:name="_bookmark89" w:id="90"/>
      <w:bookmarkEnd w:id="90"/>
      <w:r>
        <w:rPr>
          <w:b w:val="0"/>
        </w:rPr>
      </w:r>
      <w:r>
        <w:rPr/>
        <w:t>（一） 基金合同的变更</w:t>
      </w:r>
      <w:r>
        <w:rPr>
          <w:w w:val="200"/>
        </w:rPr>
        <w:t> </w:t>
      </w:r>
    </w:p>
    <w:p>
      <w:pPr>
        <w:pStyle w:val="BodyText"/>
        <w:spacing w:before="18"/>
        <w:rPr>
          <w:rFonts w:ascii="Microsoft JhengHei"/>
          <w:b/>
          <w:sz w:val="25"/>
        </w:rPr>
      </w:pPr>
    </w:p>
    <w:p>
      <w:pPr>
        <w:pStyle w:val="BodyText"/>
        <w:spacing w:line="417" w:lineRule="auto"/>
        <w:ind w:left="118" w:right="433" w:firstLine="419"/>
      </w:pPr>
      <w:r>
        <w:rPr>
          <w:rFonts w:ascii="Times New Roman" w:eastAsia="Times New Roman"/>
        </w:rPr>
        <w:t>1</w:t>
      </w:r>
      <w:r>
        <w:rPr>
          <w:spacing w:val="-8"/>
        </w:rPr>
        <w:t>、 本基金合同的变更应经当事人同意，经基金份额持有人大会决议通过，并经中国证</w:t>
      </w:r>
      <w:r>
        <w:rPr>
          <w:spacing w:val="-5"/>
        </w:rPr>
        <w:t>监会备案，基金份额持有人大会决议自表决通过之日起生效。</w:t>
      </w:r>
    </w:p>
    <w:p>
      <w:pPr>
        <w:pStyle w:val="BodyText"/>
        <w:spacing w:line="417" w:lineRule="auto" w:before="100"/>
        <w:ind w:left="118" w:right="436" w:firstLine="419"/>
      </w:pPr>
      <w:r>
        <w:rPr>
          <w:rFonts w:ascii="Times New Roman" w:eastAsia="Times New Roman"/>
        </w:rPr>
        <w:t>2</w:t>
      </w:r>
      <w:r>
        <w:rPr>
          <w:spacing w:val="-3"/>
        </w:rPr>
        <w:t>、但在下列情况下，基金管理人和基金托管人协商后可直接变更基金合同，无须召开基金份额持有人大会通过，但应进行公告，并报中国证监会备案：</w:t>
      </w:r>
    </w:p>
    <w:p>
      <w:pPr>
        <w:pStyle w:val="ListParagraph"/>
        <w:numPr>
          <w:ilvl w:val="0"/>
          <w:numId w:val="54"/>
        </w:numPr>
        <w:tabs>
          <w:tab w:pos="1067" w:val="left" w:leader="none"/>
        </w:tabs>
        <w:spacing w:line="417" w:lineRule="auto" w:before="99" w:after="0"/>
        <w:ind w:left="118" w:right="436" w:firstLine="419"/>
        <w:jc w:val="left"/>
        <w:rPr>
          <w:sz w:val="21"/>
        </w:rPr>
      </w:pPr>
      <w:r>
        <w:rPr>
          <w:spacing w:val="-3"/>
          <w:sz w:val="21"/>
        </w:rPr>
        <w:t>因法律、法规及中国证监会颁布之规定的相应修改而导致本基金合同的部分条款与之不符的，则基金合同自行适用法律、法规及中国证监会颁布之规定的相应变更；</w:t>
      </w:r>
    </w:p>
    <w:p>
      <w:pPr>
        <w:pStyle w:val="ListParagraph"/>
        <w:numPr>
          <w:ilvl w:val="0"/>
          <w:numId w:val="54"/>
        </w:numPr>
        <w:tabs>
          <w:tab w:pos="1067" w:val="left" w:leader="none"/>
        </w:tabs>
        <w:spacing w:line="417" w:lineRule="auto" w:before="100" w:after="0"/>
        <w:ind w:left="118" w:right="436" w:firstLine="419"/>
        <w:jc w:val="left"/>
        <w:rPr>
          <w:sz w:val="21"/>
        </w:rPr>
      </w:pPr>
      <w:r>
        <w:rPr>
          <w:spacing w:val="-3"/>
          <w:sz w:val="21"/>
        </w:rPr>
        <w:t>因基金管理人、基金托管人的基本情况发生变更，包括但不限于住所、法定代表人、组织形式、注册资本等情况的变更；</w:t>
      </w:r>
    </w:p>
    <w:p>
      <w:pPr>
        <w:pStyle w:val="ListParagraph"/>
        <w:numPr>
          <w:ilvl w:val="0"/>
          <w:numId w:val="54"/>
        </w:numPr>
        <w:tabs>
          <w:tab w:pos="1067" w:val="left" w:leader="none"/>
        </w:tabs>
        <w:spacing w:line="417" w:lineRule="auto" w:before="101" w:after="0"/>
        <w:ind w:left="118" w:right="436" w:firstLine="419"/>
        <w:jc w:val="left"/>
        <w:rPr>
          <w:sz w:val="21"/>
        </w:rPr>
      </w:pPr>
      <w:r>
        <w:rPr>
          <w:spacing w:val="-3"/>
          <w:sz w:val="21"/>
        </w:rPr>
        <w:t>不涉及本基金合同当事人权利义务关系发生变化，并不涉及基金份额持有人利益的基金合同的变更。</w:t>
      </w:r>
    </w:p>
    <w:p>
      <w:pPr>
        <w:pStyle w:val="BodyText"/>
        <w:spacing w:line="417" w:lineRule="auto" w:before="98"/>
        <w:ind w:left="118" w:right="433" w:firstLine="419"/>
      </w:pPr>
      <w:r>
        <w:rPr>
          <w:rFonts w:ascii="Times New Roman" w:eastAsia="Times New Roman"/>
        </w:rPr>
        <w:t>3</w:t>
      </w:r>
      <w:r>
        <w:rPr>
          <w:spacing w:val="-16"/>
        </w:rPr>
        <w:t>、本基金合同规定基金管理人有权修改的事项，一经公告，即构成对基金合同的变更， </w:t>
      </w:r>
      <w:r>
        <w:rPr>
          <w:spacing w:val="-7"/>
        </w:rPr>
        <w:t>变更后的基金合同应报中国证监会备案。</w:t>
      </w:r>
    </w:p>
    <w:p>
      <w:pPr>
        <w:pStyle w:val="BodyText"/>
        <w:spacing w:before="11"/>
        <w:rPr>
          <w:sz w:val="19"/>
        </w:rPr>
      </w:pPr>
    </w:p>
    <w:p>
      <w:pPr>
        <w:pStyle w:val="Heading2"/>
        <w:spacing w:before="1"/>
      </w:pPr>
      <w:bookmarkStart w:name="_bookmark90" w:id="91"/>
      <w:bookmarkEnd w:id="91"/>
      <w:r>
        <w:rPr>
          <w:b w:val="0"/>
        </w:rPr>
      </w:r>
      <w:r>
        <w:rPr/>
        <w:t>（二） 基金合同的终止</w:t>
      </w:r>
      <w:r>
        <w:rPr>
          <w:w w:val="200"/>
        </w:rPr>
        <w:t> </w:t>
      </w:r>
    </w:p>
    <w:p>
      <w:pPr>
        <w:pStyle w:val="BodyText"/>
        <w:spacing w:before="18"/>
        <w:rPr>
          <w:rFonts w:ascii="Microsoft JhengHei"/>
          <w:b/>
          <w:sz w:val="25"/>
        </w:rPr>
      </w:pPr>
    </w:p>
    <w:p>
      <w:pPr>
        <w:pStyle w:val="BodyText"/>
        <w:ind w:left="538"/>
      </w:pPr>
      <w:r>
        <w:rPr/>
        <w:t>本基金出现下列情形之一的，本基金合同终止： </w:t>
      </w:r>
    </w:p>
    <w:p>
      <w:pPr>
        <w:pStyle w:val="BodyText"/>
        <w:spacing w:before="5"/>
        <w:rPr>
          <w:sz w:val="23"/>
        </w:rPr>
      </w:pPr>
    </w:p>
    <w:p>
      <w:pPr>
        <w:pStyle w:val="BodyText"/>
        <w:spacing w:line="417" w:lineRule="auto"/>
        <w:ind w:left="118" w:right="435" w:firstLine="419"/>
      </w:pPr>
      <w:r>
        <w:rPr/>
        <w:t>1、 存续期间内，基金份额持有人数量连续60个工作日达不到200人，或连续60个工作日基金资产净值低于人民币5000万元，基金管理人将宣布本基金合同终止； </w:t>
      </w:r>
    </w:p>
    <w:p>
      <w:pPr>
        <w:pStyle w:val="BodyText"/>
        <w:spacing w:before="101"/>
        <w:ind w:left="538"/>
      </w:pPr>
      <w:r>
        <w:rPr/>
        <w:t>2、 经基金份额持有人大会表决终止的； </w:t>
      </w:r>
    </w:p>
    <w:p>
      <w:pPr>
        <w:pStyle w:val="BodyText"/>
        <w:spacing w:before="2"/>
        <w:rPr>
          <w:sz w:val="23"/>
        </w:rPr>
      </w:pPr>
    </w:p>
    <w:p>
      <w:pPr>
        <w:pStyle w:val="BodyText"/>
        <w:spacing w:before="1"/>
        <w:ind w:left="538"/>
      </w:pPr>
      <w:r>
        <w:rPr/>
        <w:t>3、 因重大违法、违规行为，被中国证监会责令终止的； </w:t>
      </w:r>
    </w:p>
    <w:p>
      <w:pPr>
        <w:pStyle w:val="BodyText"/>
        <w:spacing w:before="5"/>
        <w:rPr>
          <w:sz w:val="23"/>
        </w:rPr>
      </w:pPr>
    </w:p>
    <w:p>
      <w:pPr>
        <w:pStyle w:val="BodyText"/>
        <w:spacing w:line="417" w:lineRule="auto"/>
        <w:ind w:left="118" w:right="105" w:firstLine="419"/>
      </w:pPr>
      <w:r>
        <w:rPr/>
        <w:t>4、 基金管理人因解散、破产、撤销、丧失基金管理资格、停止营业等事由，不能继续担任本基金管理人的职务，而无其它基金管理公司承受其原有权利及义务； </w:t>
      </w:r>
    </w:p>
    <w:p>
      <w:pPr>
        <w:pStyle w:val="BodyText"/>
        <w:spacing w:before="100"/>
        <w:ind w:left="538"/>
      </w:pPr>
      <w:r>
        <w:rPr/>
        <w:t>5、 基金托管人因解散、破产、撤销、丧失基金托管资格、停止营业等事由，不能继续担</w:t>
      </w:r>
    </w:p>
    <w:p>
      <w:pPr>
        <w:spacing w:after="0"/>
        <w:sectPr>
          <w:pgSz w:w="11910" w:h="16850"/>
          <w:pgMar w:header="852" w:footer="1386" w:top="1420" w:bottom="1580" w:left="1680" w:right="1360"/>
        </w:sectPr>
      </w:pPr>
    </w:p>
    <w:p>
      <w:pPr>
        <w:pStyle w:val="BodyText"/>
        <w:spacing w:line="506" w:lineRule="auto" w:before="142"/>
        <w:ind w:left="538" w:right="2337" w:hanging="420"/>
        <w:jc w:val="both"/>
      </w:pPr>
      <w:r>
        <w:rPr>
          <w:spacing w:val="-3"/>
        </w:rPr>
        <w:t>任本基金托管人的职务，而无其它托管机构承受其原有权利及义务； </w:t>
      </w:r>
      <w:r>
        <w:rPr/>
        <w:t>6</w:t>
      </w:r>
      <w:r>
        <w:rPr>
          <w:spacing w:val="-3"/>
        </w:rPr>
        <w:t>、 法律法规和中国证监会规定的其他事由。 </w:t>
      </w:r>
    </w:p>
    <w:p>
      <w:pPr>
        <w:pStyle w:val="BodyText"/>
        <w:spacing w:line="417" w:lineRule="auto"/>
        <w:ind w:left="118" w:right="433" w:firstLine="419"/>
        <w:jc w:val="both"/>
      </w:pPr>
      <w:r>
        <w:rPr>
          <w:spacing w:val="-15"/>
        </w:rPr>
        <w:t>基金合同终止后，基金管理人和基金托管人依照《基金法》</w:t>
      </w:r>
      <w:r>
        <w:rPr>
          <w:spacing w:val="-40"/>
        </w:rPr>
        <w:t>、《运作办法》、《销售办法》、</w:t>
      </w:r>
      <w:r>
        <w:rPr>
          <w:spacing w:val="-14"/>
        </w:rPr>
        <w:t>基金合同及其他有关规定，行使请求给付报酬、从基金资产中获得补偿的权利时，可以留置</w:t>
      </w:r>
      <w:r>
        <w:rPr>
          <w:spacing w:val="-7"/>
        </w:rPr>
        <w:t>基金资产或者对基金资产的权利归属人提出请求。</w:t>
      </w:r>
      <w:r>
        <w:rPr/>
        <w:t> </w:t>
      </w:r>
    </w:p>
    <w:p>
      <w:pPr>
        <w:pStyle w:val="BodyText"/>
        <w:spacing w:before="10"/>
        <w:rPr>
          <w:sz w:val="19"/>
        </w:rPr>
      </w:pPr>
    </w:p>
    <w:p>
      <w:pPr>
        <w:pStyle w:val="Heading2"/>
        <w:spacing w:before="1"/>
      </w:pPr>
      <w:bookmarkStart w:name="_bookmark91" w:id="92"/>
      <w:bookmarkEnd w:id="92"/>
      <w:r>
        <w:rPr>
          <w:b w:val="0"/>
        </w:rPr>
      </w:r>
      <w:r>
        <w:rPr/>
        <w:t>（三） 基金财产的清算</w:t>
      </w:r>
      <w:r>
        <w:rPr>
          <w:w w:val="200"/>
        </w:rPr>
        <w:t> </w:t>
      </w:r>
    </w:p>
    <w:p>
      <w:pPr>
        <w:pStyle w:val="BodyText"/>
        <w:rPr>
          <w:rFonts w:ascii="Microsoft JhengHei"/>
          <w:b/>
          <w:sz w:val="26"/>
        </w:rPr>
      </w:pPr>
    </w:p>
    <w:p>
      <w:pPr>
        <w:pStyle w:val="BodyText"/>
        <w:ind w:left="538"/>
        <w:jc w:val="both"/>
      </w:pPr>
      <w:r>
        <w:rPr/>
        <w:t>1、 基金清算小组 </w:t>
      </w:r>
    </w:p>
    <w:p>
      <w:pPr>
        <w:pStyle w:val="BodyText"/>
        <w:spacing w:before="5"/>
        <w:rPr>
          <w:sz w:val="23"/>
        </w:rPr>
      </w:pPr>
    </w:p>
    <w:p>
      <w:pPr>
        <w:pStyle w:val="ListParagraph"/>
        <w:numPr>
          <w:ilvl w:val="0"/>
          <w:numId w:val="55"/>
        </w:numPr>
        <w:tabs>
          <w:tab w:pos="958" w:val="left" w:leader="none"/>
        </w:tabs>
        <w:spacing w:line="417" w:lineRule="auto" w:before="0" w:after="0"/>
        <w:ind w:left="118" w:right="433" w:firstLine="419"/>
        <w:jc w:val="both"/>
        <w:rPr>
          <w:sz w:val="21"/>
        </w:rPr>
      </w:pPr>
      <w:r>
        <w:rPr>
          <w:spacing w:val="-6"/>
          <w:sz w:val="21"/>
        </w:rPr>
        <w:t>自基金合同终止之日起 </w:t>
      </w:r>
      <w:r>
        <w:rPr>
          <w:sz w:val="21"/>
        </w:rPr>
        <w:t>30</w:t>
      </w:r>
      <w:r>
        <w:rPr>
          <w:spacing w:val="-7"/>
          <w:sz w:val="21"/>
        </w:rPr>
        <w:t> 个工作日内成立清算小组，基金清算小组在中国证监会</w:t>
      </w:r>
      <w:r>
        <w:rPr>
          <w:spacing w:val="-5"/>
          <w:sz w:val="21"/>
        </w:rPr>
        <w:t>的监督下进行基金清算。</w:t>
      </w:r>
      <w:r>
        <w:rPr>
          <w:sz w:val="21"/>
        </w:rPr>
        <w:t> </w:t>
      </w:r>
    </w:p>
    <w:p>
      <w:pPr>
        <w:pStyle w:val="ListParagraph"/>
        <w:numPr>
          <w:ilvl w:val="0"/>
          <w:numId w:val="55"/>
        </w:numPr>
        <w:tabs>
          <w:tab w:pos="958" w:val="left" w:leader="none"/>
        </w:tabs>
        <w:spacing w:line="417" w:lineRule="auto" w:before="101" w:after="0"/>
        <w:ind w:left="118" w:right="433" w:firstLine="419"/>
        <w:jc w:val="both"/>
        <w:rPr>
          <w:sz w:val="21"/>
        </w:rPr>
      </w:pPr>
      <w:r>
        <w:rPr>
          <w:spacing w:val="-8"/>
          <w:sz w:val="21"/>
        </w:rPr>
        <w:t>基金清算小组成员由基金管理人、基金托管人、具有从事证券相关业务资格的注册</w:t>
      </w:r>
      <w:r>
        <w:rPr>
          <w:spacing w:val="-11"/>
          <w:sz w:val="21"/>
        </w:rPr>
        <w:t>会计师、律师以及中国证监会指定的人员组成。基金清算小组可以聘用必要的工作人员。清</w:t>
      </w:r>
      <w:r>
        <w:rPr>
          <w:spacing w:val="-6"/>
          <w:sz w:val="21"/>
        </w:rPr>
        <w:t>算小组在成立后五个工作日内应当公告。</w:t>
      </w:r>
      <w:r>
        <w:rPr>
          <w:sz w:val="21"/>
        </w:rPr>
        <w:t> </w:t>
      </w:r>
    </w:p>
    <w:p>
      <w:pPr>
        <w:pStyle w:val="ListParagraph"/>
        <w:numPr>
          <w:ilvl w:val="0"/>
          <w:numId w:val="55"/>
        </w:numPr>
        <w:tabs>
          <w:tab w:pos="958" w:val="left" w:leader="none"/>
        </w:tabs>
        <w:spacing w:line="417" w:lineRule="auto" w:before="97" w:after="0"/>
        <w:ind w:left="118" w:right="434" w:firstLine="419"/>
        <w:jc w:val="both"/>
        <w:rPr>
          <w:sz w:val="21"/>
        </w:rPr>
      </w:pPr>
      <w:r>
        <w:rPr>
          <w:spacing w:val="-9"/>
          <w:sz w:val="21"/>
        </w:rPr>
        <w:t>基金清算小组负责基金资产的保管、清理、估价、变现和分配。基金清算小组可以</w:t>
      </w:r>
      <w:r>
        <w:rPr>
          <w:spacing w:val="-5"/>
          <w:sz w:val="21"/>
        </w:rPr>
        <w:t>依法以基金的名义进行必要的民事活动。</w:t>
      </w:r>
      <w:r>
        <w:rPr>
          <w:sz w:val="21"/>
        </w:rPr>
        <w:t> </w:t>
      </w:r>
    </w:p>
    <w:p>
      <w:pPr>
        <w:pStyle w:val="BodyText"/>
        <w:spacing w:before="101"/>
        <w:ind w:left="538"/>
        <w:jc w:val="both"/>
      </w:pPr>
      <w:r>
        <w:rPr/>
        <w:t>2、 清算程序 </w:t>
      </w:r>
    </w:p>
    <w:p>
      <w:pPr>
        <w:pStyle w:val="BodyText"/>
        <w:spacing w:before="5"/>
        <w:rPr>
          <w:sz w:val="23"/>
        </w:rPr>
      </w:pPr>
    </w:p>
    <w:p>
      <w:pPr>
        <w:pStyle w:val="ListParagraph"/>
        <w:numPr>
          <w:ilvl w:val="0"/>
          <w:numId w:val="56"/>
        </w:numPr>
        <w:tabs>
          <w:tab w:pos="958" w:val="left" w:leader="none"/>
        </w:tabs>
        <w:spacing w:line="240" w:lineRule="auto" w:before="0" w:after="0"/>
        <w:ind w:left="958" w:right="0" w:hanging="420"/>
        <w:jc w:val="left"/>
        <w:rPr>
          <w:sz w:val="21"/>
        </w:rPr>
      </w:pPr>
      <w:r>
        <w:rPr>
          <w:spacing w:val="-3"/>
          <w:sz w:val="21"/>
        </w:rPr>
        <w:t>基金合同终止后，由基金清算小组统一接管基金资产；</w:t>
      </w:r>
      <w:r>
        <w:rPr>
          <w:sz w:val="21"/>
        </w:rPr>
        <w:t> </w:t>
      </w:r>
    </w:p>
    <w:p>
      <w:pPr>
        <w:pStyle w:val="BodyText"/>
        <w:spacing w:before="3"/>
        <w:rPr>
          <w:sz w:val="23"/>
        </w:rPr>
      </w:pPr>
    </w:p>
    <w:p>
      <w:pPr>
        <w:pStyle w:val="ListParagraph"/>
        <w:numPr>
          <w:ilvl w:val="0"/>
          <w:numId w:val="56"/>
        </w:numPr>
        <w:tabs>
          <w:tab w:pos="958" w:val="left" w:leader="none"/>
        </w:tabs>
        <w:spacing w:line="240" w:lineRule="auto" w:before="0" w:after="0"/>
        <w:ind w:left="958" w:right="0" w:hanging="420"/>
        <w:jc w:val="left"/>
        <w:rPr>
          <w:sz w:val="21"/>
        </w:rPr>
      </w:pPr>
      <w:r>
        <w:rPr>
          <w:spacing w:val="-3"/>
          <w:sz w:val="21"/>
        </w:rPr>
        <w:t>对基金资产和债权债务进行清理和确认； </w:t>
      </w:r>
    </w:p>
    <w:p>
      <w:pPr>
        <w:pStyle w:val="BodyText"/>
        <w:spacing w:before="5"/>
        <w:rPr>
          <w:sz w:val="23"/>
        </w:rPr>
      </w:pPr>
    </w:p>
    <w:p>
      <w:pPr>
        <w:pStyle w:val="ListParagraph"/>
        <w:numPr>
          <w:ilvl w:val="0"/>
          <w:numId w:val="56"/>
        </w:numPr>
        <w:tabs>
          <w:tab w:pos="958" w:val="left" w:leader="none"/>
        </w:tabs>
        <w:spacing w:line="240" w:lineRule="auto" w:before="0" w:after="0"/>
        <w:ind w:left="958" w:right="0" w:hanging="420"/>
        <w:jc w:val="left"/>
        <w:rPr>
          <w:sz w:val="21"/>
        </w:rPr>
      </w:pPr>
      <w:r>
        <w:rPr>
          <w:spacing w:val="-3"/>
          <w:sz w:val="21"/>
        </w:rPr>
        <w:t>对基金资产进行估值和变现；</w:t>
      </w:r>
      <w:r>
        <w:rPr>
          <w:sz w:val="21"/>
        </w:rPr>
        <w:t> </w:t>
      </w:r>
    </w:p>
    <w:p>
      <w:pPr>
        <w:pStyle w:val="BodyText"/>
        <w:spacing w:before="5"/>
        <w:rPr>
          <w:sz w:val="23"/>
        </w:rPr>
      </w:pPr>
    </w:p>
    <w:p>
      <w:pPr>
        <w:pStyle w:val="ListParagraph"/>
        <w:numPr>
          <w:ilvl w:val="0"/>
          <w:numId w:val="56"/>
        </w:numPr>
        <w:tabs>
          <w:tab w:pos="958" w:val="left" w:leader="none"/>
        </w:tabs>
        <w:spacing w:line="240" w:lineRule="auto" w:before="0" w:after="0"/>
        <w:ind w:left="958" w:right="0" w:hanging="420"/>
        <w:jc w:val="left"/>
        <w:rPr>
          <w:sz w:val="21"/>
        </w:rPr>
      </w:pPr>
      <w:r>
        <w:rPr>
          <w:spacing w:val="-3"/>
          <w:sz w:val="21"/>
        </w:rPr>
        <w:t>将基金清算结果报告中国证监会；</w:t>
      </w:r>
      <w:r>
        <w:rPr>
          <w:sz w:val="21"/>
        </w:rPr>
        <w:t> </w:t>
      </w:r>
    </w:p>
    <w:p>
      <w:pPr>
        <w:pStyle w:val="BodyText"/>
        <w:spacing w:before="3"/>
        <w:rPr>
          <w:sz w:val="23"/>
        </w:rPr>
      </w:pPr>
    </w:p>
    <w:p>
      <w:pPr>
        <w:pStyle w:val="ListParagraph"/>
        <w:numPr>
          <w:ilvl w:val="0"/>
          <w:numId w:val="56"/>
        </w:numPr>
        <w:tabs>
          <w:tab w:pos="958" w:val="left" w:leader="none"/>
        </w:tabs>
        <w:spacing w:line="240" w:lineRule="auto" w:before="0" w:after="0"/>
        <w:ind w:left="958" w:right="0" w:hanging="420"/>
        <w:jc w:val="left"/>
        <w:rPr>
          <w:sz w:val="21"/>
        </w:rPr>
      </w:pPr>
      <w:r>
        <w:rPr>
          <w:spacing w:val="-3"/>
          <w:sz w:val="21"/>
        </w:rPr>
        <w:t>公布基金清算公告；</w:t>
      </w:r>
      <w:r>
        <w:rPr>
          <w:sz w:val="21"/>
        </w:rPr>
        <w:t> </w:t>
      </w:r>
    </w:p>
    <w:p>
      <w:pPr>
        <w:pStyle w:val="BodyText"/>
        <w:spacing w:before="5"/>
        <w:rPr>
          <w:sz w:val="23"/>
        </w:rPr>
      </w:pPr>
    </w:p>
    <w:p>
      <w:pPr>
        <w:pStyle w:val="ListParagraph"/>
        <w:numPr>
          <w:ilvl w:val="0"/>
          <w:numId w:val="56"/>
        </w:numPr>
        <w:tabs>
          <w:tab w:pos="958" w:val="left" w:leader="none"/>
        </w:tabs>
        <w:spacing w:line="506" w:lineRule="auto" w:before="0" w:after="0"/>
        <w:ind w:left="538" w:right="5700" w:firstLine="0"/>
        <w:jc w:val="left"/>
        <w:rPr>
          <w:sz w:val="21"/>
        </w:rPr>
      </w:pPr>
      <w:r>
        <w:rPr>
          <w:spacing w:val="-3"/>
          <w:sz w:val="21"/>
        </w:rPr>
        <w:t>对基金资产进行分配。 </w:t>
      </w:r>
      <w:r>
        <w:rPr>
          <w:sz w:val="21"/>
        </w:rPr>
        <w:t>3</w:t>
      </w:r>
      <w:r>
        <w:rPr>
          <w:spacing w:val="-3"/>
          <w:sz w:val="21"/>
        </w:rPr>
        <w:t>、 清算费用</w:t>
      </w:r>
      <w:r>
        <w:rPr>
          <w:sz w:val="21"/>
        </w:rPr>
        <w:t> </w:t>
      </w:r>
    </w:p>
    <w:p>
      <w:pPr>
        <w:pStyle w:val="BodyText"/>
        <w:spacing w:line="417" w:lineRule="auto"/>
        <w:ind w:left="118" w:right="433" w:firstLine="419"/>
      </w:pPr>
      <w:r>
        <w:rPr>
          <w:spacing w:val="-6"/>
        </w:rPr>
        <w:t>清算费用是指基金清算小组在进行基金清算过程中发生的所有合理费用，清算费用由基</w:t>
      </w:r>
      <w:r>
        <w:rPr>
          <w:spacing w:val="-4"/>
        </w:rPr>
        <w:t>金清算小组优先从基金资产中支付。</w:t>
      </w:r>
      <w:r>
        <w:rPr/>
        <w:t> </w:t>
      </w:r>
    </w:p>
    <w:p>
      <w:pPr>
        <w:spacing w:after="0" w:line="417" w:lineRule="auto"/>
        <w:sectPr>
          <w:pgSz w:w="11910" w:h="16850"/>
          <w:pgMar w:header="852" w:footer="1386" w:top="1420" w:bottom="1580" w:left="1680" w:right="1360"/>
        </w:sectPr>
      </w:pPr>
    </w:p>
    <w:p>
      <w:pPr>
        <w:pStyle w:val="BodyText"/>
        <w:spacing w:before="142"/>
        <w:ind w:left="485"/>
      </w:pPr>
      <w:r>
        <w:rPr/>
        <w:t>4、基金资产按下列顺序清偿： </w:t>
      </w:r>
    </w:p>
    <w:p>
      <w:pPr>
        <w:pStyle w:val="BodyText"/>
        <w:spacing w:before="4"/>
        <w:rPr>
          <w:sz w:val="23"/>
        </w:rPr>
      </w:pPr>
    </w:p>
    <w:p>
      <w:pPr>
        <w:pStyle w:val="ListParagraph"/>
        <w:numPr>
          <w:ilvl w:val="0"/>
          <w:numId w:val="57"/>
        </w:numPr>
        <w:tabs>
          <w:tab w:pos="1067" w:val="left" w:leader="none"/>
        </w:tabs>
        <w:spacing w:line="240" w:lineRule="auto" w:before="1" w:after="0"/>
        <w:ind w:left="1067" w:right="0" w:hanging="529"/>
        <w:jc w:val="left"/>
        <w:rPr>
          <w:sz w:val="21"/>
        </w:rPr>
      </w:pPr>
      <w:r>
        <w:rPr>
          <w:spacing w:val="-3"/>
          <w:sz w:val="21"/>
        </w:rPr>
        <w:t>支付清算费用；</w:t>
      </w:r>
      <w:r>
        <w:rPr>
          <w:sz w:val="21"/>
        </w:rPr>
        <w:t> </w:t>
      </w:r>
    </w:p>
    <w:p>
      <w:pPr>
        <w:pStyle w:val="BodyText"/>
        <w:spacing w:before="2"/>
        <w:rPr>
          <w:sz w:val="23"/>
        </w:rPr>
      </w:pPr>
    </w:p>
    <w:p>
      <w:pPr>
        <w:pStyle w:val="ListParagraph"/>
        <w:numPr>
          <w:ilvl w:val="0"/>
          <w:numId w:val="57"/>
        </w:numPr>
        <w:tabs>
          <w:tab w:pos="1067" w:val="left" w:leader="none"/>
        </w:tabs>
        <w:spacing w:line="240" w:lineRule="auto" w:before="0" w:after="0"/>
        <w:ind w:left="1067" w:right="0" w:hanging="529"/>
        <w:jc w:val="left"/>
        <w:rPr>
          <w:sz w:val="21"/>
        </w:rPr>
      </w:pPr>
      <w:r>
        <w:rPr>
          <w:spacing w:val="-3"/>
          <w:sz w:val="21"/>
        </w:rPr>
        <w:t>交纳所欠税款；</w:t>
      </w:r>
      <w:r>
        <w:rPr>
          <w:sz w:val="21"/>
        </w:rPr>
        <w:t> </w:t>
      </w:r>
    </w:p>
    <w:p>
      <w:pPr>
        <w:pStyle w:val="BodyText"/>
        <w:spacing w:before="5"/>
        <w:rPr>
          <w:sz w:val="23"/>
        </w:rPr>
      </w:pPr>
    </w:p>
    <w:p>
      <w:pPr>
        <w:pStyle w:val="ListParagraph"/>
        <w:numPr>
          <w:ilvl w:val="0"/>
          <w:numId w:val="57"/>
        </w:numPr>
        <w:tabs>
          <w:tab w:pos="1067" w:val="left" w:leader="none"/>
        </w:tabs>
        <w:spacing w:line="240" w:lineRule="auto" w:before="0" w:after="0"/>
        <w:ind w:left="1067" w:right="0" w:hanging="529"/>
        <w:jc w:val="left"/>
        <w:rPr>
          <w:sz w:val="21"/>
        </w:rPr>
      </w:pPr>
      <w:r>
        <w:rPr>
          <w:spacing w:val="-3"/>
          <w:sz w:val="21"/>
        </w:rPr>
        <w:t>清偿基金债务；</w:t>
      </w:r>
      <w:r>
        <w:rPr>
          <w:sz w:val="21"/>
        </w:rPr>
        <w:t> </w:t>
      </w:r>
    </w:p>
    <w:p>
      <w:pPr>
        <w:pStyle w:val="BodyText"/>
        <w:spacing w:before="5"/>
        <w:rPr>
          <w:sz w:val="23"/>
        </w:rPr>
      </w:pPr>
    </w:p>
    <w:p>
      <w:pPr>
        <w:pStyle w:val="ListParagraph"/>
        <w:numPr>
          <w:ilvl w:val="0"/>
          <w:numId w:val="57"/>
        </w:numPr>
        <w:tabs>
          <w:tab w:pos="1067" w:val="left" w:leader="none"/>
        </w:tabs>
        <w:spacing w:line="417" w:lineRule="auto" w:before="0" w:after="0"/>
        <w:ind w:left="118" w:right="549" w:firstLine="419"/>
        <w:jc w:val="both"/>
        <w:rPr>
          <w:sz w:val="21"/>
        </w:rPr>
      </w:pPr>
      <w:r>
        <w:rPr>
          <w:spacing w:val="-3"/>
          <w:sz w:val="21"/>
        </w:rPr>
        <w:t>按基金份额持有人持有的基金份额比例进行分配。</w:t>
      </w:r>
      <w:r>
        <w:rPr>
          <w:sz w:val="21"/>
        </w:rPr>
        <w:t>（</w:t>
      </w:r>
      <w:r>
        <w:rPr>
          <w:spacing w:val="-3"/>
          <w:sz w:val="21"/>
        </w:rPr>
        <w:t>基金份额持有人持有的每一份</w:t>
      </w:r>
      <w:r>
        <w:rPr>
          <w:rFonts w:ascii="Times New Roman" w:eastAsia="Times New Roman"/>
          <w:sz w:val="21"/>
        </w:rPr>
        <w:t>A</w:t>
      </w:r>
      <w:r>
        <w:rPr>
          <w:spacing w:val="-3"/>
          <w:sz w:val="21"/>
        </w:rPr>
        <w:t>类基金份额和每一份</w:t>
      </w:r>
      <w:r>
        <w:rPr>
          <w:rFonts w:ascii="Times New Roman" w:eastAsia="Times New Roman"/>
          <w:sz w:val="21"/>
        </w:rPr>
        <w:t>B</w:t>
      </w:r>
      <w:r>
        <w:rPr>
          <w:spacing w:val="-3"/>
          <w:sz w:val="21"/>
        </w:rPr>
        <w:t>类基金份额拥有平等的分配权，持有的每一份</w:t>
      </w:r>
      <w:r>
        <w:rPr>
          <w:rFonts w:ascii="Times New Roman" w:eastAsia="Times New Roman"/>
          <w:sz w:val="21"/>
        </w:rPr>
        <w:t>E</w:t>
      </w:r>
      <w:r>
        <w:rPr>
          <w:spacing w:val="-3"/>
          <w:sz w:val="21"/>
        </w:rPr>
        <w:t>类基金份额与每</w:t>
      </w:r>
      <w:r>
        <w:rPr>
          <w:rFonts w:ascii="Times New Roman" w:eastAsia="Times New Roman"/>
          <w:spacing w:val="-3"/>
          <w:sz w:val="21"/>
        </w:rPr>
        <w:t>100</w:t>
      </w:r>
      <w:r>
        <w:rPr>
          <w:spacing w:val="-3"/>
          <w:sz w:val="21"/>
        </w:rPr>
        <w:t>份</w:t>
      </w:r>
      <w:r>
        <w:rPr>
          <w:rFonts w:ascii="Times New Roman" w:eastAsia="Times New Roman"/>
          <w:sz w:val="21"/>
        </w:rPr>
        <w:t>A</w:t>
      </w:r>
      <w:r>
        <w:rPr>
          <w:sz w:val="21"/>
        </w:rPr>
        <w:t>类</w:t>
      </w:r>
      <w:r>
        <w:rPr>
          <w:rFonts w:ascii="Times New Roman" w:eastAsia="Times New Roman"/>
          <w:sz w:val="21"/>
        </w:rPr>
        <w:t>/</w:t>
      </w:r>
      <w:r>
        <w:rPr>
          <w:sz w:val="21"/>
        </w:rPr>
        <w:t>每</w:t>
      </w:r>
      <w:r>
        <w:rPr>
          <w:rFonts w:ascii="Times New Roman" w:eastAsia="Times New Roman"/>
          <w:sz w:val="21"/>
        </w:rPr>
        <w:t>100</w:t>
      </w:r>
      <w:r>
        <w:rPr>
          <w:spacing w:val="-3"/>
          <w:sz w:val="21"/>
        </w:rPr>
        <w:t>份</w:t>
      </w:r>
      <w:r>
        <w:rPr>
          <w:rFonts w:ascii="Times New Roman" w:eastAsia="Times New Roman"/>
          <w:sz w:val="21"/>
        </w:rPr>
        <w:t>B</w:t>
      </w:r>
      <w:r>
        <w:rPr>
          <w:spacing w:val="-3"/>
          <w:sz w:val="21"/>
        </w:rPr>
        <w:t>类基金份额享有平等的分配权。）</w:t>
      </w:r>
      <w:r>
        <w:rPr>
          <w:sz w:val="21"/>
        </w:rPr>
        <w:t> </w:t>
      </w:r>
    </w:p>
    <w:p>
      <w:pPr>
        <w:pStyle w:val="BodyText"/>
        <w:spacing w:line="506" w:lineRule="auto" w:before="99"/>
        <w:ind w:left="485" w:right="1182" w:firstLine="52"/>
      </w:pPr>
      <w:r>
        <w:rPr/>
        <w:t>基金资产未按前款（1） 至（3） 项规定清偿前， 不分配给基金份额持有人5、基金清算的公告 </w:t>
      </w:r>
    </w:p>
    <w:p>
      <w:pPr>
        <w:pStyle w:val="BodyText"/>
        <w:spacing w:before="2"/>
        <w:ind w:left="538"/>
      </w:pPr>
      <w:r>
        <w:rPr/>
        <w:t>基金合同终止并报中国证监会备案后 5 个工作日内由基金清算小组公告；清算过程中</w:t>
      </w:r>
    </w:p>
    <w:p>
      <w:pPr>
        <w:pStyle w:val="BodyText"/>
        <w:spacing w:before="7"/>
        <w:rPr>
          <w:sz w:val="15"/>
        </w:rPr>
      </w:pPr>
    </w:p>
    <w:p>
      <w:pPr>
        <w:pStyle w:val="BodyText"/>
        <w:spacing w:line="417" w:lineRule="auto"/>
        <w:ind w:left="118" w:right="435"/>
      </w:pPr>
      <w:r>
        <w:rPr/>
        <w:t>的有关重大事项须及时公告；基金清算结果由基金清算小组经中国证监会备案后 3 个工作日内公告。 </w:t>
      </w:r>
    </w:p>
    <w:p>
      <w:pPr>
        <w:pStyle w:val="BodyText"/>
        <w:spacing w:before="98"/>
        <w:ind w:left="485"/>
      </w:pPr>
      <w:r>
        <w:rPr/>
        <w:t>6、清算帐册及文件的保存 </w:t>
      </w:r>
    </w:p>
    <w:p>
      <w:pPr>
        <w:pStyle w:val="BodyText"/>
        <w:spacing w:before="5"/>
        <w:rPr>
          <w:sz w:val="23"/>
        </w:rPr>
      </w:pPr>
    </w:p>
    <w:p>
      <w:pPr>
        <w:pStyle w:val="BodyText"/>
        <w:ind w:left="538"/>
      </w:pPr>
      <w:r>
        <w:rPr/>
        <w:t>基金清算帐册及有关文件由基金托管人保存 15 年以上。 </w:t>
      </w:r>
    </w:p>
    <w:p>
      <w:pPr>
        <w:spacing w:after="0"/>
        <w:sectPr>
          <w:pgSz w:w="11910" w:h="16850"/>
          <w:pgMar w:header="852" w:footer="1386" w:top="1420" w:bottom="1580" w:left="1680" w:right="1360"/>
        </w:sectPr>
      </w:pPr>
    </w:p>
    <w:p>
      <w:pPr>
        <w:pStyle w:val="Heading1"/>
        <w:tabs>
          <w:tab w:pos="1679" w:val="left" w:leader="none"/>
        </w:tabs>
        <w:ind w:right="320"/>
      </w:pPr>
      <w:bookmarkStart w:name="_bookmark92" w:id="93"/>
      <w:bookmarkEnd w:id="93"/>
      <w:r>
        <w:rPr/>
      </w:r>
      <w:r>
        <w:rPr/>
        <w:t>二十四、</w:t>
        <w:tab/>
        <w:t>违约责任</w:t>
      </w:r>
    </w:p>
    <w:p>
      <w:pPr>
        <w:pStyle w:val="BodyText"/>
        <w:spacing w:before="2"/>
        <w:rPr>
          <w:sz w:val="38"/>
        </w:rPr>
      </w:pPr>
    </w:p>
    <w:p>
      <w:pPr>
        <w:pStyle w:val="BodyText"/>
        <w:spacing w:line="417" w:lineRule="auto" w:before="1"/>
        <w:ind w:left="118" w:right="328" w:firstLine="419"/>
      </w:pPr>
      <w:r>
        <w:rPr/>
        <w:t>（一）</w:t>
      </w:r>
      <w:r>
        <w:rPr>
          <w:spacing w:val="-8"/>
        </w:rPr>
        <w:t> 由于基金合同一方当事人的违约，造成基金合同不能履行或者不能完全履行的， </w:t>
      </w:r>
      <w:r>
        <w:rPr>
          <w:spacing w:val="-10"/>
        </w:rPr>
        <w:t>由违约的一方承担违约责任；如属基金合同双方或多方当事人的违约，根据实际情况，双方</w:t>
      </w:r>
      <w:r>
        <w:rPr>
          <w:spacing w:val="-5"/>
        </w:rPr>
        <w:t>或多方当事人分别承担各自应负的违约责任。</w:t>
      </w:r>
    </w:p>
    <w:p>
      <w:pPr>
        <w:pStyle w:val="BodyText"/>
        <w:spacing w:before="8"/>
      </w:pPr>
    </w:p>
    <w:p>
      <w:pPr>
        <w:pStyle w:val="BodyText"/>
        <w:ind w:left="538"/>
      </w:pPr>
      <w:r>
        <w:rPr/>
        <w:t>（二）当发生下列情况时，当事人可以免责：</w:t>
      </w:r>
    </w:p>
    <w:p>
      <w:pPr>
        <w:pStyle w:val="BodyText"/>
        <w:rPr>
          <w:sz w:val="20"/>
        </w:rPr>
      </w:pPr>
    </w:p>
    <w:p>
      <w:pPr>
        <w:pStyle w:val="BodyText"/>
        <w:spacing w:before="6"/>
        <w:rPr>
          <w:sz w:val="17"/>
        </w:rPr>
      </w:pPr>
    </w:p>
    <w:p>
      <w:pPr>
        <w:pStyle w:val="BodyText"/>
        <w:spacing w:line="417" w:lineRule="auto"/>
        <w:ind w:left="967" w:right="434" w:hanging="423"/>
      </w:pPr>
      <w:r>
        <w:rPr>
          <w:rFonts w:ascii="Times New Roman" w:eastAsia="Times New Roman"/>
        </w:rPr>
        <w:t>1</w:t>
      </w:r>
      <w:r>
        <w:rPr/>
        <w:t>、 基金管理人及基金托管人按照中国证监会的规定或当时有效的法律、法规或规章的作为或不作为而造成的损失等；</w:t>
      </w:r>
    </w:p>
    <w:p>
      <w:pPr>
        <w:pStyle w:val="BodyText"/>
        <w:spacing w:before="12"/>
      </w:pPr>
    </w:p>
    <w:p>
      <w:pPr>
        <w:pStyle w:val="BodyText"/>
        <w:spacing w:line="417" w:lineRule="auto"/>
        <w:ind w:left="967" w:right="434" w:hanging="423"/>
      </w:pPr>
      <w:r>
        <w:rPr>
          <w:rFonts w:ascii="Times New Roman" w:eastAsia="Times New Roman"/>
        </w:rPr>
        <w:t>2</w:t>
      </w:r>
      <w:r>
        <w:rPr/>
        <w:t>、 在没有欺诈或过失的情况下，基金管理人由于按照本基金合同规定的投资原则进行的投资所造成的损失等；</w:t>
      </w:r>
    </w:p>
    <w:p>
      <w:pPr>
        <w:pStyle w:val="BodyText"/>
        <w:spacing w:before="9"/>
      </w:pPr>
    </w:p>
    <w:p>
      <w:pPr>
        <w:pStyle w:val="BodyText"/>
        <w:ind w:left="545"/>
      </w:pPr>
      <w:r>
        <w:rPr>
          <w:rFonts w:ascii="Times New Roman" w:eastAsia="Times New Roman"/>
        </w:rPr>
        <w:t>3</w:t>
      </w:r>
      <w:r>
        <w:rPr/>
        <w:t>、不可抗力。</w:t>
      </w:r>
    </w:p>
    <w:p>
      <w:pPr>
        <w:pStyle w:val="BodyText"/>
        <w:rPr>
          <w:sz w:val="22"/>
        </w:rPr>
      </w:pPr>
    </w:p>
    <w:p>
      <w:pPr>
        <w:pStyle w:val="BodyText"/>
        <w:spacing w:before="6"/>
        <w:rPr>
          <w:sz w:val="15"/>
        </w:rPr>
      </w:pPr>
    </w:p>
    <w:p>
      <w:pPr>
        <w:pStyle w:val="BodyText"/>
        <w:tabs>
          <w:tab w:pos="1377" w:val="left" w:leader="none"/>
        </w:tabs>
        <w:spacing w:line="417" w:lineRule="auto"/>
        <w:ind w:left="118" w:right="436" w:firstLine="419"/>
      </w:pPr>
      <w:r>
        <w:rPr/>
        <w:t>（三）</w:t>
        <w:tab/>
        <w:t>基金</w:t>
      </w:r>
      <w:r>
        <w:rPr>
          <w:spacing w:val="-3"/>
        </w:rPr>
        <w:t>合</w:t>
      </w:r>
      <w:r>
        <w:rPr/>
        <w:t>同</w:t>
      </w:r>
      <w:r>
        <w:rPr>
          <w:spacing w:val="-3"/>
        </w:rPr>
        <w:t>当</w:t>
      </w:r>
      <w:r>
        <w:rPr/>
        <w:t>事</w:t>
      </w:r>
      <w:r>
        <w:rPr>
          <w:spacing w:val="-3"/>
        </w:rPr>
        <w:t>人</w:t>
      </w:r>
      <w:r>
        <w:rPr/>
        <w:t>违</w:t>
      </w:r>
      <w:r>
        <w:rPr>
          <w:spacing w:val="-3"/>
        </w:rPr>
        <w:t>反</w:t>
      </w:r>
      <w:r>
        <w:rPr/>
        <w:t>基</w:t>
      </w:r>
      <w:r>
        <w:rPr>
          <w:spacing w:val="-3"/>
        </w:rPr>
        <w:t>金</w:t>
      </w:r>
      <w:r>
        <w:rPr/>
        <w:t>合</w:t>
      </w:r>
      <w:r>
        <w:rPr>
          <w:spacing w:val="-3"/>
        </w:rPr>
        <w:t>同</w:t>
      </w:r>
      <w:r>
        <w:rPr>
          <w:spacing w:val="-46"/>
        </w:rPr>
        <w:t>，</w:t>
      </w:r>
      <w:r>
        <w:rPr>
          <w:spacing w:val="-3"/>
        </w:rPr>
        <w:t>给</w:t>
      </w:r>
      <w:r>
        <w:rPr/>
        <w:t>其</w:t>
      </w:r>
      <w:r>
        <w:rPr>
          <w:spacing w:val="-3"/>
        </w:rPr>
        <w:t>他</w:t>
      </w:r>
      <w:r>
        <w:rPr/>
        <w:t>基</w:t>
      </w:r>
      <w:r>
        <w:rPr>
          <w:spacing w:val="-3"/>
        </w:rPr>
        <w:t>金</w:t>
      </w:r>
      <w:r>
        <w:rPr/>
        <w:t>合</w:t>
      </w:r>
      <w:r>
        <w:rPr>
          <w:spacing w:val="-3"/>
        </w:rPr>
        <w:t>同当</w:t>
      </w:r>
      <w:r>
        <w:rPr/>
        <w:t>事人</w:t>
      </w:r>
      <w:r>
        <w:rPr>
          <w:spacing w:val="-3"/>
        </w:rPr>
        <w:t>造</w:t>
      </w:r>
      <w:r>
        <w:rPr/>
        <w:t>成</w:t>
      </w:r>
      <w:r>
        <w:rPr>
          <w:spacing w:val="-3"/>
        </w:rPr>
        <w:t>损</w:t>
      </w:r>
      <w:r>
        <w:rPr/>
        <w:t>失</w:t>
      </w:r>
      <w:r>
        <w:rPr>
          <w:spacing w:val="-3"/>
        </w:rPr>
        <w:t>的</w:t>
      </w:r>
      <w:r>
        <w:rPr>
          <w:spacing w:val="-48"/>
        </w:rPr>
        <w:t>，</w:t>
      </w:r>
      <w:r>
        <w:rPr/>
        <w:t>应</w:t>
      </w:r>
      <w:r>
        <w:rPr>
          <w:spacing w:val="-3"/>
        </w:rPr>
        <w:t>当承</w:t>
      </w:r>
      <w:r>
        <w:rPr/>
        <w:t>担赔偿</w:t>
      </w:r>
      <w:r>
        <w:rPr>
          <w:spacing w:val="-3"/>
        </w:rPr>
        <w:t>责</w:t>
      </w:r>
      <w:r>
        <w:rPr/>
        <w:t>任。</w:t>
      </w:r>
    </w:p>
    <w:p>
      <w:pPr>
        <w:pStyle w:val="BodyText"/>
        <w:spacing w:before="11"/>
      </w:pPr>
    </w:p>
    <w:p>
      <w:pPr>
        <w:pStyle w:val="BodyText"/>
        <w:tabs>
          <w:tab w:pos="1377" w:val="left" w:leader="none"/>
        </w:tabs>
        <w:spacing w:before="1"/>
        <w:ind w:left="538"/>
      </w:pPr>
      <w:r>
        <w:rPr/>
        <w:t>（四）</w:t>
        <w:tab/>
        <w:t>基金</w:t>
      </w:r>
      <w:r>
        <w:rPr>
          <w:spacing w:val="-3"/>
        </w:rPr>
        <w:t>合</w:t>
      </w:r>
      <w:r>
        <w:rPr/>
        <w:t>同</w:t>
      </w:r>
      <w:r>
        <w:rPr>
          <w:spacing w:val="-3"/>
        </w:rPr>
        <w:t>能</w:t>
      </w:r>
      <w:r>
        <w:rPr/>
        <w:t>够</w:t>
      </w:r>
      <w:r>
        <w:rPr>
          <w:spacing w:val="-3"/>
        </w:rPr>
        <w:t>继</w:t>
      </w:r>
      <w:r>
        <w:rPr/>
        <w:t>续</w:t>
      </w:r>
      <w:r>
        <w:rPr>
          <w:spacing w:val="-3"/>
        </w:rPr>
        <w:t>履</w:t>
      </w:r>
      <w:r>
        <w:rPr/>
        <w:t>行</w:t>
      </w:r>
      <w:r>
        <w:rPr>
          <w:spacing w:val="-3"/>
        </w:rPr>
        <w:t>的</w:t>
      </w:r>
      <w:r>
        <w:rPr/>
        <w:t>应当</w:t>
      </w:r>
      <w:r>
        <w:rPr>
          <w:spacing w:val="-3"/>
        </w:rPr>
        <w:t>继</w:t>
      </w:r>
      <w:r>
        <w:rPr/>
        <w:t>续</w:t>
      </w:r>
      <w:r>
        <w:rPr>
          <w:spacing w:val="-3"/>
        </w:rPr>
        <w:t>履</w:t>
      </w:r>
      <w:r>
        <w:rPr/>
        <w:t>行。</w:t>
      </w:r>
    </w:p>
    <w:p>
      <w:pPr>
        <w:pStyle w:val="BodyText"/>
        <w:rPr>
          <w:sz w:val="20"/>
        </w:rPr>
      </w:pPr>
    </w:p>
    <w:p>
      <w:pPr>
        <w:pStyle w:val="BodyText"/>
        <w:spacing w:before="3"/>
        <w:rPr>
          <w:sz w:val="17"/>
        </w:rPr>
      </w:pPr>
    </w:p>
    <w:p>
      <w:pPr>
        <w:pStyle w:val="BodyText"/>
        <w:spacing w:line="417" w:lineRule="auto"/>
        <w:ind w:left="118" w:right="433" w:firstLine="419"/>
        <w:jc w:val="both"/>
      </w:pPr>
      <w:r>
        <w:rPr/>
        <w:t>（五）</w:t>
      </w:r>
      <w:r>
        <w:rPr>
          <w:spacing w:val="-7"/>
        </w:rPr>
        <w:t> 本合同当事人一方违约后，其他当事方应当采取适当措施防止损失的扩大；没</w:t>
      </w:r>
      <w:r>
        <w:rPr>
          <w:spacing w:val="-10"/>
        </w:rPr>
        <w:t>有采取适当措施致使损失扩大的，不得就扩大的损失要求赔偿。守约方因防止损失扩大而支</w:t>
      </w:r>
      <w:r>
        <w:rPr>
          <w:spacing w:val="-5"/>
        </w:rPr>
        <w:t>出的合理费用由违约方承担。</w:t>
      </w:r>
    </w:p>
    <w:p>
      <w:pPr>
        <w:pStyle w:val="BodyText"/>
        <w:spacing w:before="11"/>
      </w:pPr>
    </w:p>
    <w:p>
      <w:pPr>
        <w:pStyle w:val="BodyText"/>
        <w:spacing w:line="417" w:lineRule="auto"/>
        <w:ind w:left="118" w:right="433" w:firstLine="458"/>
      </w:pPr>
      <w:r>
        <w:rPr/>
        <w:t>（</w:t>
      </w:r>
      <w:r>
        <w:rPr>
          <w:spacing w:val="-3"/>
        </w:rPr>
        <w:t>六</w:t>
      </w:r>
      <w:r>
        <w:rPr>
          <w:spacing w:val="-65"/>
        </w:rPr>
        <w:t>）</w:t>
      </w:r>
      <w:r>
        <w:rPr>
          <w:spacing w:val="-6"/>
        </w:rPr>
        <w:t>因第三方的过错而导致本基金合同当事人一方违约，并造成其他当事人损失的， </w:t>
      </w:r>
      <w:r>
        <w:rPr>
          <w:spacing w:val="-4"/>
        </w:rPr>
        <w:t>违约方并不因此免除其赔偿责任。</w:t>
      </w:r>
      <w:r>
        <w:rPr/>
        <w:t> </w:t>
      </w:r>
    </w:p>
    <w:p>
      <w:pPr>
        <w:pStyle w:val="BodyText"/>
        <w:spacing w:before="12"/>
      </w:pPr>
    </w:p>
    <w:p>
      <w:pPr>
        <w:pStyle w:val="BodyText"/>
        <w:spacing w:line="417" w:lineRule="auto"/>
        <w:ind w:left="118" w:right="433" w:firstLine="458"/>
      </w:pPr>
      <w:r>
        <w:rPr/>
        <w:t>（</w:t>
      </w:r>
      <w:r>
        <w:rPr>
          <w:spacing w:val="-3"/>
        </w:rPr>
        <w:t>七</w:t>
      </w:r>
      <w:r>
        <w:rPr>
          <w:spacing w:val="-65"/>
        </w:rPr>
        <w:t>）</w:t>
      </w:r>
      <w:r>
        <w:rPr>
          <w:spacing w:val="-7"/>
        </w:rPr>
        <w:t>当事人之一违约而导致其他当事人损失的，基金份额持有人应先于其他受损方获</w:t>
      </w:r>
      <w:r>
        <w:rPr>
          <w:spacing w:val="-6"/>
        </w:rPr>
        <w:t>得赔偿。</w:t>
      </w:r>
      <w:r>
        <w:rPr/>
        <w:t> </w:t>
      </w:r>
    </w:p>
    <w:p>
      <w:pPr>
        <w:spacing w:after="0" w:line="417" w:lineRule="auto"/>
        <w:sectPr>
          <w:pgSz w:w="11910" w:h="16850"/>
          <w:pgMar w:header="852" w:footer="1386" w:top="1420" w:bottom="1580" w:left="1680" w:right="1360"/>
        </w:sectPr>
      </w:pPr>
    </w:p>
    <w:p>
      <w:pPr>
        <w:pStyle w:val="Heading1"/>
        <w:tabs>
          <w:tab w:pos="1680" w:val="left" w:leader="none"/>
        </w:tabs>
        <w:ind w:right="324"/>
      </w:pPr>
      <w:bookmarkStart w:name="_bookmark93" w:id="94"/>
      <w:bookmarkEnd w:id="94"/>
      <w:r>
        <w:rPr/>
      </w:r>
      <w:r>
        <w:rPr/>
        <w:t>二十五、</w:t>
        <w:tab/>
        <w:t>法律适用与争议解决</w:t>
      </w:r>
    </w:p>
    <w:p>
      <w:pPr>
        <w:pStyle w:val="BodyText"/>
        <w:spacing w:before="2"/>
        <w:rPr>
          <w:sz w:val="38"/>
        </w:rPr>
      </w:pPr>
    </w:p>
    <w:p>
      <w:pPr>
        <w:pStyle w:val="BodyText"/>
        <w:spacing w:before="1"/>
        <w:ind w:left="576"/>
      </w:pPr>
      <w:r>
        <w:rPr/>
        <w:t>（一） 本基金合同适用中华人民共和国法律并从其解释。</w:t>
      </w:r>
    </w:p>
    <w:p>
      <w:pPr>
        <w:pStyle w:val="BodyText"/>
        <w:rPr>
          <w:sz w:val="20"/>
        </w:rPr>
      </w:pPr>
    </w:p>
    <w:p>
      <w:pPr>
        <w:pStyle w:val="BodyText"/>
        <w:spacing w:before="3"/>
        <w:rPr>
          <w:sz w:val="17"/>
        </w:rPr>
      </w:pPr>
    </w:p>
    <w:p>
      <w:pPr>
        <w:pStyle w:val="BodyText"/>
        <w:spacing w:line="417" w:lineRule="auto"/>
        <w:ind w:left="118" w:right="433" w:firstLine="458"/>
        <w:jc w:val="both"/>
      </w:pPr>
      <w:r>
        <w:rPr/>
        <w:t>（二）</w:t>
      </w:r>
      <w:r>
        <w:rPr>
          <w:spacing w:val="-3"/>
        </w:rPr>
        <w:t> 基金管理人、基金托管人之间因本基金合同产生的或与本基金合同有关的争议</w:t>
      </w:r>
      <w:r>
        <w:rPr>
          <w:spacing w:val="-11"/>
        </w:rPr>
        <w:t>可首先通过友好协商解决，自一方书面要求协商解决争议之日起</w:t>
      </w:r>
      <w:r>
        <w:rPr>
          <w:rFonts w:ascii="Times New Roman" w:eastAsia="Times New Roman"/>
        </w:rPr>
        <w:t>60</w:t>
      </w:r>
      <w:r>
        <w:rPr>
          <w:spacing w:val="-3"/>
        </w:rPr>
        <w:t>日内如果争议未能以协商</w:t>
      </w:r>
      <w:r>
        <w:rPr>
          <w:spacing w:val="-12"/>
        </w:rPr>
        <w:t>方式解决，则任何一方有权将争议提交中国国际经济贸易仲裁委员会根据提交仲裁时该会的仲裁规则进行仲裁。仲裁裁决是终局的，对仲裁各方当事人均具有约束力。除提交仲裁的争</w:t>
      </w:r>
      <w:r>
        <w:rPr>
          <w:spacing w:val="-6"/>
        </w:rPr>
        <w:t>议之外，各方当事人仍应履行本基金合同的其他规定。</w:t>
      </w:r>
    </w:p>
    <w:p>
      <w:pPr>
        <w:pStyle w:val="BodyText"/>
        <w:spacing w:before="11"/>
      </w:pPr>
    </w:p>
    <w:p>
      <w:pPr>
        <w:pStyle w:val="BodyText"/>
        <w:spacing w:line="417" w:lineRule="auto"/>
        <w:ind w:left="118" w:right="433" w:firstLine="458"/>
        <w:jc w:val="both"/>
      </w:pPr>
      <w:r>
        <w:rPr/>
        <w:t>（三）</w:t>
      </w:r>
      <w:r>
        <w:rPr>
          <w:spacing w:val="-7"/>
        </w:rPr>
        <w:t> 基金份额持有人或基金投资者作为一方当事人与基金管理人、基金托管人的一</w:t>
      </w:r>
      <w:r>
        <w:rPr>
          <w:spacing w:val="-10"/>
        </w:rPr>
        <w:t>方或数方作为另一方当事人之间发生争议，首先通过友好协商解决，自一方书面要求协商解</w:t>
      </w:r>
      <w:r>
        <w:rPr>
          <w:spacing w:val="-5"/>
        </w:rPr>
        <w:t>决争议之日起</w:t>
      </w:r>
      <w:r>
        <w:rPr>
          <w:rFonts w:ascii="Times New Roman" w:eastAsia="Times New Roman"/>
        </w:rPr>
        <w:t>60</w:t>
      </w:r>
      <w:r>
        <w:rPr>
          <w:spacing w:val="-9"/>
        </w:rPr>
        <w:t>日内如果争议未能以协商方式解决，则任何一方有权向有管辖权的人民法院</w:t>
      </w:r>
      <w:r>
        <w:rPr>
          <w:spacing w:val="-5"/>
        </w:rPr>
        <w:t>起诉，也可将事后达成的仲裁协议向仲裁机构申请仲裁。</w:t>
      </w:r>
    </w:p>
    <w:p>
      <w:pPr>
        <w:spacing w:after="0" w:line="417" w:lineRule="auto"/>
        <w:jc w:val="both"/>
        <w:sectPr>
          <w:pgSz w:w="11910" w:h="16850"/>
          <w:pgMar w:header="852" w:footer="1386" w:top="1420" w:bottom="1580" w:left="1680" w:right="1360"/>
        </w:sectPr>
      </w:pPr>
    </w:p>
    <w:p>
      <w:pPr>
        <w:pStyle w:val="Heading1"/>
        <w:tabs>
          <w:tab w:pos="1679" w:val="left" w:leader="none"/>
        </w:tabs>
        <w:ind w:right="321"/>
      </w:pPr>
      <w:bookmarkStart w:name="_bookmark94" w:id="95"/>
      <w:bookmarkEnd w:id="95"/>
      <w:r>
        <w:rPr/>
      </w:r>
      <w:r>
        <w:rPr/>
        <w:t>二十六、</w:t>
        <w:tab/>
        <w:t>基金合同的效力</w:t>
      </w:r>
    </w:p>
    <w:p>
      <w:pPr>
        <w:pStyle w:val="BodyText"/>
        <w:spacing w:before="2"/>
        <w:rPr>
          <w:sz w:val="38"/>
        </w:rPr>
      </w:pPr>
    </w:p>
    <w:p>
      <w:pPr>
        <w:pStyle w:val="BodyText"/>
        <w:spacing w:line="417" w:lineRule="auto" w:before="1"/>
        <w:ind w:left="118" w:right="433" w:firstLine="419"/>
        <w:jc w:val="both"/>
      </w:pPr>
      <w:r>
        <w:rPr/>
        <w:t>（一）</w:t>
      </w:r>
      <w:r>
        <w:rPr>
          <w:spacing w:val="-8"/>
        </w:rPr>
        <w:t> 基金合同是基金当事人之间的法律文件。本基金合同在基金募集结束，经基金</w:t>
      </w:r>
      <w:r>
        <w:rPr>
          <w:spacing w:val="-10"/>
        </w:rPr>
        <w:t>管理人、基金托管人两方盖章以及两方法定代表人或授权代表签字，在基金募集结束报中国</w:t>
      </w:r>
      <w:r>
        <w:rPr>
          <w:spacing w:val="-5"/>
        </w:rPr>
        <w:t>证监会备案，并获中国证监会书面确认后生效。</w:t>
      </w:r>
    </w:p>
    <w:p>
      <w:pPr>
        <w:pStyle w:val="BodyText"/>
        <w:spacing w:before="8"/>
      </w:pPr>
    </w:p>
    <w:p>
      <w:pPr>
        <w:pStyle w:val="BodyText"/>
        <w:spacing w:line="417" w:lineRule="auto"/>
        <w:ind w:left="118" w:right="431" w:firstLine="419"/>
        <w:jc w:val="both"/>
      </w:pPr>
      <w:r>
        <w:rPr/>
        <w:t>（二） 本基金合同的有效期自其生效之日至本基金清算结果报中国证监会备案并公告之日止。</w:t>
      </w:r>
    </w:p>
    <w:p>
      <w:pPr>
        <w:pStyle w:val="BodyText"/>
        <w:spacing w:before="12"/>
      </w:pPr>
    </w:p>
    <w:p>
      <w:pPr>
        <w:pStyle w:val="BodyText"/>
        <w:spacing w:line="417" w:lineRule="auto"/>
        <w:ind w:left="118" w:right="433" w:firstLine="419"/>
        <w:jc w:val="both"/>
      </w:pPr>
      <w:r>
        <w:rPr/>
        <w:t>（三）</w:t>
      </w:r>
      <w:r>
        <w:rPr>
          <w:spacing w:val="-8"/>
        </w:rPr>
        <w:t> 本基金合同自生效之日起对包括基金管理人、基金托管人和基金份额持有人在</w:t>
      </w:r>
      <w:r>
        <w:rPr>
          <w:spacing w:val="-5"/>
        </w:rPr>
        <w:t>内的基金合同各方当事人具有同等的法律约束力。</w:t>
      </w:r>
    </w:p>
    <w:p>
      <w:pPr>
        <w:pStyle w:val="BodyText"/>
        <w:spacing w:before="12"/>
      </w:pPr>
    </w:p>
    <w:p>
      <w:pPr>
        <w:pStyle w:val="BodyText"/>
        <w:spacing w:line="417" w:lineRule="auto"/>
        <w:ind w:left="118" w:right="435" w:firstLine="419"/>
        <w:jc w:val="both"/>
      </w:pPr>
      <w:r>
        <w:rPr/>
        <w:t>（四） 本基金合同及其修订本正本一式六份，除上报中国证监会和中国银监会各一份外，基金管理人、基金托管人各持有二份，每份具有同等的法律效力。</w:t>
      </w:r>
    </w:p>
    <w:p>
      <w:pPr>
        <w:pStyle w:val="BodyText"/>
        <w:spacing w:before="9"/>
      </w:pPr>
    </w:p>
    <w:p>
      <w:pPr>
        <w:pStyle w:val="BodyText"/>
        <w:spacing w:line="417" w:lineRule="auto"/>
        <w:ind w:left="118" w:right="434" w:firstLine="419"/>
        <w:jc w:val="both"/>
      </w:pPr>
      <w:r>
        <w:rPr>
          <w:spacing w:val="-21"/>
        </w:rPr>
        <w:t>本基金合同可印制成册，供投资者在基金管理人、基金托管人、代销机构办公场所查阅； 投资者也可在支付一定工本费后获得本基金合同复印件或复制件，但应以基金合同正本为准。</w:t>
      </w:r>
    </w:p>
    <w:p>
      <w:pPr>
        <w:spacing w:after="0" w:line="417" w:lineRule="auto"/>
        <w:jc w:val="both"/>
        <w:sectPr>
          <w:pgSz w:w="11910" w:h="16850"/>
          <w:pgMar w:header="852" w:footer="1386" w:top="1420" w:bottom="1580" w:left="1680" w:right="1360"/>
        </w:sectPr>
      </w:pPr>
    </w:p>
    <w:p>
      <w:pPr>
        <w:pStyle w:val="Heading1"/>
        <w:tabs>
          <w:tab w:pos="1679" w:val="left" w:leader="none"/>
        </w:tabs>
        <w:ind w:right="323"/>
      </w:pPr>
      <w:bookmarkStart w:name="_bookmark95" w:id="96"/>
      <w:bookmarkEnd w:id="96"/>
      <w:r>
        <w:rPr/>
      </w:r>
      <w:r>
        <w:rPr/>
        <w:t>二十七、</w:t>
        <w:tab/>
        <w:t>基金合同摘要</w:t>
      </w:r>
    </w:p>
    <w:p>
      <w:pPr>
        <w:pStyle w:val="BodyText"/>
        <w:spacing w:before="8"/>
        <w:rPr>
          <w:sz w:val="36"/>
        </w:rPr>
      </w:pPr>
    </w:p>
    <w:p>
      <w:pPr>
        <w:pStyle w:val="Heading3"/>
      </w:pPr>
      <w:r>
        <w:rPr/>
        <w:t>（一）基金份额持有人、基金管理人和基金托管人的权利、义务</w:t>
      </w:r>
    </w:p>
    <w:p>
      <w:pPr>
        <w:pStyle w:val="BodyText"/>
        <w:spacing w:before="10"/>
        <w:rPr>
          <w:sz w:val="35"/>
        </w:rPr>
      </w:pPr>
    </w:p>
    <w:p>
      <w:pPr>
        <w:pStyle w:val="BodyText"/>
        <w:spacing w:before="1"/>
        <w:ind w:left="538"/>
      </w:pPr>
      <w:r>
        <w:rPr/>
        <w:t>一）基金份额持有人的权利与义务</w:t>
      </w:r>
    </w:p>
    <w:p>
      <w:pPr>
        <w:pStyle w:val="BodyText"/>
        <w:rPr>
          <w:sz w:val="20"/>
        </w:rPr>
      </w:pPr>
    </w:p>
    <w:p>
      <w:pPr>
        <w:pStyle w:val="BodyText"/>
        <w:spacing w:before="5"/>
        <w:rPr>
          <w:sz w:val="17"/>
        </w:rPr>
      </w:pPr>
    </w:p>
    <w:p>
      <w:pPr>
        <w:pStyle w:val="BodyText"/>
        <w:spacing w:line="417" w:lineRule="auto"/>
        <w:ind w:left="118" w:right="433" w:firstLine="419"/>
      </w:pPr>
      <w:r>
        <w:rPr>
          <w:spacing w:val="-8"/>
        </w:rPr>
        <w:t>基金投资者依据基金合同的规定取得本基金份额，即成为基金份额持有人。每份同类基</w:t>
      </w:r>
      <w:r>
        <w:rPr>
          <w:spacing w:val="-5"/>
        </w:rPr>
        <w:t>金份额具有同等的合法权益。</w:t>
      </w:r>
    </w:p>
    <w:p>
      <w:pPr>
        <w:pStyle w:val="BodyText"/>
        <w:spacing w:before="12"/>
      </w:pPr>
    </w:p>
    <w:p>
      <w:pPr>
        <w:pStyle w:val="ListParagraph"/>
        <w:numPr>
          <w:ilvl w:val="0"/>
          <w:numId w:val="58"/>
        </w:numPr>
        <w:tabs>
          <w:tab w:pos="856" w:val="left" w:leader="none"/>
        </w:tabs>
        <w:spacing w:line="240" w:lineRule="auto" w:before="0" w:after="0"/>
        <w:ind w:left="855" w:right="0" w:hanging="318"/>
        <w:jc w:val="left"/>
        <w:rPr>
          <w:sz w:val="21"/>
        </w:rPr>
      </w:pPr>
      <w:r>
        <w:rPr>
          <w:spacing w:val="-3"/>
          <w:sz w:val="21"/>
        </w:rPr>
        <w:t>基金份额持有人的权利</w:t>
      </w:r>
    </w:p>
    <w:p>
      <w:pPr>
        <w:pStyle w:val="BodyText"/>
        <w:rPr>
          <w:sz w:val="22"/>
        </w:rPr>
      </w:pPr>
    </w:p>
    <w:p>
      <w:pPr>
        <w:pStyle w:val="BodyText"/>
        <w:spacing w:line="417" w:lineRule="auto" w:before="196"/>
        <w:ind w:left="118" w:right="433" w:firstLine="419"/>
      </w:pPr>
      <w:r>
        <w:rPr>
          <w:spacing w:val="-10"/>
        </w:rPr>
        <w:t>基金份额持有人有权按法律法规、本基金合同以及依据本基金合同制定的其他法律文件</w:t>
      </w:r>
      <w:r>
        <w:rPr>
          <w:spacing w:val="-6"/>
        </w:rPr>
        <w:t>的规定：</w:t>
      </w:r>
    </w:p>
    <w:p>
      <w:pPr>
        <w:pStyle w:val="BodyText"/>
        <w:spacing w:before="11"/>
      </w:pPr>
    </w:p>
    <w:p>
      <w:pPr>
        <w:pStyle w:val="ListParagraph"/>
        <w:numPr>
          <w:ilvl w:val="0"/>
          <w:numId w:val="59"/>
        </w:numPr>
        <w:tabs>
          <w:tab w:pos="1067" w:val="left" w:leader="none"/>
        </w:tabs>
        <w:spacing w:line="240" w:lineRule="auto" w:before="0" w:after="0"/>
        <w:ind w:left="1067" w:right="0" w:hanging="529"/>
        <w:jc w:val="left"/>
        <w:rPr>
          <w:sz w:val="21"/>
        </w:rPr>
      </w:pPr>
      <w:r>
        <w:rPr>
          <w:spacing w:val="-3"/>
          <w:sz w:val="21"/>
        </w:rPr>
        <w:t>分享基金财产收益；</w:t>
      </w:r>
    </w:p>
    <w:p>
      <w:pPr>
        <w:pStyle w:val="BodyText"/>
        <w:rPr>
          <w:sz w:val="22"/>
        </w:rPr>
      </w:pPr>
    </w:p>
    <w:p>
      <w:pPr>
        <w:pStyle w:val="BodyText"/>
        <w:spacing w:before="6"/>
        <w:rPr>
          <w:sz w:val="15"/>
        </w:rPr>
      </w:pPr>
    </w:p>
    <w:p>
      <w:pPr>
        <w:pStyle w:val="ListParagraph"/>
        <w:numPr>
          <w:ilvl w:val="0"/>
          <w:numId w:val="59"/>
        </w:numPr>
        <w:tabs>
          <w:tab w:pos="1067" w:val="left" w:leader="none"/>
        </w:tabs>
        <w:spacing w:line="240" w:lineRule="auto" w:before="0" w:after="0"/>
        <w:ind w:left="1067" w:right="0" w:hanging="529"/>
        <w:jc w:val="left"/>
        <w:rPr>
          <w:sz w:val="21"/>
        </w:rPr>
      </w:pPr>
      <w:r>
        <w:rPr>
          <w:spacing w:val="-3"/>
          <w:sz w:val="21"/>
        </w:rPr>
        <w:t>参与分配基金财产清算后的剩余财产；</w:t>
      </w:r>
    </w:p>
    <w:p>
      <w:pPr>
        <w:pStyle w:val="BodyText"/>
        <w:rPr>
          <w:sz w:val="22"/>
        </w:rPr>
      </w:pPr>
    </w:p>
    <w:p>
      <w:pPr>
        <w:pStyle w:val="ListParagraph"/>
        <w:numPr>
          <w:ilvl w:val="0"/>
          <w:numId w:val="59"/>
        </w:numPr>
        <w:tabs>
          <w:tab w:pos="1067" w:val="left" w:leader="none"/>
        </w:tabs>
        <w:spacing w:line="240" w:lineRule="auto" w:before="196" w:after="0"/>
        <w:ind w:left="1067" w:right="0" w:hanging="529"/>
        <w:jc w:val="left"/>
        <w:rPr>
          <w:sz w:val="21"/>
        </w:rPr>
      </w:pPr>
      <w:r>
        <w:rPr>
          <w:spacing w:val="-3"/>
          <w:sz w:val="21"/>
        </w:rPr>
        <w:t>依法转让或者申请赎回其持有的基金份额；</w:t>
      </w:r>
    </w:p>
    <w:p>
      <w:pPr>
        <w:pStyle w:val="BodyText"/>
        <w:rPr>
          <w:sz w:val="22"/>
        </w:rPr>
      </w:pPr>
    </w:p>
    <w:p>
      <w:pPr>
        <w:pStyle w:val="ListParagraph"/>
        <w:numPr>
          <w:ilvl w:val="0"/>
          <w:numId w:val="59"/>
        </w:numPr>
        <w:tabs>
          <w:tab w:pos="1067" w:val="left" w:leader="none"/>
        </w:tabs>
        <w:spacing w:line="240" w:lineRule="auto" w:before="198" w:after="0"/>
        <w:ind w:left="1067" w:right="0" w:hanging="529"/>
        <w:jc w:val="left"/>
        <w:rPr>
          <w:sz w:val="21"/>
        </w:rPr>
      </w:pPr>
      <w:r>
        <w:rPr>
          <w:spacing w:val="-3"/>
          <w:sz w:val="21"/>
        </w:rPr>
        <w:t>按照规定要求召开基金份额持有人大会；</w:t>
      </w:r>
    </w:p>
    <w:p>
      <w:pPr>
        <w:pStyle w:val="BodyText"/>
        <w:rPr>
          <w:sz w:val="22"/>
        </w:rPr>
      </w:pPr>
    </w:p>
    <w:p>
      <w:pPr>
        <w:pStyle w:val="ListParagraph"/>
        <w:numPr>
          <w:ilvl w:val="0"/>
          <w:numId w:val="59"/>
        </w:numPr>
        <w:tabs>
          <w:tab w:pos="1067" w:val="left" w:leader="none"/>
        </w:tabs>
        <w:spacing w:line="417" w:lineRule="auto" w:before="197" w:after="0"/>
        <w:ind w:left="118" w:right="436" w:firstLine="419"/>
        <w:jc w:val="left"/>
        <w:rPr>
          <w:sz w:val="21"/>
        </w:rPr>
      </w:pPr>
      <w:r>
        <w:rPr>
          <w:spacing w:val="-3"/>
          <w:sz w:val="21"/>
        </w:rPr>
        <w:t>出席或者委派代表出席基金份额持有人大会，对基金份额持有人大会审议事项行使表决权；</w:t>
      </w:r>
    </w:p>
    <w:p>
      <w:pPr>
        <w:pStyle w:val="BodyText"/>
        <w:spacing w:before="9"/>
      </w:pPr>
    </w:p>
    <w:p>
      <w:pPr>
        <w:pStyle w:val="ListParagraph"/>
        <w:numPr>
          <w:ilvl w:val="0"/>
          <w:numId w:val="59"/>
        </w:numPr>
        <w:tabs>
          <w:tab w:pos="1067" w:val="left" w:leader="none"/>
        </w:tabs>
        <w:spacing w:line="240" w:lineRule="auto" w:before="0" w:after="0"/>
        <w:ind w:left="1067" w:right="0" w:hanging="529"/>
        <w:jc w:val="left"/>
        <w:rPr>
          <w:sz w:val="21"/>
        </w:rPr>
      </w:pPr>
      <w:r>
        <w:rPr>
          <w:spacing w:val="-3"/>
          <w:sz w:val="21"/>
        </w:rPr>
        <w:t>查阅或者复制公开披露的基金信息资料；</w:t>
      </w:r>
    </w:p>
    <w:p>
      <w:pPr>
        <w:pStyle w:val="BodyText"/>
        <w:rPr>
          <w:sz w:val="22"/>
        </w:rPr>
      </w:pPr>
    </w:p>
    <w:p>
      <w:pPr>
        <w:pStyle w:val="BodyText"/>
        <w:spacing w:before="7"/>
        <w:rPr>
          <w:sz w:val="15"/>
        </w:rPr>
      </w:pPr>
    </w:p>
    <w:p>
      <w:pPr>
        <w:pStyle w:val="ListParagraph"/>
        <w:numPr>
          <w:ilvl w:val="0"/>
          <w:numId w:val="59"/>
        </w:numPr>
        <w:tabs>
          <w:tab w:pos="1067" w:val="left" w:leader="none"/>
        </w:tabs>
        <w:spacing w:line="240" w:lineRule="auto" w:before="0" w:after="0"/>
        <w:ind w:left="1067" w:right="0" w:hanging="529"/>
        <w:jc w:val="left"/>
        <w:rPr>
          <w:sz w:val="21"/>
        </w:rPr>
      </w:pPr>
      <w:r>
        <w:rPr>
          <w:spacing w:val="-3"/>
          <w:sz w:val="21"/>
        </w:rPr>
        <w:t>监督基金管理人的投资运作；</w:t>
      </w:r>
    </w:p>
    <w:p>
      <w:pPr>
        <w:pStyle w:val="BodyText"/>
        <w:rPr>
          <w:sz w:val="22"/>
        </w:rPr>
      </w:pPr>
    </w:p>
    <w:p>
      <w:pPr>
        <w:pStyle w:val="ListParagraph"/>
        <w:numPr>
          <w:ilvl w:val="0"/>
          <w:numId w:val="59"/>
        </w:numPr>
        <w:tabs>
          <w:tab w:pos="1067" w:val="left" w:leader="none"/>
        </w:tabs>
        <w:spacing w:line="417" w:lineRule="auto" w:before="198" w:after="0"/>
        <w:ind w:left="118" w:right="436" w:firstLine="419"/>
        <w:jc w:val="left"/>
        <w:rPr>
          <w:sz w:val="21"/>
        </w:rPr>
      </w:pPr>
      <w:r>
        <w:rPr>
          <w:spacing w:val="-3"/>
          <w:sz w:val="21"/>
        </w:rPr>
        <w:t>对基金管理人、基金托管人、基金份额发售机构损害其合法权益的行为依法提起诉讼；</w:t>
      </w:r>
    </w:p>
    <w:p>
      <w:pPr>
        <w:pStyle w:val="BodyText"/>
        <w:spacing w:before="8"/>
      </w:pPr>
    </w:p>
    <w:p>
      <w:pPr>
        <w:pStyle w:val="ListParagraph"/>
        <w:numPr>
          <w:ilvl w:val="0"/>
          <w:numId w:val="59"/>
        </w:numPr>
        <w:tabs>
          <w:tab w:pos="1067" w:val="left" w:leader="none"/>
        </w:tabs>
        <w:spacing w:line="417" w:lineRule="auto" w:before="1" w:after="0"/>
        <w:ind w:left="118" w:right="436" w:firstLine="419"/>
        <w:jc w:val="left"/>
        <w:rPr>
          <w:sz w:val="21"/>
        </w:rPr>
      </w:pPr>
      <w:r>
        <w:rPr>
          <w:spacing w:val="-3"/>
          <w:sz w:val="21"/>
        </w:rPr>
        <w:t>要求基金管理人或基金托管人按法律法规、本基金合同以及依据本基金合同制定的其他法律文件的规定履行其义务；</w:t>
      </w:r>
    </w:p>
    <w:p>
      <w:pPr>
        <w:spacing w:after="0" w:line="417" w:lineRule="auto"/>
        <w:jc w:val="left"/>
        <w:rPr>
          <w:sz w:val="21"/>
        </w:rPr>
        <w:sectPr>
          <w:pgSz w:w="11910" w:h="16850"/>
          <w:pgMar w:header="852" w:footer="1386" w:top="1420" w:bottom="1580" w:left="1680" w:right="1360"/>
        </w:sectPr>
      </w:pPr>
    </w:p>
    <w:p>
      <w:pPr>
        <w:pStyle w:val="ListParagraph"/>
        <w:numPr>
          <w:ilvl w:val="0"/>
          <w:numId w:val="59"/>
        </w:numPr>
        <w:tabs>
          <w:tab w:pos="1173" w:val="left" w:leader="none"/>
        </w:tabs>
        <w:spacing w:line="417" w:lineRule="auto" w:before="142" w:after="0"/>
        <w:ind w:left="118" w:right="434" w:firstLine="419"/>
        <w:jc w:val="left"/>
        <w:rPr>
          <w:sz w:val="21"/>
        </w:rPr>
      </w:pPr>
      <w:r>
        <w:rPr>
          <w:spacing w:val="-10"/>
          <w:sz w:val="21"/>
        </w:rPr>
        <w:t>法律、法规、本基金合同以及依据本基金合同制定的其他法律文件规定的其他 </w:t>
      </w:r>
      <w:r>
        <w:rPr>
          <w:sz w:val="21"/>
        </w:rPr>
        <w:t>权利。</w:t>
      </w:r>
    </w:p>
    <w:p>
      <w:pPr>
        <w:pStyle w:val="BodyText"/>
        <w:spacing w:before="11"/>
      </w:pPr>
    </w:p>
    <w:p>
      <w:pPr>
        <w:pStyle w:val="ListParagraph"/>
        <w:numPr>
          <w:ilvl w:val="0"/>
          <w:numId w:val="58"/>
        </w:numPr>
        <w:tabs>
          <w:tab w:pos="856" w:val="left" w:leader="none"/>
        </w:tabs>
        <w:spacing w:line="240" w:lineRule="auto" w:before="0" w:after="0"/>
        <w:ind w:left="855" w:right="0" w:hanging="318"/>
        <w:jc w:val="left"/>
        <w:rPr>
          <w:sz w:val="21"/>
        </w:rPr>
      </w:pPr>
      <w:r>
        <w:rPr>
          <w:spacing w:val="-3"/>
          <w:sz w:val="21"/>
        </w:rPr>
        <w:t>基金份额持有人的义务</w:t>
      </w:r>
    </w:p>
    <w:p>
      <w:pPr>
        <w:pStyle w:val="BodyText"/>
        <w:rPr>
          <w:sz w:val="22"/>
        </w:rPr>
      </w:pPr>
    </w:p>
    <w:p>
      <w:pPr>
        <w:pStyle w:val="ListParagraph"/>
        <w:numPr>
          <w:ilvl w:val="0"/>
          <w:numId w:val="60"/>
        </w:numPr>
        <w:tabs>
          <w:tab w:pos="1067" w:val="left" w:leader="none"/>
        </w:tabs>
        <w:spacing w:line="240" w:lineRule="auto" w:before="195" w:after="0"/>
        <w:ind w:left="1067" w:right="0" w:hanging="529"/>
        <w:jc w:val="left"/>
        <w:rPr>
          <w:sz w:val="21"/>
        </w:rPr>
      </w:pPr>
      <w:r>
        <w:rPr>
          <w:spacing w:val="-3"/>
          <w:sz w:val="21"/>
        </w:rPr>
        <w:t>遵守本基金合同及根据本基金合同制订的相关业务规则；</w:t>
      </w:r>
    </w:p>
    <w:p>
      <w:pPr>
        <w:pStyle w:val="BodyText"/>
        <w:rPr>
          <w:sz w:val="22"/>
        </w:rPr>
      </w:pPr>
    </w:p>
    <w:p>
      <w:pPr>
        <w:pStyle w:val="BodyText"/>
        <w:spacing w:before="6"/>
        <w:rPr>
          <w:sz w:val="15"/>
        </w:rPr>
      </w:pPr>
    </w:p>
    <w:p>
      <w:pPr>
        <w:pStyle w:val="ListParagraph"/>
        <w:numPr>
          <w:ilvl w:val="0"/>
          <w:numId w:val="60"/>
        </w:numPr>
        <w:tabs>
          <w:tab w:pos="1067" w:val="left" w:leader="none"/>
        </w:tabs>
        <w:spacing w:line="240" w:lineRule="auto" w:before="0" w:after="0"/>
        <w:ind w:left="1067" w:right="0" w:hanging="529"/>
        <w:jc w:val="left"/>
        <w:rPr>
          <w:sz w:val="21"/>
        </w:rPr>
      </w:pPr>
      <w:r>
        <w:rPr>
          <w:spacing w:val="-3"/>
          <w:sz w:val="21"/>
        </w:rPr>
        <w:t>交纳基金认购、申购款项及规定的费用；</w:t>
      </w:r>
    </w:p>
    <w:p>
      <w:pPr>
        <w:pStyle w:val="BodyText"/>
        <w:rPr>
          <w:sz w:val="22"/>
        </w:rPr>
      </w:pPr>
    </w:p>
    <w:p>
      <w:pPr>
        <w:pStyle w:val="BodyText"/>
        <w:spacing w:before="6"/>
        <w:rPr>
          <w:sz w:val="15"/>
        </w:rPr>
      </w:pPr>
    </w:p>
    <w:p>
      <w:pPr>
        <w:pStyle w:val="ListParagraph"/>
        <w:numPr>
          <w:ilvl w:val="0"/>
          <w:numId w:val="60"/>
        </w:numPr>
        <w:tabs>
          <w:tab w:pos="1067" w:val="left" w:leader="none"/>
        </w:tabs>
        <w:spacing w:line="240" w:lineRule="auto" w:before="0" w:after="0"/>
        <w:ind w:left="1067" w:right="0" w:hanging="529"/>
        <w:jc w:val="left"/>
        <w:rPr>
          <w:sz w:val="21"/>
        </w:rPr>
      </w:pPr>
      <w:r>
        <w:rPr>
          <w:spacing w:val="-3"/>
          <w:sz w:val="21"/>
        </w:rPr>
        <w:t>在持有的基金份额范围内，承担基金财产亏损或者基金合同终止的有限责任；</w:t>
      </w:r>
    </w:p>
    <w:p>
      <w:pPr>
        <w:pStyle w:val="BodyText"/>
        <w:rPr>
          <w:sz w:val="22"/>
        </w:rPr>
      </w:pPr>
    </w:p>
    <w:p>
      <w:pPr>
        <w:pStyle w:val="ListParagraph"/>
        <w:numPr>
          <w:ilvl w:val="0"/>
          <w:numId w:val="60"/>
        </w:numPr>
        <w:tabs>
          <w:tab w:pos="1067" w:val="left" w:leader="none"/>
        </w:tabs>
        <w:spacing w:line="240" w:lineRule="auto" w:before="196" w:after="0"/>
        <w:ind w:left="1067" w:right="0" w:hanging="529"/>
        <w:jc w:val="left"/>
        <w:rPr>
          <w:sz w:val="21"/>
        </w:rPr>
      </w:pPr>
      <w:r>
        <w:rPr>
          <w:spacing w:val="-3"/>
          <w:sz w:val="21"/>
        </w:rPr>
        <w:t>返还持有基金过程中获得的不当得利；</w:t>
      </w:r>
    </w:p>
    <w:p>
      <w:pPr>
        <w:pStyle w:val="BodyText"/>
        <w:rPr>
          <w:sz w:val="22"/>
        </w:rPr>
      </w:pPr>
    </w:p>
    <w:p>
      <w:pPr>
        <w:pStyle w:val="BodyText"/>
        <w:spacing w:before="5"/>
        <w:rPr>
          <w:sz w:val="15"/>
        </w:rPr>
      </w:pPr>
    </w:p>
    <w:p>
      <w:pPr>
        <w:pStyle w:val="ListParagraph"/>
        <w:numPr>
          <w:ilvl w:val="0"/>
          <w:numId w:val="60"/>
        </w:numPr>
        <w:tabs>
          <w:tab w:pos="1067" w:val="left" w:leader="none"/>
        </w:tabs>
        <w:spacing w:line="240" w:lineRule="auto" w:before="1" w:after="0"/>
        <w:ind w:left="1067" w:right="0" w:hanging="529"/>
        <w:jc w:val="left"/>
        <w:rPr>
          <w:sz w:val="21"/>
        </w:rPr>
      </w:pPr>
      <w:r>
        <w:rPr>
          <w:spacing w:val="-3"/>
          <w:sz w:val="21"/>
        </w:rPr>
        <w:t>不从事任何有损基金及其他基金份额持有人合法权益的活动；</w:t>
      </w:r>
    </w:p>
    <w:p>
      <w:pPr>
        <w:pStyle w:val="BodyText"/>
        <w:rPr>
          <w:sz w:val="22"/>
        </w:rPr>
      </w:pPr>
    </w:p>
    <w:p>
      <w:pPr>
        <w:pStyle w:val="ListParagraph"/>
        <w:numPr>
          <w:ilvl w:val="0"/>
          <w:numId w:val="60"/>
        </w:numPr>
        <w:tabs>
          <w:tab w:pos="1067" w:val="left" w:leader="none"/>
        </w:tabs>
        <w:spacing w:line="417" w:lineRule="auto" w:before="197" w:after="0"/>
        <w:ind w:left="118" w:right="436" w:firstLine="419"/>
        <w:jc w:val="left"/>
        <w:rPr>
          <w:sz w:val="21"/>
        </w:rPr>
      </w:pPr>
      <w:r>
        <w:rPr>
          <w:spacing w:val="-3"/>
          <w:sz w:val="21"/>
        </w:rPr>
        <w:t>法律、法规、本基金合同以及依据本基金合同制定的其他法律文件所规定的其他义务。</w:t>
      </w:r>
    </w:p>
    <w:p>
      <w:pPr>
        <w:pStyle w:val="BodyText"/>
        <w:spacing w:before="9"/>
      </w:pPr>
    </w:p>
    <w:p>
      <w:pPr>
        <w:pStyle w:val="BodyText"/>
        <w:ind w:left="538"/>
      </w:pPr>
      <w:r>
        <w:rPr/>
        <w:t>二）基金管理人的权利与义务</w:t>
      </w:r>
    </w:p>
    <w:p>
      <w:pPr>
        <w:pStyle w:val="BodyText"/>
        <w:rPr>
          <w:sz w:val="20"/>
        </w:rPr>
      </w:pPr>
    </w:p>
    <w:p>
      <w:pPr>
        <w:pStyle w:val="BodyText"/>
        <w:spacing w:before="6"/>
        <w:rPr>
          <w:sz w:val="17"/>
        </w:rPr>
      </w:pPr>
    </w:p>
    <w:p>
      <w:pPr>
        <w:pStyle w:val="ListParagraph"/>
        <w:numPr>
          <w:ilvl w:val="0"/>
          <w:numId w:val="61"/>
        </w:numPr>
        <w:tabs>
          <w:tab w:pos="856" w:val="left" w:leader="none"/>
        </w:tabs>
        <w:spacing w:line="240" w:lineRule="auto" w:before="0" w:after="0"/>
        <w:ind w:left="855" w:right="0" w:hanging="318"/>
        <w:jc w:val="left"/>
        <w:rPr>
          <w:sz w:val="21"/>
        </w:rPr>
      </w:pPr>
      <w:r>
        <w:rPr>
          <w:spacing w:val="-3"/>
          <w:sz w:val="21"/>
        </w:rPr>
        <w:t>基金管理人的权利</w:t>
      </w:r>
    </w:p>
    <w:p>
      <w:pPr>
        <w:pStyle w:val="BodyText"/>
        <w:rPr>
          <w:sz w:val="22"/>
        </w:rPr>
      </w:pPr>
    </w:p>
    <w:p>
      <w:pPr>
        <w:pStyle w:val="BodyText"/>
        <w:spacing w:before="6"/>
        <w:rPr>
          <w:sz w:val="15"/>
        </w:rPr>
      </w:pPr>
    </w:p>
    <w:p>
      <w:pPr>
        <w:pStyle w:val="ListParagraph"/>
        <w:numPr>
          <w:ilvl w:val="0"/>
          <w:numId w:val="62"/>
        </w:numPr>
        <w:tabs>
          <w:tab w:pos="1067" w:val="left" w:leader="none"/>
        </w:tabs>
        <w:spacing w:line="417" w:lineRule="auto" w:before="0" w:after="0"/>
        <w:ind w:left="118" w:right="436" w:firstLine="419"/>
        <w:jc w:val="left"/>
        <w:rPr>
          <w:sz w:val="21"/>
        </w:rPr>
      </w:pPr>
      <w:r>
        <w:rPr>
          <w:spacing w:val="-3"/>
          <w:sz w:val="21"/>
        </w:rPr>
        <w:t>自本基金合同生效之日起，基金管理人根据基金合同的规定，独立运用并管理基金资产；</w:t>
      </w:r>
    </w:p>
    <w:p>
      <w:pPr>
        <w:pStyle w:val="BodyText"/>
        <w:spacing w:before="9"/>
      </w:pPr>
    </w:p>
    <w:p>
      <w:pPr>
        <w:pStyle w:val="ListParagraph"/>
        <w:numPr>
          <w:ilvl w:val="0"/>
          <w:numId w:val="62"/>
        </w:numPr>
        <w:tabs>
          <w:tab w:pos="1067" w:val="left" w:leader="none"/>
        </w:tabs>
        <w:spacing w:line="240" w:lineRule="auto" w:before="0" w:after="0"/>
        <w:ind w:left="1067" w:right="0" w:hanging="529"/>
        <w:jc w:val="left"/>
        <w:rPr>
          <w:sz w:val="21"/>
        </w:rPr>
      </w:pPr>
      <w:r>
        <w:rPr>
          <w:spacing w:val="-3"/>
          <w:sz w:val="21"/>
        </w:rPr>
        <w:t>根据基金合同的规定获得基金管理费；</w:t>
      </w:r>
    </w:p>
    <w:p>
      <w:pPr>
        <w:pStyle w:val="BodyText"/>
        <w:rPr>
          <w:sz w:val="22"/>
        </w:rPr>
      </w:pPr>
    </w:p>
    <w:p>
      <w:pPr>
        <w:pStyle w:val="BodyText"/>
        <w:spacing w:before="6"/>
        <w:rPr>
          <w:sz w:val="15"/>
        </w:rPr>
      </w:pPr>
    </w:p>
    <w:p>
      <w:pPr>
        <w:pStyle w:val="ListParagraph"/>
        <w:numPr>
          <w:ilvl w:val="0"/>
          <w:numId w:val="62"/>
        </w:numPr>
        <w:tabs>
          <w:tab w:pos="1067" w:val="left" w:leader="none"/>
        </w:tabs>
        <w:spacing w:line="417" w:lineRule="auto" w:before="0" w:after="0"/>
        <w:ind w:left="118" w:right="436" w:firstLine="419"/>
        <w:jc w:val="left"/>
        <w:rPr>
          <w:sz w:val="21"/>
        </w:rPr>
      </w:pPr>
      <w:r>
        <w:rPr>
          <w:spacing w:val="-3"/>
          <w:sz w:val="21"/>
        </w:rPr>
        <w:t>在符合有关法律法规和基金合同的前提下，制订和调整开放式基金业务规则，决定基金的相关费率结构和收费方式；</w:t>
      </w:r>
    </w:p>
    <w:p>
      <w:pPr>
        <w:pStyle w:val="BodyText"/>
        <w:spacing w:before="12"/>
      </w:pPr>
    </w:p>
    <w:p>
      <w:pPr>
        <w:pStyle w:val="ListParagraph"/>
        <w:numPr>
          <w:ilvl w:val="0"/>
          <w:numId w:val="62"/>
        </w:numPr>
        <w:tabs>
          <w:tab w:pos="1067" w:val="left" w:leader="none"/>
        </w:tabs>
        <w:spacing w:line="417" w:lineRule="auto" w:before="0" w:after="0"/>
        <w:ind w:left="118" w:right="436" w:firstLine="419"/>
        <w:jc w:val="left"/>
        <w:rPr>
          <w:sz w:val="21"/>
        </w:rPr>
      </w:pPr>
      <w:r>
        <w:rPr>
          <w:spacing w:val="-3"/>
          <w:sz w:val="21"/>
        </w:rPr>
        <w:t>根据基金合同规定销售基金份额，并收取基金申购费、赎回费及其他法律法规规定的费用；</w:t>
      </w:r>
    </w:p>
    <w:p>
      <w:pPr>
        <w:pStyle w:val="ListParagraph"/>
        <w:numPr>
          <w:ilvl w:val="0"/>
          <w:numId w:val="62"/>
        </w:numPr>
        <w:tabs>
          <w:tab w:pos="1067" w:val="left" w:leader="none"/>
        </w:tabs>
        <w:spacing w:line="460" w:lineRule="atLeast" w:before="87" w:after="0"/>
        <w:ind w:left="118" w:right="436" w:firstLine="419"/>
        <w:jc w:val="left"/>
        <w:rPr>
          <w:sz w:val="21"/>
        </w:rPr>
      </w:pPr>
      <w:r>
        <w:rPr>
          <w:spacing w:val="-3"/>
          <w:sz w:val="21"/>
        </w:rPr>
        <w:t>担任基金的注册登记机构并获得基金合同规定的注册登记费用；选择和更换注册登记代理机构</w:t>
      </w:r>
      <w:r>
        <w:rPr>
          <w:rFonts w:ascii="Times New Roman" w:eastAsia="Times New Roman"/>
          <w:spacing w:val="-3"/>
          <w:sz w:val="21"/>
        </w:rPr>
        <w:t>,</w:t>
      </w:r>
      <w:r>
        <w:rPr>
          <w:spacing w:val="-3"/>
          <w:sz w:val="21"/>
        </w:rPr>
        <w:t>并对其注册登记代理行为进行必要的监督；</w:t>
      </w:r>
    </w:p>
    <w:p>
      <w:pPr>
        <w:spacing w:after="0" w:line="460" w:lineRule="atLeast"/>
        <w:jc w:val="left"/>
        <w:rPr>
          <w:sz w:val="21"/>
        </w:rPr>
        <w:sectPr>
          <w:pgSz w:w="11910" w:h="16850"/>
          <w:pgMar w:header="852" w:footer="1386" w:top="1420" w:bottom="1580" w:left="1680" w:right="1360"/>
        </w:sectPr>
      </w:pPr>
    </w:p>
    <w:p>
      <w:pPr>
        <w:pStyle w:val="ListParagraph"/>
        <w:numPr>
          <w:ilvl w:val="0"/>
          <w:numId w:val="62"/>
        </w:numPr>
        <w:tabs>
          <w:tab w:pos="1067" w:val="left" w:leader="none"/>
        </w:tabs>
        <w:spacing w:line="240" w:lineRule="auto" w:before="142" w:after="0"/>
        <w:ind w:left="1067" w:right="0" w:hanging="529"/>
        <w:jc w:val="left"/>
        <w:rPr>
          <w:sz w:val="21"/>
        </w:rPr>
      </w:pPr>
      <w:r>
        <w:rPr>
          <w:spacing w:val="-3"/>
          <w:sz w:val="21"/>
        </w:rPr>
        <w:t>根据有关法律法规和基金合同的规定，决定开展认购、赎回、基金转换等业务；</w:t>
      </w:r>
    </w:p>
    <w:p>
      <w:pPr>
        <w:pStyle w:val="BodyText"/>
        <w:rPr>
          <w:sz w:val="22"/>
        </w:rPr>
      </w:pPr>
    </w:p>
    <w:p>
      <w:pPr>
        <w:pStyle w:val="ListParagraph"/>
        <w:numPr>
          <w:ilvl w:val="0"/>
          <w:numId w:val="62"/>
        </w:numPr>
        <w:tabs>
          <w:tab w:pos="1067" w:val="left" w:leader="none"/>
        </w:tabs>
        <w:spacing w:line="417" w:lineRule="auto" w:before="197" w:after="0"/>
        <w:ind w:left="118" w:right="436" w:firstLine="419"/>
        <w:jc w:val="left"/>
        <w:rPr>
          <w:sz w:val="21"/>
        </w:rPr>
      </w:pPr>
      <w:r>
        <w:rPr>
          <w:spacing w:val="-3"/>
          <w:sz w:val="21"/>
        </w:rPr>
        <w:t>在基金存续期内，根据有关法律法规和基金合同的规定，决定拒绝和暂停受理基金份额的申购、赎回和转换申请；</w:t>
      </w:r>
    </w:p>
    <w:p>
      <w:pPr>
        <w:pStyle w:val="BodyText"/>
        <w:spacing w:before="9"/>
      </w:pPr>
    </w:p>
    <w:p>
      <w:pPr>
        <w:pStyle w:val="ListParagraph"/>
        <w:numPr>
          <w:ilvl w:val="0"/>
          <w:numId w:val="62"/>
        </w:numPr>
        <w:tabs>
          <w:tab w:pos="1067" w:val="left" w:leader="none"/>
        </w:tabs>
        <w:spacing w:line="240" w:lineRule="auto" w:before="0" w:after="0"/>
        <w:ind w:left="1067" w:right="0" w:hanging="529"/>
        <w:jc w:val="left"/>
        <w:rPr>
          <w:sz w:val="21"/>
        </w:rPr>
      </w:pPr>
      <w:r>
        <w:rPr>
          <w:spacing w:val="-3"/>
          <w:sz w:val="21"/>
        </w:rPr>
        <w:t>依据基金合同的规定，决定基金收益的分配方案；</w:t>
      </w:r>
    </w:p>
    <w:p>
      <w:pPr>
        <w:pStyle w:val="BodyText"/>
        <w:rPr>
          <w:sz w:val="22"/>
        </w:rPr>
      </w:pPr>
    </w:p>
    <w:p>
      <w:pPr>
        <w:pStyle w:val="BodyText"/>
        <w:spacing w:before="6"/>
        <w:rPr>
          <w:sz w:val="15"/>
        </w:rPr>
      </w:pPr>
    </w:p>
    <w:p>
      <w:pPr>
        <w:pStyle w:val="ListParagraph"/>
        <w:numPr>
          <w:ilvl w:val="0"/>
          <w:numId w:val="62"/>
        </w:numPr>
        <w:tabs>
          <w:tab w:pos="1067" w:val="left" w:leader="none"/>
        </w:tabs>
        <w:spacing w:line="240" w:lineRule="auto" w:before="0" w:after="0"/>
        <w:ind w:left="1067" w:right="0" w:hanging="529"/>
        <w:jc w:val="left"/>
        <w:rPr>
          <w:sz w:val="21"/>
        </w:rPr>
      </w:pPr>
      <w:r>
        <w:rPr>
          <w:spacing w:val="-3"/>
          <w:sz w:val="21"/>
        </w:rPr>
        <w:t>提议召开基金份额持有人大会；</w:t>
      </w:r>
    </w:p>
    <w:p>
      <w:pPr>
        <w:pStyle w:val="BodyText"/>
        <w:rPr>
          <w:sz w:val="22"/>
        </w:rPr>
      </w:pPr>
    </w:p>
    <w:p>
      <w:pPr>
        <w:pStyle w:val="BodyText"/>
        <w:spacing w:before="6"/>
        <w:rPr>
          <w:sz w:val="15"/>
        </w:rPr>
      </w:pPr>
    </w:p>
    <w:p>
      <w:pPr>
        <w:pStyle w:val="ListParagraph"/>
        <w:numPr>
          <w:ilvl w:val="0"/>
          <w:numId w:val="62"/>
        </w:numPr>
        <w:tabs>
          <w:tab w:pos="1173" w:val="left" w:leader="none"/>
        </w:tabs>
        <w:spacing w:line="240" w:lineRule="auto" w:before="0" w:after="0"/>
        <w:ind w:left="1172" w:right="0" w:hanging="635"/>
        <w:jc w:val="left"/>
        <w:rPr>
          <w:sz w:val="21"/>
        </w:rPr>
      </w:pPr>
      <w:r>
        <w:rPr>
          <w:spacing w:val="-3"/>
          <w:sz w:val="21"/>
        </w:rPr>
        <w:t>在基金托管人更换时，提名新的基金托管人；</w:t>
      </w:r>
    </w:p>
    <w:p>
      <w:pPr>
        <w:pStyle w:val="BodyText"/>
        <w:rPr>
          <w:sz w:val="22"/>
        </w:rPr>
      </w:pPr>
    </w:p>
    <w:p>
      <w:pPr>
        <w:pStyle w:val="ListParagraph"/>
        <w:numPr>
          <w:ilvl w:val="0"/>
          <w:numId w:val="62"/>
        </w:numPr>
        <w:tabs>
          <w:tab w:pos="1166" w:val="left" w:leader="none"/>
        </w:tabs>
        <w:spacing w:line="417" w:lineRule="auto" w:before="196" w:after="0"/>
        <w:ind w:left="118" w:right="433" w:firstLine="419"/>
        <w:jc w:val="both"/>
        <w:rPr>
          <w:sz w:val="21"/>
        </w:rPr>
      </w:pPr>
      <w:r>
        <w:rPr>
          <w:spacing w:val="-5"/>
          <w:sz w:val="21"/>
        </w:rPr>
        <w:t>依据基金合同及有关法律规定监督基金托管人，如认为基金托管人违反了本基 </w:t>
      </w:r>
      <w:r>
        <w:rPr>
          <w:spacing w:val="-6"/>
          <w:sz w:val="21"/>
        </w:rPr>
        <w:t>金合同或国家有关法律规定对基金资产或基金份额持有人利益造成重大损失的，应呈报中国</w:t>
      </w:r>
      <w:r>
        <w:rPr>
          <w:spacing w:val="-10"/>
          <w:sz w:val="21"/>
        </w:rPr>
        <w:t>证监会和中国银监会，并有权提议召开基金份额持有人大会，由基金份额持有人大会表决更</w:t>
      </w:r>
      <w:r>
        <w:rPr>
          <w:spacing w:val="-7"/>
          <w:sz w:val="21"/>
        </w:rPr>
        <w:t>换基金托管人，或采取其它必要措施保护基金投资者的利益；</w:t>
      </w:r>
    </w:p>
    <w:p>
      <w:pPr>
        <w:pStyle w:val="BodyText"/>
        <w:spacing w:before="11"/>
      </w:pPr>
    </w:p>
    <w:p>
      <w:pPr>
        <w:pStyle w:val="ListParagraph"/>
        <w:numPr>
          <w:ilvl w:val="0"/>
          <w:numId w:val="62"/>
        </w:numPr>
        <w:tabs>
          <w:tab w:pos="1173" w:val="left" w:leader="none"/>
        </w:tabs>
        <w:spacing w:line="417" w:lineRule="auto" w:before="0" w:after="0"/>
        <w:ind w:left="118" w:right="434" w:firstLine="419"/>
        <w:jc w:val="both"/>
        <w:rPr>
          <w:sz w:val="21"/>
        </w:rPr>
      </w:pPr>
      <w:r>
        <w:rPr>
          <w:spacing w:val="-9"/>
          <w:sz w:val="21"/>
        </w:rPr>
        <w:t>选择、更换基金代销机构，对基金代销机构行为进行必要的监督和检查；如果 基金管理人认为基金代销机构的作为或不作为违反了法律法规、基金合同或基金销售代理</w:t>
      </w:r>
      <w:r>
        <w:rPr>
          <w:spacing w:val="-12"/>
          <w:sz w:val="21"/>
        </w:rPr>
        <w:t>协议，基金管理人应行使法律法规、基金合同或基金销售代理协议赋予、给予、规定的基金</w:t>
      </w:r>
      <w:r>
        <w:rPr>
          <w:spacing w:val="-7"/>
          <w:sz w:val="21"/>
        </w:rPr>
        <w:t>管理人的任何及所有权利和救济措施，以保护基金资产的安全和基金投资者的利益；</w:t>
      </w:r>
    </w:p>
    <w:p>
      <w:pPr>
        <w:pStyle w:val="BodyText"/>
        <w:spacing w:before="11"/>
      </w:pPr>
    </w:p>
    <w:p>
      <w:pPr>
        <w:pStyle w:val="ListParagraph"/>
        <w:numPr>
          <w:ilvl w:val="0"/>
          <w:numId w:val="62"/>
        </w:numPr>
        <w:tabs>
          <w:tab w:pos="1171" w:val="left" w:leader="none"/>
        </w:tabs>
        <w:spacing w:line="417" w:lineRule="auto" w:before="0" w:after="0"/>
        <w:ind w:left="118" w:right="433" w:firstLine="419"/>
        <w:jc w:val="left"/>
        <w:rPr>
          <w:sz w:val="21"/>
        </w:rPr>
      </w:pPr>
      <w:r>
        <w:rPr>
          <w:spacing w:val="-5"/>
          <w:sz w:val="21"/>
        </w:rPr>
        <w:t>以基金资产负担因处理基金事务所支出的其他费用以及对第三人所负的债务， </w:t>
      </w:r>
      <w:r>
        <w:rPr>
          <w:spacing w:val="-3"/>
          <w:sz w:val="21"/>
        </w:rPr>
        <w:t>若基金管理人以其自有财产先行支付的，对基金资产有优先受偿的权利；</w:t>
      </w:r>
    </w:p>
    <w:p>
      <w:pPr>
        <w:pStyle w:val="BodyText"/>
        <w:spacing w:before="9"/>
      </w:pPr>
    </w:p>
    <w:p>
      <w:pPr>
        <w:pStyle w:val="ListParagraph"/>
        <w:numPr>
          <w:ilvl w:val="0"/>
          <w:numId w:val="62"/>
        </w:numPr>
        <w:tabs>
          <w:tab w:pos="1173" w:val="left" w:leader="none"/>
        </w:tabs>
        <w:spacing w:line="417" w:lineRule="auto" w:before="0" w:after="0"/>
        <w:ind w:left="118" w:right="436" w:firstLine="419"/>
        <w:jc w:val="left"/>
        <w:rPr>
          <w:sz w:val="21"/>
        </w:rPr>
      </w:pPr>
      <w:r>
        <w:rPr>
          <w:spacing w:val="-21"/>
          <w:sz w:val="21"/>
        </w:rPr>
        <w:t>按照《基金法》、《运作办法》，代表基金份额持有人利益对其所投资的企业依法</w:t>
      </w:r>
      <w:r>
        <w:rPr>
          <w:spacing w:val="-8"/>
          <w:sz w:val="21"/>
        </w:rPr>
        <w:t>行使诉讼权利或行使因投资于其他证券产生的权利；</w:t>
      </w:r>
    </w:p>
    <w:p>
      <w:pPr>
        <w:pStyle w:val="BodyText"/>
        <w:spacing w:before="12"/>
      </w:pPr>
    </w:p>
    <w:p>
      <w:pPr>
        <w:pStyle w:val="ListParagraph"/>
        <w:numPr>
          <w:ilvl w:val="0"/>
          <w:numId w:val="62"/>
        </w:numPr>
        <w:tabs>
          <w:tab w:pos="1173" w:val="left" w:leader="none"/>
        </w:tabs>
        <w:spacing w:line="417" w:lineRule="auto" w:before="0" w:after="0"/>
        <w:ind w:left="118" w:right="331" w:firstLine="419"/>
        <w:jc w:val="left"/>
        <w:rPr>
          <w:sz w:val="21"/>
        </w:rPr>
      </w:pPr>
      <w:r>
        <w:rPr>
          <w:spacing w:val="-3"/>
          <w:sz w:val="21"/>
        </w:rPr>
        <w:t>本基金合同终止时，组建或参加清算小组，参与基金资产的保管、清理、估价、变现和分配；</w:t>
      </w:r>
    </w:p>
    <w:p>
      <w:pPr>
        <w:pStyle w:val="BodyText"/>
        <w:spacing w:before="12"/>
      </w:pPr>
    </w:p>
    <w:p>
      <w:pPr>
        <w:pStyle w:val="ListParagraph"/>
        <w:numPr>
          <w:ilvl w:val="0"/>
          <w:numId w:val="62"/>
        </w:numPr>
        <w:tabs>
          <w:tab w:pos="1173" w:val="left" w:leader="none"/>
        </w:tabs>
        <w:spacing w:line="417" w:lineRule="auto" w:before="0" w:after="0"/>
        <w:ind w:left="118" w:right="434" w:firstLine="419"/>
        <w:jc w:val="left"/>
        <w:rPr>
          <w:sz w:val="21"/>
        </w:rPr>
      </w:pPr>
      <w:r>
        <w:rPr>
          <w:spacing w:val="-10"/>
          <w:sz w:val="21"/>
        </w:rPr>
        <w:t>法律、法规、本基金合同以及依据本基金合同制定的其他法律文件所规定的其 </w:t>
      </w:r>
      <w:r>
        <w:rPr>
          <w:sz w:val="21"/>
        </w:rPr>
        <w:t>他权利。</w:t>
      </w:r>
    </w:p>
    <w:p>
      <w:pPr>
        <w:spacing w:after="0" w:line="417" w:lineRule="auto"/>
        <w:jc w:val="left"/>
        <w:rPr>
          <w:sz w:val="21"/>
        </w:rPr>
        <w:sectPr>
          <w:pgSz w:w="11910" w:h="16850"/>
          <w:pgMar w:header="852" w:footer="1386" w:top="1420" w:bottom="1580" w:left="1680" w:right="1360"/>
        </w:sectPr>
      </w:pPr>
    </w:p>
    <w:p>
      <w:pPr>
        <w:pStyle w:val="ListParagraph"/>
        <w:numPr>
          <w:ilvl w:val="0"/>
          <w:numId w:val="61"/>
        </w:numPr>
        <w:tabs>
          <w:tab w:pos="856" w:val="left" w:leader="none"/>
        </w:tabs>
        <w:spacing w:line="240" w:lineRule="auto" w:before="142" w:after="0"/>
        <w:ind w:left="855" w:right="0" w:hanging="318"/>
        <w:jc w:val="left"/>
        <w:rPr>
          <w:sz w:val="21"/>
        </w:rPr>
      </w:pPr>
      <w:r>
        <w:rPr>
          <w:spacing w:val="-3"/>
          <w:sz w:val="21"/>
        </w:rPr>
        <w:t>基金管理人的义务</w:t>
      </w:r>
    </w:p>
    <w:p>
      <w:pPr>
        <w:pStyle w:val="BodyText"/>
        <w:rPr>
          <w:sz w:val="22"/>
        </w:rPr>
      </w:pPr>
    </w:p>
    <w:p>
      <w:pPr>
        <w:pStyle w:val="ListParagraph"/>
        <w:numPr>
          <w:ilvl w:val="0"/>
          <w:numId w:val="63"/>
        </w:numPr>
        <w:tabs>
          <w:tab w:pos="1067" w:val="left" w:leader="none"/>
        </w:tabs>
        <w:spacing w:line="417" w:lineRule="auto" w:before="197" w:after="0"/>
        <w:ind w:left="118" w:right="433" w:firstLine="419"/>
        <w:jc w:val="both"/>
        <w:rPr>
          <w:sz w:val="21"/>
        </w:rPr>
      </w:pPr>
      <w:r>
        <w:rPr>
          <w:spacing w:val="-28"/>
          <w:sz w:val="21"/>
        </w:rPr>
        <w:t>基金管理人将遵守《基金法》、《运作办法》、《销售办法》、基金合同及其他有关 </w:t>
      </w:r>
      <w:r>
        <w:rPr>
          <w:spacing w:val="-10"/>
          <w:sz w:val="21"/>
        </w:rPr>
        <w:t>规定，为基金份额持有人的最大利益处理基金事务；自基金合同生效之日起，基金管理人保</w:t>
      </w:r>
      <w:r>
        <w:rPr>
          <w:spacing w:val="-3"/>
          <w:sz w:val="21"/>
        </w:rPr>
        <w:t>证恪尽职守，依照诚实信用、勤勉尽责的原则，谨慎、有效管理和运用基金财产；</w:t>
      </w:r>
    </w:p>
    <w:p>
      <w:pPr>
        <w:pStyle w:val="BodyText"/>
        <w:spacing w:before="9"/>
      </w:pPr>
    </w:p>
    <w:p>
      <w:pPr>
        <w:pStyle w:val="ListParagraph"/>
        <w:numPr>
          <w:ilvl w:val="0"/>
          <w:numId w:val="63"/>
        </w:numPr>
        <w:tabs>
          <w:tab w:pos="1067" w:val="left" w:leader="none"/>
        </w:tabs>
        <w:spacing w:line="417" w:lineRule="auto" w:before="0" w:after="0"/>
        <w:ind w:left="118" w:right="436" w:firstLine="419"/>
        <w:jc w:val="left"/>
        <w:rPr>
          <w:sz w:val="21"/>
        </w:rPr>
      </w:pPr>
      <w:r>
        <w:rPr>
          <w:spacing w:val="-3"/>
          <w:sz w:val="21"/>
        </w:rPr>
        <w:t>设置相应的部门并配备足够的具有专业资格的人员进行基金投资分析、决策，以专业化的经营方式管理和运作基金财产；</w:t>
      </w:r>
    </w:p>
    <w:p>
      <w:pPr>
        <w:pStyle w:val="BodyText"/>
        <w:spacing w:before="12"/>
      </w:pPr>
    </w:p>
    <w:p>
      <w:pPr>
        <w:pStyle w:val="ListParagraph"/>
        <w:numPr>
          <w:ilvl w:val="0"/>
          <w:numId w:val="63"/>
        </w:numPr>
        <w:tabs>
          <w:tab w:pos="1067" w:val="left" w:leader="none"/>
        </w:tabs>
        <w:spacing w:line="417" w:lineRule="auto" w:before="0" w:after="0"/>
        <w:ind w:left="118" w:right="436" w:firstLine="419"/>
        <w:jc w:val="left"/>
        <w:rPr>
          <w:sz w:val="21"/>
        </w:rPr>
      </w:pPr>
      <w:r>
        <w:rPr>
          <w:spacing w:val="-3"/>
          <w:sz w:val="21"/>
        </w:rPr>
        <w:t>设置相应的部门并配备足够的专业人员办理基金份额的认购、申购、赎回和其它业务或委托其它机构代理这些业务；</w:t>
      </w:r>
    </w:p>
    <w:p>
      <w:pPr>
        <w:pStyle w:val="BodyText"/>
        <w:spacing w:before="12"/>
      </w:pPr>
    </w:p>
    <w:p>
      <w:pPr>
        <w:pStyle w:val="ListParagraph"/>
        <w:numPr>
          <w:ilvl w:val="0"/>
          <w:numId w:val="63"/>
        </w:numPr>
        <w:tabs>
          <w:tab w:pos="1067" w:val="left" w:leader="none"/>
        </w:tabs>
        <w:spacing w:line="417" w:lineRule="auto" w:before="0" w:after="0"/>
        <w:ind w:left="118" w:right="436" w:firstLine="419"/>
        <w:jc w:val="left"/>
        <w:rPr>
          <w:sz w:val="21"/>
        </w:rPr>
      </w:pPr>
      <w:r>
        <w:rPr>
          <w:spacing w:val="-3"/>
          <w:sz w:val="21"/>
        </w:rPr>
        <w:t>设置相应的部门并配备足够的专业人员办理基金的注册与过户登记工作或委托其它机构代理该项业务；</w:t>
      </w:r>
    </w:p>
    <w:p>
      <w:pPr>
        <w:pStyle w:val="BodyText"/>
        <w:spacing w:before="9"/>
      </w:pPr>
    </w:p>
    <w:p>
      <w:pPr>
        <w:pStyle w:val="ListParagraph"/>
        <w:numPr>
          <w:ilvl w:val="0"/>
          <w:numId w:val="63"/>
        </w:numPr>
        <w:tabs>
          <w:tab w:pos="1067" w:val="left" w:leader="none"/>
        </w:tabs>
        <w:spacing w:line="417" w:lineRule="auto" w:before="0" w:after="0"/>
        <w:ind w:left="118" w:right="433" w:firstLine="419"/>
        <w:jc w:val="both"/>
        <w:rPr>
          <w:sz w:val="21"/>
        </w:rPr>
      </w:pPr>
      <w:r>
        <w:rPr>
          <w:spacing w:val="-3"/>
          <w:sz w:val="21"/>
        </w:rPr>
        <w:t>建立健全内部控制制度，监察与稽核、财务管理及人事管理等制度，保证所管理</w:t>
      </w:r>
      <w:r>
        <w:rPr>
          <w:spacing w:val="-7"/>
          <w:sz w:val="21"/>
        </w:rPr>
        <w:t>的基金财产和基金管理人的固有财产相互独立，确保分别管理、分别计帐；保证本基金与基</w:t>
      </w:r>
      <w:r>
        <w:rPr>
          <w:spacing w:val="-9"/>
          <w:sz w:val="21"/>
        </w:rPr>
        <w:t>金管理人管理的其他基金之间在资产运作、财务管理等方面相互独立，确保分别管理、分别计帐。</w:t>
      </w:r>
    </w:p>
    <w:p>
      <w:pPr>
        <w:pStyle w:val="BodyText"/>
        <w:spacing w:before="11"/>
      </w:pPr>
    </w:p>
    <w:p>
      <w:pPr>
        <w:pStyle w:val="ListParagraph"/>
        <w:numPr>
          <w:ilvl w:val="0"/>
          <w:numId w:val="63"/>
        </w:numPr>
        <w:tabs>
          <w:tab w:pos="1067" w:val="left" w:leader="none"/>
        </w:tabs>
        <w:spacing w:line="417" w:lineRule="auto" w:before="0" w:after="0"/>
        <w:ind w:left="118" w:right="433" w:firstLine="419"/>
        <w:jc w:val="both"/>
        <w:rPr>
          <w:sz w:val="21"/>
        </w:rPr>
      </w:pPr>
      <w:r>
        <w:rPr>
          <w:spacing w:val="-29"/>
          <w:sz w:val="21"/>
        </w:rPr>
        <w:t>除依据《基金法》、《运作办法》、《销售办法》、基金合同及其他有关规定外</w:t>
      </w:r>
      <w:r>
        <w:rPr>
          <w:rFonts w:ascii="Times New Roman" w:eastAsia="Times New Roman"/>
          <w:sz w:val="21"/>
        </w:rPr>
        <w:t>,</w:t>
      </w:r>
      <w:r>
        <w:rPr>
          <w:spacing w:val="-2"/>
          <w:sz w:val="21"/>
        </w:rPr>
        <w:t>不得 </w:t>
      </w:r>
      <w:r>
        <w:rPr>
          <w:spacing w:val="-9"/>
          <w:sz w:val="21"/>
        </w:rPr>
        <w:t>为自己及任何第三方谋取利益，基金管理人违反此义务，利用基金资产为自己及任何第三方</w:t>
      </w:r>
      <w:r>
        <w:rPr>
          <w:spacing w:val="-6"/>
          <w:sz w:val="21"/>
        </w:rPr>
        <w:t>谋取利益，所得利益归于基金资产，造成基金资产损失的，承担赔偿责任；</w:t>
      </w:r>
    </w:p>
    <w:p>
      <w:pPr>
        <w:pStyle w:val="BodyText"/>
        <w:spacing w:before="11"/>
      </w:pPr>
    </w:p>
    <w:p>
      <w:pPr>
        <w:pStyle w:val="BodyText"/>
        <w:spacing w:line="417" w:lineRule="auto"/>
        <w:ind w:left="118" w:right="434" w:firstLine="419"/>
      </w:pPr>
      <w:r>
        <w:rPr>
          <w:spacing w:val="-7"/>
        </w:rPr>
        <w:t>基金管理人不得将基金财产转为其自有财产，违背此款规定的，将承担相应的责任，包</w:t>
      </w:r>
      <w:r>
        <w:rPr>
          <w:spacing w:val="-5"/>
        </w:rPr>
        <w:t>括但不限于恢复基金资产的原状、承担赔偿责任；</w:t>
      </w:r>
    </w:p>
    <w:p>
      <w:pPr>
        <w:pStyle w:val="BodyText"/>
        <w:spacing w:before="10"/>
      </w:pPr>
    </w:p>
    <w:p>
      <w:pPr>
        <w:pStyle w:val="ListParagraph"/>
        <w:numPr>
          <w:ilvl w:val="0"/>
          <w:numId w:val="63"/>
        </w:numPr>
        <w:tabs>
          <w:tab w:pos="1065" w:val="left" w:leader="none"/>
        </w:tabs>
        <w:spacing w:line="417" w:lineRule="auto" w:before="0" w:after="0"/>
        <w:ind w:left="118" w:right="434" w:firstLine="419"/>
        <w:jc w:val="left"/>
        <w:rPr>
          <w:sz w:val="21"/>
        </w:rPr>
      </w:pPr>
      <w:r>
        <w:rPr>
          <w:spacing w:val="-28"/>
          <w:sz w:val="21"/>
        </w:rPr>
        <w:t>除依据《基金法》、《运作办法》、《销售办法》、基金合同及其他有关规定外，基金</w:t>
      </w:r>
      <w:r>
        <w:rPr>
          <w:spacing w:val="-9"/>
          <w:sz w:val="21"/>
        </w:rPr>
        <w:t>管理人不得委托第三人管理、运作基金财产；</w:t>
      </w:r>
    </w:p>
    <w:p>
      <w:pPr>
        <w:pStyle w:val="BodyText"/>
        <w:spacing w:before="11"/>
      </w:pPr>
    </w:p>
    <w:p>
      <w:pPr>
        <w:pStyle w:val="ListParagraph"/>
        <w:numPr>
          <w:ilvl w:val="0"/>
          <w:numId w:val="63"/>
        </w:numPr>
        <w:tabs>
          <w:tab w:pos="1067" w:val="left" w:leader="none"/>
        </w:tabs>
        <w:spacing w:line="417" w:lineRule="auto" w:before="0" w:after="0"/>
        <w:ind w:left="118" w:right="436" w:firstLine="419"/>
        <w:jc w:val="left"/>
        <w:rPr>
          <w:sz w:val="21"/>
        </w:rPr>
      </w:pPr>
      <w:r>
        <w:rPr>
          <w:spacing w:val="-3"/>
          <w:sz w:val="21"/>
        </w:rPr>
        <w:t>接受基金托管人依据法律法规、本基金合同和《托管协议》对基金管理人履行本基金合同和托管协议的情况进行的监督；</w:t>
      </w:r>
    </w:p>
    <w:p>
      <w:pPr>
        <w:spacing w:after="0" w:line="417" w:lineRule="auto"/>
        <w:jc w:val="left"/>
        <w:rPr>
          <w:sz w:val="21"/>
        </w:rPr>
        <w:sectPr>
          <w:pgSz w:w="11910" w:h="16850"/>
          <w:pgMar w:header="852" w:footer="1386" w:top="1420" w:bottom="1580" w:left="1680" w:right="1360"/>
        </w:sectPr>
      </w:pPr>
    </w:p>
    <w:p>
      <w:pPr>
        <w:pStyle w:val="ListParagraph"/>
        <w:numPr>
          <w:ilvl w:val="0"/>
          <w:numId w:val="63"/>
        </w:numPr>
        <w:tabs>
          <w:tab w:pos="1067" w:val="left" w:leader="none"/>
        </w:tabs>
        <w:spacing w:line="417" w:lineRule="auto" w:before="142" w:after="0"/>
        <w:ind w:left="118" w:right="436" w:firstLine="419"/>
        <w:jc w:val="left"/>
        <w:rPr>
          <w:sz w:val="21"/>
        </w:rPr>
      </w:pPr>
      <w:r>
        <w:rPr>
          <w:spacing w:val="-3"/>
          <w:sz w:val="21"/>
        </w:rPr>
        <w:t>采取适当合理的措施使计算开放式基金资产净值的方法符合基金合同等法律文件的规定；</w:t>
      </w:r>
    </w:p>
    <w:p>
      <w:pPr>
        <w:pStyle w:val="BodyText"/>
        <w:spacing w:before="11"/>
      </w:pPr>
    </w:p>
    <w:p>
      <w:pPr>
        <w:pStyle w:val="ListParagraph"/>
        <w:numPr>
          <w:ilvl w:val="0"/>
          <w:numId w:val="63"/>
        </w:numPr>
        <w:tabs>
          <w:tab w:pos="1173" w:val="left" w:leader="none"/>
        </w:tabs>
        <w:spacing w:line="240" w:lineRule="auto" w:before="0" w:after="0"/>
        <w:ind w:left="1172" w:right="0" w:hanging="635"/>
        <w:jc w:val="left"/>
        <w:rPr>
          <w:sz w:val="21"/>
        </w:rPr>
      </w:pPr>
      <w:r>
        <w:rPr>
          <w:spacing w:val="-3"/>
          <w:sz w:val="21"/>
        </w:rPr>
        <w:t>按规定计算并公告基金收益信息；</w:t>
      </w:r>
    </w:p>
    <w:p>
      <w:pPr>
        <w:pStyle w:val="BodyText"/>
        <w:rPr>
          <w:sz w:val="22"/>
        </w:rPr>
      </w:pPr>
    </w:p>
    <w:p>
      <w:pPr>
        <w:pStyle w:val="ListParagraph"/>
        <w:numPr>
          <w:ilvl w:val="0"/>
          <w:numId w:val="63"/>
        </w:numPr>
        <w:tabs>
          <w:tab w:pos="1163" w:val="left" w:leader="none"/>
        </w:tabs>
        <w:spacing w:line="417" w:lineRule="auto" w:before="195" w:after="0"/>
        <w:ind w:left="118" w:right="434" w:firstLine="419"/>
        <w:jc w:val="left"/>
        <w:rPr>
          <w:sz w:val="21"/>
        </w:rPr>
      </w:pPr>
      <w:r>
        <w:rPr>
          <w:spacing w:val="-7"/>
          <w:sz w:val="21"/>
        </w:rPr>
        <w:t>按照法律和本基金合同的规定受理认、申购和赎回申请，及时、足额支付赎回 款项；</w:t>
      </w:r>
    </w:p>
    <w:p>
      <w:pPr>
        <w:pStyle w:val="BodyText"/>
        <w:spacing w:before="12"/>
      </w:pPr>
    </w:p>
    <w:p>
      <w:pPr>
        <w:pStyle w:val="ListParagraph"/>
        <w:numPr>
          <w:ilvl w:val="0"/>
          <w:numId w:val="63"/>
        </w:numPr>
        <w:tabs>
          <w:tab w:pos="1173" w:val="left" w:leader="none"/>
        </w:tabs>
        <w:spacing w:line="417" w:lineRule="auto" w:before="0" w:after="0"/>
        <w:ind w:left="118" w:right="434" w:firstLine="419"/>
        <w:jc w:val="left"/>
        <w:rPr>
          <w:sz w:val="21"/>
        </w:rPr>
      </w:pPr>
      <w:r>
        <w:rPr>
          <w:spacing w:val="-26"/>
          <w:sz w:val="21"/>
        </w:rPr>
        <w:t>严格按照《基金法》、《运作办法》、《销售办法》、基金合同及其他有关规定，编</w:t>
      </w:r>
      <w:r>
        <w:rPr>
          <w:spacing w:val="-9"/>
          <w:sz w:val="21"/>
        </w:rPr>
        <w:t>制中期和年度基金报告，履行信息披露及报告义务；</w:t>
      </w:r>
    </w:p>
    <w:p>
      <w:pPr>
        <w:pStyle w:val="BodyText"/>
        <w:spacing w:before="12"/>
      </w:pPr>
    </w:p>
    <w:p>
      <w:pPr>
        <w:pStyle w:val="ListParagraph"/>
        <w:numPr>
          <w:ilvl w:val="0"/>
          <w:numId w:val="63"/>
        </w:numPr>
        <w:tabs>
          <w:tab w:pos="1173" w:val="left" w:leader="none"/>
        </w:tabs>
        <w:spacing w:line="417" w:lineRule="auto" w:before="0" w:after="0"/>
        <w:ind w:left="118" w:right="433" w:firstLine="419"/>
        <w:jc w:val="both"/>
        <w:rPr>
          <w:sz w:val="21"/>
        </w:rPr>
      </w:pPr>
      <w:r>
        <w:rPr>
          <w:spacing w:val="-8"/>
          <w:sz w:val="21"/>
        </w:rPr>
        <w:t>保守基金的商业秘密，不得泄露基金投资计划、投资意向等；除法律法规、基 </w:t>
      </w:r>
      <w:r>
        <w:rPr>
          <w:spacing w:val="-10"/>
          <w:sz w:val="21"/>
        </w:rPr>
        <w:t>金合同及其他有关规定另有规定外，在基金信息公开披露前应予保密，不向他人泄露，但因</w:t>
      </w:r>
      <w:r>
        <w:rPr>
          <w:spacing w:val="-9"/>
          <w:sz w:val="21"/>
        </w:rPr>
        <w:t>遵守和服从司法机构、中国证监会或其他监管机构的判决、裁决、决定、命令而作出的披露</w:t>
      </w:r>
      <w:r>
        <w:rPr>
          <w:spacing w:val="-3"/>
          <w:sz w:val="21"/>
        </w:rPr>
        <w:t>不应视为基金管理人违反本基金合同规定的保密义务；</w:t>
      </w:r>
    </w:p>
    <w:p>
      <w:pPr>
        <w:pStyle w:val="BodyText"/>
        <w:spacing w:before="8"/>
      </w:pPr>
    </w:p>
    <w:p>
      <w:pPr>
        <w:pStyle w:val="ListParagraph"/>
        <w:numPr>
          <w:ilvl w:val="0"/>
          <w:numId w:val="63"/>
        </w:numPr>
        <w:tabs>
          <w:tab w:pos="1173" w:val="left" w:leader="none"/>
        </w:tabs>
        <w:spacing w:line="417" w:lineRule="auto" w:before="1" w:after="0"/>
        <w:ind w:left="118" w:right="433" w:firstLine="419"/>
        <w:jc w:val="both"/>
        <w:rPr>
          <w:sz w:val="21"/>
        </w:rPr>
      </w:pPr>
      <w:r>
        <w:rPr>
          <w:spacing w:val="-27"/>
          <w:sz w:val="21"/>
        </w:rPr>
        <w:t>依据《基金法》、《运作办法》、《销售办法》、基金合同及其他有关规定召集基金</w:t>
      </w:r>
      <w:r>
        <w:rPr>
          <w:spacing w:val="-13"/>
          <w:sz w:val="21"/>
        </w:rPr>
        <w:t>份额持有人大会或配合基金托管人、基金份额持有人依法召集基金份额持有人大会，并执行</w:t>
      </w:r>
      <w:r>
        <w:rPr>
          <w:spacing w:val="-6"/>
          <w:sz w:val="21"/>
        </w:rPr>
        <w:t>生效的基金份额持有人大会决议；</w:t>
      </w:r>
    </w:p>
    <w:p>
      <w:pPr>
        <w:pStyle w:val="BodyText"/>
        <w:spacing w:before="11"/>
      </w:pPr>
    </w:p>
    <w:p>
      <w:pPr>
        <w:pStyle w:val="ListParagraph"/>
        <w:numPr>
          <w:ilvl w:val="0"/>
          <w:numId w:val="63"/>
        </w:numPr>
        <w:tabs>
          <w:tab w:pos="1171" w:val="left" w:leader="none"/>
        </w:tabs>
        <w:spacing w:line="240" w:lineRule="auto" w:before="0" w:after="0"/>
        <w:ind w:left="1170" w:right="0" w:hanging="633"/>
        <w:jc w:val="left"/>
        <w:rPr>
          <w:sz w:val="21"/>
        </w:rPr>
      </w:pPr>
      <w:r>
        <w:rPr>
          <w:spacing w:val="-15"/>
          <w:sz w:val="21"/>
        </w:rPr>
        <w:t>组织并参加基金财产清算小组，参与基金财产的保管、清理、估价、变现和分配；</w:t>
      </w:r>
    </w:p>
    <w:p>
      <w:pPr>
        <w:pStyle w:val="BodyText"/>
        <w:rPr>
          <w:sz w:val="22"/>
        </w:rPr>
      </w:pPr>
    </w:p>
    <w:p>
      <w:pPr>
        <w:pStyle w:val="BodyText"/>
        <w:spacing w:before="6"/>
        <w:rPr>
          <w:sz w:val="15"/>
        </w:rPr>
      </w:pPr>
    </w:p>
    <w:p>
      <w:pPr>
        <w:pStyle w:val="ListParagraph"/>
        <w:numPr>
          <w:ilvl w:val="0"/>
          <w:numId w:val="63"/>
        </w:numPr>
        <w:tabs>
          <w:tab w:pos="1173" w:val="left" w:leader="none"/>
        </w:tabs>
        <w:spacing w:line="417" w:lineRule="auto" w:before="0" w:after="0"/>
        <w:ind w:left="118" w:right="225" w:firstLine="419"/>
        <w:jc w:val="left"/>
        <w:rPr>
          <w:sz w:val="21"/>
        </w:rPr>
      </w:pPr>
      <w:r>
        <w:rPr>
          <w:spacing w:val="-3"/>
          <w:sz w:val="21"/>
        </w:rPr>
        <w:t>基金管理人因违反基金合同导致基金财产的损失或损害基金份额持有人合法权益，应当承担赔偿责任，其过错责任不因其退任而免除；</w:t>
      </w:r>
    </w:p>
    <w:p>
      <w:pPr>
        <w:pStyle w:val="BodyText"/>
        <w:spacing w:before="9"/>
      </w:pPr>
    </w:p>
    <w:p>
      <w:pPr>
        <w:pStyle w:val="ListParagraph"/>
        <w:numPr>
          <w:ilvl w:val="0"/>
          <w:numId w:val="63"/>
        </w:numPr>
        <w:tabs>
          <w:tab w:pos="1171" w:val="left" w:leader="none"/>
        </w:tabs>
        <w:spacing w:line="417" w:lineRule="auto" w:before="0" w:after="0"/>
        <w:ind w:left="118" w:right="433" w:firstLine="419"/>
        <w:jc w:val="both"/>
        <w:rPr>
          <w:sz w:val="21"/>
        </w:rPr>
      </w:pPr>
      <w:r>
        <w:rPr>
          <w:spacing w:val="-5"/>
          <w:sz w:val="21"/>
        </w:rPr>
        <w:t>监督基金托管人按法律法规和合同规定履行自己的义务，基金托管人违反基金 </w:t>
      </w:r>
      <w:r>
        <w:rPr>
          <w:spacing w:val="-10"/>
          <w:sz w:val="21"/>
        </w:rPr>
        <w:t>合同造成基金财产损失时，基金管理人应为基金份额持有人利益向基金托管人追偿，但除法</w:t>
      </w:r>
      <w:r>
        <w:rPr>
          <w:spacing w:val="-3"/>
          <w:sz w:val="21"/>
        </w:rPr>
        <w:t>律法规另有规定外，不连带承担基金托管人的责任；</w:t>
      </w:r>
    </w:p>
    <w:p>
      <w:pPr>
        <w:pStyle w:val="BodyText"/>
        <w:spacing w:before="11"/>
      </w:pPr>
    </w:p>
    <w:p>
      <w:pPr>
        <w:pStyle w:val="ListParagraph"/>
        <w:numPr>
          <w:ilvl w:val="0"/>
          <w:numId w:val="63"/>
        </w:numPr>
        <w:tabs>
          <w:tab w:pos="1171" w:val="left" w:leader="none"/>
        </w:tabs>
        <w:spacing w:line="417" w:lineRule="auto" w:before="1" w:after="0"/>
        <w:ind w:left="118" w:right="433" w:firstLine="419"/>
        <w:jc w:val="left"/>
        <w:rPr>
          <w:sz w:val="21"/>
        </w:rPr>
      </w:pPr>
      <w:r>
        <w:rPr>
          <w:spacing w:val="-6"/>
          <w:sz w:val="21"/>
        </w:rPr>
        <w:t>依据基金合同的约定确定基金收益分配方案，并及时向基金份额持有人分配基 金收益；</w:t>
      </w:r>
    </w:p>
    <w:p>
      <w:pPr>
        <w:pStyle w:val="BodyText"/>
        <w:spacing w:before="11"/>
      </w:pPr>
    </w:p>
    <w:p>
      <w:pPr>
        <w:pStyle w:val="ListParagraph"/>
        <w:numPr>
          <w:ilvl w:val="0"/>
          <w:numId w:val="63"/>
        </w:numPr>
        <w:tabs>
          <w:tab w:pos="1173" w:val="left" w:leader="none"/>
        </w:tabs>
        <w:spacing w:line="240" w:lineRule="auto" w:before="0" w:after="0"/>
        <w:ind w:left="1172" w:right="0" w:hanging="635"/>
        <w:jc w:val="left"/>
        <w:rPr>
          <w:sz w:val="21"/>
        </w:rPr>
      </w:pPr>
      <w:r>
        <w:rPr>
          <w:spacing w:val="-3"/>
          <w:sz w:val="21"/>
        </w:rPr>
        <w:t>进行基金会计核算并编制基金财务会计报告；</w:t>
      </w:r>
    </w:p>
    <w:p>
      <w:pPr>
        <w:spacing w:after="0" w:line="240" w:lineRule="auto"/>
        <w:jc w:val="left"/>
        <w:rPr>
          <w:sz w:val="21"/>
        </w:rPr>
        <w:sectPr>
          <w:pgSz w:w="11910" w:h="16850"/>
          <w:pgMar w:header="852" w:footer="1386" w:top="1420" w:bottom="1580" w:left="1680" w:right="1360"/>
        </w:sectPr>
      </w:pPr>
    </w:p>
    <w:p>
      <w:pPr>
        <w:pStyle w:val="ListParagraph"/>
        <w:numPr>
          <w:ilvl w:val="0"/>
          <w:numId w:val="63"/>
        </w:numPr>
        <w:tabs>
          <w:tab w:pos="1173" w:val="left" w:leader="none"/>
        </w:tabs>
        <w:spacing w:line="240" w:lineRule="auto" w:before="142" w:after="0"/>
        <w:ind w:left="1172" w:right="0" w:hanging="635"/>
        <w:jc w:val="left"/>
        <w:rPr>
          <w:sz w:val="21"/>
        </w:rPr>
      </w:pPr>
      <w:r>
        <w:rPr>
          <w:spacing w:val="-5"/>
          <w:sz w:val="21"/>
        </w:rPr>
        <w:t>保存基金财产管理业务活动的记录、帐册、报表和其他相关资料 </w:t>
      </w:r>
      <w:r>
        <w:rPr>
          <w:rFonts w:ascii="Times New Roman" w:eastAsia="Times New Roman"/>
          <w:sz w:val="21"/>
        </w:rPr>
        <w:t>15 </w:t>
      </w:r>
      <w:r>
        <w:rPr>
          <w:spacing w:val="-2"/>
          <w:sz w:val="21"/>
        </w:rPr>
        <w:t>年以上；</w:t>
      </w:r>
    </w:p>
    <w:p>
      <w:pPr>
        <w:pStyle w:val="BodyText"/>
        <w:rPr>
          <w:sz w:val="22"/>
        </w:rPr>
      </w:pPr>
    </w:p>
    <w:p>
      <w:pPr>
        <w:pStyle w:val="ListParagraph"/>
        <w:numPr>
          <w:ilvl w:val="0"/>
          <w:numId w:val="63"/>
        </w:numPr>
        <w:tabs>
          <w:tab w:pos="1171" w:val="left" w:leader="none"/>
        </w:tabs>
        <w:spacing w:line="417" w:lineRule="auto" w:before="197" w:after="0"/>
        <w:ind w:left="118" w:right="433" w:firstLine="419"/>
        <w:jc w:val="both"/>
        <w:rPr>
          <w:sz w:val="21"/>
        </w:rPr>
      </w:pPr>
      <w:r>
        <w:rPr>
          <w:spacing w:val="-6"/>
          <w:sz w:val="21"/>
        </w:rPr>
        <w:t>当基金管理人将其义务委托第三方处理时，应当对第三方处理有关基金事务的 </w:t>
      </w:r>
      <w:r>
        <w:rPr>
          <w:spacing w:val="-12"/>
          <w:sz w:val="21"/>
        </w:rPr>
        <w:t>行为承担责任；但因第三方过错导致基金财产或基金份额持有人的利益受到损失，而基金管</w:t>
      </w:r>
      <w:r>
        <w:rPr>
          <w:spacing w:val="-3"/>
          <w:sz w:val="21"/>
        </w:rPr>
        <w:t>理人首先承担了责任的情况下，基金管理人有权向第三方行使追偿权；</w:t>
      </w:r>
    </w:p>
    <w:p>
      <w:pPr>
        <w:pStyle w:val="BodyText"/>
        <w:spacing w:before="9"/>
      </w:pPr>
    </w:p>
    <w:p>
      <w:pPr>
        <w:pStyle w:val="ListParagraph"/>
        <w:numPr>
          <w:ilvl w:val="0"/>
          <w:numId w:val="63"/>
        </w:numPr>
        <w:tabs>
          <w:tab w:pos="1173" w:val="left" w:leader="none"/>
        </w:tabs>
        <w:spacing w:line="417" w:lineRule="auto" w:before="0" w:after="0"/>
        <w:ind w:left="118" w:right="434" w:firstLine="419"/>
        <w:jc w:val="left"/>
        <w:rPr>
          <w:sz w:val="21"/>
        </w:rPr>
      </w:pPr>
      <w:r>
        <w:rPr>
          <w:spacing w:val="-9"/>
          <w:sz w:val="21"/>
        </w:rPr>
        <w:t>面临解散、依法被撤销、破产或者由接管人接管其资产时，及时报告中国证监 </w:t>
      </w:r>
      <w:r>
        <w:rPr>
          <w:spacing w:val="-6"/>
          <w:sz w:val="21"/>
        </w:rPr>
        <w:t>会并通知基金托管人；</w:t>
      </w:r>
    </w:p>
    <w:p>
      <w:pPr>
        <w:pStyle w:val="BodyText"/>
        <w:spacing w:before="12"/>
      </w:pPr>
    </w:p>
    <w:p>
      <w:pPr>
        <w:pStyle w:val="ListParagraph"/>
        <w:numPr>
          <w:ilvl w:val="0"/>
          <w:numId w:val="63"/>
        </w:numPr>
        <w:tabs>
          <w:tab w:pos="1171" w:val="left" w:leader="none"/>
        </w:tabs>
        <w:spacing w:line="417" w:lineRule="auto" w:before="0" w:after="0"/>
        <w:ind w:left="118" w:right="330" w:firstLine="419"/>
        <w:jc w:val="left"/>
        <w:rPr>
          <w:sz w:val="21"/>
        </w:rPr>
      </w:pPr>
      <w:r>
        <w:rPr>
          <w:spacing w:val="-5"/>
          <w:sz w:val="21"/>
        </w:rPr>
        <w:t>确保向基金投资人提供的各项文件或资料在规定时间内发出；保证投资人能够按</w:t>
      </w:r>
      <w:r>
        <w:rPr>
          <w:spacing w:val="-15"/>
          <w:sz w:val="21"/>
        </w:rPr>
        <w:t>照本基金合同规定的时间和方式，查阅到与基金有关的公开资料，并得到有关资料的复印件；</w:t>
      </w:r>
    </w:p>
    <w:p>
      <w:pPr>
        <w:pStyle w:val="BodyText"/>
        <w:spacing w:before="12"/>
      </w:pPr>
    </w:p>
    <w:p>
      <w:pPr>
        <w:pStyle w:val="ListParagraph"/>
        <w:numPr>
          <w:ilvl w:val="0"/>
          <w:numId w:val="63"/>
        </w:numPr>
        <w:tabs>
          <w:tab w:pos="1173" w:val="left" w:leader="none"/>
        </w:tabs>
        <w:spacing w:line="240" w:lineRule="auto" w:before="0" w:after="0"/>
        <w:ind w:left="1172" w:right="0" w:hanging="635"/>
        <w:jc w:val="left"/>
        <w:rPr>
          <w:sz w:val="21"/>
        </w:rPr>
      </w:pPr>
      <w:r>
        <w:rPr>
          <w:spacing w:val="-3"/>
          <w:sz w:val="21"/>
        </w:rPr>
        <w:t>负责为基金聘请注册会计师和律师；</w:t>
      </w:r>
    </w:p>
    <w:p>
      <w:pPr>
        <w:pStyle w:val="BodyText"/>
        <w:rPr>
          <w:sz w:val="22"/>
        </w:rPr>
      </w:pPr>
    </w:p>
    <w:p>
      <w:pPr>
        <w:pStyle w:val="ListParagraph"/>
        <w:numPr>
          <w:ilvl w:val="0"/>
          <w:numId w:val="63"/>
        </w:numPr>
        <w:tabs>
          <w:tab w:pos="1173" w:val="left" w:leader="none"/>
        </w:tabs>
        <w:spacing w:line="240" w:lineRule="auto" w:before="195" w:after="0"/>
        <w:ind w:left="1172" w:right="0" w:hanging="635"/>
        <w:jc w:val="left"/>
        <w:rPr>
          <w:sz w:val="21"/>
        </w:rPr>
      </w:pPr>
      <w:r>
        <w:rPr>
          <w:spacing w:val="-3"/>
          <w:sz w:val="21"/>
        </w:rPr>
        <w:t>不从事任何有损基金及本基金其他当事人利益的活动；</w:t>
      </w:r>
    </w:p>
    <w:p>
      <w:pPr>
        <w:pStyle w:val="BodyText"/>
        <w:rPr>
          <w:sz w:val="22"/>
        </w:rPr>
      </w:pPr>
    </w:p>
    <w:p>
      <w:pPr>
        <w:pStyle w:val="BodyText"/>
        <w:spacing w:before="6"/>
        <w:rPr>
          <w:sz w:val="15"/>
        </w:rPr>
      </w:pPr>
    </w:p>
    <w:p>
      <w:pPr>
        <w:pStyle w:val="ListParagraph"/>
        <w:numPr>
          <w:ilvl w:val="0"/>
          <w:numId w:val="63"/>
        </w:numPr>
        <w:tabs>
          <w:tab w:pos="1173" w:val="left" w:leader="none"/>
        </w:tabs>
        <w:spacing w:line="240" w:lineRule="auto" w:before="0" w:after="0"/>
        <w:ind w:left="1172" w:right="0" w:hanging="635"/>
        <w:jc w:val="left"/>
        <w:rPr>
          <w:sz w:val="21"/>
        </w:rPr>
      </w:pPr>
      <w:r>
        <w:rPr>
          <w:spacing w:val="-3"/>
          <w:sz w:val="21"/>
        </w:rPr>
        <w:t>依法募集基金，办理基金备案手续；</w:t>
      </w:r>
    </w:p>
    <w:p>
      <w:pPr>
        <w:pStyle w:val="BodyText"/>
        <w:rPr>
          <w:sz w:val="22"/>
        </w:rPr>
      </w:pPr>
    </w:p>
    <w:p>
      <w:pPr>
        <w:pStyle w:val="BodyText"/>
        <w:spacing w:before="6"/>
        <w:rPr>
          <w:sz w:val="15"/>
        </w:rPr>
      </w:pPr>
    </w:p>
    <w:p>
      <w:pPr>
        <w:pStyle w:val="ListParagraph"/>
        <w:numPr>
          <w:ilvl w:val="0"/>
          <w:numId w:val="63"/>
        </w:numPr>
        <w:tabs>
          <w:tab w:pos="1171" w:val="left" w:leader="none"/>
        </w:tabs>
        <w:spacing w:line="417" w:lineRule="auto" w:before="0" w:after="0"/>
        <w:ind w:left="118" w:right="433" w:firstLine="419"/>
        <w:jc w:val="left"/>
        <w:rPr>
          <w:sz w:val="21"/>
        </w:rPr>
      </w:pPr>
      <w:r>
        <w:rPr>
          <w:spacing w:val="-8"/>
          <w:sz w:val="21"/>
        </w:rPr>
        <w:t>以基金管理人名义，代表基金份额持有人利益行使诉讼权利或者实施其他法律 </w:t>
      </w:r>
      <w:r>
        <w:rPr>
          <w:sz w:val="21"/>
        </w:rPr>
        <w:t>行为；</w:t>
      </w:r>
    </w:p>
    <w:p>
      <w:pPr>
        <w:pStyle w:val="BodyText"/>
        <w:spacing w:before="9"/>
      </w:pPr>
    </w:p>
    <w:p>
      <w:pPr>
        <w:pStyle w:val="ListParagraph"/>
        <w:numPr>
          <w:ilvl w:val="0"/>
          <w:numId w:val="63"/>
        </w:numPr>
        <w:tabs>
          <w:tab w:pos="1173" w:val="left" w:leader="none"/>
        </w:tabs>
        <w:spacing w:line="417" w:lineRule="auto" w:before="0" w:after="0"/>
        <w:ind w:left="118" w:right="434" w:firstLine="419"/>
        <w:jc w:val="left"/>
        <w:rPr>
          <w:sz w:val="21"/>
        </w:rPr>
      </w:pPr>
      <w:r>
        <w:rPr>
          <w:spacing w:val="-10"/>
          <w:sz w:val="21"/>
        </w:rPr>
        <w:t>法律、法规、本基金合同以及依据本基金合同制定的其他法律文件所规定的其 </w:t>
      </w:r>
      <w:r>
        <w:rPr>
          <w:sz w:val="21"/>
        </w:rPr>
        <w:t>他义务。</w:t>
      </w:r>
    </w:p>
    <w:p>
      <w:pPr>
        <w:pStyle w:val="BodyText"/>
        <w:spacing w:before="11"/>
      </w:pPr>
    </w:p>
    <w:p>
      <w:pPr>
        <w:pStyle w:val="BodyText"/>
        <w:ind w:left="538"/>
      </w:pPr>
      <w:r>
        <w:rPr/>
        <w:t>三）基金托管人的权利与义务</w:t>
      </w:r>
    </w:p>
    <w:p>
      <w:pPr>
        <w:pStyle w:val="BodyText"/>
        <w:rPr>
          <w:sz w:val="20"/>
        </w:rPr>
      </w:pPr>
    </w:p>
    <w:p>
      <w:pPr>
        <w:pStyle w:val="BodyText"/>
        <w:spacing w:before="6"/>
        <w:rPr>
          <w:sz w:val="17"/>
        </w:rPr>
      </w:pPr>
    </w:p>
    <w:p>
      <w:pPr>
        <w:pStyle w:val="ListParagraph"/>
        <w:numPr>
          <w:ilvl w:val="0"/>
          <w:numId w:val="64"/>
        </w:numPr>
        <w:tabs>
          <w:tab w:pos="856" w:val="left" w:leader="none"/>
        </w:tabs>
        <w:spacing w:line="240" w:lineRule="auto" w:before="0" w:after="0"/>
        <w:ind w:left="855" w:right="0" w:hanging="318"/>
        <w:jc w:val="left"/>
        <w:rPr>
          <w:sz w:val="21"/>
        </w:rPr>
      </w:pPr>
      <w:r>
        <w:rPr>
          <w:spacing w:val="-3"/>
          <w:sz w:val="21"/>
        </w:rPr>
        <w:t>基金托管人的权利</w:t>
      </w:r>
    </w:p>
    <w:p>
      <w:pPr>
        <w:pStyle w:val="BodyText"/>
        <w:rPr>
          <w:sz w:val="22"/>
        </w:rPr>
      </w:pPr>
    </w:p>
    <w:p>
      <w:pPr>
        <w:pStyle w:val="ListParagraph"/>
        <w:numPr>
          <w:ilvl w:val="0"/>
          <w:numId w:val="65"/>
        </w:numPr>
        <w:tabs>
          <w:tab w:pos="1067" w:val="left" w:leader="none"/>
        </w:tabs>
        <w:spacing w:line="240" w:lineRule="auto" w:before="196" w:after="0"/>
        <w:ind w:left="1067" w:right="0" w:hanging="529"/>
        <w:jc w:val="left"/>
        <w:rPr>
          <w:sz w:val="21"/>
        </w:rPr>
      </w:pPr>
      <w:r>
        <w:rPr>
          <w:spacing w:val="-3"/>
          <w:sz w:val="21"/>
        </w:rPr>
        <w:t>依法持有并保管基金的资产；</w:t>
      </w:r>
    </w:p>
    <w:p>
      <w:pPr>
        <w:pStyle w:val="BodyText"/>
        <w:rPr>
          <w:sz w:val="22"/>
        </w:rPr>
      </w:pPr>
    </w:p>
    <w:p>
      <w:pPr>
        <w:pStyle w:val="BodyText"/>
        <w:spacing w:before="6"/>
        <w:rPr>
          <w:sz w:val="15"/>
        </w:rPr>
      </w:pPr>
    </w:p>
    <w:p>
      <w:pPr>
        <w:pStyle w:val="ListParagraph"/>
        <w:numPr>
          <w:ilvl w:val="0"/>
          <w:numId w:val="65"/>
        </w:numPr>
        <w:tabs>
          <w:tab w:pos="1067" w:val="left" w:leader="none"/>
        </w:tabs>
        <w:spacing w:line="240" w:lineRule="auto" w:before="0" w:after="0"/>
        <w:ind w:left="1067" w:right="0" w:hanging="529"/>
        <w:jc w:val="left"/>
        <w:rPr>
          <w:sz w:val="21"/>
        </w:rPr>
      </w:pPr>
      <w:r>
        <w:rPr>
          <w:spacing w:val="-3"/>
          <w:sz w:val="21"/>
        </w:rPr>
        <w:t>依照基金合同的约定获得基金托管费；</w:t>
      </w:r>
    </w:p>
    <w:p>
      <w:pPr>
        <w:pStyle w:val="BodyText"/>
        <w:rPr>
          <w:sz w:val="22"/>
        </w:rPr>
      </w:pPr>
    </w:p>
    <w:p>
      <w:pPr>
        <w:pStyle w:val="ListParagraph"/>
        <w:numPr>
          <w:ilvl w:val="0"/>
          <w:numId w:val="65"/>
        </w:numPr>
        <w:tabs>
          <w:tab w:pos="1070" w:val="left" w:leader="none"/>
        </w:tabs>
        <w:spacing w:line="417" w:lineRule="auto" w:before="198" w:after="0"/>
        <w:ind w:left="118" w:right="433" w:firstLine="419"/>
        <w:jc w:val="left"/>
        <w:rPr>
          <w:sz w:val="21"/>
        </w:rPr>
      </w:pPr>
      <w:r>
        <w:rPr>
          <w:sz w:val="21"/>
        </w:rPr>
        <w:t>监督基金管理人对本基金的投资运作</w:t>
      </w:r>
      <w:r>
        <w:rPr>
          <w:rFonts w:ascii="Times New Roman" w:eastAsia="Times New Roman"/>
          <w:spacing w:val="22"/>
          <w:sz w:val="21"/>
        </w:rPr>
        <w:t>, </w:t>
      </w:r>
      <w:r>
        <w:rPr>
          <w:spacing w:val="-1"/>
          <w:sz w:val="21"/>
        </w:rPr>
        <w:t>如认为基金管理人的投资指令违反基金合</w:t>
      </w:r>
      <w:r>
        <w:rPr>
          <w:spacing w:val="-9"/>
          <w:sz w:val="21"/>
        </w:rPr>
        <w:t>同或有关法律法规的规定，应呈报中国证监会和其他监管部门，并采取必要措施保护基金投</w:t>
      </w:r>
    </w:p>
    <w:p>
      <w:pPr>
        <w:spacing w:after="0" w:line="417" w:lineRule="auto"/>
        <w:jc w:val="left"/>
        <w:rPr>
          <w:sz w:val="21"/>
        </w:rPr>
        <w:sectPr>
          <w:pgSz w:w="11910" w:h="16850"/>
          <w:pgMar w:header="852" w:footer="1386" w:top="1420" w:bottom="1580" w:left="1680" w:right="1360"/>
        </w:sectPr>
      </w:pPr>
    </w:p>
    <w:p>
      <w:pPr>
        <w:pStyle w:val="BodyText"/>
        <w:spacing w:before="142"/>
        <w:ind w:left="118"/>
      </w:pPr>
      <w:r>
        <w:rPr/>
        <w:t>资者的利益；</w:t>
      </w:r>
    </w:p>
    <w:p>
      <w:pPr>
        <w:pStyle w:val="BodyText"/>
        <w:rPr>
          <w:sz w:val="20"/>
        </w:rPr>
      </w:pPr>
    </w:p>
    <w:p>
      <w:pPr>
        <w:pStyle w:val="BodyText"/>
        <w:spacing w:before="5"/>
        <w:rPr>
          <w:sz w:val="17"/>
        </w:rPr>
      </w:pPr>
    </w:p>
    <w:p>
      <w:pPr>
        <w:pStyle w:val="ListParagraph"/>
        <w:numPr>
          <w:ilvl w:val="0"/>
          <w:numId w:val="65"/>
        </w:numPr>
        <w:tabs>
          <w:tab w:pos="1067" w:val="left" w:leader="none"/>
        </w:tabs>
        <w:spacing w:line="240" w:lineRule="auto" w:before="0" w:after="0"/>
        <w:ind w:left="1067" w:right="0" w:hanging="529"/>
        <w:jc w:val="left"/>
        <w:rPr>
          <w:sz w:val="21"/>
        </w:rPr>
      </w:pPr>
      <w:r>
        <w:rPr>
          <w:spacing w:val="-3"/>
          <w:sz w:val="21"/>
        </w:rPr>
        <w:t>在基金管理人更换时，提名新的基金管理人；</w:t>
      </w:r>
    </w:p>
    <w:p>
      <w:pPr>
        <w:pStyle w:val="BodyText"/>
        <w:rPr>
          <w:sz w:val="22"/>
        </w:rPr>
      </w:pPr>
    </w:p>
    <w:p>
      <w:pPr>
        <w:pStyle w:val="ListParagraph"/>
        <w:numPr>
          <w:ilvl w:val="0"/>
          <w:numId w:val="65"/>
        </w:numPr>
        <w:tabs>
          <w:tab w:pos="1067" w:val="left" w:leader="none"/>
        </w:tabs>
        <w:spacing w:line="240" w:lineRule="auto" w:before="196" w:after="0"/>
        <w:ind w:left="1067" w:right="0" w:hanging="529"/>
        <w:jc w:val="left"/>
        <w:rPr>
          <w:sz w:val="21"/>
        </w:rPr>
      </w:pPr>
      <w:r>
        <w:rPr>
          <w:spacing w:val="-14"/>
          <w:sz w:val="21"/>
        </w:rPr>
        <w:t>法律、法规、基金合同以及依据基金合同制定的其他法律文件所规定的其他权利。</w:t>
      </w:r>
    </w:p>
    <w:p>
      <w:pPr>
        <w:pStyle w:val="BodyText"/>
        <w:rPr>
          <w:sz w:val="22"/>
        </w:rPr>
      </w:pPr>
    </w:p>
    <w:p>
      <w:pPr>
        <w:pStyle w:val="ListParagraph"/>
        <w:numPr>
          <w:ilvl w:val="0"/>
          <w:numId w:val="64"/>
        </w:numPr>
        <w:tabs>
          <w:tab w:pos="856" w:val="left" w:leader="none"/>
        </w:tabs>
        <w:spacing w:line="240" w:lineRule="auto" w:before="198" w:after="0"/>
        <w:ind w:left="855" w:right="0" w:hanging="318"/>
        <w:jc w:val="left"/>
        <w:rPr>
          <w:sz w:val="21"/>
        </w:rPr>
      </w:pPr>
      <w:r>
        <w:rPr>
          <w:spacing w:val="-3"/>
          <w:sz w:val="21"/>
        </w:rPr>
        <w:t>基金托管人的义务</w:t>
      </w:r>
    </w:p>
    <w:p>
      <w:pPr>
        <w:pStyle w:val="BodyText"/>
        <w:rPr>
          <w:sz w:val="22"/>
        </w:rPr>
      </w:pPr>
    </w:p>
    <w:p>
      <w:pPr>
        <w:pStyle w:val="ListParagraph"/>
        <w:numPr>
          <w:ilvl w:val="0"/>
          <w:numId w:val="66"/>
        </w:numPr>
        <w:tabs>
          <w:tab w:pos="1067" w:val="left" w:leader="none"/>
        </w:tabs>
        <w:spacing w:line="240" w:lineRule="auto" w:before="197" w:after="0"/>
        <w:ind w:left="1067" w:right="0" w:hanging="529"/>
        <w:jc w:val="left"/>
        <w:rPr>
          <w:sz w:val="21"/>
        </w:rPr>
      </w:pPr>
      <w:r>
        <w:rPr>
          <w:spacing w:val="-3"/>
          <w:sz w:val="21"/>
        </w:rPr>
        <w:t>遵守基金合同；</w:t>
      </w:r>
    </w:p>
    <w:p>
      <w:pPr>
        <w:pStyle w:val="BodyText"/>
        <w:rPr>
          <w:sz w:val="22"/>
        </w:rPr>
      </w:pPr>
    </w:p>
    <w:p>
      <w:pPr>
        <w:pStyle w:val="ListParagraph"/>
        <w:numPr>
          <w:ilvl w:val="0"/>
          <w:numId w:val="66"/>
        </w:numPr>
        <w:tabs>
          <w:tab w:pos="1067" w:val="left" w:leader="none"/>
        </w:tabs>
        <w:spacing w:line="240" w:lineRule="auto" w:before="197" w:after="0"/>
        <w:ind w:left="1067" w:right="0" w:hanging="529"/>
        <w:jc w:val="left"/>
        <w:rPr>
          <w:sz w:val="21"/>
        </w:rPr>
      </w:pPr>
      <w:r>
        <w:rPr>
          <w:spacing w:val="-3"/>
          <w:sz w:val="21"/>
        </w:rPr>
        <w:t>以诚实信用、勤勉尽责的原则安全保管基金资产；</w:t>
      </w:r>
    </w:p>
    <w:p>
      <w:pPr>
        <w:pStyle w:val="BodyText"/>
        <w:rPr>
          <w:sz w:val="22"/>
        </w:rPr>
      </w:pPr>
    </w:p>
    <w:p>
      <w:pPr>
        <w:pStyle w:val="ListParagraph"/>
        <w:numPr>
          <w:ilvl w:val="0"/>
          <w:numId w:val="66"/>
        </w:numPr>
        <w:tabs>
          <w:tab w:pos="1067" w:val="left" w:leader="none"/>
        </w:tabs>
        <w:spacing w:line="417" w:lineRule="auto" w:before="197" w:after="0"/>
        <w:ind w:left="118" w:right="436" w:firstLine="419"/>
        <w:jc w:val="left"/>
        <w:rPr>
          <w:sz w:val="21"/>
        </w:rPr>
      </w:pPr>
      <w:r>
        <w:rPr>
          <w:spacing w:val="-3"/>
          <w:sz w:val="21"/>
        </w:rPr>
        <w:t>设有专门的基金托管部门，具有符合要求的营业场所，配备足够的、合格的熟悉基金托管业务的专职人员，负责基金资产托管事宜；</w:t>
      </w:r>
    </w:p>
    <w:p>
      <w:pPr>
        <w:pStyle w:val="BodyText"/>
        <w:spacing w:before="12"/>
      </w:pPr>
    </w:p>
    <w:p>
      <w:pPr>
        <w:pStyle w:val="ListParagraph"/>
        <w:numPr>
          <w:ilvl w:val="0"/>
          <w:numId w:val="66"/>
        </w:numPr>
        <w:tabs>
          <w:tab w:pos="1067" w:val="left" w:leader="none"/>
        </w:tabs>
        <w:spacing w:line="417" w:lineRule="auto" w:before="0" w:after="0"/>
        <w:ind w:left="118" w:right="436" w:firstLine="419"/>
        <w:jc w:val="left"/>
        <w:rPr>
          <w:sz w:val="21"/>
        </w:rPr>
      </w:pPr>
      <w:r>
        <w:rPr>
          <w:spacing w:val="-23"/>
          <w:sz w:val="21"/>
        </w:rPr>
        <w:t>除依据《基金法》、《运作办法》、《基金合同》及其他有关规定外，不得为自己及</w:t>
      </w:r>
      <w:r>
        <w:rPr>
          <w:spacing w:val="-8"/>
          <w:sz w:val="21"/>
        </w:rPr>
        <w:t>任何第三人谋取利益，不得委托其他人托管基金资产；</w:t>
      </w:r>
    </w:p>
    <w:p>
      <w:pPr>
        <w:pStyle w:val="BodyText"/>
        <w:spacing w:before="9"/>
      </w:pPr>
    </w:p>
    <w:p>
      <w:pPr>
        <w:pStyle w:val="ListParagraph"/>
        <w:numPr>
          <w:ilvl w:val="0"/>
          <w:numId w:val="66"/>
        </w:numPr>
        <w:tabs>
          <w:tab w:pos="1067" w:val="left" w:leader="none"/>
        </w:tabs>
        <w:spacing w:line="240" w:lineRule="auto" w:before="0" w:after="0"/>
        <w:ind w:left="1067" w:right="0" w:hanging="529"/>
        <w:jc w:val="left"/>
        <w:rPr>
          <w:sz w:val="21"/>
        </w:rPr>
      </w:pPr>
      <w:r>
        <w:rPr>
          <w:spacing w:val="-3"/>
          <w:sz w:val="21"/>
        </w:rPr>
        <w:t>复核、审查基金管理人计算的基金资产净值和基金收益；</w:t>
      </w:r>
    </w:p>
    <w:p>
      <w:pPr>
        <w:pStyle w:val="BodyText"/>
        <w:rPr>
          <w:sz w:val="22"/>
        </w:rPr>
      </w:pPr>
    </w:p>
    <w:p>
      <w:pPr>
        <w:pStyle w:val="BodyText"/>
        <w:spacing w:before="6"/>
        <w:rPr>
          <w:sz w:val="15"/>
        </w:rPr>
      </w:pPr>
    </w:p>
    <w:p>
      <w:pPr>
        <w:pStyle w:val="ListParagraph"/>
        <w:numPr>
          <w:ilvl w:val="0"/>
          <w:numId w:val="66"/>
        </w:numPr>
        <w:tabs>
          <w:tab w:pos="1067" w:val="left" w:leader="none"/>
        </w:tabs>
        <w:spacing w:line="417" w:lineRule="auto" w:before="0" w:after="0"/>
        <w:ind w:left="118" w:right="433" w:firstLine="419"/>
        <w:jc w:val="both"/>
        <w:rPr>
          <w:sz w:val="21"/>
        </w:rPr>
      </w:pPr>
      <w:r>
        <w:rPr>
          <w:spacing w:val="-3"/>
          <w:sz w:val="21"/>
        </w:rPr>
        <w:t>建立健全内部风险控制、监察与稽核、财务管理及人事管理等制度，确保基金资</w:t>
      </w:r>
      <w:r>
        <w:rPr>
          <w:spacing w:val="-10"/>
          <w:sz w:val="21"/>
        </w:rPr>
        <w:t>产的安全，保证其托管的基金资产与基金托管人自有资产以及不同的基金资产相互独立；对</w:t>
      </w:r>
      <w:r>
        <w:rPr>
          <w:spacing w:val="-12"/>
          <w:sz w:val="21"/>
        </w:rPr>
        <w:t>所托管的不同基金资产分别设置账户，独立核算，分账管理，确保基金资产的完整</w:t>
      </w:r>
      <w:r>
        <w:rPr>
          <w:rFonts w:ascii="Times New Roman" w:eastAsia="Times New Roman"/>
          <w:spacing w:val="-3"/>
          <w:sz w:val="21"/>
        </w:rPr>
        <w:t>,</w:t>
      </w:r>
      <w:r>
        <w:rPr>
          <w:spacing w:val="-2"/>
          <w:sz w:val="21"/>
        </w:rPr>
        <w:t>保证不同</w:t>
      </w:r>
      <w:r>
        <w:rPr>
          <w:spacing w:val="-3"/>
          <w:sz w:val="21"/>
        </w:rPr>
        <w:t>基金之间在账户设置、资金划拨、账册记录等方面相互独立</w:t>
      </w:r>
      <w:r>
        <w:rPr>
          <w:rFonts w:ascii="Times New Roman" w:eastAsia="Times New Roman"/>
          <w:spacing w:val="-3"/>
          <w:sz w:val="21"/>
        </w:rPr>
        <w:t>,</w:t>
      </w:r>
      <w:r>
        <w:rPr>
          <w:spacing w:val="-3"/>
          <w:sz w:val="21"/>
        </w:rPr>
        <w:t>进行证券投资；</w:t>
      </w:r>
    </w:p>
    <w:p>
      <w:pPr>
        <w:pStyle w:val="BodyText"/>
        <w:spacing w:before="11"/>
      </w:pPr>
    </w:p>
    <w:p>
      <w:pPr>
        <w:pStyle w:val="ListParagraph"/>
        <w:numPr>
          <w:ilvl w:val="0"/>
          <w:numId w:val="66"/>
        </w:numPr>
        <w:tabs>
          <w:tab w:pos="1067" w:val="left" w:leader="none"/>
        </w:tabs>
        <w:spacing w:line="240" w:lineRule="auto" w:before="0" w:after="0"/>
        <w:ind w:left="1067" w:right="0" w:hanging="529"/>
        <w:jc w:val="left"/>
        <w:rPr>
          <w:sz w:val="21"/>
        </w:rPr>
      </w:pPr>
      <w:r>
        <w:rPr>
          <w:spacing w:val="-3"/>
          <w:sz w:val="21"/>
        </w:rPr>
        <w:t>保管由基金管理人代表基金签订的与基金有关的重大合同及有关凭证；</w:t>
      </w:r>
    </w:p>
    <w:p>
      <w:pPr>
        <w:pStyle w:val="BodyText"/>
        <w:rPr>
          <w:sz w:val="22"/>
        </w:rPr>
      </w:pPr>
    </w:p>
    <w:p>
      <w:pPr>
        <w:pStyle w:val="ListParagraph"/>
        <w:numPr>
          <w:ilvl w:val="0"/>
          <w:numId w:val="66"/>
        </w:numPr>
        <w:tabs>
          <w:tab w:pos="1067" w:val="left" w:leader="none"/>
        </w:tabs>
        <w:spacing w:line="417" w:lineRule="auto" w:before="196" w:after="0"/>
        <w:ind w:left="118" w:right="434" w:firstLine="419"/>
        <w:jc w:val="left"/>
        <w:rPr>
          <w:sz w:val="21"/>
        </w:rPr>
      </w:pPr>
      <w:r>
        <w:rPr>
          <w:spacing w:val="-13"/>
          <w:sz w:val="21"/>
        </w:rPr>
        <w:t>设立证券账户、银行存款账户等基金资产账户，负责基金投资于证券的清算交割</w:t>
      </w:r>
      <w:r>
        <w:rPr>
          <w:spacing w:val="-3"/>
          <w:sz w:val="21"/>
        </w:rPr>
        <w:t>，执行基金管理人的投资指令，负责基金名下的资金往来；</w:t>
      </w:r>
    </w:p>
    <w:p>
      <w:pPr>
        <w:pStyle w:val="BodyText"/>
        <w:spacing w:before="11"/>
      </w:pPr>
    </w:p>
    <w:p>
      <w:pPr>
        <w:pStyle w:val="ListParagraph"/>
        <w:numPr>
          <w:ilvl w:val="0"/>
          <w:numId w:val="66"/>
        </w:numPr>
        <w:tabs>
          <w:tab w:pos="1067" w:val="left" w:leader="none"/>
        </w:tabs>
        <w:spacing w:line="417" w:lineRule="auto" w:before="0" w:after="0"/>
        <w:ind w:left="118" w:right="434" w:firstLine="419"/>
        <w:jc w:val="left"/>
        <w:rPr>
          <w:sz w:val="21"/>
        </w:rPr>
      </w:pPr>
      <w:r>
        <w:rPr>
          <w:spacing w:val="-24"/>
          <w:sz w:val="21"/>
        </w:rPr>
        <w:t>保守基金商业秘密，除《基金法》、《运作办法》、《基金合同》及其他有关规定另</w:t>
      </w:r>
      <w:r>
        <w:rPr>
          <w:spacing w:val="-8"/>
          <w:sz w:val="21"/>
        </w:rPr>
        <w:t>有规定外，在基金信息公开披露前予以保密，不得向他人泄露；</w:t>
      </w:r>
    </w:p>
    <w:p>
      <w:pPr>
        <w:pStyle w:val="BodyText"/>
        <w:spacing w:before="12"/>
      </w:pPr>
    </w:p>
    <w:p>
      <w:pPr>
        <w:pStyle w:val="ListParagraph"/>
        <w:numPr>
          <w:ilvl w:val="0"/>
          <w:numId w:val="66"/>
        </w:numPr>
        <w:tabs>
          <w:tab w:pos="1173" w:val="left" w:leader="none"/>
        </w:tabs>
        <w:spacing w:line="240" w:lineRule="auto" w:before="0" w:after="0"/>
        <w:ind w:left="1172" w:right="0" w:hanging="635"/>
        <w:jc w:val="left"/>
        <w:rPr>
          <w:sz w:val="21"/>
        </w:rPr>
      </w:pPr>
      <w:r>
        <w:rPr>
          <w:spacing w:val="-3"/>
          <w:sz w:val="21"/>
        </w:rPr>
        <w:t>按规定出具基金业绩和基金托管情况的报告，并报中国证监会和中国银监会；</w:t>
      </w:r>
    </w:p>
    <w:p>
      <w:pPr>
        <w:spacing w:after="0" w:line="240" w:lineRule="auto"/>
        <w:jc w:val="left"/>
        <w:rPr>
          <w:sz w:val="21"/>
        </w:rPr>
        <w:sectPr>
          <w:pgSz w:w="11910" w:h="16850"/>
          <w:pgMar w:header="852" w:footer="1386" w:top="1420" w:bottom="1580" w:left="1680" w:right="1360"/>
        </w:sectPr>
      </w:pPr>
    </w:p>
    <w:p>
      <w:pPr>
        <w:pStyle w:val="ListParagraph"/>
        <w:numPr>
          <w:ilvl w:val="0"/>
          <w:numId w:val="66"/>
        </w:numPr>
        <w:tabs>
          <w:tab w:pos="1166" w:val="left" w:leader="none"/>
        </w:tabs>
        <w:spacing w:line="417" w:lineRule="auto" w:before="142" w:after="0"/>
        <w:ind w:left="118" w:right="434" w:firstLine="419"/>
        <w:jc w:val="left"/>
        <w:rPr>
          <w:sz w:val="21"/>
        </w:rPr>
      </w:pPr>
      <w:r>
        <w:rPr>
          <w:spacing w:val="-19"/>
          <w:sz w:val="21"/>
        </w:rPr>
        <w:t>采取适当、合理的措施，使基金份额的认购、申购、赎回等事项符合《基金合同 </w:t>
      </w:r>
      <w:r>
        <w:rPr>
          <w:spacing w:val="-9"/>
          <w:sz w:val="21"/>
        </w:rPr>
        <w:t>》等有关法律文件的规定；</w:t>
      </w:r>
    </w:p>
    <w:p>
      <w:pPr>
        <w:pStyle w:val="BodyText"/>
        <w:spacing w:before="11"/>
      </w:pPr>
    </w:p>
    <w:p>
      <w:pPr>
        <w:pStyle w:val="ListParagraph"/>
        <w:numPr>
          <w:ilvl w:val="0"/>
          <w:numId w:val="66"/>
        </w:numPr>
        <w:tabs>
          <w:tab w:pos="1173" w:val="left" w:leader="none"/>
        </w:tabs>
        <w:spacing w:line="417" w:lineRule="auto" w:before="0" w:after="0"/>
        <w:ind w:left="118" w:right="434" w:firstLine="419"/>
        <w:jc w:val="left"/>
        <w:rPr>
          <w:sz w:val="21"/>
        </w:rPr>
      </w:pPr>
      <w:r>
        <w:rPr>
          <w:spacing w:val="-9"/>
          <w:sz w:val="21"/>
        </w:rPr>
        <w:t>采取适当、合理的措施，使基金管理人用以计算基金资产净值的方法符合《基 </w:t>
      </w:r>
      <w:r>
        <w:rPr>
          <w:spacing w:val="-6"/>
          <w:sz w:val="21"/>
        </w:rPr>
        <w:t>金合同》等法律文件的规定；</w:t>
      </w:r>
    </w:p>
    <w:p>
      <w:pPr>
        <w:pStyle w:val="BodyText"/>
        <w:spacing w:before="9"/>
      </w:pPr>
    </w:p>
    <w:p>
      <w:pPr>
        <w:pStyle w:val="ListParagraph"/>
        <w:numPr>
          <w:ilvl w:val="0"/>
          <w:numId w:val="66"/>
        </w:numPr>
        <w:tabs>
          <w:tab w:pos="1171" w:val="left" w:leader="none"/>
        </w:tabs>
        <w:spacing w:line="240" w:lineRule="auto" w:before="0" w:after="0"/>
        <w:ind w:left="1170" w:right="0" w:hanging="633"/>
        <w:jc w:val="left"/>
        <w:rPr>
          <w:sz w:val="21"/>
        </w:rPr>
      </w:pPr>
      <w:r>
        <w:rPr>
          <w:spacing w:val="-18"/>
          <w:sz w:val="21"/>
        </w:rPr>
        <w:t>采取适当、合理的措施，使基金投资和融资符合《基金合同》等法律文件的规定；</w:t>
      </w:r>
    </w:p>
    <w:p>
      <w:pPr>
        <w:pStyle w:val="BodyText"/>
        <w:rPr>
          <w:sz w:val="22"/>
        </w:rPr>
      </w:pPr>
    </w:p>
    <w:p>
      <w:pPr>
        <w:pStyle w:val="BodyText"/>
        <w:spacing w:before="5"/>
        <w:rPr>
          <w:sz w:val="15"/>
        </w:rPr>
      </w:pPr>
    </w:p>
    <w:p>
      <w:pPr>
        <w:pStyle w:val="ListParagraph"/>
        <w:numPr>
          <w:ilvl w:val="0"/>
          <w:numId w:val="66"/>
        </w:numPr>
        <w:tabs>
          <w:tab w:pos="1173" w:val="left" w:leader="none"/>
        </w:tabs>
        <w:spacing w:line="417" w:lineRule="auto" w:before="1" w:after="0"/>
        <w:ind w:left="118" w:right="433" w:firstLine="419"/>
        <w:jc w:val="both"/>
        <w:rPr>
          <w:sz w:val="21"/>
        </w:rPr>
      </w:pPr>
      <w:r>
        <w:rPr>
          <w:spacing w:val="-7"/>
          <w:sz w:val="21"/>
        </w:rPr>
        <w:t>依法履行信息披露义务，负责与基金托管业务活动有关的信息披露事项；对基 </w:t>
      </w:r>
      <w:r>
        <w:rPr>
          <w:spacing w:val="-11"/>
          <w:sz w:val="21"/>
        </w:rPr>
        <w:t>金财务会计报告、中期和年度基金报告等基金定期报告出具基金托管人意见，说明基金管理</w:t>
      </w:r>
      <w:r>
        <w:rPr>
          <w:spacing w:val="-12"/>
          <w:sz w:val="21"/>
        </w:rPr>
        <w:t>人在各重要方面的运作是否严格按照《基金合同》的规定进行；如果基金管理人有未执行《</w:t>
      </w:r>
      <w:r>
        <w:rPr>
          <w:spacing w:val="-7"/>
          <w:sz w:val="21"/>
        </w:rPr>
        <w:t>基金合同》规定的行为，还应当说明基金托管人是否采取了适当的措施；</w:t>
      </w:r>
    </w:p>
    <w:p>
      <w:pPr>
        <w:pStyle w:val="BodyText"/>
        <w:spacing w:before="11"/>
      </w:pPr>
    </w:p>
    <w:p>
      <w:pPr>
        <w:pStyle w:val="ListParagraph"/>
        <w:numPr>
          <w:ilvl w:val="0"/>
          <w:numId w:val="66"/>
        </w:numPr>
        <w:tabs>
          <w:tab w:pos="1173" w:val="left" w:leader="none"/>
        </w:tabs>
        <w:spacing w:line="417" w:lineRule="auto" w:before="0" w:after="0"/>
        <w:ind w:left="118" w:right="433" w:firstLine="419"/>
        <w:jc w:val="both"/>
        <w:rPr>
          <w:sz w:val="21"/>
        </w:rPr>
      </w:pPr>
      <w:r>
        <w:rPr>
          <w:spacing w:val="-4"/>
          <w:sz w:val="21"/>
        </w:rPr>
        <w:t>按有关规定，保存基金的会计账册、报表和记录、基金份额持有人名册等 </w:t>
      </w:r>
      <w:r>
        <w:rPr>
          <w:rFonts w:ascii="Times New Roman" w:eastAsia="Times New Roman"/>
          <w:sz w:val="21"/>
        </w:rPr>
        <w:t>15</w:t>
      </w:r>
      <w:r>
        <w:rPr>
          <w:rFonts w:ascii="Times New Roman" w:eastAsia="Times New Roman"/>
          <w:spacing w:val="20"/>
          <w:sz w:val="21"/>
        </w:rPr>
        <w:t> </w:t>
      </w:r>
      <w:r>
        <w:rPr>
          <w:sz w:val="21"/>
        </w:rPr>
        <w:t>年以上；</w:t>
      </w:r>
    </w:p>
    <w:p>
      <w:pPr>
        <w:pStyle w:val="BodyText"/>
        <w:spacing w:before="9"/>
      </w:pPr>
    </w:p>
    <w:p>
      <w:pPr>
        <w:pStyle w:val="ListParagraph"/>
        <w:numPr>
          <w:ilvl w:val="0"/>
          <w:numId w:val="66"/>
        </w:numPr>
        <w:tabs>
          <w:tab w:pos="1173" w:val="left" w:leader="none"/>
        </w:tabs>
        <w:spacing w:line="240" w:lineRule="auto" w:before="0" w:after="0"/>
        <w:ind w:left="1172" w:right="0" w:hanging="635"/>
        <w:jc w:val="left"/>
        <w:rPr>
          <w:sz w:val="21"/>
        </w:rPr>
      </w:pPr>
      <w:r>
        <w:rPr>
          <w:spacing w:val="-3"/>
          <w:sz w:val="21"/>
        </w:rPr>
        <w:t>按规定制作相关账册并与基金管理人核对；</w:t>
      </w:r>
    </w:p>
    <w:p>
      <w:pPr>
        <w:pStyle w:val="BodyText"/>
        <w:rPr>
          <w:sz w:val="22"/>
        </w:rPr>
      </w:pPr>
    </w:p>
    <w:p>
      <w:pPr>
        <w:pStyle w:val="BodyText"/>
        <w:spacing w:before="6"/>
        <w:rPr>
          <w:sz w:val="15"/>
        </w:rPr>
      </w:pPr>
    </w:p>
    <w:p>
      <w:pPr>
        <w:pStyle w:val="ListParagraph"/>
        <w:numPr>
          <w:ilvl w:val="0"/>
          <w:numId w:val="66"/>
        </w:numPr>
        <w:tabs>
          <w:tab w:pos="1173" w:val="left" w:leader="none"/>
        </w:tabs>
        <w:spacing w:line="240" w:lineRule="auto" w:before="0" w:after="0"/>
        <w:ind w:left="1172" w:right="0" w:hanging="635"/>
        <w:jc w:val="left"/>
        <w:rPr>
          <w:sz w:val="21"/>
        </w:rPr>
      </w:pPr>
      <w:r>
        <w:rPr>
          <w:spacing w:val="-3"/>
          <w:sz w:val="21"/>
        </w:rPr>
        <w:t>依据基金管理人的指令或有关规定支付基金份额持有人的收益和赎回款项；</w:t>
      </w:r>
    </w:p>
    <w:p>
      <w:pPr>
        <w:pStyle w:val="BodyText"/>
        <w:rPr>
          <w:sz w:val="22"/>
        </w:rPr>
      </w:pPr>
    </w:p>
    <w:p>
      <w:pPr>
        <w:pStyle w:val="BodyText"/>
        <w:spacing w:before="6"/>
        <w:rPr>
          <w:sz w:val="15"/>
        </w:rPr>
      </w:pPr>
    </w:p>
    <w:p>
      <w:pPr>
        <w:pStyle w:val="ListParagraph"/>
        <w:numPr>
          <w:ilvl w:val="0"/>
          <w:numId w:val="66"/>
        </w:numPr>
        <w:tabs>
          <w:tab w:pos="1173" w:val="left" w:leader="none"/>
        </w:tabs>
        <w:spacing w:line="240" w:lineRule="auto" w:before="0" w:after="0"/>
        <w:ind w:left="1172" w:right="0" w:hanging="635"/>
        <w:jc w:val="left"/>
        <w:rPr>
          <w:sz w:val="21"/>
        </w:rPr>
      </w:pPr>
      <w:r>
        <w:rPr>
          <w:spacing w:val="-3"/>
          <w:sz w:val="21"/>
        </w:rPr>
        <w:t>参加基金清算小组，参与基金资产的保管、清理、估价、变现和分配；</w:t>
      </w:r>
    </w:p>
    <w:p>
      <w:pPr>
        <w:pStyle w:val="BodyText"/>
        <w:rPr>
          <w:sz w:val="22"/>
        </w:rPr>
      </w:pPr>
    </w:p>
    <w:p>
      <w:pPr>
        <w:pStyle w:val="ListParagraph"/>
        <w:numPr>
          <w:ilvl w:val="0"/>
          <w:numId w:val="66"/>
        </w:numPr>
        <w:tabs>
          <w:tab w:pos="1173" w:val="left" w:leader="none"/>
        </w:tabs>
        <w:spacing w:line="417" w:lineRule="auto" w:before="196" w:after="0"/>
        <w:ind w:left="118" w:right="434" w:firstLine="419"/>
        <w:jc w:val="left"/>
        <w:rPr>
          <w:sz w:val="21"/>
        </w:rPr>
      </w:pPr>
      <w:r>
        <w:rPr>
          <w:spacing w:val="-9"/>
          <w:sz w:val="21"/>
        </w:rPr>
        <w:t>面临解散、依法被撤销、破产或者由接管人接管其资产时，及时报告中国证监 </w:t>
      </w:r>
      <w:r>
        <w:rPr>
          <w:spacing w:val="-6"/>
          <w:sz w:val="21"/>
        </w:rPr>
        <w:t>会和中国银监会，并通知基金管理人；</w:t>
      </w:r>
    </w:p>
    <w:p>
      <w:pPr>
        <w:pStyle w:val="BodyText"/>
        <w:spacing w:before="11"/>
      </w:pPr>
    </w:p>
    <w:p>
      <w:pPr>
        <w:pStyle w:val="ListParagraph"/>
        <w:numPr>
          <w:ilvl w:val="0"/>
          <w:numId w:val="66"/>
        </w:numPr>
        <w:tabs>
          <w:tab w:pos="1173" w:val="left" w:leader="none"/>
        </w:tabs>
        <w:spacing w:line="417" w:lineRule="auto" w:before="0" w:after="0"/>
        <w:ind w:left="118" w:right="434" w:firstLine="419"/>
        <w:jc w:val="left"/>
        <w:rPr>
          <w:sz w:val="21"/>
        </w:rPr>
      </w:pPr>
      <w:r>
        <w:rPr>
          <w:spacing w:val="-7"/>
          <w:sz w:val="21"/>
        </w:rPr>
        <w:t>因违反基金合同导致基金资产的损失，承担赔偿责任，其过错责任不因其退任 </w:t>
      </w:r>
      <w:r>
        <w:rPr>
          <w:sz w:val="21"/>
        </w:rPr>
        <w:t>而免除；</w:t>
      </w:r>
    </w:p>
    <w:p>
      <w:pPr>
        <w:pStyle w:val="BodyText"/>
        <w:spacing w:before="12"/>
      </w:pPr>
    </w:p>
    <w:p>
      <w:pPr>
        <w:pStyle w:val="ListParagraph"/>
        <w:numPr>
          <w:ilvl w:val="0"/>
          <w:numId w:val="66"/>
        </w:numPr>
        <w:tabs>
          <w:tab w:pos="1171" w:val="left" w:leader="none"/>
        </w:tabs>
        <w:spacing w:line="417" w:lineRule="auto" w:before="0" w:after="0"/>
        <w:ind w:left="118" w:right="433" w:firstLine="419"/>
        <w:jc w:val="left"/>
        <w:rPr>
          <w:sz w:val="21"/>
        </w:rPr>
      </w:pPr>
      <w:r>
        <w:rPr>
          <w:spacing w:val="-5"/>
          <w:sz w:val="21"/>
        </w:rPr>
        <w:t>基金管理人因违反基金合同造成基金资产损失时，基金托管人应为基金向基金 </w:t>
      </w:r>
      <w:r>
        <w:rPr>
          <w:spacing w:val="-4"/>
          <w:sz w:val="21"/>
        </w:rPr>
        <w:t>管理人追偿；</w:t>
      </w:r>
    </w:p>
    <w:p>
      <w:pPr>
        <w:pStyle w:val="BodyText"/>
        <w:spacing w:before="9"/>
      </w:pPr>
    </w:p>
    <w:p>
      <w:pPr>
        <w:pStyle w:val="BodyText"/>
        <w:spacing w:line="417" w:lineRule="auto"/>
        <w:ind w:left="118" w:right="433" w:firstLine="419"/>
      </w:pPr>
      <w:r>
        <w:rPr>
          <w:rFonts w:ascii="Times New Roman" w:eastAsia="Times New Roman"/>
        </w:rPr>
        <w:t>(22) </w:t>
      </w:r>
      <w:r>
        <w:rPr>
          <w:spacing w:val="-27"/>
        </w:rPr>
        <w:t>依据《基金法》、《运作办法》、《销售办法》、基金合同及其他有关规定召集基金份</w:t>
      </w:r>
      <w:r>
        <w:rPr>
          <w:spacing w:val="-8"/>
        </w:rPr>
        <w:t>额持有人大会或配合基金管理人、基金份额持有人依法召集基金份额持有人大会，并执行生</w:t>
      </w:r>
    </w:p>
    <w:p>
      <w:pPr>
        <w:spacing w:after="0" w:line="417" w:lineRule="auto"/>
        <w:sectPr>
          <w:pgSz w:w="11910" w:h="16850"/>
          <w:pgMar w:header="852" w:footer="1386" w:top="1420" w:bottom="1580" w:left="1680" w:right="1360"/>
        </w:sectPr>
      </w:pPr>
    </w:p>
    <w:p>
      <w:pPr>
        <w:pStyle w:val="BodyText"/>
        <w:spacing w:before="142"/>
        <w:ind w:left="118"/>
      </w:pPr>
      <w:r>
        <w:rPr/>
        <w:t>效的基金份额持有人大会决议；</w:t>
      </w:r>
    </w:p>
    <w:p>
      <w:pPr>
        <w:pStyle w:val="BodyText"/>
        <w:rPr>
          <w:sz w:val="20"/>
        </w:rPr>
      </w:pPr>
    </w:p>
    <w:p>
      <w:pPr>
        <w:pStyle w:val="BodyText"/>
        <w:spacing w:before="5"/>
        <w:rPr>
          <w:sz w:val="17"/>
        </w:rPr>
      </w:pPr>
    </w:p>
    <w:p>
      <w:pPr>
        <w:pStyle w:val="ListParagraph"/>
        <w:numPr>
          <w:ilvl w:val="0"/>
          <w:numId w:val="67"/>
        </w:numPr>
        <w:tabs>
          <w:tab w:pos="1173" w:val="left" w:leader="none"/>
        </w:tabs>
        <w:spacing w:line="240" w:lineRule="auto" w:before="0" w:after="0"/>
        <w:ind w:left="1172" w:right="0" w:hanging="635"/>
        <w:jc w:val="left"/>
        <w:rPr>
          <w:sz w:val="21"/>
        </w:rPr>
      </w:pPr>
      <w:r>
        <w:rPr>
          <w:spacing w:val="-3"/>
          <w:sz w:val="21"/>
        </w:rPr>
        <w:t>不从事任何有损基金及本基金其他当事人利益的活动；</w:t>
      </w:r>
    </w:p>
    <w:p>
      <w:pPr>
        <w:pStyle w:val="BodyText"/>
        <w:rPr>
          <w:sz w:val="22"/>
        </w:rPr>
      </w:pPr>
    </w:p>
    <w:p>
      <w:pPr>
        <w:pStyle w:val="ListParagraph"/>
        <w:numPr>
          <w:ilvl w:val="0"/>
          <w:numId w:val="67"/>
        </w:numPr>
        <w:tabs>
          <w:tab w:pos="1173" w:val="left" w:leader="none"/>
        </w:tabs>
        <w:spacing w:line="240" w:lineRule="auto" w:before="196" w:after="0"/>
        <w:ind w:left="1172" w:right="0" w:hanging="635"/>
        <w:jc w:val="left"/>
        <w:rPr>
          <w:sz w:val="21"/>
        </w:rPr>
      </w:pPr>
      <w:r>
        <w:rPr>
          <w:spacing w:val="-3"/>
          <w:sz w:val="21"/>
        </w:rPr>
        <w:t>法律法规及基金合同规定的其他义务。</w:t>
      </w:r>
    </w:p>
    <w:p>
      <w:pPr>
        <w:pStyle w:val="BodyText"/>
        <w:rPr>
          <w:sz w:val="22"/>
        </w:rPr>
      </w:pPr>
    </w:p>
    <w:p>
      <w:pPr>
        <w:pStyle w:val="BodyText"/>
        <w:spacing w:before="198"/>
        <w:ind w:left="538"/>
      </w:pPr>
      <w:r>
        <w:rPr/>
        <w:t>（二）基金份额持有人大会召集、议事及表决的程序和规则</w:t>
      </w:r>
    </w:p>
    <w:p>
      <w:pPr>
        <w:pStyle w:val="BodyText"/>
        <w:rPr>
          <w:sz w:val="20"/>
        </w:rPr>
      </w:pPr>
    </w:p>
    <w:p>
      <w:pPr>
        <w:pStyle w:val="BodyText"/>
        <w:spacing w:before="5"/>
        <w:rPr>
          <w:sz w:val="17"/>
        </w:rPr>
      </w:pPr>
    </w:p>
    <w:p>
      <w:pPr>
        <w:pStyle w:val="BodyText"/>
        <w:spacing w:line="417" w:lineRule="auto"/>
        <w:ind w:left="118" w:right="433" w:firstLine="419"/>
        <w:jc w:val="both"/>
      </w:pPr>
      <w:r>
        <w:rPr/>
        <w:t>一</w:t>
      </w:r>
      <w:r>
        <w:rPr>
          <w:spacing w:val="-46"/>
        </w:rPr>
        <w:t>）</w:t>
      </w:r>
      <w:r>
        <w:rPr>
          <w:spacing w:val="-6"/>
        </w:rPr>
        <w:t>基金份额持有人大会由基金份额持有人共同组成。基金份额持有人持有的每一份 </w:t>
      </w:r>
      <w:r>
        <w:rPr>
          <w:rFonts w:ascii="Times New Roman" w:eastAsia="Times New Roman"/>
        </w:rPr>
        <w:t>A </w:t>
      </w:r>
      <w:r>
        <w:rPr>
          <w:spacing w:val="-8"/>
        </w:rPr>
        <w:t>类基金份额和每一份 </w:t>
      </w:r>
      <w:r>
        <w:rPr>
          <w:rFonts w:ascii="Times New Roman" w:eastAsia="Times New Roman"/>
        </w:rPr>
        <w:t>B </w:t>
      </w:r>
      <w:r>
        <w:rPr>
          <w:spacing w:val="-12"/>
        </w:rPr>
        <w:t>类基金份额拥有平等的投票权，持有的每一份 </w:t>
      </w:r>
      <w:r>
        <w:rPr>
          <w:rFonts w:ascii="Times New Roman" w:eastAsia="Times New Roman"/>
        </w:rPr>
        <w:t>E </w:t>
      </w:r>
      <w:r>
        <w:rPr>
          <w:spacing w:val="-9"/>
        </w:rPr>
        <w:t>类基金份额与每 </w:t>
      </w:r>
      <w:r>
        <w:rPr>
          <w:rFonts w:ascii="Times New Roman" w:eastAsia="Times New Roman"/>
        </w:rPr>
        <w:t>100 </w:t>
      </w:r>
      <w:r>
        <w:rPr>
          <w:spacing w:val="50"/>
        </w:rPr>
        <w:t>份</w:t>
      </w:r>
      <w:r>
        <w:rPr>
          <w:rFonts w:ascii="Times New Roman" w:eastAsia="Times New Roman"/>
        </w:rPr>
        <w:t>A </w:t>
      </w:r>
      <w:r>
        <w:rPr/>
        <w:t>类</w:t>
      </w:r>
      <w:r>
        <w:rPr>
          <w:rFonts w:ascii="Times New Roman" w:eastAsia="Times New Roman"/>
        </w:rPr>
        <w:t>/</w:t>
      </w:r>
      <w:r>
        <w:rPr>
          <w:spacing w:val="-28"/>
        </w:rPr>
        <w:t>每 </w:t>
      </w:r>
      <w:r>
        <w:rPr>
          <w:rFonts w:ascii="Times New Roman" w:eastAsia="Times New Roman"/>
        </w:rPr>
        <w:t>100 </w:t>
      </w:r>
      <w:r>
        <w:rPr>
          <w:spacing w:val="50"/>
        </w:rPr>
        <w:t>份</w:t>
      </w:r>
      <w:r>
        <w:rPr>
          <w:rFonts w:ascii="Times New Roman" w:eastAsia="Times New Roman"/>
        </w:rPr>
        <w:t>B </w:t>
      </w:r>
      <w:r>
        <w:rPr>
          <w:spacing w:val="-3"/>
        </w:rPr>
        <w:t>类基金份额享有平等的投票权。</w:t>
      </w:r>
    </w:p>
    <w:p>
      <w:pPr>
        <w:pStyle w:val="BodyText"/>
        <w:spacing w:before="10"/>
      </w:pPr>
    </w:p>
    <w:p>
      <w:pPr>
        <w:pStyle w:val="BodyText"/>
        <w:spacing w:line="417" w:lineRule="auto"/>
        <w:ind w:left="118" w:right="433" w:firstLine="419"/>
        <w:jc w:val="both"/>
      </w:pPr>
      <w:r>
        <w:rPr>
          <w:spacing w:val="-9"/>
        </w:rPr>
        <w:t>为体现基金份额持有人的权益，本合同第十一章、第十二章及基金合同其他条款中涉及</w:t>
      </w:r>
      <w:r>
        <w:rPr>
          <w:spacing w:val="-11"/>
        </w:rPr>
        <w:t>基金份额持有人的提议召集权、召集权、计算到会或出具表决意见的持有人所代表的基金份</w:t>
      </w:r>
      <w:r>
        <w:rPr>
          <w:spacing w:val="-6"/>
        </w:rPr>
        <w:t>额数量、表决权等需要统计基金份额持有人所持份额及其占总份额比例时，每一份 </w:t>
      </w:r>
      <w:r>
        <w:rPr>
          <w:rFonts w:ascii="Times New Roman" w:eastAsia="Times New Roman"/>
        </w:rPr>
        <w:t>E </w:t>
      </w:r>
      <w:r>
        <w:rPr>
          <w:spacing w:val="-3"/>
        </w:rPr>
        <w:t>类份</w:t>
      </w:r>
      <w:r>
        <w:rPr>
          <w:spacing w:val="-12"/>
        </w:rPr>
        <w:t>额均与每 </w:t>
      </w:r>
      <w:r>
        <w:rPr>
          <w:rFonts w:ascii="Times New Roman" w:eastAsia="Times New Roman"/>
        </w:rPr>
        <w:t>100 </w:t>
      </w:r>
      <w:r>
        <w:rPr>
          <w:spacing w:val="50"/>
        </w:rPr>
        <w:t>份</w:t>
      </w:r>
      <w:r>
        <w:rPr>
          <w:rFonts w:ascii="Times New Roman" w:eastAsia="Times New Roman"/>
        </w:rPr>
        <w:t>A </w:t>
      </w:r>
      <w:r>
        <w:rPr/>
        <w:t>类</w:t>
      </w:r>
      <w:r>
        <w:rPr>
          <w:rFonts w:ascii="Times New Roman" w:eastAsia="Times New Roman"/>
        </w:rPr>
        <w:t>/</w:t>
      </w:r>
      <w:r>
        <w:rPr>
          <w:spacing w:val="-28"/>
        </w:rPr>
        <w:t>每 </w:t>
      </w:r>
      <w:r>
        <w:rPr>
          <w:rFonts w:ascii="Times New Roman" w:eastAsia="Times New Roman"/>
        </w:rPr>
        <w:t>100 </w:t>
      </w:r>
      <w:r>
        <w:rPr>
          <w:spacing w:val="50"/>
        </w:rPr>
        <w:t>份</w:t>
      </w:r>
      <w:r>
        <w:rPr>
          <w:rFonts w:ascii="Times New Roman" w:eastAsia="Times New Roman"/>
        </w:rPr>
        <w:t>B </w:t>
      </w:r>
      <w:r>
        <w:rPr>
          <w:spacing w:val="-3"/>
        </w:rPr>
        <w:t>类基金份额代表同等权利。</w:t>
      </w:r>
    </w:p>
    <w:p>
      <w:pPr>
        <w:pStyle w:val="BodyText"/>
        <w:spacing w:before="11"/>
      </w:pPr>
    </w:p>
    <w:p>
      <w:pPr>
        <w:pStyle w:val="BodyText"/>
        <w:ind w:left="538"/>
      </w:pPr>
      <w:r>
        <w:rPr/>
        <w:t>二）召开事由</w:t>
      </w:r>
    </w:p>
    <w:p>
      <w:pPr>
        <w:pStyle w:val="BodyText"/>
        <w:rPr>
          <w:sz w:val="20"/>
        </w:rPr>
      </w:pPr>
    </w:p>
    <w:p>
      <w:pPr>
        <w:pStyle w:val="BodyText"/>
        <w:spacing w:before="6"/>
        <w:rPr>
          <w:sz w:val="17"/>
        </w:rPr>
      </w:pPr>
    </w:p>
    <w:p>
      <w:pPr>
        <w:pStyle w:val="BodyText"/>
        <w:ind w:left="538"/>
      </w:pPr>
      <w:r>
        <w:rPr>
          <w:rFonts w:ascii="Times New Roman" w:eastAsia="Times New Roman"/>
        </w:rPr>
        <w:t>1</w:t>
      </w:r>
      <w:r>
        <w:rPr/>
        <w:t>、有以下事由情形之一的，应当召开基金份额持有人大会：</w:t>
      </w:r>
    </w:p>
    <w:p>
      <w:pPr>
        <w:pStyle w:val="BodyText"/>
        <w:rPr>
          <w:sz w:val="22"/>
        </w:rPr>
      </w:pPr>
    </w:p>
    <w:p>
      <w:pPr>
        <w:pStyle w:val="ListParagraph"/>
        <w:numPr>
          <w:ilvl w:val="0"/>
          <w:numId w:val="68"/>
        </w:numPr>
        <w:tabs>
          <w:tab w:pos="1067" w:val="left" w:leader="none"/>
        </w:tabs>
        <w:spacing w:line="240" w:lineRule="auto" w:before="195" w:after="0"/>
        <w:ind w:left="1067" w:right="0" w:hanging="529"/>
        <w:jc w:val="left"/>
        <w:rPr>
          <w:sz w:val="21"/>
        </w:rPr>
      </w:pPr>
      <w:r>
        <w:rPr>
          <w:spacing w:val="-3"/>
          <w:sz w:val="21"/>
        </w:rPr>
        <w:t>提前终止基金合同；</w:t>
      </w:r>
    </w:p>
    <w:p>
      <w:pPr>
        <w:pStyle w:val="BodyText"/>
        <w:rPr>
          <w:sz w:val="22"/>
        </w:rPr>
      </w:pPr>
    </w:p>
    <w:p>
      <w:pPr>
        <w:pStyle w:val="BodyText"/>
        <w:spacing w:before="6"/>
        <w:rPr>
          <w:sz w:val="15"/>
        </w:rPr>
      </w:pPr>
    </w:p>
    <w:p>
      <w:pPr>
        <w:pStyle w:val="ListParagraph"/>
        <w:numPr>
          <w:ilvl w:val="0"/>
          <w:numId w:val="68"/>
        </w:numPr>
        <w:tabs>
          <w:tab w:pos="1067" w:val="left" w:leader="none"/>
        </w:tabs>
        <w:spacing w:line="240" w:lineRule="auto" w:before="0" w:after="0"/>
        <w:ind w:left="1067" w:right="0" w:hanging="529"/>
        <w:jc w:val="left"/>
        <w:rPr>
          <w:sz w:val="21"/>
        </w:rPr>
      </w:pPr>
      <w:r>
        <w:rPr>
          <w:spacing w:val="-3"/>
          <w:sz w:val="21"/>
        </w:rPr>
        <w:t>转换基金运作方式；</w:t>
      </w:r>
    </w:p>
    <w:p>
      <w:pPr>
        <w:pStyle w:val="BodyText"/>
        <w:rPr>
          <w:sz w:val="22"/>
        </w:rPr>
      </w:pPr>
    </w:p>
    <w:p>
      <w:pPr>
        <w:pStyle w:val="BodyText"/>
        <w:spacing w:before="5"/>
        <w:rPr>
          <w:sz w:val="15"/>
        </w:rPr>
      </w:pPr>
    </w:p>
    <w:p>
      <w:pPr>
        <w:pStyle w:val="ListParagraph"/>
        <w:numPr>
          <w:ilvl w:val="0"/>
          <w:numId w:val="68"/>
        </w:numPr>
        <w:tabs>
          <w:tab w:pos="1067" w:val="left" w:leader="none"/>
        </w:tabs>
        <w:spacing w:line="240" w:lineRule="auto" w:before="1" w:after="0"/>
        <w:ind w:left="1067" w:right="0" w:hanging="529"/>
        <w:jc w:val="left"/>
        <w:rPr>
          <w:sz w:val="21"/>
        </w:rPr>
      </w:pPr>
      <w:r>
        <w:rPr>
          <w:spacing w:val="-3"/>
          <w:sz w:val="21"/>
        </w:rPr>
        <w:t>提高基金管理人、基金托管人的报酬标准或基金销售服务费；</w:t>
      </w:r>
    </w:p>
    <w:p>
      <w:pPr>
        <w:pStyle w:val="BodyText"/>
        <w:rPr>
          <w:sz w:val="22"/>
        </w:rPr>
      </w:pPr>
    </w:p>
    <w:p>
      <w:pPr>
        <w:pStyle w:val="ListParagraph"/>
        <w:numPr>
          <w:ilvl w:val="0"/>
          <w:numId w:val="68"/>
        </w:numPr>
        <w:tabs>
          <w:tab w:pos="1067" w:val="left" w:leader="none"/>
        </w:tabs>
        <w:spacing w:line="240" w:lineRule="auto" w:before="196" w:after="0"/>
        <w:ind w:left="1067" w:right="0" w:hanging="529"/>
        <w:jc w:val="left"/>
        <w:rPr>
          <w:sz w:val="21"/>
        </w:rPr>
      </w:pPr>
      <w:r>
        <w:rPr>
          <w:spacing w:val="-3"/>
          <w:sz w:val="21"/>
        </w:rPr>
        <w:t>更换基金托管人、基金管理人；</w:t>
      </w:r>
    </w:p>
    <w:p>
      <w:pPr>
        <w:pStyle w:val="BodyText"/>
        <w:rPr>
          <w:sz w:val="22"/>
        </w:rPr>
      </w:pPr>
    </w:p>
    <w:p>
      <w:pPr>
        <w:pStyle w:val="ListParagraph"/>
        <w:numPr>
          <w:ilvl w:val="0"/>
          <w:numId w:val="68"/>
        </w:numPr>
        <w:tabs>
          <w:tab w:pos="1067" w:val="left" w:leader="none"/>
        </w:tabs>
        <w:spacing w:line="240" w:lineRule="auto" w:before="198" w:after="0"/>
        <w:ind w:left="1067" w:right="0" w:hanging="529"/>
        <w:jc w:val="left"/>
        <w:rPr>
          <w:sz w:val="21"/>
        </w:rPr>
      </w:pPr>
      <w:r>
        <w:rPr>
          <w:spacing w:val="-3"/>
          <w:sz w:val="21"/>
        </w:rPr>
        <w:t>变更基金类别；</w:t>
      </w:r>
    </w:p>
    <w:p>
      <w:pPr>
        <w:pStyle w:val="BodyText"/>
        <w:rPr>
          <w:sz w:val="22"/>
        </w:rPr>
      </w:pPr>
    </w:p>
    <w:p>
      <w:pPr>
        <w:pStyle w:val="ListParagraph"/>
        <w:numPr>
          <w:ilvl w:val="0"/>
          <w:numId w:val="68"/>
        </w:numPr>
        <w:tabs>
          <w:tab w:pos="1067" w:val="left" w:leader="none"/>
        </w:tabs>
        <w:spacing w:line="240" w:lineRule="auto" w:before="197" w:after="0"/>
        <w:ind w:left="1067" w:right="0" w:hanging="529"/>
        <w:jc w:val="left"/>
        <w:rPr>
          <w:sz w:val="21"/>
        </w:rPr>
      </w:pPr>
      <w:r>
        <w:rPr>
          <w:spacing w:val="-3"/>
          <w:sz w:val="21"/>
        </w:rPr>
        <w:t>变更基金投资目标、范围或策略；</w:t>
      </w:r>
    </w:p>
    <w:p>
      <w:pPr>
        <w:pStyle w:val="BodyText"/>
        <w:rPr>
          <w:sz w:val="22"/>
        </w:rPr>
      </w:pPr>
    </w:p>
    <w:p>
      <w:pPr>
        <w:pStyle w:val="ListParagraph"/>
        <w:numPr>
          <w:ilvl w:val="0"/>
          <w:numId w:val="68"/>
        </w:numPr>
        <w:tabs>
          <w:tab w:pos="1067" w:val="left" w:leader="none"/>
        </w:tabs>
        <w:spacing w:line="240" w:lineRule="auto" w:before="196" w:after="0"/>
        <w:ind w:left="1067" w:right="0" w:hanging="529"/>
        <w:jc w:val="left"/>
        <w:rPr>
          <w:sz w:val="21"/>
        </w:rPr>
      </w:pPr>
      <w:r>
        <w:rPr>
          <w:spacing w:val="-3"/>
          <w:sz w:val="21"/>
        </w:rPr>
        <w:t>变更基金份额持有人大会程序；</w:t>
      </w:r>
    </w:p>
    <w:p>
      <w:pPr>
        <w:spacing w:after="0" w:line="240" w:lineRule="auto"/>
        <w:jc w:val="left"/>
        <w:rPr>
          <w:sz w:val="21"/>
        </w:rPr>
        <w:sectPr>
          <w:pgSz w:w="11910" w:h="16850"/>
          <w:pgMar w:header="852" w:footer="1386" w:top="1420" w:bottom="1580" w:left="1680" w:right="1360"/>
        </w:sectPr>
      </w:pPr>
    </w:p>
    <w:p>
      <w:pPr>
        <w:pStyle w:val="ListParagraph"/>
        <w:numPr>
          <w:ilvl w:val="0"/>
          <w:numId w:val="68"/>
        </w:numPr>
        <w:tabs>
          <w:tab w:pos="1067" w:val="left" w:leader="none"/>
        </w:tabs>
        <w:spacing w:line="240" w:lineRule="auto" w:before="142" w:after="0"/>
        <w:ind w:left="1067" w:right="0" w:hanging="529"/>
        <w:jc w:val="left"/>
        <w:rPr>
          <w:sz w:val="21"/>
        </w:rPr>
      </w:pPr>
      <w:r>
        <w:rPr>
          <w:spacing w:val="-3"/>
          <w:sz w:val="21"/>
        </w:rPr>
        <w:t>基金管理人或基金托管人要求召开基金份额持有人大会；</w:t>
      </w:r>
    </w:p>
    <w:p>
      <w:pPr>
        <w:pStyle w:val="BodyText"/>
        <w:rPr>
          <w:sz w:val="22"/>
        </w:rPr>
      </w:pPr>
    </w:p>
    <w:p>
      <w:pPr>
        <w:pStyle w:val="ListParagraph"/>
        <w:numPr>
          <w:ilvl w:val="0"/>
          <w:numId w:val="68"/>
        </w:numPr>
        <w:tabs>
          <w:tab w:pos="1067" w:val="left" w:leader="none"/>
        </w:tabs>
        <w:spacing w:line="240" w:lineRule="auto" w:before="197" w:after="0"/>
        <w:ind w:left="1067" w:right="0" w:hanging="529"/>
        <w:jc w:val="left"/>
        <w:rPr>
          <w:sz w:val="21"/>
        </w:rPr>
      </w:pPr>
      <w:r>
        <w:rPr>
          <w:spacing w:val="-3"/>
          <w:sz w:val="21"/>
        </w:rPr>
        <w:t>单独或合计持有本基金总份额 </w:t>
      </w:r>
      <w:r>
        <w:rPr>
          <w:rFonts w:ascii="Times New Roman" w:eastAsia="Times New Roman"/>
          <w:sz w:val="21"/>
        </w:rPr>
        <w:t>10</w:t>
      </w:r>
      <w:r>
        <w:rPr>
          <w:spacing w:val="-1"/>
          <w:sz w:val="21"/>
        </w:rPr>
        <w:t>％以上</w:t>
      </w:r>
      <w:r>
        <w:rPr>
          <w:sz w:val="21"/>
        </w:rPr>
        <w:t>（</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7"/>
        <w:rPr>
          <w:sz w:val="15"/>
        </w:rPr>
      </w:pPr>
    </w:p>
    <w:p>
      <w:pPr>
        <w:pStyle w:val="BodyText"/>
        <w:spacing w:line="417" w:lineRule="auto"/>
        <w:ind w:left="118" w:right="433"/>
      </w:pPr>
      <w:r>
        <w:rPr/>
        <w:t>（</w:t>
      </w:r>
      <w:r>
        <w:rPr>
          <w:spacing w:val="-6"/>
        </w:rPr>
        <w:t>以基金管理人收到提议当日的基金份额计算，下同</w:t>
      </w:r>
      <w:r>
        <w:rPr>
          <w:spacing w:val="-48"/>
        </w:rPr>
        <w:t>）</w:t>
      </w:r>
      <w:r>
        <w:rPr>
          <w:spacing w:val="-3"/>
        </w:rPr>
        <w:t>就涉及本基金的同一事项书面要求召开基金份额持有人大会；</w:t>
      </w:r>
    </w:p>
    <w:p>
      <w:pPr>
        <w:pStyle w:val="BodyText"/>
        <w:spacing w:before="9"/>
      </w:pPr>
    </w:p>
    <w:p>
      <w:pPr>
        <w:pStyle w:val="ListParagraph"/>
        <w:numPr>
          <w:ilvl w:val="0"/>
          <w:numId w:val="68"/>
        </w:numPr>
        <w:tabs>
          <w:tab w:pos="1173" w:val="left" w:leader="none"/>
        </w:tabs>
        <w:spacing w:line="240" w:lineRule="auto" w:before="0" w:after="0"/>
        <w:ind w:left="1172" w:right="0" w:hanging="635"/>
        <w:jc w:val="left"/>
        <w:rPr>
          <w:sz w:val="21"/>
        </w:rPr>
      </w:pPr>
      <w:r>
        <w:rPr>
          <w:spacing w:val="-3"/>
          <w:sz w:val="21"/>
        </w:rPr>
        <w:t>法律法规和本基金合同规定的其他情形。</w:t>
      </w:r>
    </w:p>
    <w:p>
      <w:pPr>
        <w:pStyle w:val="BodyText"/>
        <w:rPr>
          <w:sz w:val="22"/>
        </w:rPr>
      </w:pPr>
    </w:p>
    <w:p>
      <w:pPr>
        <w:pStyle w:val="BodyText"/>
        <w:spacing w:before="6"/>
        <w:rPr>
          <w:sz w:val="15"/>
        </w:rPr>
      </w:pPr>
    </w:p>
    <w:p>
      <w:pPr>
        <w:pStyle w:val="BodyText"/>
        <w:ind w:left="538"/>
      </w:pPr>
      <w:r>
        <w:rPr>
          <w:rFonts w:ascii="Times New Roman" w:eastAsia="Times New Roman"/>
        </w:rPr>
        <w:t>2</w:t>
      </w:r>
      <w:r>
        <w:rPr/>
        <w:t>、需要决定下列事项之一时，不需召开基金份额持有人大会：</w:t>
      </w:r>
    </w:p>
    <w:p>
      <w:pPr>
        <w:pStyle w:val="BodyText"/>
        <w:rPr>
          <w:sz w:val="22"/>
        </w:rPr>
      </w:pPr>
    </w:p>
    <w:p>
      <w:pPr>
        <w:pStyle w:val="BodyText"/>
        <w:spacing w:before="6"/>
        <w:rPr>
          <w:sz w:val="15"/>
        </w:rPr>
      </w:pPr>
    </w:p>
    <w:p>
      <w:pPr>
        <w:pStyle w:val="ListParagraph"/>
        <w:numPr>
          <w:ilvl w:val="0"/>
          <w:numId w:val="69"/>
        </w:numPr>
        <w:tabs>
          <w:tab w:pos="1274" w:val="left" w:leader="none"/>
          <w:tab w:pos="1275" w:val="left" w:leader="none"/>
        </w:tabs>
        <w:spacing w:line="240" w:lineRule="auto" w:before="0" w:after="0"/>
        <w:ind w:left="1274" w:right="0" w:hanging="737"/>
        <w:jc w:val="left"/>
        <w:rPr>
          <w:sz w:val="21"/>
        </w:rPr>
      </w:pPr>
      <w:r>
        <w:rPr>
          <w:spacing w:val="-3"/>
          <w:sz w:val="21"/>
        </w:rPr>
        <w:t>调低基金管理费、基金托管费、基金销售服务费；</w:t>
      </w:r>
    </w:p>
    <w:p>
      <w:pPr>
        <w:pStyle w:val="BodyText"/>
        <w:rPr>
          <w:sz w:val="22"/>
        </w:rPr>
      </w:pPr>
    </w:p>
    <w:p>
      <w:pPr>
        <w:pStyle w:val="ListParagraph"/>
        <w:numPr>
          <w:ilvl w:val="0"/>
          <w:numId w:val="69"/>
        </w:numPr>
        <w:tabs>
          <w:tab w:pos="1274" w:val="left" w:leader="none"/>
          <w:tab w:pos="1275" w:val="left" w:leader="none"/>
        </w:tabs>
        <w:spacing w:line="240" w:lineRule="auto" w:before="196" w:after="0"/>
        <w:ind w:left="1274" w:right="0" w:hanging="737"/>
        <w:jc w:val="left"/>
        <w:rPr>
          <w:sz w:val="21"/>
        </w:rPr>
      </w:pPr>
      <w:r>
        <w:rPr>
          <w:spacing w:val="-3"/>
          <w:sz w:val="21"/>
        </w:rPr>
        <w:t>在本基金合同规定的范围内变更本基金的申购费率、赎回费率或收费方式；</w:t>
      </w:r>
    </w:p>
    <w:p>
      <w:pPr>
        <w:pStyle w:val="BodyText"/>
        <w:rPr>
          <w:sz w:val="22"/>
        </w:rPr>
      </w:pPr>
    </w:p>
    <w:p>
      <w:pPr>
        <w:pStyle w:val="ListParagraph"/>
        <w:numPr>
          <w:ilvl w:val="0"/>
          <w:numId w:val="69"/>
        </w:numPr>
        <w:tabs>
          <w:tab w:pos="1274" w:val="left" w:leader="none"/>
          <w:tab w:pos="1275" w:val="left" w:leader="none"/>
        </w:tabs>
        <w:spacing w:line="240" w:lineRule="auto" w:before="197" w:after="0"/>
        <w:ind w:left="1274" w:right="0" w:hanging="737"/>
        <w:jc w:val="left"/>
        <w:rPr>
          <w:sz w:val="21"/>
        </w:rPr>
      </w:pPr>
      <w:r>
        <w:rPr>
          <w:spacing w:val="-3"/>
          <w:sz w:val="21"/>
        </w:rPr>
        <w:t>因相应的法律、法规发生变动必须对基金合同进行修改；</w:t>
      </w:r>
    </w:p>
    <w:p>
      <w:pPr>
        <w:pStyle w:val="BodyText"/>
        <w:rPr>
          <w:sz w:val="22"/>
        </w:rPr>
      </w:pPr>
    </w:p>
    <w:p>
      <w:pPr>
        <w:pStyle w:val="BodyText"/>
        <w:spacing w:before="6"/>
        <w:rPr>
          <w:sz w:val="15"/>
        </w:rPr>
      </w:pPr>
    </w:p>
    <w:p>
      <w:pPr>
        <w:pStyle w:val="ListParagraph"/>
        <w:numPr>
          <w:ilvl w:val="0"/>
          <w:numId w:val="69"/>
        </w:numPr>
        <w:tabs>
          <w:tab w:pos="1274" w:val="left" w:leader="none"/>
          <w:tab w:pos="1275" w:val="left" w:leader="none"/>
        </w:tabs>
        <w:spacing w:line="240" w:lineRule="auto" w:before="0" w:after="0"/>
        <w:ind w:left="1274" w:right="0" w:hanging="737"/>
        <w:jc w:val="left"/>
        <w:rPr>
          <w:sz w:val="21"/>
        </w:rPr>
      </w:pPr>
      <w:r>
        <w:rPr>
          <w:spacing w:val="-3"/>
          <w:sz w:val="21"/>
        </w:rPr>
        <w:t>基金合同的修改对基金份额持有人利益无实质性不利影响；</w:t>
      </w:r>
    </w:p>
    <w:p>
      <w:pPr>
        <w:pStyle w:val="BodyText"/>
        <w:rPr>
          <w:sz w:val="22"/>
        </w:rPr>
      </w:pPr>
    </w:p>
    <w:p>
      <w:pPr>
        <w:pStyle w:val="ListParagraph"/>
        <w:numPr>
          <w:ilvl w:val="0"/>
          <w:numId w:val="69"/>
        </w:numPr>
        <w:tabs>
          <w:tab w:pos="1067" w:val="left" w:leader="none"/>
        </w:tabs>
        <w:spacing w:line="417" w:lineRule="auto" w:before="196" w:after="0"/>
        <w:ind w:left="118" w:right="436" w:firstLine="419"/>
        <w:jc w:val="left"/>
        <w:rPr>
          <w:sz w:val="21"/>
        </w:rPr>
      </w:pPr>
      <w:r>
        <w:rPr>
          <w:spacing w:val="-3"/>
          <w:sz w:val="21"/>
        </w:rPr>
        <w:t>因相应上海证券交易所或者注册登记机构的相关业务规则发生变动，需要对基金合同进行修改；</w:t>
      </w:r>
    </w:p>
    <w:p>
      <w:pPr>
        <w:pStyle w:val="BodyText"/>
        <w:spacing w:before="11"/>
      </w:pPr>
    </w:p>
    <w:p>
      <w:pPr>
        <w:pStyle w:val="ListParagraph"/>
        <w:numPr>
          <w:ilvl w:val="0"/>
          <w:numId w:val="69"/>
        </w:numPr>
        <w:tabs>
          <w:tab w:pos="1067" w:val="left" w:leader="none"/>
        </w:tabs>
        <w:spacing w:line="417" w:lineRule="auto" w:before="0" w:after="0"/>
        <w:ind w:left="118" w:right="328" w:firstLine="419"/>
        <w:jc w:val="left"/>
        <w:rPr>
          <w:sz w:val="21"/>
        </w:rPr>
      </w:pPr>
      <w:r>
        <w:rPr>
          <w:spacing w:val="-3"/>
          <w:sz w:val="21"/>
        </w:rPr>
        <w:t>当影子定价确定的基金资产净值与摊余成本法计算的基金资产净值的负偏离度绝</w:t>
      </w:r>
      <w:r>
        <w:rPr>
          <w:spacing w:val="-5"/>
          <w:sz w:val="21"/>
        </w:rPr>
        <w:t>对值连续两个交易日超过 </w:t>
      </w:r>
      <w:r>
        <w:rPr>
          <w:rFonts w:ascii="Times New Roman" w:eastAsia="Times New Roman"/>
          <w:spacing w:val="-13"/>
          <w:sz w:val="21"/>
        </w:rPr>
        <w:t>0.5%</w:t>
      </w:r>
      <w:r>
        <w:rPr>
          <w:spacing w:val="-5"/>
          <w:sz w:val="21"/>
        </w:rPr>
        <w:t>，且基金管理人决定暂停接受所有赎回申请并终止基金合同， </w:t>
      </w:r>
      <w:r>
        <w:rPr>
          <w:spacing w:val="-4"/>
          <w:sz w:val="21"/>
        </w:rPr>
        <w:t>则基金合同将根据第二十三部分的约定进行基金财产清算并终止。</w:t>
      </w:r>
    </w:p>
    <w:p>
      <w:pPr>
        <w:pStyle w:val="BodyText"/>
        <w:spacing w:before="11"/>
      </w:pPr>
    </w:p>
    <w:p>
      <w:pPr>
        <w:pStyle w:val="ListParagraph"/>
        <w:numPr>
          <w:ilvl w:val="0"/>
          <w:numId w:val="69"/>
        </w:numPr>
        <w:tabs>
          <w:tab w:pos="1067" w:val="left" w:leader="none"/>
        </w:tabs>
        <w:spacing w:line="667" w:lineRule="auto" w:before="1" w:after="0"/>
        <w:ind w:left="538" w:right="865" w:firstLine="0"/>
        <w:jc w:val="left"/>
        <w:rPr>
          <w:sz w:val="21"/>
        </w:rPr>
      </w:pPr>
      <w:r>
        <w:rPr>
          <w:spacing w:val="-3"/>
          <w:sz w:val="21"/>
        </w:rPr>
        <w:t>按照法律法规或本基金合同规定不需召开基金份额持有人大会的其它情形。三）</w:t>
      </w:r>
      <w:r>
        <w:rPr>
          <w:spacing w:val="-2"/>
          <w:sz w:val="21"/>
        </w:rPr>
        <w:t>召集</w:t>
      </w:r>
    </w:p>
    <w:p>
      <w:pPr>
        <w:pStyle w:val="BodyText"/>
        <w:spacing w:line="417" w:lineRule="auto"/>
        <w:ind w:left="118" w:right="436" w:firstLine="419"/>
      </w:pPr>
      <w:r>
        <w:rPr>
          <w:rFonts w:ascii="Times New Roman" w:eastAsia="Times New Roman"/>
        </w:rPr>
        <w:t>1</w:t>
      </w:r>
      <w:r>
        <w:rPr/>
        <w:t>、 在正常情况下， 基金份额持有人大会由基金管理人召集，开会时间及地点由基金管理人选择确定。</w:t>
      </w:r>
    </w:p>
    <w:p>
      <w:pPr>
        <w:pStyle w:val="BodyText"/>
        <w:spacing w:before="11"/>
      </w:pPr>
    </w:p>
    <w:p>
      <w:pPr>
        <w:pStyle w:val="BodyText"/>
        <w:spacing w:line="417" w:lineRule="auto"/>
        <w:ind w:left="118" w:right="328" w:firstLine="419"/>
      </w:pPr>
      <w:r>
        <w:rPr>
          <w:rFonts w:ascii="Times New Roman" w:eastAsia="Times New Roman"/>
        </w:rPr>
        <w:t>2</w:t>
      </w:r>
      <w:r>
        <w:rPr>
          <w:spacing w:val="-7"/>
        </w:rPr>
        <w:t>、 基金托管人认为有必要召开基金份额持有人大会的，应当向基金管理人提出书面提</w:t>
      </w:r>
      <w:r>
        <w:rPr>
          <w:spacing w:val="-5"/>
        </w:rPr>
        <w:t>议。基金管理人应当自收到书面提议之日起十日内决定是否召集，并书面告知基金托管人。</w:t>
      </w:r>
    </w:p>
    <w:p>
      <w:pPr>
        <w:spacing w:after="0" w:line="417" w:lineRule="auto"/>
        <w:sectPr>
          <w:pgSz w:w="11910" w:h="16850"/>
          <w:pgMar w:header="852" w:footer="1386" w:top="1420" w:bottom="1580" w:left="1680" w:right="1360"/>
        </w:sectPr>
      </w:pPr>
    </w:p>
    <w:p>
      <w:pPr>
        <w:pStyle w:val="BodyText"/>
        <w:spacing w:line="417" w:lineRule="auto" w:before="142"/>
        <w:ind w:left="118" w:right="328"/>
      </w:pPr>
      <w:r>
        <w:rPr>
          <w:spacing w:val="-15"/>
        </w:rPr>
        <w:t>基金管理人决定召集的，应当自出具书面决定之日起六十日内召开；基金管理人决定不召集， </w:t>
      </w:r>
      <w:r>
        <w:rPr>
          <w:spacing w:val="-7"/>
        </w:rPr>
        <w:t>基金托管人仍认为有必要召开的，应当自行召集。</w:t>
      </w:r>
    </w:p>
    <w:p>
      <w:pPr>
        <w:pStyle w:val="BodyText"/>
        <w:spacing w:before="11"/>
      </w:pPr>
    </w:p>
    <w:p>
      <w:pPr>
        <w:pStyle w:val="BodyText"/>
        <w:spacing w:line="417" w:lineRule="auto"/>
        <w:ind w:left="118" w:right="433" w:firstLine="419"/>
        <w:jc w:val="both"/>
      </w:pPr>
      <w:r>
        <w:rPr>
          <w:rFonts w:ascii="Times New Roman" w:eastAsia="Times New Roman"/>
        </w:rPr>
        <w:t>3</w:t>
      </w:r>
      <w:r>
        <w:rPr>
          <w:spacing w:val="-6"/>
        </w:rPr>
        <w:t>、 代表基金份额 </w:t>
      </w:r>
      <w:r>
        <w:rPr>
          <w:rFonts w:ascii="Times New Roman" w:eastAsia="Times New Roman"/>
        </w:rPr>
        <w:t>10</w:t>
      </w:r>
      <w:r>
        <w:rPr/>
        <w:t>％（</w:t>
      </w:r>
      <w:r>
        <w:rPr>
          <w:spacing w:val="-20"/>
        </w:rPr>
        <w:t>含 </w:t>
      </w:r>
      <w:r>
        <w:rPr>
          <w:rFonts w:ascii="Times New Roman" w:eastAsia="Times New Roman"/>
        </w:rPr>
        <w:t>10</w:t>
      </w:r>
      <w:r>
        <w:rPr/>
        <w:t>％）</w:t>
      </w:r>
      <w:r>
        <w:rPr>
          <w:spacing w:val="-3"/>
        </w:rPr>
        <w:t>以上的基金份额持有人认为有必要召开基金份额持</w:t>
      </w:r>
      <w:r>
        <w:rPr>
          <w:spacing w:val="-11"/>
        </w:rPr>
        <w:t>有人大会的，应当向基金管理人提出书面提议。基金管理人应当自收到书面提议之日起十日</w:t>
      </w:r>
      <w:r>
        <w:rPr>
          <w:spacing w:val="-6"/>
        </w:rPr>
        <w:t>内决定是否召集，并书面告知提出提议的基金份额持有人代表和基金托管人。</w:t>
      </w:r>
    </w:p>
    <w:p>
      <w:pPr>
        <w:pStyle w:val="BodyText"/>
        <w:spacing w:before="9"/>
      </w:pPr>
    </w:p>
    <w:p>
      <w:pPr>
        <w:pStyle w:val="BodyText"/>
        <w:spacing w:line="417" w:lineRule="auto"/>
        <w:ind w:left="118" w:right="433" w:firstLine="419"/>
        <w:jc w:val="both"/>
      </w:pPr>
      <w:r>
        <w:rPr>
          <w:spacing w:val="-10"/>
        </w:rPr>
        <w:t>基金管理人决定召集的，应当自出具书面决定之日起六十日内召开；基金管理人决定不</w:t>
      </w:r>
      <w:r>
        <w:rPr>
          <w:spacing w:val="-8"/>
        </w:rPr>
        <w:t>召集，代表基金份额 </w:t>
      </w:r>
      <w:r>
        <w:rPr>
          <w:rFonts w:ascii="Times New Roman" w:eastAsia="Times New Roman"/>
        </w:rPr>
        <w:t>10</w:t>
      </w:r>
      <w:r>
        <w:rPr/>
        <w:t>％（</w:t>
      </w:r>
      <w:r>
        <w:rPr>
          <w:spacing w:val="-17"/>
        </w:rPr>
        <w:t>含 </w:t>
      </w:r>
      <w:r>
        <w:rPr>
          <w:rFonts w:ascii="Times New Roman" w:eastAsia="Times New Roman"/>
        </w:rPr>
        <w:t>10</w:t>
      </w:r>
      <w:r>
        <w:rPr/>
        <w:t>％）</w:t>
      </w:r>
      <w:r>
        <w:rPr>
          <w:spacing w:val="-3"/>
        </w:rPr>
        <w:t>以上的基金份额持有人仍认为有必要召开的，应当向基金托管人提出书面提议。</w:t>
      </w:r>
    </w:p>
    <w:p>
      <w:pPr>
        <w:pStyle w:val="BodyText"/>
        <w:spacing w:before="11"/>
      </w:pPr>
    </w:p>
    <w:p>
      <w:pPr>
        <w:pStyle w:val="BodyText"/>
        <w:spacing w:line="417" w:lineRule="auto" w:before="1"/>
        <w:ind w:left="118" w:right="433" w:firstLine="419"/>
        <w:jc w:val="both"/>
      </w:pPr>
      <w:r>
        <w:rPr>
          <w:spacing w:val="-7"/>
        </w:rPr>
        <w:t>基金托管人应当自收到书面提议之日起十日内决定是否召集，并书面告知提出提议的基</w:t>
      </w:r>
      <w:r>
        <w:rPr>
          <w:spacing w:val="-10"/>
        </w:rPr>
        <w:t>金份额持有人代表和基金管理人；基金托管人决定召集的，应当自出具书面决定之日起六十</w:t>
      </w:r>
      <w:r>
        <w:rPr>
          <w:spacing w:val="-5"/>
        </w:rPr>
        <w:t>日内召开。</w:t>
      </w:r>
    </w:p>
    <w:p>
      <w:pPr>
        <w:pStyle w:val="BodyText"/>
        <w:spacing w:before="11"/>
      </w:pPr>
    </w:p>
    <w:p>
      <w:pPr>
        <w:pStyle w:val="BodyText"/>
        <w:spacing w:line="417" w:lineRule="auto"/>
        <w:ind w:left="118" w:right="433" w:firstLine="419"/>
        <w:jc w:val="both"/>
      </w:pPr>
      <w:r>
        <w:rPr>
          <w:spacing w:val="-6"/>
        </w:rPr>
        <w:t>代表基金总份额 </w:t>
      </w:r>
      <w:r>
        <w:rPr>
          <w:rFonts w:ascii="Times New Roman" w:eastAsia="Times New Roman"/>
        </w:rPr>
        <w:t>10</w:t>
      </w:r>
      <w:r>
        <w:rPr>
          <w:spacing w:val="-1"/>
        </w:rPr>
        <w:t>％以上</w:t>
      </w:r>
      <w:r>
        <w:rPr/>
        <w:t>（</w:t>
      </w:r>
      <w:r>
        <w:rPr>
          <w:spacing w:val="-18"/>
        </w:rPr>
        <w:t>含 </w:t>
      </w:r>
      <w:r>
        <w:rPr>
          <w:rFonts w:ascii="Times New Roman" w:eastAsia="Times New Roman"/>
        </w:rPr>
        <w:t>10</w:t>
      </w:r>
      <w:r>
        <w:rPr/>
        <w:t>％）</w:t>
      </w:r>
      <w:r>
        <w:rPr>
          <w:spacing w:val="-3"/>
        </w:rPr>
        <w:t>的基金份额持有人就同一事项要求召开基金份额</w:t>
      </w:r>
      <w:r>
        <w:rPr>
          <w:spacing w:val="-10"/>
        </w:rPr>
        <w:t>持有人大会，而基金管理人、基金托管人都不召集或均无法行使召集权的，代表基金总份额</w:t>
      </w:r>
      <w:r>
        <w:rPr>
          <w:rFonts w:ascii="Times New Roman" w:eastAsia="Times New Roman"/>
          <w:spacing w:val="-10"/>
        </w:rPr>
        <w:t>10</w:t>
      </w:r>
      <w:r>
        <w:rPr>
          <w:spacing w:val="-8"/>
        </w:rPr>
        <w:t>％以上</w:t>
      </w:r>
      <w:r>
        <w:rPr>
          <w:spacing w:val="-3"/>
        </w:rPr>
        <w:t>（</w:t>
      </w:r>
      <w:r>
        <w:rPr>
          <w:spacing w:val="18"/>
        </w:rPr>
        <w:t>含 </w:t>
      </w:r>
      <w:r>
        <w:rPr>
          <w:rFonts w:ascii="Times New Roman" w:eastAsia="Times New Roman"/>
        </w:rPr>
        <w:t>10</w:t>
      </w:r>
      <w:r>
        <w:rPr/>
        <w:t>％）</w:t>
      </w:r>
      <w:r>
        <w:rPr>
          <w:spacing w:val="-3"/>
        </w:rPr>
        <w:t>的基金份额持有人有权自行召集。基金份额持有人自行召集基金份额</w:t>
      </w:r>
      <w:r>
        <w:rPr>
          <w:spacing w:val="-11"/>
        </w:rPr>
        <w:t>持有人大会的，应当至少提前三十日向中国证监会备案。基金份额持有人依法自行召集基金</w:t>
      </w:r>
      <w:r>
        <w:rPr>
          <w:spacing w:val="-6"/>
        </w:rPr>
        <w:t>份额持有人大会的，基金管理人、基金托管人应当配合，不得阻碍、干扰。</w:t>
      </w:r>
    </w:p>
    <w:p>
      <w:pPr>
        <w:pStyle w:val="BodyText"/>
        <w:spacing w:before="9"/>
      </w:pPr>
    </w:p>
    <w:p>
      <w:pPr>
        <w:pStyle w:val="BodyText"/>
        <w:ind w:left="538"/>
      </w:pPr>
      <w:r>
        <w:rPr/>
        <w:t>四）通知</w:t>
      </w:r>
    </w:p>
    <w:p>
      <w:pPr>
        <w:pStyle w:val="BodyText"/>
        <w:rPr>
          <w:sz w:val="20"/>
        </w:rPr>
      </w:pPr>
    </w:p>
    <w:p>
      <w:pPr>
        <w:pStyle w:val="BodyText"/>
        <w:spacing w:before="5"/>
        <w:rPr>
          <w:sz w:val="17"/>
        </w:rPr>
      </w:pPr>
    </w:p>
    <w:p>
      <w:pPr>
        <w:pStyle w:val="BodyText"/>
        <w:spacing w:line="667" w:lineRule="auto"/>
        <w:ind w:left="538" w:right="549"/>
      </w:pPr>
      <w:r>
        <w:rPr/>
        <w:t>召开基金份额持有人大会，召集人应当至少提前三十日通过指定媒介公告会议通知。基金份额持有人大会通知将至少载明以下内容：</w:t>
      </w:r>
    </w:p>
    <w:p>
      <w:pPr>
        <w:pStyle w:val="BodyText"/>
        <w:ind w:left="538"/>
      </w:pPr>
      <w:r>
        <w:rPr>
          <w:rFonts w:ascii="Times New Roman" w:eastAsia="Times New Roman"/>
        </w:rPr>
        <w:t>1</w:t>
      </w:r>
      <w:r>
        <w:rPr/>
        <w:t>、 会议召开的时间、地点、方式；</w:t>
      </w:r>
    </w:p>
    <w:p>
      <w:pPr>
        <w:pStyle w:val="BodyText"/>
        <w:rPr>
          <w:sz w:val="22"/>
        </w:rPr>
      </w:pPr>
    </w:p>
    <w:p>
      <w:pPr>
        <w:pStyle w:val="BodyText"/>
        <w:spacing w:before="6"/>
        <w:rPr>
          <w:sz w:val="15"/>
        </w:rPr>
      </w:pPr>
    </w:p>
    <w:p>
      <w:pPr>
        <w:pStyle w:val="BodyText"/>
        <w:ind w:left="538"/>
      </w:pPr>
      <w:r>
        <w:rPr>
          <w:rFonts w:ascii="Times New Roman" w:eastAsia="Times New Roman"/>
        </w:rPr>
        <w:t>2</w:t>
      </w:r>
      <w:r>
        <w:rPr/>
        <w:t>、 会议拟审议的主要事项、议事程序、表决方式；</w:t>
      </w:r>
    </w:p>
    <w:p>
      <w:pPr>
        <w:pStyle w:val="BodyText"/>
        <w:rPr>
          <w:sz w:val="22"/>
        </w:rPr>
      </w:pPr>
    </w:p>
    <w:p>
      <w:pPr>
        <w:pStyle w:val="BodyText"/>
        <w:spacing w:before="5"/>
        <w:rPr>
          <w:sz w:val="15"/>
        </w:rPr>
      </w:pPr>
    </w:p>
    <w:p>
      <w:pPr>
        <w:pStyle w:val="BodyText"/>
        <w:spacing w:before="1"/>
        <w:ind w:left="538"/>
      </w:pPr>
      <w:r>
        <w:rPr>
          <w:rFonts w:ascii="Times New Roman" w:eastAsia="Times New Roman"/>
        </w:rPr>
        <w:t>3</w:t>
      </w:r>
      <w:r>
        <w:rPr/>
        <w:t>、 权益登记日；</w:t>
      </w:r>
    </w:p>
    <w:p>
      <w:pPr>
        <w:spacing w:after="0"/>
        <w:sectPr>
          <w:pgSz w:w="11910" w:h="16850"/>
          <w:pgMar w:header="852" w:footer="1386" w:top="1420" w:bottom="1580" w:left="1680" w:right="1360"/>
        </w:sectPr>
      </w:pPr>
    </w:p>
    <w:p>
      <w:pPr>
        <w:pStyle w:val="BodyText"/>
        <w:spacing w:before="142"/>
        <w:ind w:left="538"/>
      </w:pPr>
      <w:r>
        <w:rPr>
          <w:rFonts w:ascii="Times New Roman" w:eastAsia="Times New Roman"/>
        </w:rPr>
        <w:t>4</w:t>
      </w:r>
      <w:r>
        <w:rPr>
          <w:spacing w:val="-3"/>
        </w:rPr>
        <w:t>、 投票委托书送达时间和地点；</w:t>
      </w:r>
    </w:p>
    <w:p>
      <w:pPr>
        <w:pStyle w:val="BodyText"/>
        <w:rPr>
          <w:sz w:val="22"/>
        </w:rPr>
      </w:pPr>
    </w:p>
    <w:p>
      <w:pPr>
        <w:pStyle w:val="BodyText"/>
        <w:spacing w:before="197"/>
        <w:ind w:left="538"/>
      </w:pPr>
      <w:r>
        <w:rPr>
          <w:rFonts w:ascii="Times New Roman" w:eastAsia="Times New Roman"/>
        </w:rPr>
        <w:t>5</w:t>
      </w:r>
      <w:r>
        <w:rPr>
          <w:spacing w:val="-3"/>
        </w:rPr>
        <w:t>、 会务常设联系人姓名、电话；</w:t>
      </w:r>
    </w:p>
    <w:p>
      <w:pPr>
        <w:pStyle w:val="BodyText"/>
        <w:rPr>
          <w:sz w:val="22"/>
        </w:rPr>
      </w:pPr>
    </w:p>
    <w:p>
      <w:pPr>
        <w:pStyle w:val="BodyText"/>
        <w:spacing w:before="196"/>
        <w:ind w:left="538"/>
      </w:pPr>
      <w:r>
        <w:rPr>
          <w:rFonts w:ascii="Times New Roman" w:eastAsia="Times New Roman"/>
        </w:rPr>
        <w:t>6</w:t>
      </w:r>
      <w:r>
        <w:rPr/>
        <w:t>、 其他注意事项。</w:t>
      </w:r>
    </w:p>
    <w:p>
      <w:pPr>
        <w:pStyle w:val="BodyText"/>
        <w:rPr>
          <w:sz w:val="22"/>
        </w:rPr>
      </w:pPr>
    </w:p>
    <w:p>
      <w:pPr>
        <w:pStyle w:val="BodyText"/>
        <w:spacing w:before="5"/>
        <w:rPr>
          <w:sz w:val="15"/>
        </w:rPr>
      </w:pPr>
    </w:p>
    <w:p>
      <w:pPr>
        <w:pStyle w:val="BodyText"/>
        <w:spacing w:line="417" w:lineRule="auto" w:before="1"/>
        <w:ind w:left="118" w:right="433" w:firstLine="419"/>
        <w:jc w:val="both"/>
      </w:pPr>
      <w:r>
        <w:rPr>
          <w:spacing w:val="-8"/>
        </w:rPr>
        <w:t>如采用通讯方式开会并进行表决的情况下，会议通知应报中国证监会备案，且除上述内</w:t>
      </w:r>
      <w:r>
        <w:rPr>
          <w:spacing w:val="-10"/>
        </w:rPr>
        <w:t>容外还要在会议通知中说明具体通讯方式、委托的公证机关及其联系方式和联系人、书面表</w:t>
      </w:r>
      <w:r>
        <w:rPr>
          <w:spacing w:val="-5"/>
        </w:rPr>
        <w:t>决意见的寄交和收取的方式等。</w:t>
      </w:r>
    </w:p>
    <w:p>
      <w:pPr>
        <w:pStyle w:val="BodyText"/>
        <w:spacing w:before="11"/>
      </w:pPr>
    </w:p>
    <w:p>
      <w:pPr>
        <w:pStyle w:val="BodyText"/>
        <w:tabs>
          <w:tab w:pos="1377" w:val="left" w:leader="none"/>
        </w:tabs>
        <w:ind w:left="538"/>
      </w:pPr>
      <w:r>
        <w:rPr/>
        <w:t>五）</w:t>
        <w:tab/>
        <w:t>召开</w:t>
      </w:r>
      <w:r>
        <w:rPr>
          <w:spacing w:val="-3"/>
        </w:rPr>
        <w:t>方</w:t>
      </w:r>
      <w:r>
        <w:rPr/>
        <w:t>式</w:t>
      </w:r>
    </w:p>
    <w:p>
      <w:pPr>
        <w:pStyle w:val="BodyText"/>
        <w:rPr>
          <w:sz w:val="20"/>
        </w:rPr>
      </w:pPr>
    </w:p>
    <w:p>
      <w:pPr>
        <w:pStyle w:val="BodyText"/>
        <w:spacing w:before="4"/>
        <w:rPr>
          <w:sz w:val="17"/>
        </w:rPr>
      </w:pPr>
    </w:p>
    <w:p>
      <w:pPr>
        <w:pStyle w:val="BodyText"/>
        <w:spacing w:line="417" w:lineRule="auto"/>
        <w:ind w:left="118" w:right="433" w:firstLine="419"/>
      </w:pPr>
      <w:r>
        <w:rPr>
          <w:spacing w:val="-7"/>
        </w:rPr>
        <w:t>基金份额持有人大会的召开方式包括现场开会和通讯方式开会，具体由召集人确定，但</w:t>
      </w:r>
      <w:r>
        <w:rPr>
          <w:spacing w:val="-5"/>
        </w:rPr>
        <w:t>更换基金管理人和基金托管人必须采取现场开会方式。</w:t>
      </w:r>
    </w:p>
    <w:p>
      <w:pPr>
        <w:pStyle w:val="BodyText"/>
        <w:spacing w:before="11"/>
      </w:pPr>
    </w:p>
    <w:p>
      <w:pPr>
        <w:pStyle w:val="BodyText"/>
        <w:ind w:left="538"/>
      </w:pPr>
      <w:r>
        <w:rPr>
          <w:rFonts w:ascii="Times New Roman" w:eastAsia="Times New Roman"/>
        </w:rPr>
        <w:t>1</w:t>
      </w:r>
      <w:r>
        <w:rPr/>
        <w:t>、 现场开会</w:t>
      </w:r>
    </w:p>
    <w:p>
      <w:pPr>
        <w:pStyle w:val="BodyText"/>
        <w:rPr>
          <w:sz w:val="22"/>
        </w:rPr>
      </w:pPr>
    </w:p>
    <w:p>
      <w:pPr>
        <w:pStyle w:val="BodyText"/>
        <w:spacing w:before="6"/>
        <w:rPr>
          <w:sz w:val="15"/>
        </w:rPr>
      </w:pPr>
    </w:p>
    <w:p>
      <w:pPr>
        <w:pStyle w:val="ListParagraph"/>
        <w:numPr>
          <w:ilvl w:val="0"/>
          <w:numId w:val="70"/>
        </w:numPr>
        <w:tabs>
          <w:tab w:pos="1067" w:val="left" w:leader="none"/>
        </w:tabs>
        <w:spacing w:line="417" w:lineRule="auto" w:before="0" w:after="0"/>
        <w:ind w:left="118" w:right="433" w:firstLine="419"/>
        <w:jc w:val="both"/>
        <w:rPr>
          <w:sz w:val="21"/>
        </w:rPr>
      </w:pPr>
      <w:r>
        <w:rPr>
          <w:spacing w:val="-3"/>
          <w:sz w:val="21"/>
        </w:rPr>
        <w:t>本基金合同所指现场开会系指由基金份额持有人本人出席或出具授权委托书委派</w:t>
      </w:r>
      <w:r>
        <w:rPr>
          <w:spacing w:val="-9"/>
          <w:sz w:val="21"/>
        </w:rPr>
        <w:t>其代理人出席参加基金份额持有人大会。现场开会时基金管理人和基金托管人的授权代表应</w:t>
      </w:r>
      <w:r>
        <w:rPr>
          <w:spacing w:val="-6"/>
          <w:sz w:val="21"/>
        </w:rPr>
        <w:t>当出席。</w:t>
      </w:r>
    </w:p>
    <w:p>
      <w:pPr>
        <w:pStyle w:val="BodyText"/>
        <w:spacing w:before="9"/>
      </w:pPr>
    </w:p>
    <w:p>
      <w:pPr>
        <w:pStyle w:val="ListParagraph"/>
        <w:numPr>
          <w:ilvl w:val="0"/>
          <w:numId w:val="70"/>
        </w:numPr>
        <w:tabs>
          <w:tab w:pos="1067" w:val="left" w:leader="none"/>
        </w:tabs>
        <w:spacing w:line="417" w:lineRule="auto" w:before="0" w:after="0"/>
        <w:ind w:left="118" w:right="433" w:firstLine="419"/>
        <w:jc w:val="both"/>
        <w:rPr>
          <w:sz w:val="21"/>
        </w:rPr>
      </w:pPr>
      <w:r>
        <w:rPr>
          <w:spacing w:val="-3"/>
          <w:sz w:val="21"/>
        </w:rPr>
        <w:t>基金份额持有人本人在出席基金份额持有人大会时，应向召集人出具符合法律、</w:t>
      </w:r>
      <w:r>
        <w:rPr>
          <w:spacing w:val="-11"/>
          <w:sz w:val="21"/>
        </w:rPr>
        <w:t>法规和规章、本基金合同及会议通知规定的有关证明文件。基金份额持有人的代理人在出席</w:t>
      </w:r>
      <w:r>
        <w:rPr>
          <w:spacing w:val="-12"/>
          <w:sz w:val="21"/>
        </w:rPr>
        <w:t>基金份额持有人大会时，除应向召集人提交上述证明文件外，还应提交有关基金份额持有人</w:t>
      </w:r>
      <w:r>
        <w:rPr>
          <w:spacing w:val="-6"/>
          <w:sz w:val="21"/>
        </w:rPr>
        <w:t>出具的有效书面授权书。</w:t>
      </w:r>
    </w:p>
    <w:p>
      <w:pPr>
        <w:pStyle w:val="BodyText"/>
        <w:spacing w:before="11"/>
      </w:pPr>
    </w:p>
    <w:p>
      <w:pPr>
        <w:pStyle w:val="ListParagraph"/>
        <w:numPr>
          <w:ilvl w:val="0"/>
          <w:numId w:val="70"/>
        </w:numPr>
        <w:tabs>
          <w:tab w:pos="1067" w:val="left" w:leader="none"/>
        </w:tabs>
        <w:spacing w:line="417" w:lineRule="auto" w:before="1" w:after="0"/>
        <w:ind w:left="118" w:right="433" w:firstLine="419"/>
        <w:jc w:val="both"/>
        <w:rPr>
          <w:sz w:val="21"/>
        </w:rPr>
      </w:pPr>
      <w:r>
        <w:rPr>
          <w:spacing w:val="-3"/>
          <w:sz w:val="21"/>
        </w:rPr>
        <w:t>现场开会须符合以下条件时，方可进行基金份额持有人大会议程：经核对，汇总</w:t>
      </w:r>
      <w:r>
        <w:rPr>
          <w:spacing w:val="-7"/>
          <w:sz w:val="21"/>
        </w:rPr>
        <w:t>到会者出示的在权益登记日持有基金份额的凭证显示，到会的基金份额持有人代表的基金份</w:t>
      </w:r>
      <w:r>
        <w:rPr>
          <w:spacing w:val="-8"/>
          <w:sz w:val="21"/>
        </w:rPr>
        <w:t>额不少于本基金在权益登记日基金总份额的 </w:t>
      </w:r>
      <w:r>
        <w:rPr>
          <w:rFonts w:ascii="Times New Roman" w:eastAsia="Times New Roman"/>
          <w:sz w:val="21"/>
        </w:rPr>
        <w:t>50</w:t>
      </w:r>
      <w:r>
        <w:rPr>
          <w:spacing w:val="-2"/>
          <w:sz w:val="21"/>
        </w:rPr>
        <w:t>％。</w:t>
      </w:r>
    </w:p>
    <w:p>
      <w:pPr>
        <w:pStyle w:val="BodyText"/>
        <w:spacing w:before="11"/>
      </w:pPr>
    </w:p>
    <w:p>
      <w:pPr>
        <w:pStyle w:val="BodyText"/>
        <w:ind w:left="538"/>
      </w:pPr>
      <w:r>
        <w:rPr>
          <w:rFonts w:ascii="Times New Roman" w:eastAsia="Times New Roman"/>
        </w:rPr>
        <w:t>2</w:t>
      </w:r>
      <w:r>
        <w:rPr/>
        <w:t>、 通讯方式开会</w:t>
      </w:r>
    </w:p>
    <w:p>
      <w:pPr>
        <w:pStyle w:val="BodyText"/>
        <w:rPr>
          <w:sz w:val="22"/>
        </w:rPr>
      </w:pPr>
    </w:p>
    <w:p>
      <w:pPr>
        <w:pStyle w:val="ListParagraph"/>
        <w:numPr>
          <w:ilvl w:val="0"/>
          <w:numId w:val="71"/>
        </w:numPr>
        <w:tabs>
          <w:tab w:pos="1067" w:val="left" w:leader="none"/>
        </w:tabs>
        <w:spacing w:line="240" w:lineRule="auto" w:before="195" w:after="0"/>
        <w:ind w:left="1067" w:right="0" w:hanging="529"/>
        <w:jc w:val="left"/>
        <w:rPr>
          <w:sz w:val="21"/>
        </w:rPr>
      </w:pPr>
      <w:r>
        <w:rPr>
          <w:spacing w:val="-3"/>
          <w:sz w:val="21"/>
        </w:rPr>
        <w:t>本基金合同所指通讯方式开会系指基金份额持有人将其对表决事项的投票以书面</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形式在表决截至日以前送达至召集人指定的地址。</w:t>
      </w:r>
    </w:p>
    <w:p>
      <w:pPr>
        <w:pStyle w:val="BodyText"/>
        <w:rPr>
          <w:sz w:val="20"/>
        </w:rPr>
      </w:pPr>
    </w:p>
    <w:p>
      <w:pPr>
        <w:pStyle w:val="BodyText"/>
        <w:spacing w:before="5"/>
        <w:rPr>
          <w:sz w:val="17"/>
        </w:rPr>
      </w:pPr>
    </w:p>
    <w:p>
      <w:pPr>
        <w:pStyle w:val="ListParagraph"/>
        <w:numPr>
          <w:ilvl w:val="0"/>
          <w:numId w:val="71"/>
        </w:numPr>
        <w:tabs>
          <w:tab w:pos="1067" w:val="left" w:leader="none"/>
        </w:tabs>
        <w:spacing w:line="417" w:lineRule="auto" w:before="0" w:after="0"/>
        <w:ind w:left="118" w:right="436" w:firstLine="419"/>
        <w:jc w:val="both"/>
        <w:rPr>
          <w:sz w:val="21"/>
        </w:rPr>
      </w:pPr>
      <w:r>
        <w:rPr>
          <w:spacing w:val="-5"/>
          <w:sz w:val="21"/>
        </w:rPr>
        <w:t>召集人按本基金合同规定公布会议通知后，在 </w:t>
      </w:r>
      <w:r>
        <w:rPr>
          <w:rFonts w:ascii="Times New Roman" w:eastAsia="Times New Roman"/>
          <w:sz w:val="21"/>
        </w:rPr>
        <w:t>2</w:t>
      </w:r>
      <w:r>
        <w:rPr>
          <w:rFonts w:ascii="Times New Roman" w:eastAsia="Times New Roman"/>
          <w:spacing w:val="24"/>
          <w:sz w:val="21"/>
        </w:rPr>
        <w:t> </w:t>
      </w:r>
      <w:r>
        <w:rPr>
          <w:spacing w:val="-3"/>
          <w:sz w:val="21"/>
        </w:rPr>
        <w:t>个工作日内连续公布相关提示性公告。</w:t>
      </w:r>
    </w:p>
    <w:p>
      <w:pPr>
        <w:pStyle w:val="BodyText"/>
        <w:spacing w:before="9"/>
      </w:pPr>
    </w:p>
    <w:p>
      <w:pPr>
        <w:pStyle w:val="ListParagraph"/>
        <w:numPr>
          <w:ilvl w:val="0"/>
          <w:numId w:val="71"/>
        </w:numPr>
        <w:tabs>
          <w:tab w:pos="1067" w:val="left" w:leader="none"/>
        </w:tabs>
        <w:spacing w:line="417" w:lineRule="auto" w:before="0" w:after="0"/>
        <w:ind w:left="118" w:right="433" w:firstLine="419"/>
        <w:jc w:val="both"/>
        <w:rPr>
          <w:sz w:val="21"/>
        </w:rPr>
      </w:pPr>
      <w:r>
        <w:rPr>
          <w:spacing w:val="-3"/>
          <w:sz w:val="21"/>
        </w:rPr>
        <w:t>基金份额持有人本人在以书面通讯方式进行表决时，应向召集人以书面方式提交</w:t>
      </w:r>
      <w:r>
        <w:rPr>
          <w:spacing w:val="-12"/>
          <w:sz w:val="21"/>
        </w:rPr>
        <w:t>符合法律、法规和规章、本基金合同及会议通知规定的有关证明文件。基金份额持有人的代理人在以书面通讯方式进行表决时，应向召集人以书面方式提交有关基金份额持有人出具的</w:t>
      </w:r>
      <w:r>
        <w:rPr>
          <w:spacing w:val="-9"/>
          <w:sz w:val="21"/>
        </w:rPr>
        <w:t>有效的书面授权委托书和基金份额持有人应当提交的上述有关证明文件。不能满足上述要求</w:t>
      </w:r>
      <w:r>
        <w:rPr>
          <w:spacing w:val="-8"/>
          <w:sz w:val="21"/>
        </w:rPr>
        <w:t>的基金份额持有人或基金份额持有人的代理人所提交的书面表决意见被视为无效，其代表的</w:t>
      </w:r>
      <w:r>
        <w:rPr>
          <w:spacing w:val="-5"/>
          <w:sz w:val="21"/>
        </w:rPr>
        <w:t>基金份额不计入参加表决的总份额。</w:t>
      </w:r>
    </w:p>
    <w:p>
      <w:pPr>
        <w:pStyle w:val="BodyText"/>
        <w:spacing w:before="11"/>
      </w:pPr>
    </w:p>
    <w:p>
      <w:pPr>
        <w:pStyle w:val="BodyText"/>
        <w:spacing w:line="417" w:lineRule="auto" w:before="1"/>
        <w:ind w:left="118" w:right="437" w:firstLine="419"/>
      </w:pPr>
      <w:r>
        <w:rPr/>
        <w:t>召集人在公证机关的监督下按照会议通知规定的方式收取基金份额持有人的书面表决意见；在表决截止日以前实际送达召集人指定的地址的投票视为有效投票。</w:t>
      </w:r>
    </w:p>
    <w:p>
      <w:pPr>
        <w:pStyle w:val="BodyText"/>
        <w:spacing w:before="11"/>
      </w:pPr>
    </w:p>
    <w:p>
      <w:pPr>
        <w:pStyle w:val="ListParagraph"/>
        <w:numPr>
          <w:ilvl w:val="0"/>
          <w:numId w:val="71"/>
        </w:numPr>
        <w:tabs>
          <w:tab w:pos="1067" w:val="left" w:leader="none"/>
        </w:tabs>
        <w:spacing w:line="417" w:lineRule="auto" w:before="0" w:after="0"/>
        <w:ind w:left="118" w:right="436" w:firstLine="419"/>
        <w:jc w:val="both"/>
        <w:rPr>
          <w:sz w:val="21"/>
        </w:rPr>
      </w:pPr>
      <w:r>
        <w:rPr>
          <w:spacing w:val="-3"/>
          <w:sz w:val="21"/>
        </w:rPr>
        <w:t>以通讯方式开会须符合下列条件方视为有效：本人直接或委托授权代表出具有效书面意见的基金份额持有人所持有的基金份额不少于本基金在权益登记日基金份额总数的</w:t>
      </w:r>
      <w:r>
        <w:rPr>
          <w:rFonts w:ascii="Times New Roman" w:eastAsia="Times New Roman"/>
          <w:spacing w:val="-3"/>
          <w:sz w:val="21"/>
        </w:rPr>
        <w:t>50</w:t>
      </w:r>
      <w:r>
        <w:rPr>
          <w:spacing w:val="-3"/>
          <w:sz w:val="21"/>
        </w:rPr>
        <w:t>％。</w:t>
      </w:r>
    </w:p>
    <w:p>
      <w:pPr>
        <w:pStyle w:val="BodyText"/>
        <w:spacing w:before="9"/>
      </w:pPr>
    </w:p>
    <w:p>
      <w:pPr>
        <w:pStyle w:val="BodyText"/>
        <w:ind w:left="538"/>
      </w:pPr>
      <w:r>
        <w:rPr>
          <w:rFonts w:ascii="Times New Roman" w:eastAsia="Times New Roman"/>
        </w:rPr>
        <w:t>3</w:t>
      </w:r>
      <w:r>
        <w:rPr/>
        <w:t>、重新召集基金份额持有人大会的条件</w:t>
      </w:r>
    </w:p>
    <w:p>
      <w:pPr>
        <w:pStyle w:val="BodyText"/>
        <w:rPr>
          <w:sz w:val="22"/>
        </w:rPr>
      </w:pPr>
    </w:p>
    <w:p>
      <w:pPr>
        <w:pStyle w:val="BodyText"/>
        <w:spacing w:before="6"/>
        <w:rPr>
          <w:sz w:val="15"/>
        </w:rPr>
      </w:pPr>
    </w:p>
    <w:p>
      <w:pPr>
        <w:pStyle w:val="BodyText"/>
        <w:ind w:left="538"/>
      </w:pPr>
      <w:r>
        <w:rPr/>
        <w:t>基金份额持有人大会应当有代表 </w:t>
      </w:r>
      <w:r>
        <w:rPr>
          <w:rFonts w:ascii="Times New Roman" w:eastAsia="Times New Roman"/>
        </w:rPr>
        <w:t>50%</w:t>
      </w:r>
      <w:r>
        <w:rPr/>
        <w:t>以上基金份额的持有人参加，方可召开。</w:t>
      </w:r>
    </w:p>
    <w:p>
      <w:pPr>
        <w:pStyle w:val="BodyText"/>
        <w:rPr>
          <w:sz w:val="22"/>
        </w:rPr>
      </w:pPr>
    </w:p>
    <w:p>
      <w:pPr>
        <w:pStyle w:val="BodyText"/>
        <w:spacing w:before="5"/>
        <w:rPr>
          <w:sz w:val="15"/>
        </w:rPr>
      </w:pPr>
    </w:p>
    <w:p>
      <w:pPr>
        <w:pStyle w:val="BodyText"/>
        <w:spacing w:line="417" w:lineRule="auto" w:before="1"/>
        <w:ind w:left="118" w:right="433" w:firstLine="419"/>
        <w:jc w:val="both"/>
      </w:pPr>
      <w:r>
        <w:rPr>
          <w:spacing w:val="-7"/>
        </w:rPr>
        <w:t>参加基金份额持有人大会的持有人的基金份额低于上述规定比例的，召集人可以在原公</w:t>
      </w:r>
      <w:r>
        <w:rPr>
          <w:spacing w:val="-9"/>
        </w:rPr>
        <w:t>告的基金份额持有人大会召开时间的三个月以后、六个月以内，就原定审议事项重新召集基</w:t>
      </w:r>
      <w:r>
        <w:rPr>
          <w:spacing w:val="-13"/>
        </w:rPr>
        <w:t>金份额持有人大会。重新召集的基金份额持有人大会应当有代表三分之一以上基金份额的持</w:t>
      </w:r>
      <w:r>
        <w:rPr>
          <w:spacing w:val="-6"/>
        </w:rPr>
        <w:t>有人参加，方可召开。</w:t>
      </w:r>
    </w:p>
    <w:p>
      <w:pPr>
        <w:pStyle w:val="BodyText"/>
        <w:spacing w:before="9"/>
      </w:pPr>
    </w:p>
    <w:p>
      <w:pPr>
        <w:pStyle w:val="BodyText"/>
        <w:ind w:left="538"/>
      </w:pPr>
      <w:r>
        <w:rPr/>
        <w:t>六）议事内容与程序</w:t>
      </w:r>
    </w:p>
    <w:p>
      <w:pPr>
        <w:pStyle w:val="BodyText"/>
        <w:rPr>
          <w:sz w:val="20"/>
        </w:rPr>
      </w:pPr>
    </w:p>
    <w:p>
      <w:pPr>
        <w:pStyle w:val="BodyText"/>
        <w:spacing w:before="5"/>
        <w:rPr>
          <w:sz w:val="17"/>
        </w:rPr>
      </w:pPr>
    </w:p>
    <w:p>
      <w:pPr>
        <w:pStyle w:val="BodyText"/>
        <w:spacing w:before="1"/>
        <w:ind w:left="538"/>
      </w:pPr>
      <w:r>
        <w:rPr>
          <w:rFonts w:ascii="Times New Roman" w:eastAsia="Times New Roman"/>
        </w:rPr>
        <w:t>1</w:t>
      </w:r>
      <w:r>
        <w:rPr/>
        <w:t>、 议事内容：</w:t>
      </w:r>
    </w:p>
    <w:p>
      <w:pPr>
        <w:pStyle w:val="BodyText"/>
        <w:rPr>
          <w:sz w:val="22"/>
        </w:rPr>
      </w:pPr>
    </w:p>
    <w:p>
      <w:pPr>
        <w:pStyle w:val="ListParagraph"/>
        <w:numPr>
          <w:ilvl w:val="0"/>
          <w:numId w:val="72"/>
        </w:numPr>
        <w:tabs>
          <w:tab w:pos="1377" w:val="left" w:leader="none"/>
          <w:tab w:pos="1378" w:val="left" w:leader="none"/>
        </w:tabs>
        <w:spacing w:line="240" w:lineRule="auto" w:before="197" w:after="0"/>
        <w:ind w:left="1378" w:right="0" w:hanging="840"/>
        <w:jc w:val="left"/>
        <w:rPr>
          <w:sz w:val="21"/>
        </w:rPr>
      </w:pPr>
      <w:r>
        <w:rPr>
          <w:spacing w:val="-3"/>
          <w:sz w:val="21"/>
        </w:rPr>
        <w:t>议事内容包括“召开事由”所规定的事项；</w:t>
      </w:r>
    </w:p>
    <w:p>
      <w:pPr>
        <w:spacing w:after="0" w:line="240" w:lineRule="auto"/>
        <w:jc w:val="left"/>
        <w:rPr>
          <w:sz w:val="21"/>
        </w:rPr>
        <w:sectPr>
          <w:pgSz w:w="11910" w:h="16850"/>
          <w:pgMar w:header="852" w:footer="1386" w:top="1420" w:bottom="1580" w:left="1680" w:right="1360"/>
        </w:sectPr>
      </w:pPr>
    </w:p>
    <w:p>
      <w:pPr>
        <w:pStyle w:val="ListParagraph"/>
        <w:numPr>
          <w:ilvl w:val="0"/>
          <w:numId w:val="72"/>
        </w:numPr>
        <w:tabs>
          <w:tab w:pos="1378" w:val="left" w:leader="none"/>
        </w:tabs>
        <w:spacing w:line="417" w:lineRule="auto" w:before="142" w:after="0"/>
        <w:ind w:left="118" w:right="433" w:firstLine="419"/>
        <w:jc w:val="both"/>
        <w:rPr>
          <w:sz w:val="21"/>
        </w:rPr>
      </w:pPr>
      <w:r>
        <w:rPr>
          <w:spacing w:val="-11"/>
          <w:sz w:val="21"/>
        </w:rPr>
        <w:t>基金管理人、基金托管人、单独或合计持有本基金 </w:t>
      </w:r>
      <w:r>
        <w:rPr>
          <w:rFonts w:ascii="Times New Roman" w:eastAsia="Times New Roman"/>
          <w:sz w:val="21"/>
        </w:rPr>
        <w:t>10%</w:t>
      </w:r>
      <w:r>
        <w:rPr>
          <w:sz w:val="21"/>
        </w:rPr>
        <w:t>以上</w:t>
      </w:r>
      <w:r>
        <w:rPr>
          <w:rFonts w:ascii="Times New Roman" w:eastAsia="Times New Roman"/>
          <w:spacing w:val="-4"/>
          <w:sz w:val="21"/>
        </w:rPr>
        <w:t>(</w:t>
      </w:r>
      <w:r>
        <w:rPr>
          <w:spacing w:val="-20"/>
          <w:sz w:val="21"/>
        </w:rPr>
        <w:t>含 </w:t>
      </w:r>
      <w:r>
        <w:rPr>
          <w:rFonts w:ascii="Times New Roman" w:eastAsia="Times New Roman"/>
          <w:sz w:val="21"/>
        </w:rPr>
        <w:t>10%)</w:t>
      </w:r>
      <w:r>
        <w:rPr>
          <w:spacing w:val="-2"/>
          <w:sz w:val="21"/>
        </w:rPr>
        <w:t>基金总份额的基金份额持有人可以在基金份额持有人大会召集人发出会议通知前向大会召集人提交</w:t>
      </w:r>
      <w:r>
        <w:rPr>
          <w:spacing w:val="-3"/>
          <w:sz w:val="21"/>
        </w:rPr>
        <w:t>需审议表决的议案。</w:t>
      </w:r>
    </w:p>
    <w:p>
      <w:pPr>
        <w:pStyle w:val="BodyText"/>
        <w:spacing w:before="11"/>
      </w:pPr>
    </w:p>
    <w:p>
      <w:pPr>
        <w:pStyle w:val="ListParagraph"/>
        <w:numPr>
          <w:ilvl w:val="0"/>
          <w:numId w:val="72"/>
        </w:numPr>
        <w:tabs>
          <w:tab w:pos="1378" w:val="left" w:leader="none"/>
        </w:tabs>
        <w:spacing w:line="417" w:lineRule="auto" w:before="0" w:after="0"/>
        <w:ind w:left="118" w:right="433" w:firstLine="419"/>
        <w:jc w:val="both"/>
        <w:rPr>
          <w:sz w:val="21"/>
        </w:rPr>
      </w:pPr>
      <w:r>
        <w:rPr>
          <w:spacing w:val="-7"/>
          <w:sz w:val="21"/>
        </w:rPr>
        <w:t>基金份额持有人大会的召集人发出召集会议的通知后，对原有提案的修改应当</w:t>
      </w:r>
      <w:r>
        <w:rPr>
          <w:spacing w:val="-8"/>
          <w:sz w:val="21"/>
        </w:rPr>
        <w:t>在基金份额持有人大会召开日前 </w:t>
      </w:r>
      <w:r>
        <w:rPr>
          <w:rFonts w:ascii="Times New Roman" w:eastAsia="Times New Roman"/>
          <w:sz w:val="21"/>
        </w:rPr>
        <w:t>10</w:t>
      </w:r>
      <w:r>
        <w:rPr>
          <w:rFonts w:ascii="Times New Roman" w:eastAsia="Times New Roman"/>
          <w:spacing w:val="11"/>
          <w:sz w:val="21"/>
        </w:rPr>
        <w:t> </w:t>
      </w:r>
      <w:r>
        <w:rPr>
          <w:spacing w:val="-10"/>
          <w:sz w:val="21"/>
        </w:rPr>
        <w:t>天公告，否则会议的召开日期应当顺延并保证至少有 </w:t>
      </w:r>
      <w:r>
        <w:rPr>
          <w:rFonts w:ascii="Times New Roman" w:eastAsia="Times New Roman"/>
          <w:sz w:val="21"/>
        </w:rPr>
        <w:t>10 </w:t>
      </w:r>
      <w:r>
        <w:rPr>
          <w:spacing w:val="-2"/>
          <w:sz w:val="21"/>
        </w:rPr>
        <w:t>天的间隔期。</w:t>
      </w:r>
    </w:p>
    <w:p>
      <w:pPr>
        <w:pStyle w:val="BodyText"/>
        <w:spacing w:before="8"/>
      </w:pPr>
    </w:p>
    <w:p>
      <w:pPr>
        <w:pStyle w:val="ListParagraph"/>
        <w:numPr>
          <w:ilvl w:val="0"/>
          <w:numId w:val="72"/>
        </w:numPr>
        <w:tabs>
          <w:tab w:pos="1067" w:val="left" w:leader="none"/>
        </w:tabs>
        <w:spacing w:line="240" w:lineRule="auto" w:before="1" w:after="0"/>
        <w:ind w:left="1067" w:right="0" w:hanging="529"/>
        <w:jc w:val="left"/>
        <w:rPr>
          <w:sz w:val="21"/>
        </w:rPr>
      </w:pPr>
      <w:r>
        <w:rPr>
          <w:spacing w:val="-3"/>
          <w:sz w:val="21"/>
        </w:rPr>
        <w:t>基金份额持有人大会不得对未事先公告的议事内容进行表决。</w:t>
      </w:r>
    </w:p>
    <w:p>
      <w:pPr>
        <w:pStyle w:val="BodyText"/>
        <w:rPr>
          <w:sz w:val="22"/>
        </w:rPr>
      </w:pPr>
    </w:p>
    <w:p>
      <w:pPr>
        <w:pStyle w:val="BodyText"/>
        <w:spacing w:before="6"/>
        <w:rPr>
          <w:sz w:val="15"/>
        </w:rPr>
      </w:pPr>
    </w:p>
    <w:p>
      <w:pPr>
        <w:pStyle w:val="BodyText"/>
        <w:ind w:left="538"/>
      </w:pPr>
      <w:r>
        <w:rPr>
          <w:rFonts w:ascii="Times New Roman" w:eastAsia="Times New Roman"/>
        </w:rPr>
        <w:t>2</w:t>
      </w:r>
      <w:r>
        <w:rPr/>
        <w:t>、 议事程序</w:t>
      </w:r>
    </w:p>
    <w:p>
      <w:pPr>
        <w:pStyle w:val="BodyText"/>
        <w:rPr>
          <w:sz w:val="22"/>
        </w:rPr>
      </w:pPr>
    </w:p>
    <w:p>
      <w:pPr>
        <w:pStyle w:val="BodyText"/>
        <w:spacing w:before="5"/>
        <w:rPr>
          <w:sz w:val="15"/>
        </w:rPr>
      </w:pPr>
    </w:p>
    <w:p>
      <w:pPr>
        <w:pStyle w:val="BodyText"/>
        <w:spacing w:before="1"/>
        <w:ind w:left="538"/>
      </w:pPr>
      <w:r>
        <w:rPr>
          <w:rFonts w:ascii="Times New Roman" w:eastAsia="Times New Roman"/>
        </w:rPr>
        <w:t>(1)</w:t>
      </w:r>
      <w:r>
        <w:rPr/>
        <w:t>现场开会</w:t>
      </w:r>
    </w:p>
    <w:p>
      <w:pPr>
        <w:pStyle w:val="BodyText"/>
        <w:rPr>
          <w:sz w:val="22"/>
        </w:rPr>
      </w:pPr>
    </w:p>
    <w:p>
      <w:pPr>
        <w:pStyle w:val="BodyText"/>
        <w:spacing w:line="417" w:lineRule="auto" w:before="195"/>
        <w:ind w:left="118" w:right="435" w:firstLine="839"/>
        <w:jc w:val="both"/>
      </w:pPr>
      <w:r>
        <w:rPr/>
        <w:t>在现场开会的方式下</w:t>
      </w:r>
      <w:r>
        <w:rPr>
          <w:rFonts w:ascii="Times New Roman" w:eastAsia="Times New Roman"/>
        </w:rPr>
        <w:t>,</w:t>
      </w:r>
      <w:r>
        <w:rPr>
          <w:spacing w:val="-1"/>
        </w:rPr>
        <w:t>首先由大会主持人按照规定程序宣布会议议事程序及注意事</w:t>
      </w:r>
      <w:r>
        <w:rPr/>
        <w:t>项</w:t>
      </w:r>
      <w:r>
        <w:rPr>
          <w:rFonts w:ascii="Times New Roman" w:eastAsia="Times New Roman"/>
        </w:rPr>
        <w:t>,</w:t>
      </w:r>
      <w:r>
        <w:rPr>
          <w:spacing w:val="-3"/>
        </w:rPr>
        <w:t>确定和公布监票人</w:t>
      </w:r>
      <w:r>
        <w:rPr>
          <w:rFonts w:ascii="Times New Roman" w:eastAsia="Times New Roman"/>
        </w:rPr>
        <w:t>,</w:t>
      </w:r>
      <w:r>
        <w:rPr>
          <w:spacing w:val="-3"/>
        </w:rPr>
        <w:t>然后由大会主持人宣读提案</w:t>
      </w:r>
      <w:r>
        <w:rPr>
          <w:rFonts w:ascii="Times New Roman" w:eastAsia="Times New Roman"/>
          <w:spacing w:val="-3"/>
        </w:rPr>
        <w:t>,</w:t>
      </w:r>
      <w:r>
        <w:rPr>
          <w:spacing w:val="-8"/>
        </w:rPr>
        <w:t>经讨论后进行表决，经律师见证或公证员</w:t>
      </w:r>
      <w:r>
        <w:rPr>
          <w:spacing w:val="-5"/>
        </w:rPr>
        <w:t>公证后形成大会决议。</w:t>
      </w:r>
    </w:p>
    <w:p>
      <w:pPr>
        <w:pStyle w:val="BodyText"/>
        <w:spacing w:before="12"/>
      </w:pPr>
    </w:p>
    <w:p>
      <w:pPr>
        <w:pStyle w:val="BodyText"/>
        <w:spacing w:line="417" w:lineRule="auto"/>
        <w:ind w:left="118" w:right="433" w:firstLine="842"/>
        <w:jc w:val="both"/>
      </w:pPr>
      <w:r>
        <w:rPr>
          <w:spacing w:val="-8"/>
        </w:rPr>
        <w:t>基金份额持有人大会由基金管理人授权代表主持。在基金管理人授权代表未能主持大会的情况下</w:t>
      </w:r>
      <w:r>
        <w:rPr>
          <w:rFonts w:ascii="Times New Roman" w:eastAsia="Times New Roman"/>
          <w:spacing w:val="-8"/>
        </w:rPr>
        <w:t>,</w:t>
      </w:r>
      <w:r>
        <w:rPr>
          <w:spacing w:val="-9"/>
        </w:rPr>
        <w:t>由基金托管人授权代表主持；如果基金管理人和基金托管人授权代表均未能</w:t>
      </w:r>
      <w:r>
        <w:rPr>
          <w:spacing w:val="1"/>
        </w:rPr>
        <w:t>主持大会，则由出席大会的基金份额持有人或其代理人以所代表的基金份额 </w:t>
      </w:r>
      <w:r>
        <w:rPr>
          <w:rFonts w:ascii="Times New Roman" w:eastAsia="Times New Roman"/>
        </w:rPr>
        <w:t>50%</w:t>
      </w:r>
      <w:r>
        <w:rPr>
          <w:spacing w:val="-5"/>
        </w:rPr>
        <w:t>以上多数</w:t>
      </w:r>
      <w:r>
        <w:rPr>
          <w:rFonts w:ascii="Times New Roman" w:eastAsia="Times New Roman"/>
        </w:rPr>
        <w:t>(</w:t>
      </w:r>
      <w:r>
        <w:rPr>
          <w:spacing w:val="-18"/>
        </w:rPr>
        <w:t>不含 </w:t>
      </w:r>
      <w:r>
        <w:rPr>
          <w:rFonts w:ascii="Times New Roman" w:eastAsia="Times New Roman"/>
        </w:rPr>
        <w:t>50%)</w:t>
      </w:r>
      <w:r>
        <w:rPr>
          <w:spacing w:val="-3"/>
        </w:rPr>
        <w:t>选举产生一名代表作为该次基金份额持有人大会的主持人。</w:t>
      </w:r>
    </w:p>
    <w:p>
      <w:pPr>
        <w:pStyle w:val="BodyText"/>
        <w:spacing w:before="11"/>
      </w:pPr>
    </w:p>
    <w:p>
      <w:pPr>
        <w:pStyle w:val="BodyText"/>
        <w:spacing w:line="417" w:lineRule="auto"/>
        <w:ind w:left="118" w:right="330" w:firstLine="419"/>
      </w:pPr>
      <w:r>
        <w:rPr/>
        <w:t>召集人应当制作出席会议人员的签名册。签名册载明参加会议人员姓名</w:t>
      </w:r>
      <w:r>
        <w:rPr>
          <w:rFonts w:ascii="Times New Roman" w:eastAsia="Times New Roman"/>
        </w:rPr>
        <w:t>(</w:t>
      </w:r>
      <w:r>
        <w:rPr/>
        <w:t>或单位名称</w:t>
      </w:r>
      <w:r>
        <w:rPr>
          <w:rFonts w:ascii="Times New Roman" w:eastAsia="Times New Roman"/>
        </w:rPr>
        <w:t>)</w:t>
      </w:r>
      <w:r>
        <w:rPr>
          <w:spacing w:val="-13"/>
        </w:rPr>
        <w:t>、</w:t>
      </w:r>
      <w:r>
        <w:rPr>
          <w:spacing w:val="-6"/>
        </w:rPr>
        <w:t>身份证号码、住所地址、持有或者代表有表决权的基金份额、委托人姓名</w:t>
      </w:r>
      <w:r>
        <w:rPr>
          <w:rFonts w:ascii="Times New Roman" w:eastAsia="Times New Roman"/>
        </w:rPr>
        <w:t>(</w:t>
      </w:r>
      <w:r>
        <w:rPr>
          <w:spacing w:val="-3"/>
        </w:rPr>
        <w:t>或单位名称</w:t>
      </w:r>
      <w:r>
        <w:rPr>
          <w:rFonts w:ascii="Times New Roman" w:eastAsia="Times New Roman"/>
        </w:rPr>
        <w:t>)</w:t>
      </w:r>
      <w:r>
        <w:rPr>
          <w:spacing w:val="-3"/>
        </w:rPr>
        <w:t>等事</w:t>
      </w:r>
      <w:r>
        <w:rPr/>
        <w:t>项。</w:t>
      </w:r>
    </w:p>
    <w:p>
      <w:pPr>
        <w:pStyle w:val="BodyText"/>
        <w:spacing w:before="9"/>
      </w:pPr>
    </w:p>
    <w:p>
      <w:pPr>
        <w:pStyle w:val="BodyText"/>
        <w:ind w:left="538"/>
      </w:pPr>
      <w:r>
        <w:rPr/>
        <w:t>（</w:t>
      </w:r>
      <w:r>
        <w:rPr>
          <w:rFonts w:ascii="Times New Roman" w:eastAsia="Times New Roman"/>
        </w:rPr>
        <w:t>2</w:t>
      </w:r>
      <w:r>
        <w:rPr/>
        <w:t>）通讯方式开会</w:t>
      </w:r>
    </w:p>
    <w:p>
      <w:pPr>
        <w:pStyle w:val="BodyText"/>
        <w:rPr>
          <w:sz w:val="22"/>
        </w:rPr>
      </w:pPr>
    </w:p>
    <w:p>
      <w:pPr>
        <w:pStyle w:val="BodyText"/>
        <w:spacing w:before="6"/>
        <w:rPr>
          <w:sz w:val="15"/>
        </w:rPr>
      </w:pPr>
    </w:p>
    <w:p>
      <w:pPr>
        <w:pStyle w:val="BodyText"/>
        <w:spacing w:line="417" w:lineRule="auto"/>
        <w:ind w:left="118" w:right="433" w:firstLine="419"/>
      </w:pPr>
      <w:r>
        <w:rPr>
          <w:spacing w:val="-9"/>
        </w:rPr>
        <w:t>在通讯方式开会的情况下，公告会议通知时应当同时公布提案；在通知载明的表决截止</w:t>
      </w:r>
      <w:r>
        <w:rPr>
          <w:spacing w:val="-5"/>
        </w:rPr>
        <w:t>日期后第二天在公证机构监督下统计全部有效表决，形成决议，报中国证监会备案。</w:t>
      </w:r>
    </w:p>
    <w:p>
      <w:pPr>
        <w:pStyle w:val="BodyText"/>
        <w:spacing w:before="11"/>
      </w:pPr>
    </w:p>
    <w:p>
      <w:pPr>
        <w:pStyle w:val="BodyText"/>
        <w:ind w:left="538"/>
      </w:pPr>
      <w:r>
        <w:rPr/>
        <w:t>七）表决</w:t>
      </w:r>
    </w:p>
    <w:p>
      <w:pPr>
        <w:spacing w:after="0"/>
        <w:sectPr>
          <w:pgSz w:w="11910" w:h="16850"/>
          <w:pgMar w:header="852" w:footer="1386" w:top="1420" w:bottom="1580" w:left="1680" w:right="1360"/>
        </w:sectPr>
      </w:pPr>
    </w:p>
    <w:p>
      <w:pPr>
        <w:pStyle w:val="BodyText"/>
        <w:spacing w:line="417" w:lineRule="auto" w:before="142"/>
        <w:ind w:left="118" w:right="328" w:firstLine="419"/>
      </w:pPr>
      <w:r>
        <w:rPr>
          <w:rFonts w:ascii="Times New Roman" w:eastAsia="Times New Roman"/>
        </w:rPr>
        <w:t>1</w:t>
      </w:r>
      <w:r>
        <w:rPr/>
        <w:t>、 基金份额持有人所持每一份</w:t>
      </w:r>
      <w:r>
        <w:rPr>
          <w:rFonts w:ascii="Times New Roman" w:eastAsia="Times New Roman"/>
        </w:rPr>
        <w:t>A </w:t>
      </w:r>
      <w:r>
        <w:rPr/>
        <w:t>类基金份额或每一份</w:t>
      </w:r>
      <w:r>
        <w:rPr>
          <w:rFonts w:ascii="Times New Roman" w:eastAsia="Times New Roman"/>
        </w:rPr>
        <w:t>B </w:t>
      </w:r>
      <w:r>
        <w:rPr/>
        <w:t>类基金份额具有一票表决权， 所持每一份 </w:t>
      </w:r>
      <w:r>
        <w:rPr>
          <w:rFonts w:ascii="Times New Roman" w:eastAsia="Times New Roman"/>
        </w:rPr>
        <w:t>E </w:t>
      </w:r>
      <w:r>
        <w:rPr/>
        <w:t>类基金份额具有 </w:t>
      </w:r>
      <w:r>
        <w:rPr>
          <w:rFonts w:ascii="Times New Roman" w:eastAsia="Times New Roman"/>
        </w:rPr>
        <w:t>100 </w:t>
      </w:r>
      <w:r>
        <w:rPr/>
        <w:t>票表决权，基金份额持有人可以委托代理人出席基金份额持有人大会并行使表决权；</w:t>
      </w:r>
    </w:p>
    <w:p>
      <w:pPr>
        <w:pStyle w:val="BodyText"/>
        <w:spacing w:before="11"/>
      </w:pPr>
    </w:p>
    <w:p>
      <w:pPr>
        <w:pStyle w:val="BodyText"/>
        <w:ind w:left="538"/>
      </w:pPr>
      <w:r>
        <w:rPr>
          <w:rFonts w:ascii="Times New Roman" w:eastAsia="Times New Roman"/>
        </w:rPr>
        <w:t>2</w:t>
      </w:r>
      <w:r>
        <w:rPr/>
        <w:t>、 基金份额持有人大会决议分为一般决议和特别决议。</w:t>
      </w:r>
    </w:p>
    <w:p>
      <w:pPr>
        <w:pStyle w:val="BodyText"/>
        <w:rPr>
          <w:sz w:val="22"/>
        </w:rPr>
      </w:pPr>
    </w:p>
    <w:p>
      <w:pPr>
        <w:pStyle w:val="ListParagraph"/>
        <w:numPr>
          <w:ilvl w:val="0"/>
          <w:numId w:val="73"/>
        </w:numPr>
        <w:tabs>
          <w:tab w:pos="1067" w:val="left" w:leader="none"/>
        </w:tabs>
        <w:spacing w:line="240" w:lineRule="auto" w:before="195" w:after="0"/>
        <w:ind w:left="1067" w:right="0" w:hanging="529"/>
        <w:jc w:val="left"/>
        <w:rPr>
          <w:sz w:val="21"/>
        </w:rPr>
      </w:pPr>
      <w:r>
        <w:rPr>
          <w:spacing w:val="-2"/>
          <w:sz w:val="21"/>
        </w:rPr>
        <w:t>一般决议</w:t>
      </w:r>
    </w:p>
    <w:p>
      <w:pPr>
        <w:pStyle w:val="BodyText"/>
        <w:rPr>
          <w:sz w:val="22"/>
        </w:rPr>
      </w:pPr>
    </w:p>
    <w:p>
      <w:pPr>
        <w:pStyle w:val="BodyText"/>
        <w:spacing w:before="6"/>
        <w:rPr>
          <w:sz w:val="15"/>
        </w:rPr>
      </w:pPr>
    </w:p>
    <w:p>
      <w:pPr>
        <w:pStyle w:val="BodyText"/>
        <w:spacing w:line="417" w:lineRule="auto"/>
        <w:ind w:left="118" w:right="436" w:firstLine="419"/>
      </w:pPr>
      <w:r>
        <w:rPr/>
        <w:t>一般决议须经参加会议的基金份额持有人或其代理人所持表决权的 </w:t>
      </w:r>
      <w:r>
        <w:rPr>
          <w:rFonts w:ascii="Times New Roman" w:eastAsia="Times New Roman"/>
        </w:rPr>
        <w:t>50</w:t>
      </w:r>
      <w:r>
        <w:rPr/>
        <w:t>％以上通过方为有效。</w:t>
      </w:r>
    </w:p>
    <w:p>
      <w:pPr>
        <w:pStyle w:val="BodyText"/>
        <w:spacing w:before="12"/>
      </w:pPr>
    </w:p>
    <w:p>
      <w:pPr>
        <w:pStyle w:val="BodyText"/>
        <w:spacing w:line="417" w:lineRule="auto"/>
        <w:ind w:left="118" w:right="436" w:firstLine="419"/>
      </w:pPr>
      <w:r>
        <w:rPr/>
        <w:t>除下列（</w:t>
      </w:r>
      <w:r>
        <w:rPr>
          <w:rFonts w:ascii="Times New Roman" w:eastAsia="Times New Roman"/>
        </w:rPr>
        <w:t>2</w:t>
      </w:r>
      <w:r>
        <w:rPr/>
        <w:t>）所规定的须以特别决议通过的事项以外的其他事项均应以一般决议的方式通过。法律法规另有规定时从其规定。</w:t>
      </w:r>
    </w:p>
    <w:p>
      <w:pPr>
        <w:pStyle w:val="BodyText"/>
        <w:spacing w:before="9"/>
      </w:pPr>
    </w:p>
    <w:p>
      <w:pPr>
        <w:pStyle w:val="ListParagraph"/>
        <w:numPr>
          <w:ilvl w:val="0"/>
          <w:numId w:val="73"/>
        </w:numPr>
        <w:tabs>
          <w:tab w:pos="1067" w:val="left" w:leader="none"/>
        </w:tabs>
        <w:spacing w:line="240" w:lineRule="auto" w:before="0" w:after="0"/>
        <w:ind w:left="1067" w:right="0" w:hanging="529"/>
        <w:jc w:val="left"/>
        <w:rPr>
          <w:sz w:val="21"/>
        </w:rPr>
      </w:pPr>
      <w:r>
        <w:rPr>
          <w:spacing w:val="-2"/>
          <w:sz w:val="21"/>
        </w:rPr>
        <w:t>特别决议</w:t>
      </w:r>
    </w:p>
    <w:p>
      <w:pPr>
        <w:pStyle w:val="BodyText"/>
        <w:rPr>
          <w:sz w:val="22"/>
        </w:rPr>
      </w:pPr>
    </w:p>
    <w:p>
      <w:pPr>
        <w:pStyle w:val="BodyText"/>
        <w:spacing w:before="5"/>
        <w:rPr>
          <w:sz w:val="15"/>
        </w:rPr>
      </w:pPr>
    </w:p>
    <w:p>
      <w:pPr>
        <w:pStyle w:val="BodyText"/>
        <w:spacing w:line="417" w:lineRule="auto" w:before="1"/>
        <w:ind w:left="118" w:right="433" w:firstLine="419"/>
        <w:jc w:val="both"/>
      </w:pPr>
      <w:r>
        <w:rPr/>
        <w:t>须经基金份额持有人大会通过的特别决议应当经参加会议的基金份额持有人或其代理</w:t>
      </w:r>
      <w:r>
        <w:rPr>
          <w:spacing w:val="-8"/>
        </w:rPr>
        <w:t>人所持表决权的三分之二以上通过方为有效。除基金合同另有约定外，涉及转换本基金运作</w:t>
      </w:r>
      <w:r>
        <w:rPr>
          <w:spacing w:val="-12"/>
        </w:rPr>
        <w:t>方式、本基金合同的提前终止、更换基金管理人、更换基金托管人等事由必须以特别决议通</w:t>
      </w:r>
      <w:r>
        <w:rPr>
          <w:spacing w:val="-6"/>
        </w:rPr>
        <w:t>过方为有效。</w:t>
      </w:r>
    </w:p>
    <w:p>
      <w:pPr>
        <w:pStyle w:val="BodyText"/>
        <w:spacing w:before="11"/>
      </w:pPr>
    </w:p>
    <w:p>
      <w:pPr>
        <w:pStyle w:val="BodyText"/>
        <w:spacing w:line="417" w:lineRule="auto"/>
        <w:ind w:left="118" w:right="433" w:firstLine="419"/>
        <w:jc w:val="both"/>
      </w:pPr>
      <w:r>
        <w:rPr>
          <w:rFonts w:ascii="Times New Roman" w:eastAsia="Times New Roman"/>
        </w:rPr>
        <w:t>3</w:t>
      </w:r>
      <w:r>
        <w:rPr>
          <w:spacing w:val="-6"/>
        </w:rPr>
        <w:t>、 与某一表决事项有利害关系的基金份额持有人不得就该事项行使表决权；该基金份</w:t>
      </w:r>
      <w:r>
        <w:rPr>
          <w:spacing w:val="-8"/>
        </w:rPr>
        <w:t>额持有人持有的基金份额所代表的表决权份额不计入有效的表决权总额；但是，上述有利害关系的基金份额持有人所代表的基金份额仍应计算入出席基金份额持有人大会之基金份额</w:t>
      </w:r>
      <w:r>
        <w:rPr>
          <w:spacing w:val="-5"/>
        </w:rPr>
        <w:t>持有人及代理人所代表的基金份额总数。</w:t>
      </w:r>
    </w:p>
    <w:p>
      <w:pPr>
        <w:pStyle w:val="BodyText"/>
        <w:spacing w:before="9"/>
      </w:pPr>
    </w:p>
    <w:p>
      <w:pPr>
        <w:pStyle w:val="BodyText"/>
        <w:ind w:left="538"/>
      </w:pPr>
      <w:r>
        <w:rPr>
          <w:rFonts w:ascii="Times New Roman" w:eastAsia="Times New Roman"/>
        </w:rPr>
        <w:t>4</w:t>
      </w:r>
      <w:r>
        <w:rPr/>
        <w:t>、基金份额持有人大会采取记名方式进行投票表决。</w:t>
      </w:r>
    </w:p>
    <w:p>
      <w:pPr>
        <w:pStyle w:val="BodyText"/>
        <w:rPr>
          <w:sz w:val="22"/>
        </w:rPr>
      </w:pPr>
    </w:p>
    <w:p>
      <w:pPr>
        <w:pStyle w:val="BodyText"/>
        <w:spacing w:before="6"/>
        <w:rPr>
          <w:sz w:val="15"/>
        </w:rPr>
      </w:pPr>
    </w:p>
    <w:p>
      <w:pPr>
        <w:pStyle w:val="BodyText"/>
        <w:spacing w:line="417" w:lineRule="auto"/>
        <w:ind w:left="118" w:right="433" w:firstLine="419"/>
        <w:jc w:val="both"/>
      </w:pPr>
      <w:r>
        <w:rPr>
          <w:rFonts w:ascii="Times New Roman" w:eastAsia="Times New Roman"/>
        </w:rPr>
        <w:t>5</w:t>
      </w:r>
      <w:r>
        <w:rPr>
          <w:spacing w:val="-3"/>
        </w:rPr>
        <w:t>、采取书面通讯方式进行表决时，除非在计票时有充分的相反证据证明，否则表面符</w:t>
      </w:r>
      <w:r>
        <w:rPr>
          <w:spacing w:val="-11"/>
        </w:rPr>
        <w:t>合法律、法规和会议通知规定的书面表决意见即视为有效的表决；表决意见模糊不清或相互</w:t>
      </w:r>
      <w:r>
        <w:rPr>
          <w:spacing w:val="-6"/>
        </w:rPr>
        <w:t>矛盾的视为无效表决。</w:t>
      </w:r>
    </w:p>
    <w:p>
      <w:pPr>
        <w:pStyle w:val="BodyText"/>
        <w:spacing w:before="11"/>
      </w:pPr>
    </w:p>
    <w:p>
      <w:pPr>
        <w:pStyle w:val="BodyText"/>
        <w:ind w:left="538"/>
      </w:pPr>
      <w:r>
        <w:rPr>
          <w:rFonts w:ascii="Times New Roman" w:eastAsia="Times New Roman"/>
        </w:rPr>
        <w:t>6</w:t>
      </w:r>
      <w:r>
        <w:rPr/>
        <w:t>、基金份额持有人大会的各项提案或同一项提案内并列的各项议题应当分开审议、逐</w:t>
      </w:r>
    </w:p>
    <w:p>
      <w:pPr>
        <w:spacing w:after="0"/>
        <w:sectPr>
          <w:pgSz w:w="11910" w:h="16850"/>
          <w:pgMar w:header="852" w:footer="1386" w:top="1420" w:bottom="1580" w:left="1680" w:right="1360"/>
        </w:sectPr>
      </w:pPr>
    </w:p>
    <w:p>
      <w:pPr>
        <w:pStyle w:val="BodyText"/>
        <w:spacing w:before="142"/>
        <w:ind w:left="118"/>
      </w:pPr>
      <w:r>
        <w:rPr/>
        <w:t>项表决。</w:t>
      </w:r>
    </w:p>
    <w:p>
      <w:pPr>
        <w:pStyle w:val="BodyText"/>
        <w:rPr>
          <w:sz w:val="20"/>
        </w:rPr>
      </w:pPr>
    </w:p>
    <w:p>
      <w:pPr>
        <w:pStyle w:val="BodyText"/>
        <w:spacing w:before="5"/>
        <w:rPr>
          <w:sz w:val="17"/>
        </w:rPr>
      </w:pPr>
    </w:p>
    <w:p>
      <w:pPr>
        <w:pStyle w:val="BodyText"/>
        <w:ind w:left="538"/>
      </w:pPr>
      <w:r>
        <w:rPr/>
        <w:t>八）计票</w:t>
      </w:r>
    </w:p>
    <w:p>
      <w:pPr>
        <w:pStyle w:val="BodyText"/>
        <w:rPr>
          <w:sz w:val="20"/>
        </w:rPr>
      </w:pPr>
    </w:p>
    <w:p>
      <w:pPr>
        <w:pStyle w:val="BodyText"/>
        <w:spacing w:before="3"/>
        <w:rPr>
          <w:sz w:val="17"/>
        </w:rPr>
      </w:pPr>
    </w:p>
    <w:p>
      <w:pPr>
        <w:pStyle w:val="BodyText"/>
        <w:spacing w:before="1"/>
        <w:ind w:left="538"/>
      </w:pPr>
      <w:r>
        <w:rPr>
          <w:rFonts w:ascii="Times New Roman" w:eastAsia="Times New Roman"/>
        </w:rPr>
        <w:t>1</w:t>
      </w:r>
      <w:r>
        <w:rPr/>
        <w:t>、现场开会</w:t>
      </w:r>
    </w:p>
    <w:p>
      <w:pPr>
        <w:pStyle w:val="BodyText"/>
        <w:rPr>
          <w:sz w:val="22"/>
        </w:rPr>
      </w:pPr>
    </w:p>
    <w:p>
      <w:pPr>
        <w:pStyle w:val="ListParagraph"/>
        <w:numPr>
          <w:ilvl w:val="0"/>
          <w:numId w:val="74"/>
        </w:numPr>
        <w:tabs>
          <w:tab w:pos="785" w:val="left" w:leader="none"/>
        </w:tabs>
        <w:spacing w:line="417" w:lineRule="auto" w:before="197" w:after="0"/>
        <w:ind w:left="118" w:right="436" w:firstLine="419"/>
        <w:jc w:val="both"/>
        <w:rPr>
          <w:sz w:val="21"/>
        </w:rPr>
      </w:pPr>
      <w:r>
        <w:rPr>
          <w:spacing w:val="-3"/>
          <w:sz w:val="21"/>
        </w:rPr>
        <w:t>如基金份额持有人大会由基金管理人或基金托管人召集</w:t>
      </w:r>
      <w:r>
        <w:rPr>
          <w:rFonts w:ascii="Times New Roman" w:eastAsia="Times New Roman"/>
          <w:sz w:val="21"/>
        </w:rPr>
        <w:t>,</w:t>
      </w:r>
      <w:r>
        <w:rPr>
          <w:spacing w:val="-3"/>
          <w:sz w:val="21"/>
        </w:rPr>
        <w:t>则基金份额持有人大会的主</w:t>
      </w:r>
      <w:r>
        <w:rPr>
          <w:sz w:val="21"/>
        </w:rPr>
        <w:t>持人应当在会议开始后宣布在出席会议的基金份额持有人和代理人中选举两名代表与大会召集人授权的一名监督员共同担任监票人；如大会由基金份额持有人自行召集</w:t>
      </w:r>
      <w:r>
        <w:rPr>
          <w:rFonts w:ascii="Times New Roman" w:eastAsia="Times New Roman"/>
          <w:sz w:val="21"/>
        </w:rPr>
        <w:t>,</w:t>
      </w:r>
      <w:r>
        <w:rPr>
          <w:spacing w:val="-4"/>
          <w:sz w:val="21"/>
        </w:rPr>
        <w:t>基金份额持</w:t>
      </w:r>
      <w:r>
        <w:rPr>
          <w:sz w:val="21"/>
        </w:rPr>
        <w:t>有人大会的主持人应当在会议开始后宣布在出席会议的基金份额持有人和代理人中选举三</w:t>
      </w:r>
      <w:r>
        <w:rPr>
          <w:spacing w:val="-3"/>
          <w:sz w:val="21"/>
        </w:rPr>
        <w:t>名代表担任监票人。</w:t>
      </w:r>
    </w:p>
    <w:p>
      <w:pPr>
        <w:pStyle w:val="BodyText"/>
        <w:spacing w:before="12"/>
      </w:pPr>
    </w:p>
    <w:p>
      <w:pPr>
        <w:pStyle w:val="ListParagraph"/>
        <w:numPr>
          <w:ilvl w:val="0"/>
          <w:numId w:val="74"/>
        </w:numPr>
        <w:tabs>
          <w:tab w:pos="786" w:val="left" w:leader="none"/>
        </w:tabs>
        <w:spacing w:line="417" w:lineRule="auto" w:before="0" w:after="0"/>
        <w:ind w:left="118" w:right="440" w:firstLine="419"/>
        <w:jc w:val="left"/>
        <w:rPr>
          <w:sz w:val="21"/>
        </w:rPr>
      </w:pPr>
      <w:r>
        <w:rPr>
          <w:spacing w:val="-1"/>
          <w:sz w:val="21"/>
        </w:rPr>
        <w:t>监票人应当在基金份额持有人表决后立即进行清点并由大会主持人当场公布计票结</w:t>
      </w:r>
      <w:r>
        <w:rPr>
          <w:sz w:val="21"/>
        </w:rPr>
        <w:t>果。</w:t>
      </w:r>
    </w:p>
    <w:p>
      <w:pPr>
        <w:pStyle w:val="BodyText"/>
        <w:spacing w:before="9"/>
      </w:pPr>
    </w:p>
    <w:p>
      <w:pPr>
        <w:pStyle w:val="ListParagraph"/>
        <w:numPr>
          <w:ilvl w:val="0"/>
          <w:numId w:val="74"/>
        </w:numPr>
        <w:tabs>
          <w:tab w:pos="785" w:val="left" w:leader="none"/>
        </w:tabs>
        <w:spacing w:line="417" w:lineRule="auto" w:before="0" w:after="0"/>
        <w:ind w:left="118" w:right="433" w:firstLine="419"/>
        <w:jc w:val="both"/>
        <w:rPr>
          <w:sz w:val="21"/>
        </w:rPr>
      </w:pPr>
      <w:r>
        <w:rPr>
          <w:spacing w:val="-1"/>
          <w:sz w:val="21"/>
        </w:rPr>
        <w:t>如果大会主持人对于提交的表决结果有怀疑</w:t>
      </w:r>
      <w:r>
        <w:rPr>
          <w:rFonts w:ascii="Times New Roman" w:eastAsia="Times New Roman"/>
          <w:sz w:val="21"/>
        </w:rPr>
        <w:t>,</w:t>
      </w:r>
      <w:r>
        <w:rPr>
          <w:spacing w:val="-3"/>
          <w:sz w:val="21"/>
        </w:rPr>
        <w:t>可以对所投票数进行重新清点；如果大会主持人未进行重新清点</w:t>
      </w:r>
      <w:r>
        <w:rPr>
          <w:rFonts w:ascii="Times New Roman" w:eastAsia="Times New Roman"/>
          <w:sz w:val="21"/>
        </w:rPr>
        <w:t>,</w:t>
      </w:r>
      <w:r>
        <w:rPr>
          <w:spacing w:val="-1"/>
          <w:sz w:val="21"/>
        </w:rPr>
        <w:t>而出席会议的基金份额持有人或者代理人对大会主持人宣布的表决结果有异议</w:t>
      </w:r>
      <w:r>
        <w:rPr>
          <w:rFonts w:ascii="Times New Roman" w:eastAsia="Times New Roman"/>
          <w:spacing w:val="-3"/>
          <w:sz w:val="21"/>
        </w:rPr>
        <w:t>,</w:t>
      </w:r>
      <w:r>
        <w:rPr>
          <w:spacing w:val="-3"/>
          <w:sz w:val="21"/>
        </w:rPr>
        <w:t>有权在宣布表决结果后立即要求重新清点</w:t>
      </w:r>
      <w:r>
        <w:rPr>
          <w:rFonts w:ascii="Times New Roman" w:eastAsia="Times New Roman"/>
          <w:sz w:val="21"/>
        </w:rPr>
        <w:t>,</w:t>
      </w:r>
      <w:r>
        <w:rPr>
          <w:spacing w:val="-3"/>
          <w:sz w:val="21"/>
        </w:rPr>
        <w:t>大会主持人应当立即重新清点并公布重新清点结果。</w:t>
      </w:r>
    </w:p>
    <w:p>
      <w:pPr>
        <w:pStyle w:val="BodyText"/>
        <w:spacing w:before="11"/>
      </w:pPr>
    </w:p>
    <w:p>
      <w:pPr>
        <w:pStyle w:val="BodyText"/>
        <w:ind w:left="538"/>
      </w:pPr>
      <w:r>
        <w:rPr>
          <w:rFonts w:ascii="Times New Roman" w:eastAsia="Times New Roman"/>
        </w:rPr>
        <w:t>2</w:t>
      </w:r>
      <w:r>
        <w:rPr/>
        <w:t>、通讯方式开会</w:t>
      </w:r>
    </w:p>
    <w:p>
      <w:pPr>
        <w:pStyle w:val="BodyText"/>
        <w:rPr>
          <w:sz w:val="22"/>
        </w:rPr>
      </w:pPr>
    </w:p>
    <w:p>
      <w:pPr>
        <w:pStyle w:val="BodyText"/>
        <w:spacing w:before="6"/>
        <w:rPr>
          <w:sz w:val="15"/>
        </w:rPr>
      </w:pPr>
    </w:p>
    <w:p>
      <w:pPr>
        <w:pStyle w:val="BodyText"/>
        <w:spacing w:line="417" w:lineRule="auto"/>
        <w:ind w:left="118" w:right="436" w:firstLine="419"/>
      </w:pPr>
      <w:r>
        <w:rPr/>
        <w:t>在通讯方式开会的情况下</w:t>
      </w:r>
      <w:r>
        <w:rPr>
          <w:rFonts w:ascii="Times New Roman" w:eastAsia="Times New Roman"/>
        </w:rPr>
        <w:t>,</w:t>
      </w:r>
      <w:r>
        <w:rPr/>
        <w:t>计票方式为：由大会召集人授权的两名监督员在基金托管人授权代表的监督下进行计票</w:t>
      </w:r>
      <w:r>
        <w:rPr>
          <w:rFonts w:ascii="Times New Roman" w:eastAsia="Times New Roman"/>
        </w:rPr>
        <w:t>,</w:t>
      </w:r>
      <w:r>
        <w:rPr/>
        <w:t>并由公证机关对其计票过程予以公证。</w:t>
      </w:r>
    </w:p>
    <w:p>
      <w:pPr>
        <w:pStyle w:val="BodyText"/>
        <w:spacing w:before="9"/>
      </w:pPr>
    </w:p>
    <w:p>
      <w:pPr>
        <w:pStyle w:val="BodyText"/>
        <w:ind w:left="538"/>
      </w:pPr>
      <w:r>
        <w:rPr/>
        <w:t>九）生效与公告</w:t>
      </w:r>
    </w:p>
    <w:p>
      <w:pPr>
        <w:pStyle w:val="BodyText"/>
        <w:rPr>
          <w:sz w:val="20"/>
        </w:rPr>
      </w:pPr>
    </w:p>
    <w:p>
      <w:pPr>
        <w:pStyle w:val="BodyText"/>
        <w:spacing w:before="6"/>
        <w:rPr>
          <w:sz w:val="17"/>
        </w:rPr>
      </w:pPr>
    </w:p>
    <w:p>
      <w:pPr>
        <w:pStyle w:val="BodyText"/>
        <w:spacing w:line="417" w:lineRule="auto"/>
        <w:ind w:left="118" w:right="433" w:firstLine="419"/>
        <w:jc w:val="both"/>
      </w:pPr>
      <w:r>
        <w:rPr>
          <w:spacing w:val="-6"/>
        </w:rPr>
        <w:t>基金份额持有人大会的召集人自决议事项通过之日起五日内报中国证监会备案，自基金</w:t>
      </w:r>
      <w:r>
        <w:rPr>
          <w:spacing w:val="-5"/>
        </w:rPr>
        <w:t>份额持有人大会决议表决通过之日起生效。基金份额持有人大会决议自生效之日起 </w:t>
      </w:r>
      <w:r>
        <w:rPr>
          <w:rFonts w:ascii="Times New Roman" w:eastAsia="Times New Roman"/>
        </w:rPr>
        <w:t>2 </w:t>
      </w:r>
      <w:r>
        <w:rPr>
          <w:spacing w:val="-3"/>
        </w:rPr>
        <w:t>日内由相关信息披露义务人在至少一种中国证监会指定的媒介予以公告。</w:t>
      </w:r>
    </w:p>
    <w:p>
      <w:pPr>
        <w:pStyle w:val="BodyText"/>
        <w:spacing w:before="11"/>
      </w:pPr>
    </w:p>
    <w:p>
      <w:pPr>
        <w:pStyle w:val="BodyText"/>
        <w:spacing w:line="417" w:lineRule="auto" w:before="1"/>
        <w:ind w:left="118" w:right="433" w:firstLine="419"/>
      </w:pPr>
      <w:r>
        <w:rPr>
          <w:spacing w:val="-12"/>
        </w:rPr>
        <w:t>除非法律法规、本基金合同另有规定，生效的基金份额持有人大会决议对全体基金份额持有人、基金管理人、基金托管人均具有法律约束力，基金管理人、基金托管人和基金份额</w:t>
      </w:r>
    </w:p>
    <w:p>
      <w:pPr>
        <w:spacing w:after="0" w:line="417" w:lineRule="auto"/>
        <w:sectPr>
          <w:pgSz w:w="11910" w:h="16850"/>
          <w:pgMar w:header="852" w:footer="1386" w:top="1420" w:bottom="1580" w:left="1680" w:right="1360"/>
        </w:sectPr>
      </w:pPr>
    </w:p>
    <w:p>
      <w:pPr>
        <w:pStyle w:val="BodyText"/>
        <w:spacing w:before="142"/>
        <w:ind w:left="118"/>
      </w:pPr>
      <w:r>
        <w:rPr/>
        <w:t>持有人应当执行。</w:t>
      </w:r>
    </w:p>
    <w:p>
      <w:pPr>
        <w:pStyle w:val="BodyText"/>
        <w:rPr>
          <w:sz w:val="20"/>
        </w:rPr>
      </w:pPr>
    </w:p>
    <w:p>
      <w:pPr>
        <w:pStyle w:val="BodyText"/>
        <w:spacing w:before="5"/>
        <w:rPr>
          <w:sz w:val="17"/>
        </w:rPr>
      </w:pPr>
    </w:p>
    <w:p>
      <w:pPr>
        <w:pStyle w:val="BodyText"/>
        <w:spacing w:line="664" w:lineRule="auto"/>
        <w:ind w:left="538" w:right="4961"/>
      </w:pPr>
      <w:r>
        <w:rPr/>
        <w:t>（三）基金收益分配原则、执行方式一）基金利润的构成</w:t>
      </w:r>
    </w:p>
    <w:p>
      <w:pPr>
        <w:pStyle w:val="BodyText"/>
        <w:spacing w:line="417" w:lineRule="auto" w:before="5"/>
        <w:ind w:left="118" w:right="433" w:firstLine="419"/>
      </w:pPr>
      <w:r>
        <w:rPr>
          <w:spacing w:val="-10"/>
        </w:rPr>
        <w:t>基金利润指基金利息收入、投资收益、公允价值变动收益和其他收入扣除相关费用后的</w:t>
      </w:r>
      <w:r>
        <w:rPr>
          <w:spacing w:val="-5"/>
        </w:rPr>
        <w:t>余额；基金已实现收益指基金利润减去公允价值变动损益后的余额。</w:t>
      </w:r>
    </w:p>
    <w:p>
      <w:pPr>
        <w:pStyle w:val="BodyText"/>
        <w:spacing w:before="11"/>
      </w:pPr>
    </w:p>
    <w:p>
      <w:pPr>
        <w:pStyle w:val="BodyText"/>
        <w:ind w:left="538"/>
      </w:pPr>
      <w:r>
        <w:rPr/>
        <w:t>二）收益分配原则</w:t>
      </w:r>
    </w:p>
    <w:p>
      <w:pPr>
        <w:pStyle w:val="BodyText"/>
        <w:rPr>
          <w:sz w:val="20"/>
        </w:rPr>
      </w:pPr>
    </w:p>
    <w:p>
      <w:pPr>
        <w:pStyle w:val="BodyText"/>
        <w:spacing w:before="4"/>
        <w:rPr>
          <w:sz w:val="17"/>
        </w:rPr>
      </w:pPr>
    </w:p>
    <w:p>
      <w:pPr>
        <w:pStyle w:val="ListParagraph"/>
        <w:numPr>
          <w:ilvl w:val="0"/>
          <w:numId w:val="75"/>
        </w:numPr>
        <w:tabs>
          <w:tab w:pos="856" w:val="left" w:leader="none"/>
        </w:tabs>
        <w:spacing w:line="417" w:lineRule="auto" w:before="0" w:after="0"/>
        <w:ind w:left="118" w:right="433" w:firstLine="419"/>
        <w:jc w:val="both"/>
        <w:rPr>
          <w:sz w:val="21"/>
        </w:rPr>
      </w:pPr>
      <w:r>
        <w:rPr>
          <w:spacing w:val="-10"/>
          <w:sz w:val="21"/>
        </w:rPr>
        <w:t>本基金每日将 </w:t>
      </w:r>
      <w:r>
        <w:rPr>
          <w:rFonts w:ascii="Times New Roman" w:eastAsia="Times New Roman"/>
          <w:sz w:val="21"/>
        </w:rPr>
        <w:t>A</w:t>
      </w:r>
      <w:r>
        <w:rPr>
          <w:rFonts w:ascii="Times New Roman" w:eastAsia="Times New Roman"/>
          <w:spacing w:val="8"/>
          <w:sz w:val="21"/>
        </w:rPr>
        <w:t> </w:t>
      </w:r>
      <w:r>
        <w:rPr>
          <w:spacing w:val="6"/>
          <w:sz w:val="21"/>
        </w:rPr>
        <w:t>类基金份额和</w:t>
      </w:r>
      <w:r>
        <w:rPr>
          <w:rFonts w:ascii="Times New Roman" w:eastAsia="Times New Roman"/>
          <w:sz w:val="21"/>
        </w:rPr>
        <w:t>B</w:t>
      </w:r>
      <w:r>
        <w:rPr>
          <w:rFonts w:ascii="Times New Roman" w:eastAsia="Times New Roman"/>
          <w:spacing w:val="5"/>
          <w:sz w:val="21"/>
        </w:rPr>
        <w:t> </w:t>
      </w:r>
      <w:r>
        <w:rPr>
          <w:spacing w:val="-3"/>
          <w:sz w:val="21"/>
        </w:rPr>
        <w:t>类份额的基金已实现收益分配给相应的基金份额</w:t>
      </w:r>
      <w:r>
        <w:rPr>
          <w:spacing w:val="-9"/>
          <w:sz w:val="21"/>
        </w:rPr>
        <w:t>持有人</w:t>
      </w:r>
      <w:r>
        <w:rPr>
          <w:spacing w:val="-3"/>
          <w:sz w:val="21"/>
        </w:rPr>
        <w:t>（该收益将于下一工作日会计确认为实收基金</w:t>
      </w:r>
      <w:r>
        <w:rPr>
          <w:spacing w:val="-108"/>
          <w:sz w:val="21"/>
        </w:rPr>
        <w:t>）</w:t>
      </w:r>
      <w:r>
        <w:rPr>
          <w:spacing w:val="-10"/>
          <w:sz w:val="21"/>
        </w:rPr>
        <w:t>。通常情况下，本基金每月 </w:t>
      </w:r>
      <w:r>
        <w:rPr>
          <w:rFonts w:ascii="Times New Roman" w:eastAsia="Times New Roman"/>
          <w:sz w:val="21"/>
        </w:rPr>
        <w:t>15</w:t>
      </w:r>
      <w:r>
        <w:rPr>
          <w:rFonts w:ascii="Times New Roman" w:eastAsia="Times New Roman"/>
          <w:spacing w:val="15"/>
          <w:sz w:val="21"/>
        </w:rPr>
        <w:t> </w:t>
      </w:r>
      <w:r>
        <w:rPr>
          <w:spacing w:val="-25"/>
          <w:sz w:val="21"/>
        </w:rPr>
        <w:t>日</w:t>
      </w:r>
      <w:r>
        <w:rPr>
          <w:sz w:val="21"/>
        </w:rPr>
        <w:t>（</w:t>
      </w:r>
      <w:r>
        <w:rPr>
          <w:spacing w:val="-3"/>
          <w:sz w:val="21"/>
        </w:rPr>
        <w:t>如</w:t>
      </w:r>
      <w:r>
        <w:rPr>
          <w:spacing w:val="-2"/>
          <w:sz w:val="21"/>
        </w:rPr>
        <w:t>遇节假日顺延</w:t>
      </w:r>
      <w:r>
        <w:rPr>
          <w:spacing w:val="-25"/>
          <w:sz w:val="21"/>
        </w:rPr>
        <w:t>）</w:t>
      </w:r>
      <w:r>
        <w:rPr>
          <w:spacing w:val="-9"/>
          <w:sz w:val="21"/>
        </w:rPr>
        <w:t>集中支付收益，结转为相应的基金份额；对于可支持按日支付的销售机构， </w:t>
      </w:r>
      <w:r>
        <w:rPr>
          <w:spacing w:val="-6"/>
          <w:sz w:val="21"/>
        </w:rPr>
        <w:t>本基金的收益支付方式经基金管理人和销售机构双方协商一致后可以按日支付。不论何种支</w:t>
      </w:r>
      <w:r>
        <w:rPr>
          <w:spacing w:val="-10"/>
          <w:sz w:val="21"/>
        </w:rPr>
        <w:t>付方式，当日收益均参与下一日的收益分配，不影响基金份额持有人实际获得的投资收益。</w:t>
      </w:r>
      <w:r>
        <w:rPr>
          <w:spacing w:val="-6"/>
          <w:sz w:val="21"/>
        </w:rPr>
        <w:t>基金合同生效不满 </w:t>
      </w:r>
      <w:r>
        <w:rPr>
          <w:rFonts w:ascii="Times New Roman" w:eastAsia="Times New Roman"/>
          <w:sz w:val="21"/>
        </w:rPr>
        <w:t>1</w:t>
      </w:r>
      <w:r>
        <w:rPr>
          <w:rFonts w:ascii="Times New Roman" w:eastAsia="Times New Roman"/>
          <w:spacing w:val="27"/>
          <w:sz w:val="21"/>
        </w:rPr>
        <w:t> </w:t>
      </w:r>
      <w:r>
        <w:rPr>
          <w:spacing w:val="-5"/>
          <w:sz w:val="21"/>
        </w:rPr>
        <w:t>个月时可不结转。投资者当日收益的精度为 </w:t>
      </w:r>
      <w:r>
        <w:rPr>
          <w:rFonts w:ascii="Times New Roman" w:eastAsia="Times New Roman"/>
          <w:sz w:val="21"/>
        </w:rPr>
        <w:t>0.01</w:t>
      </w:r>
      <w:r>
        <w:rPr>
          <w:rFonts w:ascii="Times New Roman" w:eastAsia="Times New Roman"/>
          <w:spacing w:val="23"/>
          <w:sz w:val="21"/>
        </w:rPr>
        <w:t> </w:t>
      </w:r>
      <w:r>
        <w:rPr>
          <w:spacing w:val="-3"/>
          <w:sz w:val="21"/>
        </w:rPr>
        <w:t>元，第三位采用去尾的方式，因去尾形成的余额进行再次分配。</w:t>
      </w:r>
    </w:p>
    <w:p>
      <w:pPr>
        <w:pStyle w:val="BodyText"/>
        <w:spacing w:before="11"/>
      </w:pPr>
    </w:p>
    <w:p>
      <w:pPr>
        <w:pStyle w:val="ListParagraph"/>
        <w:numPr>
          <w:ilvl w:val="0"/>
          <w:numId w:val="75"/>
        </w:numPr>
        <w:tabs>
          <w:tab w:pos="802" w:val="left" w:leader="none"/>
        </w:tabs>
        <w:spacing w:line="417" w:lineRule="auto" w:before="0" w:after="0"/>
        <w:ind w:left="118" w:right="433" w:firstLine="419"/>
        <w:jc w:val="both"/>
        <w:rPr>
          <w:sz w:val="21"/>
        </w:rPr>
      </w:pPr>
      <w:r>
        <w:rPr>
          <w:spacing w:val="-5"/>
          <w:sz w:val="21"/>
        </w:rPr>
        <w:t>本基金每日将 </w:t>
      </w:r>
      <w:r>
        <w:rPr>
          <w:rFonts w:ascii="Times New Roman" w:eastAsia="Times New Roman"/>
          <w:sz w:val="21"/>
        </w:rPr>
        <w:t>E</w:t>
      </w:r>
      <w:r>
        <w:rPr>
          <w:rFonts w:ascii="Times New Roman" w:eastAsia="Times New Roman"/>
          <w:spacing w:val="36"/>
          <w:sz w:val="21"/>
        </w:rPr>
        <w:t> </w:t>
      </w:r>
      <w:r>
        <w:rPr>
          <w:spacing w:val="-3"/>
          <w:sz w:val="21"/>
        </w:rPr>
        <w:t>类基金份额的基金已实现收益分配给相应的基金份额持有人，并记</w:t>
      </w:r>
      <w:r>
        <w:rPr>
          <w:spacing w:val="-3"/>
          <w:w w:val="100"/>
          <w:sz w:val="21"/>
        </w:rPr>
        <w:t>入</w:t>
      </w:r>
      <w:r>
        <w:rPr>
          <w:spacing w:val="-53"/>
          <w:sz w:val="21"/>
        </w:rPr>
        <w:t> </w:t>
      </w:r>
      <w:r>
        <w:rPr>
          <w:rFonts w:ascii="Times New Roman" w:eastAsia="Times New Roman"/>
          <w:w w:val="100"/>
          <w:sz w:val="21"/>
        </w:rPr>
        <w:t>E</w:t>
      </w:r>
      <w:r>
        <w:rPr>
          <w:rFonts w:ascii="Times New Roman" w:eastAsia="Times New Roman"/>
          <w:spacing w:val="-2"/>
          <w:sz w:val="21"/>
        </w:rPr>
        <w:t> </w:t>
      </w:r>
      <w:r>
        <w:rPr>
          <w:spacing w:val="-4"/>
          <w:w w:val="100"/>
          <w:sz w:val="21"/>
        </w:rPr>
        <w:t>类份额持有人的收益账户</w:t>
      </w:r>
      <w:r>
        <w:rPr>
          <w:w w:val="100"/>
          <w:sz w:val="21"/>
        </w:rPr>
        <w:t>（</w:t>
      </w:r>
      <w:r>
        <w:rPr>
          <w:spacing w:val="-3"/>
          <w:w w:val="100"/>
          <w:sz w:val="21"/>
        </w:rPr>
        <w:t>该收益将于下一工作日会计确认为实收基金</w:t>
      </w:r>
      <w:r>
        <w:rPr>
          <w:spacing w:val="-108"/>
          <w:w w:val="100"/>
          <w:sz w:val="21"/>
        </w:rPr>
        <w:t>）</w:t>
      </w:r>
      <w:r>
        <w:rPr>
          <w:spacing w:val="-3"/>
          <w:w w:val="100"/>
          <w:sz w:val="21"/>
        </w:rPr>
        <w:t>，当日收益参</w:t>
      </w:r>
      <w:r>
        <w:rPr>
          <w:spacing w:val="-5"/>
          <w:sz w:val="21"/>
        </w:rPr>
        <w:t>与下一日的收益分配。若 </w:t>
      </w:r>
      <w:r>
        <w:rPr>
          <w:rFonts w:ascii="Times New Roman" w:eastAsia="Times New Roman"/>
          <w:sz w:val="21"/>
        </w:rPr>
        <w:t>E</w:t>
      </w:r>
      <w:r>
        <w:rPr>
          <w:rFonts w:ascii="Times New Roman" w:eastAsia="Times New Roman"/>
          <w:spacing w:val="34"/>
          <w:sz w:val="21"/>
        </w:rPr>
        <w:t> </w:t>
      </w:r>
      <w:r>
        <w:rPr>
          <w:spacing w:val="-4"/>
          <w:sz w:val="21"/>
        </w:rPr>
        <w:t>类基金份额持有人收益账户内的累计收益不低于 </w:t>
      </w:r>
      <w:r>
        <w:rPr>
          <w:rFonts w:ascii="Times New Roman" w:eastAsia="Times New Roman"/>
          <w:sz w:val="21"/>
        </w:rPr>
        <w:t>100</w:t>
      </w:r>
      <w:r>
        <w:rPr>
          <w:rFonts w:ascii="Times New Roman" w:eastAsia="Times New Roman"/>
          <w:spacing w:val="31"/>
          <w:sz w:val="21"/>
        </w:rPr>
        <w:t> </w:t>
      </w:r>
      <w:r>
        <w:rPr>
          <w:spacing w:val="-2"/>
          <w:sz w:val="21"/>
        </w:rPr>
        <w:t>元时，则</w:t>
      </w:r>
      <w:r>
        <w:rPr>
          <w:rFonts w:ascii="Times New Roman" w:eastAsia="Times New Roman"/>
          <w:spacing w:val="-2"/>
          <w:sz w:val="21"/>
        </w:rPr>
        <w:t>100</w:t>
      </w:r>
      <w:r>
        <w:rPr>
          <w:rFonts w:ascii="Times New Roman" w:eastAsia="Times New Roman"/>
          <w:spacing w:val="25"/>
          <w:sz w:val="21"/>
        </w:rPr>
        <w:t> </w:t>
      </w:r>
      <w:r>
        <w:rPr>
          <w:spacing w:val="-5"/>
          <w:sz w:val="21"/>
        </w:rPr>
        <w:t>元整数倍的累计收益将兑付为相应 </w:t>
      </w:r>
      <w:r>
        <w:rPr>
          <w:rFonts w:ascii="Times New Roman" w:eastAsia="Times New Roman"/>
          <w:sz w:val="21"/>
        </w:rPr>
        <w:t>E</w:t>
      </w:r>
      <w:r>
        <w:rPr>
          <w:rFonts w:ascii="Times New Roman" w:eastAsia="Times New Roman"/>
          <w:spacing w:val="25"/>
          <w:sz w:val="21"/>
        </w:rPr>
        <w:t> </w:t>
      </w:r>
      <w:r>
        <w:rPr>
          <w:spacing w:val="-5"/>
          <w:sz w:val="21"/>
        </w:rPr>
        <w:t>类基金份额。投资者当日收益的精度为 </w:t>
      </w:r>
      <w:r>
        <w:rPr>
          <w:rFonts w:ascii="Times New Roman" w:eastAsia="Times New Roman"/>
          <w:sz w:val="21"/>
        </w:rPr>
        <w:t>0.01</w:t>
      </w:r>
      <w:r>
        <w:rPr>
          <w:rFonts w:ascii="Times New Roman" w:eastAsia="Times New Roman"/>
          <w:spacing w:val="25"/>
          <w:sz w:val="21"/>
        </w:rPr>
        <w:t> </w:t>
      </w:r>
      <w:r>
        <w:rPr>
          <w:spacing w:val="-3"/>
          <w:sz w:val="21"/>
        </w:rPr>
        <w:t>元， 第三位采用去尾的方式，因去尾形成的余额进行再次分配。</w:t>
      </w:r>
    </w:p>
    <w:p>
      <w:pPr>
        <w:pStyle w:val="BodyText"/>
        <w:spacing w:before="11"/>
      </w:pPr>
    </w:p>
    <w:p>
      <w:pPr>
        <w:pStyle w:val="ListParagraph"/>
        <w:numPr>
          <w:ilvl w:val="0"/>
          <w:numId w:val="75"/>
        </w:numPr>
        <w:tabs>
          <w:tab w:pos="802" w:val="left" w:leader="none"/>
        </w:tabs>
        <w:spacing w:line="417" w:lineRule="auto" w:before="0" w:after="0"/>
        <w:ind w:left="118" w:right="433" w:firstLine="419"/>
        <w:jc w:val="both"/>
        <w:rPr>
          <w:sz w:val="21"/>
        </w:rPr>
      </w:pPr>
      <w:r>
        <w:rPr>
          <w:spacing w:val="-4"/>
          <w:sz w:val="21"/>
        </w:rPr>
        <w:t>本基金的分红方式限于红利再投资。对按月支付收益的情形，如 </w:t>
      </w:r>
      <w:r>
        <w:rPr>
          <w:rFonts w:ascii="Times New Roman" w:eastAsia="Times New Roman"/>
          <w:sz w:val="21"/>
        </w:rPr>
        <w:t>A</w:t>
      </w:r>
      <w:r>
        <w:rPr>
          <w:rFonts w:ascii="Times New Roman" w:eastAsia="Times New Roman"/>
          <w:spacing w:val="26"/>
          <w:sz w:val="21"/>
        </w:rPr>
        <w:t> </w:t>
      </w:r>
      <w:r>
        <w:rPr>
          <w:spacing w:val="-7"/>
          <w:sz w:val="21"/>
        </w:rPr>
        <w:t>类基金份额和 </w:t>
      </w:r>
      <w:r>
        <w:rPr>
          <w:rFonts w:ascii="Times New Roman" w:eastAsia="Times New Roman"/>
          <w:sz w:val="21"/>
        </w:rPr>
        <w:t>B </w:t>
      </w:r>
      <w:r>
        <w:rPr>
          <w:spacing w:val="-8"/>
          <w:sz w:val="21"/>
        </w:rPr>
        <w:t>类基金份额当月累计分配的基金收益为正，则为持有人增加相应的基金份额；如当月累计分</w:t>
      </w:r>
      <w:r>
        <w:rPr>
          <w:spacing w:val="-5"/>
          <w:sz w:val="21"/>
        </w:rPr>
        <w:t>配的基金收益为负，则为持有人缩减相应的基金份额。对按日支付收益的情形，如 </w:t>
      </w:r>
      <w:r>
        <w:rPr>
          <w:rFonts w:ascii="Times New Roman" w:eastAsia="Times New Roman"/>
          <w:sz w:val="21"/>
        </w:rPr>
        <w:t>A</w:t>
      </w:r>
      <w:r>
        <w:rPr>
          <w:rFonts w:ascii="Times New Roman" w:eastAsia="Times New Roman"/>
          <w:spacing w:val="3"/>
          <w:sz w:val="21"/>
        </w:rPr>
        <w:t> </w:t>
      </w:r>
      <w:r>
        <w:rPr>
          <w:spacing w:val="-3"/>
          <w:sz w:val="21"/>
        </w:rPr>
        <w:t>类基</w:t>
      </w:r>
      <w:r>
        <w:rPr>
          <w:sz w:val="21"/>
        </w:rPr>
        <w:t>金份额和 </w:t>
      </w:r>
      <w:r>
        <w:rPr>
          <w:rFonts w:ascii="Times New Roman" w:eastAsia="Times New Roman"/>
          <w:sz w:val="21"/>
        </w:rPr>
        <w:t>B</w:t>
      </w:r>
      <w:r>
        <w:rPr>
          <w:rFonts w:ascii="Times New Roman" w:eastAsia="Times New Roman"/>
          <w:spacing w:val="11"/>
          <w:sz w:val="21"/>
        </w:rPr>
        <w:t> </w:t>
      </w:r>
      <w:r>
        <w:rPr>
          <w:spacing w:val="-3"/>
          <w:sz w:val="21"/>
        </w:rPr>
        <w:t>类基金份额当日分配的基金收益为正，则为持有人增加相应的基金份额；如当</w:t>
      </w:r>
      <w:r>
        <w:rPr>
          <w:spacing w:val="-10"/>
          <w:sz w:val="21"/>
        </w:rPr>
        <w:t>日分配的基金收益为负，则为持有人缩减相应的基金份额。投资者可通过赎回基金份额获取</w:t>
      </w:r>
      <w:r>
        <w:rPr>
          <w:spacing w:val="-5"/>
          <w:sz w:val="21"/>
        </w:rPr>
        <w:t>现金收益。</w:t>
      </w:r>
    </w:p>
    <w:p>
      <w:pPr>
        <w:spacing w:after="0" w:line="417" w:lineRule="auto"/>
        <w:jc w:val="both"/>
        <w:rPr>
          <w:sz w:val="21"/>
        </w:rPr>
        <w:sectPr>
          <w:pgSz w:w="11910" w:h="16850"/>
          <w:pgMar w:header="852" w:footer="1386" w:top="1420" w:bottom="1580" w:left="1680" w:right="1360"/>
        </w:sectPr>
      </w:pPr>
    </w:p>
    <w:p>
      <w:pPr>
        <w:pStyle w:val="ListParagraph"/>
        <w:numPr>
          <w:ilvl w:val="0"/>
          <w:numId w:val="75"/>
        </w:numPr>
        <w:tabs>
          <w:tab w:pos="856" w:val="left" w:leader="none"/>
        </w:tabs>
        <w:spacing w:line="417" w:lineRule="auto" w:before="142" w:after="0"/>
        <w:ind w:left="118" w:right="433" w:firstLine="419"/>
        <w:jc w:val="both"/>
        <w:rPr>
          <w:sz w:val="21"/>
        </w:rPr>
      </w:pPr>
      <w:r>
        <w:rPr>
          <w:spacing w:val="-10"/>
          <w:sz w:val="21"/>
        </w:rPr>
        <w:t>对按月支付收益的情形，在 </w:t>
      </w:r>
      <w:r>
        <w:rPr>
          <w:rFonts w:ascii="Times New Roman" w:eastAsia="Times New Roman"/>
          <w:sz w:val="21"/>
        </w:rPr>
        <w:t>A</w:t>
      </w:r>
      <w:r>
        <w:rPr>
          <w:rFonts w:ascii="Times New Roman" w:eastAsia="Times New Roman"/>
          <w:spacing w:val="9"/>
          <w:sz w:val="21"/>
        </w:rPr>
        <w:t> </w:t>
      </w:r>
      <w:r>
        <w:rPr>
          <w:spacing w:val="-8"/>
          <w:sz w:val="21"/>
        </w:rPr>
        <w:t>类基金份额持有人或 </w:t>
      </w:r>
      <w:r>
        <w:rPr>
          <w:rFonts w:ascii="Times New Roman" w:eastAsia="Times New Roman"/>
          <w:sz w:val="21"/>
        </w:rPr>
        <w:t>B</w:t>
      </w:r>
      <w:r>
        <w:rPr>
          <w:rFonts w:ascii="Times New Roman" w:eastAsia="Times New Roman"/>
          <w:spacing w:val="5"/>
          <w:sz w:val="21"/>
        </w:rPr>
        <w:t> </w:t>
      </w:r>
      <w:r>
        <w:rPr>
          <w:spacing w:val="-3"/>
          <w:sz w:val="21"/>
        </w:rPr>
        <w:t>类基金份额持有人全部赎回 </w:t>
      </w:r>
      <w:r>
        <w:rPr>
          <w:spacing w:val="-9"/>
          <w:sz w:val="21"/>
        </w:rPr>
        <w:t>基金份额时，其账户在本月累计的基金收益将立即结算，并随赎回款项一起支付给投资者， </w:t>
      </w:r>
      <w:r>
        <w:rPr>
          <w:spacing w:val="-5"/>
          <w:sz w:val="21"/>
        </w:rPr>
        <w:t>如本月累计的基金收益为负，则扣减赎回金额；在 </w:t>
      </w:r>
      <w:r>
        <w:rPr>
          <w:rFonts w:ascii="Times New Roman" w:eastAsia="Times New Roman"/>
          <w:sz w:val="21"/>
        </w:rPr>
        <w:t>A</w:t>
      </w:r>
      <w:r>
        <w:rPr>
          <w:rFonts w:ascii="Times New Roman" w:eastAsia="Times New Roman"/>
          <w:spacing w:val="17"/>
          <w:sz w:val="21"/>
        </w:rPr>
        <w:t> </w:t>
      </w:r>
      <w:r>
        <w:rPr>
          <w:spacing w:val="-7"/>
          <w:sz w:val="21"/>
        </w:rPr>
        <w:t>类基金份额持有人和 </w:t>
      </w:r>
      <w:r>
        <w:rPr>
          <w:rFonts w:ascii="Times New Roman" w:eastAsia="Times New Roman"/>
          <w:sz w:val="21"/>
        </w:rPr>
        <w:t>B</w:t>
      </w:r>
      <w:r>
        <w:rPr>
          <w:rFonts w:ascii="Times New Roman" w:eastAsia="Times New Roman"/>
          <w:spacing w:val="21"/>
          <w:sz w:val="21"/>
        </w:rPr>
        <w:t> </w:t>
      </w:r>
      <w:r>
        <w:rPr>
          <w:spacing w:val="-3"/>
          <w:sz w:val="21"/>
        </w:rPr>
        <w:t>类基金份额持</w:t>
      </w:r>
      <w:r>
        <w:rPr>
          <w:spacing w:val="-9"/>
          <w:sz w:val="21"/>
        </w:rPr>
        <w:t>有人部分赎回基金份额时，不结算基金收益，而是待全部赎回时再一并结算基金收益。对按</w:t>
      </w:r>
      <w:r>
        <w:rPr>
          <w:spacing w:val="-6"/>
          <w:sz w:val="21"/>
        </w:rPr>
        <w:t>日支付收益的情形，在 </w:t>
      </w:r>
      <w:r>
        <w:rPr>
          <w:rFonts w:ascii="Times New Roman" w:eastAsia="Times New Roman"/>
          <w:sz w:val="21"/>
        </w:rPr>
        <w:t>A</w:t>
      </w:r>
      <w:r>
        <w:rPr>
          <w:rFonts w:ascii="Times New Roman" w:eastAsia="Times New Roman"/>
          <w:spacing w:val="19"/>
          <w:sz w:val="21"/>
        </w:rPr>
        <w:t> </w:t>
      </w:r>
      <w:r>
        <w:rPr>
          <w:spacing w:val="-7"/>
          <w:sz w:val="21"/>
        </w:rPr>
        <w:t>类基金份额持有人或 </w:t>
      </w:r>
      <w:r>
        <w:rPr>
          <w:rFonts w:ascii="Times New Roman" w:eastAsia="Times New Roman"/>
          <w:sz w:val="21"/>
        </w:rPr>
        <w:t>B</w:t>
      </w:r>
      <w:r>
        <w:rPr>
          <w:rFonts w:ascii="Times New Roman" w:eastAsia="Times New Roman"/>
          <w:spacing w:val="19"/>
          <w:sz w:val="21"/>
        </w:rPr>
        <w:t> </w:t>
      </w:r>
      <w:r>
        <w:rPr>
          <w:spacing w:val="-3"/>
          <w:sz w:val="21"/>
        </w:rPr>
        <w:t>类基金份额持有人全部赎回基金份额时， </w:t>
      </w:r>
      <w:r>
        <w:rPr>
          <w:spacing w:val="-8"/>
          <w:sz w:val="21"/>
        </w:rPr>
        <w:t>其账户在当日的基金收益将立即结算，并随赎回款项一起支付给投资者，如当日的基金收益</w:t>
      </w:r>
      <w:r>
        <w:rPr>
          <w:spacing w:val="-22"/>
          <w:sz w:val="21"/>
        </w:rPr>
        <w:t>为负，则扣减赎回金额；在 </w:t>
      </w:r>
      <w:r>
        <w:rPr>
          <w:rFonts w:ascii="Times New Roman" w:eastAsia="Times New Roman"/>
          <w:sz w:val="21"/>
        </w:rPr>
        <w:t>A</w:t>
      </w:r>
      <w:r>
        <w:rPr>
          <w:rFonts w:ascii="Times New Roman" w:eastAsia="Times New Roman"/>
          <w:spacing w:val="13"/>
          <w:sz w:val="21"/>
        </w:rPr>
        <w:t> </w:t>
      </w:r>
      <w:r>
        <w:rPr>
          <w:spacing w:val="3"/>
          <w:sz w:val="21"/>
        </w:rPr>
        <w:t>类基金份额持有人和</w:t>
      </w:r>
      <w:r>
        <w:rPr>
          <w:rFonts w:ascii="Times New Roman" w:eastAsia="Times New Roman"/>
          <w:sz w:val="21"/>
        </w:rPr>
        <w:t>B</w:t>
      </w:r>
      <w:r>
        <w:rPr>
          <w:rFonts w:ascii="Times New Roman" w:eastAsia="Times New Roman"/>
          <w:spacing w:val="13"/>
          <w:sz w:val="21"/>
        </w:rPr>
        <w:t> </w:t>
      </w:r>
      <w:r>
        <w:rPr>
          <w:spacing w:val="-3"/>
          <w:sz w:val="21"/>
        </w:rPr>
        <w:t>类基金份额持有人部分赎回基金份额时，不结算基金收益，而是待全部赎回时再一并结算基金收益。在 </w:t>
      </w:r>
      <w:r>
        <w:rPr>
          <w:rFonts w:ascii="Times New Roman" w:eastAsia="Times New Roman"/>
          <w:sz w:val="21"/>
        </w:rPr>
        <w:t>E</w:t>
      </w:r>
      <w:r>
        <w:rPr>
          <w:rFonts w:ascii="Times New Roman" w:eastAsia="Times New Roman"/>
          <w:spacing w:val="12"/>
          <w:sz w:val="21"/>
        </w:rPr>
        <w:t> </w:t>
      </w:r>
      <w:r>
        <w:rPr>
          <w:spacing w:val="-3"/>
          <w:sz w:val="21"/>
        </w:rPr>
        <w:t>类基金份额持有人赎回</w:t>
      </w:r>
      <w:r>
        <w:rPr>
          <w:spacing w:val="-9"/>
          <w:sz w:val="21"/>
        </w:rPr>
        <w:t>基金份额时，其对应比例的累计收益将立即结清，以现金支付给投资人，如累计的基金收益</w:t>
      </w:r>
      <w:r>
        <w:rPr>
          <w:spacing w:val="-3"/>
          <w:sz w:val="21"/>
        </w:rPr>
        <w:t>为负，则扣减赎回金额。</w:t>
      </w:r>
    </w:p>
    <w:p>
      <w:pPr>
        <w:pStyle w:val="BodyText"/>
        <w:spacing w:before="10"/>
      </w:pPr>
    </w:p>
    <w:p>
      <w:pPr>
        <w:pStyle w:val="ListParagraph"/>
        <w:numPr>
          <w:ilvl w:val="0"/>
          <w:numId w:val="75"/>
        </w:numPr>
        <w:tabs>
          <w:tab w:pos="802" w:val="left" w:leader="none"/>
        </w:tabs>
        <w:spacing w:line="417" w:lineRule="auto" w:before="0" w:after="0"/>
        <w:ind w:left="118" w:right="433" w:firstLine="419"/>
        <w:jc w:val="both"/>
        <w:rPr>
          <w:sz w:val="21"/>
        </w:rPr>
      </w:pPr>
      <w:r>
        <w:rPr>
          <w:spacing w:val="-7"/>
          <w:sz w:val="21"/>
        </w:rPr>
        <w:t>基金份额持有人部分卖出 </w:t>
      </w:r>
      <w:r>
        <w:rPr>
          <w:rFonts w:ascii="Times New Roman" w:eastAsia="Times New Roman"/>
          <w:sz w:val="21"/>
        </w:rPr>
        <w:t>E</w:t>
      </w:r>
      <w:r>
        <w:rPr>
          <w:rFonts w:ascii="Times New Roman" w:eastAsia="Times New Roman"/>
          <w:spacing w:val="15"/>
          <w:sz w:val="21"/>
        </w:rPr>
        <w:t> </w:t>
      </w:r>
      <w:r>
        <w:rPr>
          <w:spacing w:val="-5"/>
          <w:sz w:val="21"/>
        </w:rPr>
        <w:t>类基金份额时，不支付对应的收益，全部卖出 </w:t>
      </w:r>
      <w:r>
        <w:rPr>
          <w:rFonts w:ascii="Times New Roman" w:eastAsia="Times New Roman"/>
          <w:sz w:val="21"/>
        </w:rPr>
        <w:t>E</w:t>
      </w:r>
      <w:r>
        <w:rPr>
          <w:rFonts w:ascii="Times New Roman" w:eastAsia="Times New Roman"/>
          <w:spacing w:val="15"/>
          <w:sz w:val="21"/>
        </w:rPr>
        <w:t> </w:t>
      </w:r>
      <w:r>
        <w:rPr>
          <w:spacing w:val="-2"/>
          <w:sz w:val="21"/>
        </w:rPr>
        <w:t>类基金</w:t>
      </w:r>
      <w:r>
        <w:rPr>
          <w:spacing w:val="-10"/>
          <w:sz w:val="21"/>
        </w:rPr>
        <w:t>份额时，以现金方式将全部累计收益与基金份额持有人结清。若累计收益为负，则投资人应</w:t>
      </w:r>
      <w:r>
        <w:rPr>
          <w:spacing w:val="-5"/>
          <w:sz w:val="21"/>
        </w:rPr>
        <w:t>当以现金方式全额弥补，否则基金管理人有权向基金份额持有人追索相应收益及损失。</w:t>
      </w:r>
    </w:p>
    <w:p>
      <w:pPr>
        <w:pStyle w:val="BodyText"/>
        <w:spacing w:before="9"/>
      </w:pPr>
    </w:p>
    <w:p>
      <w:pPr>
        <w:pStyle w:val="BodyText"/>
        <w:spacing w:line="417" w:lineRule="auto"/>
        <w:ind w:left="118" w:right="433" w:firstLine="419"/>
        <w:jc w:val="both"/>
      </w:pPr>
      <w:r>
        <w:rPr>
          <w:rFonts w:ascii="Times New Roman" w:eastAsia="Times New Roman"/>
        </w:rPr>
        <w:t>6</w:t>
      </w:r>
      <w:r>
        <w:rPr/>
        <w:t>．</w:t>
      </w:r>
      <w:r>
        <w:rPr>
          <w:rFonts w:ascii="Times New Roman" w:eastAsia="Times New Roman"/>
        </w:rPr>
        <w:t>T </w:t>
      </w:r>
      <w:r>
        <w:rPr>
          <w:spacing w:val="-7"/>
        </w:rPr>
        <w:t>日申购的基金份额不享有 </w:t>
      </w:r>
      <w:r>
        <w:rPr>
          <w:rFonts w:ascii="Times New Roman" w:eastAsia="Times New Roman"/>
        </w:rPr>
        <w:t>T </w:t>
      </w:r>
      <w:r>
        <w:rPr>
          <w:spacing w:val="-3"/>
        </w:rPr>
        <w:t>日分红权益，</w:t>
      </w:r>
      <w:r>
        <w:rPr>
          <w:rFonts w:ascii="Times New Roman" w:eastAsia="Times New Roman"/>
        </w:rPr>
        <w:t>T </w:t>
      </w:r>
      <w:r>
        <w:rPr>
          <w:spacing w:val="-7"/>
        </w:rPr>
        <w:t>日赎回的基金份额仍享有 </w:t>
      </w:r>
      <w:r>
        <w:rPr>
          <w:rFonts w:ascii="Times New Roman" w:eastAsia="Times New Roman"/>
        </w:rPr>
        <w:t>T </w:t>
      </w:r>
      <w:r>
        <w:rPr>
          <w:spacing w:val="-1"/>
        </w:rPr>
        <w:t>日分红权</w:t>
      </w:r>
      <w:r>
        <w:rPr>
          <w:spacing w:val="-7"/>
        </w:rPr>
        <w:t>益。当日买入的 </w:t>
      </w:r>
      <w:r>
        <w:rPr>
          <w:rFonts w:ascii="Times New Roman" w:eastAsia="Times New Roman"/>
        </w:rPr>
        <w:t>E </w:t>
      </w:r>
      <w:r>
        <w:rPr>
          <w:spacing w:val="-4"/>
        </w:rPr>
        <w:t>类基金份额自买入当日起享有基金的分红权益；当日卖出的 </w:t>
      </w:r>
      <w:r>
        <w:rPr>
          <w:rFonts w:ascii="Times New Roman" w:eastAsia="Times New Roman"/>
        </w:rPr>
        <w:t>E </w:t>
      </w:r>
      <w:r>
        <w:rPr>
          <w:spacing w:val="-3"/>
        </w:rPr>
        <w:t>类基金份额自卖出当日起，不享有基金的分红权益。</w:t>
      </w:r>
    </w:p>
    <w:p>
      <w:pPr>
        <w:pStyle w:val="BodyText"/>
        <w:spacing w:before="12"/>
      </w:pPr>
    </w:p>
    <w:p>
      <w:pPr>
        <w:pStyle w:val="ListParagraph"/>
        <w:numPr>
          <w:ilvl w:val="0"/>
          <w:numId w:val="76"/>
        </w:numPr>
        <w:tabs>
          <w:tab w:pos="856" w:val="left" w:leader="none"/>
        </w:tabs>
        <w:spacing w:line="240" w:lineRule="auto" w:before="0" w:after="0"/>
        <w:ind w:left="855" w:right="0" w:hanging="318"/>
        <w:jc w:val="left"/>
        <w:rPr>
          <w:sz w:val="21"/>
        </w:rPr>
      </w:pPr>
      <w:r>
        <w:rPr>
          <w:spacing w:val="-3"/>
          <w:sz w:val="21"/>
        </w:rPr>
        <w:t>相同类别的基金份额享有同等收益分配权。</w:t>
      </w:r>
    </w:p>
    <w:p>
      <w:pPr>
        <w:pStyle w:val="BodyText"/>
        <w:rPr>
          <w:sz w:val="22"/>
        </w:rPr>
      </w:pPr>
    </w:p>
    <w:p>
      <w:pPr>
        <w:pStyle w:val="ListParagraph"/>
        <w:numPr>
          <w:ilvl w:val="0"/>
          <w:numId w:val="76"/>
        </w:numPr>
        <w:tabs>
          <w:tab w:pos="802" w:val="left" w:leader="none"/>
        </w:tabs>
        <w:spacing w:line="417" w:lineRule="auto" w:before="198" w:after="0"/>
        <w:ind w:left="118" w:right="440" w:firstLine="419"/>
        <w:jc w:val="left"/>
        <w:rPr>
          <w:sz w:val="21"/>
        </w:rPr>
      </w:pPr>
      <w:r>
        <w:rPr>
          <w:spacing w:val="-1"/>
          <w:sz w:val="21"/>
        </w:rPr>
        <w:t>在不影响基金份额持有人利益的前提下，基金管理人可在中国证监会允许的条件下</w:t>
      </w:r>
      <w:r>
        <w:rPr>
          <w:spacing w:val="-3"/>
          <w:sz w:val="21"/>
        </w:rPr>
        <w:t>调整基金收益的分配原则和支付方式，不需召开基金份额持有人大会。</w:t>
      </w:r>
    </w:p>
    <w:p>
      <w:pPr>
        <w:pStyle w:val="BodyText"/>
        <w:spacing w:before="8"/>
      </w:pPr>
    </w:p>
    <w:p>
      <w:pPr>
        <w:pStyle w:val="ListParagraph"/>
        <w:numPr>
          <w:ilvl w:val="0"/>
          <w:numId w:val="76"/>
        </w:numPr>
        <w:tabs>
          <w:tab w:pos="856" w:val="left" w:leader="none"/>
        </w:tabs>
        <w:spacing w:line="669" w:lineRule="auto" w:before="1" w:after="0"/>
        <w:ind w:left="538" w:right="3808" w:firstLine="0"/>
        <w:jc w:val="left"/>
        <w:rPr>
          <w:sz w:val="21"/>
        </w:rPr>
      </w:pPr>
      <w:r>
        <w:rPr>
          <w:spacing w:val="-4"/>
          <w:sz w:val="21"/>
        </w:rPr>
        <w:t>法律法规或监管机关另有规定的，从其规定。</w:t>
      </w:r>
      <w:r>
        <w:rPr>
          <w:sz w:val="21"/>
        </w:rPr>
        <w:t>三）</w:t>
      </w:r>
      <w:r>
        <w:rPr>
          <w:spacing w:val="-3"/>
          <w:sz w:val="21"/>
        </w:rPr>
        <w:t>收益分配的确定与公告</w:t>
      </w:r>
    </w:p>
    <w:p>
      <w:pPr>
        <w:pStyle w:val="BodyText"/>
        <w:spacing w:line="417" w:lineRule="auto"/>
        <w:ind w:left="118" w:right="433" w:firstLine="419"/>
      </w:pPr>
      <w:r>
        <w:rPr>
          <w:spacing w:val="-7"/>
        </w:rPr>
        <w:t>本基金每开放日的次日公告该开放日的基金收益情况，包括基金日收益和基金七日收益率。</w:t>
      </w:r>
    </w:p>
    <w:p>
      <w:pPr>
        <w:pStyle w:val="BodyText"/>
        <w:spacing w:before="5"/>
      </w:pPr>
    </w:p>
    <w:p>
      <w:pPr>
        <w:pStyle w:val="BodyText"/>
        <w:ind w:left="538"/>
      </w:pPr>
      <w:r>
        <w:rPr/>
        <w:t>本基金收益分配方案由基金管理人拟定、基金托管人核实后确定，并按有关规定公告。</w:t>
      </w:r>
    </w:p>
    <w:p>
      <w:pPr>
        <w:spacing w:after="0"/>
        <w:sectPr>
          <w:pgSz w:w="11910" w:h="16850"/>
          <w:pgMar w:header="852" w:footer="1386" w:top="1420" w:bottom="1580" w:left="1680" w:right="1360"/>
        </w:sectPr>
      </w:pPr>
    </w:p>
    <w:p>
      <w:pPr>
        <w:pStyle w:val="BodyText"/>
        <w:spacing w:line="667" w:lineRule="auto" w:before="142"/>
        <w:ind w:left="538" w:right="2440"/>
      </w:pPr>
      <w:r>
        <w:rPr/>
        <w:t>（四）与基金财产管理、运用有关费用的提取、支付方式与比例一）基金费用的种类</w:t>
      </w:r>
    </w:p>
    <w:p>
      <w:pPr>
        <w:pStyle w:val="ListParagraph"/>
        <w:numPr>
          <w:ilvl w:val="0"/>
          <w:numId w:val="77"/>
        </w:numPr>
        <w:tabs>
          <w:tab w:pos="957" w:val="left" w:leader="none"/>
          <w:tab w:pos="958" w:val="left" w:leader="none"/>
        </w:tabs>
        <w:spacing w:line="268" w:lineRule="exact" w:before="0" w:after="0"/>
        <w:ind w:left="958" w:right="0" w:hanging="420"/>
        <w:jc w:val="left"/>
        <w:rPr>
          <w:sz w:val="21"/>
        </w:rPr>
      </w:pPr>
      <w:r>
        <w:rPr>
          <w:spacing w:val="-3"/>
          <w:sz w:val="21"/>
        </w:rPr>
        <w:t>基金管理人的管理费；</w:t>
      </w:r>
    </w:p>
    <w:p>
      <w:pPr>
        <w:pStyle w:val="BodyText"/>
        <w:rPr>
          <w:sz w:val="22"/>
        </w:rPr>
      </w:pPr>
    </w:p>
    <w:p>
      <w:pPr>
        <w:pStyle w:val="ListParagraph"/>
        <w:numPr>
          <w:ilvl w:val="0"/>
          <w:numId w:val="77"/>
        </w:numPr>
        <w:tabs>
          <w:tab w:pos="957" w:val="left" w:leader="none"/>
          <w:tab w:pos="958" w:val="left" w:leader="none"/>
        </w:tabs>
        <w:spacing w:line="240" w:lineRule="auto" w:before="197" w:after="0"/>
        <w:ind w:left="958" w:right="0" w:hanging="420"/>
        <w:jc w:val="left"/>
        <w:rPr>
          <w:sz w:val="21"/>
        </w:rPr>
      </w:pPr>
      <w:r>
        <w:rPr>
          <w:spacing w:val="-3"/>
          <w:sz w:val="21"/>
        </w:rPr>
        <w:t>基金托管人的托管费；</w:t>
      </w:r>
    </w:p>
    <w:p>
      <w:pPr>
        <w:pStyle w:val="BodyText"/>
        <w:rPr>
          <w:sz w:val="22"/>
        </w:rPr>
      </w:pPr>
    </w:p>
    <w:p>
      <w:pPr>
        <w:pStyle w:val="BodyText"/>
        <w:spacing w:before="6"/>
        <w:rPr>
          <w:sz w:val="15"/>
        </w:rPr>
      </w:pPr>
    </w:p>
    <w:p>
      <w:pPr>
        <w:pStyle w:val="ListParagraph"/>
        <w:numPr>
          <w:ilvl w:val="0"/>
          <w:numId w:val="77"/>
        </w:numPr>
        <w:tabs>
          <w:tab w:pos="957" w:val="left" w:leader="none"/>
          <w:tab w:pos="958" w:val="left" w:leader="none"/>
        </w:tabs>
        <w:spacing w:line="240" w:lineRule="auto" w:before="0" w:after="0"/>
        <w:ind w:left="958" w:right="0" w:hanging="420"/>
        <w:jc w:val="left"/>
        <w:rPr>
          <w:sz w:val="21"/>
        </w:rPr>
      </w:pPr>
      <w:r>
        <w:rPr>
          <w:spacing w:val="-3"/>
          <w:sz w:val="21"/>
        </w:rPr>
        <w:t>基金销售服务费；</w:t>
      </w:r>
    </w:p>
    <w:p>
      <w:pPr>
        <w:pStyle w:val="BodyText"/>
        <w:rPr>
          <w:sz w:val="22"/>
        </w:rPr>
      </w:pPr>
    </w:p>
    <w:p>
      <w:pPr>
        <w:pStyle w:val="ListParagraph"/>
        <w:numPr>
          <w:ilvl w:val="0"/>
          <w:numId w:val="77"/>
        </w:numPr>
        <w:tabs>
          <w:tab w:pos="957" w:val="left" w:leader="none"/>
          <w:tab w:pos="958" w:val="left" w:leader="none"/>
        </w:tabs>
        <w:spacing w:line="240" w:lineRule="auto" w:before="196" w:after="0"/>
        <w:ind w:left="958" w:right="0" w:hanging="420"/>
        <w:jc w:val="left"/>
        <w:rPr>
          <w:sz w:val="21"/>
        </w:rPr>
      </w:pPr>
      <w:r>
        <w:rPr>
          <w:spacing w:val="-3"/>
          <w:sz w:val="21"/>
        </w:rPr>
        <w:t>基金合同生效后的信息披露费用；</w:t>
      </w:r>
    </w:p>
    <w:p>
      <w:pPr>
        <w:pStyle w:val="BodyText"/>
        <w:rPr>
          <w:sz w:val="22"/>
        </w:rPr>
      </w:pPr>
    </w:p>
    <w:p>
      <w:pPr>
        <w:pStyle w:val="BodyText"/>
        <w:spacing w:before="6"/>
        <w:rPr>
          <w:sz w:val="15"/>
        </w:rPr>
      </w:pPr>
    </w:p>
    <w:p>
      <w:pPr>
        <w:pStyle w:val="ListParagraph"/>
        <w:numPr>
          <w:ilvl w:val="0"/>
          <w:numId w:val="77"/>
        </w:numPr>
        <w:tabs>
          <w:tab w:pos="957" w:val="left" w:leader="none"/>
          <w:tab w:pos="958" w:val="left" w:leader="none"/>
        </w:tabs>
        <w:spacing w:line="240" w:lineRule="auto" w:before="0" w:after="0"/>
        <w:ind w:left="958" w:right="0" w:hanging="420"/>
        <w:jc w:val="left"/>
        <w:rPr>
          <w:sz w:val="21"/>
        </w:rPr>
      </w:pPr>
      <w:r>
        <w:rPr>
          <w:spacing w:val="-3"/>
          <w:sz w:val="21"/>
        </w:rPr>
        <w:t>基金份额持有人大会费用；</w:t>
      </w:r>
    </w:p>
    <w:p>
      <w:pPr>
        <w:pStyle w:val="BodyText"/>
        <w:rPr>
          <w:sz w:val="22"/>
        </w:rPr>
      </w:pPr>
    </w:p>
    <w:p>
      <w:pPr>
        <w:pStyle w:val="BodyText"/>
        <w:spacing w:before="5"/>
        <w:rPr>
          <w:sz w:val="15"/>
        </w:rPr>
      </w:pPr>
    </w:p>
    <w:p>
      <w:pPr>
        <w:pStyle w:val="ListParagraph"/>
        <w:numPr>
          <w:ilvl w:val="0"/>
          <w:numId w:val="77"/>
        </w:numPr>
        <w:tabs>
          <w:tab w:pos="957" w:val="left" w:leader="none"/>
          <w:tab w:pos="958" w:val="left" w:leader="none"/>
        </w:tabs>
        <w:spacing w:line="240" w:lineRule="auto" w:before="1" w:after="0"/>
        <w:ind w:left="958" w:right="0" w:hanging="420"/>
        <w:jc w:val="left"/>
        <w:rPr>
          <w:sz w:val="21"/>
        </w:rPr>
      </w:pPr>
      <w:r>
        <w:rPr>
          <w:spacing w:val="-3"/>
          <w:sz w:val="21"/>
        </w:rPr>
        <w:t>基金合同生效后的与基金相关的会计师费和律师费；</w:t>
      </w:r>
    </w:p>
    <w:p>
      <w:pPr>
        <w:pStyle w:val="BodyText"/>
        <w:rPr>
          <w:sz w:val="22"/>
        </w:rPr>
      </w:pPr>
    </w:p>
    <w:p>
      <w:pPr>
        <w:pStyle w:val="ListParagraph"/>
        <w:numPr>
          <w:ilvl w:val="0"/>
          <w:numId w:val="77"/>
        </w:numPr>
        <w:tabs>
          <w:tab w:pos="957" w:val="left" w:leader="none"/>
          <w:tab w:pos="958" w:val="left" w:leader="none"/>
        </w:tabs>
        <w:spacing w:line="240" w:lineRule="auto" w:before="195" w:after="0"/>
        <w:ind w:left="958" w:right="0" w:hanging="420"/>
        <w:jc w:val="left"/>
        <w:rPr>
          <w:sz w:val="21"/>
        </w:rPr>
      </w:pPr>
      <w:r>
        <w:rPr>
          <w:spacing w:val="-2"/>
          <w:sz w:val="21"/>
        </w:rPr>
        <w:t>证券交易费用；</w:t>
      </w:r>
    </w:p>
    <w:p>
      <w:pPr>
        <w:pStyle w:val="BodyText"/>
        <w:rPr>
          <w:sz w:val="22"/>
        </w:rPr>
      </w:pPr>
    </w:p>
    <w:p>
      <w:pPr>
        <w:pStyle w:val="BodyText"/>
        <w:spacing w:before="6"/>
        <w:rPr>
          <w:sz w:val="15"/>
        </w:rPr>
      </w:pPr>
    </w:p>
    <w:p>
      <w:pPr>
        <w:pStyle w:val="ListParagraph"/>
        <w:numPr>
          <w:ilvl w:val="0"/>
          <w:numId w:val="77"/>
        </w:numPr>
        <w:tabs>
          <w:tab w:pos="957" w:val="left" w:leader="none"/>
          <w:tab w:pos="958" w:val="left" w:leader="none"/>
        </w:tabs>
        <w:spacing w:line="240" w:lineRule="auto" w:before="0" w:after="0"/>
        <w:ind w:left="958" w:right="0" w:hanging="420"/>
        <w:jc w:val="left"/>
        <w:rPr>
          <w:sz w:val="21"/>
        </w:rPr>
      </w:pPr>
      <w:r>
        <w:rPr>
          <w:rFonts w:ascii="Times New Roman" w:eastAsia="Times New Roman"/>
          <w:sz w:val="21"/>
        </w:rPr>
        <w:t>E </w:t>
      </w:r>
      <w:r>
        <w:rPr>
          <w:spacing w:val="-3"/>
          <w:sz w:val="21"/>
        </w:rPr>
        <w:t>类基金份额上市费用及上市年费</w:t>
      </w:r>
    </w:p>
    <w:p>
      <w:pPr>
        <w:pStyle w:val="BodyText"/>
        <w:rPr>
          <w:sz w:val="22"/>
        </w:rPr>
      </w:pPr>
    </w:p>
    <w:p>
      <w:pPr>
        <w:pStyle w:val="BodyText"/>
        <w:spacing w:before="6"/>
        <w:rPr>
          <w:sz w:val="15"/>
        </w:rPr>
      </w:pPr>
    </w:p>
    <w:p>
      <w:pPr>
        <w:pStyle w:val="ListParagraph"/>
        <w:numPr>
          <w:ilvl w:val="0"/>
          <w:numId w:val="77"/>
        </w:numPr>
        <w:tabs>
          <w:tab w:pos="957" w:val="left" w:leader="none"/>
          <w:tab w:pos="958" w:val="left" w:leader="none"/>
        </w:tabs>
        <w:spacing w:line="664" w:lineRule="auto" w:before="0" w:after="0"/>
        <w:ind w:left="538" w:right="2440" w:firstLine="0"/>
        <w:jc w:val="left"/>
        <w:rPr>
          <w:sz w:val="21"/>
        </w:rPr>
      </w:pPr>
      <w:r>
        <w:rPr>
          <w:spacing w:val="-3"/>
          <w:sz w:val="21"/>
        </w:rPr>
        <w:t>按照国家有关规定和本基金合同规定可以列入的其他费用。法律法规另有规定时从其规定。</w:t>
      </w:r>
    </w:p>
    <w:p>
      <w:pPr>
        <w:pStyle w:val="BodyText"/>
        <w:spacing w:before="4"/>
        <w:ind w:left="538"/>
      </w:pPr>
      <w:r>
        <w:rPr/>
        <w:t>二）基金费用计提方法、计提标准和支付方式</w:t>
      </w:r>
    </w:p>
    <w:p>
      <w:pPr>
        <w:pStyle w:val="BodyText"/>
        <w:rPr>
          <w:sz w:val="20"/>
        </w:rPr>
      </w:pPr>
    </w:p>
    <w:p>
      <w:pPr>
        <w:pStyle w:val="BodyText"/>
        <w:spacing w:before="6"/>
        <w:rPr>
          <w:sz w:val="17"/>
        </w:rPr>
      </w:pPr>
    </w:p>
    <w:p>
      <w:pPr>
        <w:pStyle w:val="ListParagraph"/>
        <w:numPr>
          <w:ilvl w:val="0"/>
          <w:numId w:val="78"/>
        </w:numPr>
        <w:tabs>
          <w:tab w:pos="856" w:val="left" w:leader="none"/>
        </w:tabs>
        <w:spacing w:line="240" w:lineRule="auto" w:before="0" w:after="0"/>
        <w:ind w:left="855" w:right="0" w:hanging="318"/>
        <w:jc w:val="left"/>
        <w:rPr>
          <w:sz w:val="21"/>
        </w:rPr>
      </w:pPr>
      <w:r>
        <w:rPr>
          <w:spacing w:val="-3"/>
          <w:sz w:val="21"/>
        </w:rPr>
        <w:t>基金管理人的管理费</w:t>
      </w:r>
    </w:p>
    <w:p>
      <w:pPr>
        <w:pStyle w:val="BodyText"/>
        <w:rPr>
          <w:sz w:val="22"/>
        </w:rPr>
      </w:pPr>
    </w:p>
    <w:p>
      <w:pPr>
        <w:pStyle w:val="BodyText"/>
        <w:spacing w:line="417" w:lineRule="auto" w:before="196"/>
        <w:ind w:left="118" w:right="433" w:firstLine="419"/>
      </w:pPr>
      <w:r>
        <w:rPr>
          <w:spacing w:val="-4"/>
        </w:rPr>
        <w:t>基金管理费按基金前一日的资产净值乘以 </w:t>
      </w:r>
      <w:r>
        <w:rPr>
          <w:rFonts w:ascii="Times New Roman" w:eastAsia="Times New Roman"/>
        </w:rPr>
        <w:t>0.33</w:t>
      </w:r>
      <w:r>
        <w:rPr>
          <w:spacing w:val="-11"/>
        </w:rPr>
        <w:t>％的管理费年费率来计算，具体计算方法如下：</w:t>
      </w:r>
    </w:p>
    <w:p>
      <w:pPr>
        <w:pStyle w:val="BodyText"/>
        <w:spacing w:before="11"/>
      </w:pPr>
    </w:p>
    <w:p>
      <w:pPr>
        <w:pStyle w:val="BodyText"/>
        <w:spacing w:before="1"/>
        <w:ind w:left="538"/>
      </w:pPr>
      <w:r>
        <w:rPr/>
        <w:t>每日应付的基金管理费</w:t>
      </w:r>
      <w:r>
        <w:rPr>
          <w:rFonts w:ascii="Times New Roman" w:hAnsi="Times New Roman" w:eastAsia="Times New Roman"/>
        </w:rPr>
        <w:t>=</w:t>
      </w:r>
      <w:r>
        <w:rPr/>
        <w:t>前一日该基金的资产净值×年管理费率÷当年天数</w:t>
      </w:r>
    </w:p>
    <w:p>
      <w:pPr>
        <w:pStyle w:val="BodyText"/>
        <w:rPr>
          <w:sz w:val="22"/>
        </w:rPr>
      </w:pPr>
    </w:p>
    <w:p>
      <w:pPr>
        <w:pStyle w:val="BodyText"/>
        <w:spacing w:line="417" w:lineRule="auto" w:before="197"/>
        <w:ind w:left="118" w:right="433" w:firstLine="419"/>
      </w:pPr>
      <w:r>
        <w:rPr>
          <w:spacing w:val="-9"/>
        </w:rPr>
        <w:t>基金管理费每日计算，逐日累计至每个月月末，按月支付，由基金管理人向基金托管人</w:t>
      </w:r>
      <w:r>
        <w:rPr>
          <w:spacing w:val="-12"/>
        </w:rPr>
        <w:t>发送基金管理费划付指令，基金托管人复核后于次月的前两个工作日内从基金资产中一次性</w:t>
      </w:r>
    </w:p>
    <w:p>
      <w:pPr>
        <w:spacing w:after="0" w:line="417" w:lineRule="auto"/>
        <w:sectPr>
          <w:pgSz w:w="11910" w:h="16850"/>
          <w:pgMar w:header="852" w:footer="1386" w:top="1420" w:bottom="1580" w:left="1680" w:right="1360"/>
        </w:sectPr>
      </w:pPr>
    </w:p>
    <w:p>
      <w:pPr>
        <w:pStyle w:val="BodyText"/>
        <w:spacing w:before="142"/>
        <w:ind w:left="118"/>
      </w:pPr>
      <w:r>
        <w:rPr/>
        <w:t>支付给基金管理人。</w:t>
      </w:r>
    </w:p>
    <w:p>
      <w:pPr>
        <w:pStyle w:val="BodyText"/>
        <w:rPr>
          <w:sz w:val="20"/>
        </w:rPr>
      </w:pPr>
    </w:p>
    <w:p>
      <w:pPr>
        <w:pStyle w:val="BodyText"/>
        <w:spacing w:before="5"/>
        <w:rPr>
          <w:sz w:val="17"/>
        </w:rPr>
      </w:pPr>
    </w:p>
    <w:p>
      <w:pPr>
        <w:pStyle w:val="ListParagraph"/>
        <w:numPr>
          <w:ilvl w:val="0"/>
          <w:numId w:val="78"/>
        </w:numPr>
        <w:tabs>
          <w:tab w:pos="856" w:val="left" w:leader="none"/>
        </w:tabs>
        <w:spacing w:line="240" w:lineRule="auto" w:before="0" w:after="0"/>
        <w:ind w:left="855" w:right="0" w:hanging="318"/>
        <w:jc w:val="left"/>
        <w:rPr>
          <w:sz w:val="21"/>
        </w:rPr>
      </w:pPr>
      <w:r>
        <w:rPr>
          <w:spacing w:val="-3"/>
          <w:sz w:val="21"/>
        </w:rPr>
        <w:t>基金托管人的托管费</w:t>
      </w:r>
    </w:p>
    <w:p>
      <w:pPr>
        <w:pStyle w:val="BodyText"/>
        <w:rPr>
          <w:sz w:val="22"/>
        </w:rPr>
      </w:pPr>
    </w:p>
    <w:p>
      <w:pPr>
        <w:pStyle w:val="BodyText"/>
        <w:spacing w:line="417" w:lineRule="auto" w:before="196"/>
        <w:ind w:left="118" w:right="433" w:firstLine="419"/>
        <w:jc w:val="both"/>
      </w:pPr>
      <w:r>
        <w:rPr>
          <w:spacing w:val="-4"/>
        </w:rPr>
        <w:t>本基金的托管费按该基金前一日资产净值乘以 </w:t>
      </w:r>
      <w:r>
        <w:rPr>
          <w:rFonts w:ascii="Times New Roman" w:eastAsia="Times New Roman"/>
        </w:rPr>
        <w:t>0.10%</w:t>
      </w:r>
      <w:r>
        <w:rPr>
          <w:spacing w:val="-9"/>
        </w:rPr>
        <w:t>的托管费年费率来计算。计算方法如下：</w:t>
      </w:r>
    </w:p>
    <w:p>
      <w:pPr>
        <w:pStyle w:val="BodyText"/>
        <w:spacing w:before="11"/>
      </w:pPr>
    </w:p>
    <w:p>
      <w:pPr>
        <w:pStyle w:val="BodyText"/>
        <w:ind w:left="538"/>
      </w:pPr>
      <w:r>
        <w:rPr/>
        <w:t>每日应支付的基金托管费</w:t>
      </w:r>
      <w:r>
        <w:rPr>
          <w:rFonts w:ascii="Times New Roman" w:hAnsi="Times New Roman" w:eastAsia="Times New Roman"/>
        </w:rPr>
        <w:t>=</w:t>
      </w:r>
      <w:r>
        <w:rPr/>
        <w:t>前一日该基金资产净值×年托管费率÷当年天数</w:t>
      </w:r>
    </w:p>
    <w:p>
      <w:pPr>
        <w:pStyle w:val="BodyText"/>
        <w:rPr>
          <w:sz w:val="22"/>
        </w:rPr>
      </w:pPr>
    </w:p>
    <w:p>
      <w:pPr>
        <w:pStyle w:val="BodyText"/>
        <w:spacing w:before="6"/>
        <w:rPr>
          <w:sz w:val="15"/>
        </w:rPr>
      </w:pPr>
    </w:p>
    <w:p>
      <w:pPr>
        <w:pStyle w:val="BodyText"/>
        <w:spacing w:line="417" w:lineRule="auto"/>
        <w:ind w:left="118" w:right="433" w:firstLine="419"/>
        <w:jc w:val="both"/>
      </w:pPr>
      <w:r>
        <w:rPr>
          <w:spacing w:val="-9"/>
        </w:rPr>
        <w:t>基金托管费每日计算，逐日累计至每个月月末，按月支付。由基金管理人向基金托管人</w:t>
      </w:r>
      <w:r>
        <w:rPr>
          <w:spacing w:val="-12"/>
        </w:rPr>
        <w:t>发送基金托管费划付指令，基金托管人复核后于次月的前两个工作日内从基金资产中一次性</w:t>
      </w:r>
      <w:r>
        <w:rPr>
          <w:spacing w:val="-6"/>
        </w:rPr>
        <w:t>支付给基金托管人。</w:t>
      </w:r>
    </w:p>
    <w:p>
      <w:pPr>
        <w:pStyle w:val="BodyText"/>
        <w:spacing w:before="9"/>
      </w:pPr>
    </w:p>
    <w:p>
      <w:pPr>
        <w:pStyle w:val="ListParagraph"/>
        <w:numPr>
          <w:ilvl w:val="0"/>
          <w:numId w:val="78"/>
        </w:numPr>
        <w:tabs>
          <w:tab w:pos="856" w:val="left" w:leader="none"/>
        </w:tabs>
        <w:spacing w:line="240" w:lineRule="auto" w:before="0" w:after="0"/>
        <w:ind w:left="855" w:right="0" w:hanging="318"/>
        <w:jc w:val="left"/>
        <w:rPr>
          <w:sz w:val="21"/>
        </w:rPr>
      </w:pPr>
      <w:r>
        <w:rPr>
          <w:spacing w:val="-3"/>
          <w:sz w:val="21"/>
        </w:rPr>
        <w:t>基金的销售服务费</w:t>
      </w:r>
    </w:p>
    <w:p>
      <w:pPr>
        <w:pStyle w:val="BodyText"/>
        <w:rPr>
          <w:sz w:val="22"/>
        </w:rPr>
      </w:pPr>
    </w:p>
    <w:p>
      <w:pPr>
        <w:pStyle w:val="BodyText"/>
        <w:spacing w:before="6"/>
        <w:rPr>
          <w:sz w:val="15"/>
        </w:rPr>
      </w:pPr>
    </w:p>
    <w:p>
      <w:pPr>
        <w:pStyle w:val="BodyText"/>
        <w:spacing w:line="417" w:lineRule="auto"/>
        <w:ind w:left="118" w:right="434" w:firstLine="419"/>
      </w:pPr>
      <w:r>
        <w:rPr>
          <w:spacing w:val="-7"/>
        </w:rPr>
        <w:t>基金销售服务费用于支付销售机构佣金以及本基金的市场推广、销售、服务等活动。各</w:t>
      </w:r>
      <w:r>
        <w:rPr>
          <w:spacing w:val="-5"/>
        </w:rPr>
        <w:t>类基金份额的销售服务费计提的计算方法如下：</w:t>
      </w:r>
    </w:p>
    <w:p>
      <w:pPr>
        <w:pStyle w:val="BodyText"/>
        <w:spacing w:before="12"/>
      </w:pPr>
    </w:p>
    <w:p>
      <w:pPr>
        <w:pStyle w:val="BodyText"/>
        <w:spacing w:line="417" w:lineRule="auto"/>
        <w:ind w:left="118" w:right="431" w:firstLine="419"/>
      </w:pPr>
      <w:r>
        <w:rPr/>
        <w:t>每日应支付的各类基金销售服务费</w:t>
      </w:r>
      <w:r>
        <w:rPr>
          <w:rFonts w:ascii="Times New Roman" w:hAnsi="Times New Roman" w:eastAsia="Times New Roman"/>
        </w:rPr>
        <w:t>=</w:t>
      </w:r>
      <w:r>
        <w:rPr/>
        <w:t>前一日该类基金资产净值×该类基金份额的年销售服务费年费率÷当年天数</w:t>
      </w:r>
    </w:p>
    <w:p>
      <w:pPr>
        <w:pStyle w:val="BodyText"/>
        <w:spacing w:before="9"/>
      </w:pPr>
    </w:p>
    <w:p>
      <w:pPr>
        <w:pStyle w:val="BodyText"/>
        <w:spacing w:line="417" w:lineRule="auto"/>
        <w:ind w:left="118" w:right="355" w:firstLine="419"/>
      </w:pPr>
      <w:r>
        <w:rPr/>
        <w:t>本基金 </w:t>
      </w:r>
      <w:r>
        <w:rPr>
          <w:rFonts w:ascii="Times New Roman" w:eastAsia="Times New Roman"/>
        </w:rPr>
        <w:t>A </w:t>
      </w:r>
      <w:r>
        <w:rPr/>
        <w:t>类基金份额的销售服务费年费率为 </w:t>
      </w:r>
      <w:r>
        <w:rPr>
          <w:rFonts w:ascii="Times New Roman" w:eastAsia="Times New Roman"/>
        </w:rPr>
        <w:t>0.25%</w:t>
      </w:r>
      <w:r>
        <w:rPr/>
        <w:t>；本基金 </w:t>
      </w:r>
      <w:r>
        <w:rPr>
          <w:rFonts w:ascii="Times New Roman" w:eastAsia="Times New Roman"/>
        </w:rPr>
        <w:t>B </w:t>
      </w:r>
      <w:r>
        <w:rPr/>
        <w:t>类基金份额的销售服务费年费率为 </w:t>
      </w:r>
      <w:r>
        <w:rPr>
          <w:rFonts w:ascii="Times New Roman" w:eastAsia="Times New Roman"/>
        </w:rPr>
        <w:t>0.01%</w:t>
      </w:r>
      <w:r>
        <w:rPr/>
        <w:t>；本基金 </w:t>
      </w:r>
      <w:r>
        <w:rPr>
          <w:rFonts w:ascii="Times New Roman" w:eastAsia="Times New Roman"/>
        </w:rPr>
        <w:t>E </w:t>
      </w:r>
      <w:r>
        <w:rPr/>
        <w:t>类基金份额的销售服务费年费率为 </w:t>
      </w:r>
      <w:r>
        <w:rPr>
          <w:rFonts w:ascii="Times New Roman" w:eastAsia="Times New Roman"/>
        </w:rPr>
        <w:t>0.25%</w:t>
      </w:r>
      <w:r>
        <w:rPr/>
        <w:t>。</w:t>
      </w:r>
    </w:p>
    <w:p>
      <w:pPr>
        <w:pStyle w:val="BodyText"/>
        <w:spacing w:before="11"/>
      </w:pPr>
    </w:p>
    <w:p>
      <w:pPr>
        <w:pStyle w:val="BodyText"/>
        <w:spacing w:line="417" w:lineRule="auto"/>
        <w:ind w:left="118" w:right="433" w:firstLine="419"/>
        <w:jc w:val="both"/>
      </w:pPr>
      <w:r>
        <w:rPr>
          <w:spacing w:val="-9"/>
        </w:rPr>
        <w:t>基金销售服务费每日计算，逐日累计至每个月月末，按月支付，由基金管理人向基金托</w:t>
      </w:r>
      <w:r>
        <w:rPr>
          <w:spacing w:val="-11"/>
        </w:rPr>
        <w:t>管人发送基金销售服务费划付指令，基金托管人复核后于次月的前两个工作日内从基金资产</w:t>
      </w:r>
      <w:r>
        <w:rPr>
          <w:spacing w:val="-6"/>
        </w:rPr>
        <w:t>中一次性支付给基金销售机构。</w:t>
      </w:r>
    </w:p>
    <w:p>
      <w:pPr>
        <w:pStyle w:val="BodyText"/>
        <w:spacing w:before="12"/>
      </w:pPr>
    </w:p>
    <w:p>
      <w:pPr>
        <w:pStyle w:val="ListParagraph"/>
        <w:numPr>
          <w:ilvl w:val="0"/>
          <w:numId w:val="78"/>
        </w:numPr>
        <w:tabs>
          <w:tab w:pos="856" w:val="left" w:leader="none"/>
        </w:tabs>
        <w:spacing w:line="240" w:lineRule="auto" w:before="0" w:after="0"/>
        <w:ind w:left="855" w:right="0" w:hanging="318"/>
        <w:jc w:val="both"/>
        <w:rPr>
          <w:sz w:val="21"/>
        </w:rPr>
      </w:pPr>
      <w:r>
        <w:rPr>
          <w:spacing w:val="-3"/>
          <w:sz w:val="21"/>
        </w:rPr>
        <w:t>上述一</w:t>
      </w:r>
      <w:r>
        <w:rPr>
          <w:sz w:val="21"/>
        </w:rPr>
        <w:t>）</w:t>
      </w:r>
      <w:r>
        <w:rPr>
          <w:spacing w:val="-8"/>
          <w:sz w:val="21"/>
        </w:rPr>
        <w:t>基金费用的种类中 </w:t>
      </w:r>
      <w:r>
        <w:rPr>
          <w:rFonts w:ascii="Times New Roman" w:eastAsia="Times New Roman"/>
          <w:sz w:val="21"/>
        </w:rPr>
        <w:t>4</w:t>
      </w:r>
      <w:r>
        <w:rPr>
          <w:rFonts w:ascii="Times New Roman" w:eastAsia="Times New Roman"/>
          <w:spacing w:val="5"/>
          <w:sz w:val="21"/>
        </w:rPr>
        <w:t> </w:t>
      </w:r>
      <w:r>
        <w:rPr>
          <w:spacing w:val="-23"/>
          <w:sz w:val="21"/>
        </w:rPr>
        <w:t>至 </w:t>
      </w:r>
      <w:r>
        <w:rPr>
          <w:rFonts w:ascii="Times New Roman" w:eastAsia="Times New Roman"/>
          <w:sz w:val="21"/>
        </w:rPr>
        <w:t>7</w:t>
      </w:r>
      <w:r>
        <w:rPr>
          <w:rFonts w:ascii="Times New Roman" w:eastAsia="Times New Roman"/>
          <w:spacing w:val="3"/>
          <w:sz w:val="21"/>
        </w:rPr>
        <w:t> </w:t>
      </w:r>
      <w:r>
        <w:rPr>
          <w:spacing w:val="-3"/>
          <w:sz w:val="21"/>
        </w:rPr>
        <w:t>项费用由基金托管人根据有关法规及相应协议的</w:t>
      </w:r>
    </w:p>
    <w:p>
      <w:pPr>
        <w:pStyle w:val="BodyText"/>
        <w:spacing w:before="7"/>
        <w:rPr>
          <w:sz w:val="15"/>
        </w:rPr>
      </w:pPr>
    </w:p>
    <w:p>
      <w:pPr>
        <w:pStyle w:val="BodyText"/>
        <w:spacing w:line="417" w:lineRule="auto"/>
        <w:ind w:left="118" w:right="433"/>
        <w:jc w:val="both"/>
      </w:pPr>
      <w:r>
        <w:rPr>
          <w:spacing w:val="-8"/>
        </w:rPr>
        <w:t>规定，按费用实际支出金额支付，列入当期基金费用。上述</w:t>
      </w:r>
      <w:r>
        <w:rPr/>
        <w:t>（</w:t>
      </w:r>
      <w:r>
        <w:rPr>
          <w:spacing w:val="-3"/>
        </w:rPr>
        <w:t>一</w:t>
      </w:r>
      <w:r>
        <w:rPr>
          <w:spacing w:val="-20"/>
        </w:rPr>
        <w:t>）</w:t>
      </w:r>
      <w:r>
        <w:rPr>
          <w:spacing w:val="-6"/>
        </w:rPr>
        <w:t>基金费用的种类中第 </w:t>
      </w:r>
      <w:r>
        <w:rPr>
          <w:rFonts w:ascii="Times New Roman" w:eastAsia="Times New Roman"/>
        </w:rPr>
        <w:t>8 </w:t>
      </w:r>
      <w:r>
        <w:rPr/>
        <w:t>项</w:t>
      </w:r>
      <w:r>
        <w:rPr>
          <w:spacing w:val="-3"/>
        </w:rPr>
        <w:t>费用由基金托管人根据有关法律及相应协议的规定，按费用实际支出支付，由 </w:t>
      </w:r>
      <w:r>
        <w:rPr>
          <w:rFonts w:ascii="Times New Roman" w:eastAsia="Times New Roman"/>
        </w:rPr>
        <w:t>E </w:t>
      </w:r>
      <w:r>
        <w:rPr>
          <w:spacing w:val="-3"/>
        </w:rPr>
        <w:t>类基金份额持有人承担，列入当期基金费用。</w:t>
      </w:r>
    </w:p>
    <w:p>
      <w:pPr>
        <w:spacing w:after="0" w:line="417" w:lineRule="auto"/>
        <w:jc w:val="both"/>
        <w:sectPr>
          <w:pgSz w:w="11910" w:h="16850"/>
          <w:pgMar w:header="852" w:footer="1386" w:top="1420" w:bottom="1580" w:left="1680" w:right="1360"/>
        </w:sectPr>
      </w:pPr>
    </w:p>
    <w:p>
      <w:pPr>
        <w:pStyle w:val="BodyText"/>
        <w:spacing w:before="142"/>
        <w:ind w:left="538"/>
      </w:pPr>
      <w:r>
        <w:rPr/>
        <w:t>三）不列入基金费用的项目</w:t>
      </w:r>
    </w:p>
    <w:p>
      <w:pPr>
        <w:pStyle w:val="BodyText"/>
        <w:rPr>
          <w:sz w:val="20"/>
        </w:rPr>
      </w:pPr>
    </w:p>
    <w:p>
      <w:pPr>
        <w:pStyle w:val="BodyText"/>
        <w:spacing w:before="5"/>
        <w:rPr>
          <w:sz w:val="17"/>
        </w:rPr>
      </w:pPr>
    </w:p>
    <w:p>
      <w:pPr>
        <w:pStyle w:val="BodyText"/>
        <w:spacing w:line="417" w:lineRule="auto"/>
        <w:ind w:left="118" w:right="437" w:firstLine="419"/>
      </w:pPr>
      <w:r>
        <w:rPr/>
        <w:t>基金管理人和基金托管人因未履行或未完全履行义务导致的费用支出或基金资产的损失，以及处理与基金运作无关的事项发生的费用等不列入基金费用。</w:t>
      </w:r>
    </w:p>
    <w:p>
      <w:pPr>
        <w:pStyle w:val="BodyText"/>
        <w:spacing w:before="9"/>
      </w:pPr>
    </w:p>
    <w:p>
      <w:pPr>
        <w:pStyle w:val="BodyText"/>
        <w:ind w:left="538"/>
      </w:pPr>
      <w:r>
        <w:rPr/>
        <w:t>四）基金费用的调整</w:t>
      </w:r>
    </w:p>
    <w:p>
      <w:pPr>
        <w:pStyle w:val="BodyText"/>
        <w:rPr>
          <w:sz w:val="20"/>
        </w:rPr>
      </w:pPr>
    </w:p>
    <w:p>
      <w:pPr>
        <w:pStyle w:val="BodyText"/>
        <w:spacing w:before="6"/>
        <w:rPr>
          <w:sz w:val="17"/>
        </w:rPr>
      </w:pPr>
    </w:p>
    <w:p>
      <w:pPr>
        <w:pStyle w:val="BodyText"/>
        <w:spacing w:line="417" w:lineRule="auto"/>
        <w:ind w:left="118" w:right="433" w:firstLine="419"/>
      </w:pPr>
      <w:r>
        <w:rPr>
          <w:spacing w:val="-7"/>
        </w:rPr>
        <w:t>基金管理人和基金托管人可磋商酌情调低基金管理费、托管费和销售服务费，并按规定</w:t>
      </w:r>
      <w:r>
        <w:rPr>
          <w:spacing w:val="-5"/>
        </w:rPr>
        <w:t>公告。此项调整不需要基金份额持有人大会决议通过。</w:t>
      </w:r>
    </w:p>
    <w:p>
      <w:pPr>
        <w:pStyle w:val="BodyText"/>
        <w:spacing w:before="12"/>
      </w:pPr>
    </w:p>
    <w:p>
      <w:pPr>
        <w:pStyle w:val="BodyText"/>
        <w:ind w:left="538"/>
      </w:pPr>
      <w:r>
        <w:rPr/>
        <w:t>五）基金税收</w:t>
      </w:r>
    </w:p>
    <w:p>
      <w:pPr>
        <w:pStyle w:val="BodyText"/>
        <w:rPr>
          <w:sz w:val="20"/>
        </w:rPr>
      </w:pPr>
    </w:p>
    <w:p>
      <w:pPr>
        <w:pStyle w:val="BodyText"/>
        <w:spacing w:before="3"/>
        <w:rPr>
          <w:sz w:val="17"/>
        </w:rPr>
      </w:pPr>
    </w:p>
    <w:p>
      <w:pPr>
        <w:pStyle w:val="BodyText"/>
        <w:ind w:left="538"/>
      </w:pPr>
      <w:r>
        <w:rPr/>
        <w:t>本基金运作过程中涉及的各纳税主体，应按国家税收法律、法规履行其纳税义务。</w:t>
      </w:r>
    </w:p>
    <w:p>
      <w:pPr>
        <w:pStyle w:val="BodyText"/>
        <w:rPr>
          <w:sz w:val="20"/>
        </w:rPr>
      </w:pPr>
    </w:p>
    <w:p>
      <w:pPr>
        <w:pStyle w:val="BodyText"/>
        <w:spacing w:before="6"/>
        <w:rPr>
          <w:sz w:val="17"/>
        </w:rPr>
      </w:pPr>
    </w:p>
    <w:p>
      <w:pPr>
        <w:pStyle w:val="BodyText"/>
        <w:spacing w:line="667" w:lineRule="auto"/>
        <w:ind w:left="538" w:right="4752"/>
      </w:pPr>
      <w:r>
        <w:rPr/>
        <w:t>（五</w:t>
      </w:r>
      <w:r>
        <w:rPr>
          <w:spacing w:val="-3"/>
        </w:rPr>
        <w:t>）</w:t>
      </w:r>
      <w:r>
        <w:rPr>
          <w:spacing w:val="-4"/>
        </w:rPr>
        <w:t>基金财产的投资方向和投资限制</w:t>
      </w:r>
      <w:r>
        <w:rPr/>
        <w:t>一</w:t>
      </w:r>
      <w:r>
        <w:rPr>
          <w:rFonts w:ascii="Times New Roman" w:eastAsia="Times New Roman"/>
          <w:spacing w:val="25"/>
        </w:rPr>
        <w:t>) </w:t>
      </w:r>
      <w:r>
        <w:rPr>
          <w:spacing w:val="-3"/>
        </w:rPr>
        <w:t>投资目标</w:t>
      </w:r>
    </w:p>
    <w:p>
      <w:pPr>
        <w:pStyle w:val="BodyText"/>
        <w:spacing w:line="667" w:lineRule="auto"/>
        <w:ind w:left="538" w:right="2649"/>
      </w:pPr>
      <w:r>
        <w:rPr>
          <w:spacing w:val="-3"/>
        </w:rPr>
        <w:t>在确保本金安全和高流动性的前提下，追求超过基准的回报。二</w:t>
      </w:r>
      <w:r>
        <w:rPr>
          <w:rFonts w:ascii="Times New Roman" w:eastAsia="Times New Roman"/>
          <w:spacing w:val="24"/>
        </w:rPr>
        <w:t>) </w:t>
      </w:r>
      <w:r>
        <w:rPr>
          <w:spacing w:val="-3"/>
        </w:rPr>
        <w:t>投资范围</w:t>
      </w:r>
    </w:p>
    <w:p>
      <w:pPr>
        <w:pStyle w:val="BodyText"/>
        <w:spacing w:line="417" w:lineRule="auto" w:before="1"/>
        <w:ind w:left="118" w:right="433" w:firstLine="419"/>
        <w:jc w:val="both"/>
      </w:pPr>
      <w:r>
        <w:rPr>
          <w:spacing w:val="-15"/>
        </w:rPr>
        <w:t>本基金的投资范围为具有良好流动性的金融工具，包括现金，期限在一年以内</w:t>
      </w:r>
      <w:r>
        <w:rPr>
          <w:spacing w:val="-3"/>
        </w:rPr>
        <w:t>（</w:t>
      </w:r>
      <w:r>
        <w:rPr>
          <w:spacing w:val="-1"/>
        </w:rPr>
        <w:t>含一年</w:t>
      </w:r>
      <w:r>
        <w:rPr/>
        <w:t>） </w:t>
      </w:r>
      <w:r>
        <w:rPr>
          <w:spacing w:val="-11"/>
        </w:rPr>
        <w:t>的银行存款、债券回购、中央银行票据、同业存单，剩余期限在 </w:t>
      </w:r>
      <w:r>
        <w:rPr>
          <w:rFonts w:ascii="Times New Roman" w:eastAsia="Times New Roman"/>
        </w:rPr>
        <w:t>397</w:t>
      </w:r>
      <w:r>
        <w:rPr>
          <w:rFonts w:ascii="Times New Roman" w:eastAsia="Times New Roman"/>
          <w:spacing w:val="7"/>
        </w:rPr>
        <w:t> </w:t>
      </w:r>
      <w:r>
        <w:rPr>
          <w:spacing w:val="-7"/>
        </w:rPr>
        <w:t>天以内</w:t>
      </w:r>
      <w:r>
        <w:rPr>
          <w:spacing w:val="-3"/>
        </w:rPr>
        <w:t>（</w:t>
      </w:r>
      <w:r>
        <w:rPr>
          <w:spacing w:val="-21"/>
        </w:rPr>
        <w:t>含 </w:t>
      </w:r>
      <w:r>
        <w:rPr>
          <w:rFonts w:ascii="Times New Roman" w:eastAsia="Times New Roman"/>
        </w:rPr>
        <w:t>397</w:t>
      </w:r>
      <w:r>
        <w:rPr>
          <w:rFonts w:ascii="Times New Roman" w:eastAsia="Times New Roman"/>
          <w:spacing w:val="8"/>
        </w:rPr>
        <w:t> </w:t>
      </w:r>
      <w:r>
        <w:rPr>
          <w:spacing w:val="-3"/>
        </w:rPr>
        <w:t>天</w:t>
      </w:r>
      <w:r>
        <w:rPr>
          <w:spacing w:val="-15"/>
        </w:rPr>
        <w:t>）</w:t>
      </w:r>
      <w:r>
        <w:rPr/>
        <w:t>的</w:t>
      </w:r>
      <w:r>
        <w:rPr>
          <w:spacing w:val="-10"/>
        </w:rPr>
        <w:t>债券、非金融企业债务融资工具、资产支持证券，以及法律法规或中国证监会、中国人民银</w:t>
      </w:r>
      <w:r>
        <w:rPr>
          <w:spacing w:val="-5"/>
        </w:rPr>
        <w:t>行认可的其他具有良好流动性的货币市场工具。</w:t>
      </w:r>
    </w:p>
    <w:p>
      <w:pPr>
        <w:pStyle w:val="BodyText"/>
        <w:spacing w:before="9"/>
      </w:pPr>
    </w:p>
    <w:p>
      <w:pPr>
        <w:pStyle w:val="BodyText"/>
        <w:ind w:left="538"/>
      </w:pPr>
      <w:r>
        <w:rPr/>
        <w:t>三</w:t>
      </w:r>
      <w:r>
        <w:rPr>
          <w:rFonts w:ascii="Times New Roman" w:eastAsia="Times New Roman"/>
        </w:rPr>
        <w:t>) </w:t>
      </w:r>
      <w:r>
        <w:rPr/>
        <w:t>投资组合限制</w:t>
      </w:r>
    </w:p>
    <w:p>
      <w:pPr>
        <w:pStyle w:val="BodyText"/>
        <w:rPr>
          <w:sz w:val="22"/>
        </w:rPr>
      </w:pPr>
    </w:p>
    <w:p>
      <w:pPr>
        <w:pStyle w:val="BodyText"/>
        <w:spacing w:before="6"/>
        <w:rPr>
          <w:sz w:val="15"/>
        </w:rPr>
      </w:pPr>
    </w:p>
    <w:p>
      <w:pPr>
        <w:pStyle w:val="BodyText"/>
        <w:ind w:left="538"/>
      </w:pPr>
      <w:r>
        <w:rPr>
          <w:rFonts w:ascii="Times New Roman" w:eastAsia="Times New Roman"/>
        </w:rPr>
        <w:t>1</w:t>
      </w:r>
      <w:r>
        <w:rPr/>
        <w:t>、本基金不得投资于以下金融工具：</w:t>
      </w:r>
    </w:p>
    <w:p>
      <w:pPr>
        <w:pStyle w:val="BodyText"/>
        <w:rPr>
          <w:sz w:val="22"/>
        </w:rPr>
      </w:pPr>
    </w:p>
    <w:p>
      <w:pPr>
        <w:pStyle w:val="BodyText"/>
        <w:spacing w:before="6"/>
        <w:rPr>
          <w:sz w:val="15"/>
        </w:rPr>
      </w:pPr>
    </w:p>
    <w:p>
      <w:pPr>
        <w:pStyle w:val="ListParagraph"/>
        <w:numPr>
          <w:ilvl w:val="0"/>
          <w:numId w:val="79"/>
        </w:numPr>
        <w:tabs>
          <w:tab w:pos="1067" w:val="left" w:leader="none"/>
        </w:tabs>
        <w:spacing w:line="240" w:lineRule="auto" w:before="0" w:after="0"/>
        <w:ind w:left="1067" w:right="0" w:hanging="529"/>
        <w:jc w:val="left"/>
        <w:rPr>
          <w:sz w:val="21"/>
        </w:rPr>
      </w:pPr>
      <w:r>
        <w:rPr>
          <w:spacing w:val="-2"/>
          <w:sz w:val="21"/>
        </w:rPr>
        <w:t>股票；</w:t>
      </w:r>
    </w:p>
    <w:p>
      <w:pPr>
        <w:pStyle w:val="BodyText"/>
        <w:rPr>
          <w:sz w:val="22"/>
        </w:rPr>
      </w:pPr>
    </w:p>
    <w:p>
      <w:pPr>
        <w:pStyle w:val="ListParagraph"/>
        <w:numPr>
          <w:ilvl w:val="0"/>
          <w:numId w:val="79"/>
        </w:numPr>
        <w:tabs>
          <w:tab w:pos="1067" w:val="left" w:leader="none"/>
        </w:tabs>
        <w:spacing w:line="240" w:lineRule="auto" w:before="195" w:after="0"/>
        <w:ind w:left="1067" w:right="0" w:hanging="529"/>
        <w:jc w:val="left"/>
        <w:rPr>
          <w:sz w:val="21"/>
        </w:rPr>
      </w:pPr>
      <w:r>
        <w:rPr>
          <w:spacing w:val="-3"/>
          <w:sz w:val="21"/>
        </w:rPr>
        <w:t>可转换债券、可交换债券；</w:t>
      </w:r>
    </w:p>
    <w:p>
      <w:pPr>
        <w:spacing w:after="0" w:line="240" w:lineRule="auto"/>
        <w:jc w:val="left"/>
        <w:rPr>
          <w:sz w:val="21"/>
        </w:rPr>
        <w:sectPr>
          <w:pgSz w:w="11910" w:h="16850"/>
          <w:pgMar w:header="852" w:footer="1386" w:top="1420" w:bottom="1580" w:left="1680" w:right="1360"/>
        </w:sectPr>
      </w:pPr>
    </w:p>
    <w:p>
      <w:pPr>
        <w:pStyle w:val="ListParagraph"/>
        <w:numPr>
          <w:ilvl w:val="0"/>
          <w:numId w:val="79"/>
        </w:numPr>
        <w:tabs>
          <w:tab w:pos="1067" w:val="left" w:leader="none"/>
        </w:tabs>
        <w:spacing w:line="240" w:lineRule="auto" w:before="142" w:after="0"/>
        <w:ind w:left="1067" w:right="0" w:hanging="529"/>
        <w:jc w:val="left"/>
        <w:rPr>
          <w:sz w:val="21"/>
        </w:rPr>
      </w:pPr>
      <w:r>
        <w:rPr>
          <w:spacing w:val="-8"/>
          <w:sz w:val="21"/>
        </w:rPr>
        <w:t>以定期存款利率为基准利率的浮动利率债券，已进入最后一个利率调整期的除外；</w:t>
      </w:r>
    </w:p>
    <w:p>
      <w:pPr>
        <w:pStyle w:val="BodyText"/>
        <w:rPr>
          <w:sz w:val="22"/>
        </w:rPr>
      </w:pPr>
    </w:p>
    <w:p>
      <w:pPr>
        <w:pStyle w:val="ListParagraph"/>
        <w:numPr>
          <w:ilvl w:val="0"/>
          <w:numId w:val="79"/>
        </w:numPr>
        <w:tabs>
          <w:tab w:pos="1067" w:val="left" w:leader="none"/>
        </w:tabs>
        <w:spacing w:line="240" w:lineRule="auto" w:before="197" w:after="0"/>
        <w:ind w:left="1067" w:right="0" w:hanging="529"/>
        <w:jc w:val="left"/>
        <w:rPr>
          <w:sz w:val="21"/>
        </w:rPr>
      </w:pPr>
      <w:r>
        <w:rPr>
          <w:spacing w:val="7"/>
          <w:sz w:val="21"/>
        </w:rPr>
        <w:t>信用等级在</w:t>
      </w:r>
      <w:r>
        <w:rPr>
          <w:rFonts w:ascii="Times New Roman" w:eastAsia="Times New Roman"/>
          <w:sz w:val="21"/>
        </w:rPr>
        <w:t>AA+</w:t>
      </w:r>
      <w:r>
        <w:rPr>
          <w:spacing w:val="-3"/>
          <w:sz w:val="21"/>
        </w:rPr>
        <w:t>级以下的债券与非金融企业债务融资工具；</w:t>
      </w:r>
    </w:p>
    <w:p>
      <w:pPr>
        <w:pStyle w:val="BodyText"/>
        <w:rPr>
          <w:sz w:val="22"/>
        </w:rPr>
      </w:pPr>
    </w:p>
    <w:p>
      <w:pPr>
        <w:pStyle w:val="ListParagraph"/>
        <w:numPr>
          <w:ilvl w:val="0"/>
          <w:numId w:val="79"/>
        </w:numPr>
        <w:tabs>
          <w:tab w:pos="1067" w:val="left" w:leader="none"/>
        </w:tabs>
        <w:spacing w:line="240" w:lineRule="auto" w:before="196" w:after="0"/>
        <w:ind w:left="1067" w:right="0" w:hanging="529"/>
        <w:jc w:val="left"/>
        <w:rPr>
          <w:sz w:val="21"/>
        </w:rPr>
      </w:pPr>
      <w:r>
        <w:rPr>
          <w:spacing w:val="-3"/>
          <w:sz w:val="21"/>
        </w:rPr>
        <w:t>中国证监会、中国人民银行禁止投资的其他金融工具。</w:t>
      </w:r>
    </w:p>
    <w:p>
      <w:pPr>
        <w:pStyle w:val="BodyText"/>
        <w:rPr>
          <w:sz w:val="22"/>
        </w:rPr>
      </w:pPr>
    </w:p>
    <w:p>
      <w:pPr>
        <w:pStyle w:val="BodyText"/>
        <w:spacing w:before="5"/>
        <w:rPr>
          <w:sz w:val="15"/>
        </w:rPr>
      </w:pPr>
    </w:p>
    <w:p>
      <w:pPr>
        <w:pStyle w:val="BodyText"/>
        <w:spacing w:line="417" w:lineRule="auto" w:before="1"/>
        <w:ind w:left="118" w:right="434" w:firstLine="419"/>
      </w:pPr>
      <w:r>
        <w:rPr>
          <w:spacing w:val="-8"/>
        </w:rPr>
        <w:t>法律法规或监管部门取消或变更上述限制后，本基金不受上述规定的限制并以最新规定为准。</w:t>
      </w:r>
    </w:p>
    <w:p>
      <w:pPr>
        <w:pStyle w:val="BodyText"/>
        <w:spacing w:before="11"/>
      </w:pPr>
    </w:p>
    <w:p>
      <w:pPr>
        <w:pStyle w:val="BodyText"/>
        <w:ind w:left="538"/>
      </w:pPr>
      <w:r>
        <w:rPr>
          <w:rFonts w:ascii="Times New Roman" w:eastAsia="Times New Roman"/>
        </w:rPr>
        <w:t>2</w:t>
      </w:r>
      <w:r>
        <w:rPr/>
        <w:t>、本基金投资组合应符合以下规定：</w:t>
      </w:r>
    </w:p>
    <w:p>
      <w:pPr>
        <w:pStyle w:val="BodyText"/>
        <w:rPr>
          <w:sz w:val="22"/>
        </w:rPr>
      </w:pPr>
    </w:p>
    <w:p>
      <w:pPr>
        <w:pStyle w:val="ListParagraph"/>
        <w:numPr>
          <w:ilvl w:val="0"/>
          <w:numId w:val="80"/>
        </w:numPr>
        <w:tabs>
          <w:tab w:pos="1067" w:val="left" w:leader="none"/>
        </w:tabs>
        <w:spacing w:line="240" w:lineRule="auto" w:before="196" w:after="0"/>
        <w:ind w:left="1067" w:right="0" w:hanging="529"/>
        <w:jc w:val="left"/>
        <w:rPr>
          <w:rFonts w:ascii="Times New Roman" w:eastAsia="Times New Roman"/>
          <w:sz w:val="21"/>
        </w:rPr>
      </w:pPr>
      <w:r>
        <w:rPr>
          <w:spacing w:val="-5"/>
          <w:sz w:val="21"/>
        </w:rPr>
        <w:t>本基金投资组合的平均剩余期限不得超过 </w:t>
      </w:r>
      <w:r>
        <w:rPr>
          <w:rFonts w:ascii="Times New Roman" w:eastAsia="Times New Roman"/>
          <w:sz w:val="21"/>
        </w:rPr>
        <w:t>120</w:t>
      </w:r>
      <w:r>
        <w:rPr>
          <w:rFonts w:ascii="Times New Roman" w:eastAsia="Times New Roman"/>
          <w:spacing w:val="23"/>
          <w:sz w:val="21"/>
        </w:rPr>
        <w:t> </w:t>
      </w:r>
      <w:r>
        <w:rPr>
          <w:spacing w:val="-5"/>
          <w:sz w:val="21"/>
        </w:rPr>
        <w:t>天，平均剩余存续期不得超过 </w:t>
      </w:r>
      <w:r>
        <w:rPr>
          <w:rFonts w:ascii="Times New Roman" w:eastAsia="Times New Roman"/>
          <w:sz w:val="21"/>
        </w:rPr>
        <w:t>240</w:t>
      </w:r>
    </w:p>
    <w:p>
      <w:pPr>
        <w:pStyle w:val="BodyText"/>
        <w:spacing w:before="3"/>
        <w:rPr>
          <w:rFonts w:ascii="Times New Roman"/>
          <w:sz w:val="17"/>
        </w:rPr>
      </w:pPr>
    </w:p>
    <w:p>
      <w:pPr>
        <w:pStyle w:val="BodyText"/>
        <w:spacing w:before="1"/>
        <w:ind w:left="118"/>
      </w:pPr>
      <w:r>
        <w:rPr/>
        <w:t>天；</w:t>
      </w:r>
    </w:p>
    <w:p>
      <w:pPr>
        <w:pStyle w:val="BodyText"/>
        <w:rPr>
          <w:sz w:val="20"/>
        </w:rPr>
      </w:pPr>
    </w:p>
    <w:p>
      <w:pPr>
        <w:pStyle w:val="BodyText"/>
        <w:spacing w:before="5"/>
        <w:rPr>
          <w:sz w:val="17"/>
        </w:rPr>
      </w:pPr>
    </w:p>
    <w:p>
      <w:pPr>
        <w:pStyle w:val="ListParagraph"/>
        <w:numPr>
          <w:ilvl w:val="0"/>
          <w:numId w:val="80"/>
        </w:numPr>
        <w:tabs>
          <w:tab w:pos="1067" w:val="left" w:leader="none"/>
        </w:tabs>
        <w:spacing w:line="417" w:lineRule="auto" w:before="0" w:after="0"/>
        <w:ind w:left="118" w:right="433" w:firstLine="419"/>
        <w:jc w:val="both"/>
        <w:rPr>
          <w:sz w:val="21"/>
        </w:rPr>
      </w:pPr>
      <w:r>
        <w:rPr>
          <w:spacing w:val="-3"/>
          <w:sz w:val="21"/>
        </w:rPr>
        <w:t>本基金持有同一机构发行的债券、非金融企业债务融资工具及其作为原始权益人</w:t>
      </w:r>
      <w:r>
        <w:rPr>
          <w:spacing w:val="-4"/>
          <w:sz w:val="21"/>
        </w:rPr>
        <w:t>的资产支持证券占基金资产净值的比例合计不得超过 </w:t>
      </w:r>
      <w:r>
        <w:rPr>
          <w:rFonts w:ascii="Times New Roman" w:eastAsia="Times New Roman"/>
          <w:spacing w:val="-11"/>
          <w:sz w:val="21"/>
        </w:rPr>
        <w:t>10%</w:t>
      </w:r>
      <w:r>
        <w:rPr>
          <w:spacing w:val="-11"/>
          <w:sz w:val="21"/>
        </w:rPr>
        <w:t>，国债、中央银行票据、政策性金</w:t>
      </w:r>
      <w:r>
        <w:rPr>
          <w:spacing w:val="-6"/>
          <w:sz w:val="21"/>
        </w:rPr>
        <w:t>融债券除外；</w:t>
      </w:r>
    </w:p>
    <w:p>
      <w:pPr>
        <w:pStyle w:val="BodyText"/>
        <w:spacing w:before="12"/>
      </w:pPr>
    </w:p>
    <w:p>
      <w:pPr>
        <w:pStyle w:val="ListParagraph"/>
        <w:numPr>
          <w:ilvl w:val="0"/>
          <w:numId w:val="80"/>
        </w:numPr>
        <w:tabs>
          <w:tab w:pos="1067" w:val="left" w:leader="none"/>
        </w:tabs>
        <w:spacing w:line="417" w:lineRule="auto" w:before="0" w:after="0"/>
        <w:ind w:left="118" w:right="433" w:firstLine="419"/>
        <w:jc w:val="both"/>
        <w:rPr>
          <w:sz w:val="21"/>
        </w:rPr>
      </w:pPr>
      <w:r>
        <w:rPr>
          <w:spacing w:val="-4"/>
          <w:sz w:val="21"/>
        </w:rPr>
        <w:t>本基金持有一家公司发行的证券，其市值不得超过基金资产净值的 </w:t>
      </w:r>
      <w:r>
        <w:rPr>
          <w:rFonts w:ascii="Times New Roman" w:eastAsia="Times New Roman"/>
          <w:sz w:val="21"/>
        </w:rPr>
        <w:t>10%</w:t>
      </w:r>
      <w:r>
        <w:rPr>
          <w:spacing w:val="-1"/>
          <w:sz w:val="21"/>
        </w:rPr>
        <w:t>；本基金</w:t>
      </w:r>
      <w:r>
        <w:rPr>
          <w:spacing w:val="-4"/>
          <w:sz w:val="21"/>
        </w:rPr>
        <w:t>与由基金管理人管理的其他全部基金持有一家公司发行的证券，不得超过该证券的 </w:t>
      </w:r>
      <w:r>
        <w:rPr>
          <w:rFonts w:ascii="Times New Roman" w:eastAsia="Times New Roman"/>
          <w:sz w:val="21"/>
        </w:rPr>
        <w:t>10%</w:t>
      </w:r>
      <w:r>
        <w:rPr>
          <w:sz w:val="21"/>
        </w:rPr>
        <w:t>；</w:t>
      </w:r>
    </w:p>
    <w:p>
      <w:pPr>
        <w:pStyle w:val="BodyText"/>
        <w:spacing w:before="9"/>
      </w:pPr>
    </w:p>
    <w:p>
      <w:pPr>
        <w:pStyle w:val="ListParagraph"/>
        <w:numPr>
          <w:ilvl w:val="0"/>
          <w:numId w:val="80"/>
        </w:numPr>
        <w:tabs>
          <w:tab w:pos="1067" w:val="left" w:leader="none"/>
        </w:tabs>
        <w:spacing w:line="417" w:lineRule="auto" w:before="0" w:after="0"/>
        <w:ind w:left="118" w:right="433" w:firstLine="419"/>
        <w:jc w:val="both"/>
        <w:rPr>
          <w:sz w:val="21"/>
        </w:rPr>
      </w:pPr>
      <w:r>
        <w:rPr>
          <w:spacing w:val="-4"/>
          <w:sz w:val="21"/>
        </w:rPr>
        <w:t>本基金投资于有固定期限银行存款的比例，不得超过基金资产净值的 </w:t>
      </w:r>
      <w:r>
        <w:rPr>
          <w:rFonts w:ascii="Times New Roman" w:eastAsia="Times New Roman"/>
          <w:spacing w:val="-3"/>
          <w:sz w:val="21"/>
        </w:rPr>
        <w:t>30%</w:t>
      </w:r>
      <w:r>
        <w:rPr>
          <w:spacing w:val="-2"/>
          <w:sz w:val="21"/>
        </w:rPr>
        <w:t>，但投</w:t>
      </w:r>
      <w:r>
        <w:rPr>
          <w:spacing w:val="-10"/>
          <w:sz w:val="21"/>
        </w:rPr>
        <w:t>资于有存款期限，根据协议可提前支取的银行存款不受上述比例限制；本基金投资于具有基金托管人资格的同一商业银行的银行存款、同业存单占基金资产净值的比例合计不得超过</w:t>
      </w:r>
      <w:r>
        <w:rPr>
          <w:rFonts w:ascii="Times New Roman" w:eastAsia="Times New Roman"/>
          <w:spacing w:val="-9"/>
          <w:sz w:val="21"/>
        </w:rPr>
        <w:t>20%</w:t>
      </w:r>
      <w:r>
        <w:rPr>
          <w:spacing w:val="-6"/>
          <w:sz w:val="21"/>
        </w:rPr>
        <w:t>，投资于不具有基金托管人资格的同一商业银行的银行存款、同业存单占基金资产净值</w:t>
      </w:r>
      <w:r>
        <w:rPr>
          <w:spacing w:val="-9"/>
          <w:sz w:val="21"/>
        </w:rPr>
        <w:t>的比例合计不得超过 </w:t>
      </w:r>
      <w:r>
        <w:rPr>
          <w:rFonts w:ascii="Times New Roman" w:eastAsia="Times New Roman"/>
          <w:sz w:val="21"/>
        </w:rPr>
        <w:t>5%</w:t>
      </w:r>
      <w:r>
        <w:rPr>
          <w:sz w:val="21"/>
        </w:rPr>
        <w:t>；</w:t>
      </w:r>
    </w:p>
    <w:p>
      <w:pPr>
        <w:pStyle w:val="BodyText"/>
        <w:spacing w:before="11"/>
      </w:pPr>
    </w:p>
    <w:p>
      <w:pPr>
        <w:pStyle w:val="ListParagraph"/>
        <w:numPr>
          <w:ilvl w:val="0"/>
          <w:numId w:val="80"/>
        </w:numPr>
        <w:tabs>
          <w:tab w:pos="1067" w:val="left" w:leader="none"/>
        </w:tabs>
        <w:spacing w:line="417" w:lineRule="auto" w:before="0" w:after="0"/>
        <w:ind w:left="118" w:right="436" w:firstLine="419"/>
        <w:jc w:val="left"/>
        <w:rPr>
          <w:sz w:val="21"/>
        </w:rPr>
      </w:pPr>
      <w:r>
        <w:rPr>
          <w:spacing w:val="-3"/>
          <w:sz w:val="21"/>
        </w:rPr>
        <w:t>本基金应保持足够比例的流动性资产以应对潜在的赎回要求，其投资组合应当符合下列规定：</w:t>
      </w:r>
    </w:p>
    <w:p>
      <w:pPr>
        <w:pStyle w:val="BodyText"/>
        <w:spacing w:before="12"/>
      </w:pPr>
    </w:p>
    <w:p>
      <w:pPr>
        <w:pStyle w:val="ListParagraph"/>
        <w:numPr>
          <w:ilvl w:val="1"/>
          <w:numId w:val="80"/>
        </w:numPr>
        <w:tabs>
          <w:tab w:pos="962" w:val="left" w:leader="none"/>
        </w:tabs>
        <w:spacing w:line="240" w:lineRule="auto" w:before="0" w:after="0"/>
        <w:ind w:left="961" w:right="0" w:hanging="319"/>
        <w:jc w:val="left"/>
        <w:rPr>
          <w:sz w:val="21"/>
        </w:rPr>
      </w:pPr>
      <w:r>
        <w:rPr>
          <w:spacing w:val="-12"/>
          <w:sz w:val="21"/>
        </w:rPr>
        <w:t>现金、国债、中央银行票据、政策性金融债券占基金资产净值的比例合计不得低于</w:t>
      </w:r>
    </w:p>
    <w:p>
      <w:pPr>
        <w:pStyle w:val="BodyText"/>
        <w:spacing w:before="6"/>
        <w:rPr>
          <w:sz w:val="15"/>
        </w:rPr>
      </w:pPr>
    </w:p>
    <w:p>
      <w:pPr>
        <w:pStyle w:val="BodyText"/>
        <w:ind w:left="118"/>
      </w:pPr>
      <w:r>
        <w:rPr>
          <w:rFonts w:ascii="Times New Roman" w:eastAsia="Times New Roman"/>
        </w:rPr>
        <w:t>5%</w:t>
      </w:r>
      <w:r>
        <w:rPr/>
        <w:t>，其中现金不包括结算备付金、存出保证金、应收申购款等；</w:t>
      </w:r>
    </w:p>
    <w:p>
      <w:pPr>
        <w:spacing w:after="0"/>
        <w:sectPr>
          <w:pgSz w:w="11910" w:h="16850"/>
          <w:pgMar w:header="852" w:footer="1386" w:top="1420" w:bottom="1580" w:left="1680" w:right="1360"/>
        </w:sectPr>
      </w:pPr>
    </w:p>
    <w:p>
      <w:pPr>
        <w:pStyle w:val="ListParagraph"/>
        <w:numPr>
          <w:ilvl w:val="1"/>
          <w:numId w:val="80"/>
        </w:numPr>
        <w:tabs>
          <w:tab w:pos="962" w:val="left" w:leader="none"/>
        </w:tabs>
        <w:spacing w:line="417" w:lineRule="auto" w:before="142" w:after="0"/>
        <w:ind w:left="118" w:right="434" w:firstLine="525"/>
        <w:jc w:val="left"/>
        <w:rPr>
          <w:sz w:val="21"/>
        </w:rPr>
      </w:pPr>
      <w:r>
        <w:rPr>
          <w:spacing w:val="-12"/>
          <w:sz w:val="21"/>
        </w:rPr>
        <w:t>现金、国债、中央银行票据、政策性金融债券以及五个交易日内到期的其他金融 </w:t>
      </w:r>
      <w:r>
        <w:rPr>
          <w:spacing w:val="-6"/>
          <w:sz w:val="21"/>
        </w:rPr>
        <w:t>工具占基金资产净值的比例合计不得低于 </w:t>
      </w:r>
      <w:r>
        <w:rPr>
          <w:rFonts w:ascii="Times New Roman" w:eastAsia="Times New Roman"/>
          <w:sz w:val="21"/>
        </w:rPr>
        <w:t>10%</w:t>
      </w:r>
      <w:r>
        <w:rPr>
          <w:sz w:val="21"/>
        </w:rPr>
        <w:t>；</w:t>
      </w:r>
    </w:p>
    <w:p>
      <w:pPr>
        <w:pStyle w:val="BodyText"/>
        <w:spacing w:before="11"/>
      </w:pPr>
    </w:p>
    <w:p>
      <w:pPr>
        <w:pStyle w:val="ListParagraph"/>
        <w:numPr>
          <w:ilvl w:val="1"/>
          <w:numId w:val="80"/>
        </w:numPr>
        <w:tabs>
          <w:tab w:pos="856" w:val="left" w:leader="none"/>
        </w:tabs>
        <w:spacing w:line="417" w:lineRule="auto" w:before="0" w:after="0"/>
        <w:ind w:left="118" w:right="434" w:firstLine="419"/>
        <w:jc w:val="left"/>
        <w:rPr>
          <w:sz w:val="21"/>
        </w:rPr>
      </w:pPr>
      <w:r>
        <w:rPr>
          <w:spacing w:val="-11"/>
          <w:sz w:val="21"/>
        </w:rPr>
        <w:t>到期日在 </w:t>
      </w:r>
      <w:r>
        <w:rPr>
          <w:rFonts w:ascii="Times New Roman" w:eastAsia="Times New Roman"/>
          <w:sz w:val="21"/>
        </w:rPr>
        <w:t>10</w:t>
      </w:r>
      <w:r>
        <w:rPr>
          <w:rFonts w:ascii="Times New Roman" w:eastAsia="Times New Roman"/>
          <w:spacing w:val="7"/>
          <w:sz w:val="21"/>
        </w:rPr>
        <w:t> </w:t>
      </w:r>
      <w:r>
        <w:rPr>
          <w:spacing w:val="-7"/>
          <w:sz w:val="21"/>
        </w:rPr>
        <w:t>个交易日以上的逆回购、银行定期存款等流动性受限资产投资占基金</w:t>
      </w:r>
      <w:r>
        <w:rPr>
          <w:spacing w:val="-9"/>
          <w:sz w:val="21"/>
        </w:rPr>
        <w:t>资产净值的比例合计不得超过 </w:t>
      </w:r>
      <w:r>
        <w:rPr>
          <w:rFonts w:ascii="Times New Roman" w:eastAsia="Times New Roman"/>
          <w:sz w:val="21"/>
        </w:rPr>
        <w:t>30%</w:t>
      </w:r>
      <w:r>
        <w:rPr>
          <w:sz w:val="21"/>
        </w:rPr>
        <w:t>；</w:t>
      </w:r>
    </w:p>
    <w:p>
      <w:pPr>
        <w:pStyle w:val="BodyText"/>
        <w:spacing w:before="9"/>
      </w:pPr>
    </w:p>
    <w:p>
      <w:pPr>
        <w:pStyle w:val="ListParagraph"/>
        <w:numPr>
          <w:ilvl w:val="1"/>
          <w:numId w:val="80"/>
        </w:numPr>
        <w:tabs>
          <w:tab w:pos="856" w:val="left" w:leader="none"/>
        </w:tabs>
        <w:spacing w:line="240" w:lineRule="auto" w:before="0" w:after="0"/>
        <w:ind w:left="855" w:right="0" w:hanging="318"/>
        <w:jc w:val="left"/>
        <w:rPr>
          <w:sz w:val="21"/>
        </w:rPr>
      </w:pPr>
      <w:r>
        <w:rPr>
          <w:spacing w:val="-8"/>
          <w:sz w:val="21"/>
        </w:rPr>
        <w:t>除发生巨额赎回、连续 </w:t>
      </w:r>
      <w:r>
        <w:rPr>
          <w:rFonts w:ascii="Times New Roman" w:eastAsia="Times New Roman"/>
          <w:sz w:val="21"/>
        </w:rPr>
        <w:t>3</w:t>
      </w:r>
      <w:r>
        <w:rPr>
          <w:rFonts w:ascii="Times New Roman" w:eastAsia="Times New Roman"/>
          <w:spacing w:val="3"/>
          <w:sz w:val="21"/>
        </w:rPr>
        <w:t> </w:t>
      </w:r>
      <w:r>
        <w:rPr>
          <w:spacing w:val="-9"/>
          <w:sz w:val="21"/>
        </w:rPr>
        <w:t>个交易日累计赎回 </w:t>
      </w:r>
      <w:r>
        <w:rPr>
          <w:rFonts w:ascii="Times New Roman" w:eastAsia="Times New Roman"/>
          <w:spacing w:val="-3"/>
          <w:sz w:val="21"/>
        </w:rPr>
        <w:t>20%</w:t>
      </w:r>
      <w:r>
        <w:rPr>
          <w:spacing w:val="-10"/>
          <w:sz w:val="21"/>
        </w:rPr>
        <w:t>以上或者连续 </w:t>
      </w:r>
      <w:r>
        <w:rPr>
          <w:rFonts w:ascii="Times New Roman" w:eastAsia="Times New Roman"/>
          <w:sz w:val="21"/>
        </w:rPr>
        <w:t>5</w:t>
      </w:r>
      <w:r>
        <w:rPr>
          <w:rFonts w:ascii="Times New Roman" w:eastAsia="Times New Roman"/>
          <w:spacing w:val="3"/>
          <w:sz w:val="21"/>
        </w:rPr>
        <w:t> </w:t>
      </w:r>
      <w:r>
        <w:rPr>
          <w:spacing w:val="-3"/>
          <w:sz w:val="21"/>
        </w:rPr>
        <w:t>个交易日累计赎回</w:t>
      </w:r>
    </w:p>
    <w:p>
      <w:pPr>
        <w:pStyle w:val="BodyText"/>
        <w:spacing w:before="7"/>
        <w:rPr>
          <w:sz w:val="15"/>
        </w:rPr>
      </w:pPr>
    </w:p>
    <w:p>
      <w:pPr>
        <w:pStyle w:val="BodyText"/>
        <w:ind w:left="118"/>
      </w:pPr>
      <w:r>
        <w:rPr>
          <w:rFonts w:ascii="Times New Roman" w:eastAsia="Times New Roman"/>
        </w:rPr>
        <w:t>30%</w:t>
      </w:r>
      <w:r>
        <w:rPr/>
        <w:t>以上的情形外，本基金债券正回购的资金余额占基金资产净值的比例不得超过 </w:t>
      </w:r>
      <w:r>
        <w:rPr>
          <w:rFonts w:ascii="Times New Roman" w:eastAsia="Times New Roman"/>
        </w:rPr>
        <w:t>20%</w:t>
      </w:r>
      <w:r>
        <w:rPr/>
        <w:t>；</w:t>
      </w:r>
    </w:p>
    <w:p>
      <w:pPr>
        <w:pStyle w:val="BodyText"/>
        <w:rPr>
          <w:sz w:val="22"/>
        </w:rPr>
      </w:pPr>
    </w:p>
    <w:p>
      <w:pPr>
        <w:pStyle w:val="BodyText"/>
        <w:spacing w:before="6"/>
        <w:rPr>
          <w:sz w:val="15"/>
        </w:rPr>
      </w:pPr>
    </w:p>
    <w:p>
      <w:pPr>
        <w:pStyle w:val="ListParagraph"/>
        <w:numPr>
          <w:ilvl w:val="0"/>
          <w:numId w:val="80"/>
        </w:numPr>
        <w:tabs>
          <w:tab w:pos="1067" w:val="left" w:leader="none"/>
        </w:tabs>
        <w:spacing w:line="240" w:lineRule="auto" w:before="0" w:after="0"/>
        <w:ind w:left="1067" w:right="0" w:hanging="529"/>
        <w:jc w:val="left"/>
        <w:rPr>
          <w:sz w:val="21"/>
        </w:rPr>
      </w:pPr>
      <w:r>
        <w:rPr>
          <w:spacing w:val="-6"/>
          <w:sz w:val="21"/>
        </w:rPr>
        <w:t>本基金基金总资产不得超过基金净资产的 </w:t>
      </w:r>
      <w:r>
        <w:rPr>
          <w:rFonts w:ascii="Times New Roman" w:eastAsia="Times New Roman"/>
          <w:sz w:val="21"/>
        </w:rPr>
        <w:t>140%</w:t>
      </w:r>
      <w:r>
        <w:rPr>
          <w:sz w:val="21"/>
        </w:rPr>
        <w:t>；</w:t>
      </w:r>
    </w:p>
    <w:p>
      <w:pPr>
        <w:pStyle w:val="BodyText"/>
        <w:rPr>
          <w:sz w:val="22"/>
        </w:rPr>
      </w:pPr>
    </w:p>
    <w:p>
      <w:pPr>
        <w:pStyle w:val="BodyText"/>
        <w:spacing w:before="6"/>
        <w:rPr>
          <w:sz w:val="15"/>
        </w:rPr>
      </w:pPr>
    </w:p>
    <w:p>
      <w:pPr>
        <w:pStyle w:val="ListParagraph"/>
        <w:numPr>
          <w:ilvl w:val="0"/>
          <w:numId w:val="80"/>
        </w:numPr>
        <w:tabs>
          <w:tab w:pos="1067" w:val="left" w:leader="none"/>
        </w:tabs>
        <w:spacing w:line="417" w:lineRule="auto" w:before="0" w:after="0"/>
        <w:ind w:left="118" w:right="433" w:firstLine="419"/>
        <w:jc w:val="left"/>
        <w:rPr>
          <w:sz w:val="21"/>
        </w:rPr>
      </w:pPr>
      <w:r>
        <w:rPr>
          <w:spacing w:val="-5"/>
          <w:sz w:val="21"/>
        </w:rPr>
        <w:t>本基金在全国银行间同业市场的债券回购最长期限为 </w:t>
      </w:r>
      <w:r>
        <w:rPr>
          <w:rFonts w:ascii="Times New Roman" w:eastAsia="Times New Roman"/>
          <w:sz w:val="21"/>
        </w:rPr>
        <w:t>1</w:t>
      </w:r>
      <w:r>
        <w:rPr>
          <w:rFonts w:ascii="Times New Roman" w:eastAsia="Times New Roman"/>
          <w:spacing w:val="23"/>
          <w:sz w:val="21"/>
        </w:rPr>
        <w:t> </w:t>
      </w:r>
      <w:r>
        <w:rPr>
          <w:spacing w:val="-3"/>
          <w:sz w:val="21"/>
        </w:rPr>
        <w:t>年，债券回购到期后不得展期；</w:t>
      </w:r>
    </w:p>
    <w:p>
      <w:pPr>
        <w:pStyle w:val="BodyText"/>
        <w:spacing w:before="9"/>
      </w:pPr>
    </w:p>
    <w:p>
      <w:pPr>
        <w:pStyle w:val="ListParagraph"/>
        <w:numPr>
          <w:ilvl w:val="0"/>
          <w:numId w:val="80"/>
        </w:numPr>
        <w:tabs>
          <w:tab w:pos="1067" w:val="left" w:leader="none"/>
        </w:tabs>
        <w:spacing w:line="417" w:lineRule="auto" w:before="0" w:after="0"/>
        <w:ind w:left="118" w:right="330" w:firstLine="419"/>
        <w:jc w:val="left"/>
        <w:rPr>
          <w:sz w:val="21"/>
        </w:rPr>
      </w:pPr>
      <w:r>
        <w:rPr>
          <w:spacing w:val="-3"/>
          <w:sz w:val="21"/>
        </w:rPr>
        <w:t>本基金投资于同一原始权益人的各类资产支持证券的比例，不得超过基金资产净</w:t>
      </w:r>
      <w:r>
        <w:rPr>
          <w:spacing w:val="-16"/>
          <w:sz w:val="21"/>
        </w:rPr>
        <w:t>值的 </w:t>
      </w:r>
      <w:r>
        <w:rPr>
          <w:rFonts w:ascii="Times New Roman" w:eastAsia="Times New Roman"/>
          <w:spacing w:val="-12"/>
          <w:sz w:val="21"/>
        </w:rPr>
        <w:t>10%</w:t>
      </w:r>
      <w:r>
        <w:rPr>
          <w:spacing w:val="-10"/>
          <w:sz w:val="21"/>
        </w:rPr>
        <w:t>；本基金持有的全部资产支持证券，其市值不得超过基金资产净值的 </w:t>
      </w:r>
      <w:r>
        <w:rPr>
          <w:rFonts w:ascii="Times New Roman" w:eastAsia="Times New Roman"/>
          <w:spacing w:val="-12"/>
          <w:sz w:val="21"/>
        </w:rPr>
        <w:t>20%</w:t>
      </w:r>
      <w:r>
        <w:rPr>
          <w:spacing w:val="-4"/>
          <w:sz w:val="21"/>
        </w:rPr>
        <w:t>；本基金持有的同一</w:t>
      </w:r>
      <w:r>
        <w:rPr>
          <w:rFonts w:ascii="Times New Roman" w:eastAsia="Times New Roman"/>
          <w:sz w:val="21"/>
        </w:rPr>
        <w:t>(</w:t>
      </w:r>
      <w:r>
        <w:rPr>
          <w:spacing w:val="-3"/>
          <w:sz w:val="21"/>
        </w:rPr>
        <w:t>指同一信用级别</w:t>
      </w:r>
      <w:r>
        <w:rPr>
          <w:rFonts w:ascii="Times New Roman" w:eastAsia="Times New Roman"/>
          <w:sz w:val="21"/>
        </w:rPr>
        <w:t>)</w:t>
      </w:r>
      <w:r>
        <w:rPr>
          <w:spacing w:val="-2"/>
          <w:sz w:val="21"/>
        </w:rPr>
        <w:t>资产支持证券的比例，不得超过该资产支持证券规模的 </w:t>
      </w:r>
      <w:r>
        <w:rPr>
          <w:rFonts w:ascii="Times New Roman" w:eastAsia="Times New Roman"/>
          <w:sz w:val="21"/>
        </w:rPr>
        <w:t>10%</w:t>
      </w:r>
      <w:r>
        <w:rPr>
          <w:sz w:val="21"/>
        </w:rPr>
        <w:t>； </w:t>
      </w:r>
      <w:r>
        <w:rPr>
          <w:spacing w:val="-6"/>
          <w:sz w:val="21"/>
        </w:rPr>
        <w:t>本基金管理人管理的全部基金投资于同一原始权益人的各类资产支持证券，不得超过其各类</w:t>
      </w:r>
      <w:r>
        <w:rPr>
          <w:spacing w:val="-9"/>
          <w:sz w:val="21"/>
        </w:rPr>
        <w:t>资产支持证券合计规模的 </w:t>
      </w:r>
      <w:r>
        <w:rPr>
          <w:rFonts w:ascii="Times New Roman" w:eastAsia="Times New Roman"/>
          <w:sz w:val="21"/>
        </w:rPr>
        <w:t>10%</w:t>
      </w:r>
      <w:r>
        <w:rPr>
          <w:sz w:val="21"/>
        </w:rPr>
        <w:t>；</w:t>
      </w:r>
    </w:p>
    <w:p>
      <w:pPr>
        <w:pStyle w:val="BodyText"/>
        <w:spacing w:before="11"/>
      </w:pPr>
    </w:p>
    <w:p>
      <w:pPr>
        <w:pStyle w:val="ListParagraph"/>
        <w:numPr>
          <w:ilvl w:val="0"/>
          <w:numId w:val="80"/>
        </w:numPr>
        <w:tabs>
          <w:tab w:pos="1067" w:val="left" w:leader="none"/>
        </w:tabs>
        <w:spacing w:line="417" w:lineRule="auto" w:before="0" w:after="0"/>
        <w:ind w:left="118" w:right="433" w:firstLine="419"/>
        <w:jc w:val="both"/>
        <w:rPr>
          <w:sz w:val="21"/>
        </w:rPr>
      </w:pPr>
      <w:r>
        <w:rPr>
          <w:spacing w:val="-2"/>
          <w:sz w:val="21"/>
        </w:rPr>
        <w:t>本基金主动投资于流动性受限资产的市值合计不得超过基金资产净值的 </w:t>
      </w:r>
      <w:r>
        <w:rPr>
          <w:rFonts w:ascii="Times New Roman" w:eastAsia="Times New Roman"/>
          <w:sz w:val="21"/>
        </w:rPr>
        <w:t>10%</w:t>
      </w:r>
      <w:r>
        <w:rPr>
          <w:spacing w:val="-32"/>
          <w:sz w:val="21"/>
        </w:rPr>
        <w:t>。因</w:t>
      </w:r>
      <w:r>
        <w:rPr>
          <w:spacing w:val="-12"/>
          <w:sz w:val="21"/>
        </w:rPr>
        <w:t>证券市场波动、证券停牌、基金规模变动等基金管理人之外的因素致使基金不符合前款所规</w:t>
      </w:r>
      <w:r>
        <w:rPr>
          <w:spacing w:val="-6"/>
          <w:sz w:val="21"/>
        </w:rPr>
        <w:t>定比例限制的，基金管理人不得主动新增流动性受限资产的投资；</w:t>
      </w:r>
    </w:p>
    <w:p>
      <w:pPr>
        <w:pStyle w:val="BodyText"/>
        <w:spacing w:before="11"/>
      </w:pPr>
    </w:p>
    <w:p>
      <w:pPr>
        <w:pStyle w:val="ListParagraph"/>
        <w:numPr>
          <w:ilvl w:val="0"/>
          <w:numId w:val="80"/>
        </w:numPr>
        <w:tabs>
          <w:tab w:pos="1173" w:val="left" w:leader="none"/>
        </w:tabs>
        <w:spacing w:line="417" w:lineRule="auto" w:before="0" w:after="0"/>
        <w:ind w:left="118" w:right="433" w:firstLine="419"/>
        <w:jc w:val="both"/>
        <w:rPr>
          <w:sz w:val="21"/>
        </w:rPr>
      </w:pPr>
      <w:r>
        <w:rPr>
          <w:spacing w:val="-6"/>
          <w:sz w:val="21"/>
        </w:rPr>
        <w:t>本基金投资于主体信用评级低于 </w:t>
      </w:r>
      <w:r>
        <w:rPr>
          <w:rFonts w:ascii="Times New Roman" w:eastAsia="Times New Roman"/>
          <w:sz w:val="21"/>
        </w:rPr>
        <w:t>AAA</w:t>
      </w:r>
      <w:r>
        <w:rPr>
          <w:rFonts w:ascii="Times New Roman" w:eastAsia="Times New Roman"/>
          <w:spacing w:val="50"/>
          <w:sz w:val="21"/>
        </w:rPr>
        <w:t> </w:t>
      </w:r>
      <w:r>
        <w:rPr>
          <w:spacing w:val="-3"/>
          <w:sz w:val="21"/>
        </w:rPr>
        <w:t>的机构发行的金融工具占基金资产净值</w:t>
      </w:r>
      <w:r>
        <w:rPr>
          <w:spacing w:val="4"/>
          <w:sz w:val="21"/>
        </w:rPr>
        <w:t>的比例合计不得超过 </w:t>
      </w:r>
      <w:r>
        <w:rPr>
          <w:rFonts w:ascii="Times New Roman" w:eastAsia="Times New Roman"/>
          <w:sz w:val="21"/>
        </w:rPr>
        <w:t>10%</w:t>
      </w:r>
      <w:r>
        <w:rPr>
          <w:sz w:val="21"/>
        </w:rPr>
        <w:t>，其中单一机构发行的金融工具占基金资产净值的比例合计不得</w:t>
      </w:r>
      <w:r>
        <w:rPr>
          <w:spacing w:val="-15"/>
          <w:sz w:val="21"/>
        </w:rPr>
        <w:t>超过 </w:t>
      </w:r>
      <w:r>
        <w:rPr>
          <w:rFonts w:ascii="Times New Roman" w:eastAsia="Times New Roman"/>
          <w:sz w:val="21"/>
        </w:rPr>
        <w:t>2%</w:t>
      </w:r>
      <w:r>
        <w:rPr>
          <w:spacing w:val="-3"/>
          <w:sz w:val="21"/>
        </w:rPr>
        <w:t>。前述金融工具包括债券、非金融企业债务融资工具、银行存款、同业存单、相关</w:t>
      </w:r>
      <w:r>
        <w:rPr>
          <w:spacing w:val="-7"/>
          <w:sz w:val="21"/>
        </w:rPr>
        <w:t>机构作为原始权益人的资产支持证券及中国证监会认定的其他品种。本基金拟投资于主体信</w:t>
      </w:r>
      <w:r>
        <w:rPr>
          <w:spacing w:val="5"/>
          <w:sz w:val="21"/>
        </w:rPr>
        <w:t>用评级低于 </w:t>
      </w:r>
      <w:r>
        <w:rPr>
          <w:rFonts w:ascii="Times New Roman" w:eastAsia="Times New Roman"/>
          <w:sz w:val="21"/>
        </w:rPr>
        <w:t>AA+</w:t>
      </w:r>
      <w:r>
        <w:rPr>
          <w:spacing w:val="-3"/>
          <w:sz w:val="21"/>
        </w:rPr>
        <w:t>的商业银行的银行存款与同业存单的，应当经基金管理人董事会审议批准，相关交易应当事先征得基金托管人的同意，并作为重大事项履行信息披露程序；</w:t>
      </w:r>
    </w:p>
    <w:p>
      <w:pPr>
        <w:pStyle w:val="BodyText"/>
        <w:spacing w:before="9"/>
      </w:pPr>
    </w:p>
    <w:p>
      <w:pPr>
        <w:pStyle w:val="ListParagraph"/>
        <w:numPr>
          <w:ilvl w:val="0"/>
          <w:numId w:val="80"/>
        </w:numPr>
        <w:tabs>
          <w:tab w:pos="1166" w:val="left" w:leader="none"/>
        </w:tabs>
        <w:spacing w:line="240" w:lineRule="auto" w:before="0" w:after="0"/>
        <w:ind w:left="1165" w:right="0" w:hanging="628"/>
        <w:jc w:val="left"/>
        <w:rPr>
          <w:sz w:val="21"/>
        </w:rPr>
      </w:pPr>
      <w:r>
        <w:rPr>
          <w:spacing w:val="-5"/>
          <w:sz w:val="21"/>
        </w:rPr>
        <w:t>本基金根据份额持有人集中度情况对本基金的投资组合实施调整，并遵守以下要</w:t>
      </w:r>
    </w:p>
    <w:p>
      <w:pPr>
        <w:spacing w:after="0" w:line="240" w:lineRule="auto"/>
        <w:jc w:val="left"/>
        <w:rPr>
          <w:sz w:val="21"/>
        </w:rPr>
        <w:sectPr>
          <w:pgSz w:w="11910" w:h="16850"/>
          <w:pgMar w:header="852" w:footer="1386" w:top="1420" w:bottom="1580" w:left="1680" w:right="1360"/>
        </w:sectPr>
      </w:pPr>
    </w:p>
    <w:p>
      <w:pPr>
        <w:pStyle w:val="BodyText"/>
        <w:spacing w:before="142"/>
        <w:ind w:left="118"/>
      </w:pPr>
      <w:r>
        <w:rPr/>
        <w:t>求：</w:t>
      </w:r>
    </w:p>
    <w:p>
      <w:pPr>
        <w:pStyle w:val="BodyText"/>
        <w:rPr>
          <w:sz w:val="20"/>
        </w:rPr>
      </w:pPr>
    </w:p>
    <w:p>
      <w:pPr>
        <w:pStyle w:val="BodyText"/>
        <w:spacing w:before="5"/>
        <w:rPr>
          <w:sz w:val="17"/>
        </w:rPr>
      </w:pPr>
    </w:p>
    <w:p>
      <w:pPr>
        <w:pStyle w:val="ListParagraph"/>
        <w:numPr>
          <w:ilvl w:val="0"/>
          <w:numId w:val="81"/>
        </w:numPr>
        <w:tabs>
          <w:tab w:pos="856" w:val="left" w:leader="none"/>
        </w:tabs>
        <w:spacing w:line="417" w:lineRule="auto" w:before="0" w:after="0"/>
        <w:ind w:left="118" w:right="433" w:firstLine="419"/>
        <w:jc w:val="left"/>
        <w:rPr>
          <w:sz w:val="21"/>
        </w:rPr>
      </w:pPr>
      <w:r>
        <w:rPr>
          <w:spacing w:val="-5"/>
          <w:sz w:val="21"/>
        </w:rPr>
        <w:t>当本基金前 </w:t>
      </w:r>
      <w:r>
        <w:rPr>
          <w:rFonts w:ascii="Times New Roman" w:eastAsia="Times New Roman"/>
          <w:sz w:val="21"/>
        </w:rPr>
        <w:t>10</w:t>
      </w:r>
      <w:r>
        <w:rPr>
          <w:rFonts w:ascii="Times New Roman" w:eastAsia="Times New Roman"/>
          <w:spacing w:val="44"/>
          <w:sz w:val="21"/>
        </w:rPr>
        <w:t> </w:t>
      </w:r>
      <w:r>
        <w:rPr>
          <w:spacing w:val="-4"/>
          <w:sz w:val="21"/>
        </w:rPr>
        <w:t>名份额持有人的持有份额合计超过基金总份额的 </w:t>
      </w:r>
      <w:r>
        <w:rPr>
          <w:rFonts w:ascii="Times New Roman" w:eastAsia="Times New Roman"/>
          <w:sz w:val="21"/>
        </w:rPr>
        <w:t>50%</w:t>
      </w:r>
      <w:r>
        <w:rPr>
          <w:spacing w:val="-3"/>
          <w:sz w:val="21"/>
        </w:rPr>
        <w:t>时，本基金投</w:t>
      </w:r>
      <w:r>
        <w:rPr>
          <w:spacing w:val="-7"/>
          <w:sz w:val="21"/>
        </w:rPr>
        <w:t>资组合的平均剩余期限不得超过 </w:t>
      </w:r>
      <w:r>
        <w:rPr>
          <w:rFonts w:ascii="Times New Roman" w:eastAsia="Times New Roman"/>
          <w:sz w:val="21"/>
        </w:rPr>
        <w:t>60</w:t>
      </w:r>
      <w:r>
        <w:rPr>
          <w:rFonts w:ascii="Times New Roman" w:eastAsia="Times New Roman"/>
          <w:spacing w:val="-11"/>
          <w:sz w:val="21"/>
        </w:rPr>
        <w:t> </w:t>
      </w:r>
      <w:r>
        <w:rPr>
          <w:spacing w:val="-10"/>
          <w:sz w:val="21"/>
        </w:rPr>
        <w:t>天，平均剩余存续期不得超过 </w:t>
      </w:r>
      <w:r>
        <w:rPr>
          <w:rFonts w:ascii="Times New Roman" w:eastAsia="Times New Roman"/>
          <w:sz w:val="21"/>
        </w:rPr>
        <w:t>120</w:t>
      </w:r>
      <w:r>
        <w:rPr>
          <w:rFonts w:ascii="Times New Roman" w:eastAsia="Times New Roman"/>
          <w:spacing w:val="-8"/>
          <w:sz w:val="21"/>
        </w:rPr>
        <w:t> </w:t>
      </w:r>
      <w:r>
        <w:rPr>
          <w:spacing w:val="-14"/>
          <w:sz w:val="21"/>
        </w:rPr>
        <w:t>天；投资组合中现金、</w:t>
      </w:r>
    </w:p>
    <w:p>
      <w:pPr>
        <w:pStyle w:val="BodyText"/>
        <w:spacing w:line="417" w:lineRule="auto"/>
        <w:ind w:left="118" w:right="433"/>
      </w:pPr>
      <w:r>
        <w:rPr>
          <w:spacing w:val="-14"/>
        </w:rPr>
        <w:t>国债、中央银行票据、政策性金融债券以及 </w:t>
      </w:r>
      <w:r>
        <w:rPr>
          <w:rFonts w:ascii="Times New Roman" w:eastAsia="Times New Roman"/>
        </w:rPr>
        <w:t>5 </w:t>
      </w:r>
      <w:r>
        <w:rPr>
          <w:spacing w:val="-3"/>
        </w:rPr>
        <w:t>个交易日内到期的其他金融工具占基金资产净</w:t>
      </w:r>
      <w:r>
        <w:rPr>
          <w:spacing w:val="-8"/>
        </w:rPr>
        <w:t>值的比例合计不得低于 </w:t>
      </w:r>
      <w:r>
        <w:rPr>
          <w:rFonts w:ascii="Times New Roman" w:eastAsia="Times New Roman"/>
        </w:rPr>
        <w:t>30%</w:t>
      </w:r>
      <w:r>
        <w:rPr/>
        <w:t>；</w:t>
      </w:r>
    </w:p>
    <w:p>
      <w:pPr>
        <w:pStyle w:val="BodyText"/>
        <w:spacing w:before="9"/>
      </w:pPr>
    </w:p>
    <w:p>
      <w:pPr>
        <w:pStyle w:val="ListParagraph"/>
        <w:numPr>
          <w:ilvl w:val="0"/>
          <w:numId w:val="81"/>
        </w:numPr>
        <w:tabs>
          <w:tab w:pos="856" w:val="left" w:leader="none"/>
        </w:tabs>
        <w:spacing w:line="417" w:lineRule="auto" w:before="0" w:after="0"/>
        <w:ind w:left="118" w:right="433" w:firstLine="419"/>
        <w:jc w:val="left"/>
        <w:rPr>
          <w:sz w:val="21"/>
        </w:rPr>
      </w:pPr>
      <w:r>
        <w:rPr>
          <w:spacing w:val="-6"/>
          <w:sz w:val="21"/>
        </w:rPr>
        <w:t>当本基金前 </w:t>
      </w:r>
      <w:r>
        <w:rPr>
          <w:rFonts w:ascii="Times New Roman" w:eastAsia="Times New Roman"/>
          <w:sz w:val="21"/>
        </w:rPr>
        <w:t>10</w:t>
      </w:r>
      <w:r>
        <w:rPr>
          <w:rFonts w:ascii="Times New Roman" w:eastAsia="Times New Roman"/>
          <w:spacing w:val="13"/>
          <w:sz w:val="21"/>
        </w:rPr>
        <w:t> </w:t>
      </w:r>
      <w:r>
        <w:rPr>
          <w:spacing w:val="-4"/>
          <w:sz w:val="21"/>
        </w:rPr>
        <w:t>名份额持有人的持有份额合计超过基金总份额的 </w:t>
      </w:r>
      <w:r>
        <w:rPr>
          <w:rFonts w:ascii="Times New Roman" w:eastAsia="Times New Roman"/>
          <w:sz w:val="21"/>
        </w:rPr>
        <w:t>20%</w:t>
      </w:r>
      <w:r>
        <w:rPr>
          <w:spacing w:val="-3"/>
          <w:sz w:val="21"/>
        </w:rPr>
        <w:t>时，本基金投</w:t>
      </w:r>
      <w:r>
        <w:rPr>
          <w:spacing w:val="-6"/>
          <w:sz w:val="21"/>
        </w:rPr>
        <w:t>资组合的平均剩余期限不得超过 </w:t>
      </w:r>
      <w:r>
        <w:rPr>
          <w:rFonts w:ascii="Times New Roman" w:eastAsia="Times New Roman"/>
          <w:sz w:val="21"/>
        </w:rPr>
        <w:t>90</w:t>
      </w:r>
      <w:r>
        <w:rPr>
          <w:rFonts w:ascii="Times New Roman" w:eastAsia="Times New Roman"/>
          <w:spacing w:val="6"/>
          <w:sz w:val="21"/>
        </w:rPr>
        <w:t> </w:t>
      </w:r>
      <w:r>
        <w:rPr>
          <w:spacing w:val="-15"/>
          <w:sz w:val="21"/>
        </w:rPr>
        <w:t>天，平均剩余存续期不得超过 </w:t>
      </w:r>
      <w:r>
        <w:rPr>
          <w:rFonts w:ascii="Times New Roman" w:eastAsia="Times New Roman"/>
          <w:sz w:val="21"/>
        </w:rPr>
        <w:t>180</w:t>
      </w:r>
      <w:r>
        <w:rPr>
          <w:rFonts w:ascii="Times New Roman" w:eastAsia="Times New Roman"/>
          <w:spacing w:val="10"/>
          <w:sz w:val="21"/>
        </w:rPr>
        <w:t> </w:t>
      </w:r>
      <w:r>
        <w:rPr>
          <w:spacing w:val="-13"/>
          <w:sz w:val="21"/>
        </w:rPr>
        <w:t>天；投资组合中现金、</w:t>
      </w:r>
    </w:p>
    <w:p>
      <w:pPr>
        <w:pStyle w:val="BodyText"/>
        <w:spacing w:line="417" w:lineRule="auto"/>
        <w:ind w:left="118" w:right="433"/>
      </w:pPr>
      <w:r>
        <w:rPr>
          <w:spacing w:val="-14"/>
        </w:rPr>
        <w:t>国债、中央银行票据、政策性金融债券以及 </w:t>
      </w:r>
      <w:r>
        <w:rPr>
          <w:rFonts w:ascii="Times New Roman" w:eastAsia="Times New Roman"/>
        </w:rPr>
        <w:t>5 </w:t>
      </w:r>
      <w:r>
        <w:rPr>
          <w:spacing w:val="-3"/>
        </w:rPr>
        <w:t>个交易日内到期的其他金融工具占基金资产净</w:t>
      </w:r>
      <w:r>
        <w:rPr>
          <w:spacing w:val="-8"/>
        </w:rPr>
        <w:t>值的比例合计不得低于 </w:t>
      </w:r>
      <w:r>
        <w:rPr>
          <w:rFonts w:ascii="Times New Roman" w:eastAsia="Times New Roman"/>
        </w:rPr>
        <w:t>20%</w:t>
      </w:r>
      <w:r>
        <w:rPr/>
        <w:t>；</w:t>
      </w:r>
    </w:p>
    <w:p>
      <w:pPr>
        <w:pStyle w:val="BodyText"/>
        <w:spacing w:before="11"/>
      </w:pPr>
    </w:p>
    <w:p>
      <w:pPr>
        <w:pStyle w:val="ListParagraph"/>
        <w:numPr>
          <w:ilvl w:val="0"/>
          <w:numId w:val="80"/>
        </w:numPr>
        <w:tabs>
          <w:tab w:pos="1173" w:val="left" w:leader="none"/>
        </w:tabs>
        <w:spacing w:line="417" w:lineRule="auto" w:before="1" w:after="0"/>
        <w:ind w:left="118" w:right="434"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BodyText"/>
        <w:spacing w:before="11"/>
      </w:pPr>
    </w:p>
    <w:p>
      <w:pPr>
        <w:pStyle w:val="ListParagraph"/>
        <w:numPr>
          <w:ilvl w:val="0"/>
          <w:numId w:val="80"/>
        </w:numPr>
        <w:tabs>
          <w:tab w:pos="1173" w:val="left" w:leader="none"/>
        </w:tabs>
        <w:spacing w:line="240" w:lineRule="auto" w:before="0" w:after="0"/>
        <w:ind w:left="1172" w:right="0" w:hanging="635"/>
        <w:jc w:val="left"/>
        <w:rPr>
          <w:sz w:val="21"/>
        </w:rPr>
      </w:pPr>
      <w:r>
        <w:rPr>
          <w:spacing w:val="-3"/>
          <w:sz w:val="21"/>
        </w:rPr>
        <w:t>中国证监会规定的其他比例限制。</w:t>
      </w:r>
    </w:p>
    <w:p>
      <w:pPr>
        <w:pStyle w:val="BodyText"/>
        <w:rPr>
          <w:sz w:val="22"/>
        </w:rPr>
      </w:pPr>
    </w:p>
    <w:p>
      <w:pPr>
        <w:pStyle w:val="BodyText"/>
        <w:spacing w:line="417" w:lineRule="auto" w:before="196"/>
        <w:ind w:left="118" w:right="433" w:firstLine="419"/>
        <w:jc w:val="both"/>
      </w:pPr>
      <w:r>
        <w:rPr>
          <w:spacing w:val="-10"/>
          <w:w w:val="100"/>
        </w:rPr>
        <w:t>除第</w:t>
      </w:r>
      <w:r>
        <w:rPr>
          <w:w w:val="100"/>
        </w:rPr>
        <w:t>（</w:t>
      </w:r>
      <w:r>
        <w:rPr>
          <w:rFonts w:ascii="Times New Roman" w:eastAsia="Times New Roman"/>
          <w:spacing w:val="-3"/>
          <w:w w:val="100"/>
        </w:rPr>
        <w:t>1</w:t>
      </w:r>
      <w:r>
        <w:rPr>
          <w:spacing w:val="-106"/>
          <w:w w:val="100"/>
        </w:rPr>
        <w:t>）</w:t>
      </w:r>
      <w:r>
        <w:rPr>
          <w:spacing w:val="-125"/>
          <w:w w:val="100"/>
        </w:rPr>
        <w:t>、</w:t>
      </w:r>
      <w:r>
        <w:rPr>
          <w:w w:val="100"/>
        </w:rPr>
        <w:t>（</w:t>
      </w:r>
      <w:r>
        <w:rPr>
          <w:rFonts w:ascii="Times New Roman" w:eastAsia="Times New Roman"/>
          <w:w w:val="100"/>
        </w:rPr>
        <w:t>5</w:t>
      </w:r>
      <w:r>
        <w:rPr>
          <w:spacing w:val="-22"/>
          <w:w w:val="100"/>
        </w:rPr>
        <w:t>）</w:t>
      </w:r>
      <w:r>
        <w:rPr>
          <w:w w:val="100"/>
        </w:rPr>
        <w:t>之</w:t>
      </w:r>
      <w:r>
        <w:rPr>
          <w:spacing w:val="-52"/>
        </w:rPr>
        <w:t> </w:t>
      </w:r>
      <w:r>
        <w:rPr>
          <w:rFonts w:ascii="Times New Roman" w:eastAsia="Times New Roman"/>
          <w:w w:val="100"/>
        </w:rPr>
        <w:t>1</w:t>
      </w:r>
      <w:r>
        <w:rPr>
          <w:spacing w:val="-108"/>
          <w:w w:val="100"/>
        </w:rPr>
        <w:t>）</w:t>
      </w:r>
      <w:r>
        <w:rPr>
          <w:spacing w:val="-125"/>
          <w:w w:val="100"/>
        </w:rPr>
        <w:t>、</w:t>
      </w:r>
      <w:r>
        <w:rPr>
          <w:spacing w:val="-1"/>
          <w:w w:val="100"/>
        </w:rPr>
        <w:t>（</w:t>
      </w:r>
      <w:r>
        <w:rPr>
          <w:rFonts w:ascii="Times New Roman" w:eastAsia="Times New Roman"/>
          <w:w w:val="100"/>
        </w:rPr>
        <w:t>9</w:t>
      </w:r>
      <w:r>
        <w:rPr>
          <w:spacing w:val="-108"/>
          <w:w w:val="100"/>
        </w:rPr>
        <w:t>）</w:t>
      </w:r>
      <w:r>
        <w:rPr>
          <w:spacing w:val="-125"/>
          <w:w w:val="100"/>
        </w:rPr>
        <w:t>、</w:t>
      </w:r>
      <w:r>
        <w:rPr>
          <w:spacing w:val="-1"/>
          <w:w w:val="100"/>
        </w:rPr>
        <w:t>（</w:t>
      </w:r>
      <w:r>
        <w:rPr>
          <w:rFonts w:ascii="Times New Roman" w:eastAsia="Times New Roman"/>
          <w:w w:val="100"/>
        </w:rPr>
        <w:t>12</w:t>
      </w:r>
      <w:r>
        <w:rPr>
          <w:spacing w:val="-20"/>
          <w:w w:val="100"/>
        </w:rPr>
        <w:t>）</w:t>
      </w:r>
      <w:r>
        <w:rPr>
          <w:spacing w:val="-8"/>
          <w:w w:val="100"/>
        </w:rPr>
        <w:t>项外，因市场波动、基金规模变动等基金管理人之外</w:t>
      </w:r>
      <w:r>
        <w:rPr>
          <w:spacing w:val="-6"/>
        </w:rPr>
        <w:t>的因素致使基金投资不符合上述规定投资比例的，基金管理人应当在 </w:t>
      </w:r>
      <w:r>
        <w:rPr>
          <w:rFonts w:ascii="Times New Roman" w:eastAsia="Times New Roman"/>
        </w:rPr>
        <w:t>10 </w:t>
      </w:r>
      <w:r>
        <w:rPr>
          <w:spacing w:val="-3"/>
        </w:rPr>
        <w:t>个交易日内进行调</w:t>
      </w:r>
      <w:r>
        <w:rPr>
          <w:spacing w:val="-9"/>
        </w:rPr>
        <w:t>整，但中国证监会规定或上述条款另有约定的特殊情形除外。法律法规另有规定的，从其规定。</w:t>
      </w:r>
    </w:p>
    <w:p>
      <w:pPr>
        <w:pStyle w:val="BodyText"/>
        <w:spacing w:before="11"/>
      </w:pPr>
    </w:p>
    <w:p>
      <w:pPr>
        <w:pStyle w:val="BodyText"/>
        <w:ind w:left="538"/>
      </w:pPr>
      <w:r>
        <w:rPr>
          <w:rFonts w:ascii="Times New Roman" w:eastAsia="Times New Roman"/>
        </w:rPr>
        <w:t>3</w:t>
      </w:r>
      <w:r>
        <w:rPr/>
        <w:t>、投资组合平均剩余期限和剩余存续期限的计算</w:t>
      </w:r>
    </w:p>
    <w:p>
      <w:pPr>
        <w:pStyle w:val="BodyText"/>
        <w:rPr>
          <w:sz w:val="22"/>
        </w:rPr>
      </w:pPr>
    </w:p>
    <w:p>
      <w:pPr>
        <w:pStyle w:val="BodyText"/>
        <w:spacing w:before="5"/>
        <w:rPr>
          <w:sz w:val="15"/>
        </w:rPr>
      </w:pPr>
    </w:p>
    <w:p>
      <w:pPr>
        <w:pStyle w:val="ListParagraph"/>
        <w:numPr>
          <w:ilvl w:val="0"/>
          <w:numId w:val="82"/>
        </w:numPr>
        <w:tabs>
          <w:tab w:pos="1067" w:val="left" w:leader="none"/>
        </w:tabs>
        <w:spacing w:line="240" w:lineRule="auto" w:before="1" w:after="0"/>
        <w:ind w:left="1067" w:right="0" w:hanging="529"/>
        <w:jc w:val="left"/>
        <w:rPr>
          <w:sz w:val="21"/>
        </w:rPr>
      </w:pPr>
      <w:r>
        <w:rPr>
          <w:spacing w:val="-3"/>
          <w:sz w:val="21"/>
        </w:rPr>
        <w:t>平均剩余期限</w:t>
      </w:r>
      <w:r>
        <w:rPr>
          <w:sz w:val="21"/>
        </w:rPr>
        <w:t>（</w:t>
      </w:r>
      <w:r>
        <w:rPr>
          <w:spacing w:val="-3"/>
          <w:sz w:val="21"/>
        </w:rPr>
        <w:t>天）的计算公式如下：</w:t>
      </w:r>
    </w:p>
    <w:p>
      <w:pPr>
        <w:pStyle w:val="BodyText"/>
        <w:rPr>
          <w:sz w:val="22"/>
        </w:rPr>
      </w:pPr>
    </w:p>
    <w:p>
      <w:pPr>
        <w:pStyle w:val="BodyText"/>
        <w:spacing w:before="196"/>
        <w:ind w:left="538"/>
      </w:pPr>
      <w:r>
        <w:rPr/>
        <w:t>（Σ投资于金融工具产生的资产×剩余期限</w:t>
      </w:r>
      <w:r>
        <w:rPr>
          <w:rFonts w:ascii="Times New Roman" w:hAnsi="Times New Roman" w:eastAsia="Times New Roman"/>
        </w:rPr>
        <w:t>-</w:t>
      </w:r>
      <w:r>
        <w:rPr/>
        <w:t>Σ投资于金融工具产生的负债×剩余期限</w:t>
      </w:r>
    </w:p>
    <w:p>
      <w:pPr>
        <w:pStyle w:val="BodyText"/>
        <w:spacing w:before="6"/>
        <w:rPr>
          <w:sz w:val="15"/>
        </w:rPr>
      </w:pPr>
    </w:p>
    <w:p>
      <w:pPr>
        <w:pStyle w:val="BodyText"/>
        <w:spacing w:line="417" w:lineRule="auto"/>
        <w:ind w:left="118" w:right="379"/>
      </w:pPr>
      <w:r>
        <w:rPr>
          <w:rFonts w:ascii="Times New Roman" w:hAnsi="Times New Roman" w:eastAsia="Times New Roman"/>
        </w:rPr>
        <w:t>+</w:t>
      </w:r>
      <w:r>
        <w:rPr/>
        <w:t>债券正回购×剩余期限）</w:t>
      </w:r>
      <w:r>
        <w:rPr>
          <w:rFonts w:ascii="Times New Roman" w:hAnsi="Times New Roman" w:eastAsia="Times New Roman"/>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BodyText"/>
        <w:spacing w:before="12"/>
      </w:pPr>
    </w:p>
    <w:p>
      <w:pPr>
        <w:pStyle w:val="ListParagraph"/>
        <w:numPr>
          <w:ilvl w:val="0"/>
          <w:numId w:val="82"/>
        </w:numPr>
        <w:tabs>
          <w:tab w:pos="1067" w:val="left" w:leader="none"/>
        </w:tabs>
        <w:spacing w:line="240" w:lineRule="auto" w:before="0" w:after="0"/>
        <w:ind w:left="1067" w:right="0" w:hanging="529"/>
        <w:jc w:val="left"/>
        <w:rPr>
          <w:sz w:val="21"/>
        </w:rPr>
      </w:pPr>
      <w:r>
        <w:rPr>
          <w:spacing w:val="-3"/>
          <w:sz w:val="21"/>
        </w:rPr>
        <w:t>平均剩余存续期限的计算公式如下：</w:t>
      </w:r>
    </w:p>
    <w:p>
      <w:pPr>
        <w:pStyle w:val="BodyText"/>
        <w:rPr>
          <w:sz w:val="22"/>
        </w:rPr>
      </w:pPr>
    </w:p>
    <w:p>
      <w:pPr>
        <w:pStyle w:val="BodyText"/>
        <w:spacing w:before="198"/>
        <w:ind w:left="538"/>
      </w:pPr>
      <w:r>
        <w:rPr/>
        <w:t>（Σ投资于金融工具产生的资产×剩余存续期限</w:t>
      </w:r>
      <w:r>
        <w:rPr>
          <w:rFonts w:ascii="Times New Roman" w:hAnsi="Times New Roman" w:eastAsia="Times New Roman"/>
        </w:rPr>
        <w:t>-</w:t>
      </w:r>
      <w:r>
        <w:rPr/>
        <w:t>Σ投资于金融工具产生的负债×剩余</w:t>
      </w:r>
    </w:p>
    <w:p>
      <w:pPr>
        <w:spacing w:after="0"/>
        <w:sectPr>
          <w:pgSz w:w="11910" w:h="16850"/>
          <w:pgMar w:header="852" w:footer="1386" w:top="1420" w:bottom="1580" w:left="1680" w:right="1360"/>
        </w:sectPr>
      </w:pPr>
    </w:p>
    <w:p>
      <w:pPr>
        <w:pStyle w:val="BodyText"/>
        <w:spacing w:line="417" w:lineRule="auto" w:before="142"/>
        <w:ind w:left="118" w:right="435"/>
      </w:pPr>
      <w:r>
        <w:rPr/>
        <w:t>存续期限</w:t>
      </w:r>
      <w:r>
        <w:rPr>
          <w:rFonts w:ascii="Times New Roman" w:hAnsi="Times New Roman" w:eastAsia="Times New Roman"/>
        </w:rPr>
        <w:t>+</w:t>
      </w:r>
      <w:r>
        <w:rPr/>
        <w:t>债券正回购×剩余存续期限）</w:t>
      </w:r>
      <w:r>
        <w:rPr>
          <w:rFonts w:ascii="Times New Roman" w:hAnsi="Times New Roman" w:eastAsia="Times New Roman"/>
        </w:rPr>
        <w:t>/</w:t>
      </w:r>
      <w:r>
        <w:rPr/>
        <w:t>（投资于金融工具产生的资产</w:t>
      </w:r>
      <w:r>
        <w:rPr>
          <w:rFonts w:ascii="Times New Roman" w:hAnsi="Times New Roman" w:eastAsia="Times New Roman"/>
        </w:rPr>
        <w:t>-</w:t>
      </w:r>
      <w:r>
        <w:rPr/>
        <w:t>投资于金融工具产生的负债</w:t>
      </w:r>
      <w:r>
        <w:rPr>
          <w:rFonts w:ascii="Times New Roman" w:hAnsi="Times New Roman" w:eastAsia="Times New Roman"/>
        </w:rPr>
        <w:t>+</w:t>
      </w:r>
      <w:r>
        <w:rPr/>
        <w:t>债券正回购）</w:t>
      </w:r>
    </w:p>
    <w:p>
      <w:pPr>
        <w:pStyle w:val="BodyText"/>
        <w:spacing w:before="11"/>
      </w:pPr>
    </w:p>
    <w:p>
      <w:pPr>
        <w:pStyle w:val="ListParagraph"/>
        <w:numPr>
          <w:ilvl w:val="0"/>
          <w:numId w:val="82"/>
        </w:numPr>
        <w:tabs>
          <w:tab w:pos="1067" w:val="left" w:leader="none"/>
        </w:tabs>
        <w:spacing w:line="240" w:lineRule="auto" w:before="0" w:after="0"/>
        <w:ind w:left="1067" w:right="0" w:hanging="529"/>
        <w:jc w:val="left"/>
        <w:rPr>
          <w:sz w:val="21"/>
        </w:rPr>
      </w:pPr>
      <w:r>
        <w:rPr>
          <w:spacing w:val="-3"/>
          <w:sz w:val="21"/>
        </w:rPr>
        <w:t>各类资产和负债剩余期限和剩余存续期限的确定</w:t>
      </w:r>
    </w:p>
    <w:p>
      <w:pPr>
        <w:pStyle w:val="BodyText"/>
        <w:rPr>
          <w:sz w:val="22"/>
        </w:rPr>
      </w:pPr>
    </w:p>
    <w:p>
      <w:pPr>
        <w:pStyle w:val="ListParagraph"/>
        <w:numPr>
          <w:ilvl w:val="0"/>
          <w:numId w:val="83"/>
        </w:numPr>
        <w:tabs>
          <w:tab w:pos="856" w:val="left" w:leader="none"/>
        </w:tabs>
        <w:spacing w:line="417" w:lineRule="auto" w:before="195" w:after="0"/>
        <w:ind w:left="118" w:right="433" w:firstLine="419"/>
        <w:jc w:val="both"/>
        <w:rPr>
          <w:sz w:val="21"/>
        </w:rPr>
      </w:pPr>
      <w:r>
        <w:rPr>
          <w:spacing w:val="-4"/>
          <w:sz w:val="21"/>
        </w:rPr>
        <w:t>银行活期存款、清算备付金、交易保证金的剩余期限和剩余存续期限为 </w:t>
      </w:r>
      <w:r>
        <w:rPr>
          <w:rFonts w:ascii="Times New Roman" w:eastAsia="Times New Roman"/>
          <w:sz w:val="21"/>
        </w:rPr>
        <w:t>0</w:t>
      </w:r>
      <w:r>
        <w:rPr>
          <w:rFonts w:ascii="Times New Roman" w:eastAsia="Times New Roman"/>
          <w:spacing w:val="24"/>
          <w:sz w:val="21"/>
        </w:rPr>
        <w:t> </w:t>
      </w:r>
      <w:r>
        <w:rPr>
          <w:spacing w:val="-1"/>
          <w:sz w:val="21"/>
        </w:rPr>
        <w:t>天；证券</w:t>
      </w:r>
      <w:r>
        <w:rPr>
          <w:spacing w:val="-3"/>
          <w:sz w:val="21"/>
        </w:rPr>
        <w:t>清算款的剩余期限和剩余存续期限以计算日至交收日的剩余交易日天数计算；</w:t>
      </w:r>
    </w:p>
    <w:p>
      <w:pPr>
        <w:pStyle w:val="BodyText"/>
        <w:spacing w:before="12"/>
      </w:pPr>
    </w:p>
    <w:p>
      <w:pPr>
        <w:pStyle w:val="ListParagraph"/>
        <w:numPr>
          <w:ilvl w:val="0"/>
          <w:numId w:val="83"/>
        </w:numPr>
        <w:tabs>
          <w:tab w:pos="856" w:val="left" w:leader="none"/>
        </w:tabs>
        <w:spacing w:line="417" w:lineRule="auto" w:before="0" w:after="0"/>
        <w:ind w:left="118" w:right="433" w:firstLine="419"/>
        <w:jc w:val="both"/>
        <w:rPr>
          <w:sz w:val="21"/>
        </w:rPr>
      </w:pPr>
      <w:r>
        <w:rPr>
          <w:spacing w:val="-2"/>
          <w:sz w:val="21"/>
        </w:rPr>
        <w:t>回购</w:t>
      </w:r>
      <w:r>
        <w:rPr>
          <w:sz w:val="21"/>
        </w:rPr>
        <w:t>（</w:t>
      </w:r>
      <w:r>
        <w:rPr>
          <w:spacing w:val="-3"/>
          <w:sz w:val="21"/>
        </w:rPr>
        <w:t>包括正回购和逆回购</w:t>
      </w:r>
      <w:r>
        <w:rPr>
          <w:sz w:val="21"/>
        </w:rPr>
        <w:t>）</w:t>
      </w:r>
      <w:r>
        <w:rPr>
          <w:spacing w:val="-3"/>
          <w:sz w:val="21"/>
        </w:rPr>
        <w:t>的剩余期限和剩余存续期限以计算日至回购协议到期</w:t>
      </w:r>
      <w:r>
        <w:rPr>
          <w:spacing w:val="-12"/>
          <w:sz w:val="21"/>
        </w:rPr>
        <w:t>日的实际剩余天数计算；买断式回购产生的待回购债券的剩余期限和剩余存续期限为该基础</w:t>
      </w:r>
      <w:r>
        <w:rPr>
          <w:spacing w:val="-13"/>
          <w:sz w:val="21"/>
        </w:rPr>
        <w:t>债券的剩余期限，待返售债券的剩余期限和剩余存续期限以计算日至回购协议到期日的实际</w:t>
      </w:r>
      <w:r>
        <w:rPr>
          <w:spacing w:val="-6"/>
          <w:sz w:val="21"/>
        </w:rPr>
        <w:t>剩余天数计算；</w:t>
      </w:r>
    </w:p>
    <w:p>
      <w:pPr>
        <w:pStyle w:val="BodyText"/>
        <w:spacing w:before="11"/>
      </w:pPr>
    </w:p>
    <w:p>
      <w:pPr>
        <w:pStyle w:val="ListParagraph"/>
        <w:numPr>
          <w:ilvl w:val="0"/>
          <w:numId w:val="83"/>
        </w:numPr>
        <w:tabs>
          <w:tab w:pos="856" w:val="left" w:leader="none"/>
        </w:tabs>
        <w:spacing w:line="417" w:lineRule="auto" w:before="1" w:after="0"/>
        <w:ind w:left="118" w:right="433" w:firstLine="419"/>
        <w:jc w:val="both"/>
        <w:rPr>
          <w:sz w:val="21"/>
        </w:rPr>
      </w:pPr>
      <w:r>
        <w:rPr>
          <w:spacing w:val="-3"/>
          <w:sz w:val="21"/>
        </w:rPr>
        <w:t>银行定期存款、同业存单的剩余期限和剩余存续期限以计算日至协议到期日的实际</w:t>
      </w:r>
      <w:r>
        <w:rPr>
          <w:spacing w:val="-10"/>
          <w:sz w:val="21"/>
        </w:rPr>
        <w:t>剩余天数计算；有存款期限，根据协议可提前支取且没有利息损失的银行存款，剩余期限和</w:t>
      </w:r>
      <w:r>
        <w:rPr>
          <w:spacing w:val="-9"/>
          <w:sz w:val="21"/>
        </w:rPr>
        <w:t>剩余存续期限以计算日至协议到期日的实际剩余天数计算；银行通知存款的剩余期限和剩余</w:t>
      </w:r>
      <w:r>
        <w:rPr>
          <w:spacing w:val="-5"/>
          <w:sz w:val="21"/>
        </w:rPr>
        <w:t>存续期限以存款协议中约定的通知期计算；</w:t>
      </w:r>
    </w:p>
    <w:p>
      <w:pPr>
        <w:pStyle w:val="BodyText"/>
        <w:spacing w:before="8"/>
      </w:pPr>
    </w:p>
    <w:p>
      <w:pPr>
        <w:pStyle w:val="ListParagraph"/>
        <w:numPr>
          <w:ilvl w:val="0"/>
          <w:numId w:val="83"/>
        </w:numPr>
        <w:tabs>
          <w:tab w:pos="856" w:val="left" w:leader="none"/>
        </w:tabs>
        <w:spacing w:line="417" w:lineRule="auto" w:before="1" w:after="0"/>
        <w:ind w:left="118" w:right="436" w:firstLine="419"/>
        <w:jc w:val="left"/>
        <w:rPr>
          <w:sz w:val="21"/>
        </w:rPr>
      </w:pPr>
      <w:r>
        <w:rPr>
          <w:spacing w:val="-3"/>
          <w:sz w:val="21"/>
        </w:rPr>
        <w:t>中央银行票据的剩余期限和剩余存续期限以计算日至中央银行票据到期日的实际剩余天数计算；</w:t>
      </w:r>
    </w:p>
    <w:p>
      <w:pPr>
        <w:pStyle w:val="BodyText"/>
        <w:spacing w:before="11"/>
      </w:pPr>
    </w:p>
    <w:p>
      <w:pPr>
        <w:pStyle w:val="ListParagraph"/>
        <w:numPr>
          <w:ilvl w:val="0"/>
          <w:numId w:val="83"/>
        </w:numPr>
        <w:tabs>
          <w:tab w:pos="856" w:val="left" w:leader="none"/>
        </w:tabs>
        <w:spacing w:line="417" w:lineRule="auto" w:before="0" w:after="0"/>
        <w:ind w:left="118" w:right="328" w:firstLine="419"/>
        <w:jc w:val="left"/>
        <w:rPr>
          <w:sz w:val="21"/>
        </w:rPr>
      </w:pPr>
      <w:r>
        <w:rPr>
          <w:spacing w:val="-3"/>
          <w:sz w:val="21"/>
        </w:rPr>
        <w:t>组合中债券的剩余期限和剩余存续期限是指计算日至债券到期日为止所剩余的天数</w:t>
      </w:r>
      <w:r>
        <w:rPr>
          <w:spacing w:val="-2"/>
          <w:sz w:val="21"/>
        </w:rPr>
        <w:t>，以下情况除外：</w:t>
      </w:r>
    </w:p>
    <w:p>
      <w:pPr>
        <w:pStyle w:val="BodyText"/>
        <w:spacing w:before="11"/>
      </w:pPr>
    </w:p>
    <w:p>
      <w:pPr>
        <w:pStyle w:val="BodyText"/>
        <w:spacing w:line="417" w:lineRule="auto"/>
        <w:ind w:left="118" w:right="433" w:firstLine="419"/>
      </w:pPr>
      <w:r>
        <w:rPr>
          <w:rFonts w:ascii="Times New Roman" w:eastAsia="Times New Roman"/>
        </w:rPr>
        <w:t>A</w:t>
      </w:r>
      <w:r>
        <w:rPr>
          <w:spacing w:val="-7"/>
        </w:rPr>
        <w:t>、允许投资的可变利率或浮动利率债券的剩余期限以计算日至下一个利率调整日的实</w:t>
      </w:r>
      <w:r>
        <w:rPr>
          <w:spacing w:val="-5"/>
        </w:rPr>
        <w:t>际剩余天数计算。</w:t>
      </w:r>
    </w:p>
    <w:p>
      <w:pPr>
        <w:pStyle w:val="BodyText"/>
        <w:spacing w:before="10"/>
      </w:pPr>
    </w:p>
    <w:p>
      <w:pPr>
        <w:pStyle w:val="BodyText"/>
        <w:spacing w:line="417" w:lineRule="auto"/>
        <w:ind w:left="118" w:right="433" w:firstLine="419"/>
      </w:pPr>
      <w:r>
        <w:rPr>
          <w:rFonts w:ascii="Times New Roman" w:eastAsia="Times New Roman"/>
        </w:rPr>
        <w:t>B</w:t>
      </w:r>
      <w:r>
        <w:rPr>
          <w:spacing w:val="-7"/>
        </w:rPr>
        <w:t>、允许投资的可变利率或浮动利率债券的剩余存续期限以计算日至债券到期日的实际</w:t>
      </w:r>
      <w:r>
        <w:rPr>
          <w:spacing w:val="-5"/>
        </w:rPr>
        <w:t>剩余天数计算。</w:t>
      </w:r>
    </w:p>
    <w:p>
      <w:pPr>
        <w:pStyle w:val="BodyText"/>
        <w:spacing w:before="11"/>
      </w:pPr>
    </w:p>
    <w:p>
      <w:pPr>
        <w:pStyle w:val="BodyText"/>
        <w:spacing w:line="417" w:lineRule="auto"/>
        <w:ind w:left="118" w:right="433" w:firstLine="419"/>
      </w:pPr>
      <w:r>
        <w:rPr>
          <w:spacing w:val="-8"/>
        </w:rPr>
        <w:t>平均剩余期限的计算结果保留至整数位，小数点后四舍五入。如法律法规或中国证监会</w:t>
      </w:r>
      <w:r>
        <w:rPr>
          <w:spacing w:val="-5"/>
        </w:rPr>
        <w:t>对剩余期限计算方法另有规定的从其规定。</w:t>
      </w:r>
    </w:p>
    <w:p>
      <w:pPr>
        <w:spacing w:after="0" w:line="417" w:lineRule="auto"/>
        <w:sectPr>
          <w:footerReference w:type="default" r:id="rId7"/>
          <w:pgSz w:w="11910" w:h="16850"/>
          <w:pgMar w:footer="1396" w:header="852" w:top="1420" w:bottom="1580" w:left="1680" w:right="1360"/>
          <w:pgNumType w:start="110"/>
        </w:sectPr>
      </w:pPr>
    </w:p>
    <w:p>
      <w:pPr>
        <w:pStyle w:val="BodyText"/>
        <w:spacing w:line="417" w:lineRule="auto" w:before="142"/>
        <w:ind w:left="118" w:right="434" w:firstLine="419"/>
      </w:pPr>
      <w:r>
        <w:rPr>
          <w:spacing w:val="-8"/>
        </w:rPr>
        <w:t>法律法规或监管部门修改或取消上述限制规定时，本基金将相应修改其投资组合限制规定。</w:t>
      </w:r>
    </w:p>
    <w:p>
      <w:pPr>
        <w:pStyle w:val="BodyText"/>
        <w:spacing w:before="11"/>
      </w:pPr>
    </w:p>
    <w:p>
      <w:pPr>
        <w:pStyle w:val="BodyText"/>
        <w:spacing w:line="664" w:lineRule="auto"/>
        <w:ind w:left="538" w:right="4332"/>
      </w:pPr>
      <w:r>
        <w:rPr/>
        <w:t>（六）基金资产净值的计算方法和公告方式一）基金资产总值</w:t>
      </w:r>
    </w:p>
    <w:p>
      <w:pPr>
        <w:pStyle w:val="BodyText"/>
        <w:spacing w:line="417" w:lineRule="auto" w:before="5"/>
        <w:ind w:left="118" w:right="433" w:firstLine="419"/>
      </w:pPr>
      <w:r>
        <w:rPr>
          <w:spacing w:val="-8"/>
        </w:rPr>
        <w:t>基金资产总值是指基金所购买的各类证券价值、银行存款本息和基金应收的申购款项以</w:t>
      </w:r>
      <w:r>
        <w:rPr>
          <w:spacing w:val="-5"/>
        </w:rPr>
        <w:t>及其他投资所形成的价值总和。</w:t>
      </w:r>
    </w:p>
    <w:p>
      <w:pPr>
        <w:pStyle w:val="BodyText"/>
        <w:spacing w:before="11"/>
      </w:pPr>
    </w:p>
    <w:p>
      <w:pPr>
        <w:pStyle w:val="BodyText"/>
        <w:spacing w:before="1"/>
        <w:ind w:left="538"/>
      </w:pPr>
      <w:r>
        <w:rPr/>
        <w:t>二）基金资产净值</w:t>
      </w:r>
    </w:p>
    <w:p>
      <w:pPr>
        <w:pStyle w:val="BodyText"/>
        <w:rPr>
          <w:sz w:val="20"/>
        </w:rPr>
      </w:pPr>
    </w:p>
    <w:p>
      <w:pPr>
        <w:pStyle w:val="BodyText"/>
        <w:spacing w:before="3"/>
        <w:rPr>
          <w:sz w:val="17"/>
        </w:rPr>
      </w:pPr>
    </w:p>
    <w:p>
      <w:pPr>
        <w:pStyle w:val="BodyText"/>
        <w:ind w:left="538"/>
      </w:pPr>
      <w:r>
        <w:rPr/>
        <w:t>基金资产净值是指基金资产总值减去负债后的价值。</w:t>
      </w:r>
    </w:p>
    <w:p>
      <w:pPr>
        <w:pStyle w:val="BodyText"/>
        <w:rPr>
          <w:sz w:val="20"/>
        </w:rPr>
      </w:pPr>
    </w:p>
    <w:p>
      <w:pPr>
        <w:pStyle w:val="BodyText"/>
        <w:spacing w:before="5"/>
        <w:rPr>
          <w:sz w:val="17"/>
        </w:rPr>
      </w:pPr>
    </w:p>
    <w:p>
      <w:pPr>
        <w:pStyle w:val="BodyText"/>
        <w:spacing w:line="417" w:lineRule="auto" w:before="1"/>
        <w:ind w:left="118" w:right="433" w:firstLine="419"/>
        <w:jc w:val="both"/>
      </w:pPr>
      <w:r>
        <w:rPr/>
        <w:t>三</w:t>
      </w:r>
      <w:r>
        <w:rPr>
          <w:spacing w:val="-32"/>
        </w:rPr>
        <w:t>）</w:t>
      </w:r>
      <w:r>
        <w:rPr>
          <w:spacing w:val="-6"/>
        </w:rPr>
        <w:t>在开始办理基金份额申购或者赎回后，基金管理人应不晚于每个开放日的次日，通过指定网站、基金销售机构网站或者营业网点，披露开放日的 </w:t>
      </w:r>
      <w:r>
        <w:rPr>
          <w:rFonts w:ascii="Times New Roman" w:eastAsia="Times New Roman"/>
        </w:rPr>
        <w:t>A </w:t>
      </w:r>
      <w:r>
        <w:rPr>
          <w:spacing w:val="-8"/>
        </w:rPr>
        <w:t>类基金份额和 </w:t>
      </w:r>
      <w:r>
        <w:rPr>
          <w:rFonts w:ascii="Times New Roman" w:eastAsia="Times New Roman"/>
        </w:rPr>
        <w:t>B </w:t>
      </w:r>
      <w:r>
        <w:rPr>
          <w:spacing w:val="-2"/>
        </w:rPr>
        <w:t>类基金份额的每万份基金已实现收益和七日年化收益率，以及 </w:t>
      </w:r>
      <w:r>
        <w:rPr/>
        <w:t>E</w:t>
      </w:r>
      <w:r>
        <w:rPr>
          <w:spacing w:val="-2"/>
        </w:rPr>
        <w:t> 类基金份额每百份基金已实现收益</w:t>
      </w:r>
      <w:r>
        <w:rPr>
          <w:spacing w:val="-3"/>
        </w:rPr>
        <w:t>和七日年化收益率。</w:t>
      </w:r>
      <w:r>
        <w:rPr/>
        <w:t> </w:t>
      </w:r>
    </w:p>
    <w:p>
      <w:pPr>
        <w:pStyle w:val="BodyText"/>
        <w:spacing w:before="11"/>
      </w:pPr>
    </w:p>
    <w:p>
      <w:pPr>
        <w:pStyle w:val="BodyText"/>
        <w:spacing w:line="664" w:lineRule="auto"/>
        <w:ind w:left="538" w:right="2440"/>
      </w:pPr>
      <w:r>
        <w:rPr/>
        <w:t>（七）基金合同解除和终止的事由、程序以及基金财产清算方式一）基金合同的变更</w:t>
      </w:r>
    </w:p>
    <w:p>
      <w:pPr>
        <w:pStyle w:val="BodyText"/>
        <w:spacing w:line="417" w:lineRule="auto" w:before="5"/>
        <w:ind w:left="118" w:right="433" w:firstLine="419"/>
      </w:pPr>
      <w:r>
        <w:rPr>
          <w:rFonts w:ascii="Times New Roman" w:eastAsia="Times New Roman"/>
        </w:rPr>
        <w:t>1</w:t>
      </w:r>
      <w:r>
        <w:rPr>
          <w:spacing w:val="-8"/>
        </w:rPr>
        <w:t>、 本基金合同的变更应经当事人同意，经基金份额持有人大会决议通过，并经中国证</w:t>
      </w:r>
      <w:r>
        <w:rPr>
          <w:spacing w:val="-5"/>
        </w:rPr>
        <w:t>监会备案，基金份额持有人大会决议自表决通过之日起生效。</w:t>
      </w:r>
    </w:p>
    <w:p>
      <w:pPr>
        <w:pStyle w:val="BodyText"/>
        <w:spacing w:line="417" w:lineRule="auto" w:before="100"/>
        <w:ind w:left="118" w:right="436" w:firstLine="419"/>
      </w:pPr>
      <w:r>
        <w:rPr>
          <w:rFonts w:ascii="Times New Roman" w:eastAsia="Times New Roman"/>
        </w:rPr>
        <w:t>2</w:t>
      </w:r>
      <w:r>
        <w:rPr>
          <w:spacing w:val="-3"/>
        </w:rPr>
        <w:t>、但在下列情况下，基金管理人和基金托管人协商后可直接变更基金合同，无须召开基金份额持有人大会通过，但应进行公告，并报中国证监会备案：</w:t>
      </w:r>
    </w:p>
    <w:p>
      <w:pPr>
        <w:pStyle w:val="ListParagraph"/>
        <w:numPr>
          <w:ilvl w:val="0"/>
          <w:numId w:val="84"/>
        </w:numPr>
        <w:tabs>
          <w:tab w:pos="1067" w:val="left" w:leader="none"/>
        </w:tabs>
        <w:spacing w:line="417" w:lineRule="auto" w:before="99" w:after="0"/>
        <w:ind w:left="118" w:right="436" w:firstLine="419"/>
        <w:jc w:val="left"/>
        <w:rPr>
          <w:sz w:val="21"/>
        </w:rPr>
      </w:pPr>
      <w:r>
        <w:rPr>
          <w:spacing w:val="-3"/>
          <w:sz w:val="21"/>
        </w:rPr>
        <w:t>因法律、法规及中国证监会颁布之规定的相应修改而导致本基金合同的部分条款与之不符的，则基金合同自行适用法律、法规及中国证监会颁布之规定的相应变更；</w:t>
      </w:r>
    </w:p>
    <w:p>
      <w:pPr>
        <w:pStyle w:val="ListParagraph"/>
        <w:numPr>
          <w:ilvl w:val="0"/>
          <w:numId w:val="84"/>
        </w:numPr>
        <w:tabs>
          <w:tab w:pos="1067" w:val="left" w:leader="none"/>
        </w:tabs>
        <w:spacing w:line="417" w:lineRule="auto" w:before="100" w:after="0"/>
        <w:ind w:left="118" w:right="436" w:firstLine="419"/>
        <w:jc w:val="left"/>
        <w:rPr>
          <w:sz w:val="21"/>
        </w:rPr>
      </w:pPr>
      <w:r>
        <w:rPr>
          <w:spacing w:val="-3"/>
          <w:sz w:val="21"/>
        </w:rPr>
        <w:t>因基金管理人、基金托管人的基本情况发生变更，包括但不限于住所、法定代表人、组织形式、注册资本等情况的变更；</w:t>
      </w:r>
    </w:p>
    <w:p>
      <w:pPr>
        <w:pStyle w:val="ListParagraph"/>
        <w:numPr>
          <w:ilvl w:val="0"/>
          <w:numId w:val="84"/>
        </w:numPr>
        <w:tabs>
          <w:tab w:pos="1067" w:val="left" w:leader="none"/>
        </w:tabs>
        <w:spacing w:line="240" w:lineRule="auto" w:before="101" w:after="0"/>
        <w:ind w:left="1067" w:right="0" w:hanging="529"/>
        <w:jc w:val="left"/>
        <w:rPr>
          <w:sz w:val="21"/>
        </w:rPr>
      </w:pPr>
      <w:r>
        <w:rPr>
          <w:spacing w:val="-3"/>
          <w:sz w:val="21"/>
        </w:rPr>
        <w:t>不涉及本基金合同当事人权利义务关系发生变化，并不涉及基金份额持有人利益</w:t>
      </w:r>
    </w:p>
    <w:p>
      <w:pPr>
        <w:spacing w:after="0" w:line="240" w:lineRule="auto"/>
        <w:jc w:val="left"/>
        <w:rPr>
          <w:sz w:val="21"/>
        </w:rPr>
        <w:sectPr>
          <w:pgSz w:w="11910" w:h="16850"/>
          <w:pgMar w:header="852" w:footer="1396" w:top="1420" w:bottom="1580" w:left="1680" w:right="1360"/>
        </w:sectPr>
      </w:pPr>
    </w:p>
    <w:p>
      <w:pPr>
        <w:pStyle w:val="BodyText"/>
        <w:spacing w:before="142"/>
        <w:ind w:left="118"/>
      </w:pPr>
      <w:r>
        <w:rPr/>
        <w:t>的基金合同的变更。</w:t>
      </w:r>
    </w:p>
    <w:p>
      <w:pPr>
        <w:pStyle w:val="BodyText"/>
        <w:spacing w:before="4"/>
        <w:rPr>
          <w:sz w:val="23"/>
        </w:rPr>
      </w:pPr>
    </w:p>
    <w:p>
      <w:pPr>
        <w:pStyle w:val="BodyText"/>
        <w:spacing w:line="417" w:lineRule="auto" w:before="1"/>
        <w:ind w:left="118" w:right="434" w:firstLine="419"/>
      </w:pPr>
      <w:r>
        <w:rPr>
          <w:rFonts w:ascii="Times New Roman" w:eastAsia="Times New Roman"/>
        </w:rPr>
        <w:t>3</w:t>
      </w:r>
      <w:r>
        <w:rPr>
          <w:spacing w:val="-16"/>
        </w:rPr>
        <w:t>、本基金合同规定基金管理人有权修改的事项，一经公告，即构成对基金合同的变更， </w:t>
      </w:r>
      <w:r>
        <w:rPr>
          <w:spacing w:val="-7"/>
        </w:rPr>
        <w:t>变更后的基金合同应报中国证监会备案。</w:t>
      </w:r>
    </w:p>
    <w:p>
      <w:pPr>
        <w:pStyle w:val="BodyText"/>
        <w:spacing w:before="8"/>
      </w:pPr>
    </w:p>
    <w:p>
      <w:pPr>
        <w:pStyle w:val="BodyText"/>
        <w:spacing w:before="1"/>
        <w:ind w:left="538"/>
      </w:pPr>
      <w:r>
        <w:rPr/>
        <w:t>二）基金合同的终止</w:t>
      </w:r>
    </w:p>
    <w:p>
      <w:pPr>
        <w:pStyle w:val="BodyText"/>
        <w:rPr>
          <w:sz w:val="20"/>
        </w:rPr>
      </w:pPr>
    </w:p>
    <w:p>
      <w:pPr>
        <w:pStyle w:val="BodyText"/>
        <w:spacing w:before="5"/>
        <w:rPr>
          <w:sz w:val="17"/>
        </w:rPr>
      </w:pPr>
    </w:p>
    <w:p>
      <w:pPr>
        <w:pStyle w:val="BodyText"/>
        <w:ind w:left="538"/>
      </w:pPr>
      <w:r>
        <w:rPr/>
        <w:t>本基金出现下列情形之一的，本基金合同终止： </w:t>
      </w:r>
    </w:p>
    <w:p>
      <w:pPr>
        <w:pStyle w:val="BodyText"/>
        <w:spacing w:before="5"/>
        <w:rPr>
          <w:sz w:val="23"/>
        </w:rPr>
      </w:pPr>
    </w:p>
    <w:p>
      <w:pPr>
        <w:pStyle w:val="BodyText"/>
        <w:spacing w:line="417" w:lineRule="auto"/>
        <w:ind w:left="118" w:right="435" w:firstLine="419"/>
      </w:pPr>
      <w:r>
        <w:rPr/>
        <w:t>7、 存续期间内，基金份额持有人数量连续60个工作日达不到200人，或连续60个工作日基金资产净值低于人民币5000万元，基金管理人将宣布本基金合同终止； </w:t>
      </w:r>
    </w:p>
    <w:p>
      <w:pPr>
        <w:pStyle w:val="BodyText"/>
        <w:spacing w:before="99"/>
        <w:ind w:left="538"/>
      </w:pPr>
      <w:r>
        <w:rPr/>
        <w:t>8、 经基金份额持有人大会表决终止的； </w:t>
      </w:r>
    </w:p>
    <w:p>
      <w:pPr>
        <w:pStyle w:val="BodyText"/>
        <w:spacing w:before="5"/>
        <w:rPr>
          <w:sz w:val="23"/>
        </w:rPr>
      </w:pPr>
    </w:p>
    <w:p>
      <w:pPr>
        <w:pStyle w:val="BodyText"/>
        <w:ind w:left="538"/>
      </w:pPr>
      <w:r>
        <w:rPr/>
        <w:t>9、 因重大违法、违规行为，被中国证监会责令终止的； </w:t>
      </w:r>
    </w:p>
    <w:p>
      <w:pPr>
        <w:pStyle w:val="BodyText"/>
        <w:spacing w:before="5"/>
        <w:rPr>
          <w:sz w:val="23"/>
        </w:rPr>
      </w:pPr>
    </w:p>
    <w:p>
      <w:pPr>
        <w:pStyle w:val="BodyText"/>
        <w:tabs>
          <w:tab w:pos="1377" w:val="left" w:leader="none"/>
        </w:tabs>
        <w:spacing w:line="417" w:lineRule="auto"/>
        <w:ind w:left="118" w:right="106" w:firstLine="419"/>
      </w:pPr>
      <w:r>
        <w:rPr/>
        <w:t>10、</w:t>
        <w:tab/>
        <w:t>基金管理人因解散、</w:t>
      </w:r>
      <w:r>
        <w:rPr>
          <w:spacing w:val="-3"/>
        </w:rPr>
        <w:t>破产</w:t>
      </w:r>
      <w:r>
        <w:rPr/>
        <w:t>、撤销、丧失基金管</w:t>
      </w:r>
      <w:r>
        <w:rPr>
          <w:spacing w:val="-3"/>
        </w:rPr>
        <w:t>理资</w:t>
      </w:r>
      <w:r>
        <w:rPr/>
        <w:t>格、停止营业等事由</w:t>
      </w:r>
      <w:r>
        <w:rPr>
          <w:spacing w:val="-3"/>
        </w:rPr>
        <w:t>，不</w:t>
      </w:r>
      <w:r>
        <w:rPr/>
        <w:t>能</w:t>
      </w:r>
      <w:r>
        <w:rPr>
          <w:spacing w:val="-13"/>
        </w:rPr>
        <w:t>继</w:t>
      </w:r>
      <w:r>
        <w:rPr/>
        <w:t>续担</w:t>
      </w:r>
      <w:r>
        <w:rPr>
          <w:spacing w:val="-3"/>
        </w:rPr>
        <w:t>任</w:t>
      </w:r>
      <w:r>
        <w:rPr/>
        <w:t>本</w:t>
      </w:r>
      <w:r>
        <w:rPr>
          <w:spacing w:val="-3"/>
        </w:rPr>
        <w:t>基</w:t>
      </w:r>
      <w:r>
        <w:rPr/>
        <w:t>金</w:t>
      </w:r>
      <w:r>
        <w:rPr>
          <w:spacing w:val="-3"/>
        </w:rPr>
        <w:t>管</w:t>
      </w:r>
      <w:r>
        <w:rPr/>
        <w:t>理</w:t>
      </w:r>
      <w:r>
        <w:rPr>
          <w:spacing w:val="-3"/>
        </w:rPr>
        <w:t>人</w:t>
      </w:r>
      <w:r>
        <w:rPr/>
        <w:t>的</w:t>
      </w:r>
      <w:r>
        <w:rPr>
          <w:spacing w:val="-3"/>
        </w:rPr>
        <w:t>职</w:t>
      </w:r>
      <w:r>
        <w:rPr/>
        <w:t>务，</w:t>
      </w:r>
      <w:r>
        <w:rPr>
          <w:spacing w:val="-3"/>
        </w:rPr>
        <w:t>而</w:t>
      </w:r>
      <w:r>
        <w:rPr/>
        <w:t>无</w:t>
      </w:r>
      <w:r>
        <w:rPr>
          <w:spacing w:val="-3"/>
        </w:rPr>
        <w:t>其</w:t>
      </w:r>
      <w:r>
        <w:rPr/>
        <w:t>它</w:t>
      </w:r>
      <w:r>
        <w:rPr>
          <w:spacing w:val="-3"/>
        </w:rPr>
        <w:t>基</w:t>
      </w:r>
      <w:r>
        <w:rPr/>
        <w:t>金</w:t>
      </w:r>
      <w:r>
        <w:rPr>
          <w:spacing w:val="-3"/>
        </w:rPr>
        <w:t>管</w:t>
      </w:r>
      <w:r>
        <w:rPr/>
        <w:t>理</w:t>
      </w:r>
      <w:r>
        <w:rPr>
          <w:spacing w:val="-3"/>
        </w:rPr>
        <w:t>公</w:t>
      </w:r>
      <w:r>
        <w:rPr/>
        <w:t>司承</w:t>
      </w:r>
      <w:r>
        <w:rPr>
          <w:spacing w:val="-3"/>
        </w:rPr>
        <w:t>受</w:t>
      </w:r>
      <w:r>
        <w:rPr/>
        <w:t>其</w:t>
      </w:r>
      <w:r>
        <w:rPr>
          <w:spacing w:val="-3"/>
        </w:rPr>
        <w:t>原</w:t>
      </w:r>
      <w:r>
        <w:rPr/>
        <w:t>有</w:t>
      </w:r>
      <w:r>
        <w:rPr>
          <w:spacing w:val="-3"/>
        </w:rPr>
        <w:t>权</w:t>
      </w:r>
      <w:r>
        <w:rPr/>
        <w:t>利</w:t>
      </w:r>
      <w:r>
        <w:rPr>
          <w:spacing w:val="-3"/>
        </w:rPr>
        <w:t>及</w:t>
      </w:r>
      <w:r>
        <w:rPr/>
        <w:t>义</w:t>
      </w:r>
      <w:r>
        <w:rPr>
          <w:spacing w:val="-3"/>
        </w:rPr>
        <w:t>务</w:t>
      </w:r>
      <w:r>
        <w:rPr/>
        <w:t>； </w:t>
      </w:r>
    </w:p>
    <w:p>
      <w:pPr>
        <w:pStyle w:val="BodyText"/>
        <w:tabs>
          <w:tab w:pos="1377" w:val="left" w:leader="none"/>
        </w:tabs>
        <w:spacing w:line="417" w:lineRule="auto" w:before="98"/>
        <w:ind w:left="118" w:right="106" w:firstLine="419"/>
      </w:pPr>
      <w:r>
        <w:rPr/>
        <w:t>11、</w:t>
        <w:tab/>
        <w:t>基金托管人因解散、</w:t>
      </w:r>
      <w:r>
        <w:rPr>
          <w:spacing w:val="-3"/>
        </w:rPr>
        <w:t>破产</w:t>
      </w:r>
      <w:r>
        <w:rPr/>
        <w:t>、撤销、丧失基金托</w:t>
      </w:r>
      <w:r>
        <w:rPr>
          <w:spacing w:val="-3"/>
        </w:rPr>
        <w:t>管资</w:t>
      </w:r>
      <w:r>
        <w:rPr/>
        <w:t>格、停止营业等事由</w:t>
      </w:r>
      <w:r>
        <w:rPr>
          <w:spacing w:val="-3"/>
        </w:rPr>
        <w:t>，不</w:t>
      </w:r>
      <w:r>
        <w:rPr/>
        <w:t>能</w:t>
      </w:r>
      <w:r>
        <w:rPr>
          <w:spacing w:val="-13"/>
        </w:rPr>
        <w:t>继</w:t>
      </w:r>
      <w:r>
        <w:rPr/>
        <w:t>续担</w:t>
      </w:r>
      <w:r>
        <w:rPr>
          <w:spacing w:val="-3"/>
        </w:rPr>
        <w:t>任</w:t>
      </w:r>
      <w:r>
        <w:rPr/>
        <w:t>本</w:t>
      </w:r>
      <w:r>
        <w:rPr>
          <w:spacing w:val="-3"/>
        </w:rPr>
        <w:t>基</w:t>
      </w:r>
      <w:r>
        <w:rPr/>
        <w:t>金</w:t>
      </w:r>
      <w:r>
        <w:rPr>
          <w:spacing w:val="-3"/>
        </w:rPr>
        <w:t>托</w:t>
      </w:r>
      <w:r>
        <w:rPr/>
        <w:t>管</w:t>
      </w:r>
      <w:r>
        <w:rPr>
          <w:spacing w:val="-3"/>
        </w:rPr>
        <w:t>人</w:t>
      </w:r>
      <w:r>
        <w:rPr/>
        <w:t>的</w:t>
      </w:r>
      <w:r>
        <w:rPr>
          <w:spacing w:val="-3"/>
        </w:rPr>
        <w:t>职</w:t>
      </w:r>
      <w:r>
        <w:rPr/>
        <w:t>务，</w:t>
      </w:r>
      <w:r>
        <w:rPr>
          <w:spacing w:val="-3"/>
        </w:rPr>
        <w:t>而</w:t>
      </w:r>
      <w:r>
        <w:rPr/>
        <w:t>无</w:t>
      </w:r>
      <w:r>
        <w:rPr>
          <w:spacing w:val="-3"/>
        </w:rPr>
        <w:t>其</w:t>
      </w:r>
      <w:r>
        <w:rPr/>
        <w:t>它</w:t>
      </w:r>
      <w:r>
        <w:rPr>
          <w:spacing w:val="-3"/>
        </w:rPr>
        <w:t>托</w:t>
      </w:r>
      <w:r>
        <w:rPr/>
        <w:t>管</w:t>
      </w:r>
      <w:r>
        <w:rPr>
          <w:spacing w:val="-3"/>
        </w:rPr>
        <w:t>机</w:t>
      </w:r>
      <w:r>
        <w:rPr/>
        <w:t>构</w:t>
      </w:r>
      <w:r>
        <w:rPr>
          <w:spacing w:val="-3"/>
        </w:rPr>
        <w:t>承</w:t>
      </w:r>
      <w:r>
        <w:rPr/>
        <w:t>受其</w:t>
      </w:r>
      <w:r>
        <w:rPr>
          <w:spacing w:val="-3"/>
        </w:rPr>
        <w:t>原</w:t>
      </w:r>
      <w:r>
        <w:rPr/>
        <w:t>有</w:t>
      </w:r>
      <w:r>
        <w:rPr>
          <w:spacing w:val="-3"/>
        </w:rPr>
        <w:t>权</w:t>
      </w:r>
      <w:r>
        <w:rPr/>
        <w:t>利</w:t>
      </w:r>
      <w:r>
        <w:rPr>
          <w:spacing w:val="-3"/>
        </w:rPr>
        <w:t>及</w:t>
      </w:r>
      <w:r>
        <w:rPr/>
        <w:t>义</w:t>
      </w:r>
      <w:r>
        <w:rPr>
          <w:spacing w:val="-3"/>
        </w:rPr>
        <w:t>务；</w:t>
      </w:r>
      <w:r>
        <w:rPr/>
        <w:t> </w:t>
      </w:r>
    </w:p>
    <w:p>
      <w:pPr>
        <w:pStyle w:val="BodyText"/>
        <w:tabs>
          <w:tab w:pos="1377" w:val="left" w:leader="none"/>
        </w:tabs>
        <w:spacing w:before="101"/>
        <w:ind w:left="538"/>
      </w:pPr>
      <w:r>
        <w:rPr/>
        <w:t>12、</w:t>
        <w:tab/>
        <w:t>法律</w:t>
      </w:r>
      <w:r>
        <w:rPr>
          <w:spacing w:val="-3"/>
        </w:rPr>
        <w:t>法</w:t>
      </w:r>
      <w:r>
        <w:rPr/>
        <w:t>规</w:t>
      </w:r>
      <w:r>
        <w:rPr>
          <w:spacing w:val="-3"/>
        </w:rPr>
        <w:t>和</w:t>
      </w:r>
      <w:r>
        <w:rPr/>
        <w:t>中</w:t>
      </w:r>
      <w:r>
        <w:rPr>
          <w:spacing w:val="-3"/>
        </w:rPr>
        <w:t>国</w:t>
      </w:r>
      <w:r>
        <w:rPr/>
        <w:t>证</w:t>
      </w:r>
      <w:r>
        <w:rPr>
          <w:spacing w:val="-3"/>
        </w:rPr>
        <w:t>监</w:t>
      </w:r>
      <w:r>
        <w:rPr/>
        <w:t>会</w:t>
      </w:r>
      <w:r>
        <w:rPr>
          <w:spacing w:val="-3"/>
        </w:rPr>
        <w:t>规</w:t>
      </w:r>
      <w:r>
        <w:rPr/>
        <w:t>定的</w:t>
      </w:r>
      <w:r>
        <w:rPr>
          <w:spacing w:val="-3"/>
        </w:rPr>
        <w:t>其</w:t>
      </w:r>
      <w:r>
        <w:rPr/>
        <w:t>他</w:t>
      </w:r>
      <w:r>
        <w:rPr>
          <w:spacing w:val="-3"/>
        </w:rPr>
        <w:t>事</w:t>
      </w:r>
      <w:r>
        <w:rPr/>
        <w:t>由。 </w:t>
      </w:r>
    </w:p>
    <w:p>
      <w:pPr>
        <w:pStyle w:val="BodyText"/>
        <w:spacing w:before="5"/>
        <w:rPr>
          <w:sz w:val="23"/>
        </w:rPr>
      </w:pPr>
    </w:p>
    <w:p>
      <w:pPr>
        <w:pStyle w:val="BodyText"/>
        <w:spacing w:line="417" w:lineRule="auto"/>
        <w:ind w:left="118" w:right="433" w:firstLine="419"/>
        <w:jc w:val="both"/>
      </w:pPr>
      <w:r>
        <w:rPr>
          <w:spacing w:val="-15"/>
        </w:rPr>
        <w:t>基金合同终止后，基金管理人和基金托管人依照《基金法》</w:t>
      </w:r>
      <w:r>
        <w:rPr>
          <w:spacing w:val="-40"/>
        </w:rPr>
        <w:t>、《运作办法》、《销售办法》、</w:t>
      </w:r>
      <w:r>
        <w:rPr>
          <w:spacing w:val="-14"/>
        </w:rPr>
        <w:t>基金合同及其他有关规定，行使请求给付报酬、从基金资产中获得补偿的权利时，可以留置</w:t>
      </w:r>
      <w:r>
        <w:rPr>
          <w:spacing w:val="-7"/>
        </w:rPr>
        <w:t>基金资产或者对基金资产的权利归属人提出请求。</w:t>
      </w:r>
      <w:r>
        <w:rPr/>
        <w:t> </w:t>
      </w:r>
    </w:p>
    <w:p>
      <w:pPr>
        <w:pStyle w:val="BodyText"/>
        <w:spacing w:before="9"/>
      </w:pPr>
    </w:p>
    <w:p>
      <w:pPr>
        <w:pStyle w:val="BodyText"/>
        <w:ind w:left="538"/>
      </w:pPr>
      <w:r>
        <w:rPr/>
        <w:t>三）基金财产的清算</w:t>
      </w:r>
    </w:p>
    <w:p>
      <w:pPr>
        <w:pStyle w:val="BodyText"/>
        <w:rPr>
          <w:sz w:val="20"/>
        </w:rPr>
      </w:pPr>
    </w:p>
    <w:p>
      <w:pPr>
        <w:pStyle w:val="BodyText"/>
        <w:spacing w:before="5"/>
        <w:rPr>
          <w:sz w:val="17"/>
        </w:rPr>
      </w:pPr>
    </w:p>
    <w:p>
      <w:pPr>
        <w:pStyle w:val="BodyText"/>
        <w:spacing w:before="1"/>
        <w:ind w:left="118"/>
      </w:pPr>
      <w:r>
        <w:rPr/>
        <w:t>1、 基金清算小组 </w:t>
      </w:r>
    </w:p>
    <w:p>
      <w:pPr>
        <w:pStyle w:val="BodyText"/>
        <w:spacing w:before="5"/>
        <w:rPr>
          <w:sz w:val="23"/>
        </w:rPr>
      </w:pPr>
    </w:p>
    <w:p>
      <w:pPr>
        <w:pStyle w:val="ListParagraph"/>
        <w:numPr>
          <w:ilvl w:val="0"/>
          <w:numId w:val="85"/>
        </w:numPr>
        <w:tabs>
          <w:tab w:pos="543" w:val="left" w:leader="none"/>
        </w:tabs>
        <w:spacing w:line="417" w:lineRule="auto" w:before="0" w:after="0"/>
        <w:ind w:left="542" w:right="433" w:hanging="425"/>
        <w:jc w:val="both"/>
        <w:rPr>
          <w:sz w:val="21"/>
        </w:rPr>
      </w:pPr>
      <w:r>
        <w:rPr>
          <w:spacing w:val="-6"/>
          <w:sz w:val="21"/>
        </w:rPr>
        <w:t>自基金合同终止之日起 </w:t>
      </w:r>
      <w:r>
        <w:rPr>
          <w:sz w:val="21"/>
        </w:rPr>
        <w:t>30</w:t>
      </w:r>
      <w:r>
        <w:rPr>
          <w:spacing w:val="-7"/>
          <w:sz w:val="21"/>
        </w:rPr>
        <w:t> 个工作日内成立清算小组，基金清算小组在中国证监会的监</w:t>
      </w:r>
      <w:r>
        <w:rPr>
          <w:spacing w:val="-5"/>
          <w:sz w:val="21"/>
        </w:rPr>
        <w:t>督下进行基金清算。</w:t>
      </w:r>
      <w:r>
        <w:rPr>
          <w:sz w:val="21"/>
        </w:rPr>
        <w:t> </w:t>
      </w:r>
    </w:p>
    <w:p>
      <w:pPr>
        <w:pStyle w:val="ListParagraph"/>
        <w:numPr>
          <w:ilvl w:val="0"/>
          <w:numId w:val="85"/>
        </w:numPr>
        <w:tabs>
          <w:tab w:pos="543" w:val="left" w:leader="none"/>
        </w:tabs>
        <w:spacing w:line="417" w:lineRule="auto" w:before="98" w:after="0"/>
        <w:ind w:left="542" w:right="433" w:hanging="425"/>
        <w:jc w:val="both"/>
        <w:rPr>
          <w:sz w:val="21"/>
        </w:rPr>
      </w:pPr>
      <w:r>
        <w:rPr>
          <w:spacing w:val="-9"/>
          <w:sz w:val="21"/>
        </w:rPr>
        <w:t>基金清算小组成员由基金管理人、基金托管人、具有从事证券相关业务资格的注册会计</w:t>
      </w:r>
      <w:r>
        <w:rPr>
          <w:spacing w:val="-11"/>
          <w:sz w:val="21"/>
        </w:rPr>
        <w:t>师、律师以及中国证监会指定的人员组成。基金清算小组可以聘用必要的工作人员。清</w:t>
      </w:r>
      <w:r>
        <w:rPr>
          <w:spacing w:val="-6"/>
          <w:sz w:val="21"/>
        </w:rPr>
        <w:t>算小组在成立后五个工作日内应当公告。</w:t>
      </w:r>
      <w:r>
        <w:rPr>
          <w:sz w:val="21"/>
        </w:rPr>
        <w:t> </w:t>
      </w:r>
    </w:p>
    <w:p>
      <w:pPr>
        <w:spacing w:after="0" w:line="417" w:lineRule="auto"/>
        <w:jc w:val="both"/>
        <w:rPr>
          <w:sz w:val="21"/>
        </w:rPr>
        <w:sectPr>
          <w:pgSz w:w="11910" w:h="16850"/>
          <w:pgMar w:header="852" w:footer="1396" w:top="1420" w:bottom="1580" w:left="1680" w:right="1360"/>
        </w:sectPr>
      </w:pPr>
    </w:p>
    <w:p>
      <w:pPr>
        <w:pStyle w:val="ListParagraph"/>
        <w:numPr>
          <w:ilvl w:val="0"/>
          <w:numId w:val="85"/>
        </w:numPr>
        <w:tabs>
          <w:tab w:pos="543" w:val="left" w:leader="none"/>
        </w:tabs>
        <w:spacing w:line="417" w:lineRule="auto" w:before="142" w:after="0"/>
        <w:ind w:left="542" w:right="436" w:hanging="425"/>
        <w:jc w:val="left"/>
        <w:rPr>
          <w:sz w:val="21"/>
        </w:rPr>
      </w:pPr>
      <w:r>
        <w:rPr>
          <w:spacing w:val="-9"/>
          <w:sz w:val="21"/>
        </w:rPr>
        <w:t>基金清算小组负责基金资产的保管、清理、估价、变现和分配。基金清算小组可以依法</w:t>
      </w:r>
      <w:r>
        <w:rPr>
          <w:spacing w:val="-5"/>
          <w:sz w:val="21"/>
        </w:rPr>
        <w:t>以基金的名义进行必要的民事活动。</w:t>
      </w:r>
      <w:r>
        <w:rPr>
          <w:sz w:val="21"/>
        </w:rPr>
        <w:t> </w:t>
      </w:r>
    </w:p>
    <w:p>
      <w:pPr>
        <w:pStyle w:val="BodyText"/>
        <w:spacing w:before="100"/>
        <w:ind w:left="538"/>
      </w:pPr>
      <w:r>
        <w:rPr/>
        <w:t>2、 清算程序 </w:t>
      </w:r>
    </w:p>
    <w:p>
      <w:pPr>
        <w:pStyle w:val="BodyText"/>
        <w:spacing w:before="3"/>
        <w:rPr>
          <w:sz w:val="23"/>
        </w:rPr>
      </w:pPr>
    </w:p>
    <w:p>
      <w:pPr>
        <w:pStyle w:val="ListParagraph"/>
        <w:numPr>
          <w:ilvl w:val="0"/>
          <w:numId w:val="86"/>
        </w:numPr>
        <w:tabs>
          <w:tab w:pos="543" w:val="left" w:leader="none"/>
        </w:tabs>
        <w:spacing w:line="240" w:lineRule="auto" w:before="0" w:after="0"/>
        <w:ind w:left="542" w:right="0" w:hanging="425"/>
        <w:jc w:val="left"/>
        <w:rPr>
          <w:sz w:val="21"/>
        </w:rPr>
      </w:pPr>
      <w:r>
        <w:rPr>
          <w:spacing w:val="-3"/>
          <w:sz w:val="21"/>
        </w:rPr>
        <w:t>基金合同终止后，由基金清算小组统一接管基金资产；</w:t>
      </w:r>
      <w:r>
        <w:rPr>
          <w:sz w:val="21"/>
        </w:rPr>
        <w:t> </w:t>
      </w:r>
    </w:p>
    <w:p>
      <w:pPr>
        <w:pStyle w:val="BodyText"/>
        <w:spacing w:before="5"/>
        <w:rPr>
          <w:sz w:val="23"/>
        </w:rPr>
      </w:pPr>
    </w:p>
    <w:p>
      <w:pPr>
        <w:pStyle w:val="ListParagraph"/>
        <w:numPr>
          <w:ilvl w:val="0"/>
          <w:numId w:val="86"/>
        </w:numPr>
        <w:tabs>
          <w:tab w:pos="958" w:val="left" w:leader="none"/>
        </w:tabs>
        <w:spacing w:line="240" w:lineRule="auto" w:before="0" w:after="0"/>
        <w:ind w:left="958" w:right="0" w:hanging="420"/>
        <w:jc w:val="left"/>
        <w:rPr>
          <w:sz w:val="21"/>
        </w:rPr>
      </w:pPr>
      <w:r>
        <w:rPr>
          <w:spacing w:val="-3"/>
          <w:sz w:val="21"/>
        </w:rPr>
        <w:t>对基金资产和债权债务进行清理和确认； </w:t>
      </w:r>
    </w:p>
    <w:p>
      <w:pPr>
        <w:pStyle w:val="BodyText"/>
        <w:spacing w:before="5"/>
        <w:rPr>
          <w:sz w:val="23"/>
        </w:rPr>
      </w:pPr>
    </w:p>
    <w:p>
      <w:pPr>
        <w:pStyle w:val="ListParagraph"/>
        <w:numPr>
          <w:ilvl w:val="0"/>
          <w:numId w:val="86"/>
        </w:numPr>
        <w:tabs>
          <w:tab w:pos="958" w:val="left" w:leader="none"/>
        </w:tabs>
        <w:spacing w:line="240" w:lineRule="auto" w:before="0" w:after="0"/>
        <w:ind w:left="958" w:right="0" w:hanging="420"/>
        <w:jc w:val="left"/>
        <w:rPr>
          <w:sz w:val="21"/>
        </w:rPr>
      </w:pPr>
      <w:r>
        <w:rPr>
          <w:spacing w:val="-3"/>
          <w:sz w:val="21"/>
        </w:rPr>
        <w:t>对基金资产进行估值和变现；</w:t>
      </w:r>
      <w:r>
        <w:rPr>
          <w:sz w:val="21"/>
        </w:rPr>
        <w:t> </w:t>
      </w:r>
    </w:p>
    <w:p>
      <w:pPr>
        <w:pStyle w:val="BodyText"/>
        <w:spacing w:before="2"/>
        <w:rPr>
          <w:sz w:val="23"/>
        </w:rPr>
      </w:pPr>
    </w:p>
    <w:p>
      <w:pPr>
        <w:pStyle w:val="ListParagraph"/>
        <w:numPr>
          <w:ilvl w:val="0"/>
          <w:numId w:val="86"/>
        </w:numPr>
        <w:tabs>
          <w:tab w:pos="958" w:val="left" w:leader="none"/>
        </w:tabs>
        <w:spacing w:line="240" w:lineRule="auto" w:before="0" w:after="0"/>
        <w:ind w:left="958" w:right="0" w:hanging="420"/>
        <w:jc w:val="left"/>
        <w:rPr>
          <w:sz w:val="21"/>
        </w:rPr>
      </w:pPr>
      <w:r>
        <w:rPr>
          <w:spacing w:val="-3"/>
          <w:sz w:val="21"/>
        </w:rPr>
        <w:t>将基金清算结果报告中国证监会；</w:t>
      </w:r>
      <w:r>
        <w:rPr>
          <w:sz w:val="21"/>
        </w:rPr>
        <w:t> </w:t>
      </w:r>
    </w:p>
    <w:p>
      <w:pPr>
        <w:pStyle w:val="BodyText"/>
        <w:spacing w:before="6"/>
        <w:rPr>
          <w:sz w:val="23"/>
        </w:rPr>
      </w:pPr>
    </w:p>
    <w:p>
      <w:pPr>
        <w:pStyle w:val="ListParagraph"/>
        <w:numPr>
          <w:ilvl w:val="0"/>
          <w:numId w:val="86"/>
        </w:numPr>
        <w:tabs>
          <w:tab w:pos="958" w:val="left" w:leader="none"/>
        </w:tabs>
        <w:spacing w:line="240" w:lineRule="auto" w:before="0" w:after="0"/>
        <w:ind w:left="958" w:right="0" w:hanging="420"/>
        <w:jc w:val="left"/>
        <w:rPr>
          <w:sz w:val="21"/>
        </w:rPr>
      </w:pPr>
      <w:r>
        <w:rPr>
          <w:spacing w:val="-3"/>
          <w:sz w:val="21"/>
        </w:rPr>
        <w:t>公布基金清算公告；</w:t>
      </w:r>
      <w:r>
        <w:rPr>
          <w:sz w:val="21"/>
        </w:rPr>
        <w:t> </w:t>
      </w:r>
    </w:p>
    <w:p>
      <w:pPr>
        <w:pStyle w:val="BodyText"/>
        <w:spacing w:before="5"/>
        <w:rPr>
          <w:sz w:val="23"/>
        </w:rPr>
      </w:pPr>
    </w:p>
    <w:p>
      <w:pPr>
        <w:pStyle w:val="ListParagraph"/>
        <w:numPr>
          <w:ilvl w:val="0"/>
          <w:numId w:val="86"/>
        </w:numPr>
        <w:tabs>
          <w:tab w:pos="958" w:val="left" w:leader="none"/>
        </w:tabs>
        <w:spacing w:line="506" w:lineRule="auto" w:before="0" w:after="0"/>
        <w:ind w:left="538" w:right="5700" w:firstLine="0"/>
        <w:jc w:val="left"/>
        <w:rPr>
          <w:sz w:val="21"/>
        </w:rPr>
      </w:pPr>
      <w:r>
        <w:rPr>
          <w:spacing w:val="-3"/>
          <w:sz w:val="21"/>
        </w:rPr>
        <w:t>对基金资产进行分配。 </w:t>
      </w:r>
      <w:r>
        <w:rPr>
          <w:sz w:val="21"/>
        </w:rPr>
        <w:t>3</w:t>
      </w:r>
      <w:r>
        <w:rPr>
          <w:spacing w:val="-3"/>
          <w:sz w:val="21"/>
        </w:rPr>
        <w:t>、 清算费用</w:t>
      </w:r>
      <w:r>
        <w:rPr>
          <w:sz w:val="21"/>
        </w:rPr>
        <w:t> </w:t>
      </w:r>
    </w:p>
    <w:p>
      <w:pPr>
        <w:pStyle w:val="BodyText"/>
        <w:spacing w:line="417" w:lineRule="auto"/>
        <w:ind w:left="118" w:right="433" w:firstLine="419"/>
      </w:pPr>
      <w:r>
        <w:rPr>
          <w:spacing w:val="-6"/>
        </w:rPr>
        <w:t>清算费用是指基金清算小组在进行基金清算过程中发生的所有合理费用，清算费用由基</w:t>
      </w:r>
      <w:r>
        <w:rPr>
          <w:spacing w:val="-4"/>
        </w:rPr>
        <w:t>金清算小组优先从基金资产中支付。</w:t>
      </w:r>
      <w:r>
        <w:rPr/>
        <w:t> </w:t>
      </w:r>
    </w:p>
    <w:p>
      <w:pPr>
        <w:pStyle w:val="BodyText"/>
        <w:spacing w:before="100"/>
        <w:ind w:left="485"/>
      </w:pPr>
      <w:r>
        <w:rPr/>
        <w:t>4、基金资产按下列顺序清偿： </w:t>
      </w:r>
    </w:p>
    <w:p>
      <w:pPr>
        <w:pStyle w:val="BodyText"/>
        <w:spacing w:before="3"/>
        <w:rPr>
          <w:sz w:val="23"/>
        </w:rPr>
      </w:pPr>
    </w:p>
    <w:p>
      <w:pPr>
        <w:pStyle w:val="ListParagraph"/>
        <w:numPr>
          <w:ilvl w:val="0"/>
          <w:numId w:val="87"/>
        </w:numPr>
        <w:tabs>
          <w:tab w:pos="1067" w:val="left" w:leader="none"/>
        </w:tabs>
        <w:spacing w:line="240" w:lineRule="auto" w:before="0" w:after="0"/>
        <w:ind w:left="1067" w:right="0" w:hanging="529"/>
        <w:jc w:val="left"/>
        <w:rPr>
          <w:sz w:val="21"/>
        </w:rPr>
      </w:pPr>
      <w:r>
        <w:rPr>
          <w:spacing w:val="-3"/>
          <w:sz w:val="21"/>
        </w:rPr>
        <w:t>支付清算费用；</w:t>
      </w:r>
      <w:r>
        <w:rPr>
          <w:sz w:val="21"/>
        </w:rPr>
        <w:t> </w:t>
      </w:r>
    </w:p>
    <w:p>
      <w:pPr>
        <w:pStyle w:val="BodyText"/>
        <w:spacing w:before="5"/>
        <w:rPr>
          <w:sz w:val="23"/>
        </w:rPr>
      </w:pPr>
    </w:p>
    <w:p>
      <w:pPr>
        <w:pStyle w:val="ListParagraph"/>
        <w:numPr>
          <w:ilvl w:val="0"/>
          <w:numId w:val="87"/>
        </w:numPr>
        <w:tabs>
          <w:tab w:pos="1067" w:val="left" w:leader="none"/>
        </w:tabs>
        <w:spacing w:line="240" w:lineRule="auto" w:before="0" w:after="0"/>
        <w:ind w:left="1067" w:right="0" w:hanging="529"/>
        <w:jc w:val="left"/>
        <w:rPr>
          <w:sz w:val="21"/>
        </w:rPr>
      </w:pPr>
      <w:r>
        <w:rPr>
          <w:spacing w:val="-3"/>
          <w:sz w:val="21"/>
        </w:rPr>
        <w:t>交纳所欠税款；</w:t>
      </w:r>
      <w:r>
        <w:rPr>
          <w:sz w:val="21"/>
        </w:rPr>
        <w:t> </w:t>
      </w:r>
    </w:p>
    <w:p>
      <w:pPr>
        <w:pStyle w:val="BodyText"/>
        <w:spacing w:before="5"/>
        <w:rPr>
          <w:sz w:val="23"/>
        </w:rPr>
      </w:pPr>
    </w:p>
    <w:p>
      <w:pPr>
        <w:pStyle w:val="ListParagraph"/>
        <w:numPr>
          <w:ilvl w:val="0"/>
          <w:numId w:val="87"/>
        </w:numPr>
        <w:tabs>
          <w:tab w:pos="1067" w:val="left" w:leader="none"/>
        </w:tabs>
        <w:spacing w:line="240" w:lineRule="auto" w:before="1" w:after="0"/>
        <w:ind w:left="1067" w:right="0" w:hanging="529"/>
        <w:jc w:val="left"/>
        <w:rPr>
          <w:sz w:val="21"/>
        </w:rPr>
      </w:pPr>
      <w:r>
        <w:rPr>
          <w:spacing w:val="-3"/>
          <w:sz w:val="21"/>
        </w:rPr>
        <w:t>清偿基金债务；</w:t>
      </w:r>
      <w:r>
        <w:rPr>
          <w:sz w:val="21"/>
        </w:rPr>
        <w:t> </w:t>
      </w:r>
    </w:p>
    <w:p>
      <w:pPr>
        <w:pStyle w:val="BodyText"/>
        <w:spacing w:before="2"/>
        <w:rPr>
          <w:sz w:val="23"/>
        </w:rPr>
      </w:pPr>
    </w:p>
    <w:p>
      <w:pPr>
        <w:pStyle w:val="ListParagraph"/>
        <w:numPr>
          <w:ilvl w:val="0"/>
          <w:numId w:val="87"/>
        </w:numPr>
        <w:tabs>
          <w:tab w:pos="1067" w:val="left" w:leader="none"/>
        </w:tabs>
        <w:spacing w:line="417" w:lineRule="auto" w:before="0" w:after="0"/>
        <w:ind w:left="118" w:right="549" w:firstLine="419"/>
        <w:jc w:val="both"/>
        <w:rPr>
          <w:sz w:val="21"/>
        </w:rPr>
      </w:pPr>
      <w:r>
        <w:rPr>
          <w:spacing w:val="-3"/>
          <w:sz w:val="21"/>
        </w:rPr>
        <w:t>按基金份额持有人持有的基金份额比例进行分配。</w:t>
      </w:r>
      <w:r>
        <w:rPr>
          <w:sz w:val="21"/>
        </w:rPr>
        <w:t>（</w:t>
      </w:r>
      <w:r>
        <w:rPr>
          <w:spacing w:val="-3"/>
          <w:sz w:val="21"/>
        </w:rPr>
        <w:t>基金份额持有人持有的每一份</w:t>
      </w:r>
      <w:r>
        <w:rPr>
          <w:rFonts w:ascii="Times New Roman" w:eastAsia="Times New Roman"/>
          <w:sz w:val="21"/>
        </w:rPr>
        <w:t>A</w:t>
      </w:r>
      <w:r>
        <w:rPr>
          <w:spacing w:val="-3"/>
          <w:sz w:val="21"/>
        </w:rPr>
        <w:t>类基金份额和每一份</w:t>
      </w:r>
      <w:r>
        <w:rPr>
          <w:rFonts w:ascii="Times New Roman" w:eastAsia="Times New Roman"/>
          <w:sz w:val="21"/>
        </w:rPr>
        <w:t>B</w:t>
      </w:r>
      <w:r>
        <w:rPr>
          <w:spacing w:val="-3"/>
          <w:sz w:val="21"/>
        </w:rPr>
        <w:t>类基金份额拥有平等的分配权，持有的每一份</w:t>
      </w:r>
      <w:r>
        <w:rPr>
          <w:rFonts w:ascii="Times New Roman" w:eastAsia="Times New Roman"/>
          <w:sz w:val="21"/>
        </w:rPr>
        <w:t>E</w:t>
      </w:r>
      <w:r>
        <w:rPr>
          <w:spacing w:val="-3"/>
          <w:sz w:val="21"/>
        </w:rPr>
        <w:t>类基金份额与每</w:t>
      </w:r>
      <w:r>
        <w:rPr>
          <w:rFonts w:ascii="Times New Roman" w:eastAsia="Times New Roman"/>
          <w:spacing w:val="-3"/>
          <w:sz w:val="21"/>
        </w:rPr>
        <w:t>100</w:t>
      </w:r>
      <w:r>
        <w:rPr>
          <w:spacing w:val="-3"/>
          <w:sz w:val="21"/>
        </w:rPr>
        <w:t>份</w:t>
      </w:r>
      <w:r>
        <w:rPr>
          <w:rFonts w:ascii="Times New Roman" w:eastAsia="Times New Roman"/>
          <w:sz w:val="21"/>
        </w:rPr>
        <w:t>A</w:t>
      </w:r>
      <w:r>
        <w:rPr>
          <w:sz w:val="21"/>
        </w:rPr>
        <w:t>类</w:t>
      </w:r>
      <w:r>
        <w:rPr>
          <w:rFonts w:ascii="Times New Roman" w:eastAsia="Times New Roman"/>
          <w:sz w:val="21"/>
        </w:rPr>
        <w:t>/</w:t>
      </w:r>
      <w:r>
        <w:rPr>
          <w:sz w:val="21"/>
        </w:rPr>
        <w:t>每</w:t>
      </w:r>
      <w:r>
        <w:rPr>
          <w:rFonts w:ascii="Times New Roman" w:eastAsia="Times New Roman"/>
          <w:sz w:val="21"/>
        </w:rPr>
        <w:t>100</w:t>
      </w:r>
      <w:r>
        <w:rPr>
          <w:spacing w:val="-3"/>
          <w:sz w:val="21"/>
        </w:rPr>
        <w:t>份</w:t>
      </w:r>
      <w:r>
        <w:rPr>
          <w:rFonts w:ascii="Times New Roman" w:eastAsia="Times New Roman"/>
          <w:sz w:val="21"/>
        </w:rPr>
        <w:t>B</w:t>
      </w:r>
      <w:r>
        <w:rPr>
          <w:spacing w:val="-3"/>
          <w:sz w:val="21"/>
        </w:rPr>
        <w:t>类基金份额享有平等的分配权。）</w:t>
      </w:r>
      <w:r>
        <w:rPr>
          <w:sz w:val="21"/>
        </w:rPr>
        <w:t> </w:t>
      </w:r>
    </w:p>
    <w:p>
      <w:pPr>
        <w:pStyle w:val="BodyText"/>
        <w:spacing w:line="508" w:lineRule="auto" w:before="100"/>
        <w:ind w:left="485" w:right="1182" w:firstLine="52"/>
      </w:pPr>
      <w:r>
        <w:rPr/>
        <w:t>基金资产未按前款（1） 至（3） 项规定清偿前， 不分配给基金份额持有人5、基金清算的公告 </w:t>
      </w:r>
    </w:p>
    <w:p>
      <w:pPr>
        <w:pStyle w:val="BodyText"/>
        <w:spacing w:line="264" w:lineRule="exact"/>
        <w:ind w:left="538"/>
      </w:pPr>
      <w:r>
        <w:rPr/>
        <w:t>基金合同终止并报中国证监会备案后 5 个工作日内由基金清算小组公告；清算过程中</w:t>
      </w:r>
    </w:p>
    <w:p>
      <w:pPr>
        <w:pStyle w:val="BodyText"/>
        <w:spacing w:before="7"/>
        <w:rPr>
          <w:sz w:val="15"/>
        </w:rPr>
      </w:pPr>
    </w:p>
    <w:p>
      <w:pPr>
        <w:pStyle w:val="BodyText"/>
        <w:spacing w:line="417" w:lineRule="auto"/>
        <w:ind w:left="118" w:right="435"/>
      </w:pPr>
      <w:r>
        <w:rPr/>
        <w:t>的有关重大事项须及时公告；基金清算结果由基金清算小组经中国证监会备案后 3 个工作日内公告。 </w:t>
      </w:r>
    </w:p>
    <w:p>
      <w:pPr>
        <w:pStyle w:val="BodyText"/>
        <w:spacing w:before="101"/>
        <w:ind w:left="485"/>
      </w:pPr>
      <w:r>
        <w:rPr/>
        <w:t>6、清算帐册及文件的保存 </w:t>
      </w:r>
    </w:p>
    <w:p>
      <w:pPr>
        <w:spacing w:after="0"/>
        <w:sectPr>
          <w:pgSz w:w="11910" w:h="16850"/>
          <w:pgMar w:header="852" w:footer="1396" w:top="1420" w:bottom="1580" w:left="1680" w:right="1360"/>
        </w:sectPr>
      </w:pPr>
    </w:p>
    <w:p>
      <w:pPr>
        <w:pStyle w:val="BodyText"/>
        <w:spacing w:before="142"/>
        <w:ind w:left="538"/>
      </w:pPr>
      <w:r>
        <w:rPr/>
        <w:t>基金清算帐册及有关文件由基金托管人保存 15 年以上。 </w:t>
      </w:r>
    </w:p>
    <w:p>
      <w:pPr>
        <w:pStyle w:val="BodyText"/>
        <w:rPr>
          <w:sz w:val="20"/>
        </w:rPr>
      </w:pPr>
    </w:p>
    <w:p>
      <w:pPr>
        <w:pStyle w:val="BodyText"/>
        <w:spacing w:before="5"/>
        <w:rPr>
          <w:sz w:val="17"/>
        </w:rPr>
      </w:pPr>
    </w:p>
    <w:p>
      <w:pPr>
        <w:pStyle w:val="BodyText"/>
        <w:ind w:left="538"/>
      </w:pPr>
      <w:r>
        <w:rPr/>
        <w:t>（八）争议解决方式 </w:t>
      </w:r>
    </w:p>
    <w:p>
      <w:pPr>
        <w:pStyle w:val="BodyText"/>
        <w:spacing w:before="3"/>
        <w:rPr>
          <w:sz w:val="23"/>
        </w:rPr>
      </w:pPr>
    </w:p>
    <w:p>
      <w:pPr>
        <w:pStyle w:val="BodyText"/>
        <w:ind w:left="538"/>
      </w:pPr>
      <w:r>
        <w:rPr/>
        <w:t>一） 本基金合同适用中华人民共和国法律并从其解释。 </w:t>
      </w:r>
    </w:p>
    <w:p>
      <w:pPr>
        <w:pStyle w:val="BodyText"/>
        <w:spacing w:before="5"/>
        <w:rPr>
          <w:sz w:val="23"/>
        </w:rPr>
      </w:pPr>
    </w:p>
    <w:p>
      <w:pPr>
        <w:pStyle w:val="BodyText"/>
        <w:spacing w:line="417" w:lineRule="auto"/>
        <w:ind w:left="118" w:right="433" w:firstLine="419"/>
        <w:jc w:val="both"/>
      </w:pPr>
      <w:r>
        <w:rPr/>
        <w:t>二</w:t>
      </w:r>
      <w:r>
        <w:rPr>
          <w:spacing w:val="-3"/>
        </w:rPr>
        <w:t>）</w:t>
      </w:r>
      <w:r>
        <w:rPr>
          <w:spacing w:val="-7"/>
        </w:rPr>
        <w:t>   基金管理人、基金托管人之间因本基金合同产生的或与本基金合同有关的争议</w:t>
      </w:r>
      <w:r>
        <w:rPr>
          <w:spacing w:val="-6"/>
        </w:rPr>
        <w:t>可首先通过友好协商解决，自一方书面要求协商解决争议之日起 </w:t>
      </w:r>
      <w:r>
        <w:rPr/>
        <w:t>60</w:t>
      </w:r>
      <w:r>
        <w:rPr>
          <w:spacing w:val="-6"/>
        </w:rPr>
        <w:t> 日内如果争议未能以协</w:t>
      </w:r>
      <w:r>
        <w:rPr>
          <w:spacing w:val="-12"/>
        </w:rPr>
        <w:t>商方式解决，则任何一方有权将争议提交中国国际经济贸易仲裁委员会根据提交仲裁时该会的仲裁规则进行仲裁。仲裁裁决是终局的，对仲裁各方当事人均具有约束力。除提交仲裁的</w:t>
      </w:r>
      <w:r>
        <w:rPr>
          <w:spacing w:val="-6"/>
        </w:rPr>
        <w:t>争议之外，各方当事人仍应履行本基金合同的其他规定。</w:t>
      </w:r>
      <w:r>
        <w:rPr/>
        <w:t> </w:t>
      </w:r>
    </w:p>
    <w:p>
      <w:pPr>
        <w:pStyle w:val="BodyText"/>
        <w:spacing w:line="417" w:lineRule="auto" w:before="101"/>
        <w:ind w:left="118" w:right="433" w:firstLine="419"/>
        <w:jc w:val="both"/>
      </w:pPr>
      <w:r>
        <w:rPr/>
        <w:t>三</w:t>
      </w:r>
      <w:r>
        <w:rPr>
          <w:spacing w:val="-3"/>
        </w:rPr>
        <w:t>）</w:t>
      </w:r>
      <w:r>
        <w:rPr>
          <w:spacing w:val="-7"/>
        </w:rPr>
        <w:t>   基金份额持有人或基金投资者作为一方当事人与基金管理人、基金托管人的一</w:t>
      </w:r>
      <w:r>
        <w:rPr>
          <w:spacing w:val="-10"/>
        </w:rPr>
        <w:t>方或数方作为另一方当事人之间发生争议，首先通过友好协商解决，自一方书面要求协商解</w:t>
      </w:r>
      <w:r>
        <w:rPr>
          <w:spacing w:val="-9"/>
        </w:rPr>
        <w:t>决争议之日起 </w:t>
      </w:r>
      <w:r>
        <w:rPr/>
        <w:t>60</w:t>
      </w:r>
      <w:r>
        <w:rPr>
          <w:spacing w:val="-6"/>
        </w:rPr>
        <w:t> 日内如果争议未能以协商方式解决，则任何一方有权向有管辖权的人民法</w:t>
      </w:r>
      <w:r>
        <w:rPr>
          <w:spacing w:val="-4"/>
        </w:rPr>
        <w:t>院起诉，也可将事后达成的仲裁协议向仲裁机构申请仲裁。</w:t>
      </w:r>
      <w:r>
        <w:rPr/>
        <w:t> </w:t>
      </w:r>
    </w:p>
    <w:p>
      <w:pPr>
        <w:pStyle w:val="BodyText"/>
        <w:spacing w:before="97"/>
        <w:ind w:left="538"/>
      </w:pPr>
      <w:r>
        <w:rPr/>
        <w:t>（九）基金合同存放地和投资者取得基金合同的方式 </w:t>
      </w:r>
    </w:p>
    <w:p>
      <w:pPr>
        <w:pStyle w:val="BodyText"/>
        <w:rPr>
          <w:sz w:val="20"/>
        </w:rPr>
      </w:pPr>
    </w:p>
    <w:p>
      <w:pPr>
        <w:pStyle w:val="BodyText"/>
        <w:spacing w:before="6"/>
        <w:rPr>
          <w:sz w:val="17"/>
        </w:rPr>
      </w:pPr>
    </w:p>
    <w:p>
      <w:pPr>
        <w:pStyle w:val="BodyText"/>
        <w:spacing w:line="417" w:lineRule="auto"/>
        <w:ind w:left="118" w:right="433" w:firstLine="419"/>
        <w:jc w:val="both"/>
      </w:pPr>
      <w:r>
        <w:rPr/>
        <w:t>一</w:t>
      </w:r>
      <w:r>
        <w:rPr>
          <w:spacing w:val="-32"/>
        </w:rPr>
        <w:t>）</w:t>
      </w:r>
      <w:r>
        <w:rPr>
          <w:spacing w:val="-6"/>
        </w:rPr>
        <w:t>基金合同是基金当事人之间的法律文件。本基金合同在基金募集结束，经基金管理</w:t>
      </w:r>
      <w:r>
        <w:rPr>
          <w:spacing w:val="-11"/>
        </w:rPr>
        <w:t>人、基金托管人两方盖章以及两方法定代表人或授权代表签字，在基金募集结束报中国证监</w:t>
      </w:r>
      <w:r>
        <w:rPr>
          <w:spacing w:val="-6"/>
        </w:rPr>
        <w:t>会备案，并获中国证监会书面确认后生效。</w:t>
      </w:r>
    </w:p>
    <w:p>
      <w:pPr>
        <w:pStyle w:val="BodyText"/>
        <w:spacing w:before="11"/>
      </w:pPr>
    </w:p>
    <w:p>
      <w:pPr>
        <w:pStyle w:val="BodyText"/>
        <w:spacing w:line="417" w:lineRule="auto" w:before="1"/>
        <w:ind w:left="118" w:right="433" w:firstLine="419"/>
      </w:pPr>
      <w:r>
        <w:rPr/>
        <w:t>二</w:t>
      </w:r>
      <w:r>
        <w:rPr>
          <w:spacing w:val="-94"/>
        </w:rPr>
        <w:t>）</w:t>
      </w:r>
      <w:r>
        <w:rPr>
          <w:spacing w:val="-3"/>
        </w:rPr>
        <w:t>本基金合同的有效期自其生效之日至本基金清算结果报中国证监会备案并公告之日止。</w:t>
      </w:r>
    </w:p>
    <w:p>
      <w:pPr>
        <w:pStyle w:val="BodyText"/>
        <w:spacing w:before="8"/>
      </w:pPr>
    </w:p>
    <w:p>
      <w:pPr>
        <w:pStyle w:val="BodyText"/>
        <w:spacing w:line="417" w:lineRule="auto" w:before="1"/>
        <w:ind w:left="118" w:right="433" w:firstLine="419"/>
      </w:pPr>
      <w:r>
        <w:rPr/>
        <w:t>三</w:t>
      </w:r>
      <w:r>
        <w:rPr>
          <w:spacing w:val="-48"/>
        </w:rPr>
        <w:t>）</w:t>
      </w:r>
      <w:r>
        <w:rPr>
          <w:spacing w:val="-6"/>
        </w:rPr>
        <w:t>本基金合同自生效之日起对包括基金管理人、基金托管人和基金份额持有人在内的</w:t>
      </w:r>
      <w:r>
        <w:rPr>
          <w:spacing w:val="-4"/>
        </w:rPr>
        <w:t>基金合同各方当事人具有同等的法律约束力。</w:t>
      </w:r>
    </w:p>
    <w:p>
      <w:pPr>
        <w:pStyle w:val="BodyText"/>
        <w:spacing w:before="11"/>
      </w:pPr>
    </w:p>
    <w:p>
      <w:pPr>
        <w:pStyle w:val="BodyText"/>
        <w:spacing w:line="417" w:lineRule="auto" w:before="1"/>
        <w:ind w:left="118" w:right="433" w:firstLine="419"/>
      </w:pPr>
      <w:r>
        <w:rPr/>
        <w:t>四</w:t>
      </w:r>
      <w:r>
        <w:rPr>
          <w:spacing w:val="4"/>
        </w:rPr>
        <w:t>）</w:t>
      </w:r>
      <w:r>
        <w:rPr>
          <w:spacing w:val="-9"/>
        </w:rPr>
        <w:t>本基金合同及其修订本正本一式六份，除上报中国证监会和中国银监会各一份外， </w:t>
      </w:r>
      <w:r>
        <w:rPr>
          <w:spacing w:val="-5"/>
        </w:rPr>
        <w:t>基金管理人、基金托管人各持有二份，每份具有同等的法律效力。</w:t>
      </w:r>
    </w:p>
    <w:p>
      <w:pPr>
        <w:pStyle w:val="BodyText"/>
        <w:spacing w:line="460" w:lineRule="atLeast" w:before="89"/>
        <w:ind w:left="118" w:right="434" w:firstLine="419"/>
        <w:jc w:val="both"/>
      </w:pPr>
      <w:r>
        <w:rPr>
          <w:spacing w:val="-21"/>
        </w:rPr>
        <w:t>本基金合同可印制成册，供投资者在基金管理人、基金托管人、代销机构办公场所查阅； 投资者也可在支付一定工本费后获得本基金合同复印件或复制件，但应以基金合同正本为准。</w:t>
      </w:r>
    </w:p>
    <w:p>
      <w:pPr>
        <w:spacing w:after="0" w:line="460" w:lineRule="atLeast"/>
        <w:jc w:val="both"/>
        <w:sectPr>
          <w:pgSz w:w="11910" w:h="16850"/>
          <w:pgMar w:header="852" w:footer="1396" w:top="1420" w:bottom="1580" w:left="1680" w:right="1360"/>
        </w:sectPr>
      </w:pPr>
    </w:p>
    <w:p>
      <w:pPr>
        <w:pStyle w:val="BodyText"/>
        <w:spacing w:before="3"/>
        <w:rPr>
          <w:sz w:val="9"/>
        </w:rPr>
      </w:pPr>
    </w:p>
    <w:p>
      <w:pPr>
        <w:pStyle w:val="BodyText"/>
        <w:spacing w:before="71"/>
        <w:ind w:left="118"/>
      </w:pPr>
      <w:r>
        <w:rPr/>
        <w:t>（此签署盖章页专为易方达货币市场基金所用）</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ind w:left="118"/>
      </w:pPr>
      <w:r>
        <w:rPr>
          <w:spacing w:val="-20"/>
          <w:w w:val="100"/>
        </w:rPr>
        <w:t>基金管理人：</w:t>
      </w:r>
      <w:r>
        <w:rPr>
          <w:spacing w:val="-3"/>
          <w:w w:val="100"/>
        </w:rPr>
        <w:t>（易方达基金管理有限公司</w:t>
      </w: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before="1"/>
        <w:ind w:left="118"/>
      </w:pPr>
      <w:r>
        <w:rPr/>
        <w:t>法定代表人或授权代表签字：</w:t>
      </w:r>
    </w:p>
    <w:p>
      <w:pPr>
        <w:pStyle w:val="BodyText"/>
        <w:rPr>
          <w:sz w:val="20"/>
        </w:rPr>
      </w:pPr>
    </w:p>
    <w:p>
      <w:pPr>
        <w:pStyle w:val="BodyText"/>
        <w:spacing w:before="5"/>
        <w:rPr>
          <w:sz w:val="17"/>
        </w:rPr>
      </w:pPr>
    </w:p>
    <w:p>
      <w:pPr>
        <w:pStyle w:val="BodyText"/>
        <w:spacing w:line="664" w:lineRule="auto"/>
        <w:ind w:left="118" w:right="7903"/>
      </w:pPr>
      <w:r>
        <w:rPr/>
        <w:t>（盖章） 签订日：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ind w:left="118"/>
      </w:pPr>
      <w:r>
        <w:rPr>
          <w:spacing w:val="-20"/>
          <w:w w:val="100"/>
        </w:rPr>
        <w:t>基金托管人：</w:t>
      </w:r>
      <w:r>
        <w:rPr>
          <w:spacing w:val="-3"/>
          <w:w w:val="100"/>
        </w:rPr>
        <w:t>（中国银行股份有限公司</w:t>
      </w: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ind w:left="118"/>
      </w:pPr>
      <w:r>
        <w:rPr/>
        <w:t>法定代表人或授权代表签字</w:t>
      </w:r>
    </w:p>
    <w:p>
      <w:pPr>
        <w:pStyle w:val="BodyText"/>
        <w:rPr>
          <w:sz w:val="20"/>
        </w:rPr>
      </w:pPr>
    </w:p>
    <w:p>
      <w:pPr>
        <w:pStyle w:val="BodyText"/>
        <w:spacing w:before="6"/>
        <w:rPr>
          <w:sz w:val="17"/>
        </w:rPr>
      </w:pPr>
    </w:p>
    <w:p>
      <w:pPr>
        <w:pStyle w:val="BodyText"/>
        <w:spacing w:line="667" w:lineRule="auto" w:before="1"/>
        <w:ind w:left="118" w:right="7903"/>
      </w:pPr>
      <w:r>
        <w:rPr/>
        <w:t>（盖章） 签订日：</w:t>
      </w:r>
    </w:p>
    <w:sectPr>
      <w:headerReference w:type="default" r:id="rId8"/>
      <w:footerReference w:type="default" r:id="rId9"/>
      <w:pgSz w:w="11910" w:h="16850"/>
      <w:pgMar w:header="778" w:footer="0" w:top="1420" w:bottom="28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291.089996pt;margin-top:759.555969pt;width:19.4pt;height:13.65pt;mso-position-horizontal-relative:page;mso-position-vertical-relative:page;z-index:-254972928" type="#_x0000_t202" filled="false" stroked="false">
          <v:textbox inset="0,0,0,0">
            <w:txbxContent>
              <w:p>
                <w:pPr>
                  <w:spacing w:before="46"/>
                  <w:ind w:left="73"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769989pt;margin-top:761.235962pt;width:17.3pt;height:12pt;mso-position-horizontal-relative:page;mso-position-vertical-relative:page;z-index:-2549719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341504">
          <wp:simplePos x="0" y="0"/>
          <wp:positionH relativeFrom="page">
            <wp:posOffset>1170939</wp:posOffset>
          </wp:positionH>
          <wp:positionV relativeFrom="page">
            <wp:posOffset>541019</wp:posOffset>
          </wp:positionV>
          <wp:extent cx="1807210" cy="2171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07210" cy="217170"/>
                  </a:xfrm>
                  <a:prstGeom prst="rect">
                    <a:avLst/>
                  </a:prstGeom>
                </pic:spPr>
              </pic:pic>
            </a:graphicData>
          </a:graphic>
        </wp:anchor>
      </w:drawing>
    </w:r>
    <w:r>
      <w:rPr/>
      <w:pict>
        <v:line style="position:absolute;mso-position-horizontal-relative:page;mso-position-vertical-relative:page;z-index:-254973952" from="90.699997pt,61.649979pt" to="504.699997pt,61.649979pt" stroked="true" strokeweight=".75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345600">
          <wp:simplePos x="0" y="0"/>
          <wp:positionH relativeFrom="page">
            <wp:posOffset>1226819</wp:posOffset>
          </wp:positionH>
          <wp:positionV relativeFrom="page">
            <wp:posOffset>493775</wp:posOffset>
          </wp:positionV>
          <wp:extent cx="1807210" cy="217424"/>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807210" cy="21742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
    <w:multiLevelType w:val="hybridMultilevel"/>
    <w:lvl w:ilvl="0">
      <w:start w:val="1"/>
      <w:numFmt w:val="decimal"/>
      <w:lvlText w:val="（%1）"/>
      <w:lvlJc w:val="left"/>
      <w:pPr>
        <w:ind w:left="1067"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85">
    <w:multiLevelType w:val="hybridMultilevel"/>
    <w:lvl w:ilvl="0">
      <w:start w:val="1"/>
      <w:numFmt w:val="decimal"/>
      <w:lvlText w:val="(%1)"/>
      <w:lvlJc w:val="left"/>
      <w:pPr>
        <w:ind w:left="542" w:hanging="425"/>
        <w:jc w:val="right"/>
      </w:pPr>
      <w:rPr>
        <w:rFonts w:hint="default" w:ascii="宋体" w:hAnsi="宋体" w:eastAsia="宋体" w:cs="宋体"/>
        <w:w w:val="100"/>
        <w:sz w:val="21"/>
        <w:szCs w:val="21"/>
        <w:lang w:val="zh-CN" w:eastAsia="zh-CN" w:bidi="zh-CN"/>
      </w:rPr>
    </w:lvl>
    <w:lvl w:ilvl="1">
      <w:start w:val="0"/>
      <w:numFmt w:val="bullet"/>
      <w:lvlText w:val="•"/>
      <w:lvlJc w:val="left"/>
      <w:pPr>
        <w:ind w:left="1372" w:hanging="425"/>
      </w:pPr>
      <w:rPr>
        <w:rFonts w:hint="default"/>
        <w:lang w:val="zh-CN" w:eastAsia="zh-CN" w:bidi="zh-CN"/>
      </w:rPr>
    </w:lvl>
    <w:lvl w:ilvl="2">
      <w:start w:val="0"/>
      <w:numFmt w:val="bullet"/>
      <w:lvlText w:val="•"/>
      <w:lvlJc w:val="left"/>
      <w:pPr>
        <w:ind w:left="2205" w:hanging="425"/>
      </w:pPr>
      <w:rPr>
        <w:rFonts w:hint="default"/>
        <w:lang w:val="zh-CN" w:eastAsia="zh-CN" w:bidi="zh-CN"/>
      </w:rPr>
    </w:lvl>
    <w:lvl w:ilvl="3">
      <w:start w:val="0"/>
      <w:numFmt w:val="bullet"/>
      <w:lvlText w:val="•"/>
      <w:lvlJc w:val="left"/>
      <w:pPr>
        <w:ind w:left="3037" w:hanging="425"/>
      </w:pPr>
      <w:rPr>
        <w:rFonts w:hint="default"/>
        <w:lang w:val="zh-CN" w:eastAsia="zh-CN" w:bidi="zh-CN"/>
      </w:rPr>
    </w:lvl>
    <w:lvl w:ilvl="4">
      <w:start w:val="0"/>
      <w:numFmt w:val="bullet"/>
      <w:lvlText w:val="•"/>
      <w:lvlJc w:val="left"/>
      <w:pPr>
        <w:ind w:left="3870" w:hanging="425"/>
      </w:pPr>
      <w:rPr>
        <w:rFonts w:hint="default"/>
        <w:lang w:val="zh-CN" w:eastAsia="zh-CN" w:bidi="zh-CN"/>
      </w:rPr>
    </w:lvl>
    <w:lvl w:ilvl="5">
      <w:start w:val="0"/>
      <w:numFmt w:val="bullet"/>
      <w:lvlText w:val="•"/>
      <w:lvlJc w:val="left"/>
      <w:pPr>
        <w:ind w:left="4703" w:hanging="425"/>
      </w:pPr>
      <w:rPr>
        <w:rFonts w:hint="default"/>
        <w:lang w:val="zh-CN" w:eastAsia="zh-CN" w:bidi="zh-CN"/>
      </w:rPr>
    </w:lvl>
    <w:lvl w:ilvl="6">
      <w:start w:val="0"/>
      <w:numFmt w:val="bullet"/>
      <w:lvlText w:val="•"/>
      <w:lvlJc w:val="left"/>
      <w:pPr>
        <w:ind w:left="5535" w:hanging="425"/>
      </w:pPr>
      <w:rPr>
        <w:rFonts w:hint="default"/>
        <w:lang w:val="zh-CN" w:eastAsia="zh-CN" w:bidi="zh-CN"/>
      </w:rPr>
    </w:lvl>
    <w:lvl w:ilvl="7">
      <w:start w:val="0"/>
      <w:numFmt w:val="bullet"/>
      <w:lvlText w:val="•"/>
      <w:lvlJc w:val="left"/>
      <w:pPr>
        <w:ind w:left="6368" w:hanging="425"/>
      </w:pPr>
      <w:rPr>
        <w:rFonts w:hint="default"/>
        <w:lang w:val="zh-CN" w:eastAsia="zh-CN" w:bidi="zh-CN"/>
      </w:rPr>
    </w:lvl>
    <w:lvl w:ilvl="8">
      <w:start w:val="0"/>
      <w:numFmt w:val="bullet"/>
      <w:lvlText w:val="•"/>
      <w:lvlJc w:val="left"/>
      <w:pPr>
        <w:ind w:left="7201" w:hanging="425"/>
      </w:pPr>
      <w:rPr>
        <w:rFonts w:hint="default"/>
        <w:lang w:val="zh-CN" w:eastAsia="zh-CN" w:bidi="zh-CN"/>
      </w:rPr>
    </w:lvl>
  </w:abstractNum>
  <w:abstractNum w:abstractNumId="84">
    <w:multiLevelType w:val="hybridMultilevel"/>
    <w:lvl w:ilvl="0">
      <w:start w:val="1"/>
      <w:numFmt w:val="decimal"/>
      <w:lvlText w:val="(%1)"/>
      <w:lvlJc w:val="left"/>
      <w:pPr>
        <w:ind w:left="542" w:hanging="425"/>
        <w:jc w:val="left"/>
      </w:pPr>
      <w:rPr>
        <w:rFonts w:hint="default" w:ascii="宋体" w:hAnsi="宋体" w:eastAsia="宋体" w:cs="宋体"/>
        <w:w w:val="100"/>
        <w:sz w:val="21"/>
        <w:szCs w:val="21"/>
        <w:lang w:val="zh-CN" w:eastAsia="zh-CN" w:bidi="zh-CN"/>
      </w:rPr>
    </w:lvl>
    <w:lvl w:ilvl="1">
      <w:start w:val="0"/>
      <w:numFmt w:val="bullet"/>
      <w:lvlText w:val="•"/>
      <w:lvlJc w:val="left"/>
      <w:pPr>
        <w:ind w:left="1372" w:hanging="425"/>
      </w:pPr>
      <w:rPr>
        <w:rFonts w:hint="default"/>
        <w:lang w:val="zh-CN" w:eastAsia="zh-CN" w:bidi="zh-CN"/>
      </w:rPr>
    </w:lvl>
    <w:lvl w:ilvl="2">
      <w:start w:val="0"/>
      <w:numFmt w:val="bullet"/>
      <w:lvlText w:val="•"/>
      <w:lvlJc w:val="left"/>
      <w:pPr>
        <w:ind w:left="2205" w:hanging="425"/>
      </w:pPr>
      <w:rPr>
        <w:rFonts w:hint="default"/>
        <w:lang w:val="zh-CN" w:eastAsia="zh-CN" w:bidi="zh-CN"/>
      </w:rPr>
    </w:lvl>
    <w:lvl w:ilvl="3">
      <w:start w:val="0"/>
      <w:numFmt w:val="bullet"/>
      <w:lvlText w:val="•"/>
      <w:lvlJc w:val="left"/>
      <w:pPr>
        <w:ind w:left="3037" w:hanging="425"/>
      </w:pPr>
      <w:rPr>
        <w:rFonts w:hint="default"/>
        <w:lang w:val="zh-CN" w:eastAsia="zh-CN" w:bidi="zh-CN"/>
      </w:rPr>
    </w:lvl>
    <w:lvl w:ilvl="4">
      <w:start w:val="0"/>
      <w:numFmt w:val="bullet"/>
      <w:lvlText w:val="•"/>
      <w:lvlJc w:val="left"/>
      <w:pPr>
        <w:ind w:left="3870" w:hanging="425"/>
      </w:pPr>
      <w:rPr>
        <w:rFonts w:hint="default"/>
        <w:lang w:val="zh-CN" w:eastAsia="zh-CN" w:bidi="zh-CN"/>
      </w:rPr>
    </w:lvl>
    <w:lvl w:ilvl="5">
      <w:start w:val="0"/>
      <w:numFmt w:val="bullet"/>
      <w:lvlText w:val="•"/>
      <w:lvlJc w:val="left"/>
      <w:pPr>
        <w:ind w:left="4703" w:hanging="425"/>
      </w:pPr>
      <w:rPr>
        <w:rFonts w:hint="default"/>
        <w:lang w:val="zh-CN" w:eastAsia="zh-CN" w:bidi="zh-CN"/>
      </w:rPr>
    </w:lvl>
    <w:lvl w:ilvl="6">
      <w:start w:val="0"/>
      <w:numFmt w:val="bullet"/>
      <w:lvlText w:val="•"/>
      <w:lvlJc w:val="left"/>
      <w:pPr>
        <w:ind w:left="5535" w:hanging="425"/>
      </w:pPr>
      <w:rPr>
        <w:rFonts w:hint="default"/>
        <w:lang w:val="zh-CN" w:eastAsia="zh-CN" w:bidi="zh-CN"/>
      </w:rPr>
    </w:lvl>
    <w:lvl w:ilvl="7">
      <w:start w:val="0"/>
      <w:numFmt w:val="bullet"/>
      <w:lvlText w:val="•"/>
      <w:lvlJc w:val="left"/>
      <w:pPr>
        <w:ind w:left="6368" w:hanging="425"/>
      </w:pPr>
      <w:rPr>
        <w:rFonts w:hint="default"/>
        <w:lang w:val="zh-CN" w:eastAsia="zh-CN" w:bidi="zh-CN"/>
      </w:rPr>
    </w:lvl>
    <w:lvl w:ilvl="8">
      <w:start w:val="0"/>
      <w:numFmt w:val="bullet"/>
      <w:lvlText w:val="•"/>
      <w:lvlJc w:val="left"/>
      <w:pPr>
        <w:ind w:left="7201" w:hanging="425"/>
      </w:pPr>
      <w:rPr>
        <w:rFonts w:hint="default"/>
        <w:lang w:val="zh-CN" w:eastAsia="zh-CN" w:bidi="zh-CN"/>
      </w:rPr>
    </w:lvl>
  </w:abstractNum>
  <w:abstractNum w:abstractNumId="83">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82">
    <w:multiLevelType w:val="hybridMultilevel"/>
    <w:lvl w:ilvl="0">
      <w:start w:val="1"/>
      <w:numFmt w:val="decimal"/>
      <w:lvlText w:val="%1）"/>
      <w:lvlJc w:val="left"/>
      <w:pPr>
        <w:ind w:left="118"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81">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80">
    <w:multiLevelType w:val="hybridMultilevel"/>
    <w:lvl w:ilvl="0">
      <w:start w:val="1"/>
      <w:numFmt w:val="decimal"/>
      <w:lvlText w:val="%1）"/>
      <w:lvlJc w:val="left"/>
      <w:pPr>
        <w:ind w:left="118"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79">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961" w:hanging="318"/>
        <w:jc w:val="right"/>
      </w:pPr>
      <w:rPr>
        <w:rFonts w:hint="default" w:ascii="Times New Roman" w:hAnsi="Times New Roman" w:eastAsia="Times New Roman" w:cs="Times New Roman"/>
        <w:spacing w:val="-25"/>
        <w:w w:val="100"/>
        <w:sz w:val="19"/>
        <w:szCs w:val="19"/>
        <w:lang w:val="zh-CN" w:eastAsia="zh-CN" w:bidi="zh-CN"/>
      </w:rPr>
    </w:lvl>
    <w:lvl w:ilvl="2">
      <w:start w:val="0"/>
      <w:numFmt w:val="bullet"/>
      <w:lvlText w:val="•"/>
      <w:lvlJc w:val="left"/>
      <w:pPr>
        <w:ind w:left="1927" w:hanging="318"/>
      </w:pPr>
      <w:rPr>
        <w:rFonts w:hint="default"/>
        <w:lang w:val="zh-CN" w:eastAsia="zh-CN" w:bidi="zh-CN"/>
      </w:rPr>
    </w:lvl>
    <w:lvl w:ilvl="3">
      <w:start w:val="0"/>
      <w:numFmt w:val="bullet"/>
      <w:lvlText w:val="•"/>
      <w:lvlJc w:val="left"/>
      <w:pPr>
        <w:ind w:left="2794" w:hanging="318"/>
      </w:pPr>
      <w:rPr>
        <w:rFonts w:hint="default"/>
        <w:lang w:val="zh-CN" w:eastAsia="zh-CN" w:bidi="zh-CN"/>
      </w:rPr>
    </w:lvl>
    <w:lvl w:ilvl="4">
      <w:start w:val="0"/>
      <w:numFmt w:val="bullet"/>
      <w:lvlText w:val="•"/>
      <w:lvlJc w:val="left"/>
      <w:pPr>
        <w:ind w:left="3662" w:hanging="318"/>
      </w:pPr>
      <w:rPr>
        <w:rFonts w:hint="default"/>
        <w:lang w:val="zh-CN" w:eastAsia="zh-CN" w:bidi="zh-CN"/>
      </w:rPr>
    </w:lvl>
    <w:lvl w:ilvl="5">
      <w:start w:val="0"/>
      <w:numFmt w:val="bullet"/>
      <w:lvlText w:val="•"/>
      <w:lvlJc w:val="left"/>
      <w:pPr>
        <w:ind w:left="4529" w:hanging="318"/>
      </w:pPr>
      <w:rPr>
        <w:rFonts w:hint="default"/>
        <w:lang w:val="zh-CN" w:eastAsia="zh-CN" w:bidi="zh-CN"/>
      </w:rPr>
    </w:lvl>
    <w:lvl w:ilvl="6">
      <w:start w:val="0"/>
      <w:numFmt w:val="bullet"/>
      <w:lvlText w:val="•"/>
      <w:lvlJc w:val="left"/>
      <w:pPr>
        <w:ind w:left="5396" w:hanging="318"/>
      </w:pPr>
      <w:rPr>
        <w:rFonts w:hint="default"/>
        <w:lang w:val="zh-CN" w:eastAsia="zh-CN" w:bidi="zh-CN"/>
      </w:rPr>
    </w:lvl>
    <w:lvl w:ilvl="7">
      <w:start w:val="0"/>
      <w:numFmt w:val="bullet"/>
      <w:lvlText w:val="•"/>
      <w:lvlJc w:val="left"/>
      <w:pPr>
        <w:ind w:left="6264" w:hanging="318"/>
      </w:pPr>
      <w:rPr>
        <w:rFonts w:hint="default"/>
        <w:lang w:val="zh-CN" w:eastAsia="zh-CN" w:bidi="zh-CN"/>
      </w:rPr>
    </w:lvl>
    <w:lvl w:ilvl="8">
      <w:start w:val="0"/>
      <w:numFmt w:val="bullet"/>
      <w:lvlText w:val="•"/>
      <w:lvlJc w:val="left"/>
      <w:pPr>
        <w:ind w:left="7131" w:hanging="318"/>
      </w:pPr>
      <w:rPr>
        <w:rFonts w:hint="default"/>
        <w:lang w:val="zh-CN" w:eastAsia="zh-CN" w:bidi="zh-CN"/>
      </w:rPr>
    </w:lvl>
  </w:abstractNum>
  <w:abstractNum w:abstractNumId="78">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77">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76">
    <w:multiLevelType w:val="hybridMultilevel"/>
    <w:lvl w:ilvl="0">
      <w:start w:val="1"/>
      <w:numFmt w:val="decimal"/>
      <w:lvlText w:val="%1."/>
      <w:lvlJc w:val="left"/>
      <w:pPr>
        <w:ind w:left="958" w:hanging="420"/>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750" w:hanging="420"/>
      </w:pPr>
      <w:rPr>
        <w:rFonts w:hint="default"/>
        <w:lang w:val="zh-CN" w:eastAsia="zh-CN" w:bidi="zh-CN"/>
      </w:rPr>
    </w:lvl>
    <w:lvl w:ilvl="2">
      <w:start w:val="0"/>
      <w:numFmt w:val="bullet"/>
      <w:lvlText w:val="•"/>
      <w:lvlJc w:val="left"/>
      <w:pPr>
        <w:ind w:left="2541" w:hanging="420"/>
      </w:pPr>
      <w:rPr>
        <w:rFonts w:hint="default"/>
        <w:lang w:val="zh-CN" w:eastAsia="zh-CN" w:bidi="zh-CN"/>
      </w:rPr>
    </w:lvl>
    <w:lvl w:ilvl="3">
      <w:start w:val="0"/>
      <w:numFmt w:val="bullet"/>
      <w:lvlText w:val="•"/>
      <w:lvlJc w:val="left"/>
      <w:pPr>
        <w:ind w:left="3331" w:hanging="420"/>
      </w:pPr>
      <w:rPr>
        <w:rFonts w:hint="default"/>
        <w:lang w:val="zh-CN" w:eastAsia="zh-CN" w:bidi="zh-CN"/>
      </w:rPr>
    </w:lvl>
    <w:lvl w:ilvl="4">
      <w:start w:val="0"/>
      <w:numFmt w:val="bullet"/>
      <w:lvlText w:val="•"/>
      <w:lvlJc w:val="left"/>
      <w:pPr>
        <w:ind w:left="4122" w:hanging="420"/>
      </w:pPr>
      <w:rPr>
        <w:rFonts w:hint="default"/>
        <w:lang w:val="zh-CN" w:eastAsia="zh-CN" w:bidi="zh-CN"/>
      </w:rPr>
    </w:lvl>
    <w:lvl w:ilvl="5">
      <w:start w:val="0"/>
      <w:numFmt w:val="bullet"/>
      <w:lvlText w:val="•"/>
      <w:lvlJc w:val="left"/>
      <w:pPr>
        <w:ind w:left="4913" w:hanging="420"/>
      </w:pPr>
      <w:rPr>
        <w:rFonts w:hint="default"/>
        <w:lang w:val="zh-CN" w:eastAsia="zh-CN" w:bidi="zh-CN"/>
      </w:rPr>
    </w:lvl>
    <w:lvl w:ilvl="6">
      <w:start w:val="0"/>
      <w:numFmt w:val="bullet"/>
      <w:lvlText w:val="•"/>
      <w:lvlJc w:val="left"/>
      <w:pPr>
        <w:ind w:left="5703" w:hanging="420"/>
      </w:pPr>
      <w:rPr>
        <w:rFonts w:hint="default"/>
        <w:lang w:val="zh-CN" w:eastAsia="zh-CN" w:bidi="zh-CN"/>
      </w:rPr>
    </w:lvl>
    <w:lvl w:ilvl="7">
      <w:start w:val="0"/>
      <w:numFmt w:val="bullet"/>
      <w:lvlText w:val="•"/>
      <w:lvlJc w:val="left"/>
      <w:pPr>
        <w:ind w:left="6494" w:hanging="420"/>
      </w:pPr>
      <w:rPr>
        <w:rFonts w:hint="default"/>
        <w:lang w:val="zh-CN" w:eastAsia="zh-CN" w:bidi="zh-CN"/>
      </w:rPr>
    </w:lvl>
    <w:lvl w:ilvl="8">
      <w:start w:val="0"/>
      <w:numFmt w:val="bullet"/>
      <w:lvlText w:val="•"/>
      <w:lvlJc w:val="left"/>
      <w:pPr>
        <w:ind w:left="7285" w:hanging="420"/>
      </w:pPr>
      <w:rPr>
        <w:rFonts w:hint="default"/>
        <w:lang w:val="zh-CN" w:eastAsia="zh-CN" w:bidi="zh-CN"/>
      </w:rPr>
    </w:lvl>
  </w:abstractNum>
  <w:abstractNum w:abstractNumId="75">
    <w:multiLevelType w:val="hybridMultilevel"/>
    <w:lvl w:ilvl="0">
      <w:start w:val="7"/>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74">
    <w:multiLevelType w:val="hybridMultilevel"/>
    <w:lvl w:ilvl="0">
      <w:start w:val="1"/>
      <w:numFmt w:val="decimal"/>
      <w:lvlText w:val="%1."/>
      <w:lvlJc w:val="left"/>
      <w:pPr>
        <w:ind w:left="118" w:hanging="318"/>
        <w:jc w:val="left"/>
      </w:pPr>
      <w:rPr>
        <w:rFonts w:hint="default" w:ascii="Times New Roman" w:hAnsi="Times New Roman" w:eastAsia="Times New Roman" w:cs="Times New Roman"/>
        <w:spacing w:val="-70"/>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73">
    <w:multiLevelType w:val="hybridMultilevel"/>
    <w:lvl w:ilvl="0">
      <w:start w:val="1"/>
      <w:numFmt w:val="decimal"/>
      <w:lvlText w:val="(%1)"/>
      <w:lvlJc w:val="left"/>
      <w:pPr>
        <w:ind w:left="118" w:hanging="247"/>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994" w:hanging="247"/>
      </w:pPr>
      <w:rPr>
        <w:rFonts w:hint="default"/>
        <w:lang w:val="zh-CN" w:eastAsia="zh-CN" w:bidi="zh-CN"/>
      </w:rPr>
    </w:lvl>
    <w:lvl w:ilvl="2">
      <w:start w:val="0"/>
      <w:numFmt w:val="bullet"/>
      <w:lvlText w:val="•"/>
      <w:lvlJc w:val="left"/>
      <w:pPr>
        <w:ind w:left="1869" w:hanging="247"/>
      </w:pPr>
      <w:rPr>
        <w:rFonts w:hint="default"/>
        <w:lang w:val="zh-CN" w:eastAsia="zh-CN" w:bidi="zh-CN"/>
      </w:rPr>
    </w:lvl>
    <w:lvl w:ilvl="3">
      <w:start w:val="0"/>
      <w:numFmt w:val="bullet"/>
      <w:lvlText w:val="•"/>
      <w:lvlJc w:val="left"/>
      <w:pPr>
        <w:ind w:left="2743" w:hanging="247"/>
      </w:pPr>
      <w:rPr>
        <w:rFonts w:hint="default"/>
        <w:lang w:val="zh-CN" w:eastAsia="zh-CN" w:bidi="zh-CN"/>
      </w:rPr>
    </w:lvl>
    <w:lvl w:ilvl="4">
      <w:start w:val="0"/>
      <w:numFmt w:val="bullet"/>
      <w:lvlText w:val="•"/>
      <w:lvlJc w:val="left"/>
      <w:pPr>
        <w:ind w:left="3618" w:hanging="247"/>
      </w:pPr>
      <w:rPr>
        <w:rFonts w:hint="default"/>
        <w:lang w:val="zh-CN" w:eastAsia="zh-CN" w:bidi="zh-CN"/>
      </w:rPr>
    </w:lvl>
    <w:lvl w:ilvl="5">
      <w:start w:val="0"/>
      <w:numFmt w:val="bullet"/>
      <w:lvlText w:val="•"/>
      <w:lvlJc w:val="left"/>
      <w:pPr>
        <w:ind w:left="4493" w:hanging="247"/>
      </w:pPr>
      <w:rPr>
        <w:rFonts w:hint="default"/>
        <w:lang w:val="zh-CN" w:eastAsia="zh-CN" w:bidi="zh-CN"/>
      </w:rPr>
    </w:lvl>
    <w:lvl w:ilvl="6">
      <w:start w:val="0"/>
      <w:numFmt w:val="bullet"/>
      <w:lvlText w:val="•"/>
      <w:lvlJc w:val="left"/>
      <w:pPr>
        <w:ind w:left="5367" w:hanging="247"/>
      </w:pPr>
      <w:rPr>
        <w:rFonts w:hint="default"/>
        <w:lang w:val="zh-CN" w:eastAsia="zh-CN" w:bidi="zh-CN"/>
      </w:rPr>
    </w:lvl>
    <w:lvl w:ilvl="7">
      <w:start w:val="0"/>
      <w:numFmt w:val="bullet"/>
      <w:lvlText w:val="•"/>
      <w:lvlJc w:val="left"/>
      <w:pPr>
        <w:ind w:left="6242" w:hanging="247"/>
      </w:pPr>
      <w:rPr>
        <w:rFonts w:hint="default"/>
        <w:lang w:val="zh-CN" w:eastAsia="zh-CN" w:bidi="zh-CN"/>
      </w:rPr>
    </w:lvl>
    <w:lvl w:ilvl="8">
      <w:start w:val="0"/>
      <w:numFmt w:val="bullet"/>
      <w:lvlText w:val="•"/>
      <w:lvlJc w:val="left"/>
      <w:pPr>
        <w:ind w:left="7117" w:hanging="247"/>
      </w:pPr>
      <w:rPr>
        <w:rFonts w:hint="default"/>
        <w:lang w:val="zh-CN" w:eastAsia="zh-CN" w:bidi="zh-CN"/>
      </w:rPr>
    </w:lvl>
  </w:abstractNum>
  <w:abstractNum w:abstractNumId="72">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71">
    <w:multiLevelType w:val="hybridMultilevel"/>
    <w:lvl w:ilvl="0">
      <w:start w:val="1"/>
      <w:numFmt w:val="decimal"/>
      <w:lvlText w:val="（%1）"/>
      <w:lvlJc w:val="left"/>
      <w:pPr>
        <w:ind w:left="1378"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128" w:hanging="840"/>
      </w:pPr>
      <w:rPr>
        <w:rFonts w:hint="default"/>
        <w:lang w:val="zh-CN" w:eastAsia="zh-CN" w:bidi="zh-CN"/>
      </w:rPr>
    </w:lvl>
    <w:lvl w:ilvl="2">
      <w:start w:val="0"/>
      <w:numFmt w:val="bullet"/>
      <w:lvlText w:val="•"/>
      <w:lvlJc w:val="left"/>
      <w:pPr>
        <w:ind w:left="2877" w:hanging="840"/>
      </w:pPr>
      <w:rPr>
        <w:rFonts w:hint="default"/>
        <w:lang w:val="zh-CN" w:eastAsia="zh-CN" w:bidi="zh-CN"/>
      </w:rPr>
    </w:lvl>
    <w:lvl w:ilvl="3">
      <w:start w:val="0"/>
      <w:numFmt w:val="bullet"/>
      <w:lvlText w:val="•"/>
      <w:lvlJc w:val="left"/>
      <w:pPr>
        <w:ind w:left="3625" w:hanging="840"/>
      </w:pPr>
      <w:rPr>
        <w:rFonts w:hint="default"/>
        <w:lang w:val="zh-CN" w:eastAsia="zh-CN" w:bidi="zh-CN"/>
      </w:rPr>
    </w:lvl>
    <w:lvl w:ilvl="4">
      <w:start w:val="0"/>
      <w:numFmt w:val="bullet"/>
      <w:lvlText w:val="•"/>
      <w:lvlJc w:val="left"/>
      <w:pPr>
        <w:ind w:left="4374" w:hanging="840"/>
      </w:pPr>
      <w:rPr>
        <w:rFonts w:hint="default"/>
        <w:lang w:val="zh-CN" w:eastAsia="zh-CN" w:bidi="zh-CN"/>
      </w:rPr>
    </w:lvl>
    <w:lvl w:ilvl="5">
      <w:start w:val="0"/>
      <w:numFmt w:val="bullet"/>
      <w:lvlText w:val="•"/>
      <w:lvlJc w:val="left"/>
      <w:pPr>
        <w:ind w:left="5123" w:hanging="840"/>
      </w:pPr>
      <w:rPr>
        <w:rFonts w:hint="default"/>
        <w:lang w:val="zh-CN" w:eastAsia="zh-CN" w:bidi="zh-CN"/>
      </w:rPr>
    </w:lvl>
    <w:lvl w:ilvl="6">
      <w:start w:val="0"/>
      <w:numFmt w:val="bullet"/>
      <w:lvlText w:val="•"/>
      <w:lvlJc w:val="left"/>
      <w:pPr>
        <w:ind w:left="5871" w:hanging="840"/>
      </w:pPr>
      <w:rPr>
        <w:rFonts w:hint="default"/>
        <w:lang w:val="zh-CN" w:eastAsia="zh-CN" w:bidi="zh-CN"/>
      </w:rPr>
    </w:lvl>
    <w:lvl w:ilvl="7">
      <w:start w:val="0"/>
      <w:numFmt w:val="bullet"/>
      <w:lvlText w:val="•"/>
      <w:lvlJc w:val="left"/>
      <w:pPr>
        <w:ind w:left="6620" w:hanging="840"/>
      </w:pPr>
      <w:rPr>
        <w:rFonts w:hint="default"/>
        <w:lang w:val="zh-CN" w:eastAsia="zh-CN" w:bidi="zh-CN"/>
      </w:rPr>
    </w:lvl>
    <w:lvl w:ilvl="8">
      <w:start w:val="0"/>
      <w:numFmt w:val="bullet"/>
      <w:lvlText w:val="•"/>
      <w:lvlJc w:val="left"/>
      <w:pPr>
        <w:ind w:left="7369" w:hanging="840"/>
      </w:pPr>
      <w:rPr>
        <w:rFonts w:hint="default"/>
        <w:lang w:val="zh-CN" w:eastAsia="zh-CN" w:bidi="zh-CN"/>
      </w:rPr>
    </w:lvl>
  </w:abstractNum>
  <w:abstractNum w:abstractNumId="70">
    <w:multiLevelType w:val="hybridMultilevel"/>
    <w:lvl w:ilvl="0">
      <w:start w:val="1"/>
      <w:numFmt w:val="decimal"/>
      <w:lvlText w:val="（%1）"/>
      <w:lvlJc w:val="left"/>
      <w:pPr>
        <w:ind w:left="1067"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9">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68">
    <w:multiLevelType w:val="hybridMultilevel"/>
    <w:lvl w:ilvl="0">
      <w:start w:val="1"/>
      <w:numFmt w:val="decimal"/>
      <w:lvlText w:val="（%1）"/>
      <w:lvlJc w:val="left"/>
      <w:pPr>
        <w:ind w:left="1274" w:hanging="737"/>
        <w:jc w:val="left"/>
      </w:pPr>
      <w:rPr>
        <w:rFonts w:hint="default" w:ascii="宋体" w:hAnsi="宋体" w:eastAsia="宋体" w:cs="宋体"/>
        <w:w w:val="100"/>
        <w:sz w:val="21"/>
        <w:szCs w:val="21"/>
        <w:lang w:val="zh-CN" w:eastAsia="zh-CN" w:bidi="zh-CN"/>
      </w:rPr>
    </w:lvl>
    <w:lvl w:ilvl="1">
      <w:start w:val="0"/>
      <w:numFmt w:val="bullet"/>
      <w:lvlText w:val="•"/>
      <w:lvlJc w:val="left"/>
      <w:pPr>
        <w:ind w:left="2038" w:hanging="737"/>
      </w:pPr>
      <w:rPr>
        <w:rFonts w:hint="default"/>
        <w:lang w:val="zh-CN" w:eastAsia="zh-CN" w:bidi="zh-CN"/>
      </w:rPr>
    </w:lvl>
    <w:lvl w:ilvl="2">
      <w:start w:val="0"/>
      <w:numFmt w:val="bullet"/>
      <w:lvlText w:val="•"/>
      <w:lvlJc w:val="left"/>
      <w:pPr>
        <w:ind w:left="2797" w:hanging="737"/>
      </w:pPr>
      <w:rPr>
        <w:rFonts w:hint="default"/>
        <w:lang w:val="zh-CN" w:eastAsia="zh-CN" w:bidi="zh-CN"/>
      </w:rPr>
    </w:lvl>
    <w:lvl w:ilvl="3">
      <w:start w:val="0"/>
      <w:numFmt w:val="bullet"/>
      <w:lvlText w:val="•"/>
      <w:lvlJc w:val="left"/>
      <w:pPr>
        <w:ind w:left="3555" w:hanging="737"/>
      </w:pPr>
      <w:rPr>
        <w:rFonts w:hint="default"/>
        <w:lang w:val="zh-CN" w:eastAsia="zh-CN" w:bidi="zh-CN"/>
      </w:rPr>
    </w:lvl>
    <w:lvl w:ilvl="4">
      <w:start w:val="0"/>
      <w:numFmt w:val="bullet"/>
      <w:lvlText w:val="•"/>
      <w:lvlJc w:val="left"/>
      <w:pPr>
        <w:ind w:left="4314" w:hanging="737"/>
      </w:pPr>
      <w:rPr>
        <w:rFonts w:hint="default"/>
        <w:lang w:val="zh-CN" w:eastAsia="zh-CN" w:bidi="zh-CN"/>
      </w:rPr>
    </w:lvl>
    <w:lvl w:ilvl="5">
      <w:start w:val="0"/>
      <w:numFmt w:val="bullet"/>
      <w:lvlText w:val="•"/>
      <w:lvlJc w:val="left"/>
      <w:pPr>
        <w:ind w:left="5073" w:hanging="737"/>
      </w:pPr>
      <w:rPr>
        <w:rFonts w:hint="default"/>
        <w:lang w:val="zh-CN" w:eastAsia="zh-CN" w:bidi="zh-CN"/>
      </w:rPr>
    </w:lvl>
    <w:lvl w:ilvl="6">
      <w:start w:val="0"/>
      <w:numFmt w:val="bullet"/>
      <w:lvlText w:val="•"/>
      <w:lvlJc w:val="left"/>
      <w:pPr>
        <w:ind w:left="5831" w:hanging="737"/>
      </w:pPr>
      <w:rPr>
        <w:rFonts w:hint="default"/>
        <w:lang w:val="zh-CN" w:eastAsia="zh-CN" w:bidi="zh-CN"/>
      </w:rPr>
    </w:lvl>
    <w:lvl w:ilvl="7">
      <w:start w:val="0"/>
      <w:numFmt w:val="bullet"/>
      <w:lvlText w:val="•"/>
      <w:lvlJc w:val="left"/>
      <w:pPr>
        <w:ind w:left="6590" w:hanging="737"/>
      </w:pPr>
      <w:rPr>
        <w:rFonts w:hint="default"/>
        <w:lang w:val="zh-CN" w:eastAsia="zh-CN" w:bidi="zh-CN"/>
      </w:rPr>
    </w:lvl>
    <w:lvl w:ilvl="8">
      <w:start w:val="0"/>
      <w:numFmt w:val="bullet"/>
      <w:lvlText w:val="•"/>
      <w:lvlJc w:val="left"/>
      <w:pPr>
        <w:ind w:left="7349" w:hanging="737"/>
      </w:pPr>
      <w:rPr>
        <w:rFonts w:hint="default"/>
        <w:lang w:val="zh-CN" w:eastAsia="zh-CN" w:bidi="zh-CN"/>
      </w:rPr>
    </w:lvl>
  </w:abstractNum>
  <w:abstractNum w:abstractNumId="67">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6">
    <w:multiLevelType w:val="hybridMultilevel"/>
    <w:lvl w:ilvl="0">
      <w:start w:val="23"/>
      <w:numFmt w:val="decimal"/>
      <w:lvlText w:val="（%1）"/>
      <w:lvlJc w:val="left"/>
      <w:pPr>
        <w:ind w:left="1172" w:hanging="635"/>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48" w:hanging="635"/>
      </w:pPr>
      <w:rPr>
        <w:rFonts w:hint="default"/>
        <w:lang w:val="zh-CN" w:eastAsia="zh-CN" w:bidi="zh-CN"/>
      </w:rPr>
    </w:lvl>
    <w:lvl w:ilvl="2">
      <w:start w:val="0"/>
      <w:numFmt w:val="bullet"/>
      <w:lvlText w:val="•"/>
      <w:lvlJc w:val="left"/>
      <w:pPr>
        <w:ind w:left="2717" w:hanging="635"/>
      </w:pPr>
      <w:rPr>
        <w:rFonts w:hint="default"/>
        <w:lang w:val="zh-CN" w:eastAsia="zh-CN" w:bidi="zh-CN"/>
      </w:rPr>
    </w:lvl>
    <w:lvl w:ilvl="3">
      <w:start w:val="0"/>
      <w:numFmt w:val="bullet"/>
      <w:lvlText w:val="•"/>
      <w:lvlJc w:val="left"/>
      <w:pPr>
        <w:ind w:left="3485" w:hanging="635"/>
      </w:pPr>
      <w:rPr>
        <w:rFonts w:hint="default"/>
        <w:lang w:val="zh-CN" w:eastAsia="zh-CN" w:bidi="zh-CN"/>
      </w:rPr>
    </w:lvl>
    <w:lvl w:ilvl="4">
      <w:start w:val="0"/>
      <w:numFmt w:val="bullet"/>
      <w:lvlText w:val="•"/>
      <w:lvlJc w:val="left"/>
      <w:pPr>
        <w:ind w:left="4254" w:hanging="635"/>
      </w:pPr>
      <w:rPr>
        <w:rFonts w:hint="default"/>
        <w:lang w:val="zh-CN" w:eastAsia="zh-CN" w:bidi="zh-CN"/>
      </w:rPr>
    </w:lvl>
    <w:lvl w:ilvl="5">
      <w:start w:val="0"/>
      <w:numFmt w:val="bullet"/>
      <w:lvlText w:val="•"/>
      <w:lvlJc w:val="left"/>
      <w:pPr>
        <w:ind w:left="5023" w:hanging="635"/>
      </w:pPr>
      <w:rPr>
        <w:rFonts w:hint="default"/>
        <w:lang w:val="zh-CN" w:eastAsia="zh-CN" w:bidi="zh-CN"/>
      </w:rPr>
    </w:lvl>
    <w:lvl w:ilvl="6">
      <w:start w:val="0"/>
      <w:numFmt w:val="bullet"/>
      <w:lvlText w:val="•"/>
      <w:lvlJc w:val="left"/>
      <w:pPr>
        <w:ind w:left="5791" w:hanging="635"/>
      </w:pPr>
      <w:rPr>
        <w:rFonts w:hint="default"/>
        <w:lang w:val="zh-CN" w:eastAsia="zh-CN" w:bidi="zh-CN"/>
      </w:rPr>
    </w:lvl>
    <w:lvl w:ilvl="7">
      <w:start w:val="0"/>
      <w:numFmt w:val="bullet"/>
      <w:lvlText w:val="•"/>
      <w:lvlJc w:val="left"/>
      <w:pPr>
        <w:ind w:left="6560" w:hanging="635"/>
      </w:pPr>
      <w:rPr>
        <w:rFonts w:hint="default"/>
        <w:lang w:val="zh-CN" w:eastAsia="zh-CN" w:bidi="zh-CN"/>
      </w:rPr>
    </w:lvl>
    <w:lvl w:ilvl="8">
      <w:start w:val="0"/>
      <w:numFmt w:val="bullet"/>
      <w:lvlText w:val="•"/>
      <w:lvlJc w:val="left"/>
      <w:pPr>
        <w:ind w:left="7329" w:hanging="635"/>
      </w:pPr>
      <w:rPr>
        <w:rFonts w:hint="default"/>
        <w:lang w:val="zh-CN" w:eastAsia="zh-CN" w:bidi="zh-CN"/>
      </w:rPr>
    </w:lvl>
  </w:abstractNum>
  <w:abstractNum w:abstractNumId="65">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4">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3">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62">
    <w:multiLevelType w:val="hybridMultilevel"/>
    <w:lvl w:ilvl="0">
      <w:start w:val="1"/>
      <w:numFmt w:val="decimal"/>
      <w:lvlText w:val="（%1）"/>
      <w:lvlJc w:val="left"/>
      <w:pPr>
        <w:ind w:left="118"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61">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60">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59">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58">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57">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56">
    <w:multiLevelType w:val="hybridMultilevel"/>
    <w:lvl w:ilvl="0">
      <w:start w:val="1"/>
      <w:numFmt w:val="decimal"/>
      <w:lvlText w:val="（%1）"/>
      <w:lvlJc w:val="left"/>
      <w:pPr>
        <w:ind w:left="1067"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55">
    <w:multiLevelType w:val="hybridMultilevel"/>
    <w:lvl w:ilvl="0">
      <w:start w:val="1"/>
      <w:numFmt w:val="decimal"/>
      <w:lvlText w:val="(%1)"/>
      <w:lvlJc w:val="left"/>
      <w:pPr>
        <w:ind w:left="95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750" w:hanging="420"/>
      </w:pPr>
      <w:rPr>
        <w:rFonts w:hint="default"/>
        <w:lang w:val="zh-CN" w:eastAsia="zh-CN" w:bidi="zh-CN"/>
      </w:rPr>
    </w:lvl>
    <w:lvl w:ilvl="2">
      <w:start w:val="0"/>
      <w:numFmt w:val="bullet"/>
      <w:lvlText w:val="•"/>
      <w:lvlJc w:val="left"/>
      <w:pPr>
        <w:ind w:left="2541" w:hanging="420"/>
      </w:pPr>
      <w:rPr>
        <w:rFonts w:hint="default"/>
        <w:lang w:val="zh-CN" w:eastAsia="zh-CN" w:bidi="zh-CN"/>
      </w:rPr>
    </w:lvl>
    <w:lvl w:ilvl="3">
      <w:start w:val="0"/>
      <w:numFmt w:val="bullet"/>
      <w:lvlText w:val="•"/>
      <w:lvlJc w:val="left"/>
      <w:pPr>
        <w:ind w:left="3331" w:hanging="420"/>
      </w:pPr>
      <w:rPr>
        <w:rFonts w:hint="default"/>
        <w:lang w:val="zh-CN" w:eastAsia="zh-CN" w:bidi="zh-CN"/>
      </w:rPr>
    </w:lvl>
    <w:lvl w:ilvl="4">
      <w:start w:val="0"/>
      <w:numFmt w:val="bullet"/>
      <w:lvlText w:val="•"/>
      <w:lvlJc w:val="left"/>
      <w:pPr>
        <w:ind w:left="4122" w:hanging="420"/>
      </w:pPr>
      <w:rPr>
        <w:rFonts w:hint="default"/>
        <w:lang w:val="zh-CN" w:eastAsia="zh-CN" w:bidi="zh-CN"/>
      </w:rPr>
    </w:lvl>
    <w:lvl w:ilvl="5">
      <w:start w:val="0"/>
      <w:numFmt w:val="bullet"/>
      <w:lvlText w:val="•"/>
      <w:lvlJc w:val="left"/>
      <w:pPr>
        <w:ind w:left="4913" w:hanging="420"/>
      </w:pPr>
      <w:rPr>
        <w:rFonts w:hint="default"/>
        <w:lang w:val="zh-CN" w:eastAsia="zh-CN" w:bidi="zh-CN"/>
      </w:rPr>
    </w:lvl>
    <w:lvl w:ilvl="6">
      <w:start w:val="0"/>
      <w:numFmt w:val="bullet"/>
      <w:lvlText w:val="•"/>
      <w:lvlJc w:val="left"/>
      <w:pPr>
        <w:ind w:left="5703" w:hanging="420"/>
      </w:pPr>
      <w:rPr>
        <w:rFonts w:hint="default"/>
        <w:lang w:val="zh-CN" w:eastAsia="zh-CN" w:bidi="zh-CN"/>
      </w:rPr>
    </w:lvl>
    <w:lvl w:ilvl="7">
      <w:start w:val="0"/>
      <w:numFmt w:val="bullet"/>
      <w:lvlText w:val="•"/>
      <w:lvlJc w:val="left"/>
      <w:pPr>
        <w:ind w:left="6494" w:hanging="420"/>
      </w:pPr>
      <w:rPr>
        <w:rFonts w:hint="default"/>
        <w:lang w:val="zh-CN" w:eastAsia="zh-CN" w:bidi="zh-CN"/>
      </w:rPr>
    </w:lvl>
    <w:lvl w:ilvl="8">
      <w:start w:val="0"/>
      <w:numFmt w:val="bullet"/>
      <w:lvlText w:val="•"/>
      <w:lvlJc w:val="left"/>
      <w:pPr>
        <w:ind w:left="7285" w:hanging="420"/>
      </w:pPr>
      <w:rPr>
        <w:rFonts w:hint="default"/>
        <w:lang w:val="zh-CN" w:eastAsia="zh-CN" w:bidi="zh-CN"/>
      </w:rPr>
    </w:lvl>
  </w:abstractNum>
  <w:abstractNum w:abstractNumId="54">
    <w:multiLevelType w:val="hybridMultilevel"/>
    <w:lvl w:ilvl="0">
      <w:start w:val="1"/>
      <w:numFmt w:val="decimal"/>
      <w:lvlText w:val="(%1)"/>
      <w:lvlJc w:val="left"/>
      <w:pPr>
        <w:ind w:left="11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994" w:hanging="420"/>
      </w:pPr>
      <w:rPr>
        <w:rFonts w:hint="default"/>
        <w:lang w:val="zh-CN" w:eastAsia="zh-CN" w:bidi="zh-CN"/>
      </w:rPr>
    </w:lvl>
    <w:lvl w:ilvl="2">
      <w:start w:val="0"/>
      <w:numFmt w:val="bullet"/>
      <w:lvlText w:val="•"/>
      <w:lvlJc w:val="left"/>
      <w:pPr>
        <w:ind w:left="1869" w:hanging="420"/>
      </w:pPr>
      <w:rPr>
        <w:rFonts w:hint="default"/>
        <w:lang w:val="zh-CN" w:eastAsia="zh-CN" w:bidi="zh-CN"/>
      </w:rPr>
    </w:lvl>
    <w:lvl w:ilvl="3">
      <w:start w:val="0"/>
      <w:numFmt w:val="bullet"/>
      <w:lvlText w:val="•"/>
      <w:lvlJc w:val="left"/>
      <w:pPr>
        <w:ind w:left="2743" w:hanging="420"/>
      </w:pPr>
      <w:rPr>
        <w:rFonts w:hint="default"/>
        <w:lang w:val="zh-CN" w:eastAsia="zh-CN" w:bidi="zh-CN"/>
      </w:rPr>
    </w:lvl>
    <w:lvl w:ilvl="4">
      <w:start w:val="0"/>
      <w:numFmt w:val="bullet"/>
      <w:lvlText w:val="•"/>
      <w:lvlJc w:val="left"/>
      <w:pPr>
        <w:ind w:left="3618" w:hanging="420"/>
      </w:pPr>
      <w:rPr>
        <w:rFonts w:hint="default"/>
        <w:lang w:val="zh-CN" w:eastAsia="zh-CN" w:bidi="zh-CN"/>
      </w:rPr>
    </w:lvl>
    <w:lvl w:ilvl="5">
      <w:start w:val="0"/>
      <w:numFmt w:val="bullet"/>
      <w:lvlText w:val="•"/>
      <w:lvlJc w:val="left"/>
      <w:pPr>
        <w:ind w:left="4493" w:hanging="420"/>
      </w:pPr>
      <w:rPr>
        <w:rFonts w:hint="default"/>
        <w:lang w:val="zh-CN" w:eastAsia="zh-CN" w:bidi="zh-CN"/>
      </w:rPr>
    </w:lvl>
    <w:lvl w:ilvl="6">
      <w:start w:val="0"/>
      <w:numFmt w:val="bullet"/>
      <w:lvlText w:val="•"/>
      <w:lvlJc w:val="left"/>
      <w:pPr>
        <w:ind w:left="5367" w:hanging="420"/>
      </w:pPr>
      <w:rPr>
        <w:rFonts w:hint="default"/>
        <w:lang w:val="zh-CN" w:eastAsia="zh-CN" w:bidi="zh-CN"/>
      </w:rPr>
    </w:lvl>
    <w:lvl w:ilvl="7">
      <w:start w:val="0"/>
      <w:numFmt w:val="bullet"/>
      <w:lvlText w:val="•"/>
      <w:lvlJc w:val="left"/>
      <w:pPr>
        <w:ind w:left="6242" w:hanging="420"/>
      </w:pPr>
      <w:rPr>
        <w:rFonts w:hint="default"/>
        <w:lang w:val="zh-CN" w:eastAsia="zh-CN" w:bidi="zh-CN"/>
      </w:rPr>
    </w:lvl>
    <w:lvl w:ilvl="8">
      <w:start w:val="0"/>
      <w:numFmt w:val="bullet"/>
      <w:lvlText w:val="•"/>
      <w:lvlJc w:val="left"/>
      <w:pPr>
        <w:ind w:left="7117" w:hanging="420"/>
      </w:pPr>
      <w:rPr>
        <w:rFonts w:hint="default"/>
        <w:lang w:val="zh-CN" w:eastAsia="zh-CN" w:bidi="zh-CN"/>
      </w:rPr>
    </w:lvl>
  </w:abstractNum>
  <w:abstractNum w:abstractNumId="53">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52">
    <w:multiLevelType w:val="hybridMultilevel"/>
    <w:lvl w:ilvl="0">
      <w:start w:val="1"/>
      <w:numFmt w:val="decimal"/>
      <w:lvlText w:val="%1."/>
      <w:lvlJc w:val="left"/>
      <w:pPr>
        <w:ind w:left="101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51">
    <w:multiLevelType w:val="hybridMultilevel"/>
    <w:lvl w:ilvl="0">
      <w:start w:val="1"/>
      <w:numFmt w:val="decimal"/>
      <w:lvlText w:val="%1."/>
      <w:lvlJc w:val="left"/>
      <w:pPr>
        <w:ind w:left="101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50">
    <w:multiLevelType w:val="hybridMultilevel"/>
    <w:lvl w:ilvl="0">
      <w:start w:val="7"/>
      <w:numFmt w:val="decimal"/>
      <w:lvlText w:val="%1."/>
      <w:lvlJc w:val="left"/>
      <w:pPr>
        <w:ind w:left="855" w:hanging="318"/>
        <w:jc w:val="left"/>
      </w:pPr>
      <w:rPr>
        <w:rFonts w:hint="default"/>
        <w:w w:val="100"/>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49">
    <w:multiLevelType w:val="hybridMultilevel"/>
    <w:lvl w:ilvl="0">
      <w:start w:val="1"/>
      <w:numFmt w:val="decimal"/>
      <w:lvlText w:val="%1."/>
      <w:lvlJc w:val="left"/>
      <w:pPr>
        <w:ind w:left="118" w:hanging="318"/>
        <w:jc w:val="left"/>
      </w:pPr>
      <w:rPr>
        <w:rFonts w:hint="default"/>
        <w:spacing w:val="-70"/>
        <w:w w:val="100"/>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48">
    <w:multiLevelType w:val="hybridMultilevel"/>
    <w:lvl w:ilvl="0">
      <w:start w:val="1"/>
      <w:numFmt w:val="decimal"/>
      <w:lvlText w:val="%1."/>
      <w:lvlJc w:val="left"/>
      <w:pPr>
        <w:ind w:left="435" w:hanging="318"/>
        <w:jc w:val="right"/>
      </w:pPr>
      <w:rPr>
        <w:rFonts w:hint="default" w:ascii="宋体" w:hAnsi="宋体" w:eastAsia="宋体" w:cs="宋体"/>
        <w:w w:val="100"/>
        <w:sz w:val="19"/>
        <w:szCs w:val="19"/>
        <w:lang w:val="zh-CN" w:eastAsia="zh-CN" w:bidi="zh-CN"/>
      </w:rPr>
    </w:lvl>
    <w:lvl w:ilvl="1">
      <w:start w:val="0"/>
      <w:numFmt w:val="bullet"/>
      <w:lvlText w:val="•"/>
      <w:lvlJc w:val="left"/>
      <w:pPr>
        <w:ind w:left="1282" w:hanging="318"/>
      </w:pPr>
      <w:rPr>
        <w:rFonts w:hint="default"/>
        <w:lang w:val="zh-CN" w:eastAsia="zh-CN" w:bidi="zh-CN"/>
      </w:rPr>
    </w:lvl>
    <w:lvl w:ilvl="2">
      <w:start w:val="0"/>
      <w:numFmt w:val="bullet"/>
      <w:lvlText w:val="•"/>
      <w:lvlJc w:val="left"/>
      <w:pPr>
        <w:ind w:left="2125" w:hanging="318"/>
      </w:pPr>
      <w:rPr>
        <w:rFonts w:hint="default"/>
        <w:lang w:val="zh-CN" w:eastAsia="zh-CN" w:bidi="zh-CN"/>
      </w:rPr>
    </w:lvl>
    <w:lvl w:ilvl="3">
      <w:start w:val="0"/>
      <w:numFmt w:val="bullet"/>
      <w:lvlText w:val="•"/>
      <w:lvlJc w:val="left"/>
      <w:pPr>
        <w:ind w:left="2967" w:hanging="318"/>
      </w:pPr>
      <w:rPr>
        <w:rFonts w:hint="default"/>
        <w:lang w:val="zh-CN" w:eastAsia="zh-CN" w:bidi="zh-CN"/>
      </w:rPr>
    </w:lvl>
    <w:lvl w:ilvl="4">
      <w:start w:val="0"/>
      <w:numFmt w:val="bullet"/>
      <w:lvlText w:val="•"/>
      <w:lvlJc w:val="left"/>
      <w:pPr>
        <w:ind w:left="3810" w:hanging="318"/>
      </w:pPr>
      <w:rPr>
        <w:rFonts w:hint="default"/>
        <w:lang w:val="zh-CN" w:eastAsia="zh-CN" w:bidi="zh-CN"/>
      </w:rPr>
    </w:lvl>
    <w:lvl w:ilvl="5">
      <w:start w:val="0"/>
      <w:numFmt w:val="bullet"/>
      <w:lvlText w:val="•"/>
      <w:lvlJc w:val="left"/>
      <w:pPr>
        <w:ind w:left="4653" w:hanging="318"/>
      </w:pPr>
      <w:rPr>
        <w:rFonts w:hint="default"/>
        <w:lang w:val="zh-CN" w:eastAsia="zh-CN" w:bidi="zh-CN"/>
      </w:rPr>
    </w:lvl>
    <w:lvl w:ilvl="6">
      <w:start w:val="0"/>
      <w:numFmt w:val="bullet"/>
      <w:lvlText w:val="•"/>
      <w:lvlJc w:val="left"/>
      <w:pPr>
        <w:ind w:left="5495" w:hanging="318"/>
      </w:pPr>
      <w:rPr>
        <w:rFonts w:hint="default"/>
        <w:lang w:val="zh-CN" w:eastAsia="zh-CN" w:bidi="zh-CN"/>
      </w:rPr>
    </w:lvl>
    <w:lvl w:ilvl="7">
      <w:start w:val="0"/>
      <w:numFmt w:val="bullet"/>
      <w:lvlText w:val="•"/>
      <w:lvlJc w:val="left"/>
      <w:pPr>
        <w:ind w:left="6338" w:hanging="318"/>
      </w:pPr>
      <w:rPr>
        <w:rFonts w:hint="default"/>
        <w:lang w:val="zh-CN" w:eastAsia="zh-CN" w:bidi="zh-CN"/>
      </w:rPr>
    </w:lvl>
    <w:lvl w:ilvl="8">
      <w:start w:val="0"/>
      <w:numFmt w:val="bullet"/>
      <w:lvlText w:val="•"/>
      <w:lvlJc w:val="left"/>
      <w:pPr>
        <w:ind w:left="7181" w:hanging="318"/>
      </w:pPr>
      <w:rPr>
        <w:rFonts w:hint="default"/>
        <w:lang w:val="zh-CN" w:eastAsia="zh-CN" w:bidi="zh-CN"/>
      </w:rPr>
    </w:lvl>
  </w:abstractNum>
  <w:abstractNum w:abstractNumId="47">
    <w:multiLevelType w:val="hybridMultilevel"/>
    <w:lvl w:ilvl="0">
      <w:start w:val="1"/>
      <w:numFmt w:val="decimal"/>
      <w:lvlText w:val="%1."/>
      <w:lvlJc w:val="left"/>
      <w:pPr>
        <w:ind w:left="53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372" w:hanging="420"/>
      </w:pPr>
      <w:rPr>
        <w:rFonts w:hint="default"/>
        <w:lang w:val="zh-CN" w:eastAsia="zh-CN" w:bidi="zh-CN"/>
      </w:rPr>
    </w:lvl>
    <w:lvl w:ilvl="2">
      <w:start w:val="0"/>
      <w:numFmt w:val="bullet"/>
      <w:lvlText w:val="•"/>
      <w:lvlJc w:val="left"/>
      <w:pPr>
        <w:ind w:left="2205" w:hanging="420"/>
      </w:pPr>
      <w:rPr>
        <w:rFonts w:hint="default"/>
        <w:lang w:val="zh-CN" w:eastAsia="zh-CN" w:bidi="zh-CN"/>
      </w:rPr>
    </w:lvl>
    <w:lvl w:ilvl="3">
      <w:start w:val="0"/>
      <w:numFmt w:val="bullet"/>
      <w:lvlText w:val="•"/>
      <w:lvlJc w:val="left"/>
      <w:pPr>
        <w:ind w:left="3037" w:hanging="420"/>
      </w:pPr>
      <w:rPr>
        <w:rFonts w:hint="default"/>
        <w:lang w:val="zh-CN" w:eastAsia="zh-CN" w:bidi="zh-CN"/>
      </w:rPr>
    </w:lvl>
    <w:lvl w:ilvl="4">
      <w:start w:val="0"/>
      <w:numFmt w:val="bullet"/>
      <w:lvlText w:val="•"/>
      <w:lvlJc w:val="left"/>
      <w:pPr>
        <w:ind w:left="3870" w:hanging="420"/>
      </w:pPr>
      <w:rPr>
        <w:rFonts w:hint="default"/>
        <w:lang w:val="zh-CN" w:eastAsia="zh-CN" w:bidi="zh-CN"/>
      </w:rPr>
    </w:lvl>
    <w:lvl w:ilvl="5">
      <w:start w:val="0"/>
      <w:numFmt w:val="bullet"/>
      <w:lvlText w:val="•"/>
      <w:lvlJc w:val="left"/>
      <w:pPr>
        <w:ind w:left="4703" w:hanging="420"/>
      </w:pPr>
      <w:rPr>
        <w:rFonts w:hint="default"/>
        <w:lang w:val="zh-CN" w:eastAsia="zh-CN" w:bidi="zh-CN"/>
      </w:rPr>
    </w:lvl>
    <w:lvl w:ilvl="6">
      <w:start w:val="0"/>
      <w:numFmt w:val="bullet"/>
      <w:lvlText w:val="•"/>
      <w:lvlJc w:val="left"/>
      <w:pPr>
        <w:ind w:left="5535" w:hanging="420"/>
      </w:pPr>
      <w:rPr>
        <w:rFonts w:hint="default"/>
        <w:lang w:val="zh-CN" w:eastAsia="zh-CN" w:bidi="zh-CN"/>
      </w:rPr>
    </w:lvl>
    <w:lvl w:ilvl="7">
      <w:start w:val="0"/>
      <w:numFmt w:val="bullet"/>
      <w:lvlText w:val="•"/>
      <w:lvlJc w:val="left"/>
      <w:pPr>
        <w:ind w:left="6368" w:hanging="420"/>
      </w:pPr>
      <w:rPr>
        <w:rFonts w:hint="default"/>
        <w:lang w:val="zh-CN" w:eastAsia="zh-CN" w:bidi="zh-CN"/>
      </w:rPr>
    </w:lvl>
    <w:lvl w:ilvl="8">
      <w:start w:val="0"/>
      <w:numFmt w:val="bullet"/>
      <w:lvlText w:val="•"/>
      <w:lvlJc w:val="left"/>
      <w:pPr>
        <w:ind w:left="7201" w:hanging="420"/>
      </w:pPr>
      <w:rPr>
        <w:rFonts w:hint="default"/>
        <w:lang w:val="zh-CN" w:eastAsia="zh-CN" w:bidi="zh-CN"/>
      </w:rPr>
    </w:lvl>
  </w:abstractNum>
  <w:abstractNum w:abstractNumId="46">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45">
    <w:multiLevelType w:val="hybridMultilevel"/>
    <w:lvl w:ilvl="0">
      <w:start w:val="1"/>
      <w:numFmt w:val="decimal"/>
      <w:lvlText w:val="（%1）"/>
      <w:lvlJc w:val="left"/>
      <w:pPr>
        <w:ind w:left="1079" w:hanging="541"/>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118" w:hanging="541"/>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1945" w:hanging="541"/>
      </w:pPr>
      <w:rPr>
        <w:rFonts w:hint="default"/>
        <w:lang w:val="zh-CN" w:eastAsia="zh-CN" w:bidi="zh-CN"/>
      </w:rPr>
    </w:lvl>
    <w:lvl w:ilvl="3">
      <w:start w:val="0"/>
      <w:numFmt w:val="bullet"/>
      <w:lvlText w:val="•"/>
      <w:lvlJc w:val="left"/>
      <w:pPr>
        <w:ind w:left="2810" w:hanging="541"/>
      </w:pPr>
      <w:rPr>
        <w:rFonts w:hint="default"/>
        <w:lang w:val="zh-CN" w:eastAsia="zh-CN" w:bidi="zh-CN"/>
      </w:rPr>
    </w:lvl>
    <w:lvl w:ilvl="4">
      <w:start w:val="0"/>
      <w:numFmt w:val="bullet"/>
      <w:lvlText w:val="•"/>
      <w:lvlJc w:val="left"/>
      <w:pPr>
        <w:ind w:left="3675" w:hanging="541"/>
      </w:pPr>
      <w:rPr>
        <w:rFonts w:hint="default"/>
        <w:lang w:val="zh-CN" w:eastAsia="zh-CN" w:bidi="zh-CN"/>
      </w:rPr>
    </w:lvl>
    <w:lvl w:ilvl="5">
      <w:start w:val="0"/>
      <w:numFmt w:val="bullet"/>
      <w:lvlText w:val="•"/>
      <w:lvlJc w:val="left"/>
      <w:pPr>
        <w:ind w:left="4540" w:hanging="541"/>
      </w:pPr>
      <w:rPr>
        <w:rFonts w:hint="default"/>
        <w:lang w:val="zh-CN" w:eastAsia="zh-CN" w:bidi="zh-CN"/>
      </w:rPr>
    </w:lvl>
    <w:lvl w:ilvl="6">
      <w:start w:val="0"/>
      <w:numFmt w:val="bullet"/>
      <w:lvlText w:val="•"/>
      <w:lvlJc w:val="left"/>
      <w:pPr>
        <w:ind w:left="5405" w:hanging="541"/>
      </w:pPr>
      <w:rPr>
        <w:rFonts w:hint="default"/>
        <w:lang w:val="zh-CN" w:eastAsia="zh-CN" w:bidi="zh-CN"/>
      </w:rPr>
    </w:lvl>
    <w:lvl w:ilvl="7">
      <w:start w:val="0"/>
      <w:numFmt w:val="bullet"/>
      <w:lvlText w:val="•"/>
      <w:lvlJc w:val="left"/>
      <w:pPr>
        <w:ind w:left="6270" w:hanging="541"/>
      </w:pPr>
      <w:rPr>
        <w:rFonts w:hint="default"/>
        <w:lang w:val="zh-CN" w:eastAsia="zh-CN" w:bidi="zh-CN"/>
      </w:rPr>
    </w:lvl>
    <w:lvl w:ilvl="8">
      <w:start w:val="0"/>
      <w:numFmt w:val="bullet"/>
      <w:lvlText w:val="•"/>
      <w:lvlJc w:val="left"/>
      <w:pPr>
        <w:ind w:left="7136" w:hanging="541"/>
      </w:pPr>
      <w:rPr>
        <w:rFonts w:hint="default"/>
        <w:lang w:val="zh-CN" w:eastAsia="zh-CN" w:bidi="zh-CN"/>
      </w:rPr>
    </w:lvl>
  </w:abstractNum>
  <w:abstractNum w:abstractNumId="44">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43">
    <w:multiLevelType w:val="hybridMultilevel"/>
    <w:lvl w:ilvl="0">
      <w:start w:val="1"/>
      <w:numFmt w:val="decimal"/>
      <w:lvlText w:val="%1."/>
      <w:lvlJc w:val="left"/>
      <w:pPr>
        <w:ind w:left="118" w:hanging="318"/>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42">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41">
    <w:multiLevelType w:val="hybridMultilevel"/>
    <w:lvl w:ilvl="0">
      <w:start w:val="1"/>
      <w:numFmt w:val="decimal"/>
      <w:lvlText w:val="%1）"/>
      <w:lvlJc w:val="left"/>
      <w:pPr>
        <w:ind w:left="118"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40">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9">
    <w:multiLevelType w:val="hybridMultilevel"/>
    <w:lvl w:ilvl="0">
      <w:start w:val="1"/>
      <w:numFmt w:val="decimal"/>
      <w:lvlText w:val="%1）"/>
      <w:lvlJc w:val="left"/>
      <w:pPr>
        <w:ind w:left="118" w:hanging="318"/>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38">
    <w:multiLevelType w:val="hybridMultilevel"/>
    <w:lvl w:ilvl="0">
      <w:start w:val="3"/>
      <w:numFmt w:val="decimal"/>
      <w:lvlText w:val="%1）"/>
      <w:lvlJc w:val="left"/>
      <w:pPr>
        <w:ind w:left="118" w:hanging="318"/>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994" w:hanging="318"/>
      </w:pPr>
      <w:rPr>
        <w:rFonts w:hint="default"/>
        <w:lang w:val="zh-CN" w:eastAsia="zh-CN" w:bidi="zh-CN"/>
      </w:rPr>
    </w:lvl>
    <w:lvl w:ilvl="2">
      <w:start w:val="0"/>
      <w:numFmt w:val="bullet"/>
      <w:lvlText w:val="•"/>
      <w:lvlJc w:val="left"/>
      <w:pPr>
        <w:ind w:left="1869" w:hanging="318"/>
      </w:pPr>
      <w:rPr>
        <w:rFonts w:hint="default"/>
        <w:lang w:val="zh-CN" w:eastAsia="zh-CN" w:bidi="zh-CN"/>
      </w:rPr>
    </w:lvl>
    <w:lvl w:ilvl="3">
      <w:start w:val="0"/>
      <w:numFmt w:val="bullet"/>
      <w:lvlText w:val="•"/>
      <w:lvlJc w:val="left"/>
      <w:pPr>
        <w:ind w:left="2743" w:hanging="318"/>
      </w:pPr>
      <w:rPr>
        <w:rFonts w:hint="default"/>
        <w:lang w:val="zh-CN" w:eastAsia="zh-CN" w:bidi="zh-CN"/>
      </w:rPr>
    </w:lvl>
    <w:lvl w:ilvl="4">
      <w:start w:val="0"/>
      <w:numFmt w:val="bullet"/>
      <w:lvlText w:val="•"/>
      <w:lvlJc w:val="left"/>
      <w:pPr>
        <w:ind w:left="3618" w:hanging="318"/>
      </w:pPr>
      <w:rPr>
        <w:rFonts w:hint="default"/>
        <w:lang w:val="zh-CN" w:eastAsia="zh-CN" w:bidi="zh-CN"/>
      </w:rPr>
    </w:lvl>
    <w:lvl w:ilvl="5">
      <w:start w:val="0"/>
      <w:numFmt w:val="bullet"/>
      <w:lvlText w:val="•"/>
      <w:lvlJc w:val="left"/>
      <w:pPr>
        <w:ind w:left="4493" w:hanging="318"/>
      </w:pPr>
      <w:rPr>
        <w:rFonts w:hint="default"/>
        <w:lang w:val="zh-CN" w:eastAsia="zh-CN" w:bidi="zh-CN"/>
      </w:rPr>
    </w:lvl>
    <w:lvl w:ilvl="6">
      <w:start w:val="0"/>
      <w:numFmt w:val="bullet"/>
      <w:lvlText w:val="•"/>
      <w:lvlJc w:val="left"/>
      <w:pPr>
        <w:ind w:left="5367" w:hanging="318"/>
      </w:pPr>
      <w:rPr>
        <w:rFonts w:hint="default"/>
        <w:lang w:val="zh-CN" w:eastAsia="zh-CN" w:bidi="zh-CN"/>
      </w:rPr>
    </w:lvl>
    <w:lvl w:ilvl="7">
      <w:start w:val="0"/>
      <w:numFmt w:val="bullet"/>
      <w:lvlText w:val="•"/>
      <w:lvlJc w:val="left"/>
      <w:pPr>
        <w:ind w:left="6242" w:hanging="318"/>
      </w:pPr>
      <w:rPr>
        <w:rFonts w:hint="default"/>
        <w:lang w:val="zh-CN" w:eastAsia="zh-CN" w:bidi="zh-CN"/>
      </w:rPr>
    </w:lvl>
    <w:lvl w:ilvl="8">
      <w:start w:val="0"/>
      <w:numFmt w:val="bullet"/>
      <w:lvlText w:val="•"/>
      <w:lvlJc w:val="left"/>
      <w:pPr>
        <w:ind w:left="7117" w:hanging="318"/>
      </w:pPr>
      <w:rPr>
        <w:rFonts w:hint="default"/>
        <w:lang w:val="zh-CN" w:eastAsia="zh-CN" w:bidi="zh-CN"/>
      </w:rPr>
    </w:lvl>
  </w:abstractNum>
  <w:abstractNum w:abstractNumId="37">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6">
    <w:multiLevelType w:val="hybridMultilevel"/>
    <w:lvl w:ilvl="0">
      <w:start w:val="2"/>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5">
    <w:multiLevelType w:val="hybridMultilevel"/>
    <w:lvl w:ilvl="0">
      <w:start w:val="4"/>
      <w:numFmt w:val="decimal"/>
      <w:lvlText w:val="（%1）"/>
      <w:lvlJc w:val="left"/>
      <w:pPr>
        <w:ind w:left="118"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994" w:hanging="527"/>
      </w:pPr>
      <w:rPr>
        <w:rFonts w:hint="default"/>
        <w:lang w:val="zh-CN" w:eastAsia="zh-CN" w:bidi="zh-CN"/>
      </w:rPr>
    </w:lvl>
    <w:lvl w:ilvl="2">
      <w:start w:val="0"/>
      <w:numFmt w:val="bullet"/>
      <w:lvlText w:val="•"/>
      <w:lvlJc w:val="left"/>
      <w:pPr>
        <w:ind w:left="1869" w:hanging="527"/>
      </w:pPr>
      <w:rPr>
        <w:rFonts w:hint="default"/>
        <w:lang w:val="zh-CN" w:eastAsia="zh-CN" w:bidi="zh-CN"/>
      </w:rPr>
    </w:lvl>
    <w:lvl w:ilvl="3">
      <w:start w:val="0"/>
      <w:numFmt w:val="bullet"/>
      <w:lvlText w:val="•"/>
      <w:lvlJc w:val="left"/>
      <w:pPr>
        <w:ind w:left="2743" w:hanging="527"/>
      </w:pPr>
      <w:rPr>
        <w:rFonts w:hint="default"/>
        <w:lang w:val="zh-CN" w:eastAsia="zh-CN" w:bidi="zh-CN"/>
      </w:rPr>
    </w:lvl>
    <w:lvl w:ilvl="4">
      <w:start w:val="0"/>
      <w:numFmt w:val="bullet"/>
      <w:lvlText w:val="•"/>
      <w:lvlJc w:val="left"/>
      <w:pPr>
        <w:ind w:left="3618" w:hanging="527"/>
      </w:pPr>
      <w:rPr>
        <w:rFonts w:hint="default"/>
        <w:lang w:val="zh-CN" w:eastAsia="zh-CN" w:bidi="zh-CN"/>
      </w:rPr>
    </w:lvl>
    <w:lvl w:ilvl="5">
      <w:start w:val="0"/>
      <w:numFmt w:val="bullet"/>
      <w:lvlText w:val="•"/>
      <w:lvlJc w:val="left"/>
      <w:pPr>
        <w:ind w:left="4493" w:hanging="527"/>
      </w:pPr>
      <w:rPr>
        <w:rFonts w:hint="default"/>
        <w:lang w:val="zh-CN" w:eastAsia="zh-CN" w:bidi="zh-CN"/>
      </w:rPr>
    </w:lvl>
    <w:lvl w:ilvl="6">
      <w:start w:val="0"/>
      <w:numFmt w:val="bullet"/>
      <w:lvlText w:val="•"/>
      <w:lvlJc w:val="left"/>
      <w:pPr>
        <w:ind w:left="5367" w:hanging="527"/>
      </w:pPr>
      <w:rPr>
        <w:rFonts w:hint="default"/>
        <w:lang w:val="zh-CN" w:eastAsia="zh-CN" w:bidi="zh-CN"/>
      </w:rPr>
    </w:lvl>
    <w:lvl w:ilvl="7">
      <w:start w:val="0"/>
      <w:numFmt w:val="bullet"/>
      <w:lvlText w:val="•"/>
      <w:lvlJc w:val="left"/>
      <w:pPr>
        <w:ind w:left="6242" w:hanging="527"/>
      </w:pPr>
      <w:rPr>
        <w:rFonts w:hint="default"/>
        <w:lang w:val="zh-CN" w:eastAsia="zh-CN" w:bidi="zh-CN"/>
      </w:rPr>
    </w:lvl>
    <w:lvl w:ilvl="8">
      <w:start w:val="0"/>
      <w:numFmt w:val="bullet"/>
      <w:lvlText w:val="•"/>
      <w:lvlJc w:val="left"/>
      <w:pPr>
        <w:ind w:left="7117" w:hanging="527"/>
      </w:pPr>
      <w:rPr>
        <w:rFonts w:hint="default"/>
        <w:lang w:val="zh-CN" w:eastAsia="zh-CN" w:bidi="zh-CN"/>
      </w:rPr>
    </w:lvl>
  </w:abstractNum>
  <w:abstractNum w:abstractNumId="34">
    <w:multiLevelType w:val="hybridMultilevel"/>
    <w:lvl w:ilvl="0">
      <w:start w:val="1"/>
      <w:numFmt w:val="decimal"/>
      <w:lvlText w:val="(%1)"/>
      <w:lvlJc w:val="left"/>
      <w:pPr>
        <w:ind w:left="118" w:hanging="360"/>
        <w:jc w:val="left"/>
      </w:pPr>
      <w:rPr>
        <w:rFonts w:hint="default" w:ascii="宋体" w:hAnsi="宋体" w:eastAsia="宋体" w:cs="宋体"/>
        <w:w w:val="100"/>
        <w:sz w:val="21"/>
        <w:szCs w:val="21"/>
        <w:lang w:val="zh-CN" w:eastAsia="zh-CN" w:bidi="zh-CN"/>
      </w:rPr>
    </w:lvl>
    <w:lvl w:ilvl="1">
      <w:start w:val="0"/>
      <w:numFmt w:val="bullet"/>
      <w:lvlText w:val="•"/>
      <w:lvlJc w:val="left"/>
      <w:pPr>
        <w:ind w:left="994" w:hanging="360"/>
      </w:pPr>
      <w:rPr>
        <w:rFonts w:hint="default"/>
        <w:lang w:val="zh-CN" w:eastAsia="zh-CN" w:bidi="zh-CN"/>
      </w:rPr>
    </w:lvl>
    <w:lvl w:ilvl="2">
      <w:start w:val="0"/>
      <w:numFmt w:val="bullet"/>
      <w:lvlText w:val="•"/>
      <w:lvlJc w:val="left"/>
      <w:pPr>
        <w:ind w:left="1869" w:hanging="360"/>
      </w:pPr>
      <w:rPr>
        <w:rFonts w:hint="default"/>
        <w:lang w:val="zh-CN" w:eastAsia="zh-CN" w:bidi="zh-CN"/>
      </w:rPr>
    </w:lvl>
    <w:lvl w:ilvl="3">
      <w:start w:val="0"/>
      <w:numFmt w:val="bullet"/>
      <w:lvlText w:val="•"/>
      <w:lvlJc w:val="left"/>
      <w:pPr>
        <w:ind w:left="2743" w:hanging="360"/>
      </w:pPr>
      <w:rPr>
        <w:rFonts w:hint="default"/>
        <w:lang w:val="zh-CN" w:eastAsia="zh-CN" w:bidi="zh-CN"/>
      </w:rPr>
    </w:lvl>
    <w:lvl w:ilvl="4">
      <w:start w:val="0"/>
      <w:numFmt w:val="bullet"/>
      <w:lvlText w:val="•"/>
      <w:lvlJc w:val="left"/>
      <w:pPr>
        <w:ind w:left="3618" w:hanging="360"/>
      </w:pPr>
      <w:rPr>
        <w:rFonts w:hint="default"/>
        <w:lang w:val="zh-CN" w:eastAsia="zh-CN" w:bidi="zh-CN"/>
      </w:rPr>
    </w:lvl>
    <w:lvl w:ilvl="5">
      <w:start w:val="0"/>
      <w:numFmt w:val="bullet"/>
      <w:lvlText w:val="•"/>
      <w:lvlJc w:val="left"/>
      <w:pPr>
        <w:ind w:left="4493" w:hanging="360"/>
      </w:pPr>
      <w:rPr>
        <w:rFonts w:hint="default"/>
        <w:lang w:val="zh-CN" w:eastAsia="zh-CN" w:bidi="zh-CN"/>
      </w:rPr>
    </w:lvl>
    <w:lvl w:ilvl="6">
      <w:start w:val="0"/>
      <w:numFmt w:val="bullet"/>
      <w:lvlText w:val="•"/>
      <w:lvlJc w:val="left"/>
      <w:pPr>
        <w:ind w:left="5367" w:hanging="360"/>
      </w:pPr>
      <w:rPr>
        <w:rFonts w:hint="default"/>
        <w:lang w:val="zh-CN" w:eastAsia="zh-CN" w:bidi="zh-CN"/>
      </w:rPr>
    </w:lvl>
    <w:lvl w:ilvl="7">
      <w:start w:val="0"/>
      <w:numFmt w:val="bullet"/>
      <w:lvlText w:val="•"/>
      <w:lvlJc w:val="left"/>
      <w:pPr>
        <w:ind w:left="6242" w:hanging="360"/>
      </w:pPr>
      <w:rPr>
        <w:rFonts w:hint="default"/>
        <w:lang w:val="zh-CN" w:eastAsia="zh-CN" w:bidi="zh-CN"/>
      </w:rPr>
    </w:lvl>
    <w:lvl w:ilvl="8">
      <w:start w:val="0"/>
      <w:numFmt w:val="bullet"/>
      <w:lvlText w:val="•"/>
      <w:lvlJc w:val="left"/>
      <w:pPr>
        <w:ind w:left="7117" w:hanging="360"/>
      </w:pPr>
      <w:rPr>
        <w:rFonts w:hint="default"/>
        <w:lang w:val="zh-CN" w:eastAsia="zh-CN" w:bidi="zh-CN"/>
      </w:rPr>
    </w:lvl>
  </w:abstractNum>
  <w:abstractNum w:abstractNumId="33">
    <w:multiLevelType w:val="hybridMultilevel"/>
    <w:lvl w:ilvl="0">
      <w:start w:val="1"/>
      <w:numFmt w:val="decimal"/>
      <w:lvlText w:val="（%1）"/>
      <w:lvlJc w:val="left"/>
      <w:pPr>
        <w:ind w:left="1067"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2">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1">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0">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9">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8">
    <w:multiLevelType w:val="hybridMultilevel"/>
    <w:lvl w:ilvl="0">
      <w:start w:val="1"/>
      <w:numFmt w:val="decimal"/>
      <w:lvlText w:val="(%1)"/>
      <w:lvlJc w:val="left"/>
      <w:pPr>
        <w:ind w:left="118" w:hanging="247"/>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994" w:hanging="247"/>
      </w:pPr>
      <w:rPr>
        <w:rFonts w:hint="default"/>
        <w:lang w:val="zh-CN" w:eastAsia="zh-CN" w:bidi="zh-CN"/>
      </w:rPr>
    </w:lvl>
    <w:lvl w:ilvl="2">
      <w:start w:val="0"/>
      <w:numFmt w:val="bullet"/>
      <w:lvlText w:val="•"/>
      <w:lvlJc w:val="left"/>
      <w:pPr>
        <w:ind w:left="1869" w:hanging="247"/>
      </w:pPr>
      <w:rPr>
        <w:rFonts w:hint="default"/>
        <w:lang w:val="zh-CN" w:eastAsia="zh-CN" w:bidi="zh-CN"/>
      </w:rPr>
    </w:lvl>
    <w:lvl w:ilvl="3">
      <w:start w:val="0"/>
      <w:numFmt w:val="bullet"/>
      <w:lvlText w:val="•"/>
      <w:lvlJc w:val="left"/>
      <w:pPr>
        <w:ind w:left="2743" w:hanging="247"/>
      </w:pPr>
      <w:rPr>
        <w:rFonts w:hint="default"/>
        <w:lang w:val="zh-CN" w:eastAsia="zh-CN" w:bidi="zh-CN"/>
      </w:rPr>
    </w:lvl>
    <w:lvl w:ilvl="4">
      <w:start w:val="0"/>
      <w:numFmt w:val="bullet"/>
      <w:lvlText w:val="•"/>
      <w:lvlJc w:val="left"/>
      <w:pPr>
        <w:ind w:left="3618" w:hanging="247"/>
      </w:pPr>
      <w:rPr>
        <w:rFonts w:hint="default"/>
        <w:lang w:val="zh-CN" w:eastAsia="zh-CN" w:bidi="zh-CN"/>
      </w:rPr>
    </w:lvl>
    <w:lvl w:ilvl="5">
      <w:start w:val="0"/>
      <w:numFmt w:val="bullet"/>
      <w:lvlText w:val="•"/>
      <w:lvlJc w:val="left"/>
      <w:pPr>
        <w:ind w:left="4493" w:hanging="247"/>
      </w:pPr>
      <w:rPr>
        <w:rFonts w:hint="default"/>
        <w:lang w:val="zh-CN" w:eastAsia="zh-CN" w:bidi="zh-CN"/>
      </w:rPr>
    </w:lvl>
    <w:lvl w:ilvl="6">
      <w:start w:val="0"/>
      <w:numFmt w:val="bullet"/>
      <w:lvlText w:val="•"/>
      <w:lvlJc w:val="left"/>
      <w:pPr>
        <w:ind w:left="5367" w:hanging="247"/>
      </w:pPr>
      <w:rPr>
        <w:rFonts w:hint="default"/>
        <w:lang w:val="zh-CN" w:eastAsia="zh-CN" w:bidi="zh-CN"/>
      </w:rPr>
    </w:lvl>
    <w:lvl w:ilvl="7">
      <w:start w:val="0"/>
      <w:numFmt w:val="bullet"/>
      <w:lvlText w:val="•"/>
      <w:lvlJc w:val="left"/>
      <w:pPr>
        <w:ind w:left="6242" w:hanging="247"/>
      </w:pPr>
      <w:rPr>
        <w:rFonts w:hint="default"/>
        <w:lang w:val="zh-CN" w:eastAsia="zh-CN" w:bidi="zh-CN"/>
      </w:rPr>
    </w:lvl>
    <w:lvl w:ilvl="8">
      <w:start w:val="0"/>
      <w:numFmt w:val="bullet"/>
      <w:lvlText w:val="•"/>
      <w:lvlJc w:val="left"/>
      <w:pPr>
        <w:ind w:left="7117" w:hanging="247"/>
      </w:pPr>
      <w:rPr>
        <w:rFonts w:hint="default"/>
        <w:lang w:val="zh-CN" w:eastAsia="zh-CN" w:bidi="zh-CN"/>
      </w:rPr>
    </w:lvl>
  </w:abstractNum>
  <w:abstractNum w:abstractNumId="27">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6">
    <w:multiLevelType w:val="hybridMultilevel"/>
    <w:lvl w:ilvl="0">
      <w:start w:val="1"/>
      <w:numFmt w:val="decimal"/>
      <w:lvlText w:val="（%1）"/>
      <w:lvlJc w:val="left"/>
      <w:pPr>
        <w:ind w:left="112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94" w:hanging="529"/>
      </w:pPr>
      <w:rPr>
        <w:rFonts w:hint="default"/>
        <w:lang w:val="zh-CN" w:eastAsia="zh-CN" w:bidi="zh-CN"/>
      </w:rPr>
    </w:lvl>
    <w:lvl w:ilvl="2">
      <w:start w:val="0"/>
      <w:numFmt w:val="bullet"/>
      <w:lvlText w:val="•"/>
      <w:lvlJc w:val="left"/>
      <w:pPr>
        <w:ind w:left="2669" w:hanging="529"/>
      </w:pPr>
      <w:rPr>
        <w:rFonts w:hint="default"/>
        <w:lang w:val="zh-CN" w:eastAsia="zh-CN" w:bidi="zh-CN"/>
      </w:rPr>
    </w:lvl>
    <w:lvl w:ilvl="3">
      <w:start w:val="0"/>
      <w:numFmt w:val="bullet"/>
      <w:lvlText w:val="•"/>
      <w:lvlJc w:val="left"/>
      <w:pPr>
        <w:ind w:left="3443" w:hanging="529"/>
      </w:pPr>
      <w:rPr>
        <w:rFonts w:hint="default"/>
        <w:lang w:val="zh-CN" w:eastAsia="zh-CN" w:bidi="zh-CN"/>
      </w:rPr>
    </w:lvl>
    <w:lvl w:ilvl="4">
      <w:start w:val="0"/>
      <w:numFmt w:val="bullet"/>
      <w:lvlText w:val="•"/>
      <w:lvlJc w:val="left"/>
      <w:pPr>
        <w:ind w:left="4218" w:hanging="529"/>
      </w:pPr>
      <w:rPr>
        <w:rFonts w:hint="default"/>
        <w:lang w:val="zh-CN" w:eastAsia="zh-CN" w:bidi="zh-CN"/>
      </w:rPr>
    </w:lvl>
    <w:lvl w:ilvl="5">
      <w:start w:val="0"/>
      <w:numFmt w:val="bullet"/>
      <w:lvlText w:val="•"/>
      <w:lvlJc w:val="left"/>
      <w:pPr>
        <w:ind w:left="4993" w:hanging="529"/>
      </w:pPr>
      <w:rPr>
        <w:rFonts w:hint="default"/>
        <w:lang w:val="zh-CN" w:eastAsia="zh-CN" w:bidi="zh-CN"/>
      </w:rPr>
    </w:lvl>
    <w:lvl w:ilvl="6">
      <w:start w:val="0"/>
      <w:numFmt w:val="bullet"/>
      <w:lvlText w:val="•"/>
      <w:lvlJc w:val="left"/>
      <w:pPr>
        <w:ind w:left="5767" w:hanging="529"/>
      </w:pPr>
      <w:rPr>
        <w:rFonts w:hint="default"/>
        <w:lang w:val="zh-CN" w:eastAsia="zh-CN" w:bidi="zh-CN"/>
      </w:rPr>
    </w:lvl>
    <w:lvl w:ilvl="7">
      <w:start w:val="0"/>
      <w:numFmt w:val="bullet"/>
      <w:lvlText w:val="•"/>
      <w:lvlJc w:val="left"/>
      <w:pPr>
        <w:ind w:left="6542" w:hanging="529"/>
      </w:pPr>
      <w:rPr>
        <w:rFonts w:hint="default"/>
        <w:lang w:val="zh-CN" w:eastAsia="zh-CN" w:bidi="zh-CN"/>
      </w:rPr>
    </w:lvl>
    <w:lvl w:ilvl="8">
      <w:start w:val="0"/>
      <w:numFmt w:val="bullet"/>
      <w:lvlText w:val="•"/>
      <w:lvlJc w:val="left"/>
      <w:pPr>
        <w:ind w:left="7317" w:hanging="529"/>
      </w:pPr>
      <w:rPr>
        <w:rFonts w:hint="default"/>
        <w:lang w:val="zh-CN" w:eastAsia="zh-CN" w:bidi="zh-CN"/>
      </w:rPr>
    </w:lvl>
  </w:abstractNum>
  <w:abstractNum w:abstractNumId="25">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4">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3">
    <w:multiLevelType w:val="hybridMultilevel"/>
    <w:lvl w:ilvl="0">
      <w:start w:val="1"/>
      <w:numFmt w:val="decimal"/>
      <w:lvlText w:val="（%1）"/>
      <w:lvlJc w:val="left"/>
      <w:pPr>
        <w:ind w:left="1222" w:hanging="684"/>
        <w:jc w:val="left"/>
      </w:pPr>
      <w:rPr>
        <w:rFonts w:hint="default" w:ascii="宋体" w:hAnsi="宋体" w:eastAsia="宋体" w:cs="宋体"/>
        <w:w w:val="100"/>
        <w:sz w:val="21"/>
        <w:szCs w:val="21"/>
        <w:lang w:val="zh-CN" w:eastAsia="zh-CN" w:bidi="zh-CN"/>
      </w:rPr>
    </w:lvl>
    <w:lvl w:ilvl="1">
      <w:start w:val="0"/>
      <w:numFmt w:val="bullet"/>
      <w:lvlText w:val="•"/>
      <w:lvlJc w:val="left"/>
      <w:pPr>
        <w:ind w:left="1984" w:hanging="684"/>
      </w:pPr>
      <w:rPr>
        <w:rFonts w:hint="default"/>
        <w:lang w:val="zh-CN" w:eastAsia="zh-CN" w:bidi="zh-CN"/>
      </w:rPr>
    </w:lvl>
    <w:lvl w:ilvl="2">
      <w:start w:val="0"/>
      <w:numFmt w:val="bullet"/>
      <w:lvlText w:val="•"/>
      <w:lvlJc w:val="left"/>
      <w:pPr>
        <w:ind w:left="2749" w:hanging="684"/>
      </w:pPr>
      <w:rPr>
        <w:rFonts w:hint="default"/>
        <w:lang w:val="zh-CN" w:eastAsia="zh-CN" w:bidi="zh-CN"/>
      </w:rPr>
    </w:lvl>
    <w:lvl w:ilvl="3">
      <w:start w:val="0"/>
      <w:numFmt w:val="bullet"/>
      <w:lvlText w:val="•"/>
      <w:lvlJc w:val="left"/>
      <w:pPr>
        <w:ind w:left="3513" w:hanging="684"/>
      </w:pPr>
      <w:rPr>
        <w:rFonts w:hint="default"/>
        <w:lang w:val="zh-CN" w:eastAsia="zh-CN" w:bidi="zh-CN"/>
      </w:rPr>
    </w:lvl>
    <w:lvl w:ilvl="4">
      <w:start w:val="0"/>
      <w:numFmt w:val="bullet"/>
      <w:lvlText w:val="•"/>
      <w:lvlJc w:val="left"/>
      <w:pPr>
        <w:ind w:left="4278" w:hanging="684"/>
      </w:pPr>
      <w:rPr>
        <w:rFonts w:hint="default"/>
        <w:lang w:val="zh-CN" w:eastAsia="zh-CN" w:bidi="zh-CN"/>
      </w:rPr>
    </w:lvl>
    <w:lvl w:ilvl="5">
      <w:start w:val="0"/>
      <w:numFmt w:val="bullet"/>
      <w:lvlText w:val="•"/>
      <w:lvlJc w:val="left"/>
      <w:pPr>
        <w:ind w:left="5043" w:hanging="684"/>
      </w:pPr>
      <w:rPr>
        <w:rFonts w:hint="default"/>
        <w:lang w:val="zh-CN" w:eastAsia="zh-CN" w:bidi="zh-CN"/>
      </w:rPr>
    </w:lvl>
    <w:lvl w:ilvl="6">
      <w:start w:val="0"/>
      <w:numFmt w:val="bullet"/>
      <w:lvlText w:val="•"/>
      <w:lvlJc w:val="left"/>
      <w:pPr>
        <w:ind w:left="5807" w:hanging="684"/>
      </w:pPr>
      <w:rPr>
        <w:rFonts w:hint="default"/>
        <w:lang w:val="zh-CN" w:eastAsia="zh-CN" w:bidi="zh-CN"/>
      </w:rPr>
    </w:lvl>
    <w:lvl w:ilvl="7">
      <w:start w:val="0"/>
      <w:numFmt w:val="bullet"/>
      <w:lvlText w:val="•"/>
      <w:lvlJc w:val="left"/>
      <w:pPr>
        <w:ind w:left="6572" w:hanging="684"/>
      </w:pPr>
      <w:rPr>
        <w:rFonts w:hint="default"/>
        <w:lang w:val="zh-CN" w:eastAsia="zh-CN" w:bidi="zh-CN"/>
      </w:rPr>
    </w:lvl>
    <w:lvl w:ilvl="8">
      <w:start w:val="0"/>
      <w:numFmt w:val="bullet"/>
      <w:lvlText w:val="•"/>
      <w:lvlJc w:val="left"/>
      <w:pPr>
        <w:ind w:left="7337" w:hanging="684"/>
      </w:pPr>
      <w:rPr>
        <w:rFonts w:hint="default"/>
        <w:lang w:val="zh-CN" w:eastAsia="zh-CN" w:bidi="zh-CN"/>
      </w:rPr>
    </w:lvl>
  </w:abstractNum>
  <w:abstractNum w:abstractNumId="22">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1">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0">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9">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18">
    <w:multiLevelType w:val="hybridMultilevel"/>
    <w:lvl w:ilvl="0">
      <w:start w:val="23"/>
      <w:numFmt w:val="decimal"/>
      <w:lvlText w:val="（%1）"/>
      <w:lvlJc w:val="left"/>
      <w:pPr>
        <w:ind w:left="1172" w:hanging="635"/>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48" w:hanging="635"/>
      </w:pPr>
      <w:rPr>
        <w:rFonts w:hint="default"/>
        <w:lang w:val="zh-CN" w:eastAsia="zh-CN" w:bidi="zh-CN"/>
      </w:rPr>
    </w:lvl>
    <w:lvl w:ilvl="2">
      <w:start w:val="0"/>
      <w:numFmt w:val="bullet"/>
      <w:lvlText w:val="•"/>
      <w:lvlJc w:val="left"/>
      <w:pPr>
        <w:ind w:left="2717" w:hanging="635"/>
      </w:pPr>
      <w:rPr>
        <w:rFonts w:hint="default"/>
        <w:lang w:val="zh-CN" w:eastAsia="zh-CN" w:bidi="zh-CN"/>
      </w:rPr>
    </w:lvl>
    <w:lvl w:ilvl="3">
      <w:start w:val="0"/>
      <w:numFmt w:val="bullet"/>
      <w:lvlText w:val="•"/>
      <w:lvlJc w:val="left"/>
      <w:pPr>
        <w:ind w:left="3485" w:hanging="635"/>
      </w:pPr>
      <w:rPr>
        <w:rFonts w:hint="default"/>
        <w:lang w:val="zh-CN" w:eastAsia="zh-CN" w:bidi="zh-CN"/>
      </w:rPr>
    </w:lvl>
    <w:lvl w:ilvl="4">
      <w:start w:val="0"/>
      <w:numFmt w:val="bullet"/>
      <w:lvlText w:val="•"/>
      <w:lvlJc w:val="left"/>
      <w:pPr>
        <w:ind w:left="4254" w:hanging="635"/>
      </w:pPr>
      <w:rPr>
        <w:rFonts w:hint="default"/>
        <w:lang w:val="zh-CN" w:eastAsia="zh-CN" w:bidi="zh-CN"/>
      </w:rPr>
    </w:lvl>
    <w:lvl w:ilvl="5">
      <w:start w:val="0"/>
      <w:numFmt w:val="bullet"/>
      <w:lvlText w:val="•"/>
      <w:lvlJc w:val="left"/>
      <w:pPr>
        <w:ind w:left="5023" w:hanging="635"/>
      </w:pPr>
      <w:rPr>
        <w:rFonts w:hint="default"/>
        <w:lang w:val="zh-CN" w:eastAsia="zh-CN" w:bidi="zh-CN"/>
      </w:rPr>
    </w:lvl>
    <w:lvl w:ilvl="6">
      <w:start w:val="0"/>
      <w:numFmt w:val="bullet"/>
      <w:lvlText w:val="•"/>
      <w:lvlJc w:val="left"/>
      <w:pPr>
        <w:ind w:left="5791" w:hanging="635"/>
      </w:pPr>
      <w:rPr>
        <w:rFonts w:hint="default"/>
        <w:lang w:val="zh-CN" w:eastAsia="zh-CN" w:bidi="zh-CN"/>
      </w:rPr>
    </w:lvl>
    <w:lvl w:ilvl="7">
      <w:start w:val="0"/>
      <w:numFmt w:val="bullet"/>
      <w:lvlText w:val="•"/>
      <w:lvlJc w:val="left"/>
      <w:pPr>
        <w:ind w:left="6560" w:hanging="635"/>
      </w:pPr>
      <w:rPr>
        <w:rFonts w:hint="default"/>
        <w:lang w:val="zh-CN" w:eastAsia="zh-CN" w:bidi="zh-CN"/>
      </w:rPr>
    </w:lvl>
    <w:lvl w:ilvl="8">
      <w:start w:val="0"/>
      <w:numFmt w:val="bullet"/>
      <w:lvlText w:val="•"/>
      <w:lvlJc w:val="left"/>
      <w:pPr>
        <w:ind w:left="7329" w:hanging="635"/>
      </w:pPr>
      <w:rPr>
        <w:rFonts w:hint="default"/>
        <w:lang w:val="zh-CN" w:eastAsia="zh-CN" w:bidi="zh-CN"/>
      </w:rPr>
    </w:lvl>
  </w:abstractNum>
  <w:abstractNum w:abstractNumId="17">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6">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5">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14">
    <w:multiLevelType w:val="hybridMultilevel"/>
    <w:lvl w:ilvl="0">
      <w:start w:val="1"/>
      <w:numFmt w:val="decimal"/>
      <w:lvlText w:val="（%1）"/>
      <w:lvlJc w:val="left"/>
      <w:pPr>
        <w:ind w:left="118"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13">
    <w:multiLevelType w:val="hybridMultilevel"/>
    <w:lvl w:ilvl="0">
      <w:start w:val="1"/>
      <w:numFmt w:val="decimal"/>
      <w:lvlText w:val="（%1）"/>
      <w:lvlJc w:val="left"/>
      <w:pPr>
        <w:ind w:left="118"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12">
    <w:multiLevelType w:val="hybridMultilevel"/>
    <w:lvl w:ilvl="0">
      <w:start w:val="1"/>
      <w:numFmt w:val="decimal"/>
      <w:lvlText w:val="%1."/>
      <w:lvlJc w:val="left"/>
      <w:pPr>
        <w:ind w:left="855"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11">
    <w:multiLevelType w:val="hybridMultilevel"/>
    <w:lvl w:ilvl="0">
      <w:start w:val="1"/>
      <w:numFmt w:val="decimal"/>
      <w:lvlText w:val="%1."/>
      <w:lvlJc w:val="left"/>
      <w:pPr>
        <w:ind w:left="101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10">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9">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8">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7">
    <w:multiLevelType w:val="hybridMultilevel"/>
    <w:lvl w:ilvl="0">
      <w:start w:val="1"/>
      <w:numFmt w:val="decimal"/>
      <w:lvlText w:val="（%1）"/>
      <w:lvlJc w:val="left"/>
      <w:pPr>
        <w:ind w:left="106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840" w:hanging="529"/>
      </w:pPr>
      <w:rPr>
        <w:rFonts w:hint="default"/>
        <w:lang w:val="zh-CN" w:eastAsia="zh-CN" w:bidi="zh-CN"/>
      </w:rPr>
    </w:lvl>
    <w:lvl w:ilvl="2">
      <w:start w:val="0"/>
      <w:numFmt w:val="bullet"/>
      <w:lvlText w:val="•"/>
      <w:lvlJc w:val="left"/>
      <w:pPr>
        <w:ind w:left="262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182" w:hanging="529"/>
      </w:pPr>
      <w:rPr>
        <w:rFonts w:hint="default"/>
        <w:lang w:val="zh-CN" w:eastAsia="zh-CN" w:bidi="zh-CN"/>
      </w:rPr>
    </w:lvl>
    <w:lvl w:ilvl="5">
      <w:start w:val="0"/>
      <w:numFmt w:val="bullet"/>
      <w:lvlText w:val="•"/>
      <w:lvlJc w:val="left"/>
      <w:pPr>
        <w:ind w:left="4963" w:hanging="529"/>
      </w:pPr>
      <w:rPr>
        <w:rFonts w:hint="default"/>
        <w:lang w:val="zh-CN" w:eastAsia="zh-CN" w:bidi="zh-CN"/>
      </w:rPr>
    </w:lvl>
    <w:lvl w:ilvl="6">
      <w:start w:val="0"/>
      <w:numFmt w:val="bullet"/>
      <w:lvlText w:val="•"/>
      <w:lvlJc w:val="left"/>
      <w:pPr>
        <w:ind w:left="5743" w:hanging="529"/>
      </w:pPr>
      <w:rPr>
        <w:rFonts w:hint="default"/>
        <w:lang w:val="zh-CN" w:eastAsia="zh-CN" w:bidi="zh-CN"/>
      </w:rPr>
    </w:lvl>
    <w:lvl w:ilvl="7">
      <w:start w:val="0"/>
      <w:numFmt w:val="bullet"/>
      <w:lvlText w:val="•"/>
      <w:lvlJc w:val="left"/>
      <w:pPr>
        <w:ind w:left="65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6">
    <w:multiLevelType w:val="hybridMultilevel"/>
    <w:lvl w:ilvl="0">
      <w:start w:val="1"/>
      <w:numFmt w:val="decimal"/>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60" w:hanging="318"/>
      </w:pPr>
      <w:rPr>
        <w:rFonts w:hint="default"/>
        <w:lang w:val="zh-CN" w:eastAsia="zh-CN" w:bidi="zh-CN"/>
      </w:rPr>
    </w:lvl>
    <w:lvl w:ilvl="2">
      <w:start w:val="0"/>
      <w:numFmt w:val="bullet"/>
      <w:lvlText w:val="•"/>
      <w:lvlJc w:val="left"/>
      <w:pPr>
        <w:ind w:left="2461" w:hanging="318"/>
      </w:pPr>
      <w:rPr>
        <w:rFonts w:hint="default"/>
        <w:lang w:val="zh-CN" w:eastAsia="zh-CN" w:bidi="zh-CN"/>
      </w:rPr>
    </w:lvl>
    <w:lvl w:ilvl="3">
      <w:start w:val="0"/>
      <w:numFmt w:val="bullet"/>
      <w:lvlText w:val="•"/>
      <w:lvlJc w:val="left"/>
      <w:pPr>
        <w:ind w:left="3261" w:hanging="318"/>
      </w:pPr>
      <w:rPr>
        <w:rFonts w:hint="default"/>
        <w:lang w:val="zh-CN" w:eastAsia="zh-CN" w:bidi="zh-CN"/>
      </w:rPr>
    </w:lvl>
    <w:lvl w:ilvl="4">
      <w:start w:val="0"/>
      <w:numFmt w:val="bullet"/>
      <w:lvlText w:val="•"/>
      <w:lvlJc w:val="left"/>
      <w:pPr>
        <w:ind w:left="4062" w:hanging="318"/>
      </w:pPr>
      <w:rPr>
        <w:rFonts w:hint="default"/>
        <w:lang w:val="zh-CN" w:eastAsia="zh-CN" w:bidi="zh-CN"/>
      </w:rPr>
    </w:lvl>
    <w:lvl w:ilvl="5">
      <w:start w:val="0"/>
      <w:numFmt w:val="bullet"/>
      <w:lvlText w:val="•"/>
      <w:lvlJc w:val="left"/>
      <w:pPr>
        <w:ind w:left="4863" w:hanging="318"/>
      </w:pPr>
      <w:rPr>
        <w:rFonts w:hint="default"/>
        <w:lang w:val="zh-CN" w:eastAsia="zh-CN" w:bidi="zh-CN"/>
      </w:rPr>
    </w:lvl>
    <w:lvl w:ilvl="6">
      <w:start w:val="0"/>
      <w:numFmt w:val="bullet"/>
      <w:lvlText w:val="•"/>
      <w:lvlJc w:val="left"/>
      <w:pPr>
        <w:ind w:left="5663" w:hanging="318"/>
      </w:pPr>
      <w:rPr>
        <w:rFonts w:hint="default"/>
        <w:lang w:val="zh-CN" w:eastAsia="zh-CN" w:bidi="zh-CN"/>
      </w:rPr>
    </w:lvl>
    <w:lvl w:ilvl="7">
      <w:start w:val="0"/>
      <w:numFmt w:val="bullet"/>
      <w:lvlText w:val="•"/>
      <w:lvlJc w:val="left"/>
      <w:pPr>
        <w:ind w:left="6464" w:hanging="318"/>
      </w:pPr>
      <w:rPr>
        <w:rFonts w:hint="default"/>
        <w:lang w:val="zh-CN" w:eastAsia="zh-CN" w:bidi="zh-CN"/>
      </w:rPr>
    </w:lvl>
    <w:lvl w:ilvl="8">
      <w:start w:val="0"/>
      <w:numFmt w:val="bullet"/>
      <w:lvlText w:val="•"/>
      <w:lvlJc w:val="left"/>
      <w:pPr>
        <w:ind w:left="7265" w:hanging="318"/>
      </w:pPr>
      <w:rPr>
        <w:rFonts w:hint="default"/>
        <w:lang w:val="zh-CN" w:eastAsia="zh-CN" w:bidi="zh-CN"/>
      </w:rPr>
    </w:lvl>
  </w:abstractNum>
  <w:abstractNum w:abstractNumId="5">
    <w:multiLevelType w:val="hybridMultilevel"/>
    <w:lvl w:ilvl="0">
      <w:start w:val="1"/>
      <w:numFmt w:val="decimal"/>
      <w:lvlText w:val="（%1）"/>
      <w:lvlJc w:val="left"/>
      <w:pPr>
        <w:ind w:left="11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4">
    <w:multiLevelType w:val="hybridMultilevel"/>
    <w:lvl w:ilvl="0">
      <w:start w:val="1"/>
      <w:numFmt w:val="decimal"/>
      <w:lvlText w:val="%1."/>
      <w:lvlJc w:val="left"/>
      <w:pPr>
        <w:ind w:left="118" w:hanging="200"/>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18" w:hanging="318"/>
        <w:jc w:val="left"/>
      </w:pPr>
      <w:rPr>
        <w:rFonts w:hint="default" w:ascii="宋体" w:hAnsi="宋体" w:eastAsia="宋体" w:cs="宋体"/>
        <w:w w:val="100"/>
        <w:sz w:val="19"/>
        <w:szCs w:val="19"/>
        <w:lang w:val="zh-CN" w:eastAsia="zh-CN" w:bidi="zh-CN"/>
      </w:rPr>
    </w:lvl>
    <w:lvl w:ilvl="2">
      <w:start w:val="0"/>
      <w:numFmt w:val="bullet"/>
      <w:lvlText w:val="•"/>
      <w:lvlJc w:val="left"/>
      <w:pPr>
        <w:ind w:left="1927" w:hanging="318"/>
      </w:pPr>
      <w:rPr>
        <w:rFonts w:hint="default"/>
        <w:lang w:val="zh-CN" w:eastAsia="zh-CN" w:bidi="zh-CN"/>
      </w:rPr>
    </w:lvl>
    <w:lvl w:ilvl="3">
      <w:start w:val="0"/>
      <w:numFmt w:val="bullet"/>
      <w:lvlText w:val="•"/>
      <w:lvlJc w:val="left"/>
      <w:pPr>
        <w:ind w:left="2794" w:hanging="318"/>
      </w:pPr>
      <w:rPr>
        <w:rFonts w:hint="default"/>
        <w:lang w:val="zh-CN" w:eastAsia="zh-CN" w:bidi="zh-CN"/>
      </w:rPr>
    </w:lvl>
    <w:lvl w:ilvl="4">
      <w:start w:val="0"/>
      <w:numFmt w:val="bullet"/>
      <w:lvlText w:val="•"/>
      <w:lvlJc w:val="left"/>
      <w:pPr>
        <w:ind w:left="3662" w:hanging="318"/>
      </w:pPr>
      <w:rPr>
        <w:rFonts w:hint="default"/>
        <w:lang w:val="zh-CN" w:eastAsia="zh-CN" w:bidi="zh-CN"/>
      </w:rPr>
    </w:lvl>
    <w:lvl w:ilvl="5">
      <w:start w:val="0"/>
      <w:numFmt w:val="bullet"/>
      <w:lvlText w:val="•"/>
      <w:lvlJc w:val="left"/>
      <w:pPr>
        <w:ind w:left="4529" w:hanging="318"/>
      </w:pPr>
      <w:rPr>
        <w:rFonts w:hint="default"/>
        <w:lang w:val="zh-CN" w:eastAsia="zh-CN" w:bidi="zh-CN"/>
      </w:rPr>
    </w:lvl>
    <w:lvl w:ilvl="6">
      <w:start w:val="0"/>
      <w:numFmt w:val="bullet"/>
      <w:lvlText w:val="•"/>
      <w:lvlJc w:val="left"/>
      <w:pPr>
        <w:ind w:left="5396" w:hanging="318"/>
      </w:pPr>
      <w:rPr>
        <w:rFonts w:hint="default"/>
        <w:lang w:val="zh-CN" w:eastAsia="zh-CN" w:bidi="zh-CN"/>
      </w:rPr>
    </w:lvl>
    <w:lvl w:ilvl="7">
      <w:start w:val="0"/>
      <w:numFmt w:val="bullet"/>
      <w:lvlText w:val="•"/>
      <w:lvlJc w:val="left"/>
      <w:pPr>
        <w:ind w:left="6264" w:hanging="318"/>
      </w:pPr>
      <w:rPr>
        <w:rFonts w:hint="default"/>
        <w:lang w:val="zh-CN" w:eastAsia="zh-CN" w:bidi="zh-CN"/>
      </w:rPr>
    </w:lvl>
    <w:lvl w:ilvl="8">
      <w:start w:val="0"/>
      <w:numFmt w:val="bullet"/>
      <w:lvlText w:val="•"/>
      <w:lvlJc w:val="left"/>
      <w:pPr>
        <w:ind w:left="7131" w:hanging="318"/>
      </w:pPr>
      <w:rPr>
        <w:rFonts w:hint="default"/>
        <w:lang w:val="zh-CN" w:eastAsia="zh-CN" w:bidi="zh-CN"/>
      </w:rPr>
    </w:lvl>
  </w:abstractNum>
  <w:abstractNum w:abstractNumId="3">
    <w:multiLevelType w:val="hybridMultilevel"/>
    <w:lvl w:ilvl="0">
      <w:start w:val="1"/>
      <w:numFmt w:val="decimal"/>
      <w:lvlText w:val="（%1）"/>
      <w:lvlJc w:val="left"/>
      <w:pPr>
        <w:ind w:left="118"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994" w:hanging="529"/>
      </w:pPr>
      <w:rPr>
        <w:rFonts w:hint="default"/>
        <w:lang w:val="zh-CN" w:eastAsia="zh-CN" w:bidi="zh-CN"/>
      </w:rPr>
    </w:lvl>
    <w:lvl w:ilvl="2">
      <w:start w:val="0"/>
      <w:numFmt w:val="bullet"/>
      <w:lvlText w:val="•"/>
      <w:lvlJc w:val="left"/>
      <w:pPr>
        <w:ind w:left="1869" w:hanging="529"/>
      </w:pPr>
      <w:rPr>
        <w:rFonts w:hint="default"/>
        <w:lang w:val="zh-CN" w:eastAsia="zh-CN" w:bidi="zh-CN"/>
      </w:rPr>
    </w:lvl>
    <w:lvl w:ilvl="3">
      <w:start w:val="0"/>
      <w:numFmt w:val="bullet"/>
      <w:lvlText w:val="•"/>
      <w:lvlJc w:val="left"/>
      <w:pPr>
        <w:ind w:left="2743" w:hanging="529"/>
      </w:pPr>
      <w:rPr>
        <w:rFonts w:hint="default"/>
        <w:lang w:val="zh-CN" w:eastAsia="zh-CN" w:bidi="zh-CN"/>
      </w:rPr>
    </w:lvl>
    <w:lvl w:ilvl="4">
      <w:start w:val="0"/>
      <w:numFmt w:val="bullet"/>
      <w:lvlText w:val="•"/>
      <w:lvlJc w:val="left"/>
      <w:pPr>
        <w:ind w:left="3618" w:hanging="529"/>
      </w:pPr>
      <w:rPr>
        <w:rFonts w:hint="default"/>
        <w:lang w:val="zh-CN" w:eastAsia="zh-CN" w:bidi="zh-CN"/>
      </w:rPr>
    </w:lvl>
    <w:lvl w:ilvl="5">
      <w:start w:val="0"/>
      <w:numFmt w:val="bullet"/>
      <w:lvlText w:val="•"/>
      <w:lvlJc w:val="left"/>
      <w:pPr>
        <w:ind w:left="4493" w:hanging="529"/>
      </w:pPr>
      <w:rPr>
        <w:rFonts w:hint="default"/>
        <w:lang w:val="zh-CN" w:eastAsia="zh-CN" w:bidi="zh-CN"/>
      </w:rPr>
    </w:lvl>
    <w:lvl w:ilvl="6">
      <w:start w:val="0"/>
      <w:numFmt w:val="bullet"/>
      <w:lvlText w:val="•"/>
      <w:lvlJc w:val="left"/>
      <w:pPr>
        <w:ind w:left="5367" w:hanging="529"/>
      </w:pPr>
      <w:rPr>
        <w:rFonts w:hint="default"/>
        <w:lang w:val="zh-CN" w:eastAsia="zh-CN" w:bidi="zh-CN"/>
      </w:rPr>
    </w:lvl>
    <w:lvl w:ilvl="7">
      <w:start w:val="0"/>
      <w:numFmt w:val="bullet"/>
      <w:lvlText w:val="•"/>
      <w:lvlJc w:val="left"/>
      <w:pPr>
        <w:ind w:left="6242" w:hanging="529"/>
      </w:pPr>
      <w:rPr>
        <w:rFonts w:hint="default"/>
        <w:lang w:val="zh-CN" w:eastAsia="zh-CN" w:bidi="zh-CN"/>
      </w:rPr>
    </w:lvl>
    <w:lvl w:ilvl="8">
      <w:start w:val="0"/>
      <w:numFmt w:val="bullet"/>
      <w:lvlText w:val="•"/>
      <w:lvlJc w:val="left"/>
      <w:pPr>
        <w:ind w:left="7117" w:hanging="529"/>
      </w:pPr>
      <w:rPr>
        <w:rFonts w:hint="default"/>
        <w:lang w:val="zh-CN" w:eastAsia="zh-CN" w:bidi="zh-CN"/>
      </w:rPr>
    </w:lvl>
  </w:abstractNum>
  <w:abstractNum w:abstractNumId="2">
    <w:multiLevelType w:val="hybridMultilevel"/>
    <w:lvl w:ilvl="0">
      <w:start w:val="1"/>
      <w:numFmt w:val="decimal"/>
      <w:lvlText w:val="%1."/>
      <w:lvlJc w:val="left"/>
      <w:pPr>
        <w:ind w:left="647" w:hanging="318"/>
        <w:jc w:val="right"/>
      </w:pPr>
      <w:rPr>
        <w:rFonts w:hint="default" w:ascii="宋体" w:hAnsi="宋体" w:eastAsia="宋体" w:cs="宋体"/>
        <w:w w:val="100"/>
        <w:sz w:val="19"/>
        <w:szCs w:val="19"/>
        <w:lang w:val="zh-CN" w:eastAsia="zh-CN" w:bidi="zh-CN"/>
      </w:rPr>
    </w:lvl>
    <w:lvl w:ilvl="1">
      <w:start w:val="1"/>
      <w:numFmt w:val="decimal"/>
      <w:lvlText w:val="%2."/>
      <w:lvlJc w:val="left"/>
      <w:pPr>
        <w:ind w:left="802" w:hanging="264"/>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1696" w:hanging="264"/>
      </w:pPr>
      <w:rPr>
        <w:rFonts w:hint="default"/>
        <w:lang w:val="zh-CN" w:eastAsia="zh-CN" w:bidi="zh-CN"/>
      </w:rPr>
    </w:lvl>
    <w:lvl w:ilvl="3">
      <w:start w:val="0"/>
      <w:numFmt w:val="bullet"/>
      <w:lvlText w:val="•"/>
      <w:lvlJc w:val="left"/>
      <w:pPr>
        <w:ind w:left="2592" w:hanging="264"/>
      </w:pPr>
      <w:rPr>
        <w:rFonts w:hint="default"/>
        <w:lang w:val="zh-CN" w:eastAsia="zh-CN" w:bidi="zh-CN"/>
      </w:rPr>
    </w:lvl>
    <w:lvl w:ilvl="4">
      <w:start w:val="0"/>
      <w:numFmt w:val="bullet"/>
      <w:lvlText w:val="•"/>
      <w:lvlJc w:val="left"/>
      <w:pPr>
        <w:ind w:left="3488" w:hanging="264"/>
      </w:pPr>
      <w:rPr>
        <w:rFonts w:hint="default"/>
        <w:lang w:val="zh-CN" w:eastAsia="zh-CN" w:bidi="zh-CN"/>
      </w:rPr>
    </w:lvl>
    <w:lvl w:ilvl="5">
      <w:start w:val="0"/>
      <w:numFmt w:val="bullet"/>
      <w:lvlText w:val="•"/>
      <w:lvlJc w:val="left"/>
      <w:pPr>
        <w:ind w:left="4385" w:hanging="264"/>
      </w:pPr>
      <w:rPr>
        <w:rFonts w:hint="default"/>
        <w:lang w:val="zh-CN" w:eastAsia="zh-CN" w:bidi="zh-CN"/>
      </w:rPr>
    </w:lvl>
    <w:lvl w:ilvl="6">
      <w:start w:val="0"/>
      <w:numFmt w:val="bullet"/>
      <w:lvlText w:val="•"/>
      <w:lvlJc w:val="left"/>
      <w:pPr>
        <w:ind w:left="5281" w:hanging="264"/>
      </w:pPr>
      <w:rPr>
        <w:rFonts w:hint="default"/>
        <w:lang w:val="zh-CN" w:eastAsia="zh-CN" w:bidi="zh-CN"/>
      </w:rPr>
    </w:lvl>
    <w:lvl w:ilvl="7">
      <w:start w:val="0"/>
      <w:numFmt w:val="bullet"/>
      <w:lvlText w:val="•"/>
      <w:lvlJc w:val="left"/>
      <w:pPr>
        <w:ind w:left="6177" w:hanging="264"/>
      </w:pPr>
      <w:rPr>
        <w:rFonts w:hint="default"/>
        <w:lang w:val="zh-CN" w:eastAsia="zh-CN" w:bidi="zh-CN"/>
      </w:rPr>
    </w:lvl>
    <w:lvl w:ilvl="8">
      <w:start w:val="0"/>
      <w:numFmt w:val="bullet"/>
      <w:lvlText w:val="•"/>
      <w:lvlJc w:val="left"/>
      <w:pPr>
        <w:ind w:left="7073" w:hanging="264"/>
      </w:pPr>
      <w:rPr>
        <w:rFonts w:hint="default"/>
        <w:lang w:val="zh-CN" w:eastAsia="zh-CN" w:bidi="zh-CN"/>
      </w:rPr>
    </w:lvl>
  </w:abstractNum>
  <w:abstractNum w:abstractNumId="1">
    <w:multiLevelType w:val="hybridMultilevel"/>
    <w:lvl w:ilvl="0">
      <w:start w:val="1"/>
      <w:numFmt w:val="decimal"/>
      <w:lvlText w:val="%1."/>
      <w:lvlJc w:val="left"/>
      <w:pPr>
        <w:ind w:left="1018"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04" w:hanging="420"/>
      </w:pPr>
      <w:rPr>
        <w:rFonts w:hint="default"/>
        <w:lang w:val="zh-CN" w:eastAsia="zh-CN" w:bidi="zh-CN"/>
      </w:rPr>
    </w:lvl>
    <w:lvl w:ilvl="2">
      <w:start w:val="0"/>
      <w:numFmt w:val="bullet"/>
      <w:lvlText w:val="•"/>
      <w:lvlJc w:val="left"/>
      <w:pPr>
        <w:ind w:left="2589" w:hanging="420"/>
      </w:pPr>
      <w:rPr>
        <w:rFonts w:hint="default"/>
        <w:lang w:val="zh-CN" w:eastAsia="zh-CN" w:bidi="zh-CN"/>
      </w:rPr>
    </w:lvl>
    <w:lvl w:ilvl="3">
      <w:start w:val="0"/>
      <w:numFmt w:val="bullet"/>
      <w:lvlText w:val="•"/>
      <w:lvlJc w:val="left"/>
      <w:pPr>
        <w:ind w:left="3373" w:hanging="420"/>
      </w:pPr>
      <w:rPr>
        <w:rFonts w:hint="default"/>
        <w:lang w:val="zh-CN" w:eastAsia="zh-CN" w:bidi="zh-CN"/>
      </w:rPr>
    </w:lvl>
    <w:lvl w:ilvl="4">
      <w:start w:val="0"/>
      <w:numFmt w:val="bullet"/>
      <w:lvlText w:val="•"/>
      <w:lvlJc w:val="left"/>
      <w:pPr>
        <w:ind w:left="4158" w:hanging="420"/>
      </w:pPr>
      <w:rPr>
        <w:rFonts w:hint="default"/>
        <w:lang w:val="zh-CN" w:eastAsia="zh-CN" w:bidi="zh-CN"/>
      </w:rPr>
    </w:lvl>
    <w:lvl w:ilvl="5">
      <w:start w:val="0"/>
      <w:numFmt w:val="bullet"/>
      <w:lvlText w:val="•"/>
      <w:lvlJc w:val="left"/>
      <w:pPr>
        <w:ind w:left="4943" w:hanging="420"/>
      </w:pPr>
      <w:rPr>
        <w:rFonts w:hint="default"/>
        <w:lang w:val="zh-CN" w:eastAsia="zh-CN" w:bidi="zh-CN"/>
      </w:rPr>
    </w:lvl>
    <w:lvl w:ilvl="6">
      <w:start w:val="0"/>
      <w:numFmt w:val="bullet"/>
      <w:lvlText w:val="•"/>
      <w:lvlJc w:val="left"/>
      <w:pPr>
        <w:ind w:left="5727" w:hanging="420"/>
      </w:pPr>
      <w:rPr>
        <w:rFonts w:hint="default"/>
        <w:lang w:val="zh-CN" w:eastAsia="zh-CN" w:bidi="zh-CN"/>
      </w:rPr>
    </w:lvl>
    <w:lvl w:ilvl="7">
      <w:start w:val="0"/>
      <w:numFmt w:val="bullet"/>
      <w:lvlText w:val="•"/>
      <w:lvlJc w:val="left"/>
      <w:pPr>
        <w:ind w:left="6512" w:hanging="420"/>
      </w:pPr>
      <w:rPr>
        <w:rFonts w:hint="default"/>
        <w:lang w:val="zh-CN" w:eastAsia="zh-CN" w:bidi="zh-CN"/>
      </w:rPr>
    </w:lvl>
    <w:lvl w:ilvl="8">
      <w:start w:val="0"/>
      <w:numFmt w:val="bullet"/>
      <w:lvlText w:val="•"/>
      <w:lvlJc w:val="left"/>
      <w:pPr>
        <w:ind w:left="7297" w:hanging="420"/>
      </w:pPr>
      <w:rPr>
        <w:rFonts w:hint="default"/>
        <w:lang w:val="zh-CN" w:eastAsia="zh-CN" w:bidi="zh-CN"/>
      </w:rPr>
    </w:lvl>
  </w:abstractNum>
  <w:abstractNum w:abstractNumId="0">
    <w:multiLevelType w:val="hybridMultilevel"/>
    <w:lvl w:ilvl="0">
      <w:start w:val="1"/>
      <w:numFmt w:val="decimal"/>
      <w:lvlText w:val="%1."/>
      <w:lvlJc w:val="left"/>
      <w:pPr>
        <w:ind w:left="802"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06" w:hanging="264"/>
      </w:pPr>
      <w:rPr>
        <w:rFonts w:hint="default"/>
        <w:lang w:val="zh-CN" w:eastAsia="zh-CN" w:bidi="zh-CN"/>
      </w:rPr>
    </w:lvl>
    <w:lvl w:ilvl="2">
      <w:start w:val="0"/>
      <w:numFmt w:val="bullet"/>
      <w:lvlText w:val="•"/>
      <w:lvlJc w:val="left"/>
      <w:pPr>
        <w:ind w:left="2413" w:hanging="264"/>
      </w:pPr>
      <w:rPr>
        <w:rFonts w:hint="default"/>
        <w:lang w:val="zh-CN" w:eastAsia="zh-CN" w:bidi="zh-CN"/>
      </w:rPr>
    </w:lvl>
    <w:lvl w:ilvl="3">
      <w:start w:val="0"/>
      <w:numFmt w:val="bullet"/>
      <w:lvlText w:val="•"/>
      <w:lvlJc w:val="left"/>
      <w:pPr>
        <w:ind w:left="3219" w:hanging="264"/>
      </w:pPr>
      <w:rPr>
        <w:rFonts w:hint="default"/>
        <w:lang w:val="zh-CN" w:eastAsia="zh-CN" w:bidi="zh-CN"/>
      </w:rPr>
    </w:lvl>
    <w:lvl w:ilvl="4">
      <w:start w:val="0"/>
      <w:numFmt w:val="bullet"/>
      <w:lvlText w:val="•"/>
      <w:lvlJc w:val="left"/>
      <w:pPr>
        <w:ind w:left="4026" w:hanging="264"/>
      </w:pPr>
      <w:rPr>
        <w:rFonts w:hint="default"/>
        <w:lang w:val="zh-CN" w:eastAsia="zh-CN" w:bidi="zh-CN"/>
      </w:rPr>
    </w:lvl>
    <w:lvl w:ilvl="5">
      <w:start w:val="0"/>
      <w:numFmt w:val="bullet"/>
      <w:lvlText w:val="•"/>
      <w:lvlJc w:val="left"/>
      <w:pPr>
        <w:ind w:left="4833" w:hanging="264"/>
      </w:pPr>
      <w:rPr>
        <w:rFonts w:hint="default"/>
        <w:lang w:val="zh-CN" w:eastAsia="zh-CN" w:bidi="zh-CN"/>
      </w:rPr>
    </w:lvl>
    <w:lvl w:ilvl="6">
      <w:start w:val="0"/>
      <w:numFmt w:val="bullet"/>
      <w:lvlText w:val="•"/>
      <w:lvlJc w:val="left"/>
      <w:pPr>
        <w:ind w:left="5639" w:hanging="264"/>
      </w:pPr>
      <w:rPr>
        <w:rFonts w:hint="default"/>
        <w:lang w:val="zh-CN" w:eastAsia="zh-CN" w:bidi="zh-CN"/>
      </w:rPr>
    </w:lvl>
    <w:lvl w:ilvl="7">
      <w:start w:val="0"/>
      <w:numFmt w:val="bullet"/>
      <w:lvlText w:val="•"/>
      <w:lvlJc w:val="left"/>
      <w:pPr>
        <w:ind w:left="6446" w:hanging="264"/>
      </w:pPr>
      <w:rPr>
        <w:rFonts w:hint="default"/>
        <w:lang w:val="zh-CN" w:eastAsia="zh-CN" w:bidi="zh-CN"/>
      </w:rPr>
    </w:lvl>
    <w:lvl w:ilvl="8">
      <w:start w:val="0"/>
      <w:numFmt w:val="bullet"/>
      <w:lvlText w:val="•"/>
      <w:lvlJc w:val="left"/>
      <w:pPr>
        <w:ind w:left="7253" w:hanging="264"/>
      </w:pPr>
      <w:rPr>
        <w:rFonts w:hint="default"/>
        <w:lang w:val="zh-CN" w:eastAsia="zh-CN" w:bidi="zh-CN"/>
      </w:rPr>
    </w:lvl>
  </w:abstract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25"/>
      <w:ind w:left="118"/>
    </w:pPr>
    <w:rPr>
      <w:rFonts w:ascii="Microsoft JhengHei" w:hAnsi="Microsoft JhengHei" w:eastAsia="Microsoft JhengHei" w:cs="Microsoft JhengHei"/>
      <w:b/>
      <w:bCs/>
      <w:sz w:val="20"/>
      <w:szCs w:val="20"/>
      <w:lang w:val="zh-CN" w:eastAsia="zh-CN" w:bidi="zh-CN"/>
    </w:rPr>
  </w:style>
  <w:style w:styleId="TOC2" w:type="paragraph">
    <w:name w:val="TOC 2"/>
    <w:basedOn w:val="Normal"/>
    <w:uiPriority w:val="1"/>
    <w:qFormat/>
    <w:pPr>
      <w:spacing w:before="337"/>
      <w:ind w:left="329"/>
    </w:pPr>
    <w:rPr>
      <w:rFonts w:ascii="宋体" w:hAnsi="宋体" w:eastAsia="宋体" w:cs="宋体"/>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147"/>
      <w:ind w:right="2610"/>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118"/>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538"/>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540"/>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118" w:firstLine="41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2020-11-18T06:15:28Z</dcterms:created>
  <dcterms:modified xsi:type="dcterms:W3CDTF">2020-11-18T06:15:28Z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