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074E9F" w:rsidR="001C36D8" w:rsidRDefault="001C36D8" w:rsidRPr="00272E0C">
      <w:pPr>
        <w:autoSpaceDE w:val="0"/>
        <w:autoSpaceDN w:val="0"/>
        <w:adjustRightInd w:val="0"/>
        <w:spacing w:line="360" w:lineRule="auto"/>
        <w:jc w:val="left"/>
        <w:rPr>
          <w:rFonts w:ascii="宋体" w:cs="Arial"/>
          <w:color w:val="000000"/>
          <w:kern w:val="0"/>
          <w:sz w:val="24"/>
        </w:rPr>
      </w:pPr>
    </w:p>
    <w:p w:rsidP="007951F3" w:rsidR="001C36D8" w:rsidRDefault="001C36D8" w:rsidRPr="00272E0C">
      <w:pPr>
        <w:spacing w:line="360" w:lineRule="auto"/>
        <w:jc w:val="center"/>
        <w:rPr>
          <w:rFonts w:ascii="宋体" w:hAnsi="宋体"/>
          <w:b/>
          <w:sz w:val="36"/>
          <w:szCs w:val="36"/>
        </w:rPr>
      </w:pPr>
      <w:r w:rsidRPr="00272E0C">
        <w:rPr>
          <w:rFonts w:ascii="宋体"/>
          <w:b/>
          <w:sz w:val="36"/>
          <w:szCs w:val="36"/>
        </w:rPr>
        <w:t/>
      </w:r>
      <w:proofErr w:type="spellStart"/>
      <w:proofErr w:type="gramStart"/>
      <w:r w:rsidRPr="00272E0C">
        <w:rPr>
          <w:rFonts w:ascii="宋体" w:hAnsi="宋体"/>
          <w:b/>
          <w:sz w:val="36"/>
          <w:szCs w:val="36"/>
        </w:rPr>
        <w:t/>
      </w:r>
      <w:proofErr w:type="spellEnd"/>
      <w:proofErr w:type="gramEnd"/>
      <w:r w:rsidRPr="00272E0C">
        <w:rPr>
          <w:rFonts w:ascii="宋体" w:hAnsi="宋体"/>
          <w:b/>
          <w:sz w:val="36"/>
          <w:szCs w:val="36"/>
        </w:rPr>
        <w:t>易方达上证50指数分级证券投资基金</w:t>
      </w:r>
    </w:p>
    <w:p w:rsidP="007951F3" w:rsidR="001C36D8" w:rsidRDefault="001C36D8" w:rsidRPr="00272E0C">
      <w:pPr>
        <w:spacing w:line="360" w:lineRule="auto"/>
        <w:jc w:val="center"/>
        <w:rPr>
          <w:rFonts w:ascii="宋体" w:hAnsi="宋体"/>
          <w:b/>
          <w:sz w:val="36"/>
          <w:szCs w:val="36"/>
        </w:rPr>
      </w:pPr>
      <w:r w:rsidRPr="00272E0C">
        <w:rPr>
          <w:rFonts w:ascii="宋体" w:hAnsi="宋体"/>
          <w:b/>
          <w:sz w:val="36"/>
          <w:szCs w:val="36"/>
        </w:rPr>
        <w:t/>
      </w:r>
      <w:proofErr w:type="spellStart"/>
      <w:r w:rsidRPr="00272E0C">
        <w:rPr>
          <w:rFonts w:ascii="宋体" w:hAnsi="宋体"/>
          <w:b/>
          <w:sz w:val="36"/>
          <w:szCs w:val="36"/>
        </w:rPr>
        <w:t/>
      </w:r>
      <w:proofErr w:type="spellEnd"/>
      <w:r w:rsidRPr="00272E0C">
        <w:rPr>
          <w:rFonts w:ascii="宋体" w:hAnsi="宋体"/>
          <w:b/>
          <w:sz w:val="36"/>
          <w:szCs w:val="36"/>
        </w:rPr>
        <w:t>2020年第3季度报告</w:t>
      </w:r>
    </w:p>
    <w:p w:rsidP="007951F3" w:rsidR="001C36D8" w:rsidRDefault="001C36D8" w:rsidRPr="00717C29">
      <w:pPr>
        <w:spacing w:line="360" w:lineRule="auto"/>
        <w:jc w:val="center"/>
        <w:rPr>
          <w:rFonts w:ascii="宋体" w:hAnsi="宋体"/>
          <w:b/>
          <w:sz w:val="24"/>
          <w:szCs w:val="36"/>
        </w:rPr>
      </w:pPr>
      <w:r w:rsidRPr="00717C29">
        <w:rPr>
          <w:rFonts w:ascii="宋体"/>
          <w:b/>
          <w:sz w:val="24"/>
          <w:szCs w:val="36"/>
        </w:rPr>
        <w:t/>
      </w:r>
      <w:proofErr w:type="spellStart"/>
      <w:proofErr w:type="gramStart"/>
      <w:r w:rsidRPr="00717C29">
        <w:rPr>
          <w:rFonts w:ascii="宋体" w:hAnsi="宋体"/>
          <w:b/>
          <w:sz w:val="24"/>
          <w:szCs w:val="36"/>
        </w:rPr>
        <w:t/>
      </w:r>
      <w:proofErr w:type="spellEnd"/>
      <w:proofErr w:type="gramEnd"/>
      <w:r w:rsidRPr="00717C29">
        <w:rPr>
          <w:rFonts w:ascii="宋体" w:hAnsi="宋体"/>
          <w:b/>
          <w:sz w:val="24"/>
          <w:szCs w:val="36"/>
        </w:rPr>
        <w:t>2020年9月30日</w:t>
      </w: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jc w:val="center"/>
        <w:rPr>
          <w:rFonts w:ascii="宋体"/>
          <w:b/>
          <w:color w:val="000000"/>
          <w:sz w:val="24"/>
        </w:rPr>
      </w:pPr>
    </w:p>
    <w:p w:rsidP="00074E9F" w:rsidR="001C36D8" w:rsidRDefault="001C36D8" w:rsidRPr="00272E0C">
      <w:pPr>
        <w:spacing w:line="360" w:lineRule="auto"/>
        <w:rPr>
          <w:rFonts w:ascii="宋体"/>
          <w:b/>
          <w:color w:val="000000"/>
          <w:sz w:val="24"/>
        </w:rPr>
      </w:pPr>
    </w:p>
    <w:p w:rsidP="0015779C" w:rsidR="001C36D8" w:rsidRDefault="001C36D8" w:rsidRPr="00272E0C">
      <w:pPr>
        <w:spacing w:line="360" w:lineRule="auto"/>
        <w:ind w:firstLine="2168" w:firstLineChars="900"/>
        <w:rPr>
          <w:rFonts w:ascii="宋体" w:hAnsi="宋体"/>
          <w:b/>
          <w:color w:val="000000"/>
          <w:sz w:val="24"/>
        </w:rPr>
      </w:pPr>
      <w:r w:rsidRPr="00272E0C">
        <w:rPr>
          <w:rFonts w:ascii="宋体" w:hAnsi="宋体" w:hint="eastAsia"/>
          <w:b/>
          <w:color w:val="000000"/>
          <w:sz w:val="24"/>
        </w:rPr>
        <w:t>基金管理人：</w:t>
      </w:r>
      <w:r w:rsidRPr="00272E0C">
        <w:rPr>
          <w:rFonts w:ascii="宋体"/>
          <w:b/>
          <w:color w:val="000000"/>
          <w:sz w:val="24"/>
        </w:rPr>
        <w:t/>
      </w:r>
      <w:proofErr w:type="spellStart"/>
      <w:r w:rsidRPr="00272E0C">
        <w:rPr>
          <w:rFonts w:ascii="宋体" w:hAnsi="宋体"/>
          <w:b/>
          <w:color w:val="000000"/>
          <w:sz w:val="24"/>
        </w:rPr>
        <w:t/>
      </w:r>
      <w:proofErr w:type="spellEnd"/>
      <w:r w:rsidRPr="00272E0C">
        <w:rPr>
          <w:rFonts w:ascii="宋体" w:hAnsi="宋体"/>
          <w:b/>
          <w:color w:val="000000"/>
          <w:sz w:val="24"/>
        </w:rPr>
        <w:t>易方达基金管理有限公司</w:t>
      </w:r>
    </w:p>
    <w:p w:rsidP="0015779C" w:rsidR="001C36D8" w:rsidRDefault="001C36D8" w:rsidRPr="00272E0C">
      <w:pPr>
        <w:spacing w:line="360" w:lineRule="auto"/>
        <w:ind w:firstLine="2168" w:firstLineChars="900"/>
        <w:rPr>
          <w:rFonts w:ascii="宋体" w:hAnsi="宋体"/>
          <w:b/>
          <w:color w:val="000000"/>
          <w:sz w:val="24"/>
        </w:rPr>
      </w:pPr>
      <w:r w:rsidRPr="00272E0C">
        <w:rPr>
          <w:rFonts w:ascii="宋体" w:hAnsi="宋体" w:hint="eastAsia"/>
          <w:b/>
          <w:color w:val="000000"/>
          <w:sz w:val="24"/>
        </w:rPr>
        <w:t>基金托管人：</w:t>
      </w:r>
      <w:r w:rsidRPr="00272E0C">
        <w:rPr>
          <w:rFonts w:ascii="宋体"/>
          <w:b/>
          <w:color w:val="000000"/>
          <w:sz w:val="24"/>
        </w:rPr>
        <w:t/>
      </w:r>
      <w:proofErr w:type="spellStart"/>
      <w:r w:rsidRPr="00272E0C">
        <w:rPr>
          <w:rFonts w:ascii="宋体" w:hAnsi="宋体"/>
          <w:b/>
          <w:color w:val="000000"/>
          <w:sz w:val="24"/>
        </w:rPr>
        <w:t/>
      </w:r>
      <w:proofErr w:type="spellEnd"/>
      <w:r w:rsidRPr="00272E0C">
        <w:rPr>
          <w:rFonts w:ascii="宋体" w:hAnsi="宋体"/>
          <w:b/>
          <w:color w:val="000000"/>
          <w:sz w:val="24"/>
        </w:rPr>
        <w:t>交通银行股份有限公司</w:t>
      </w:r>
    </w:p>
    <w:p w:rsidP="0015779C" w:rsidR="001C36D8" w:rsidRDefault="001C36D8" w:rsidRPr="00272E0C">
      <w:pPr>
        <w:spacing w:line="360" w:lineRule="auto"/>
        <w:ind w:firstLine="2168" w:firstLineChars="900"/>
        <w:rPr>
          <w:rFonts w:ascii="宋体" w:hAnsi="宋体"/>
          <w:b/>
          <w:color w:val="000000"/>
          <w:sz w:val="24"/>
        </w:rPr>
        <w:sectPr w:rsidR="001C36D8" w:rsidRPr="00272E0C" w:rsidSect="00230A66">
          <w:headerReference r:id="rId8" w:type="default"/>
          <w:footerReference r:id="rId9" w:type="default"/>
          <w:pgSz w:h="15840" w:w="11926"/>
          <w:pgMar w:bottom="851" w:footer="992" w:gutter="0" w:header="851" w:left="1418" w:right="1418" w:top="1418"/>
          <w:cols w:space="720"/>
          <w:noEndnote/>
        </w:sectPr>
      </w:pPr>
      <w:r w:rsidRPr="00272E0C">
        <w:rPr>
          <w:rFonts w:ascii="宋体" w:hAnsi="宋体" w:hint="eastAsia"/>
          <w:b/>
          <w:color w:val="000000"/>
          <w:sz w:val="24"/>
        </w:rPr>
        <w:t>报告送出日期：</w:t>
      </w:r>
      <w:r w:rsidRPr="00272E0C">
        <w:rPr>
          <w:rFonts w:ascii="宋体"/>
          <w:b/>
          <w:color w:val="000000"/>
          <w:sz w:val="24"/>
        </w:rPr>
        <w:t/>
      </w:r>
      <w:proofErr w:type="spellStart"/>
      <w:r w:rsidRPr="00272E0C">
        <w:rPr>
          <w:rFonts w:ascii="宋体" w:hAnsi="宋体"/>
          <w:b/>
          <w:color w:val="000000"/>
          <w:sz w:val="24"/>
        </w:rPr>
        <w:t/>
      </w:r>
      <w:proofErr w:type="spellEnd"/>
      <w:r w:rsidRPr="00272E0C">
        <w:rPr>
          <w:rFonts w:ascii="宋体" w:hAnsi="宋体"/>
          <w:b/>
          <w:color w:val="000000"/>
          <w:sz w:val="24"/>
        </w:rPr>
        <w:t>二〇二〇年十月二十八日</w:t>
      </w:r>
    </w:p>
    <w:p w:rsidP="005C6DF3" w:rsidR="001C36D8" w:rsidRDefault="001C36D8" w:rsidRPr="00272E0C">
      <w:pPr>
        <w:pStyle w:val="1"/>
        <w:spacing w:after="312" w:afterLines="100" w:before="312" w:beforeLines="100" w:line="360" w:lineRule="auto"/>
        <w:jc w:val="center"/>
        <w:rPr>
          <w:rFonts w:ascii="宋体" w:cs="Arial"/>
          <w:b w:val="0"/>
          <w:color w:val="000000"/>
          <w:kern w:val="0"/>
          <w:sz w:val="24"/>
          <w:szCs w:val="24"/>
        </w:rPr>
      </w:pPr>
      <w:r w:rsidRPr="00272E0C">
        <w:rPr>
          <w:rFonts w:ascii="宋体" w:cs="Arial" w:hAnsi="宋体" w:hint="eastAsia"/>
          <w:color w:val="000000"/>
          <w:kern w:val="0"/>
          <w:sz w:val="24"/>
          <w:szCs w:val="24"/>
        </w:rPr>
        <w:lastRenderedPageBreak/>
        <w:t>§</w:t>
      </w:r>
      <w:r w:rsidRPr="00272E0C">
        <w:rPr>
          <w:rFonts w:ascii="宋体" w:cs="Arial" w:hAnsi="宋体"/>
          <w:color w:val="000000"/>
          <w:kern w:val="0"/>
          <w:sz w:val="24"/>
          <w:szCs w:val="24"/>
        </w:rPr>
        <w:t xml:space="preserve">1  </w:t>
      </w:r>
      <w:r w:rsidRPr="00272E0C">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基金托管人交通银行股份有限公司根据本基金合同规定，于2020年10月26日复核了本报告中的财务指标、净值表现和投资组合报告等内容，保证复核内容不存在虚假记载、误导性陈述或者重大遗漏。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C0C03" w:rsidR="001C36D8" w:rsidRDefault="001C36D8" w:rsidRPr="00CC0C03">
      <w:pPr>
        <w:spacing w:line="360" w:lineRule="auto"/>
        <w:ind w:firstLine="480" w:firstLineChars="200"/>
        <w:rPr>
          <w:color w:val="000000"/>
          <w:sz w:val="24"/>
        </w:rPr>
      </w:pPr>
      <w:r w:rsidRPr="00CC0C03">
        <w:rPr>
          <w:color w:val="000000"/>
          <w:sz w:val="24"/>
        </w:rPr>
        <w:t/>
      </w:r>
      <w:proofErr w:type="spellStart"/>
      <w:r w:rsidRPr="00CC0C03">
        <w:rPr>
          <w:color w:val="000000"/>
          <w:sz w:val="24"/>
        </w:rPr>
        <w:t/>
      </w:r>
      <w:proofErr w:type="spellEnd"/>
      <w:r w:rsidRPr="00CC0C03">
        <w:rPr>
          <w:color w:val="000000"/>
          <w:sz w:val="24"/>
        </w:rPr>
        <w:t>本报告期自2020年7月1日起至9月30日止。</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2  </w:t>
      </w:r>
      <w:r w:rsidRPr="00272E0C">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1826"/>
        <w:gridCol w:w="1826"/>
        <w:gridCol w:w="1827"/>
      </w:tblGrid>
      <w:tr w:rsidR="001C36D8" w:rsidRPr="00272E0C" w:rsidTr="007A6BEA">
        <w:tc>
          <w:tcPr>
            <w:tcW w:type="dxa" w:w="2835"/>
          </w:tcPr>
          <w:p w:rsidP="007A6BEA" w:rsidR="001C36D8" w:rsidRDefault="001C36D8" w:rsidRPr="004C6E88">
            <w:pPr>
              <w:adjustRightInd w:val="0"/>
              <w:spacing w:before="29" w:line="360" w:lineRule="auto"/>
              <w:ind w:left="17"/>
              <w:jc w:val="left"/>
              <w:rPr>
                <w:rFonts w:eastAsiaTheme="minorEastAsia"/>
                <w:kern w:val="0"/>
                <w:sz w:val="24"/>
              </w:rPr>
            </w:pPr>
            <w:r w:rsidRPr="004C6E88">
              <w:rPr>
                <w:rFonts w:eastAsiaTheme="minorEastAsia"/>
                <w:kern w:val="0"/>
                <w:sz w:val="24"/>
              </w:rPr>
              <w:t>基金简称</w:t>
            </w:r>
          </w:p>
        </w:tc>
        <w:tc>
          <w:tcPr>
            <w:tcW w:type="dxa" w:w="5479"/>
            <w:gridSpan w:val="3"/>
          </w:tcPr>
          <w:p w:rsidP="007A6BEA" w:rsidR="001C36D8" w:rsidRDefault="001C36D8" w:rsidRPr="004C6E8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易方达上证50分级</w:t>
            </w:r>
          </w:p>
        </w:tc>
      </w:tr>
      <w:tr w:rsidR="001C36D8" w:rsidRPr="00272E0C" w:rsidTr="002A44F9">
        <w:tc>
          <w:tcPr>
            <w:tcW w:type="dxa" w:w="2835"/>
          </w:tcPr>
          <w:p w:rsidR="001C36D8" w:rsidRDefault="001C36D8" w:rsidRPr="004C6E88">
            <w:pPr>
              <w:adjustRightInd w:val="0"/>
              <w:spacing w:before="29" w:line="360" w:lineRule="auto"/>
              <w:ind w:left="17"/>
              <w:jc w:val="left"/>
              <w:rPr>
                <w:rFonts w:eastAsiaTheme="minorEastAsia"/>
                <w:kern w:val="0"/>
                <w:sz w:val="24"/>
              </w:rPr>
            </w:pPr>
            <w:r w:rsidRPr="004C6E88">
              <w:rPr>
                <w:rFonts w:eastAsiaTheme="minorEastAsia"/>
                <w:kern w:val="0"/>
                <w:sz w:val="24"/>
              </w:rPr>
              <w:t>基金主代码</w:t>
            </w:r>
          </w:p>
        </w:tc>
        <w:tc>
          <w:tcPr>
            <w:tcW w:type="dxa" w:w="5479"/>
            <w:gridSpan w:val="3"/>
          </w:tcPr>
          <w:p w:rsidR="001C36D8" w:rsidRDefault="001C36D8" w:rsidRPr="004C6E8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502048</w:t>
            </w:r>
          </w:p>
        </w:tc>
      </w:tr>
      <w:tr w:rsidR="003A768B" w:rsidRPr="00272E0C" w:rsidTr="002A44F9">
        <w:tc>
          <w:tcPr>
            <w:tcW w:type="dxa" w:w="2835"/>
          </w:tcPr>
          <w:p w:rsidP="00E43B0B" w:rsidR="003A768B" w:rsidRDefault="003A768B" w:rsidRPr="004C6E88">
            <w:pPr>
              <w:adjustRightInd w:val="0"/>
              <w:spacing w:before="29" w:line="360" w:lineRule="auto"/>
              <w:ind w:left="17"/>
              <w:jc w:val="left"/>
              <w:rPr>
                <w:rFonts w:eastAsiaTheme="minorEastAsia"/>
                <w:kern w:val="0"/>
                <w:sz w:val="24"/>
              </w:rPr>
            </w:pPr>
            <w:r w:rsidRPr="004C6E88">
              <w:rPr>
                <w:rFonts w:eastAsiaTheme="minorEastAsia"/>
                <w:kern w:val="0"/>
                <w:sz w:val="24"/>
              </w:rPr>
              <w:t>交易代码</w:t>
            </w:r>
          </w:p>
        </w:tc>
        <w:tc>
          <w:tcPr>
            <w:tcW w:type="dxa" w:w="5479"/>
            <w:gridSpan w:val="3"/>
          </w:tcPr>
          <w:p w:rsidP="00E43B0B" w:rsidR="003A768B" w:rsidRDefault="003A768B" w:rsidRPr="004C6E88">
            <w:pPr>
              <w:adjustRightInd w:val="0"/>
              <w:spacing w:before="29" w:line="360" w:lineRule="auto"/>
              <w:ind w:left="17"/>
              <w:jc w:val="left"/>
              <w:rPr>
                <w:rFonts w:eastAsiaTheme="minorEastAsia"/>
                <w:color w:val="000000"/>
                <w:kern w:val="0"/>
                <w:sz w:val="24"/>
              </w:rPr>
            </w:pPr>
            <w:r w:rsidRPr="004C6E88">
              <w:rPr>
                <w:rFonts w:eastAsiaTheme="minorEastAsia"/>
                <w:kern w:val="0"/>
                <w:sz w:val="24"/>
              </w:rPr>
              <w:t/>
            </w:r>
            <w:proofErr w:type="spellStart"/>
            <w:r w:rsidRPr="004C6E88">
              <w:rPr>
                <w:rFonts w:eastAsiaTheme="minorEastAsia"/>
                <w:kern w:val="0"/>
                <w:sz w:val="24"/>
              </w:rPr>
              <w:t/>
            </w:r>
            <w:proofErr w:type="spellEnd"/>
            <w:r w:rsidRPr="004C6E88">
              <w:rPr>
                <w:rFonts w:eastAsiaTheme="minorEastAsia"/>
                <w:kern w:val="0"/>
                <w:sz w:val="24"/>
              </w:rPr>
              <w:t/>
            </w:r>
            <w:proofErr w:type="spellStart"/>
            <w:r w:rsidRPr="004C6E88">
              <w:rPr>
                <w:rFonts w:eastAsiaTheme="minorEastAsia"/>
                <w:kern w:val="0"/>
                <w:sz w:val="24"/>
              </w:rPr>
              <w:t/>
            </w:r>
            <w:proofErr w:type="spellEnd"/>
            <w:r w:rsidRPr="004C6E88">
              <w:rPr>
                <w:rFonts w:eastAsiaTheme="minorEastAsia"/>
                <w:kern w:val="0"/>
                <w:sz w:val="24"/>
              </w:rPr>
              <w:t/>
            </w:r>
            <w:proofErr w:type="spellStart"/>
            <w:r w:rsidRPr="004C6E88">
              <w:rPr>
                <w:rFonts w:eastAsiaTheme="minorEastAsia"/>
                <w:kern w:val="0"/>
                <w:sz w:val="24"/>
              </w:rPr>
              <w:t/>
            </w:r>
            <w:proofErr w:type="spellEnd"/>
            <w:r w:rsidRPr="004C6E88">
              <w:rPr>
                <w:rFonts w:eastAsiaTheme="minorEastAsia"/>
                <w:kern w:val="0"/>
                <w:sz w:val="24"/>
              </w:rPr>
              <w:t>502048</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基金运作方式</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契约型开放式、分级基金</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基金合同生效日</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2015年4月15日</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报告期末基金份额总额</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308,393,186.35</w:t>
            </w:r>
            <w:r w:rsidRPr="004C6E88">
              <w:rPr>
                <w:rFonts w:eastAsiaTheme="minorEastAsia"/>
                <w:color w:val="000000"/>
                <w:kern w:val="0"/>
                <w:sz w:val="24"/>
              </w:rPr>
              <w:t>份</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投资目标</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紧密追踪业绩比较基准，追求跟踪偏离度与跟踪误差的最小化。</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投资策略</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本基金主要采取完全复制法进行投资，即完全按照标的指数的成份股组成及权重构建基金投资组合，并根据标的指数成份股及其权重的变动进行相应调整，以达到紧密跟踪标的指数的目的。本基金力争将年化跟踪误差控制在4%以内，日跟踪偏离度绝对值的平均值控制在0.35%以内。</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业绩比较基准</w:t>
            </w:r>
          </w:p>
        </w:tc>
        <w:tc>
          <w:tcPr>
            <w:tcW w:type="dxa" w:w="5479"/>
            <w:gridSpan w:val="3"/>
          </w:tcPr>
          <w:p w:rsidP="00CD0AAD"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上证50指数收益率×95%+活期存款利率（税后）×5%</w:t>
            </w:r>
          </w:p>
        </w:tc>
      </w:tr>
      <w:tr w:rsidR="003A768B" w:rsidRPr="00272E0C" w:rsidTr="00A008DA">
        <w:tc>
          <w:tcPr>
            <w:tcW w:type="dxa" w:w="2835"/>
          </w:tcPr>
          <w:p w:rsidP="00A008D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风险收益特征</w:t>
            </w:r>
          </w:p>
        </w:tc>
        <w:tc>
          <w:tcPr>
            <w:tcW w:type="dxa" w:w="5479"/>
            <w:gridSpan w:val="3"/>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从投资者持有的基金份额来看，基础份额为股票型基金，预期风险与预期收益水平高于混合型基金、债券型基金与货币市场基金；A类份额具有预期风险、收益较低的特征；B类份额具有预期风险、收益较高的特征。</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基金管理人</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易方达基金管理有限公司</w:t>
            </w:r>
          </w:p>
        </w:tc>
      </w:tr>
      <w:tr w:rsidR="003A768B" w:rsidRPr="00272E0C" w:rsidTr="007A6BEA">
        <w:tc>
          <w:tcPr>
            <w:tcW w:type="dxa" w:w="2835"/>
          </w:tcPr>
          <w:p w:rsidP="007A6BEA" w:rsidR="003A768B" w:rsidRDefault="003A768B" w:rsidRPr="004C6E88">
            <w:pPr>
              <w:adjustRightInd w:val="0"/>
              <w:spacing w:before="29" w:line="360" w:lineRule="auto"/>
              <w:ind w:left="17"/>
              <w:jc w:val="left"/>
              <w:rPr>
                <w:rFonts w:eastAsiaTheme="minorEastAsia"/>
                <w:sz w:val="24"/>
              </w:rPr>
            </w:pPr>
            <w:r w:rsidRPr="004C6E88">
              <w:rPr>
                <w:rFonts w:eastAsiaTheme="minorEastAsia"/>
                <w:kern w:val="0"/>
                <w:sz w:val="24"/>
              </w:rPr>
              <w:t>基金托管人</w:t>
            </w:r>
          </w:p>
        </w:tc>
        <w:tc>
          <w:tcPr>
            <w:tcW w:type="dxa" w:w="5479"/>
            <w:gridSpan w:val="3"/>
          </w:tcPr>
          <w:p w:rsidP="007A6BE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交通银行股份有限公司</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kern w:val="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级基金的基金简称</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易方达上证50分级</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易方达上证50分级A</w:t>
            </w:r>
          </w:p>
        </w:tc>
        <w:tc>
          <w:tcPr>
            <w:tcW w:type="dxa" w:w="1827"/>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易方达上证50分级B</w:t>
            </w:r>
          </w:p>
        </w:tc>
      </w:tr>
      <w:tr w:rsidR="002C2DE0" w:rsidRPr="00272E0C" w:rsidTr="00EB3E72">
        <w:tc>
          <w:tcPr>
            <w:tcW w:type="dxa" w:w="2835"/>
          </w:tcPr>
          <w:p w:rsidP="004C6E88" w:rsidR="002C2DE0" w:rsidRDefault="002C2DE0" w:rsidRPr="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003168E2">
              <w:rPr>
                <w:rFonts w:eastAsiaTheme="minorEastAsia"/>
                <w:color w:val="000000"/>
                <w:sz w:val="24"/>
              </w:rPr>
              <w:t>级基金</w:t>
            </w:r>
            <w:r w:rsidRPr="004C6E88">
              <w:rPr>
                <w:rFonts w:eastAsiaTheme="minorEastAsia"/>
                <w:color w:val="000000"/>
                <w:sz w:val="24"/>
              </w:rPr>
              <w:t>场内简称</w:t>
            </w:r>
          </w:p>
        </w:tc>
        <w:tc>
          <w:tcPr>
            <w:tcW w:type="dxa" w:w="1826"/>
            <w:vAlign w:val="center"/>
          </w:tcPr>
          <w:p w:rsidP="00E43B0B" w:rsidR="002C2DE0" w:rsidRDefault="002C2DE0" w:rsidRPr="004C6E88">
            <w:pPr>
              <w:rPr>
                <w:rFonts w:eastAsiaTheme="minorEastAsia"/>
                <w:color w:val="000000"/>
                <w:kern w:val="0"/>
                <w:sz w:val="24"/>
              </w:rPr>
            </w:pPr>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50分级</w:t>
            </w:r>
          </w:p>
        </w:tc>
        <w:tc>
          <w:tcPr>
            <w:tcW w:type="dxa" w:w="1826"/>
            <w:vAlign w:val="center"/>
          </w:tcPr>
          <w:p w:rsidP="00E43B0B" w:rsidR="002C2DE0" w:rsidRDefault="002C2DE0" w:rsidRPr="004C6E88">
            <w:pPr>
              <w:rPr>
                <w:rFonts w:eastAsiaTheme="minorEastAsia"/>
                <w:color w:val="000000"/>
                <w:kern w:val="0"/>
                <w:sz w:val="24"/>
              </w:rPr>
            </w:pPr>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上证50A</w:t>
            </w:r>
          </w:p>
        </w:tc>
        <w:tc>
          <w:tcPr>
            <w:tcW w:type="dxa" w:w="1827"/>
            <w:vAlign w:val="center"/>
          </w:tcPr>
          <w:p w:rsidP="00E43B0B" w:rsidR="002C2DE0" w:rsidRDefault="002C2DE0" w:rsidRPr="004C6E88">
            <w:pPr>
              <w:rPr>
                <w:rFonts w:eastAsiaTheme="minorEastAsia"/>
                <w:color w:val="000000"/>
                <w:kern w:val="0"/>
                <w:sz w:val="24"/>
              </w:rPr>
            </w:pPr>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proofErr w:type="spellStart"/>
            <w:r w:rsidRPr="004C6E88">
              <w:rPr>
                <w:rFonts w:eastAsiaTheme="minorEastAsia"/>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上证50B</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级基金的交易代码</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502048</w:t>
            </w:r>
          </w:p>
        </w:tc>
        <w:tc>
          <w:tcPr>
            <w:tcW w:type="dxa" w:w="1826"/>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502049</w:t>
            </w:r>
          </w:p>
        </w:tc>
        <w:tc>
          <w:tcPr>
            <w:tcW w:type="dxa" w:w="1827"/>
            <w:vAlign w:val="center"/>
          </w:tcPr>
          <w:p w:rsidP="007A6BEA"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502050</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lastRenderedPageBreak/>
              <w:t>报告期末下属</w:t>
            </w:r>
            <w:r w:rsidR="004C6E88" w:rsidRPr="004C6E88">
              <w:rPr>
                <w:rFonts w:eastAsiaTheme="minorEastAsia"/>
                <w:color w:val="000000"/>
                <w:sz w:val="24"/>
              </w:rPr>
              <w:t>分</w:t>
            </w:r>
            <w:r w:rsidRPr="004C6E88">
              <w:rPr>
                <w:rFonts w:eastAsiaTheme="minorEastAsia"/>
                <w:color w:val="000000"/>
                <w:sz w:val="24"/>
              </w:rPr>
              <w:t>级基金的份额总额</w:t>
            </w:r>
          </w:p>
        </w:tc>
        <w:tc>
          <w:tcPr>
            <w:tcW w:type="dxa" w:w="1826"/>
            <w:vAlign w:val="center"/>
          </w:tcPr>
          <w:p w:rsidP="00057DD3"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r w:rsidRPr="004C6E88">
              <w:rPr>
                <w:rFonts w:eastAsiaTheme="minorEastAsia"/>
                <w:sz w:val="24"/>
              </w:rPr>
              <w:t>125,334,728.35</w:t>
            </w:r>
            <w:r w:rsidRPr="004C6E88">
              <w:rPr>
                <w:rFonts w:eastAsiaTheme="minorEastAsia"/>
                <w:color w:val="000000"/>
                <w:kern w:val="0"/>
                <w:sz w:val="24"/>
              </w:rPr>
              <w:t>份</w:t>
            </w:r>
          </w:p>
        </w:tc>
        <w:tc>
          <w:tcPr>
            <w:tcW w:type="dxa" w:w="1826"/>
            <w:vAlign w:val="center"/>
          </w:tcPr>
          <w:p w:rsidP="00057DD3"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sz w:val="24"/>
              </w:rPr>
              <w:t>91,529,229.00</w:t>
            </w:r>
            <w:r w:rsidRPr="004C6E88">
              <w:rPr>
                <w:rFonts w:eastAsiaTheme="minorEastAsia"/>
                <w:color w:val="000000"/>
                <w:kern w:val="0"/>
                <w:sz w:val="24"/>
              </w:rPr>
              <w:t>份</w:t>
            </w:r>
          </w:p>
        </w:tc>
        <w:tc>
          <w:tcPr>
            <w:tcW w:type="dxa" w:w="1827"/>
            <w:vAlign w:val="center"/>
          </w:tcPr>
          <w:p w:rsidP="00057DD3" w:rsidR="003A768B" w:rsidRDefault="003A768B" w:rsidRPr="004C6E88">
            <w:pPr>
              <w:jc w:val="left"/>
              <w:rPr>
                <w:rFonts w:eastAsiaTheme="minorEastAsia"/>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sz w:val="24"/>
              </w:rPr>
              <w:t/>
            </w:r>
            <w:r w:rsidRPr="004C6E88">
              <w:rPr>
                <w:rFonts w:eastAsiaTheme="minorEastAsia"/>
                <w:color w:val="000000"/>
                <w:kern w:val="0"/>
                <w:sz w:val="24"/>
              </w:rPr>
              <w:t/>
            </w:r>
            <w:r w:rsidRPr="004C6E88">
              <w:rPr>
                <w:rFonts w:eastAsiaTheme="minorEastAsia"/>
                <w:sz w:val="24"/>
              </w:rPr>
              <w:t>91,529,229.00</w:t>
            </w:r>
            <w:r w:rsidRPr="004C6E88">
              <w:rPr>
                <w:rFonts w:eastAsiaTheme="minorEastAsia"/>
                <w:color w:val="000000"/>
                <w:kern w:val="0"/>
                <w:sz w:val="24"/>
              </w:rPr>
              <w:t>份</w:t>
            </w:r>
          </w:p>
        </w:tc>
      </w:tr>
      <w:tr w:rsidR="003A768B" w:rsidRPr="00272E0C" w:rsidTr="00EB3E72">
        <w:tc>
          <w:tcPr>
            <w:tcW w:type="dxa" w:w="2835"/>
          </w:tcPr>
          <w:p w:rsidP="004C6E88" w:rsidR="003A768B" w:rsidRDefault="003A768B" w:rsidRPr="004C6E88">
            <w:pPr>
              <w:adjustRightInd w:val="0"/>
              <w:spacing w:before="29" w:line="360" w:lineRule="auto"/>
              <w:ind w:left="17"/>
              <w:jc w:val="left"/>
              <w:rPr>
                <w:rFonts w:eastAsiaTheme="minorEastAsia"/>
                <w:sz w:val="24"/>
              </w:rPr>
            </w:pPr>
            <w:r w:rsidRPr="004C6E88">
              <w:rPr>
                <w:rFonts w:eastAsiaTheme="minorEastAsia"/>
                <w:color w:val="000000"/>
                <w:kern w:val="0"/>
                <w:sz w:val="24"/>
              </w:rPr>
              <w:t>下属</w:t>
            </w:r>
            <w:r w:rsidR="004C6E88" w:rsidRPr="004C6E88">
              <w:rPr>
                <w:rFonts w:eastAsiaTheme="minorEastAsia"/>
                <w:color w:val="000000"/>
                <w:kern w:val="0"/>
                <w:sz w:val="24"/>
              </w:rPr>
              <w:t>分</w:t>
            </w:r>
            <w:r w:rsidRPr="004C6E88">
              <w:rPr>
                <w:rFonts w:eastAsiaTheme="minorEastAsia"/>
                <w:color w:val="000000"/>
                <w:kern w:val="0"/>
                <w:sz w:val="24"/>
              </w:rPr>
              <w:t>级基金的</w:t>
            </w:r>
            <w:r w:rsidRPr="004C6E88">
              <w:rPr>
                <w:rFonts w:eastAsiaTheme="minorEastAsia"/>
                <w:kern w:val="0"/>
                <w:sz w:val="24"/>
              </w:rPr>
              <w:t>风险收益特征</w:t>
            </w:r>
          </w:p>
        </w:tc>
        <w:tc>
          <w:tcPr>
            <w:tcW w:type="dxa" w:w="1826"/>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基础份额为股票型基金，预期风险与预期收益水平高于混合型基金、债券型基金与货币市场基金。</w:t>
            </w:r>
          </w:p>
        </w:tc>
        <w:tc>
          <w:tcPr>
            <w:tcW w:type="dxa" w:w="1826"/>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A类份额具有预期风险、收益较低的特征。</w:t>
            </w:r>
          </w:p>
        </w:tc>
        <w:tc>
          <w:tcPr>
            <w:tcW w:type="dxa" w:w="1827"/>
          </w:tcPr>
          <w:p w:rsidP="00A008DA" w:rsidR="003A768B" w:rsidRDefault="003A768B" w:rsidRPr="004C6E88">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
            </w:r>
            <w:proofErr w:type="spellStart"/>
            <w:r w:rsidRPr="004C6E88">
              <w:rPr>
                <w:rFonts w:eastAsiaTheme="minorEastAsia"/>
                <w:color w:val="000000"/>
                <w:kern w:val="0"/>
                <w:sz w:val="24"/>
              </w:rPr>
              <w:t/>
            </w:r>
            <w:proofErr w:type="spellEnd"/>
            <w:r w:rsidRPr="004C6E88">
              <w:rPr>
                <w:rFonts w:eastAsiaTheme="minorEastAsia"/>
                <w:color w:val="000000"/>
                <w:kern w:val="0"/>
                <w:sz w:val="24"/>
              </w:rPr>
              <w:t>B类份额具有预期风险、收益较高的特征。</w:t>
            </w:r>
          </w:p>
        </w:tc>
      </w:tr>
    </w:tbl>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3  </w:t>
      </w:r>
      <w:r w:rsidRPr="00272E0C">
        <w:rPr>
          <w:rFonts w:ascii="宋体" w:cs="Arial" w:hAnsi="宋体" w:hint="eastAsia"/>
          <w:color w:val="000000"/>
          <w:kern w:val="0"/>
          <w:sz w:val="24"/>
          <w:szCs w:val="24"/>
        </w:rPr>
        <w:t>主要财务指标和基金净值表现</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3.1 </w:t>
      </w:r>
      <w:r w:rsidRPr="00272E0C">
        <w:rPr>
          <w:rFonts w:ascii="宋体" w:cs="Arial" w:hAnsi="宋体" w:hint="eastAsia"/>
          <w:b/>
          <w:color w:val="000000"/>
          <w:kern w:val="0"/>
          <w:sz w:val="24"/>
        </w:rPr>
        <w:t>主要财务指标</w:t>
      </w:r>
    </w:p>
    <w:p w:rsidP="0008378B" w:rsidR="0008378B" w:rsidRDefault="0008378B"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08378B" w:rsidRPr="006506EF" w:rsidTr="005D3A22">
        <w:tc>
          <w:tcPr>
            <w:tcW w:type="dxa" w:w="3402"/>
            <w:vAlign w:val="center"/>
          </w:tcPr>
          <w:p w:rsidP="005D3A22" w:rsidR="0008378B" w:rsidRDefault="0008378B"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5D3A22" w:rsidR="0008378B" w:rsidRDefault="0008378B" w:rsidRPr="006506EF">
            <w:pPr>
              <w:adjustRightInd w:val="0"/>
              <w:spacing w:before="29" w:line="360" w:lineRule="auto"/>
              <w:ind w:left="17"/>
              <w:jc w:val="center"/>
              <w:rPr>
                <w:color w:val="000000"/>
                <w:sz w:val="24"/>
              </w:rPr>
            </w:pPr>
            <w:r w:rsidRPr="006506EF">
              <w:rPr>
                <w:color w:val="000000"/>
                <w:sz w:val="24"/>
              </w:rPr>
              <w:t>报告期</w:t>
            </w:r>
          </w:p>
          <w:p w:rsidP="005D3A22" w:rsidR="0008378B" w:rsidRDefault="0008378B"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5D3A22" w:rsidR="0008378B" w:rsidRDefault="0008378B"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30,637,583.84</w:t>
            </w:r>
          </w:p>
        </w:tc>
        <w:tc>
          <w:tcPr>
            <w:tcW w:type="dxa" w:w="2410"/>
            <w:hMerge/>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52,285,835.66</w:t>
            </w:r>
          </w:p>
        </w:tc>
        <w:tc>
          <w:tcPr>
            <w:tcW w:type="dxa" w:w="2410"/>
            <w:hMerge/>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0.1537</w:t>
            </w:r>
          </w:p>
        </w:tc>
        <w:tc>
          <w:tcPr>
            <w:tcW w:type="dxa" w:w="2410"/>
            <w:hMerge/>
            <w:vAlign w:val="bottom"/>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351,154,616.40</w:t>
            </w:r>
          </w:p>
        </w:tc>
        <w:tc>
          <w:tcPr>
            <w:tcW w:type="dxa" w:w="2410"/>
            <w:hMerge/>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w:t>
            </w:r>
          </w:p>
        </w:tc>
      </w:tr>
      <w:tr w:rsidR="0008378B" w:rsidRPr="006506EF" w:rsidTr="005D3A22">
        <w:trPr>
          <w:trHeight w:val="158"/>
        </w:trPr>
        <w:tc>
          <w:tcPr>
            <w:tcW w:type="dxa" w:w="3402"/>
          </w:tcPr>
          <w:p w:rsidP="005D3A22" w:rsidR="0008378B" w:rsidRDefault="0008378B"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5D3A22" w:rsidR="0008378B" w:rsidRDefault="0008378B"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r w:rsidRPr="006506EF">
              <w:rPr>
                <w:color w:val="000000"/>
                <w:sz w:val="24"/>
              </w:rPr>
              <w:lastRenderedPageBreak/>
              <w:t/>
            </w:r>
            <w:proofErr w:type="spellEnd"/>
            <w:r w:rsidRPr="006506EF">
              <w:rPr>
                <w:color w:val="000000"/>
                <w:sz w:val="24"/>
              </w:rPr>
              <w:t>1.1387</w:t>
            </w:r>
          </w:p>
        </w:tc>
        <w:tc>
          <w:tcPr>
            <w:tcW w:type="dxa" w:w="2410"/>
            <w:hMerge/>
          </w:tcPr>
          <w:p w:rsidP="005D3A22" w:rsidR="0008378B" w:rsidRDefault="0008378B" w:rsidRPr="006506EF">
            <w:pPr>
              <w:adjustRightInd w:val="0"/>
              <w:spacing w:before="29" w:line="360" w:lineRule="auto"/>
              <w:ind w:left="17"/>
              <w:jc w:val="right"/>
              <w:rPr>
                <w:color w:val="000000"/>
                <w:sz w:val="24"/>
              </w:rPr>
            </w:pPr>
            <w:r w:rsidRPr="006506EF">
              <w:rPr>
                <w:color w:val="000000"/>
                <w:sz w:val="24"/>
              </w:rPr>
              <w:lastRenderedPageBreak/>
              <w:t/>
            </w:r>
            <w:r w:rsidRPr="006506EF">
              <w:rPr>
                <w:color w:val="000000"/>
                <w:sz w:val="24"/>
              </w:rPr>
              <w:lastRenderedPageBreak/>
              <w:t>-</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E43B0B" w:rsidR="001C36D8" w:rsidRDefault="0008378B" w:rsidRPr="00E43B0B">
      <w:pPr>
        <w:spacing w:line="360" w:lineRule="auto"/>
        <w:ind w:firstLine="480" w:firstLineChars="200"/>
        <w:rPr>
          <w:color w:val="000000"/>
          <w:sz w:val="24"/>
        </w:rPr>
      </w:pPr>
      <w:r w:rsidRPr="006506EF">
        <w:rPr>
          <w:color w:val="000000"/>
          <w:sz w:val="24"/>
        </w:rPr>
        <w:lastRenderedPageBreak/>
        <w:t/>
      </w:r>
      <w:proofErr w:type="spellStart"/>
      <w:r w:rsidRPr="006506EF">
        <w:rPr>
          <w:color w:val="000000"/>
          <w:sz w:val="24"/>
        </w:rPr>
        <w:t/>
      </w:r>
      <w:proofErr w:type="spellEnd"/>
      <w:r w:rsidRPr="006506EF">
        <w:rPr>
          <w:color w:val="000000"/>
          <w:sz w:val="24"/>
        </w:rPr>
        <w:t/>
      </w:r>
      <w:proofErr w:type="spellStart"/>
      <w:r w:rsidRPr="006506EF">
        <w:rPr>
          <w:color w:val="000000"/>
          <w:sz w:val="24"/>
        </w:rPr>
        <w:t/>
      </w:r>
      <w:proofErr w:type="spell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3.2 </w:t>
      </w:r>
      <w:r w:rsidRPr="00272E0C">
        <w:rPr>
          <w:rFonts w:ascii="宋体" w:cs="Arial" w:hAnsi="宋体" w:hint="eastAsia"/>
          <w:b/>
          <w:color w:val="000000"/>
          <w:kern w:val="0"/>
          <w:sz w:val="24"/>
        </w:rPr>
        <w:t>基金净值表现</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cs="Arial" w:hAnsi="宋体"/>
            <w:b/>
            <w:color w:val="000000"/>
            <w:kern w:val="0"/>
            <w:sz w:val="24"/>
          </w:rPr>
          <w:t>3.2.1</w:t>
        </w:r>
      </w:smartTag>
      <w:r w:rsidRPr="00272E0C">
        <w:rPr>
          <w:rFonts w:ascii="宋体" w:cs="Arial" w:hAnsi="宋体" w:hint="eastAsia"/>
          <w:b/>
          <w:color w:val="000000"/>
          <w:kern w:val="0"/>
          <w:sz w:val="24"/>
        </w:rPr>
        <w:t>本报告期基金份额净值增长率及其与同期业绩比较基准收益率的比较</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15"/>
        <w:gridCol w:w="1216"/>
        <w:gridCol w:w="1216"/>
        <w:gridCol w:w="1216"/>
        <w:gridCol w:w="1216"/>
        <w:gridCol w:w="1217"/>
        <w:gridCol w:w="1217"/>
      </w:tblGrid>
      <w:tr w:rsidR="001C36D8" w:rsidRPr="00272E0C" w:rsidTr="001A09F9">
        <w:tc>
          <w:tcPr>
            <w:tcW w:type="dxa" w:w="1215"/>
            <w:vAlign w:val="center"/>
          </w:tcPr>
          <w:p w:rsidP="001A09F9" w:rsidR="001C36D8" w:rsidRDefault="001C36D8" w:rsidRPr="00E43B0B">
            <w:pPr>
              <w:snapToGrid w:val="0"/>
              <w:spacing w:line="288" w:lineRule="auto"/>
              <w:jc w:val="center"/>
              <w:rPr>
                <w:color w:val="000000"/>
                <w:sz w:val="24"/>
              </w:rPr>
            </w:pPr>
            <w:r w:rsidRPr="00E43B0B">
              <w:rPr>
                <w:color w:val="000000"/>
                <w:sz w:val="24"/>
              </w:rPr>
              <w:t>阶段</w:t>
            </w:r>
            <w:r w:rsidRPr="00E43B0B">
              <w:rPr>
                <w:color w:val="000000"/>
                <w:sz w:val="24"/>
              </w:rPr>
              <w:t/>
            </w:r>
            <w:proofErr w:type="spellStart"/>
            <w:r w:rsidRPr="00E43B0B">
              <w:rPr>
                <w:color w:val="000000"/>
                <w:sz w:val="24"/>
              </w:rPr>
              <w:t/>
            </w:r>
            <w:proofErr w:type="spellEnd"/>
            <w:r w:rsidRPr="00E43B0B">
              <w:rPr>
                <w:color w:val="000000"/>
                <w:sz w:val="24"/>
              </w:rPr>
              <w:t/>
            </w:r>
          </w:p>
        </w:tc>
        <w:tc>
          <w:tcPr>
            <w:tcW w:type="dxa" w:w="1216"/>
            <w:vAlign w:val="center"/>
          </w:tcPr>
          <w:p w:rsidP="001A09F9" w:rsidR="001C36D8" w:rsidRDefault="001C36D8" w:rsidRPr="00E43B0B">
            <w:pPr>
              <w:snapToGrid w:val="0"/>
              <w:spacing w:line="288" w:lineRule="auto"/>
              <w:jc w:val="center"/>
              <w:rPr>
                <w:color w:val="000000"/>
                <w:sz w:val="24"/>
                <w:highlight w:val="green"/>
              </w:rPr>
            </w:pPr>
            <w:r w:rsidRPr="00E43B0B">
              <w:rPr>
                <w:color w:val="000000"/>
                <w:sz w:val="24"/>
              </w:rPr>
              <w:t>净值增长率</w:t>
            </w:r>
            <w:r w:rsidRPr="00E43B0B">
              <w:rPr>
                <w:rFonts w:ascii="宋体" w:cs="宋体" w:hAnsi="宋体" w:hint="eastAsia"/>
                <w:color w:val="000000"/>
                <w:sz w:val="24"/>
              </w:rPr>
              <w:t>①</w:t>
            </w:r>
          </w:p>
        </w:tc>
        <w:tc>
          <w:tcPr>
            <w:tcW w:type="dxa" w:w="1216"/>
            <w:vAlign w:val="center"/>
          </w:tcPr>
          <w:p w:rsidP="001A09F9" w:rsidR="001C36D8" w:rsidRDefault="001C36D8" w:rsidRPr="00E43B0B">
            <w:pPr>
              <w:snapToGrid w:val="0"/>
              <w:spacing w:line="288" w:lineRule="auto"/>
              <w:jc w:val="center"/>
              <w:rPr>
                <w:color w:val="000000"/>
                <w:sz w:val="24"/>
                <w:highlight w:val="green"/>
              </w:rPr>
            </w:pPr>
            <w:r w:rsidRPr="00E43B0B">
              <w:rPr>
                <w:color w:val="000000"/>
                <w:sz w:val="24"/>
              </w:rPr>
              <w:t>净值增长率标准差</w:t>
            </w:r>
            <w:r w:rsidRPr="00E43B0B">
              <w:rPr>
                <w:rFonts w:ascii="宋体" w:cs="宋体" w:hAnsi="宋体" w:hint="eastAsia"/>
                <w:color w:val="000000"/>
                <w:sz w:val="24"/>
              </w:rPr>
              <w:t>②</w:t>
            </w:r>
          </w:p>
        </w:tc>
        <w:tc>
          <w:tcPr>
            <w:tcW w:type="dxa" w:w="1216"/>
            <w:vAlign w:val="center"/>
          </w:tcPr>
          <w:p w:rsidP="001A09F9" w:rsidR="001C36D8" w:rsidRDefault="001C36D8" w:rsidRPr="00E43B0B">
            <w:pPr>
              <w:snapToGrid w:val="0"/>
              <w:spacing w:line="288" w:lineRule="auto"/>
              <w:jc w:val="center"/>
              <w:rPr>
                <w:color w:val="000000"/>
                <w:sz w:val="24"/>
              </w:rPr>
            </w:pPr>
            <w:r w:rsidRPr="00E43B0B">
              <w:rPr>
                <w:color w:val="000000"/>
                <w:sz w:val="24"/>
              </w:rPr>
              <w:t>业绩比较基准收益率</w:t>
            </w:r>
            <w:r w:rsidRPr="00E43B0B">
              <w:rPr>
                <w:rFonts w:ascii="宋体" w:cs="宋体" w:hAnsi="宋体" w:hint="eastAsia"/>
                <w:color w:val="000000"/>
                <w:sz w:val="24"/>
              </w:rPr>
              <w:t>③</w:t>
            </w:r>
          </w:p>
        </w:tc>
        <w:tc>
          <w:tcPr>
            <w:tcW w:type="dxa" w:w="1216"/>
            <w:vAlign w:val="center"/>
          </w:tcPr>
          <w:p w:rsidP="001A09F9" w:rsidR="001C36D8" w:rsidRDefault="001C36D8" w:rsidRPr="00E43B0B">
            <w:pPr>
              <w:snapToGrid w:val="0"/>
              <w:spacing w:line="288" w:lineRule="auto"/>
              <w:jc w:val="center"/>
              <w:rPr>
                <w:color w:val="000000"/>
                <w:sz w:val="24"/>
              </w:rPr>
            </w:pPr>
            <w:r w:rsidRPr="00E43B0B">
              <w:rPr>
                <w:color w:val="000000"/>
                <w:sz w:val="24"/>
              </w:rPr>
              <w:t>业绩比较基准收益率标准差</w:t>
            </w:r>
            <w:r w:rsidRPr="00E43B0B">
              <w:rPr>
                <w:rFonts w:ascii="宋体" w:cs="宋体" w:hAnsi="宋体" w:hint="eastAsia"/>
                <w:color w:val="000000"/>
                <w:sz w:val="24"/>
              </w:rPr>
              <w:t>④</w:t>
            </w:r>
          </w:p>
        </w:tc>
        <w:tc>
          <w:tcPr>
            <w:tcW w:type="dxa" w:w="1217"/>
            <w:vAlign w:val="center"/>
          </w:tcPr>
          <w:p w:rsidP="001A09F9" w:rsidR="001C36D8" w:rsidRDefault="001C36D8" w:rsidRPr="00E43B0B">
            <w:pPr>
              <w:snapToGrid w:val="0"/>
              <w:spacing w:line="288" w:lineRule="auto"/>
              <w:jc w:val="center"/>
              <w:rPr>
                <w:color w:val="000000"/>
                <w:sz w:val="24"/>
              </w:rPr>
            </w:pPr>
            <w:r w:rsidRPr="00E43B0B">
              <w:rPr>
                <w:rFonts w:ascii="宋体" w:cs="宋体" w:hAnsi="宋体" w:hint="eastAsia"/>
                <w:color w:val="000000"/>
                <w:sz w:val="24"/>
              </w:rPr>
              <w:t>①</w:t>
            </w:r>
            <w:r w:rsidRPr="00E43B0B">
              <w:rPr>
                <w:color w:val="000000"/>
                <w:sz w:val="24"/>
              </w:rPr>
              <w:t>－</w:t>
            </w:r>
            <w:r w:rsidRPr="00E43B0B">
              <w:rPr>
                <w:rFonts w:ascii="宋体" w:cs="宋体" w:hAnsi="宋体" w:hint="eastAsia"/>
                <w:color w:val="000000"/>
                <w:sz w:val="24"/>
              </w:rPr>
              <w:t>③</w:t>
            </w:r>
          </w:p>
        </w:tc>
        <w:tc>
          <w:tcPr>
            <w:tcW w:type="dxa" w:w="1217"/>
            <w:vAlign w:val="center"/>
          </w:tcPr>
          <w:p w:rsidP="001A09F9" w:rsidR="001C36D8" w:rsidRDefault="001C36D8" w:rsidRPr="00E43B0B">
            <w:pPr>
              <w:snapToGrid w:val="0"/>
              <w:spacing w:line="288" w:lineRule="auto"/>
              <w:jc w:val="center"/>
              <w:rPr>
                <w:color w:val="000000"/>
                <w:sz w:val="24"/>
              </w:rPr>
            </w:pPr>
            <w:r w:rsidRPr="00E43B0B">
              <w:rPr>
                <w:rFonts w:ascii="宋体" w:cs="宋体" w:hAnsi="宋体" w:hint="eastAsia"/>
                <w:color w:val="000000"/>
                <w:sz w:val="24"/>
              </w:rPr>
              <w:t>②</w:t>
            </w:r>
            <w:r w:rsidRPr="00E43B0B">
              <w:rPr>
                <w:color w:val="000000"/>
                <w:sz w:val="24"/>
              </w:rPr>
              <w:t>－</w:t>
            </w:r>
            <w:r w:rsidRPr="00E43B0B">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14.33%</w:t>
            </w:r>
          </w:p>
        </w:tc>
        <w:tc>
          <w:tcPr>
            <w:vAlign w:val="center"/>
          </w:tcPr>
          <w:p>
            <w:pPr>
              <w:jc w:val="center"/>
            </w:pPr>
            <w:r>
              <w:rPr>
                <w:color w:val="000000"/>
                <w:sz w:val="24"/>
              </w:rPr>
              <w:t>1.53%</w:t>
            </w:r>
          </w:p>
        </w:tc>
        <w:tc>
          <w:tcPr>
            <w:vAlign w:val="center"/>
          </w:tcPr>
          <w:p>
            <w:pPr>
              <w:jc w:val="center"/>
            </w:pPr>
            <w:r>
              <w:rPr>
                <w:color w:val="000000"/>
                <w:sz w:val="24"/>
              </w:rPr>
              <w:t>9.38%</w:t>
            </w:r>
          </w:p>
        </w:tc>
        <w:tc>
          <w:tcPr>
            <w:vAlign w:val="center"/>
          </w:tcPr>
          <w:p>
            <w:pPr>
              <w:jc w:val="center"/>
            </w:pPr>
            <w:r>
              <w:rPr>
                <w:color w:val="000000"/>
                <w:sz w:val="24"/>
              </w:rPr>
              <w:t>1.56%</w:t>
            </w:r>
          </w:p>
        </w:tc>
        <w:tc>
          <w:tcPr>
            <w:vAlign w:val="center"/>
          </w:tcPr>
          <w:p>
            <w:pPr>
              <w:jc w:val="center"/>
            </w:pPr>
            <w:r>
              <w:rPr>
                <w:color w:val="000000"/>
                <w:sz w:val="24"/>
              </w:rPr>
              <w:t>4.95%</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27.68%</w:t>
            </w:r>
          </w:p>
        </w:tc>
        <w:tc>
          <w:tcPr>
            <w:vAlign w:val="center"/>
          </w:tcPr>
          <w:p>
            <w:pPr>
              <w:jc w:val="center"/>
            </w:pPr>
            <w:r>
              <w:rPr>
                <w:color w:val="000000"/>
                <w:sz w:val="24"/>
              </w:rPr>
              <w:t>1.24%</w:t>
            </w:r>
          </w:p>
        </w:tc>
        <w:tc>
          <w:tcPr>
            <w:vAlign w:val="center"/>
          </w:tcPr>
          <w:p>
            <w:pPr>
              <w:jc w:val="center"/>
            </w:pPr>
            <w:r>
              <w:rPr>
                <w:color w:val="000000"/>
                <w:sz w:val="24"/>
              </w:rPr>
              <w:t>19.19%</w:t>
            </w:r>
          </w:p>
        </w:tc>
        <w:tc>
          <w:tcPr>
            <w:vAlign w:val="center"/>
          </w:tcPr>
          <w:p>
            <w:pPr>
              <w:jc w:val="center"/>
            </w:pPr>
            <w:r>
              <w:rPr>
                <w:color w:val="000000"/>
                <w:sz w:val="24"/>
              </w:rPr>
              <w:t>1.25%</w:t>
            </w:r>
          </w:p>
        </w:tc>
        <w:tc>
          <w:tcPr>
            <w:vAlign w:val="center"/>
          </w:tcPr>
          <w:p>
            <w:pPr>
              <w:jc w:val="center"/>
            </w:pPr>
            <w:r>
              <w:rPr>
                <w:color w:val="000000"/>
                <w:sz w:val="24"/>
              </w:rPr>
              <w:t>8.49%</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21.60%</w:t>
            </w:r>
          </w:p>
        </w:tc>
        <w:tc>
          <w:tcPr>
            <w:vAlign w:val="center"/>
          </w:tcPr>
          <w:p>
            <w:pPr>
              <w:jc w:val="center"/>
            </w:pPr>
            <w:r>
              <w:rPr>
                <w:color w:val="000000"/>
                <w:sz w:val="24"/>
              </w:rPr>
              <w:t>1.27%</w:t>
            </w:r>
          </w:p>
        </w:tc>
        <w:tc>
          <w:tcPr>
            <w:vAlign w:val="center"/>
          </w:tcPr>
          <w:p>
            <w:pPr>
              <w:jc w:val="center"/>
            </w:pPr>
            <w:r>
              <w:rPr>
                <w:color w:val="000000"/>
                <w:sz w:val="24"/>
              </w:rPr>
              <w:t>10.99%</w:t>
            </w:r>
          </w:p>
        </w:tc>
        <w:tc>
          <w:tcPr>
            <w:vAlign w:val="center"/>
          </w:tcPr>
          <w:p>
            <w:pPr>
              <w:jc w:val="center"/>
            </w:pPr>
            <w:r>
              <w:rPr>
                <w:color w:val="000000"/>
                <w:sz w:val="24"/>
              </w:rPr>
              <w:t>1.28%</w:t>
            </w:r>
          </w:p>
        </w:tc>
        <w:tc>
          <w:tcPr>
            <w:vAlign w:val="center"/>
          </w:tcPr>
          <w:p>
            <w:pPr>
              <w:jc w:val="center"/>
            </w:pPr>
            <w:r>
              <w:rPr>
                <w:color w:val="000000"/>
                <w:sz w:val="24"/>
              </w:rPr>
              <w:t>10.61%</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36.68%</w:t>
            </w:r>
          </w:p>
        </w:tc>
        <w:tc>
          <w:tcPr>
            <w:vAlign w:val="center"/>
          </w:tcPr>
          <w:p>
            <w:pPr>
              <w:jc w:val="center"/>
            </w:pPr>
            <w:r>
              <w:rPr>
                <w:color w:val="000000"/>
                <w:sz w:val="24"/>
              </w:rPr>
              <w:t>1.24%</w:t>
            </w:r>
          </w:p>
        </w:tc>
        <w:tc>
          <w:tcPr>
            <w:vAlign w:val="center"/>
          </w:tcPr>
          <w:p>
            <w:pPr>
              <w:jc w:val="center"/>
            </w:pPr>
            <w:r>
              <w:rPr>
                <w:color w:val="000000"/>
                <w:sz w:val="24"/>
              </w:rPr>
              <w:t>19.96%</w:t>
            </w:r>
          </w:p>
        </w:tc>
        <w:tc>
          <w:tcPr>
            <w:vAlign w:val="center"/>
          </w:tcPr>
          <w:p>
            <w:pPr>
              <w:jc w:val="center"/>
            </w:pPr>
            <w:r>
              <w:rPr>
                <w:color w:val="000000"/>
                <w:sz w:val="24"/>
              </w:rPr>
              <w:t>1.25%</w:t>
            </w:r>
          </w:p>
        </w:tc>
        <w:tc>
          <w:tcPr>
            <w:vAlign w:val="center"/>
          </w:tcPr>
          <w:p>
            <w:pPr>
              <w:jc w:val="center"/>
            </w:pPr>
            <w:r>
              <w:rPr>
                <w:color w:val="000000"/>
                <w:sz w:val="24"/>
              </w:rPr>
              <w:t>16.72%</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76.88%</w:t>
            </w:r>
          </w:p>
        </w:tc>
        <w:tc>
          <w:tcPr>
            <w:vAlign w:val="center"/>
          </w:tcPr>
          <w:p>
            <w:pPr>
              <w:jc w:val="center"/>
            </w:pPr>
            <w:r>
              <w:rPr>
                <w:color w:val="000000"/>
                <w:sz w:val="24"/>
              </w:rPr>
              <w:t>1.18%</w:t>
            </w:r>
          </w:p>
        </w:tc>
        <w:tc>
          <w:tcPr>
            <w:vAlign w:val="center"/>
          </w:tcPr>
          <w:p>
            <w:pPr>
              <w:jc w:val="center"/>
            </w:pPr>
            <w:r>
              <w:rPr>
                <w:color w:val="000000"/>
                <w:sz w:val="24"/>
              </w:rPr>
              <w:t>48.17%</w:t>
            </w:r>
          </w:p>
        </w:tc>
        <w:tc>
          <w:tcPr>
            <w:vAlign w:val="center"/>
          </w:tcPr>
          <w:p>
            <w:pPr>
              <w:jc w:val="center"/>
            </w:pPr>
            <w:r>
              <w:rPr>
                <w:color w:val="000000"/>
                <w:sz w:val="24"/>
              </w:rPr>
              <w:t>1.18%</w:t>
            </w:r>
          </w:p>
        </w:tc>
        <w:tc>
          <w:tcPr>
            <w:vAlign w:val="center"/>
          </w:tcPr>
          <w:p>
            <w:pPr>
              <w:jc w:val="center"/>
            </w:pPr>
            <w:r>
              <w:rPr>
                <w:color w:val="000000"/>
                <w:sz w:val="24"/>
              </w:rPr>
              <w:t>28.71%</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18.65%</w:t>
            </w:r>
          </w:p>
        </w:tc>
        <w:tc>
          <w:tcPr>
            <w:vAlign w:val="center"/>
          </w:tcPr>
          <w:p>
            <w:pPr>
              <w:jc w:val="center"/>
            </w:pPr>
            <w:r>
              <w:rPr>
                <w:color w:val="000000"/>
                <w:sz w:val="24"/>
              </w:rPr>
              <w:t>1.39%</w:t>
            </w:r>
          </w:p>
        </w:tc>
        <w:tc>
          <w:tcPr>
            <w:vAlign w:val="center"/>
          </w:tcPr>
          <w:p>
            <w:pPr>
              <w:jc w:val="center"/>
            </w:pPr>
            <w:r>
              <w:rPr>
                <w:color w:val="000000"/>
                <w:sz w:val="24"/>
              </w:rPr>
              <w:t>5.70%</w:t>
            </w:r>
          </w:p>
        </w:tc>
        <w:tc>
          <w:tcPr>
            <w:vAlign w:val="center"/>
          </w:tcPr>
          <w:p>
            <w:pPr>
              <w:jc w:val="center"/>
            </w:pPr>
            <w:r>
              <w:rPr>
                <w:color w:val="000000"/>
                <w:sz w:val="24"/>
              </w:rPr>
              <w:t>1.42%</w:t>
            </w:r>
          </w:p>
        </w:tc>
        <w:tc>
          <w:tcPr>
            <w:vAlign w:val="center"/>
          </w:tcPr>
          <w:p>
            <w:pPr>
              <w:jc w:val="center"/>
            </w:pPr>
            <w:r>
              <w:rPr>
                <w:color w:val="000000"/>
                <w:sz w:val="24"/>
              </w:rPr>
              <w:t>12.95%</w:t>
            </w:r>
          </w:p>
        </w:tc>
        <w:tc>
          <w:tcPr>
            <w:vAlign w:val="center"/>
          </w:tcPr>
          <w:p>
            <w:pPr>
              <w:jc w:val="center"/>
            </w:pPr>
            <w:r>
              <w:rPr>
                <w:color w:val="000000"/>
                <w:sz w:val="24"/>
              </w:rPr>
              <w:t>-0.03%</w:t>
            </w:r>
          </w:p>
        </w:tc>
      </w:tr>
    </w:tbl>
    <w:p w:rsidP="003A4DA3" w:rsidR="001C36D8" w:rsidRDefault="001C36D8" w:rsidRPr="00272E0C">
      <w:pPr>
        <w:spacing w:line="360" w:lineRule="auto"/>
        <w:rPr>
          <w:rFonts w:ascii="宋体" w:cs="Arial"/>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cs="Arial" w:hAnsi="宋体"/>
            <w:b/>
            <w:color w:val="000000"/>
            <w:kern w:val="0"/>
            <w:sz w:val="24"/>
          </w:rPr>
          <w:t>3.2.2</w:t>
        </w:r>
        <w:r w:rsidR="00193F07" w:rsidRPr="00370BEA">
          <w:rPr>
            <w:rStyle w:val="af8"/>
            <w:rFonts w:hint="eastAsia"/>
            <w:color w:val="000000"/>
            <w:sz w:val="24"/>
            <w:shd w:color="auto" w:fill="FFFFFF" w:val="clear"/>
          </w:rPr>
          <w:t/>
        </w:r>
        <w:proofErr w:type="spellStart"/>
        <w:r w:rsidR="00193F07" w:rsidRPr="00370BEA">
          <w:rPr>
            <w:rStyle w:val="af8"/>
            <w:rFonts w:hint="eastAsia"/>
            <w:color w:val="000000"/>
            <w:sz w:val="24"/>
            <w:shd w:color="auto" w:fill="FFFFFF" w:val="clear"/>
          </w:rPr>
          <w:t/>
        </w:r>
        <w:proofErr w:type="spellEnd"/>
        <w:r w:rsidR="00193F07" w:rsidRPr="00370BEA">
          <w:rPr>
            <w:rStyle w:val="af8"/>
            <w:rFonts w:hint="eastAsia"/>
            <w:color w:val="000000"/>
            <w:sz w:val="24"/>
            <w:shd w:color="auto" w:fill="FFFFFF" w:val="clear"/>
          </w:rPr>
          <w:t>自基金合同生效以来</w:t>
        </w:r>
      </w:smartTag>
      <w:r w:rsidRPr="00272E0C">
        <w:rPr>
          <w:rFonts w:ascii="宋体" w:hAnsi="宋体" w:hint="eastAsia"/>
          <w:b/>
          <w:bCs/>
          <w:color w:val="000000"/>
          <w:sz w:val="24"/>
        </w:rPr>
        <w:t>基金累计净值增长率变动及其与同期业绩比较基准收益率变动的比较</w:t>
      </w:r>
    </w:p>
    <w:p w:rsidP="003A4DA3" w:rsidR="001C36D8" w:rsidRDefault="001C36D8" w:rsidRPr="00E43B0B">
      <w:pPr>
        <w:spacing w:line="360" w:lineRule="auto"/>
        <w:jc w:val="center"/>
        <w:rPr>
          <w:sz w:val="24"/>
        </w:rPr>
      </w:pPr>
      <w:r w:rsidRPr="00E43B0B">
        <w:rPr>
          <w:sz w:val="24"/>
        </w:rPr>
        <w:t/>
      </w:r>
      <w:proofErr w:type="spellStart"/>
      <w:r w:rsidRPr="00E43B0B">
        <w:rPr>
          <w:sz w:val="24"/>
        </w:rPr>
        <w:t/>
      </w:r>
      <w:proofErr w:type="spellEnd"/>
      <w:r w:rsidRPr="00E43B0B">
        <w:rPr>
          <w:sz w:val="24"/>
        </w:rPr>
        <w:t>易方达上证50指数分级证券投资基金</w:t>
      </w:r>
    </w:p>
    <w:p w:rsidP="003A4DA3" w:rsidR="001C36D8" w:rsidRDefault="006F4C30" w:rsidRPr="00E43B0B">
      <w:pPr>
        <w:pStyle w:val="a5"/>
        <w:snapToGrid w:val="0"/>
        <w:spacing w:line="360" w:lineRule="auto"/>
        <w:jc w:val="center"/>
        <w:rPr>
          <w:rFonts w:ascii="Times New Roman" w:hAnsi="Times New Roman"/>
          <w:color w:val="000000"/>
          <w:sz w:val="24"/>
          <w:szCs w:val="24"/>
        </w:rPr>
      </w:pPr>
      <w:r w:rsidRPr="00E43B0B">
        <w:rPr>
          <w:rFonts w:ascii="Times New Roman" w:hAnsi="Times New Roman"/>
          <w:color w:val="000000"/>
          <w:sz w:val="24"/>
          <w:szCs w:val="24"/>
        </w:rPr>
        <w:t>累计</w:t>
      </w:r>
      <w:r w:rsidR="001C36D8" w:rsidRPr="00E43B0B">
        <w:rPr>
          <w:rFonts w:ascii="Times New Roman" w:hAnsi="Times New Roman"/>
          <w:color w:val="000000"/>
          <w:sz w:val="24"/>
          <w:szCs w:val="24"/>
        </w:rPr>
        <w:t>净值增长率与业绩比较基准收益率历史走势对比图</w:t>
      </w:r>
    </w:p>
    <w:p w:rsidP="003A4DA3" w:rsidR="001C36D8" w:rsidRDefault="001C36D8" w:rsidRPr="00E43B0B">
      <w:pPr>
        <w:spacing w:line="360" w:lineRule="auto"/>
        <w:jc w:val="center"/>
        <w:rPr>
          <w:sz w:val="24"/>
        </w:rPr>
      </w:pPr>
      <w:r w:rsidRPr="00E43B0B">
        <w:rPr>
          <w:color w:val="000000"/>
          <w:kern w:val="0"/>
          <w:sz w:val="24"/>
        </w:rPr>
        <w:t>（</w:t>
      </w:r>
      <w:r w:rsidRPr="00E43B0B">
        <w:rPr>
          <w:color w:val="000000"/>
          <w:kern w:val="0"/>
          <w:sz w:val="24"/>
        </w:rPr>
        <w:t/>
      </w:r>
      <w:proofErr w:type="spellStart"/>
      <w:r w:rsidRPr="00E43B0B">
        <w:rPr>
          <w:color w:val="000000"/>
          <w:kern w:val="0"/>
          <w:sz w:val="24"/>
        </w:rPr>
        <w:t/>
      </w:r>
      <w:proofErr w:type="spellEnd"/>
      <w:r w:rsidRPr="00E43B0B">
        <w:rPr>
          <w:color w:val="000000"/>
          <w:kern w:val="0"/>
          <w:sz w:val="24"/>
        </w:rPr>
        <w:t>2015年4月15日</w:t>
      </w:r>
      <w:r w:rsidRPr="00E43B0B">
        <w:rPr>
          <w:color w:val="000000"/>
          <w:kern w:val="0"/>
          <w:sz w:val="24"/>
        </w:rPr>
        <w:t>至</w:t>
      </w:r>
      <w:r w:rsidRPr="00E43B0B">
        <w:rPr>
          <w:color w:val="000000"/>
          <w:kern w:val="0"/>
          <w:sz w:val="24"/>
        </w:rPr>
        <w:t/>
      </w:r>
      <w:proofErr w:type="spellStart"/>
      <w:r w:rsidRPr="00E43B0B">
        <w:rPr>
          <w:color w:val="000000"/>
          <w:kern w:val="0"/>
          <w:sz w:val="24"/>
        </w:rPr>
        <w:t/>
      </w:r>
      <w:proofErr w:type="spellEnd"/>
      <w:r w:rsidRPr="00E43B0B">
        <w:rPr>
          <w:color w:val="000000"/>
          <w:kern w:val="0"/>
          <w:sz w:val="24"/>
        </w:rPr>
        <w:t>2020年9月30日</w:t>
      </w:r>
      <w:r w:rsidRPr="00E43B0B">
        <w:rPr>
          <w:color w:val="000000"/>
          <w:kern w:val="0"/>
          <w:sz w:val="24"/>
        </w:rPr>
        <w:t>）</w:t>
      </w:r>
    </w:p>
    <w:p w:rsidP="0042253F" w:rsidR="001C36D8" w:rsidRDefault="003F1D66" w:rsidRPr="00272E0C">
      <w:pPr>
        <w:tabs>
          <w:tab w:pos="1800" w:val="left"/>
        </w:tabs>
        <w:spacing w:line="360" w:lineRule="auto"/>
        <w:jc w:val="center"/>
        <w:rPr>
          <w:rFonts w:ascii="宋体"/>
          <w:color w:val="000000"/>
          <w:sz w:val="24"/>
        </w:rPr>
      </w:pPr>
      <w:r>
        <w:rPr>
          <w:rFonts w:ascii="宋体"/>
          <w:noProof/>
          <w:color w:val="000000"/>
          <w:sz w:val="24"/>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1.4pt;height:241.5pt;visibility:visible" type="#_x0000_t75">
            <v:imagedata o:title="" r:id="rId10"/>
          </v:shape>
        </w:pic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注：自基金合同生效至报告期末，基金份额净值增长率为18.65%，同期业绩比较基准收益率为5.70%。</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4  </w:t>
      </w:r>
      <w:r w:rsidRPr="00272E0C">
        <w:rPr>
          <w:rFonts w:ascii="宋体" w:cs="Arial" w:hAnsi="宋体" w:hint="eastAsia"/>
          <w:color w:val="000000"/>
          <w:kern w:val="0"/>
          <w:sz w:val="24"/>
          <w:szCs w:val="24"/>
        </w:rPr>
        <w:t>管理人报告</w:t>
      </w:r>
    </w:p>
    <w:p w:rsidP="005C6DF3" w:rsidR="005C6DF3" w:rsidRDefault="001C36D8" w:rsidRPr="0078105B">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4.1 </w:t>
      </w:r>
      <w:r w:rsidRPr="00272E0C">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5C6DF3" w:rsidRPr="0078105B" w:rsidTr="00B7074C">
        <w:trPr>
          <w:cantSplit/>
        </w:trPr>
        <w:tc>
          <w:tcPr>
            <w:tcW w:type="dxa" w:w="567"/>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w:t>
            </w:r>
            <w:r w:rsidRPr="00FA472B">
              <w:rPr>
                <w:color w:val="000000"/>
                <w:kern w:val="0"/>
                <w:sz w:val="24"/>
              </w:rPr>
              <w:lastRenderedPageBreak/>
              <w:t>年限</w:t>
            </w:r>
          </w:p>
        </w:tc>
        <w:tc>
          <w:tcPr>
            <w:tcW w:type="dxa" w:w="2977"/>
            <w:vMerge w:val="restart"/>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lastRenderedPageBreak/>
              <w:t>说明</w:t>
            </w:r>
          </w:p>
        </w:tc>
      </w:tr>
      <w:tr w:rsidR="005C6DF3" w:rsidRPr="0078105B" w:rsidTr="00B7074C">
        <w:trPr>
          <w:cantSplit/>
        </w:trPr>
        <w:tc>
          <w:tcPr>
            <w:tcW w:type="dxa" w:w="567"/>
            <w:vMerge/>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p>
        </w:tc>
        <w:tc>
          <w:tcPr>
            <w:tcW w:type="dxa" w:w="2835"/>
            <w:vMerge/>
          </w:tcPr>
          <w:p w:rsidP="00B7074C" w:rsidR="005C6DF3" w:rsidRDefault="005C6DF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B7074C" w:rsidR="005C6DF3" w:rsidRDefault="005C6DF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余海燕</w:t>
            </w:r>
          </w:p>
        </w:tc>
        <w:tc>
          <w:tcPr>
            <w:vAlign w:val="center"/>
          </w:tcPr>
          <w:p>
            <w:pPr>
              <w:jc w:val="left"/>
            </w:pPr>
            <w:r>
              <w:rPr>
                <w:color w:val="000000"/>
                <w:sz w:val="24"/>
              </w:rPr>
              <w:t>本基金的基金经理、易方达沪深300医药卫生交易型开放式指数证券投资基金的基金经理、易方达沪深300非银行金融交易型开放式指数证券投资基金的基金经理、易方达沪深300非银行金融交易型开放式指数证券投资基金联接基金的基金经理、易方达国企改革指数分级证券投资基金的基金经理、易方达证券公司指数分级证券投资基金的基金经理、易方达军工指数分级证券投资基金的基金经理、易方达中证500交易型开放式指数证券投资基金的基金经理、易方达沪深300交易型开放式指数发起式证券投资基金的基金经理、易方达沪深300交易型开放式指数发起式证券投资基金联接基金的基金经理、易方达中证海外中国互联网50交易型开放式指数证券投资基金的基金经理、易方达中证军工交易型开放式指数证券投资基金的基金经理、易方达中证全指证券公司交易型开放式指数证券投资基金的基金经理、易方达沪深300医药卫生交易型开放式指数证券投资基金联接基金的基金经理、易方达黄金交易型开放式证券投资基金联接基金的基金经理、易方达恒生中国企业交易型开放式指数证券投资基金的基金经理、易方达恒生中国企业交易型开放式指数证券投资基金联接基金的基金经理、易方达黄金交易型开放式证券投资基金的基金经理、易方达中证海外中国互联网50交易型开放式指数证券投资基金联接基金的基金经理、易方达中证500交易型开放式指数证券投资基金发起式联接基金的基金经理、易方达日兴资管日经225交易型开放式指数证券投资基金（QDII）的基金经理、易方达上证50交易型开放式指数证券投资基金的基金经理、易方达上证50交易型开放式指数证券投资基金发起式联接基金的基金经理、指数投资部副总经理、指数投资决策委员会委员</w:t>
            </w:r>
          </w:p>
        </w:tc>
        <w:tc>
          <w:tcPr>
            <w:vAlign w:val="center"/>
          </w:tcPr>
          <w:p>
            <w:pPr>
              <w:jc w:val="center"/>
            </w:pPr>
            <w:r>
              <w:rPr>
                <w:color w:val="000000"/>
                <w:sz w:val="24"/>
              </w:rPr>
              <w:t>2015-04-15</w:t>
            </w:r>
          </w:p>
        </w:tc>
        <w:tc>
          <w:tcPr>
            <w:vAlign w:val="center"/>
          </w:tcPr>
          <w:p>
            <w:pPr>
              <w:jc w:val="center"/>
            </w:pPr>
            <w:r>
              <w:rPr>
                <w:color w:val="000000"/>
                <w:sz w:val="24"/>
              </w:rPr>
              <w:t>-</w:t>
            </w:r>
          </w:p>
        </w:tc>
        <w:tc>
          <w:tcPr>
            <w:vAlign w:val="center"/>
          </w:tcPr>
          <w:p>
            <w:pPr>
              <w:jc w:val="center"/>
            </w:pPr>
            <w:r>
              <w:rPr>
                <w:color w:val="000000"/>
                <w:sz w:val="24"/>
              </w:rPr>
              <w:t>15年</w:t>
            </w:r>
          </w:p>
        </w:tc>
        <w:tc>
          <w:tcPr>
            <w:vAlign w:val="center"/>
          </w:tcPr>
          <w:p>
            <w:pPr>
              <w:jc w:val="both"/>
            </w:pPr>
            <w:r>
              <w:rPr>
                <w:color w:val="000000"/>
                <w:sz w:val="24"/>
              </w:rPr>
              <w:t>硕士研究生，具有基金从业资格。曾任汇丰银行Consumer Credit Risk信用风险分析师，华宝兴业基金管理有限公司分析师、基金经理助理、基金经理，易方达基金管理有限公司投资发展部产品经理。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2761" w:rsidR="00C72761" w:rsidRDefault="005C6DF3">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CB041A"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4.2</w:t>
      </w:r>
      <w:r w:rsidRPr="00272E0C">
        <w:rPr>
          <w:rFonts w:ascii="宋体" w:hAnsi="宋体" w:hint="eastAsia"/>
          <w:b/>
          <w:bCs/>
          <w:color w:val="000000"/>
          <w:sz w:val="24"/>
        </w:rPr>
        <w:t>管理人对报告期内本基金运作遵规守信情况的说明</w: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lastRenderedPageBreak/>
        <w:t xml:space="preserve">4.3 </w:t>
      </w:r>
      <w:r w:rsidRPr="00272E0C">
        <w:rPr>
          <w:rFonts w:ascii="宋体" w:cs="Arial" w:hAnsi="宋体" w:hint="eastAsia"/>
          <w:b/>
          <w:color w:val="000000"/>
          <w:kern w:val="0"/>
          <w:sz w:val="24"/>
        </w:rPr>
        <w:t>公平交易专项说明</w:t>
      </w:r>
    </w:p>
    <w:p w:rsidP="003A4DA3" w:rsidR="001C36D8" w:rsidRDefault="001C36D8" w:rsidRPr="00272E0C">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hAnsi="宋体"/>
            <w:sz w:val="24"/>
          </w:rPr>
          <w:t>4.3.1</w:t>
        </w:r>
      </w:smartTag>
      <w:r w:rsidRPr="00272E0C">
        <w:rPr>
          <w:rFonts w:ascii="宋体" w:hAnsi="宋体" w:hint="eastAsia"/>
          <w:sz w:val="24"/>
        </w:rPr>
        <w:t>公平交易制度的执行情况</w:t>
      </w:r>
    </w:p>
    <w:p w:rsidP="0015779C"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3A4DA3" w:rsidR="001C36D8" w:rsidRDefault="001C36D8" w:rsidRPr="00272E0C">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272E0C">
          <w:rPr>
            <w:rFonts w:ascii="宋体" w:hAnsi="宋体"/>
            <w:sz w:val="24"/>
          </w:rPr>
          <w:t>4.3.2</w:t>
        </w:r>
      </w:smartTag>
      <w:r w:rsidRPr="00272E0C">
        <w:rPr>
          <w:rFonts w:ascii="宋体" w:hAnsi="宋体" w:hint="eastAsia"/>
          <w:sz w:val="24"/>
        </w:rPr>
        <w:t>异常交易行为的专项说明</w:t>
      </w:r>
    </w:p>
    <w:p>
      <w:pPr>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061008" w:rsidR="001C36D8" w:rsidRDefault="001C36D8" w:rsidRPr="00272E0C">
      <w:pPr>
        <w:spacing w:line="360" w:lineRule="auto"/>
        <w:ind w:firstLine="480" w:firstLineChars="200"/>
        <w:rPr>
          <w:rFonts w:ascii="宋体" w:cs="Arial"/>
          <w:b/>
          <w:color w:val="000000"/>
          <w:kern w:val="0"/>
          <w:sz w:val="24"/>
        </w:rPr>
      </w:pPr>
      <w:r w:rsidRPr="003D22BD">
        <w:rPr>
          <w:color w:val="000000"/>
          <w:sz w:val="24"/>
        </w:rPr>
        <w:t/>
      </w:r>
      <w:proofErr w:type="spellStart"/>
      <w:proofErr w:type="gramStart"/>
      <w:r w:rsidRPr="003D22BD">
        <w:rPr>
          <w:color w:val="000000"/>
          <w:sz w:val="24"/>
        </w:rPr>
        <w:t/>
      </w:r>
      <w:proofErr w:type="spellEnd"/>
      <w:proofErr w:type="gramEnd"/>
      <w:r w:rsidRPr="003D22BD">
        <w:rPr>
          <w:color w:val="000000"/>
          <w:sz w:val="24"/>
        </w:rPr>
        <w:t>本报告期内，未发现本基金有可能导致不公平交易和利益输送的异常交易。</w:t>
      </w:r>
      <w:r w:rsidR="00061008" w:rsidRPr="00272E0C">
        <w:rPr>
          <w:rFonts w:ascii="宋体" w:cs="Arial"/>
          <w:b/>
          <w:color w:val="000000"/>
          <w:kern w:val="0"/>
          <w:sz w:val="24"/>
        </w:rPr>
        <w:t xml:space="preserve"> </w:t>
      </w:r>
    </w:p>
    <w:p w:rsidP="00061008" w:rsidR="001C36D8" w:rsidRDefault="00061008" w:rsidRPr="00061008">
      <w:pPr>
        <w:autoSpaceDE w:val="0"/>
        <w:autoSpaceDN w:val="0"/>
        <w:adjustRightInd w:val="0"/>
        <w:spacing w:line="360" w:lineRule="auto"/>
        <w:jc w:val="left"/>
        <w:rPr>
          <w:rFonts w:ascii="宋体" w:cs="Arial" w:hAnsi="宋体"/>
          <w:b/>
          <w:color w:val="000000"/>
          <w:kern w:val="0"/>
          <w:sz w:val="24"/>
        </w:rPr>
      </w:pPr>
      <w:r w:rsidRPr="00061008">
        <w:rPr>
          <w:rFonts w:ascii="宋体" w:cs="Arial" w:hAnsi="宋体"/>
          <w:b/>
          <w:color w:val="000000"/>
          <w:kern w:val="0"/>
          <w:sz w:val="24"/>
        </w:rPr>
        <w:t>4.4</w:t>
      </w:r>
      <w:r w:rsidRPr="00061008">
        <w:rPr>
          <w:rFonts w:ascii="宋体" w:cs="Arial" w:hAnsi="宋体" w:hint="eastAsia"/>
          <w:b/>
          <w:color w:val="000000"/>
          <w:kern w:val="0"/>
          <w:sz w:val="24"/>
        </w:rPr>
        <w:t xml:space="preserve"> </w:t>
      </w:r>
      <w:r w:rsidR="001C36D8" w:rsidRPr="00061008">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2020年三季度国内宏观经济持续复苏，经济的内生增长性增强。随着我国疫情防控取得阶段性胜利，经济运行逐步回归常态，受益于生产、需求以及价格三个方面的综合改善，8月份单月规模以上工业企业实现利润6128.1亿元，同比增长19.1%，已连续3个月实现双位数高增长。9月制造业PMI较上月上涨0.5个百分点至51.5%，已连续第7个月处于扩张区间，处于2018年3季度以来高位；9月非制造业PMI 55.9%，较上月提升0.7个百分点。PMI指标预示经济复苏提速，供需分化持续收敛，服务业加速修复，经济内生增长动能不断释放。宏观政策方面，在国内经济受益于疫情防控得力的背景下，央行的货币政策在经济韧性下逐步回归常态，本季度央行货币政策操作中性偏紧，从前瞻调整转向相机调整，央行在公开市场投放依然审慎，流动性结构性偏紧。海外市场方面，欧洲疫情反扑，9月下旬西班牙、意大利实施新的封锁措施，英国政府也开始考虑二次封锁，使得此前欧洲疫情控制显著好于美国、欧洲经济复苏快于美国的状况发生了逆转，导致美元指数在9月份以来出现回升。资本市场方面，虽然三季度存在中美贸易协商等在内的诸多经贸、政治和全球地缘政治的潜在冲突，但中国经济复苏的确定性、低估值行业的复苏和体制优势使得A股具备较强韧性，市场依然延续了前期震荡上行的趋势，三季度上证综指以上涨7.82%收官。风格主题方面，A股市场从年初以来的估值驱动逐步向业绩驱动转向，前期表现相对弱势的低估值顺周期板块受到市场关注，市场风格趋于均衡，沪深300指数、上证50指数、创业板指分别上涨10.17%、9.87%、5.60%；行业方面，休闲服务、国防军工、电气设备、汽车、食品饮料、证券公司、化工等板块表现强势，通信、商业贸易、计算机、农林牧渔等板块表现相对落后。</w:t>
      </w:r>
    </w:p>
    <w:p w:rsidP="0015779C"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报告期内本基金为正常运作期，在操作中，我们严格遵守基金合同，坚持既定的指数化投资策略，在指数权重调整和基金申赎变动时，应用指数复制和数量化技术降低冲击成本和减少跟踪误差。</w:t>
      </w:r>
    </w:p>
    <w:p w:rsidP="00061008" w:rsidR="001C36D8" w:rsidRDefault="001C36D8" w:rsidRPr="00061008">
      <w:pPr>
        <w:autoSpaceDE w:val="0"/>
        <w:autoSpaceDN w:val="0"/>
        <w:adjustRightInd w:val="0"/>
        <w:spacing w:line="360" w:lineRule="auto"/>
        <w:jc w:val="left"/>
        <w:rPr>
          <w:rFonts w:ascii="宋体" w:cs="Arial" w:hAnsi="宋体"/>
          <w:b/>
          <w:color w:val="000000"/>
          <w:kern w:val="0"/>
          <w:sz w:val="24"/>
        </w:rPr>
      </w:pPr>
      <w:r w:rsidRPr="00061008">
        <w:rPr>
          <w:rFonts w:ascii="宋体" w:cs="Arial" w:hAnsi="宋体"/>
          <w:b/>
          <w:color w:val="000000"/>
          <w:kern w:val="0"/>
          <w:sz w:val="24"/>
        </w:rPr>
        <w:t>4.</w:t>
      </w:r>
      <w:r w:rsidR="00061008">
        <w:rPr>
          <w:rFonts w:ascii="宋体" w:cs="Arial" w:hAnsi="宋体"/>
          <w:b/>
          <w:color w:val="000000"/>
          <w:kern w:val="0"/>
          <w:sz w:val="24"/>
        </w:rPr>
        <w:t>5</w:t>
      </w:r>
      <w:r w:rsidR="00061008">
        <w:rPr>
          <w:rFonts w:ascii="宋体" w:cs="Arial" w:hAnsi="宋体" w:hint="eastAsia"/>
          <w:b/>
          <w:color w:val="000000"/>
          <w:kern w:val="0"/>
          <w:sz w:val="24"/>
        </w:rPr>
        <w:t xml:space="preserve"> </w:t>
      </w:r>
      <w:r w:rsidRPr="00061008">
        <w:rPr>
          <w:rFonts w:ascii="宋体" w:cs="Arial" w:hAnsi="宋体" w:hint="eastAsia"/>
          <w:b/>
          <w:color w:val="000000"/>
          <w:kern w:val="0"/>
          <w:sz w:val="24"/>
        </w:rPr>
        <w:t>报告期内基金的业绩表现</w:t>
      </w:r>
    </w:p>
    <w:p w:rsidP="00061008" w:rsidR="001C36D8" w:rsidRDefault="001C36D8">
      <w:pPr>
        <w:spacing w:line="360" w:lineRule="auto"/>
        <w:ind w:firstLine="480" w:firstLineChars="200"/>
        <w:rPr>
          <w:color w:val="000000"/>
          <w:sz w:val="24"/>
        </w:rPr>
      </w:pPr>
      <w:r w:rsidRPr="003D22BD">
        <w:rPr>
          <w:color w:val="000000"/>
          <w:sz w:val="24"/>
        </w:rPr>
        <w:t/>
      </w:r>
      <w:proofErr w:type="spellStart"/>
      <w:proofErr w:type="gramStart"/>
      <w:r w:rsidRPr="003D22BD">
        <w:rPr>
          <w:color w:val="000000"/>
          <w:sz w:val="24"/>
        </w:rPr>
        <w:t/>
      </w:r>
      <w:proofErr w:type="spellEnd"/>
      <w:proofErr w:type="gramEnd"/>
      <w:r w:rsidRPr="003D22BD">
        <w:rPr>
          <w:color w:val="000000"/>
          <w:sz w:val="24"/>
        </w:rPr>
        <w:t>截至报告期末，本基金份额净值为1.1387元，本报告期份额净值增长率为14.33%，同期业绩比较基准收益率为9.38%，年化跟踪误差1.61%，各项指标均在合同规定的目标控制范围之内。</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sidRPr="00272E0C">
        <w:rPr>
          <w:rFonts w:ascii="宋体" w:cs="Arial" w:hAnsi="宋体"/>
          <w:color w:val="000000"/>
          <w:kern w:val="0"/>
          <w:sz w:val="24"/>
          <w:szCs w:val="24"/>
        </w:rPr>
        <w:t xml:space="preserve">5  </w:t>
      </w:r>
      <w:r w:rsidRPr="00272E0C">
        <w:rPr>
          <w:rFonts w:ascii="宋体" w:cs="Arial" w:hAnsi="宋体" w:hint="eastAsia"/>
          <w:color w:val="000000"/>
          <w:kern w:val="0"/>
          <w:sz w:val="24"/>
          <w:szCs w:val="24"/>
        </w:rPr>
        <w:t>投资组合报告</w:t>
      </w:r>
    </w:p>
    <w:p w:rsidP="003A4DA3"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5.1 </w:t>
      </w:r>
      <w:r w:rsidRPr="00272E0C">
        <w:rPr>
          <w:rFonts w:ascii="宋体" w:cs="Arial" w:hAnsi="宋体" w:hint="eastAsia"/>
          <w:b/>
          <w:color w:val="000000"/>
          <w:kern w:val="0"/>
          <w:sz w:val="24"/>
        </w:rPr>
        <w:t>报告期末基金资产组合情况</w:t>
      </w:r>
    </w:p>
    <w:tbl>
      <w:tblPr>
        <w:tblW w:type="dxa" w:w="8746"/>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643"/>
        <w:gridCol w:w="3283"/>
        <w:gridCol w:w="2977"/>
        <w:gridCol w:w="1843"/>
      </w:tblGrid>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序号</w:t>
            </w:r>
          </w:p>
        </w:tc>
        <w:tc>
          <w:tcPr>
            <w:tcW w:type="dxa" w:w="3283"/>
            <w:vAlign w:val="center"/>
          </w:tcPr>
          <w:p w:rsidP="001A09F9" w:rsidR="001C36D8" w:rsidRDefault="001C36D8" w:rsidRPr="005B1E0B">
            <w:pPr>
              <w:spacing w:before="29" w:line="360" w:lineRule="auto"/>
              <w:ind w:left="17"/>
              <w:jc w:val="center"/>
              <w:rPr>
                <w:color w:val="000000"/>
                <w:sz w:val="24"/>
              </w:rPr>
            </w:pPr>
            <w:r w:rsidRPr="005B1E0B">
              <w:rPr>
                <w:color w:val="000000"/>
                <w:sz w:val="24"/>
              </w:rPr>
              <w:t>项目</w:t>
            </w:r>
          </w:p>
        </w:tc>
        <w:tc>
          <w:tcPr>
            <w:tcW w:type="dxa" w:w="2977"/>
            <w:vAlign w:val="center"/>
          </w:tcPr>
          <w:p w:rsidP="0015779C" w:rsidR="001C36D8" w:rsidRDefault="001C36D8" w:rsidRPr="005B1E0B">
            <w:pPr>
              <w:spacing w:before="29" w:line="360" w:lineRule="auto"/>
              <w:ind w:left="17"/>
              <w:jc w:val="center"/>
              <w:rPr>
                <w:color w:val="000000"/>
                <w:sz w:val="24"/>
              </w:rPr>
            </w:pPr>
            <w:r w:rsidRPr="005B1E0B">
              <w:rPr>
                <w:color w:val="000000"/>
                <w:sz w:val="24"/>
              </w:rPr>
              <w:t>金额</w:t>
            </w:r>
            <w:r w:rsidR="0015779C" w:rsidRPr="005B1E0B">
              <w:rPr>
                <w:color w:val="000000"/>
                <w:sz w:val="24"/>
              </w:rPr>
              <w:t>（元）</w:t>
            </w:r>
          </w:p>
        </w:tc>
        <w:tc>
          <w:tcPr>
            <w:tcW w:type="dxa" w:w="1843"/>
            <w:vAlign w:val="center"/>
          </w:tcPr>
          <w:p w:rsidP="0015779C" w:rsidR="001C36D8" w:rsidRDefault="001C36D8" w:rsidRPr="005B1E0B">
            <w:pPr>
              <w:spacing w:before="29" w:line="360" w:lineRule="auto"/>
              <w:ind w:left="17"/>
              <w:jc w:val="center"/>
              <w:rPr>
                <w:color w:val="000000"/>
                <w:sz w:val="24"/>
              </w:rPr>
            </w:pPr>
            <w:r w:rsidRPr="005B1E0B">
              <w:rPr>
                <w:color w:val="000000"/>
                <w:sz w:val="24"/>
              </w:rPr>
              <w:t>占基金总资产的比例</w:t>
            </w:r>
            <w:r w:rsidR="0015779C" w:rsidRPr="005B1E0B">
              <w:rPr>
                <w:color w:val="000000"/>
                <w:sz w:val="24"/>
              </w:rPr>
              <w:t>（</w:t>
            </w:r>
            <w:r w:rsidR="0015779C" w:rsidRPr="005B1E0B">
              <w:rPr>
                <w:color w:val="000000"/>
                <w:sz w:val="24"/>
              </w:rPr>
              <w:t>%</w:t>
            </w:r>
            <w:r w:rsidR="0015779C"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1</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权益投资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330,818,828.78</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93.91</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其中：股票</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330,818,828.78</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93.91</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2</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固定收益投资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r w:rsidRPr="005B1E0B">
              <w:rPr>
                <w:color w:val="000000"/>
                <w:sz w:val="24"/>
              </w:rPr>
              <w:lastRenderedPageBreak/>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其中：债券</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autoSpaceDE w:val="0"/>
              <w:autoSpaceDN w:val="0"/>
              <w:adjustRightInd w:val="0"/>
              <w:spacing w:before="29" w:line="360" w:lineRule="auto"/>
              <w:ind w:left="17"/>
              <w:jc w:val="left"/>
              <w:rPr>
                <w:color w:val="000000"/>
                <w:sz w:val="24"/>
              </w:rPr>
            </w:pPr>
            <w:r w:rsidRPr="005B1E0B">
              <w:rPr>
                <w:color w:val="000000"/>
                <w:sz w:val="24"/>
              </w:rPr>
              <w:t>资产支持证券</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tcPr>
          <w:p w:rsidP="001A09F9" w:rsidR="001C36D8" w:rsidRDefault="001C36D8" w:rsidRPr="005B1E0B">
            <w:pPr>
              <w:spacing w:before="29" w:line="360" w:lineRule="auto"/>
              <w:ind w:left="17"/>
              <w:jc w:val="center"/>
              <w:rPr>
                <w:color w:val="000000"/>
                <w:sz w:val="24"/>
              </w:rPr>
            </w:pPr>
            <w:r w:rsidRPr="005B1E0B">
              <w:rPr>
                <w:color w:val="000000"/>
                <w:sz w:val="24"/>
              </w:rPr>
              <w:t>3</w:t>
            </w:r>
          </w:p>
        </w:tc>
        <w:tc>
          <w:tcPr>
            <w:tcW w:type="dxa" w:w="3283"/>
          </w:tcPr>
          <w:p w:rsidP="0015779C" w:rsidR="001C36D8" w:rsidRDefault="001C36D8" w:rsidRPr="005B1E0B">
            <w:pPr>
              <w:spacing w:before="29" w:line="360" w:lineRule="auto"/>
              <w:ind w:left="105" w:leftChars="50"/>
              <w:rPr>
                <w:color w:val="000000"/>
                <w:sz w:val="24"/>
              </w:rPr>
            </w:pPr>
            <w:r w:rsidRPr="005B1E0B">
              <w:rPr>
                <w:color w:val="000000"/>
                <w:sz w:val="24"/>
              </w:rPr>
              <w:t>贵金属投资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4</w:t>
            </w:r>
          </w:p>
        </w:tc>
        <w:tc>
          <w:tcPr>
            <w:tcW w:type="dxa" w:w="3283"/>
            <w:vAlign w:val="center"/>
          </w:tcPr>
          <w:p w:rsidP="001A09F9" w:rsidR="001C36D8" w:rsidRDefault="001C36D8" w:rsidRPr="005B1E0B">
            <w:pPr>
              <w:spacing w:before="29" w:line="360" w:lineRule="auto"/>
              <w:ind w:left="17"/>
              <w:jc w:val="left"/>
              <w:rPr>
                <w:color w:val="000000"/>
                <w:sz w:val="24"/>
              </w:rPr>
            </w:pPr>
            <w:r w:rsidRPr="005B1E0B">
              <w:rPr>
                <w:color w:val="000000"/>
                <w:sz w:val="24"/>
              </w:rPr>
              <w:t>金融衍生品投资</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5</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买入返售金融资产</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r w:rsidRPr="005B1E0B">
              <w:rPr>
                <w:color w:val="000000"/>
                <w:sz w:val="24"/>
              </w:rPr>
              <w:lastRenderedPageBreak/>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其中：买断式回购的买入返售金融资产</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6</w:t>
            </w:r>
          </w:p>
        </w:tc>
        <w:tc>
          <w:tcPr>
            <w:tcW w:type="dxa" w:w="3283"/>
            <w:vAlign w:val="center"/>
          </w:tcPr>
          <w:p w:rsidP="001A09F9" w:rsidR="001C36D8" w:rsidRDefault="001C36D8" w:rsidRPr="005B1E0B">
            <w:pPr>
              <w:spacing w:before="29" w:line="360" w:lineRule="auto"/>
              <w:ind w:left="17"/>
              <w:jc w:val="left"/>
              <w:rPr>
                <w:sz w:val="24"/>
              </w:rPr>
            </w:pPr>
            <w:r w:rsidRPr="005B1E0B">
              <w:rPr>
                <w:color w:val="000000"/>
                <w:sz w:val="24"/>
              </w:rPr>
              <w:t>银行存款和结算备付金合计</w:t>
            </w:r>
          </w:p>
        </w:tc>
        <w:tc>
          <w:tcPr>
            <w:tcW w:type="dxa" w:w="2977"/>
            <w:vAlign w:val="center"/>
          </w:tcPr>
          <w:p w:rsidP="001A09F9" w:rsidR="001C36D8" w:rsidRDefault="001C36D8" w:rsidRPr="005B1E0B">
            <w:pPr>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21,338,114.37</w:t>
            </w:r>
          </w:p>
        </w:tc>
        <w:tc>
          <w:tcPr>
            <w:tcW w:type="dxa" w:w="1843"/>
            <w:vAlign w:val="center"/>
          </w:tcPr>
          <w:p w:rsidP="001A09F9" w:rsidR="001C36D8" w:rsidRDefault="001C36D8" w:rsidRPr="005B1E0B">
            <w:pPr>
              <w:spacing w:before="29" w:line="360" w:lineRule="auto"/>
              <w:ind w:left="17"/>
              <w:jc w:val="right"/>
              <w:rPr>
                <w:color w:val="000000"/>
                <w:sz w:val="24"/>
              </w:rPr>
            </w:pPr>
            <w:r w:rsidRPr="005B1E0B">
              <w:rPr>
                <w:color w:val="000000"/>
                <w:sz w:val="24"/>
              </w:rPr>
              <w:t>6.06</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7</w:t>
            </w:r>
          </w:p>
        </w:tc>
        <w:tc>
          <w:tcPr>
            <w:tcW w:type="dxa" w:w="3283"/>
            <w:vAlign w:val="center"/>
          </w:tcPr>
          <w:p w:rsidP="001A09F9" w:rsidR="001C36D8" w:rsidRDefault="001C36D8" w:rsidRPr="005B1E0B">
            <w:pPr>
              <w:jc w:val="left"/>
              <w:rPr>
                <w:sz w:val="24"/>
              </w:rPr>
            </w:pPr>
            <w:r w:rsidRPr="005B1E0B">
              <w:rPr>
                <w:color w:val="000000"/>
                <w:sz w:val="24"/>
              </w:rPr>
              <w:t>其他资产</w:t>
            </w:r>
          </w:p>
        </w:tc>
        <w:tc>
          <w:tcPr>
            <w:tcW w:type="dxa" w:w="2977"/>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132,924.03</w:t>
            </w:r>
          </w:p>
        </w:tc>
        <w:tc>
          <w:tcPr>
            <w:tcW w:type="dxa" w:w="1843"/>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0.04</w:t>
            </w:r>
          </w:p>
        </w:tc>
      </w:tr>
      <w:tr w:rsidR="001C36D8" w:rsidRPr="00264E55" w:rsidTr="00737AB0">
        <w:trPr>
          <w:jc w:val="center"/>
        </w:trPr>
        <w:tc>
          <w:tcPr>
            <w:tcW w:type="dxa" w:w="643"/>
            <w:vAlign w:val="center"/>
          </w:tcPr>
          <w:p w:rsidP="001A09F9" w:rsidR="001C36D8" w:rsidRDefault="001C36D8" w:rsidRPr="005B1E0B">
            <w:pPr>
              <w:spacing w:before="29" w:line="360" w:lineRule="auto"/>
              <w:ind w:left="17"/>
              <w:jc w:val="center"/>
              <w:rPr>
                <w:color w:val="000000"/>
                <w:sz w:val="24"/>
              </w:rPr>
            </w:pPr>
            <w:r w:rsidRPr="005B1E0B">
              <w:rPr>
                <w:color w:val="000000"/>
                <w:sz w:val="24"/>
              </w:rPr>
              <w:t>8</w:t>
            </w:r>
          </w:p>
        </w:tc>
        <w:tc>
          <w:tcPr>
            <w:tcW w:type="dxa" w:w="3283"/>
            <w:vAlign w:val="center"/>
          </w:tcPr>
          <w:p w:rsidP="001A09F9" w:rsidR="001C36D8" w:rsidRDefault="001C36D8" w:rsidRPr="005B1E0B">
            <w:pPr>
              <w:jc w:val="left"/>
              <w:rPr>
                <w:sz w:val="24"/>
              </w:rPr>
            </w:pPr>
            <w:r w:rsidRPr="005B1E0B">
              <w:rPr>
                <w:color w:val="000000"/>
                <w:sz w:val="24"/>
              </w:rPr>
              <w:t>合计</w:t>
            </w:r>
          </w:p>
        </w:tc>
        <w:tc>
          <w:tcPr>
            <w:tcW w:type="dxa" w:w="2977"/>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352,289,867.18</w:t>
            </w:r>
          </w:p>
        </w:tc>
        <w:tc>
          <w:tcPr>
            <w:tcW w:type="dxa" w:w="1843"/>
            <w:vAlign w:val="center"/>
          </w:tcPr>
          <w:p w:rsidP="001A09F9" w:rsidR="001C36D8" w:rsidRDefault="001C36D8" w:rsidRPr="005B1E0B">
            <w:pPr>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100.00</w:t>
            </w:r>
          </w:p>
        </w:tc>
      </w:tr>
    </w:tbl>
    <w:p w:rsidP="00737AB0" w:rsidR="00737AB0" w:rsidRDefault="00737AB0"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rPr>
      </w:pPr>
      <w:r w:rsidRPr="00220C32">
        <w:rPr>
          <w:rFonts w:asciiTheme="minorEastAsia" w:eastAsiaTheme="minorEastAsia" w:hAnsiTheme="minorEastAsia"/>
          <w:b/>
          <w:bCs/>
          <w:color w:themeColor="text1" w:val="000000"/>
          <w:kern w:val="0"/>
          <w:sz w:val="24"/>
        </w:rPr>
        <w:t xml:space="preserve">5.2 </w:t>
      </w:r>
      <w:r w:rsidRPr="00220C32">
        <w:rPr>
          <w:rFonts w:asciiTheme="minorEastAsia" w:eastAsiaTheme="minorEastAsia" w:hAnsiTheme="minorEastAsia" w:hint="eastAsia"/>
          <w:b/>
          <w:bCs/>
          <w:color w:themeColor="text1" w:val="000000"/>
          <w:kern w:val="0"/>
          <w:sz w:val="24"/>
        </w:rPr>
        <w:t>报告期末按行业分类的股票投资组合</w:t>
      </w:r>
    </w:p>
    <w:p w:rsidP="00737AB0" w:rsidR="00737AB0" w:rsidRDefault="00737AB0" w:rsidRPr="000D7474">
      <w:pPr>
        <w:rPr>
          <w:rFonts w:asciiTheme="minorEastAsia" w:eastAsiaTheme="minorEastAsia" w:hAnsiTheme="minorEastAsia"/>
          <w:b/>
          <w:bCs/>
          <w:color w:themeColor="text1" w:val="000000"/>
          <w:kern w:val="0"/>
          <w:sz w:val="24"/>
        </w:rPr>
      </w:pPr>
      <w:r w:rsidRPr="000D7474">
        <w:rPr>
          <w:rFonts w:asciiTheme="minorEastAsia" w:eastAsiaTheme="minorEastAsia" w:hAnsiTheme="minorEastAsia"/>
          <w:b/>
          <w:bCs/>
          <w:color w:themeColor="text1" w:val="000000"/>
          <w:kern w:val="0"/>
          <w:sz w:val="24"/>
        </w:rPr>
        <w:t/>
      </w:r>
      <w:proofErr w:type="spellStart"/>
      <w:r w:rsidRPr="000D7474">
        <w:rPr>
          <w:rFonts w:asciiTheme="minorEastAsia" w:eastAsiaTheme="minorEastAsia" w:hAnsiTheme="minorEastAsia"/>
          <w:b/>
          <w:bCs/>
          <w:color w:themeColor="text1" w:val="000000"/>
          <w:kern w:val="0"/>
          <w:sz w:val="24"/>
        </w:rPr>
        <w:t/>
      </w:r>
      <w:proofErr w:type="spellEnd"/>
      <w:r w:rsidRPr="000D7474">
        <w:rPr>
          <w:rFonts w:asciiTheme="minorEastAsia" w:eastAsiaTheme="minorEastAsia" w:hAnsiTheme="minorEastAsia"/>
          <w:b/>
          <w:bCs/>
          <w:color w:themeColor="text1" w:val="000000"/>
          <w:kern w:val="0"/>
          <w:sz w:val="24"/>
        </w:rPr>
        <w:t/>
      </w:r>
      <w:r w:rsidRPr="000D7474">
        <w:rPr>
          <w:rFonts w:asciiTheme="minorEastAsia" w:eastAsiaTheme="minorEastAsia" w:hAnsiTheme="minorEastAsia" w:hint="eastAsia"/>
          <w:b/>
          <w:bCs/>
          <w:color w:themeColor="text1" w:val="000000"/>
          <w:kern w:val="0"/>
          <w:sz w:val="24"/>
        </w:rPr>
        <w:t>5.2.1报告期末按行业分类的境内股票投资组合</w:t>
      </w:r>
    </w:p>
    <w:tbl>
      <w:tblPr>
        <w:tblW w:type="dxa" w:w="8976"/>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85"/>
        <w:gridCol w:w="3691"/>
        <w:gridCol w:w="2852"/>
        <w:gridCol w:w="1648"/>
      </w:tblGrid>
      <w:tr w:rsidR="00737AB0" w:rsidRPr="008C2A4F" w:rsidTr="00EF063B">
        <w:trPr>
          <w:trHeight w:val="390"/>
        </w:trPr>
        <w:tc>
          <w:tcPr>
            <w:tcW w:type="dxa" w:w="785"/>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代码</w:t>
            </w: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行业类别</w:t>
            </w:r>
          </w:p>
        </w:tc>
        <w:tc>
          <w:tcPr>
            <w:tcW w:type="dxa" w:w="2852"/>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公允价值（元）</w:t>
            </w:r>
          </w:p>
        </w:tc>
        <w:tc>
          <w:tcPr>
            <w:tcW w:type="dxa" w:w="1648"/>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占基金资产净值比例（％）</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A</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农、林、牧、渔业</w:t>
            </w:r>
          </w:p>
        </w:tc>
        <w:tc>
          <w:tcPr>
            <w:tcW w:type="dxa" w:w="2852"/>
            <w:vAlign w:val="center"/>
          </w:tcPr>
          <w:p w:rsidP="00D94F96" w:rsidR="00737AB0" w:rsidRDefault="00737AB0" w:rsidRPr="008C2A4F">
            <w:pPr>
              <w:autoSpaceDE w:val="0"/>
              <w:autoSpaceDN w:val="0"/>
              <w:adjustRightInd w:val="0"/>
              <w:spacing w:before="29" w:line="360" w:lineRule="auto"/>
              <w:ind w:left="15"/>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autoSpaceDE w:val="0"/>
              <w:autoSpaceDN w:val="0"/>
              <w:adjustRightInd w:val="0"/>
              <w:spacing w:before="29" w:line="360" w:lineRule="auto"/>
              <w:ind w:left="15"/>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B</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采矿业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11,254,253.54</w:t>
            </w:r>
          </w:p>
          <w:p w:rsidP="00D94F96" w:rsidR="00737AB0" w:rsidRDefault="00737AB0" w:rsidRPr="008C2A4F">
            <w:pPr>
              <w:jc w:val="right"/>
              <w:rPr>
                <w:rFonts w:eastAsiaTheme="minorEastAsia"/>
                <w:color w:themeColor="text1" w:val="000000"/>
                <w:kern w:val="0"/>
                <w:sz w:val="24"/>
              </w:rPr>
            </w:pP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3.20</w:t>
            </w:r>
          </w:p>
          <w:p w:rsidP="00D94F96" w:rsidR="00737AB0" w:rsidRDefault="00737AB0" w:rsidRPr="008C2A4F">
            <w:pPr>
              <w:jc w:val="right"/>
              <w:rPr>
                <w:rFonts w:eastAsiaTheme="minorEastAsia"/>
                <w:color w:themeColor="text1" w:val="000000"/>
                <w:kern w:val="0"/>
                <w:sz w:val="24"/>
              </w:rPr>
            </w:pP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C</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制造业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125,066,504.56</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35.62</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D</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电力、热力、燃气及水生产和供应业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E</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建筑业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7,429,040.62</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2.12</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F</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批发和零售业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G</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交通运输、仓储和邮政业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4,289,276.25</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1.22</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lastRenderedPageBreak/>
              <w:t>H</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住宿和餐饮业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I</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信息传输、软件和信息技术服务业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6,135,303.83</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1.75</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J</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金融业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154,025,844.02</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43.86</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K</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房地产业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5,839,177.75</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1.66</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L</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租赁和商务服务业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11,191,588.00</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3.19</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M</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科学研究和技术服务业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5,404,063.00</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1.54</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N</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水利、环境和公共设施管理业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183,777.21</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0.05</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O</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居民服务、修理和其他服务业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P</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教育</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Q</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卫生和社会工作</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r w:rsidRPr="008C2A4F">
              <w:rPr>
                <w:rFonts w:eastAsiaTheme="minorEastAsia"/>
                <w:color w:themeColor="text1" w:val="000000"/>
                <w:kern w:val="0"/>
                <w:sz w:val="24"/>
              </w:rPr>
              <w:lastRenderedPageBreak/>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lastRenderedPageBreak/>
              <w:t/>
            </w:r>
            <w:proofErr w:type="spellStart"/>
            <w:r w:rsidRPr="008C2A4F">
              <w:rPr>
                <w:rFonts w:eastAsiaTheme="minorEastAsia"/>
                <w:color w:themeColor="text1" w:val="000000"/>
                <w:kern w:val="0"/>
                <w:sz w:val="24"/>
              </w:rPr>
              <w:t/>
            </w:r>
            <w:r w:rsidRPr="008C2A4F">
              <w:rPr>
                <w:rFonts w:eastAsiaTheme="minorEastAsia"/>
                <w:color w:themeColor="text1" w:val="000000"/>
                <w:kern w:val="0"/>
                <w:sz w:val="24"/>
              </w:rPr>
              <w:lastRenderedPageBreak/>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lastRenderedPageBreak/>
              <w:t>R</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文化、体育和娱乐业</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r w:rsidRPr="008C2A4F">
              <w:rPr>
                <w:rFonts w:eastAsiaTheme="minorEastAsia"/>
                <w:color w:themeColor="text1" w:val="000000"/>
                <w:kern w:val="0"/>
                <w:sz w:val="24"/>
              </w:rPr>
              <w:t>S</w:t>
            </w: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综合</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w:t>
            </w:r>
          </w:p>
        </w:tc>
      </w:tr>
      <w:tr w:rsidR="00737AB0" w:rsidRPr="008C2A4F" w:rsidTr="00EF063B">
        <w:trPr>
          <w:trHeight w:val="285"/>
        </w:trPr>
        <w:tc>
          <w:tcPr>
            <w:tcW w:type="dxa" w:w="785"/>
            <w:tcMar>
              <w:top w:type="dxa" w:w="15"/>
              <w:left w:type="dxa" w:w="15"/>
              <w:bottom w:type="dxa" w:w="0"/>
              <w:right w:type="dxa" w:w="15"/>
            </w:tcMar>
            <w:vAlign w:val="center"/>
          </w:tcPr>
          <w:p w:rsidP="00D94F96" w:rsidR="00737AB0" w:rsidRDefault="00737AB0" w:rsidRPr="008C2A4F">
            <w:pPr>
              <w:adjustRightInd w:val="0"/>
              <w:snapToGrid w:val="0"/>
              <w:spacing w:line="400" w:lineRule="exact"/>
              <w:jc w:val="center"/>
              <w:rPr>
                <w:rFonts w:eastAsiaTheme="minorEastAsia"/>
                <w:color w:themeColor="text1" w:val="000000"/>
                <w:kern w:val="0"/>
                <w:sz w:val="24"/>
              </w:rPr>
            </w:pPr>
          </w:p>
        </w:tc>
        <w:tc>
          <w:tcPr>
            <w:tcW w:type="dxa" w:w="3691"/>
            <w:tcMar>
              <w:top w:type="dxa" w:w="15"/>
              <w:left w:type="dxa" w:w="15"/>
              <w:bottom w:type="dxa" w:w="0"/>
              <w:right w:type="dxa" w:w="15"/>
            </w:tcMar>
            <w:vAlign w:val="center"/>
          </w:tcPr>
          <w:p w:rsidP="00D94F96" w:rsidR="00737AB0" w:rsidRDefault="00737AB0" w:rsidRPr="008C2A4F">
            <w:pPr>
              <w:adjustRightInd w:val="0"/>
              <w:snapToGrid w:val="0"/>
              <w:spacing w:line="400" w:lineRule="exact"/>
              <w:rPr>
                <w:rFonts w:eastAsiaTheme="minorEastAsia"/>
                <w:color w:themeColor="text1" w:val="000000"/>
                <w:kern w:val="0"/>
                <w:sz w:val="24"/>
              </w:rPr>
            </w:pPr>
            <w:r w:rsidRPr="008C2A4F">
              <w:rPr>
                <w:rFonts w:eastAsiaTheme="minorEastAsia"/>
                <w:color w:themeColor="text1" w:val="000000"/>
                <w:kern w:val="0"/>
                <w:sz w:val="24"/>
              </w:rPr>
              <w:t>合计</w:t>
            </w:r>
          </w:p>
        </w:tc>
        <w:tc>
          <w:tcPr>
            <w:tcW w:type="dxa" w:w="2852"/>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330,818,828.78</w:t>
            </w:r>
          </w:p>
        </w:tc>
        <w:tc>
          <w:tcPr>
            <w:tcW w:type="dxa" w:w="1648"/>
            <w:tcMar>
              <w:top w:type="dxa" w:w="15"/>
              <w:left w:type="dxa" w:w="15"/>
              <w:bottom w:type="dxa" w:w="0"/>
              <w:right w:type="dxa" w:w="15"/>
            </w:tcMar>
            <w:vAlign w:val="center"/>
          </w:tcPr>
          <w:p w:rsidP="00D94F96" w:rsidR="00737AB0" w:rsidRDefault="00737AB0" w:rsidRPr="008C2A4F">
            <w:pPr>
              <w:jc w:val="right"/>
              <w:rPr>
                <w:rFonts w:eastAsiaTheme="minorEastAsia"/>
                <w:color w:themeColor="text1" w:val="000000"/>
                <w:kern w:val="0"/>
                <w:sz w:val="24"/>
              </w:rPr>
            </w:pPr>
            <w:r w:rsidRPr="008C2A4F">
              <w:rPr>
                <w:rFonts w:eastAsiaTheme="minorEastAsia"/>
                <w:color w:themeColor="text1" w:val="000000"/>
                <w:kern w:val="0"/>
                <w:sz w:val="24"/>
              </w:rPr>
              <w:t/>
            </w:r>
            <w:proofErr w:type="spellStart"/>
            <w:r w:rsidRPr="008C2A4F">
              <w:rPr>
                <w:rFonts w:eastAsiaTheme="minorEastAsia"/>
                <w:color w:themeColor="text1" w:val="000000"/>
                <w:kern w:val="0"/>
                <w:sz w:val="24"/>
              </w:rPr>
              <w:t/>
            </w:r>
            <w:proofErr w:type="spellEnd"/>
            <w:r w:rsidRPr="008C2A4F">
              <w:rPr>
                <w:rFonts w:eastAsiaTheme="minorEastAsia"/>
                <w:color w:themeColor="text1" w:val="000000"/>
                <w:kern w:val="0"/>
                <w:sz w:val="24"/>
              </w:rPr>
              <w:t>94.21</w:t>
            </w:r>
          </w:p>
        </w:tc>
      </w:tr>
    </w:tbl>
    <w:p w:rsidP="000F2837" w:rsidR="000F2837" w:rsidRDefault="001C36D8" w:rsidRPr="000F2837">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5.3</w:t>
      </w:r>
      <w:r w:rsidR="00291A74" w:rsidRPr="00291A74">
        <w:rPr>
          <w:rFonts w:ascii="宋体" w:cs="Arial" w:hAnsi="宋体" w:hint="eastAsia"/>
          <w:b/>
          <w:color w:val="000000"/>
          <w:kern w:val="0"/>
          <w:sz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0F2837" w:rsidRPr="00264E55" w:rsidTr="002406DE">
        <w:tc>
          <w:tcPr>
            <w:tcW w:type="dxa" w:w="851"/>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序号</w:t>
            </w:r>
          </w:p>
        </w:tc>
        <w:tc>
          <w:tcPr>
            <w:tcW w:type="dxa" w:w="1276"/>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股票代码</w:t>
            </w:r>
          </w:p>
        </w:tc>
        <w:tc>
          <w:tcPr>
            <w:tcW w:type="dxa" w:w="1418"/>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股票名称</w:t>
            </w:r>
          </w:p>
        </w:tc>
        <w:tc>
          <w:tcPr>
            <w:tcW w:type="dxa" w:w="1701"/>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数量（股）</w:t>
            </w:r>
          </w:p>
        </w:tc>
        <w:tc>
          <w:tcPr>
            <w:tcW w:type="dxa" w:w="1984"/>
            <w:vAlign w:val="center"/>
          </w:tcPr>
          <w:p w:rsidP="002406DE" w:rsidR="000F2837" w:rsidRDefault="000F2837" w:rsidRPr="00232B03">
            <w:pPr>
              <w:autoSpaceDE w:val="0"/>
              <w:autoSpaceDN w:val="0"/>
              <w:adjustRightInd w:val="0"/>
              <w:spacing w:before="29" w:line="360" w:lineRule="auto"/>
              <w:ind w:left="17"/>
              <w:jc w:val="center"/>
              <w:rPr>
                <w:color w:val="000000"/>
                <w:kern w:val="0"/>
                <w:sz w:val="24"/>
              </w:rPr>
            </w:pPr>
            <w:r w:rsidRPr="00232B03">
              <w:rPr>
                <w:color w:val="000000"/>
                <w:kern w:val="0"/>
                <w:sz w:val="24"/>
              </w:rPr>
              <w:t>公允价值（元）</w:t>
            </w:r>
          </w:p>
        </w:tc>
        <w:tc>
          <w:tcPr>
            <w:tcW w:type="dxa" w:w="1559"/>
            <w:vAlign w:val="center"/>
          </w:tcPr>
          <w:p w:rsidP="002406DE" w:rsidR="000F2837" w:rsidRDefault="000F2837" w:rsidRPr="00232B03">
            <w:pPr>
              <w:spacing w:before="29" w:line="360" w:lineRule="auto"/>
              <w:ind w:left="17"/>
              <w:jc w:val="center"/>
              <w:rPr>
                <w:color w:val="000000"/>
                <w:kern w:val="0"/>
                <w:sz w:val="24"/>
              </w:rPr>
            </w:pPr>
            <w:r w:rsidRPr="00232B03">
              <w:rPr>
                <w:color w:val="000000"/>
                <w:kern w:val="0"/>
                <w:sz w:val="24"/>
              </w:rPr>
              <w:t>占基金资产净值比例（％）</w:t>
            </w:r>
          </w:p>
        </w:tc>
      </w:tr>
      <w:tr>
        <w:tc>
          <w:tcPr>
            <w:vAlign w:val="center"/>
          </w:tcPr>
          <w:p>
            <w:pPr>
              <w:jc w:val="center"/>
            </w:pPr>
            <w:r>
              <w:rPr>
                <w:color w:val="000000"/>
                <w:kern w:val="0"/>
                <w:sz w:val="24"/>
              </w:rPr>
              <w:t>1</w:t>
            </w:r>
          </w:p>
        </w:tc>
        <w:tc>
          <w:tcPr>
            <w:vAlign w:val="center"/>
          </w:tcPr>
          <w:p>
            <w:pPr>
              <w:jc w:val="center"/>
            </w:pPr>
            <w:r>
              <w:rPr>
                <w:color w:val="000000"/>
                <w:kern w:val="0"/>
                <w:sz w:val="24"/>
              </w:rPr>
              <w:t>600519</w:t>
            </w:r>
          </w:p>
        </w:tc>
        <w:tc>
          <w:tcPr>
            <w:vAlign w:val="center"/>
          </w:tcPr>
          <w:p>
            <w:pPr>
              <w:jc w:val="center"/>
            </w:pPr>
            <w:r>
              <w:rPr>
                <w:color w:val="000000"/>
                <w:kern w:val="0"/>
                <w:sz w:val="24"/>
              </w:rPr>
              <w:t>贵州茅台</w:t>
            </w:r>
          </w:p>
        </w:tc>
        <w:tc>
          <w:tcPr>
            <w:vAlign w:val="center"/>
          </w:tcPr>
          <w:p>
            <w:pPr>
              <w:jc w:val="right"/>
            </w:pPr>
            <w:r>
              <w:rPr>
                <w:color w:val="000000"/>
                <w:kern w:val="0"/>
                <w:sz w:val="24"/>
              </w:rPr>
              <w:t>25,851</w:t>
            </w:r>
          </w:p>
        </w:tc>
        <w:tc>
          <w:tcPr>
            <w:vAlign w:val="center"/>
          </w:tcPr>
          <w:p>
            <w:pPr>
              <w:jc w:val="right"/>
            </w:pPr>
            <w:r>
              <w:rPr>
                <w:color w:val="000000"/>
                <w:kern w:val="0"/>
                <w:sz w:val="24"/>
              </w:rPr>
              <w:t>43,132,393.50</w:t>
            </w:r>
          </w:p>
        </w:tc>
        <w:tc>
          <w:tcPr>
            <w:vAlign w:val="center"/>
          </w:tcPr>
          <w:p>
            <w:pPr>
              <w:jc w:val="right"/>
            </w:pPr>
            <w:r>
              <w:rPr>
                <w:color w:val="000000"/>
                <w:kern w:val="0"/>
                <w:sz w:val="24"/>
              </w:rPr>
              <w:t>12.28</w:t>
            </w:r>
          </w:p>
        </w:tc>
      </w:tr>
      <w:tr>
        <w:tc>
          <w:tcPr>
            <w:vAlign w:val="center"/>
          </w:tcPr>
          <w:p>
            <w:pPr>
              <w:jc w:val="center"/>
            </w:pPr>
            <w:r>
              <w:rPr>
                <w:color w:val="000000"/>
                <w:kern w:val="0"/>
                <w:sz w:val="24"/>
              </w:rPr>
              <w:t>2</w:t>
            </w:r>
          </w:p>
        </w:tc>
        <w:tc>
          <w:tcPr>
            <w:vAlign w:val="center"/>
          </w:tcPr>
          <w:p>
            <w:pPr>
              <w:jc w:val="center"/>
            </w:pPr>
            <w:r>
              <w:rPr>
                <w:color w:val="000000"/>
                <w:kern w:val="0"/>
                <w:sz w:val="24"/>
              </w:rPr>
              <w:t>601318</w:t>
            </w:r>
          </w:p>
        </w:tc>
        <w:tc>
          <w:tcPr>
            <w:vAlign w:val="center"/>
          </w:tcPr>
          <w:p>
            <w:pPr>
              <w:jc w:val="center"/>
            </w:pPr>
            <w:r>
              <w:rPr>
                <w:color w:val="000000"/>
                <w:kern w:val="0"/>
                <w:sz w:val="24"/>
              </w:rPr>
              <w:t>中国平安</w:t>
            </w:r>
          </w:p>
        </w:tc>
        <w:tc>
          <w:tcPr>
            <w:vAlign w:val="center"/>
          </w:tcPr>
          <w:p>
            <w:pPr>
              <w:jc w:val="right"/>
            </w:pPr>
            <w:r>
              <w:rPr>
                <w:color w:val="000000"/>
                <w:kern w:val="0"/>
                <w:sz w:val="24"/>
              </w:rPr>
              <w:t>555,967</w:t>
            </w:r>
          </w:p>
        </w:tc>
        <w:tc>
          <w:tcPr>
            <w:vAlign w:val="center"/>
          </w:tcPr>
          <w:p>
            <w:pPr>
              <w:jc w:val="right"/>
            </w:pPr>
            <w:r>
              <w:rPr>
                <w:color w:val="000000"/>
                <w:kern w:val="0"/>
                <w:sz w:val="24"/>
              </w:rPr>
              <w:t>42,398,043.42</w:t>
            </w:r>
          </w:p>
        </w:tc>
        <w:tc>
          <w:tcPr>
            <w:vAlign w:val="center"/>
          </w:tcPr>
          <w:p>
            <w:pPr>
              <w:jc w:val="right"/>
            </w:pPr>
            <w:r>
              <w:rPr>
                <w:color w:val="000000"/>
                <w:kern w:val="0"/>
                <w:sz w:val="24"/>
              </w:rPr>
              <w:t>12.07</w:t>
            </w:r>
          </w:p>
        </w:tc>
      </w:tr>
      <w:tr>
        <w:tc>
          <w:tcPr>
            <w:vAlign w:val="center"/>
          </w:tcPr>
          <w:p>
            <w:pPr>
              <w:jc w:val="center"/>
            </w:pPr>
            <w:r>
              <w:rPr>
                <w:color w:val="000000"/>
                <w:kern w:val="0"/>
                <w:sz w:val="24"/>
              </w:rPr>
              <w:t>3</w:t>
            </w:r>
          </w:p>
        </w:tc>
        <w:tc>
          <w:tcPr>
            <w:vAlign w:val="center"/>
          </w:tcPr>
          <w:p>
            <w:pPr>
              <w:jc w:val="center"/>
            </w:pPr>
            <w:r>
              <w:rPr>
                <w:color w:val="000000"/>
                <w:kern w:val="0"/>
                <w:sz w:val="24"/>
              </w:rPr>
              <w:t>600036</w:t>
            </w:r>
          </w:p>
        </w:tc>
        <w:tc>
          <w:tcPr>
            <w:vAlign w:val="center"/>
          </w:tcPr>
          <w:p>
            <w:pPr>
              <w:jc w:val="center"/>
            </w:pPr>
            <w:r>
              <w:rPr>
                <w:color w:val="000000"/>
                <w:kern w:val="0"/>
                <w:sz w:val="24"/>
              </w:rPr>
              <w:t>招商银行</w:t>
            </w:r>
          </w:p>
        </w:tc>
        <w:tc>
          <w:tcPr>
            <w:vAlign w:val="center"/>
          </w:tcPr>
          <w:p>
            <w:pPr>
              <w:jc w:val="right"/>
            </w:pPr>
            <w:r>
              <w:rPr>
                <w:color w:val="000000"/>
                <w:kern w:val="0"/>
                <w:sz w:val="24"/>
              </w:rPr>
              <w:t>529,375</w:t>
            </w:r>
          </w:p>
        </w:tc>
        <w:tc>
          <w:tcPr>
            <w:vAlign w:val="center"/>
          </w:tcPr>
          <w:p>
            <w:pPr>
              <w:jc w:val="right"/>
            </w:pPr>
            <w:r>
              <w:rPr>
                <w:color w:val="000000"/>
                <w:kern w:val="0"/>
                <w:sz w:val="24"/>
              </w:rPr>
              <w:t>19,057,500.00</w:t>
            </w:r>
          </w:p>
        </w:tc>
        <w:tc>
          <w:tcPr>
            <w:vAlign w:val="center"/>
          </w:tcPr>
          <w:p>
            <w:pPr>
              <w:jc w:val="right"/>
            </w:pPr>
            <w:r>
              <w:rPr>
                <w:color w:val="000000"/>
                <w:kern w:val="0"/>
                <w:sz w:val="24"/>
              </w:rPr>
              <w:t>5.43</w:t>
            </w:r>
          </w:p>
        </w:tc>
      </w:tr>
      <w:tr>
        <w:tc>
          <w:tcPr>
            <w:vAlign w:val="center"/>
          </w:tcPr>
          <w:p>
            <w:pPr>
              <w:jc w:val="center"/>
            </w:pPr>
            <w:r>
              <w:rPr>
                <w:color w:val="000000"/>
                <w:kern w:val="0"/>
                <w:sz w:val="24"/>
              </w:rPr>
              <w:t>4</w:t>
            </w:r>
          </w:p>
        </w:tc>
        <w:tc>
          <w:tcPr>
            <w:vAlign w:val="center"/>
          </w:tcPr>
          <w:p>
            <w:pPr>
              <w:jc w:val="center"/>
            </w:pPr>
            <w:r>
              <w:rPr>
                <w:color w:val="000000"/>
                <w:kern w:val="0"/>
                <w:sz w:val="24"/>
              </w:rPr>
              <w:t>600276</w:t>
            </w:r>
          </w:p>
        </w:tc>
        <w:tc>
          <w:tcPr>
            <w:vAlign w:val="center"/>
          </w:tcPr>
          <w:p>
            <w:pPr>
              <w:jc w:val="center"/>
            </w:pPr>
            <w:r>
              <w:rPr>
                <w:color w:val="000000"/>
                <w:kern w:val="0"/>
                <w:sz w:val="24"/>
              </w:rPr>
              <w:t>恒瑞医药</w:t>
            </w:r>
          </w:p>
        </w:tc>
        <w:tc>
          <w:tcPr>
            <w:vAlign w:val="center"/>
          </w:tcPr>
          <w:p>
            <w:pPr>
              <w:jc w:val="right"/>
            </w:pPr>
            <w:r>
              <w:rPr>
                <w:color w:val="000000"/>
                <w:kern w:val="0"/>
                <w:sz w:val="24"/>
              </w:rPr>
              <w:t>190,697</w:t>
            </w:r>
          </w:p>
        </w:tc>
        <w:tc>
          <w:tcPr>
            <w:vAlign w:val="center"/>
          </w:tcPr>
          <w:p>
            <w:pPr>
              <w:jc w:val="right"/>
            </w:pPr>
            <w:r>
              <w:rPr>
                <w:color w:val="000000"/>
                <w:kern w:val="0"/>
                <w:sz w:val="24"/>
              </w:rPr>
              <w:t>17,128,404.54</w:t>
            </w:r>
          </w:p>
        </w:tc>
        <w:tc>
          <w:tcPr>
            <w:vAlign w:val="center"/>
          </w:tcPr>
          <w:p>
            <w:pPr>
              <w:jc w:val="right"/>
            </w:pPr>
            <w:r>
              <w:rPr>
                <w:color w:val="000000"/>
                <w:kern w:val="0"/>
                <w:sz w:val="24"/>
              </w:rPr>
              <w:t>4.88</w:t>
            </w:r>
          </w:p>
        </w:tc>
      </w:tr>
      <w:tr>
        <w:tc>
          <w:tcPr>
            <w:vAlign w:val="center"/>
          </w:tcPr>
          <w:p>
            <w:pPr>
              <w:jc w:val="center"/>
            </w:pPr>
            <w:r>
              <w:rPr>
                <w:color w:val="000000"/>
                <w:kern w:val="0"/>
                <w:sz w:val="24"/>
              </w:rPr>
              <w:t>5</w:t>
            </w:r>
          </w:p>
        </w:tc>
        <w:tc>
          <w:tcPr>
            <w:vAlign w:val="center"/>
          </w:tcPr>
          <w:p>
            <w:pPr>
              <w:jc w:val="center"/>
            </w:pPr>
            <w:r>
              <w:rPr>
                <w:color w:val="000000"/>
                <w:kern w:val="0"/>
                <w:sz w:val="24"/>
              </w:rPr>
              <w:t>600030</w:t>
            </w:r>
          </w:p>
        </w:tc>
        <w:tc>
          <w:tcPr>
            <w:vAlign w:val="center"/>
          </w:tcPr>
          <w:p>
            <w:pPr>
              <w:jc w:val="center"/>
            </w:pPr>
            <w:r>
              <w:rPr>
                <w:color w:val="000000"/>
                <w:kern w:val="0"/>
                <w:sz w:val="24"/>
              </w:rPr>
              <w:t>中信证券</w:t>
            </w:r>
          </w:p>
        </w:tc>
        <w:tc>
          <w:tcPr>
            <w:vAlign w:val="center"/>
          </w:tcPr>
          <w:p>
            <w:pPr>
              <w:jc w:val="right"/>
            </w:pPr>
            <w:r>
              <w:rPr>
                <w:color w:val="000000"/>
                <w:kern w:val="0"/>
                <w:sz w:val="24"/>
              </w:rPr>
              <w:t>437,209</w:t>
            </w:r>
          </w:p>
        </w:tc>
        <w:tc>
          <w:tcPr>
            <w:vAlign w:val="center"/>
          </w:tcPr>
          <w:p>
            <w:pPr>
              <w:jc w:val="right"/>
            </w:pPr>
            <w:r>
              <w:rPr>
                <w:color w:val="000000"/>
                <w:kern w:val="0"/>
                <w:sz w:val="24"/>
              </w:rPr>
              <w:t>13,129,386.27</w:t>
            </w:r>
          </w:p>
        </w:tc>
        <w:tc>
          <w:tcPr>
            <w:vAlign w:val="center"/>
          </w:tcPr>
          <w:p>
            <w:pPr>
              <w:jc w:val="right"/>
            </w:pPr>
            <w:r>
              <w:rPr>
                <w:color w:val="000000"/>
                <w:kern w:val="0"/>
                <w:sz w:val="24"/>
              </w:rPr>
              <w:t>3.74</w:t>
            </w:r>
          </w:p>
        </w:tc>
      </w:tr>
      <w:tr>
        <w:tc>
          <w:tcPr>
            <w:vAlign w:val="center"/>
          </w:tcPr>
          <w:p>
            <w:pPr>
              <w:jc w:val="center"/>
            </w:pPr>
            <w:r>
              <w:rPr>
                <w:color w:val="000000"/>
                <w:kern w:val="0"/>
                <w:sz w:val="24"/>
              </w:rPr>
              <w:t>6</w:t>
            </w:r>
          </w:p>
        </w:tc>
        <w:tc>
          <w:tcPr>
            <w:vAlign w:val="center"/>
          </w:tcPr>
          <w:p>
            <w:pPr>
              <w:jc w:val="center"/>
            </w:pPr>
            <w:r>
              <w:rPr>
                <w:color w:val="000000"/>
                <w:kern w:val="0"/>
                <w:sz w:val="24"/>
              </w:rPr>
              <w:t>600887</w:t>
            </w:r>
          </w:p>
        </w:tc>
        <w:tc>
          <w:tcPr>
            <w:vAlign w:val="center"/>
          </w:tcPr>
          <w:p>
            <w:pPr>
              <w:jc w:val="center"/>
            </w:pPr>
            <w:r>
              <w:rPr>
                <w:color w:val="000000"/>
                <w:kern w:val="0"/>
                <w:sz w:val="24"/>
              </w:rPr>
              <w:t>伊利股份</w:t>
            </w:r>
          </w:p>
        </w:tc>
        <w:tc>
          <w:tcPr>
            <w:vAlign w:val="center"/>
          </w:tcPr>
          <w:p>
            <w:pPr>
              <w:jc w:val="right"/>
            </w:pPr>
            <w:r>
              <w:rPr>
                <w:color w:val="000000"/>
                <w:kern w:val="0"/>
                <w:sz w:val="24"/>
              </w:rPr>
              <w:t>311,411</w:t>
            </w:r>
          </w:p>
        </w:tc>
        <w:tc>
          <w:tcPr>
            <w:vAlign w:val="center"/>
          </w:tcPr>
          <w:p>
            <w:pPr>
              <w:jc w:val="right"/>
            </w:pPr>
            <w:r>
              <w:rPr>
                <w:color w:val="000000"/>
                <w:kern w:val="0"/>
                <w:sz w:val="24"/>
              </w:rPr>
              <w:t>11,989,323.50</w:t>
            </w:r>
          </w:p>
        </w:tc>
        <w:tc>
          <w:tcPr>
            <w:vAlign w:val="center"/>
          </w:tcPr>
          <w:p>
            <w:pPr>
              <w:jc w:val="right"/>
            </w:pPr>
            <w:r>
              <w:rPr>
                <w:color w:val="000000"/>
                <w:kern w:val="0"/>
                <w:sz w:val="24"/>
              </w:rPr>
              <w:t>3.41</w:t>
            </w:r>
          </w:p>
        </w:tc>
      </w:tr>
      <w:tr>
        <w:tc>
          <w:tcPr>
            <w:vAlign w:val="center"/>
          </w:tcPr>
          <w:p>
            <w:pPr>
              <w:jc w:val="center"/>
            </w:pPr>
            <w:r>
              <w:rPr>
                <w:color w:val="000000"/>
                <w:kern w:val="0"/>
                <w:sz w:val="24"/>
              </w:rPr>
              <w:t>7</w:t>
            </w:r>
          </w:p>
        </w:tc>
        <w:tc>
          <w:tcPr>
            <w:vAlign w:val="center"/>
          </w:tcPr>
          <w:p>
            <w:pPr>
              <w:jc w:val="center"/>
            </w:pPr>
            <w:r>
              <w:rPr>
                <w:color w:val="000000"/>
                <w:kern w:val="0"/>
                <w:sz w:val="24"/>
              </w:rPr>
              <w:t>601888</w:t>
            </w:r>
          </w:p>
        </w:tc>
        <w:tc>
          <w:tcPr>
            <w:vAlign w:val="center"/>
          </w:tcPr>
          <w:p>
            <w:pPr>
              <w:jc w:val="center"/>
            </w:pPr>
            <w:r>
              <w:rPr>
                <w:color w:val="000000"/>
                <w:kern w:val="0"/>
                <w:sz w:val="24"/>
              </w:rPr>
              <w:t>中国中免</w:t>
            </w:r>
          </w:p>
        </w:tc>
        <w:tc>
          <w:tcPr>
            <w:vAlign w:val="center"/>
          </w:tcPr>
          <w:p>
            <w:pPr>
              <w:jc w:val="right"/>
            </w:pPr>
            <w:r>
              <w:rPr>
                <w:color w:val="000000"/>
                <w:kern w:val="0"/>
                <w:sz w:val="24"/>
              </w:rPr>
              <w:t>50,200</w:t>
            </w:r>
          </w:p>
        </w:tc>
        <w:tc>
          <w:tcPr>
            <w:vAlign w:val="center"/>
          </w:tcPr>
          <w:p>
            <w:pPr>
              <w:jc w:val="right"/>
            </w:pPr>
            <w:r>
              <w:rPr>
                <w:color w:val="000000"/>
                <w:kern w:val="0"/>
                <w:sz w:val="24"/>
              </w:rPr>
              <w:t>11,191,588.00</w:t>
            </w:r>
          </w:p>
        </w:tc>
        <w:tc>
          <w:tcPr>
            <w:vAlign w:val="center"/>
          </w:tcPr>
          <w:p>
            <w:pPr>
              <w:jc w:val="right"/>
            </w:pPr>
            <w:r>
              <w:rPr>
                <w:color w:val="000000"/>
                <w:kern w:val="0"/>
                <w:sz w:val="24"/>
              </w:rPr>
              <w:t>3.19</w:t>
            </w:r>
          </w:p>
        </w:tc>
      </w:tr>
      <w:tr>
        <w:tc>
          <w:tcPr>
            <w:vAlign w:val="center"/>
          </w:tcPr>
          <w:p>
            <w:pPr>
              <w:jc w:val="center"/>
            </w:pPr>
            <w:r>
              <w:rPr>
                <w:color w:val="000000"/>
                <w:kern w:val="0"/>
                <w:sz w:val="24"/>
              </w:rPr>
              <w:t>8</w:t>
            </w:r>
          </w:p>
        </w:tc>
        <w:tc>
          <w:tcPr>
            <w:vAlign w:val="center"/>
          </w:tcPr>
          <w:p>
            <w:pPr>
              <w:jc w:val="center"/>
            </w:pPr>
            <w:r>
              <w:rPr>
                <w:color w:val="000000"/>
                <w:kern w:val="0"/>
                <w:sz w:val="24"/>
              </w:rPr>
              <w:t>601166</w:t>
            </w:r>
          </w:p>
        </w:tc>
        <w:tc>
          <w:tcPr>
            <w:vAlign w:val="center"/>
          </w:tcPr>
          <w:p>
            <w:pPr>
              <w:jc w:val="center"/>
            </w:pPr>
            <w:r>
              <w:rPr>
                <w:color w:val="000000"/>
                <w:kern w:val="0"/>
                <w:sz w:val="24"/>
              </w:rPr>
              <w:t>兴业银行</w:t>
            </w:r>
          </w:p>
        </w:tc>
        <w:tc>
          <w:tcPr>
            <w:vAlign w:val="center"/>
          </w:tcPr>
          <w:p>
            <w:pPr>
              <w:jc w:val="right"/>
            </w:pPr>
            <w:r>
              <w:rPr>
                <w:color w:val="000000"/>
                <w:kern w:val="0"/>
                <w:sz w:val="24"/>
              </w:rPr>
              <w:t>639,714</w:t>
            </w:r>
          </w:p>
        </w:tc>
        <w:tc>
          <w:tcPr>
            <w:vAlign w:val="center"/>
          </w:tcPr>
          <w:p>
            <w:pPr>
              <w:jc w:val="right"/>
            </w:pPr>
            <w:r>
              <w:rPr>
                <w:color w:val="000000"/>
                <w:kern w:val="0"/>
                <w:sz w:val="24"/>
              </w:rPr>
              <w:t>10,318,586.82</w:t>
            </w:r>
          </w:p>
        </w:tc>
        <w:tc>
          <w:tcPr>
            <w:vAlign w:val="center"/>
          </w:tcPr>
          <w:p>
            <w:pPr>
              <w:jc w:val="right"/>
            </w:pPr>
            <w:r>
              <w:rPr>
                <w:color w:val="000000"/>
                <w:kern w:val="0"/>
                <w:sz w:val="24"/>
              </w:rPr>
              <w:t>2.94</w:t>
            </w:r>
          </w:p>
        </w:tc>
      </w:tr>
      <w:tr>
        <w:tc>
          <w:tcPr>
            <w:vAlign w:val="center"/>
          </w:tcPr>
          <w:p>
            <w:pPr>
              <w:jc w:val="center"/>
            </w:pPr>
            <w:r>
              <w:rPr>
                <w:color w:val="000000"/>
                <w:kern w:val="0"/>
                <w:sz w:val="24"/>
              </w:rPr>
              <w:t>9</w:t>
            </w:r>
          </w:p>
        </w:tc>
        <w:tc>
          <w:tcPr>
            <w:vAlign w:val="center"/>
          </w:tcPr>
          <w:p>
            <w:pPr>
              <w:jc w:val="center"/>
            </w:pPr>
            <w:r>
              <w:rPr>
                <w:color w:val="000000"/>
                <w:kern w:val="0"/>
                <w:sz w:val="24"/>
              </w:rPr>
              <w:t>601012</w:t>
            </w:r>
          </w:p>
        </w:tc>
        <w:tc>
          <w:tcPr>
            <w:vAlign w:val="center"/>
          </w:tcPr>
          <w:p>
            <w:pPr>
              <w:jc w:val="center"/>
            </w:pPr>
            <w:r>
              <w:rPr>
                <w:color w:val="000000"/>
                <w:kern w:val="0"/>
                <w:sz w:val="24"/>
              </w:rPr>
              <w:t>隆基股份</w:t>
            </w:r>
          </w:p>
        </w:tc>
        <w:tc>
          <w:tcPr>
            <w:vAlign w:val="center"/>
          </w:tcPr>
          <w:p>
            <w:pPr>
              <w:jc w:val="right"/>
            </w:pPr>
            <w:r>
              <w:rPr>
                <w:color w:val="000000"/>
                <w:kern w:val="0"/>
                <w:sz w:val="24"/>
              </w:rPr>
              <w:t>135,530</w:t>
            </w:r>
          </w:p>
        </w:tc>
        <w:tc>
          <w:tcPr>
            <w:vAlign w:val="center"/>
          </w:tcPr>
          <w:p>
            <w:pPr>
              <w:jc w:val="right"/>
            </w:pPr>
            <w:r>
              <w:rPr>
                <w:color w:val="000000"/>
                <w:kern w:val="0"/>
                <w:sz w:val="24"/>
              </w:rPr>
              <w:t>10,166,105.30</w:t>
            </w:r>
          </w:p>
        </w:tc>
        <w:tc>
          <w:tcPr>
            <w:vAlign w:val="center"/>
          </w:tcPr>
          <w:p>
            <w:pPr>
              <w:jc w:val="right"/>
            </w:pPr>
            <w:r>
              <w:rPr>
                <w:color w:val="000000"/>
                <w:kern w:val="0"/>
                <w:sz w:val="24"/>
              </w:rPr>
              <w:t>2.90</w:t>
            </w:r>
          </w:p>
        </w:tc>
      </w:tr>
      <w:tr>
        <w:tc>
          <w:tcPr>
            <w:vAlign w:val="center"/>
          </w:tcPr>
          <w:p>
            <w:pPr>
              <w:jc w:val="center"/>
            </w:pPr>
            <w:r>
              <w:rPr>
                <w:color w:val="000000"/>
                <w:kern w:val="0"/>
                <w:sz w:val="24"/>
              </w:rPr>
              <w:t>10</w:t>
            </w:r>
          </w:p>
        </w:tc>
        <w:tc>
          <w:tcPr>
            <w:vAlign w:val="center"/>
          </w:tcPr>
          <w:p>
            <w:pPr>
              <w:jc w:val="center"/>
            </w:pPr>
            <w:r>
              <w:rPr>
                <w:color w:val="000000"/>
                <w:kern w:val="0"/>
                <w:sz w:val="24"/>
              </w:rPr>
              <w:t>601398</w:t>
            </w:r>
          </w:p>
        </w:tc>
        <w:tc>
          <w:tcPr>
            <w:vAlign w:val="center"/>
          </w:tcPr>
          <w:p>
            <w:pPr>
              <w:jc w:val="center"/>
            </w:pPr>
            <w:r>
              <w:rPr>
                <w:color w:val="000000"/>
                <w:kern w:val="0"/>
                <w:sz w:val="24"/>
              </w:rPr>
              <w:t>工商银行</w:t>
            </w:r>
          </w:p>
        </w:tc>
        <w:tc>
          <w:tcPr>
            <w:vAlign w:val="center"/>
          </w:tcPr>
          <w:p>
            <w:pPr>
              <w:jc w:val="right"/>
            </w:pPr>
            <w:r>
              <w:rPr>
                <w:color w:val="000000"/>
                <w:kern w:val="0"/>
                <w:sz w:val="24"/>
              </w:rPr>
              <w:t>1,798,868</w:t>
            </w:r>
          </w:p>
        </w:tc>
        <w:tc>
          <w:tcPr>
            <w:vAlign w:val="center"/>
          </w:tcPr>
          <w:p>
            <w:pPr>
              <w:jc w:val="right"/>
            </w:pPr>
            <w:r>
              <w:rPr>
                <w:color w:val="000000"/>
                <w:kern w:val="0"/>
                <w:sz w:val="24"/>
              </w:rPr>
              <w:t>8,850,430.56</w:t>
            </w:r>
          </w:p>
        </w:tc>
        <w:tc>
          <w:tcPr>
            <w:vAlign w:val="center"/>
          </w:tcPr>
          <w:p>
            <w:pPr>
              <w:jc w:val="right"/>
            </w:pPr>
            <w:r>
              <w:rPr>
                <w:color w:val="000000"/>
                <w:kern w:val="0"/>
                <w:sz w:val="24"/>
              </w:rPr>
              <w:t>2.52</w:t>
            </w:r>
          </w:p>
        </w:tc>
      </w:tr>
    </w:tbl>
    <w:p w:rsidP="00653BAC" w:rsidR="00653BAC" w:rsidRDefault="001C36D8" w:rsidRPr="00653BAC">
      <w:pPr>
        <w:autoSpaceDE w:val="0"/>
        <w:autoSpaceDN w:val="0"/>
        <w:adjustRightInd w:val="0"/>
        <w:spacing w:line="360" w:lineRule="auto"/>
        <w:jc w:val="left"/>
        <w:rPr>
          <w:rFonts w:eastAsiaTheme="minorEastAsia"/>
          <w:b/>
          <w:color w:themeColor="text1" w:val="000000"/>
          <w:kern w:val="0"/>
          <w:sz w:val="24"/>
        </w:rPr>
      </w:pPr>
      <w:r w:rsidRPr="00272E0C">
        <w:rPr>
          <w:rFonts w:ascii="宋体" w:cs="Arial" w:hAnsi="宋体"/>
          <w:b/>
          <w:color w:val="000000"/>
          <w:kern w:val="0"/>
          <w:sz w:val="24"/>
        </w:rPr>
        <w:t xml:space="preserve">5.4 </w:t>
      </w:r>
      <w:r w:rsidRPr="00272E0C">
        <w:rPr>
          <w:rFonts w:ascii="宋体" w:cs="Arial" w:hAnsi="宋体" w:hint="eastAsia"/>
          <w:b/>
          <w:color w:val="000000"/>
          <w:kern w:val="0"/>
          <w:sz w:val="24"/>
        </w:rPr>
        <w:t>报告期末按债券品种分类的债券投资组合</w:t>
      </w:r>
    </w:p>
    <w:p w:rsidP="00653BAC" w:rsidR="001C36D8" w:rsidRDefault="00653BAC" w:rsidRPr="00653BAC">
      <w:pPr>
        <w:spacing w:line="360" w:lineRule="auto"/>
        <w:ind w:firstLine="480" w:firstLineChars="200"/>
        <w:rPr>
          <w:color w:val="000000"/>
          <w:sz w:val="24"/>
        </w:rPr>
      </w:pPr>
      <w:r w:rsidRPr="00653BAC">
        <w:rPr>
          <w:color w:val="000000"/>
          <w:sz w:val="24"/>
        </w:rPr>
        <w:lastRenderedPageBreak/>
        <w:t/>
      </w:r>
      <w:proofErr w:type="spellStart"/>
      <w:r w:rsidRPr="00653BAC">
        <w:rPr>
          <w:color w:val="000000"/>
          <w:sz w:val="24"/>
        </w:rPr>
        <w:t/>
      </w:r>
      <w:proofErr w:type="spellEnd"/>
      <w:r w:rsidRPr="00653BAC">
        <w:rPr>
          <w:color w:val="000000"/>
          <w:sz w:val="24"/>
        </w:rPr>
        <w:t/>
      </w:r>
      <w:proofErr w:type="spellStart"/>
      <w:r w:rsidRPr="00653BAC">
        <w:rPr>
          <w:color w:val="000000"/>
          <w:sz w:val="24"/>
        </w:rPr>
        <w:t/>
      </w:r>
      <w:proofErr w:type="spellEnd"/>
      <w:r w:rsidRPr="00653BAC">
        <w:rPr>
          <w:color w:val="000000"/>
          <w:sz w:val="24"/>
        </w:rPr>
        <w:t>本基金本报告期末未持有债券。</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 xml:space="preserve">5.5 </w:t>
      </w:r>
      <w:r w:rsidRPr="00272E0C">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272E0C">
        <w:rPr>
          <w:rFonts w:ascii="宋体" w:cs="Arial" w:hAnsi="宋体" w:hint="eastAsia"/>
          <w:b/>
          <w:color w:val="000000"/>
          <w:kern w:val="0"/>
          <w:sz w:val="24"/>
        </w:rPr>
        <w:t>的前五名债券投资明细</w:t>
      </w:r>
    </w:p>
    <w:p w:rsidP="005B1E0B" w:rsidR="001C36D8" w:rsidRDefault="001C36D8" w:rsidRPr="005B1E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本基金本报告期末未持有债券。</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sidRPr="00272E0C">
        <w:rPr>
          <w:rFonts w:ascii="宋体" w:cs="Arial" w:hAnsi="宋体"/>
          <w:b/>
          <w:color w:val="000000"/>
          <w:kern w:val="0"/>
          <w:sz w:val="24"/>
        </w:rPr>
        <w:t>5.6</w:t>
      </w:r>
      <w:r w:rsidRPr="00272E0C">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272E0C">
        <w:rPr>
          <w:rFonts w:ascii="宋体" w:cs="Arial" w:hAnsi="宋体" w:hint="eastAsia"/>
          <w:b/>
          <w:color w:val="000000"/>
          <w:kern w:val="0"/>
          <w:sz w:val="24"/>
        </w:rPr>
        <w:t>的前十名资产支持证券投资明细</w:t>
      </w:r>
    </w:p>
    <w:p w:rsidP="005B1E0B" w:rsidR="001C36D8" w:rsidRDefault="001C36D8" w:rsidRPr="005B1E0B">
      <w:pPr>
        <w:spacing w:line="360" w:lineRule="auto"/>
        <w:ind w:firstLine="480" w:firstLineChars="200"/>
        <w:rPr>
          <w:color w:val="000000"/>
          <w:sz w:val="24"/>
        </w:rPr>
      </w:pPr>
      <w:r w:rsidRPr="003D22BD">
        <w:rPr>
          <w:color w:val="000000"/>
          <w:sz w:val="24"/>
        </w:rPr>
        <w:lastRenderedPageBreak/>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本基金本报告期末未持有资产支持证券。</w:t>
      </w:r>
    </w:p>
    <w:p w:rsidP="001C123E" w:rsidR="001C36D8" w:rsidRDefault="001C36D8"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5B1E0B" w:rsidR="001C36D8" w:rsidRDefault="001C36D8" w:rsidRPr="005B1E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本基金本报告期末未持有贵金属。</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Pr>
          <w:rFonts w:ascii="宋体"/>
          <w:b/>
          <w:bCs/>
          <w:color w:val="000000"/>
          <w:kern w:val="0"/>
          <w:sz w:val="24"/>
        </w:rPr>
        <w:t/>
      </w:r>
      <w:r>
        <w:rPr>
          <w:rFonts w:ascii="宋体" w:hAnsi="宋体"/>
          <w:b/>
          <w:bCs/>
          <w:color w:val="000000"/>
          <w:kern w:val="0"/>
          <w:sz w:val="24"/>
        </w:rPr>
        <w:t/>
      </w:r>
      <w:r w:rsidRPr="001B0A62">
        <w:rPr>
          <w:rFonts w:ascii="宋体"/>
          <w:b/>
          <w:bCs/>
          <w:color w:val="000000"/>
          <w:kern w:val="0"/>
          <w:sz w:val="24"/>
        </w:rPr>
        <w:t>5.</w:t>
      </w:r>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8</w:t>
      </w:r>
      <w:r w:rsidRPr="00272E0C">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272E0C">
        <w:rPr>
          <w:rFonts w:ascii="宋体" w:hAnsi="宋体" w:hint="eastAsia"/>
          <w:b/>
          <w:bCs/>
          <w:color w:val="000000"/>
          <w:sz w:val="24"/>
        </w:rPr>
        <w:t>的前五名权证投资明细</w:t>
      </w:r>
    </w:p>
    <w:p w:rsidP="005B1E0B" w:rsidR="001C36D8" w:rsidRDefault="001C36D8" w:rsidRPr="005B1E0B">
      <w:pPr>
        <w:spacing w:line="360" w:lineRule="auto"/>
        <w:ind w:firstLine="480" w:firstLineChars="200"/>
        <w:rPr>
          <w:color w:val="000000"/>
          <w:sz w:val="24"/>
        </w:rPr>
      </w:pPr>
      <w:r w:rsidRPr="003D22BD">
        <w:rPr>
          <w:color w:val="000000"/>
          <w:sz w:val="24"/>
        </w:rPr>
        <w:lastRenderedPageBreak/>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本基金本报告期末未持有权证。</w:t>
      </w:r>
    </w:p>
    <w:p w:rsidP="00E57068" w:rsidR="001C36D8" w:rsidRDefault="00B55281"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r w:rsidR="001C36D8">
        <w:rPr>
          <w:rFonts w:ascii="宋体"/>
          <w:b/>
          <w:bCs/>
          <w:color w:val="000000"/>
          <w:kern w:val="0"/>
          <w:sz w:val="24"/>
        </w:rPr>
        <w:t/>
      </w:r>
      <w:r w:rsidR="001C36D8">
        <w:rPr>
          <w:rFonts w:ascii="宋体" w:hAnsi="宋体"/>
          <w:b/>
          <w:bCs/>
          <w:color w:val="000000"/>
          <w:kern w:val="0"/>
          <w:sz w:val="24"/>
        </w:rPr>
        <w:t/>
      </w:r>
      <w:r w:rsidR="001C36D8" w:rsidRPr="001B0A62">
        <w:rPr>
          <w:rFonts w:ascii="宋体"/>
          <w:b/>
          <w:bCs/>
          <w:color w:val="000000"/>
          <w:kern w:val="0"/>
          <w:sz w:val="24"/>
        </w:rPr>
        <w:t>5.</w:t>
      </w:r>
      <w:r w:rsidR="001C36D8" w:rsidRPr="001B0A62">
        <w:rPr>
          <w:rFonts w:ascii="宋体" w:hAnsi="宋体"/>
          <w:b/>
          <w:bCs/>
          <w:color w:val="000000"/>
          <w:kern w:val="0"/>
          <w:sz w:val="24"/>
        </w:rPr>
        <w:t/>
      </w:r>
      <w:r w:rsidR="001C36D8">
        <w:rPr>
          <w:rFonts w:ascii="宋体" w:hAnsi="宋体"/>
          <w:b/>
          <w:bCs/>
          <w:color w:val="000000"/>
          <w:kern w:val="0"/>
          <w:sz w:val="24"/>
        </w:rPr>
        <w:t/>
      </w:r>
      <w:r w:rsidR="001C36D8" w:rsidRPr="001B0A62">
        <w:rPr>
          <w:rFonts w:ascii="宋体"/>
          <w:b/>
          <w:bCs/>
          <w:color w:val="000000"/>
          <w:kern w:val="0"/>
          <w:sz w:val="24"/>
        </w:rPr>
        <w:t>9</w:t>
      </w:r>
      <w:r w:rsidR="001C36D8" w:rsidRPr="00E85E29">
        <w:rPr>
          <w:rFonts w:ascii="宋体" w:hAnsi="宋体" w:hint="eastAsia"/>
          <w:b/>
          <w:sz w:val="24"/>
        </w:rPr>
        <w:t>报告期末本基金投资的股指期货交易情况说明</w:t>
      </w:r>
    </w:p>
    <w:p w:rsidP="003B3D0C" w:rsidR="003B3D0C" w:rsidRDefault="003B3D0C">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576862" w:rsidR="001C36D8" w:rsidRDefault="00B55281" w:rsidRPr="00272E0C">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r w:rsidR="001C36D8">
        <w:rPr>
          <w:rFonts w:ascii="宋体"/>
          <w:b/>
          <w:sz w:val="24"/>
        </w:rPr>
        <w:t/>
      </w:r>
      <w:r w:rsidR="001C36D8">
        <w:rPr>
          <w:rFonts w:ascii="宋体" w:hAnsi="宋体"/>
          <w:b/>
          <w:sz w:val="24"/>
        </w:rPr>
        <w:t>5</w:t>
      </w:r>
      <w:r w:rsidR="001C36D8" w:rsidRPr="00272E0C">
        <w:rPr>
          <w:rFonts w:ascii="宋体"/>
          <w:b/>
          <w:sz w:val="24"/>
        </w:rPr>
        <w:t>.</w:t>
      </w:r>
      <w:r w:rsidR="001C36D8">
        <w:rPr>
          <w:rFonts w:ascii="宋体"/>
          <w:b/>
          <w:sz w:val="24"/>
        </w:rPr>
        <w:t/>
      </w:r>
      <w:r w:rsidR="001C36D8">
        <w:rPr>
          <w:rFonts w:ascii="宋体" w:hAnsi="宋体"/>
          <w:b/>
          <w:sz w:val="24"/>
        </w:rPr>
        <w:t>10</w:t>
      </w:r>
      <w:r w:rsidR="001C36D8" w:rsidRPr="00272E0C">
        <w:rPr>
          <w:rFonts w:ascii="宋体" w:hAnsi="宋体" w:hint="eastAsia"/>
          <w:b/>
          <w:sz w:val="24"/>
        </w:rPr>
        <w:t>报告期末本基金投资的国债期货交易情况说明</w:t>
      </w:r>
    </w:p>
    <w:p w:rsidP="000C44BD" w:rsidR="000C44BD" w:rsidRDefault="000C44BD">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576862" w:rsidR="001C36D8" w:rsidRDefault="001C36D8" w:rsidRPr="00272E0C">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r>
        <w:rPr>
          <w:rFonts w:ascii="宋体" w:cs="Arial" w:hAnsi="宋体"/>
          <w:b/>
          <w:color w:val="000000"/>
          <w:kern w:val="0"/>
          <w:sz w:val="24"/>
        </w:rPr>
        <w:t>5</w:t>
      </w:r>
      <w:r w:rsidRPr="00272E0C">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11</w:t>
      </w:r>
      <w:r w:rsidRPr="00272E0C">
        <w:rPr>
          <w:rFonts w:ascii="宋体" w:cs="Arial" w:hAnsi="宋体" w:hint="eastAsia"/>
          <w:b/>
          <w:color w:val="000000"/>
          <w:kern w:val="0"/>
          <w:sz w:val="24"/>
        </w:rPr>
        <w:t>投资组合报告附注</w:t>
      </w:r>
    </w:p>
    <w:p w:rsidP="00576862" w:rsidR="001C36D8" w:rsidRDefault="00B60FD1" w:rsidRPr="005B1E0B">
      <w:pPr>
        <w:spacing w:line="360" w:lineRule="auto"/>
        <w:rPr>
          <w:color w:val="000000"/>
          <w:kern w:val="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1C36D8" w:rsidRPr="001C123E">
        <w:rPr>
          <w:rFonts w:ascii="宋体"/>
          <w:bCs/>
          <w:color w:val="000000"/>
          <w:kern w:val="0"/>
          <w:sz w:val="24"/>
        </w:rPr>
        <w:t/>
      </w:r>
      <w:r w:rsidR="001C36D8" w:rsidRPr="001C123E">
        <w:rPr>
          <w:rFonts w:ascii="宋体" w:hAnsi="宋体"/>
          <w:bCs/>
          <w:color w:val="000000"/>
          <w:kern w:val="0"/>
          <w:sz w:val="24"/>
        </w:rPr>
        <w:t>5.11.1</w:t>
      </w:r>
      <w:r w:rsidR="00D8121C">
        <w:rPr>
          <w:rFonts w:ascii="宋体" w:hAnsi="宋体" w:hint="eastAsia"/>
          <w:bCs/>
          <w:color w:val="000000"/>
          <w:kern w:val="0"/>
          <w:sz w:val="24"/>
        </w:rPr>
        <w:t xml:space="preserve"> </w:t>
      </w:r>
      <w:r w:rsidR="001C36D8" w:rsidRPr="005B1E0B">
        <w:rPr>
          <w:color w:val="000000"/>
          <w:kern w:val="0"/>
          <w:sz w:val="24"/>
        </w:rPr>
        <w:t>2020年7月28日，中国银行保险监督管理委员会上海监管局针对招商银行股份有限公司信用卡中心的如下违法违规行为作出责令改正、并处罚款100万元的行政处罚决定：1、2019年7月，该中心对某客户个人信息未尽安全保护义务；2、2014年12月至2019年5月，该中心对某信用卡申请人资信水平调查严重不审慎。</w:t>
      </w:r>
    </w:p>
    <w:p>
      <w:pPr>
        <w:spacing w:line="360" w:lineRule="auto"/>
        <w:rPr>
          <w:color w:val="000000"/>
          <w:kern w:val="0"/>
          <w:sz w:val="24"/>
        </w:rPr>
      </w:pPr>
      <w:r>
        <w:rPr>
          <w:color w:val="000000"/>
          <w:kern w:val="0"/>
          <w:sz w:val="24"/>
        </w:rPr>
        <w:t>2020年4月20日，中国银行保险监督管理委员会针对中国工商银行股份有限公司监管标准化数据（EAST）系统数据质量及数据报送存在以下违法违规行为：1、理财产品数量漏报；2、资金交易信息漏报严重；3、信贷资产转让业务漏报；4、贷款核销业务漏报；5、分户账明细记录应报未报；6、分户账账户数据应报未报；7、委托贷款业务应报未报；8、关键且应报字段漏报或填报错误，处以责令改正，并处罚款270万元的行政处罚。</w:t>
      </w:r>
    </w:p>
    <w:p>
      <w:pPr>
        <w:spacing w:line="360" w:lineRule="auto"/>
        <w:rPr>
          <w:color w:val="000000"/>
          <w:kern w:val="0"/>
          <w:sz w:val="24"/>
        </w:rPr>
      </w:pPr>
      <w:r>
        <w:rPr>
          <w:color w:val="000000"/>
          <w:kern w:val="0"/>
          <w:sz w:val="24"/>
        </w:rPr>
        <w:t>2020年8月21日，中国银行保险监督管理委员会上海监管局对兴业银行股份有限公司资金营运中心的如下违法违规行为作出“责令改正，并处罚款人民币50万元”的行政处罚决定：2017年7月至2019年6月，该中心黄金租赁业务严重违反审慎经营规则。</w:t>
      </w:r>
    </w:p>
    <w:p>
      <w:pPr>
        <w:spacing w:line="360" w:lineRule="auto"/>
        <w:rPr>
          <w:color w:val="000000"/>
          <w:kern w:val="0"/>
          <w:sz w:val="24"/>
        </w:rPr>
      </w:pPr>
      <w:r>
        <w:rPr>
          <w:color w:val="000000"/>
          <w:kern w:val="0"/>
          <w:sz w:val="24"/>
        </w:rPr>
        <w:t>2020年8月31日，中国银保监会福建监管局针对兴业银行股份有限公司同业投资用途不合规、授信管理不尽职、采用不正当手段吸收存款、理财资金间接投资本行信贷资产收益权、非洁净转让信贷资产、违规接受地方财政部门担保等违法违规行为，没收违法所得6,361,807.97元，并合计处以罚款15,961,807.97元。</w:t>
      </w:r>
    </w:p>
    <w:p>
      <w:pPr>
        <w:spacing w:line="360" w:lineRule="auto"/>
        <w:rPr>
          <w:color w:val="000000"/>
          <w:kern w:val="0"/>
          <w:sz w:val="24"/>
        </w:rPr>
      </w:pPr>
      <w:r>
        <w:rPr>
          <w:color w:val="000000"/>
          <w:kern w:val="0"/>
          <w:sz w:val="24"/>
        </w:rPr>
        <w:t>2020年9月4日，中国人民银行福州中心支行针对兴业银行股份有限公司以下违法违规行为，给予警告，没收违法所得10,875,088.15元，并处13,824,431.23元罚款。1.为无证机构提供转接清算服务，且未落实交易信息真实性、完整性、可追溯性及支付全流程中的一致性的规定；2.为支付机构超范围（超业务、超地域）经营提供支付服务，且未落实交易信息真实性、完整性、可追溯性及支付全流程中的一致性；3.违规连通上、下游支付机构，提供转接清算服务，且未落实交易信息真实性、完整性、可追溯性及支付全流程中的一致性；4.违反银行卡收单外包管理规定；5.未按规定履行客户身份识别义务。</w:t>
      </w:r>
    </w:p>
    <w:p>
      <w:pPr>
        <w:spacing w:line="360" w:lineRule="auto"/>
        <w:rPr>
          <w:color w:val="000000"/>
          <w:kern w:val="0"/>
          <w:sz w:val="24"/>
        </w:rPr>
      </w:pPr>
      <w:r>
        <w:rPr>
          <w:color w:val="000000"/>
          <w:kern w:val="0"/>
          <w:sz w:val="24"/>
        </w:rPr>
        <w:t>本基金为指数型基金，上述股票系标的指数成份股，上述股票的投资决策程序符合公司投资制度的规定。除招商银行、工商银行、兴业银行外，本基金投资的前十名证券的发行主体本期没有出现被监管部门立案调查，或在报告编制日前一年内受到公开谴责、处罚的情形。</w:t>
      </w:r>
    </w:p>
    <w:p w:rsidP="00576862" w:rsidR="001C36D8" w:rsidRDefault="00B60FD1" w:rsidRPr="005B1E0B">
      <w:pPr>
        <w:spacing w:line="360" w:lineRule="auto"/>
        <w:rPr>
          <w:color w:val="000000"/>
          <w:kern w:val="0"/>
          <w:sz w:val="24"/>
        </w:rPr>
      </w:pPr>
      <w:r>
        <w:rPr>
          <w:rFonts w:hint="eastAsia"/>
          <w:color w:val="000000"/>
          <w:sz w:val="24"/>
        </w:rPr>
        <w:t/>
      </w:r>
      <w:r w:rsidR="001C36D8" w:rsidRPr="001C123E">
        <w:rPr>
          <w:rFonts w:ascii="宋体"/>
          <w:bCs/>
          <w:color w:val="000000"/>
          <w:kern w:val="0"/>
          <w:sz w:val="24"/>
        </w:rPr>
        <w:t/>
      </w:r>
      <w:r w:rsidR="001C36D8" w:rsidRPr="001C123E">
        <w:rPr>
          <w:rFonts w:ascii="宋体" w:hAnsi="宋体"/>
          <w:bCs/>
          <w:color w:val="000000"/>
          <w:kern w:val="0"/>
          <w:sz w:val="24"/>
        </w:rPr>
        <w:t>5.11.2</w:t>
      </w:r>
      <w:r w:rsidR="00D8121C">
        <w:rPr>
          <w:rFonts w:ascii="宋体" w:hAnsi="宋体" w:hint="eastAsia"/>
          <w:bCs/>
          <w:color w:val="000000"/>
          <w:kern w:val="0"/>
          <w:sz w:val="24"/>
        </w:rPr>
        <w:t xml:space="preserve"> </w:t>
      </w:r>
      <w:r w:rsidR="001C36D8" w:rsidRPr="005B1E0B">
        <w:rPr>
          <w:color w:val="000000"/>
          <w:kern w:val="0"/>
          <w:sz w:val="24"/>
        </w:rPr>
        <w:t>本基金投资的前十名股票没有超出基金合同规定的备选股票库。</w:t>
      </w:r>
    </w:p>
    <w:p w:rsidP="00576862" w:rsidR="001C36D8" w:rsidRDefault="001C36D8" w:rsidRPr="00717C29">
      <w:pPr>
        <w:autoSpaceDE w:val="0"/>
        <w:autoSpaceDN w:val="0"/>
        <w:adjustRightInd w:val="0"/>
        <w:spacing w:line="360" w:lineRule="auto"/>
        <w:jc w:val="left"/>
        <w:rPr>
          <w:rFonts w:ascii="宋体" w:cs="Arial"/>
          <w:color w:val="000000"/>
          <w:kern w:val="0"/>
          <w:sz w:val="24"/>
        </w:rPr>
      </w:pPr>
      <w:r w:rsidRPr="00717C29">
        <w:rPr>
          <w:rFonts w:ascii="宋体"/>
          <w:bCs/>
          <w:color w:val="000000"/>
          <w:kern w:val="0"/>
          <w:sz w:val="24"/>
        </w:rPr>
        <w:t/>
      </w:r>
      <w:r w:rsidRPr="00717C29">
        <w:rPr>
          <w:rFonts w:ascii="宋体" w:hAnsi="宋体"/>
          <w:bCs/>
          <w:color w:val="000000"/>
          <w:kern w:val="0"/>
          <w:sz w:val="24"/>
        </w:rPr>
        <w:t>5.11.3</w:t>
      </w:r>
      <w:r w:rsidR="00FE4BF2">
        <w:rPr>
          <w:rFonts w:ascii="宋体" w:cs="Arial" w:hAnsi="宋体" w:hint="eastAsia"/>
          <w:color w:val="000000"/>
          <w:kern w:val="0"/>
          <w:sz w:val="24"/>
        </w:rPr>
        <w:t>其他</w:t>
      </w:r>
      <w:r w:rsidRPr="00717C29">
        <w:rPr>
          <w:rFonts w:ascii="宋体" w:cs="Arial" w:hAnsi="宋体" w:hint="eastAsia"/>
          <w:color w:val="000000"/>
          <w:kern w:val="0"/>
          <w:sz w:val="24"/>
        </w:rPr>
        <w:t>资产构成</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2761"/>
        <w:gridCol w:w="4808"/>
      </w:tblGrid>
      <w:tr w:rsidR="001C36D8" w:rsidRPr="00272E0C" w:rsidTr="001A09F9">
        <w:tc>
          <w:tcPr>
            <w:tcW w:type="dxa" w:w="959"/>
          </w:tcPr>
          <w:p w:rsidP="001A09F9" w:rsidR="001C36D8" w:rsidRDefault="001C36D8" w:rsidRPr="005B1E0B">
            <w:pPr>
              <w:autoSpaceDE w:val="0"/>
              <w:autoSpaceDN w:val="0"/>
              <w:adjustRightInd w:val="0"/>
              <w:spacing w:line="360" w:lineRule="auto"/>
              <w:jc w:val="left"/>
              <w:rPr>
                <w:color w:val="000000"/>
                <w:sz w:val="24"/>
              </w:rPr>
            </w:pPr>
            <w:r w:rsidRPr="005B1E0B">
              <w:rPr>
                <w:color w:val="000000"/>
                <w:sz w:val="24"/>
              </w:rPr>
              <w:t>序号</w:t>
            </w:r>
          </w:p>
        </w:tc>
        <w:tc>
          <w:tcPr>
            <w:tcW w:type="dxa" w:w="2761"/>
          </w:tcPr>
          <w:p w:rsidP="001A09F9" w:rsidR="001C36D8" w:rsidRDefault="001C36D8" w:rsidRPr="005B1E0B">
            <w:pPr>
              <w:autoSpaceDE w:val="0"/>
              <w:autoSpaceDN w:val="0"/>
              <w:adjustRightInd w:val="0"/>
              <w:spacing w:line="360" w:lineRule="auto"/>
              <w:jc w:val="left"/>
              <w:rPr>
                <w:color w:val="000000"/>
                <w:sz w:val="24"/>
              </w:rPr>
            </w:pPr>
            <w:r w:rsidRPr="005B1E0B">
              <w:rPr>
                <w:color w:val="000000"/>
                <w:sz w:val="24"/>
              </w:rPr>
              <w:t>名称</w:t>
            </w:r>
          </w:p>
        </w:tc>
        <w:tc>
          <w:tcPr>
            <w:tcW w:type="dxa" w:w="4808"/>
          </w:tcPr>
          <w:p w:rsidP="001A09F9" w:rsidR="001C36D8" w:rsidRDefault="001C36D8" w:rsidRPr="005B1E0B">
            <w:pPr>
              <w:autoSpaceDE w:val="0"/>
              <w:autoSpaceDN w:val="0"/>
              <w:adjustRightInd w:val="0"/>
              <w:spacing w:line="360" w:lineRule="auto"/>
              <w:jc w:val="left"/>
              <w:rPr>
                <w:color w:val="000000"/>
                <w:sz w:val="24"/>
              </w:rPr>
            </w:pPr>
            <w:r w:rsidRPr="005B1E0B">
              <w:rPr>
                <w:color w:val="000000"/>
                <w:sz w:val="24"/>
              </w:rPr>
              <w:t>金额（元）</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kern w:val="0"/>
                <w:sz w:val="24"/>
              </w:rPr>
            </w:pPr>
            <w:r w:rsidRPr="005B1E0B">
              <w:rPr>
                <w:color w:val="000000"/>
                <w:sz w:val="24"/>
              </w:rPr>
              <w:t>1</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存出保证金</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26,129.26</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2</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应收证券清算款</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10,324.96</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3</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应收股利</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lastRenderedPageBreak/>
              <w:t>4</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应收利息</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4,161.69</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5</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应收申购款</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92,308.12</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6</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其他应收款</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w:t>
            </w:r>
          </w:p>
        </w:tc>
      </w:tr>
      <w:tr w:rsidR="001C36D8" w:rsidRPr="00272E0C" w:rsidTr="001A09F9">
        <w:tc>
          <w:tcPr>
            <w:tcW w:type="dxa" w:w="959"/>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7</w:t>
            </w:r>
          </w:p>
        </w:tc>
        <w:tc>
          <w:tcPr>
            <w:tcW w:type="dxa" w:w="2761"/>
          </w:tcPr>
          <w:p w:rsidP="0015779C" w:rsidR="001C36D8" w:rsidRDefault="001C36D8" w:rsidRPr="005B1E0B">
            <w:pPr>
              <w:autoSpaceDE w:val="0"/>
              <w:autoSpaceDN w:val="0"/>
              <w:adjustRightInd w:val="0"/>
              <w:spacing w:before="29" w:line="360" w:lineRule="auto"/>
              <w:ind w:left="105" w:leftChars="50"/>
              <w:rPr>
                <w:color w:val="000000"/>
                <w:sz w:val="24"/>
              </w:rPr>
            </w:pPr>
            <w:r w:rsidRPr="005B1E0B">
              <w:rPr>
                <w:color w:val="000000"/>
                <w:sz w:val="24"/>
              </w:rPr>
              <w:t>待摊费用</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8</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其他</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w:t>
            </w:r>
          </w:p>
        </w:tc>
      </w:tr>
      <w:tr w:rsidR="001C36D8" w:rsidRPr="00272E0C" w:rsidTr="001A09F9">
        <w:tc>
          <w:tcPr>
            <w:tcW w:type="dxa" w:w="959"/>
            <w:vAlign w:val="center"/>
          </w:tcPr>
          <w:p w:rsidP="001A09F9" w:rsidR="001C36D8" w:rsidRDefault="001C36D8" w:rsidRPr="005B1E0B">
            <w:pPr>
              <w:autoSpaceDE w:val="0"/>
              <w:autoSpaceDN w:val="0"/>
              <w:adjustRightInd w:val="0"/>
              <w:spacing w:before="29" w:line="360" w:lineRule="auto"/>
              <w:ind w:left="15"/>
              <w:jc w:val="center"/>
              <w:rPr>
                <w:color w:val="000000"/>
                <w:sz w:val="24"/>
              </w:rPr>
            </w:pPr>
            <w:r w:rsidRPr="005B1E0B">
              <w:rPr>
                <w:color w:val="000000"/>
                <w:sz w:val="24"/>
              </w:rPr>
              <w:t>9</w:t>
            </w:r>
          </w:p>
        </w:tc>
        <w:tc>
          <w:tcPr>
            <w:tcW w:type="dxa" w:w="2761"/>
            <w:vAlign w:val="center"/>
          </w:tcPr>
          <w:p w:rsidP="001A09F9" w:rsidR="001C36D8" w:rsidRDefault="001C36D8" w:rsidRPr="005B1E0B">
            <w:pPr>
              <w:autoSpaceDE w:val="0"/>
              <w:autoSpaceDN w:val="0"/>
              <w:adjustRightInd w:val="0"/>
              <w:spacing w:before="29" w:line="360" w:lineRule="auto"/>
              <w:ind w:left="15"/>
              <w:jc w:val="left"/>
              <w:rPr>
                <w:color w:val="000000"/>
                <w:kern w:val="0"/>
                <w:sz w:val="24"/>
              </w:rPr>
            </w:pPr>
            <w:r w:rsidRPr="005B1E0B">
              <w:rPr>
                <w:color w:val="000000"/>
                <w:kern w:val="0"/>
                <w:sz w:val="24"/>
              </w:rPr>
              <w:t>合计</w:t>
            </w:r>
          </w:p>
        </w:tc>
        <w:tc>
          <w:tcPr>
            <w:tcW w:type="dxa" w:w="4808"/>
            <w:vAlign w:val="center"/>
          </w:tcPr>
          <w:p w:rsidP="001A09F9" w:rsidR="001C36D8" w:rsidRDefault="001C36D8" w:rsidRPr="005B1E0B">
            <w:pPr>
              <w:autoSpaceDE w:val="0"/>
              <w:autoSpaceDN w:val="0"/>
              <w:adjustRightInd w:val="0"/>
              <w:spacing w:before="29" w:line="360" w:lineRule="auto"/>
              <w:ind w:left="15"/>
              <w:jc w:val="righ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132,924.03</w:t>
            </w:r>
          </w:p>
        </w:tc>
      </w:tr>
    </w:tbl>
    <w:p w:rsidP="00576862" w:rsidR="001C36D8" w:rsidRDefault="001C36D8" w:rsidRPr="00717C29">
      <w:pPr>
        <w:autoSpaceDE w:val="0"/>
        <w:autoSpaceDN w:val="0"/>
        <w:adjustRightInd w:val="0"/>
        <w:spacing w:line="360" w:lineRule="auto"/>
        <w:jc w:val="left"/>
        <w:rPr>
          <w:rFonts w:ascii="宋体" w:cs="Arial"/>
          <w:color w:val="000000"/>
          <w:kern w:val="0"/>
          <w:sz w:val="24"/>
        </w:rPr>
      </w:pPr>
      <w:r w:rsidRPr="00717C29">
        <w:rPr>
          <w:rFonts w:ascii="宋体"/>
          <w:bCs/>
          <w:color w:val="000000"/>
          <w:kern w:val="0"/>
          <w:sz w:val="24"/>
        </w:rPr>
        <w:t/>
      </w:r>
      <w:r w:rsidRPr="00717C29">
        <w:rPr>
          <w:rFonts w:ascii="宋体" w:hAnsi="宋体"/>
          <w:bCs/>
          <w:color w:val="000000"/>
          <w:kern w:val="0"/>
          <w:sz w:val="24"/>
        </w:rPr>
        <w:t>5.11.4</w:t>
      </w:r>
      <w:r w:rsidRPr="00717C29">
        <w:rPr>
          <w:rFonts w:ascii="宋体" w:cs="Arial" w:hAnsi="宋体" w:hint="eastAsia"/>
          <w:color w:val="000000"/>
          <w:kern w:val="0"/>
          <w:sz w:val="24"/>
        </w:rPr>
        <w:t>报告期末持有的处于转股期的可转换债券明细</w:t>
      </w:r>
    </w:p>
    <w:p w:rsidP="003D22BD"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本基金本报告期末未持有处于转股期的可转换债券。</w:t>
      </w:r>
    </w:p>
    <w:p w:rsidP="00924A95" w:rsidR="00924A95" w:rsidRDefault="00924A95" w:rsidRPr="001C7E00">
      <w:pPr>
        <w:autoSpaceDE w:val="0"/>
        <w:autoSpaceDN w:val="0"/>
        <w:adjustRightInd w:val="0"/>
        <w:spacing w:line="360" w:lineRule="auto"/>
        <w:jc w:val="left"/>
        <w:rPr>
          <w:rFonts w:ascii="宋体"/>
          <w:bCs/>
          <w:color w:val="000000"/>
          <w:kern w:val="0"/>
          <w:sz w:val="24"/>
        </w:rPr>
      </w:pPr>
      <w:r w:rsidRPr="001C7E00">
        <w:rPr>
          <w:rFonts w:ascii="宋体"/>
          <w:bCs/>
          <w:color w:val="000000"/>
          <w:kern w:val="0"/>
          <w:sz w:val="24"/>
        </w:rPr>
        <w:t/>
      </w:r>
      <w:r w:rsidRPr="001C7E00">
        <w:rPr>
          <w:rFonts w:ascii="宋体" w:hAnsi="宋体"/>
          <w:bCs/>
          <w:color w:val="000000"/>
          <w:kern w:val="0"/>
          <w:sz w:val="24"/>
        </w:rPr>
        <w:t>5.11.5</w:t>
      </w:r>
      <w:r w:rsidRPr="001C7E00">
        <w:rPr>
          <w:rFonts w:ascii="宋体" w:hAnsi="宋体" w:hint="eastAsia"/>
          <w:bCs/>
          <w:color w:val="000000"/>
          <w:kern w:val="0"/>
          <w:sz w:val="24"/>
        </w:rPr>
        <w:t>报告期末前十名股票中存在流通受限情况的说明</w:t>
      </w:r>
    </w:p>
    <w:p w:rsidP="005B1E0B" w:rsidR="001C36D8" w:rsidRDefault="00924A95" w:rsidRPr="005B1E0B">
      <w:pPr>
        <w:spacing w:line="360" w:lineRule="auto"/>
        <w:ind w:firstLine="480" w:firstLineChars="200"/>
        <w:rPr>
          <w:color w:val="000000"/>
          <w:sz w:val="24"/>
        </w:rPr>
      </w:pPr>
      <w:r w:rsidRPr="006C56AA">
        <w:rPr>
          <w:color w:val="000000"/>
          <w:sz w:val="24"/>
        </w:rPr>
        <w:lastRenderedPageBreak/>
        <w:t>本基金本报告期末前十名股票中不存在流通受限情况。</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6</w:t>
      </w:r>
      <w:r w:rsidR="005D2CC7" w:rsidRPr="00272E0C">
        <w:rPr>
          <w:rFonts w:ascii="宋体" w:cs="Arial" w:hAnsi="宋体"/>
          <w:color w:val="000000"/>
          <w:kern w:val="0"/>
          <w:sz w:val="24"/>
          <w:szCs w:val="24"/>
        </w:rPr>
        <w:t xml:space="preserve">  </w:t>
      </w:r>
      <w:r w:rsidRPr="00272E0C">
        <w:rPr>
          <w:rFonts w:ascii="宋体" w:cs="Arial" w:hAnsi="宋体" w:hint="eastAsia"/>
          <w:color w:val="000000"/>
          <w:kern w:val="0"/>
          <w:sz w:val="24"/>
          <w:szCs w:val="24"/>
        </w:rPr>
        <w:t>开放式基金份额变动</w:t>
      </w:r>
    </w:p>
    <w:p w:rsidP="0019563C" w:rsidR="001C36D8" w:rsidRDefault="001C36D8" w:rsidRPr="00272E0C">
      <w:pPr>
        <w:autoSpaceDE w:val="0"/>
        <w:autoSpaceDN w:val="0"/>
        <w:adjustRightInd w:val="0"/>
        <w:spacing w:before="29" w:line="360" w:lineRule="auto"/>
        <w:ind w:left="15"/>
        <w:jc w:val="right"/>
        <w:rPr>
          <w:rFonts w:ascii="宋体" w:cs="Arial"/>
          <w:color w:val="000000"/>
          <w:kern w:val="0"/>
          <w:sz w:val="24"/>
        </w:rPr>
      </w:pPr>
      <w:r w:rsidRPr="00272E0C">
        <w:rPr>
          <w:rFonts w:ascii="宋体" w:cs="Arial" w:hAnsi="宋体" w:hint="eastAsia"/>
          <w:color w:val="000000"/>
          <w:kern w:val="0"/>
          <w:sz w:val="24"/>
        </w:rPr>
        <w:t>单位：份</w:t>
      </w:r>
    </w:p>
    <w:tbl>
      <w:tblPr>
        <w:tblW w:type="dxa" w:w="8719"/>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1774"/>
        <w:gridCol w:w="2409"/>
        <w:gridCol w:w="2410"/>
        <w:gridCol w:w="2126"/>
      </w:tblGrid>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项目</w:t>
            </w:r>
          </w:p>
        </w:tc>
        <w:tc>
          <w:tcPr>
            <w:tcW w:type="dxa" w:w="2409"/>
            <w:vAlign w:val="center"/>
          </w:tcPr>
          <w:p w:rsidP="005B14F0" w:rsidR="001C36D8" w:rsidRDefault="001C36D8" w:rsidRPr="005B1E0B">
            <w:pPr>
              <w:autoSpaceDE w:val="0"/>
              <w:autoSpaceDN w:val="0"/>
              <w:adjustRightInd w:val="0"/>
              <w:spacing w:before="29" w:line="360" w:lineRule="auto"/>
              <w:ind w:left="17"/>
              <w:jc w:val="right"/>
              <w:rPr>
                <w:sz w:val="24"/>
              </w:rPr>
            </w:pPr>
            <w:r w:rsidRPr="005B1E0B">
              <w:rPr>
                <w:color w:val="000000"/>
                <w:kern w:val="0"/>
                <w:sz w:val="24"/>
              </w:rPr>
              <w:t/>
            </w:r>
            <w:proofErr w:type="spellStart"/>
            <w:r w:rsidRPr="005B1E0B">
              <w:rPr>
                <w:sz w:val="24"/>
              </w:rPr>
              <w:t/>
            </w:r>
            <w:proofErr w:type="spellEnd"/>
            <w:r w:rsidRPr="005B1E0B">
              <w:rPr>
                <w:sz w:val="24"/>
              </w:rPr>
              <w:t>易方达上证50分级</w:t>
            </w:r>
          </w:p>
        </w:tc>
        <w:tc>
          <w:tcPr>
            <w:tcW w:type="dxa" w:w="2410"/>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kern w:val="0"/>
                <w:sz w:val="24"/>
              </w:rPr>
              <w:t/>
            </w:r>
            <w:proofErr w:type="spellStart"/>
            <w:r w:rsidRPr="005B1E0B">
              <w:rPr>
                <w:sz w:val="24"/>
              </w:rPr>
              <w:t/>
            </w:r>
            <w:proofErr w:type="spellEnd"/>
            <w:r w:rsidRPr="005B1E0B">
              <w:rPr>
                <w:sz w:val="24"/>
              </w:rPr>
              <w:t>易方达上证50分级A</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kern w:val="0"/>
                <w:sz w:val="24"/>
              </w:rPr>
              <w:t/>
            </w:r>
            <w:proofErr w:type="spellStart"/>
            <w:r w:rsidRPr="005B1E0B">
              <w:rPr>
                <w:sz w:val="24"/>
              </w:rPr>
              <w:t/>
            </w:r>
            <w:proofErr w:type="spellEnd"/>
            <w:r w:rsidRPr="005B1E0B">
              <w:rPr>
                <w:sz w:val="24"/>
              </w:rPr>
              <w:t>易方达上证50分级B</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报告期期初基金份额总额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161,371,796.48</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104,954,629.00</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
            </w:r>
            <w:r w:rsidRPr="005B1E0B">
              <w:rPr>
                <w:sz w:val="24"/>
              </w:rPr>
              <w:t>104,954,629.00</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
            </w:r>
            <w:proofErr w:type="spellStart"/>
            <w:r w:rsidRPr="005B1E0B">
              <w:rPr>
                <w:color w:val="000000"/>
                <w:kern w:val="0"/>
                <w:sz w:val="24"/>
              </w:rPr>
              <w:t/>
            </w:r>
            <w:proofErr w:type="spellEnd"/>
            <w:r w:rsidRPr="005B1E0B">
              <w:rPr>
                <w:color w:val="000000"/>
                <w:kern w:val="0"/>
                <w:sz w:val="24"/>
              </w:rPr>
              <w:t>报告期</w:t>
            </w:r>
            <w:r w:rsidRPr="005B1E0B">
              <w:rPr>
                <w:color w:val="000000"/>
                <w:kern w:val="0"/>
                <w:sz w:val="24"/>
              </w:rPr>
              <w:t>基金总申购份额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12,810,006.01</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
            </w:r>
            <w:r w:rsidRPr="005B1E0B">
              <w:rPr>
                <w:sz w:val="24"/>
              </w:rPr>
              <w:t>-</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减：</w:t>
            </w:r>
            <w:r w:rsidRPr="005B1E0B">
              <w:rPr>
                <w:color w:val="000000"/>
                <w:kern w:val="0"/>
                <w:sz w:val="24"/>
              </w:rPr>
              <w:t/>
            </w:r>
            <w:proofErr w:type="spellStart"/>
            <w:r w:rsidRPr="005B1E0B">
              <w:rPr>
                <w:color w:val="000000"/>
                <w:kern w:val="0"/>
                <w:sz w:val="24"/>
              </w:rPr>
              <w:t/>
            </w:r>
            <w:r w:rsidRPr="005B1E0B">
              <w:rPr>
                <w:color w:val="000000"/>
                <w:kern w:val="0"/>
                <w:sz w:val="24"/>
              </w:rPr>
              <w:lastRenderedPageBreak/>
              <w:t/>
            </w:r>
            <w:proofErr w:type="spellEnd"/>
            <w:r w:rsidRPr="005B1E0B">
              <w:rPr>
                <w:color w:val="000000"/>
                <w:kern w:val="0"/>
                <w:sz w:val="24"/>
              </w:rPr>
              <w:t>报告期</w:t>
            </w:r>
            <w:r w:rsidRPr="005B1E0B">
              <w:rPr>
                <w:color w:val="000000"/>
                <w:kern w:val="0"/>
                <w:sz w:val="24"/>
              </w:rPr>
              <w:t>基金总赎回份额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lastRenderedPageBreak/>
              <w:t/>
            </w:r>
            <w:proofErr w:type="spellStart"/>
            <w:r w:rsidRPr="005B1E0B">
              <w:rPr>
                <w:color w:val="000000"/>
                <w:sz w:val="24"/>
              </w:rPr>
              <w:t/>
            </w:r>
            <w:r w:rsidRPr="005B1E0B">
              <w:rPr>
                <w:color w:val="000000"/>
                <w:sz w:val="24"/>
              </w:rPr>
              <w:lastRenderedPageBreak/>
              <w:t/>
            </w:r>
            <w:proofErr w:type="spellEnd"/>
            <w:r w:rsidRPr="005B1E0B">
              <w:rPr>
                <w:color w:val="000000"/>
                <w:sz w:val="24"/>
              </w:rPr>
              <w:t>75,697,874.14</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lastRenderedPageBreak/>
              <w:t/>
            </w:r>
            <w:proofErr w:type="spellStart"/>
            <w:r w:rsidRPr="005B1E0B">
              <w:rPr>
                <w:color w:val="000000"/>
                <w:sz w:val="24"/>
              </w:rPr>
              <w:t/>
            </w:r>
            <w:r w:rsidRPr="005B1E0B">
              <w:rPr>
                <w:color w:val="000000"/>
                <w:sz w:val="24"/>
              </w:rPr>
              <w:lastRenderedPageBreak/>
              <w:t/>
            </w:r>
            <w:proofErr w:type="spellEnd"/>
            <w:r w:rsidRPr="005B1E0B">
              <w:rPr>
                <w:color w:val="000000"/>
                <w:sz w:val="24"/>
              </w:rPr>
              <w:t>-</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lastRenderedPageBreak/>
              <w:t/>
            </w:r>
            <w:proofErr w:type="spellStart"/>
            <w:r w:rsidRPr="005B1E0B">
              <w:rPr>
                <w:color w:val="000000"/>
                <w:sz w:val="24"/>
              </w:rPr>
              <w:t/>
            </w:r>
            <w:r w:rsidRPr="005B1E0B">
              <w:rPr>
                <w:color w:val="000000"/>
                <w:sz w:val="24"/>
              </w:rPr>
              <w:lastRenderedPageBreak/>
              <w:t/>
            </w:r>
            <w:proofErr w:type="spellEnd"/>
            <w:r w:rsidRPr="005B1E0B">
              <w:rPr>
                <w:color w:val="000000"/>
                <w:sz w:val="24"/>
              </w:rPr>
              <w:t/>
            </w:r>
            <w:r w:rsidRPr="005B1E0B">
              <w:rPr>
                <w:sz w:val="24"/>
              </w:rPr>
              <w:t>-</w:t>
            </w:r>
          </w:p>
        </w:tc>
      </w:tr>
      <w:tr w:rsidR="001C36D8" w:rsidRPr="00272E0C" w:rsidTr="00EF063B">
        <w:trPr>
          <w:trHeight w:val="1718"/>
        </w:trPr>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lastRenderedPageBreak/>
              <w:t/>
            </w:r>
            <w:proofErr w:type="spellStart"/>
            <w:r w:rsidRPr="005B1E0B">
              <w:rPr>
                <w:color w:val="000000"/>
                <w:kern w:val="0"/>
                <w:sz w:val="24"/>
              </w:rPr>
              <w:t/>
            </w:r>
            <w:proofErr w:type="spellEnd"/>
            <w:r w:rsidRPr="005B1E0B">
              <w:rPr>
                <w:color w:val="000000"/>
                <w:kern w:val="0"/>
                <w:sz w:val="24"/>
              </w:rPr>
              <w:t>报告期</w:t>
            </w:r>
            <w:r w:rsidRPr="005B1E0B">
              <w:rPr>
                <w:color w:val="000000"/>
                <w:kern w:val="0"/>
                <w:sz w:val="24"/>
              </w:rPr>
              <w:t>基金拆分变动份额</w:t>
            </w:r>
            <w:r w:rsidR="005541BC" w:rsidRPr="00921BFA">
              <w:rPr>
                <w:rFonts w:hint="eastAsia"/>
                <w:color w:val="000000"/>
                <w:kern w:val="0"/>
                <w:sz w:val="24"/>
              </w:rPr>
              <w:t>（份额减少以“</w:t>
            </w:r>
            <w:r w:rsidR="005541BC" w:rsidRPr="00921BFA">
              <w:rPr>
                <w:rFonts w:hint="eastAsia"/>
                <w:color w:val="000000"/>
                <w:kern w:val="0"/>
                <w:sz w:val="24"/>
              </w:rPr>
              <w:t>-</w:t>
            </w:r>
            <w:r w:rsidR="005541BC" w:rsidRPr="00921BFA">
              <w:rPr>
                <w:rFonts w:hint="eastAsia"/>
                <w:color w:val="000000"/>
                <w:kern w:val="0"/>
                <w:sz w:val="24"/>
              </w:rPr>
              <w:t>”填列）</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26,850,800.00</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-13,425,400.00</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
            </w:r>
            <w:r w:rsidRPr="005B1E0B">
              <w:rPr>
                <w:sz w:val="24"/>
              </w:rPr>
              <w:t>-13,425,400.00</w:t>
            </w:r>
          </w:p>
        </w:tc>
      </w:tr>
      <w:tr w:rsidR="001C36D8" w:rsidRPr="00272E0C" w:rsidTr="00EF063B">
        <w:tc>
          <w:tcPr>
            <w:tcW w:type="dxa" w:w="1774"/>
            <w:vAlign w:val="center"/>
          </w:tcPr>
          <w:p w:rsidP="007A6BEA" w:rsidR="001C36D8" w:rsidRDefault="001C36D8" w:rsidRPr="005B1E0B">
            <w:pPr>
              <w:autoSpaceDE w:val="0"/>
              <w:autoSpaceDN w:val="0"/>
              <w:adjustRightInd w:val="0"/>
              <w:spacing w:before="29" w:line="360" w:lineRule="auto"/>
              <w:ind w:left="17"/>
              <w:jc w:val="left"/>
              <w:rPr>
                <w:color w:val="000000"/>
                <w:kern w:val="0"/>
                <w:sz w:val="24"/>
              </w:rPr>
            </w:pPr>
            <w:r w:rsidRPr="005B1E0B">
              <w:rPr>
                <w:color w:val="000000"/>
                <w:kern w:val="0"/>
                <w:sz w:val="24"/>
              </w:rPr>
              <w:t>报告期期末基金份额总额</w:t>
            </w:r>
          </w:p>
        </w:tc>
        <w:tc>
          <w:tcPr>
            <w:tcW w:type="dxa" w:w="2409"/>
            <w:vAlign w:val="center"/>
          </w:tcPr>
          <w:p w:rsidP="007A6BEA"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125,334,728.35</w:t>
            </w:r>
          </w:p>
        </w:tc>
        <w:tc>
          <w:tcPr>
            <w:tcW w:type="dxa" w:w="2410"/>
            <w:vAlign w:val="center"/>
          </w:tcPr>
          <w:p w:rsidP="00465C86"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proofErr w:type="spellEnd"/>
            <w:r w:rsidRPr="005B1E0B">
              <w:rPr>
                <w:color w:val="000000"/>
                <w:sz w:val="24"/>
              </w:rPr>
              <w:t>91,529,229.00</w:t>
            </w:r>
          </w:p>
        </w:tc>
        <w:tc>
          <w:tcPr>
            <w:tcW w:type="dxa" w:w="2126"/>
            <w:vAlign w:val="center"/>
          </w:tcPr>
          <w:p w:rsidP="00183C9E" w:rsidR="001C36D8" w:rsidRDefault="001C36D8" w:rsidRPr="005B1E0B">
            <w:pPr>
              <w:autoSpaceDE w:val="0"/>
              <w:autoSpaceDN w:val="0"/>
              <w:adjustRightInd w:val="0"/>
              <w:spacing w:before="29" w:line="360" w:lineRule="auto"/>
              <w:ind w:left="17"/>
              <w:jc w:val="right"/>
              <w:rPr>
                <w:color w:val="000000"/>
                <w:sz w:val="24"/>
              </w:rPr>
            </w:pPr>
            <w:r w:rsidRPr="005B1E0B">
              <w:rPr>
                <w:color w:val="000000"/>
                <w:sz w:val="24"/>
              </w:rPr>
              <w:t/>
            </w:r>
            <w:proofErr w:type="spellStart"/>
            <w:r w:rsidRPr="005B1E0B">
              <w:rPr>
                <w:color w:val="000000"/>
                <w:sz w:val="24"/>
              </w:rPr>
              <w:t/>
            </w:r>
            <w:r w:rsidRPr="005B1E0B">
              <w:rPr>
                <w:sz w:val="24"/>
              </w:rPr>
              <w:t/>
            </w:r>
            <w:proofErr w:type="spellEnd"/>
            <w:r w:rsidRPr="005B1E0B">
              <w:rPr>
                <w:sz w:val="24"/>
              </w:rPr>
              <w:t>91,529,229.00</w:t>
            </w:r>
          </w:p>
        </w:tc>
      </w:tr>
    </w:tbl>
    <w:p w:rsidP="003D22BD"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注：拆分变动份额包括三类份额之间的配对转换份额。</w:t>
      </w:r>
    </w:p>
    <w:p w:rsidP="005C6DF3" w:rsidR="001C36D8" w:rsidRDefault="001C36D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olor w:val="000000"/>
          <w:kern w:val="0"/>
          <w:sz w:val="24"/>
          <w:szCs w:val="24"/>
        </w:rPr>
        <w:t/>
      </w:r>
      <w:proofErr w:type="spellStart"/>
      <w:r>
        <w:rPr>
          <w:rFonts w:ascii="宋体" w:hAnsi="宋体"/>
          <w:color w:val="000000"/>
          <w:kern w:val="0"/>
          <w:sz w:val="24"/>
          <w:szCs w:val="24"/>
        </w:rPr>
        <w:t/>
      </w:r>
      <w:proofErr w:type="spellEnd"/>
      <w:r>
        <w:rPr>
          <w:rFonts w:ascii="宋体" w:hAnsi="宋体"/>
          <w:color w:val="000000"/>
          <w:kern w:val="0"/>
          <w:sz w:val="24"/>
          <w:szCs w:val="24"/>
        </w:rPr>
        <w:t/>
      </w: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3D4E5A" w:rsidR="001C36D8" w:rsidRDefault="001C36D8">
      <w:pPr>
        <w:spacing w:line="360" w:lineRule="auto"/>
        <w:jc w:val="left"/>
        <w:rPr>
          <w:sz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5B1E0B" w:rsidR="001C36D8" w:rsidRDefault="00BF63AF" w:rsidRPr="005B1E0B">
      <w:pPr>
        <w:spacing w:line="360" w:lineRule="auto"/>
        <w:ind w:firstLine="480" w:firstLineChars="200"/>
        <w:rPr>
          <w:color w:val="000000"/>
          <w:sz w:val="24"/>
        </w:rPr>
      </w:pPr>
      <w:r w:rsidRPr="00510DAB">
        <w:rPr>
          <w:color w:val="000000"/>
          <w:sz w:val="24"/>
        </w:rPr>
        <w:t/>
      </w:r>
      <w:proofErr w:type="spellStart"/>
      <w:r w:rsidRPr="00510DAB">
        <w:rPr>
          <w:color w:val="000000"/>
          <w:sz w:val="24"/>
        </w:rPr>
        <w:t/>
      </w:r>
      <w:proofErr w:type="spellEnd"/>
      <w:r w:rsidRPr="00510DAB">
        <w:rPr>
          <w:color w:val="000000"/>
          <w:sz w:val="24"/>
        </w:rPr>
        <w:t>本报告期内基金管理人未持有本基金份额。</w:t>
      </w:r>
    </w:p>
    <w:p w:rsidP="003D4E5A" w:rsidR="001C36D8" w:rsidRDefault="001C36D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3D22BD"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
      </w:r>
      <w:proofErr w:type="spellStart"/>
      <w:r w:rsidRPr="003D22BD">
        <w:rPr>
          <w:color w:val="000000"/>
          <w:sz w:val="24"/>
        </w:rPr>
        <w:t/>
      </w:r>
      <w:proofErr w:type="spellEnd"/>
      <w:r w:rsidRPr="003D22BD">
        <w:rPr>
          <w:color w:val="000000"/>
          <w:sz w:val="24"/>
        </w:rPr>
        <w:t>本报告期内基金管理人未运用固有资金申购、赎回、买卖本基金份额。</w:t>
      </w:r>
    </w:p>
    <w:p w:rsidP="00A12EEF" w:rsidR="00A12EEF" w:rsidRDefault="00A12EEF" w:rsidRPr="005D2CC7">
      <w:pPr>
        <w:pStyle w:val="1"/>
        <w:spacing w:after="312" w:afterLines="100" w:before="312" w:beforeLines="100" w:line="360" w:lineRule="auto"/>
        <w:jc w:val="center"/>
        <w:rPr>
          <w:rFonts w:ascii="宋体" w:cs="Arial" w:hAnsi="宋体"/>
          <w:color w:val="000000"/>
          <w:kern w:val="0"/>
          <w:sz w:val="24"/>
          <w:szCs w:val="24"/>
        </w:rPr>
      </w:pPr>
      <w:r w:rsidRPr="005D2CC7">
        <w:rPr>
          <w:rFonts w:ascii="宋体" w:cs="Arial" w:hAnsi="宋体"/>
          <w:color w:val="000000"/>
          <w:kern w:val="0"/>
          <w:sz w:val="24"/>
          <w:szCs w:val="24"/>
        </w:rPr>
        <w:lastRenderedPageBreak/>
        <w:t/>
      </w:r>
      <w:proofErr w:type="spellStart"/>
      <w:r w:rsidRPr="005D2CC7">
        <w:rPr>
          <w:rFonts w:ascii="宋体" w:cs="Arial" w:hAnsi="宋体"/>
          <w:color w:val="000000"/>
          <w:kern w:val="0"/>
          <w:sz w:val="24"/>
          <w:szCs w:val="24"/>
        </w:rPr>
        <w:t/>
      </w:r>
      <w:proofErr w:type="spellEnd"/>
      <w:r w:rsidRPr="005D2CC7">
        <w:rPr>
          <w:rFonts w:ascii="宋体" w:cs="Arial" w:hAnsi="宋体"/>
          <w:color w:val="000000"/>
          <w:kern w:val="0"/>
          <w:sz w:val="24"/>
          <w:szCs w:val="24"/>
        </w:rPr>
        <w:t>§8</w:t>
      </w:r>
      <w:r w:rsidR="005D2CC7" w:rsidRPr="00272E0C">
        <w:rPr>
          <w:rFonts w:ascii="宋体" w:cs="Arial" w:hAnsi="宋体"/>
          <w:color w:val="000000"/>
          <w:kern w:val="0"/>
          <w:sz w:val="24"/>
          <w:szCs w:val="24"/>
        </w:rPr>
        <w:t xml:space="preserve">  </w:t>
      </w:r>
      <w:r w:rsidRPr="005D2CC7">
        <w:rPr>
          <w:rFonts w:ascii="宋体" w:cs="Arial" w:hAnsi="宋体"/>
          <w:color w:val="000000"/>
          <w:kern w:val="0"/>
          <w:sz w:val="24"/>
          <w:szCs w:val="24"/>
        </w:rPr>
        <w:t>影响投资者决策的其他重要信息</w:t>
      </w:r>
    </w:p>
    <w:p w:rsidP="004B7CA0" w:rsidR="004B7CA0" w:rsidRDefault="004B7CA0" w:rsidRPr="00654C5E">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
      </w:r>
      <w:proofErr w:type="spellStart"/>
      <w:r w:rsidRPr="00654C5E">
        <w:rPr>
          <w:rFonts w:ascii="宋体"/>
          <w:b/>
          <w:bCs/>
          <w:color w:val="000000"/>
          <w:kern w:val="0"/>
          <w:sz w:val="24"/>
        </w:rPr>
        <w:t/>
      </w:r>
      <w:proofErr w:type="spellEnd"/>
      <w:r w:rsidRPr="00654C5E">
        <w:rPr>
          <w:rFonts w:ascii="宋体"/>
          <w:b/>
          <w:bCs/>
          <w:color w:val="000000"/>
          <w:kern w:val="0"/>
          <w:sz w:val="24"/>
        </w:rPr>
        <w:t>8.1 影响投资者决策的其他重要信息</w:t>
      </w:r>
    </w:p>
    <w:p w:rsidP="004B7CA0" w:rsidR="001C36D8" w:rsidRDefault="004B7CA0" w:rsidRPr="003D22BD">
      <w:pPr>
        <w:spacing w:line="360" w:lineRule="auto"/>
        <w:ind w:firstLine="480" w:firstLineChars="200"/>
        <w:rPr>
          <w:color w:val="000000"/>
          <w:sz w:val="24"/>
        </w:rPr>
      </w:pPr>
      <w:r w:rsidRPr="00FC0759">
        <w:rPr>
          <w:rFonts w:eastAsiaTheme="minorEastAsia"/>
          <w:color w:themeColor="text1" w:val="000000"/>
          <w:sz w:val="24"/>
        </w:rPr>
        <w:t/>
      </w:r>
      <w:proofErr w:type="spellStart"/>
      <w:r w:rsidRPr="00FC0759">
        <w:rPr>
          <w:color w:themeColor="text1" w:val="000000"/>
          <w:sz w:val="24"/>
        </w:rPr>
        <w:t/>
      </w:r>
      <w:proofErr w:type="spellEnd"/>
      <w:r w:rsidRPr="00FC0759">
        <w:rPr>
          <w:rFonts w:eastAsiaTheme="minorEastAsia"/>
          <w:color w:themeColor="text1" w:val="000000"/>
          <w:sz w:val="24"/>
        </w:rPr>
        <w:t>根据中国人民银行、中国银行保险监督管理委员会、中国证券监督管理委员会、国家外汇管理局联合发布的《关于规范金融机构资产管理业务的指导意见》，本基金将在2020年底前完成规范整改，请投资者理性投资并关注基金管理人届时发布的相关公告。</w:t>
      </w:r>
    </w:p>
    <w:p w:rsidP="005C6DF3" w:rsidR="001C36D8" w:rsidRDefault="001C36D8" w:rsidRPr="00272E0C">
      <w:pPr>
        <w:pStyle w:val="1"/>
        <w:spacing w:after="312" w:afterLines="100" w:before="312" w:beforeLines="100" w:line="360" w:lineRule="auto"/>
        <w:jc w:val="center"/>
        <w:rPr>
          <w:rFonts w:ascii="宋体" w:cs="Arial"/>
          <w:color w:val="000000"/>
          <w:kern w:val="0"/>
          <w:sz w:val="24"/>
          <w:szCs w:val="24"/>
        </w:rPr>
      </w:pPr>
      <w:r w:rsidRPr="00272E0C">
        <w:rPr>
          <w:rFonts w:ascii="宋体" w:cs="Arial" w:hAnsi="宋体" w:hint="eastAsia"/>
          <w:color w:val="000000"/>
          <w:kern w:val="0"/>
          <w:sz w:val="24"/>
          <w:szCs w:val="24"/>
        </w:rPr>
        <w:lastRenderedPageBreak/>
        <w:t>§</w:t>
      </w:r>
      <w:r w:rsidRPr="00272E0C">
        <w:rPr>
          <w:rFonts w:ascii="宋体" w:cs="Arial"/>
          <w:color w:val="000000"/>
          <w:kern w:val="0"/>
          <w:sz w:val="24"/>
          <w:szCs w:val="24"/>
        </w:rPr>
        <w:t/>
      </w:r>
      <w:r w:rsidRPr="00272E0C">
        <w:rPr>
          <w:rFonts w:ascii="宋体" w:cs="Arial" w:hAnsi="宋体"/>
          <w:color w:val="000000"/>
          <w:kern w:val="0"/>
          <w:sz w:val="24"/>
          <w:szCs w:val="24"/>
        </w:rPr>
        <w:t>9</w:t>
      </w:r>
      <w:r w:rsidR="005D2CC7" w:rsidRPr="00272E0C">
        <w:rPr>
          <w:rFonts w:ascii="宋体" w:cs="Arial" w:hAnsi="宋体"/>
          <w:color w:val="000000"/>
          <w:kern w:val="0"/>
          <w:sz w:val="24"/>
          <w:szCs w:val="24"/>
        </w:rPr>
        <w:t xml:space="preserve">  </w:t>
      </w:r>
      <w:r w:rsidRPr="00272E0C">
        <w:rPr>
          <w:rFonts w:ascii="宋体" w:cs="Arial" w:hAnsi="宋体" w:hint="eastAsia"/>
          <w:color w:val="000000"/>
          <w:kern w:val="0"/>
          <w:sz w:val="24"/>
          <w:szCs w:val="24"/>
        </w:rPr>
        <w:t>备查文件目录</w:t>
      </w:r>
    </w:p>
    <w:p w:rsidP="001078B6" w:rsidR="001C36D8" w:rsidRDefault="001C36D8" w:rsidRPr="00CE2DE4">
      <w:pPr>
        <w:spacing w:line="360" w:lineRule="auto"/>
        <w:rPr>
          <w:rFonts w:ascii="宋体"/>
          <w:b/>
          <w:color w:val="000000"/>
          <w:kern w:val="0"/>
          <w:sz w:val="24"/>
        </w:rPr>
      </w:pPr>
      <w:r w:rsidRPr="00CE2DE4">
        <w:rPr>
          <w:rFonts w:ascii="宋体"/>
          <w:b/>
          <w:color w:val="000000"/>
          <w:sz w:val="24"/>
        </w:rPr>
        <w:t/>
      </w:r>
      <w:r w:rsidRPr="00CE2DE4">
        <w:rPr>
          <w:rFonts w:ascii="宋体" w:hAnsi="宋体"/>
          <w:b/>
          <w:color w:val="000000"/>
          <w:sz w:val="24"/>
        </w:rPr>
        <w:t xml:space="preserve">9.1 </w:t>
      </w:r>
      <w:r w:rsidRPr="00CE2DE4">
        <w:rPr>
          <w:rFonts w:ascii="宋体" w:hAnsi="宋体" w:hint="eastAsia"/>
          <w:b/>
          <w:color w:val="000000"/>
          <w:sz w:val="24"/>
        </w:rPr>
        <w:t>备查文件目录</w:t>
      </w:r>
    </w:p>
    <w:p>
      <w:pPr>
        <w:spacing w:line="360" w:lineRule="auto"/>
        <w:ind w:firstLine="480" w:firstLineChars="200"/>
        <w:rPr>
          <w:color w:val="000000"/>
          <w:sz w:val="24"/>
        </w:rPr>
      </w:pPr>
      <w:r>
        <w:rPr>
          <w:color w:val="000000"/>
          <w:sz w:val="24"/>
        </w:rPr>
        <w:t>1. 中国证监会准予易方达上证50指数分级证券投资基金募集注册的文件；</w:t>
      </w:r>
    </w:p>
    <w:p>
      <w:pPr>
        <w:spacing w:line="360" w:lineRule="auto"/>
        <w:ind w:firstLine="480" w:firstLineChars="200"/>
        <w:rPr>
          <w:color w:val="000000"/>
          <w:sz w:val="24"/>
        </w:rPr>
      </w:pPr>
      <w:r>
        <w:rPr>
          <w:color w:val="000000"/>
          <w:sz w:val="24"/>
        </w:rPr>
        <w:t>2. 《易方达上证50指数分级证券投资基金基金合同》；</w:t>
      </w:r>
    </w:p>
    <w:p>
      <w:pPr>
        <w:spacing w:line="360" w:lineRule="auto"/>
        <w:ind w:firstLine="480" w:firstLineChars="200"/>
        <w:rPr>
          <w:color w:val="000000"/>
          <w:sz w:val="24"/>
        </w:rPr>
      </w:pPr>
      <w:r>
        <w:rPr>
          <w:color w:val="000000"/>
          <w:sz w:val="24"/>
        </w:rPr>
        <w:t>3. 《易方达上证50指数分级证券投资基金托管协议》；</w: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4. 基金管理人业务资格批件和营业执照。</w:t>
      </w:r>
    </w:p>
    <w:p w:rsidP="001078B6" w:rsidR="001C36D8" w:rsidRDefault="001C36D8" w:rsidRPr="00CE2DE4">
      <w:pPr>
        <w:spacing w:line="360" w:lineRule="auto"/>
        <w:rPr>
          <w:rFonts w:ascii="宋体"/>
          <w:b/>
          <w:color w:val="000000"/>
          <w:sz w:val="24"/>
        </w:rPr>
      </w:pPr>
      <w:r w:rsidRPr="00CE2DE4">
        <w:rPr>
          <w:rFonts w:ascii="宋体"/>
          <w:b/>
          <w:color w:val="000000"/>
          <w:sz w:val="24"/>
        </w:rPr>
        <w:t/>
      </w:r>
      <w:r w:rsidRPr="00CE2DE4">
        <w:rPr>
          <w:rFonts w:ascii="宋体" w:hAnsi="宋体"/>
          <w:b/>
          <w:color w:val="000000"/>
          <w:sz w:val="24"/>
        </w:rPr>
        <w:t xml:space="preserve">9.2 </w:t>
      </w:r>
      <w:r w:rsidRPr="00CE2DE4">
        <w:rPr>
          <w:rFonts w:ascii="宋体" w:hAnsi="宋体" w:hint="eastAsia"/>
          <w:b/>
          <w:color w:val="000000"/>
          <w:sz w:val="24"/>
        </w:rPr>
        <w:t>存放地点</w:t>
      </w:r>
    </w:p>
    <w:p w:rsidP="00E43B0B" w:rsidR="001C36D8" w:rsidRDefault="001C36D8" w:rsidRPr="00E43B0B">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广州市天河区珠江新城珠江东路30号广州银行大厦40-43楼。</w:t>
      </w:r>
    </w:p>
    <w:p w:rsidP="001078B6" w:rsidR="001C36D8" w:rsidRDefault="001C36D8" w:rsidRPr="00CE2DE4">
      <w:pPr>
        <w:spacing w:line="360" w:lineRule="auto"/>
        <w:rPr>
          <w:rFonts w:ascii="宋体"/>
          <w:b/>
          <w:color w:val="000000"/>
          <w:sz w:val="24"/>
        </w:rPr>
      </w:pPr>
      <w:r w:rsidRPr="00CE2DE4">
        <w:rPr>
          <w:rFonts w:ascii="宋体"/>
          <w:b/>
          <w:color w:val="000000"/>
          <w:sz w:val="24"/>
        </w:rPr>
        <w:t/>
      </w:r>
      <w:r w:rsidRPr="00CE2DE4">
        <w:rPr>
          <w:rFonts w:ascii="宋体" w:hAnsi="宋体"/>
          <w:b/>
          <w:color w:val="000000"/>
          <w:sz w:val="24"/>
        </w:rPr>
        <w:t xml:space="preserve">9.3 </w:t>
      </w:r>
      <w:r w:rsidRPr="00CE2DE4">
        <w:rPr>
          <w:rFonts w:ascii="宋体" w:hAnsi="宋体" w:hint="eastAsia"/>
          <w:b/>
          <w:color w:val="000000"/>
          <w:sz w:val="24"/>
        </w:rPr>
        <w:t>查阅方式</w:t>
      </w:r>
    </w:p>
    <w:p w:rsidP="0015779C" w:rsidR="001C36D8" w:rsidRDefault="001C36D8" w:rsidRPr="003D22BD">
      <w:pPr>
        <w:spacing w:line="360" w:lineRule="auto"/>
        <w:ind w:firstLine="480" w:firstLineChars="200"/>
        <w:rPr>
          <w:color w:val="000000"/>
          <w:sz w:val="24"/>
        </w:rPr>
      </w:pPr>
      <w:r w:rsidRPr="003D22BD">
        <w:rPr>
          <w:color w:val="000000"/>
          <w:sz w:val="24"/>
        </w:rPr>
        <w:t/>
      </w:r>
      <w:proofErr w:type="spellStart"/>
      <w:r w:rsidRPr="003D22BD">
        <w:rPr>
          <w:color w:val="000000"/>
          <w:sz w:val="24"/>
        </w:rPr>
        <w:t/>
      </w:r>
      <w:proofErr w:type="spellEnd"/>
      <w:r w:rsidRPr="003D22BD">
        <w:rPr>
          <w:color w:val="000000"/>
          <w:sz w:val="24"/>
        </w:rPr>
        <w:t>投资者可在营业时间免费查阅，也可按工本费购买复印件。</w:t>
      </w:r>
    </w:p>
    <w:p w:rsidP="0019563C" w:rsidR="001C36D8" w:rsidRDefault="001C36D8" w:rsidRPr="00272E0C">
      <w:pPr>
        <w:spacing w:line="360" w:lineRule="auto"/>
        <w:ind w:left="840"/>
        <w:jc w:val="right"/>
        <w:rPr>
          <w:rFonts w:ascii="宋体"/>
          <w:color w:val="000000"/>
          <w:sz w:val="24"/>
        </w:rPr>
      </w:pPr>
      <w:r w:rsidRPr="00272E0C">
        <w:rPr>
          <w:rFonts w:ascii="宋体"/>
          <w:color w:val="000000"/>
          <w:sz w:val="24"/>
        </w:rPr>
        <w:tab/>
      </w:r>
    </w:p>
    <w:p w:rsidP="0019563C" w:rsidR="001C36D8" w:rsidRDefault="001C36D8">
      <w:pPr>
        <w:spacing w:line="360" w:lineRule="auto"/>
        <w:ind w:left="840"/>
        <w:jc w:val="right"/>
        <w:rPr>
          <w:rFonts w:ascii="宋体"/>
          <w:color w:val="000000"/>
          <w:sz w:val="24"/>
        </w:rPr>
      </w:pPr>
    </w:p>
    <w:p w:rsidP="0019563C" w:rsidR="001C36D8" w:rsidRDefault="001C36D8">
      <w:pPr>
        <w:spacing w:line="360" w:lineRule="auto"/>
        <w:ind w:left="840"/>
        <w:jc w:val="right"/>
        <w:rPr>
          <w:rFonts w:ascii="宋体"/>
          <w:color w:val="000000"/>
          <w:sz w:val="24"/>
        </w:rPr>
      </w:pPr>
    </w:p>
    <w:p w:rsidP="0019563C" w:rsidR="001C36D8" w:rsidRDefault="001C36D8">
      <w:pPr>
        <w:spacing w:line="360" w:lineRule="auto"/>
        <w:ind w:left="840"/>
        <w:jc w:val="right"/>
        <w:rPr>
          <w:rFonts w:ascii="宋体"/>
          <w:color w:val="000000"/>
          <w:sz w:val="24"/>
        </w:rPr>
      </w:pPr>
    </w:p>
    <w:p w:rsidP="0019563C" w:rsidR="001C36D8" w:rsidRDefault="001C36D8" w:rsidRPr="00272E0C">
      <w:pPr>
        <w:spacing w:line="360" w:lineRule="auto"/>
        <w:ind w:left="840"/>
        <w:jc w:val="right"/>
        <w:rPr>
          <w:rFonts w:ascii="宋体"/>
          <w:color w:val="000000"/>
          <w:sz w:val="24"/>
        </w:rPr>
      </w:pPr>
    </w:p>
    <w:p w:rsidP="0019563C" w:rsidR="001C36D8" w:rsidRDefault="001C36D8" w:rsidRPr="00272E0C">
      <w:pPr>
        <w:spacing w:line="360" w:lineRule="auto"/>
        <w:ind w:left="840"/>
        <w:jc w:val="right"/>
        <w:rPr>
          <w:rFonts w:ascii="宋体"/>
          <w:color w:val="000000"/>
          <w:sz w:val="24"/>
        </w:rPr>
      </w:pPr>
    </w:p>
    <w:p w:rsidP="001078B6" w:rsidR="001C36D8" w:rsidRDefault="001C36D8" w:rsidRPr="00272E0C">
      <w:pPr>
        <w:spacing w:line="360" w:lineRule="auto"/>
        <w:jc w:val="right"/>
        <w:rPr>
          <w:rFonts w:ascii="宋体" w:hAnsi="宋体"/>
          <w:b/>
          <w:bCs/>
          <w:sz w:val="24"/>
        </w:rPr>
      </w:pPr>
      <w:r w:rsidRPr="00272E0C">
        <w:rPr>
          <w:rFonts w:ascii="宋体"/>
          <w:b/>
          <w:bCs/>
          <w:sz w:val="24"/>
        </w:rPr>
        <w:t/>
      </w:r>
      <w:proofErr w:type="spellStart"/>
      <w:r w:rsidRPr="00272E0C">
        <w:rPr>
          <w:rFonts w:ascii="宋体" w:hAnsi="宋体"/>
          <w:b/>
          <w:bCs/>
          <w:sz w:val="24"/>
        </w:rPr>
        <w:t/>
      </w:r>
      <w:proofErr w:type="spellEnd"/>
      <w:r w:rsidRPr="00272E0C">
        <w:rPr>
          <w:rFonts w:ascii="宋体" w:hAnsi="宋体"/>
          <w:b/>
          <w:bCs/>
          <w:sz w:val="24"/>
        </w:rPr>
        <w:t>易方达基金管理有限公司</w:t>
      </w:r>
    </w:p>
    <w:p w:rsidP="008C2A97" w:rsidR="001C36D8" w:rsidRDefault="001C36D8" w:rsidRPr="008C2A97">
      <w:pPr>
        <w:spacing w:line="360" w:lineRule="auto"/>
        <w:jc w:val="right"/>
        <w:rPr>
          <w:rFonts w:ascii="宋体" w:hAnsi="宋体"/>
          <w:b/>
          <w:bCs/>
          <w:sz w:val="24"/>
        </w:rPr>
      </w:pPr>
      <w:r w:rsidRPr="00272E0C">
        <w:rPr>
          <w:rFonts w:ascii="宋体" w:hAnsi="宋体"/>
          <w:b/>
          <w:bCs/>
          <w:sz w:val="24"/>
        </w:rPr>
        <w:t/>
      </w:r>
      <w:proofErr w:type="spellStart"/>
      <w:r w:rsidRPr="00272E0C">
        <w:rPr>
          <w:rFonts w:ascii="宋体" w:hAnsi="宋体"/>
          <w:b/>
          <w:bCs/>
          <w:sz w:val="24"/>
        </w:rPr>
        <w:t/>
      </w:r>
      <w:proofErr w:type="spellEnd"/>
      <w:r w:rsidRPr="00272E0C">
        <w:rPr>
          <w:rFonts w:ascii="宋体" w:hAnsi="宋体"/>
          <w:b/>
          <w:bCs/>
          <w:sz w:val="24"/>
        </w:rPr>
        <w:t>二〇二〇年十月二十八日</w:t>
      </w:r>
    </w:p>
    <w:sectPr w:rsidR="001C36D8" w:rsidRPr="008C2A97" w:rsidSect="00DB4450">
      <w:footerReference r:id="rId11" w:type="even"/>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65" w:rsidRDefault="008E0865">
      <w:r>
        <w:separator/>
      </w:r>
    </w:p>
  </w:endnote>
  <w:endnote w:type="continuationSeparator" w:id="0">
    <w:p w:rsidR="008E0865" w:rsidRDefault="008E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230A66" w:rsidR="00E43B0B" w:rsidRDefault="00E43B0B" w:rsidRPr="001D0DB0">
    <w:pPr>
      <w:pStyle w:val="a6"/>
      <w:jc w:val="center"/>
    </w:pPr>
    <w:r>
      <w:rPr>
        <w:rFonts w:hint="eastAsia"/>
        <w:kern w:val="0"/>
        <w:szCs w:val="21"/>
      </w:rPr>
      <w:t>第</w:t>
    </w:r>
    <w:r w:rsidR="0015021E">
      <w:rPr>
        <w:kern w:val="0"/>
        <w:szCs w:val="21"/>
      </w:rPr>
      <w:fldChar w:fldCharType="begin"/>
    </w:r>
    <w:r>
      <w:rPr>
        <w:kern w:val="0"/>
        <w:szCs w:val="21"/>
      </w:rPr>
      <w:instrText xml:space="preserve"> PAGE </w:instrText>
    </w:r>
    <w:r w:rsidR="0015021E">
      <w:rPr>
        <w:kern w:val="0"/>
        <w:szCs w:val="21"/>
      </w:rPr>
      <w:fldChar w:fldCharType="separate"/>
    </w:r>
    <w:r w:rsidR="003F1D66">
      <w:rPr>
        <w:noProof/>
        <w:kern w:val="0"/>
        <w:szCs w:val="21"/>
      </w:rPr>
      <w:t>1</w:t>
    </w:r>
    <w:r w:rsidR="0015021E">
      <w:rPr>
        <w:kern w:val="0"/>
        <w:szCs w:val="21"/>
      </w:rPr>
      <w:fldChar w:fldCharType="end"/>
    </w:r>
    <w:proofErr w:type="gramStart"/>
    <w:r>
      <w:rPr>
        <w:rFonts w:hint="eastAsia"/>
        <w:kern w:val="0"/>
        <w:szCs w:val="21"/>
      </w:rPr>
      <w:t>页共</w:t>
    </w:r>
    <w:proofErr w:type="gramEnd"/>
    <w:r w:rsidR="0015021E">
      <w:rPr>
        <w:kern w:val="0"/>
        <w:szCs w:val="21"/>
      </w:rPr>
      <w:fldChar w:fldCharType="begin"/>
    </w:r>
    <w:r>
      <w:rPr>
        <w:kern w:val="0"/>
        <w:szCs w:val="21"/>
      </w:rPr>
      <w:instrText xml:space="preserve"> NUMPAGES </w:instrText>
    </w:r>
    <w:r w:rsidR="0015021E">
      <w:rPr>
        <w:kern w:val="0"/>
        <w:szCs w:val="21"/>
      </w:rPr>
      <w:fldChar w:fldCharType="separate"/>
    </w:r>
    <w:r w:rsidR="003F1D66">
      <w:rPr>
        <w:noProof/>
        <w:kern w:val="0"/>
        <w:szCs w:val="21"/>
      </w:rPr>
      <w:t>1</w:t>
    </w:r>
    <w:r w:rsidR="0015021E">
      <w:rPr>
        <w:kern w:val="0"/>
        <w:szCs w:val="21"/>
      </w:rPr>
      <w:fldChar w:fldCharType="end"/>
    </w:r>
    <w:r>
      <w:rPr>
        <w:rFonts w:hint="eastAsia"/>
        <w:kern w:val="0"/>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E43B0B" w:rsidRDefault="0015021E">
    <w:pPr>
      <w:pStyle w:val="a6"/>
      <w:framePr w:hAnchor="margin" w:vAnchor="text" w:wrap="around" w:xAlign="center" w:y="1"/>
      <w:rPr>
        <w:rStyle w:val="a7"/>
      </w:rPr>
    </w:pPr>
    <w:r>
      <w:rPr>
        <w:rStyle w:val="a7"/>
      </w:rPr>
      <w:fldChar w:fldCharType="begin"/>
    </w:r>
    <w:r w:rsidR="00E43B0B">
      <w:rPr>
        <w:rStyle w:val="a7"/>
      </w:rPr>
      <w:instrText xml:space="preserve">PAGE  </w:instrText>
    </w:r>
    <w:r>
      <w:rPr>
        <w:rStyle w:val="a7"/>
      </w:rPr>
      <w:fldChar w:fldCharType="end"/>
    </w:r>
  </w:p>
  <w:p w:rsidR="00E43B0B" w:rsidRDefault="00E43B0B">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E43B0B" w:rsidRDefault="0015021E">
    <w:pPr>
      <w:pStyle w:val="a6"/>
      <w:framePr w:hAnchor="margin" w:vAnchor="text" w:wrap="around" w:xAlign="center" w:y="1"/>
      <w:rPr>
        <w:rStyle w:val="a7"/>
      </w:rPr>
    </w:pPr>
    <w:r>
      <w:rPr>
        <w:rStyle w:val="a7"/>
      </w:rPr>
      <w:fldChar w:fldCharType="begin"/>
    </w:r>
    <w:r w:rsidR="00E43B0B">
      <w:rPr>
        <w:rStyle w:val="a7"/>
      </w:rPr>
      <w:instrText xml:space="preserve">PAGE  </w:instrText>
    </w:r>
    <w:r>
      <w:rPr>
        <w:rStyle w:val="a7"/>
      </w:rPr>
      <w:fldChar w:fldCharType="separate"/>
    </w:r>
    <w:r w:rsidR="003F1D66">
      <w:rPr>
        <w:rStyle w:val="a7"/>
        <w:noProof/>
      </w:rPr>
      <w:t>6</w:t>
    </w:r>
    <w:r>
      <w:rPr>
        <w:rStyle w:val="a7"/>
      </w:rPr>
      <w:fldChar w:fldCharType="end"/>
    </w:r>
  </w:p>
  <w:p w:rsidR="00E43B0B" w:rsidRDefault="00E43B0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8E0865" w:rsidRDefault="008E0865">
      <w:r>
        <w:separator/>
      </w:r>
    </w:p>
  </w:footnote>
  <w:footnote w:id="0" w:type="continuationSeparator">
    <w:p w:rsidR="008E0865" w:rsidRDefault="008E0865">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B572A" w:rsidR="00E43B0B" w:rsidRDefault="00E43B0B" w:rsidRPr="00717C29">
    <w:pPr>
      <w:pStyle w:val="a9"/>
      <w:pBdr>
        <w:bottom w:color="auto" w:space="0" w:sz="6" w:val="single"/>
      </w:pBdr>
      <w:jc w:val="right"/>
      <w:rPr>
        <w:sz w:val="15"/>
      </w:rPr>
    </w:pPr>
    <w:r w:rsidRPr="00717C29">
      <w:rPr>
        <w:szCs w:val="21"/>
      </w:rPr>
      <w:t/>
    </w:r>
    <w:proofErr w:type="spellStart"/>
    <w:proofErr w:type="gramStart"/>
    <w:r w:rsidRPr="00717C29">
      <w:rPr>
        <w:szCs w:val="21"/>
      </w:rPr>
      <w:t/>
    </w:r>
    <w:proofErr w:type="spellEnd"/>
    <w:proofErr w:type="gramEnd"/>
    <w:r w:rsidRPr="00717C29">
      <w:rPr>
        <w:szCs w:val="21"/>
      </w:rPr>
      <w:t>易方达上证50指数分级证券投资基金</w:t>
    </w:r>
    <w:proofErr w:type="spellStart"/>
    <w:r w:rsidRPr="00717C29">
      <w:rPr>
        <w:szCs w:val="21"/>
      </w:rPr>
      <w:t/>
    </w:r>
    <w:proofErr w:type="spellEnd"/>
    <w:r w:rsidRPr="00717C29">
      <w:rPr>
        <w:szCs w:val="21"/>
      </w:rPr>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116E"/>
    <w:rsid w:val="0000403B"/>
    <w:rsid w:val="00005911"/>
    <w:rsid w:val="0000595B"/>
    <w:rsid w:val="00010A83"/>
    <w:rsid w:val="00010A8E"/>
    <w:rsid w:val="00010AC3"/>
    <w:rsid w:val="000118A9"/>
    <w:rsid w:val="00011EB5"/>
    <w:rsid w:val="0001280C"/>
    <w:rsid w:val="00013023"/>
    <w:rsid w:val="000148F1"/>
    <w:rsid w:val="00014E17"/>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5190"/>
    <w:rsid w:val="00055AF1"/>
    <w:rsid w:val="00056A75"/>
    <w:rsid w:val="00057DD3"/>
    <w:rsid w:val="00061008"/>
    <w:rsid w:val="000625A6"/>
    <w:rsid w:val="000627CD"/>
    <w:rsid w:val="00062BCE"/>
    <w:rsid w:val="00064AE3"/>
    <w:rsid w:val="00066524"/>
    <w:rsid w:val="00070CD1"/>
    <w:rsid w:val="0007171B"/>
    <w:rsid w:val="00074E9F"/>
    <w:rsid w:val="00081D05"/>
    <w:rsid w:val="0008378B"/>
    <w:rsid w:val="00085449"/>
    <w:rsid w:val="00087CF7"/>
    <w:rsid w:val="00090B0F"/>
    <w:rsid w:val="00090D91"/>
    <w:rsid w:val="00091214"/>
    <w:rsid w:val="00094876"/>
    <w:rsid w:val="00095912"/>
    <w:rsid w:val="00095CE0"/>
    <w:rsid w:val="00096933"/>
    <w:rsid w:val="00097230"/>
    <w:rsid w:val="0009778D"/>
    <w:rsid w:val="000A457E"/>
    <w:rsid w:val="000A53FD"/>
    <w:rsid w:val="000A549A"/>
    <w:rsid w:val="000A72F2"/>
    <w:rsid w:val="000B0C56"/>
    <w:rsid w:val="000B3E43"/>
    <w:rsid w:val="000B5974"/>
    <w:rsid w:val="000B5CC0"/>
    <w:rsid w:val="000C1038"/>
    <w:rsid w:val="000C1723"/>
    <w:rsid w:val="000C1B20"/>
    <w:rsid w:val="000C4107"/>
    <w:rsid w:val="000C44BD"/>
    <w:rsid w:val="000C45E7"/>
    <w:rsid w:val="000C57A8"/>
    <w:rsid w:val="000D0149"/>
    <w:rsid w:val="000D01F4"/>
    <w:rsid w:val="000D0D4E"/>
    <w:rsid w:val="000D1519"/>
    <w:rsid w:val="000E1618"/>
    <w:rsid w:val="000E4456"/>
    <w:rsid w:val="000F175F"/>
    <w:rsid w:val="000F17D1"/>
    <w:rsid w:val="000F2837"/>
    <w:rsid w:val="000F399F"/>
    <w:rsid w:val="000F60FF"/>
    <w:rsid w:val="000F635F"/>
    <w:rsid w:val="000F6C61"/>
    <w:rsid w:val="001008A1"/>
    <w:rsid w:val="00100C12"/>
    <w:rsid w:val="00102E56"/>
    <w:rsid w:val="001049B6"/>
    <w:rsid w:val="001051C6"/>
    <w:rsid w:val="001078B6"/>
    <w:rsid w:val="0011177A"/>
    <w:rsid w:val="00111D44"/>
    <w:rsid w:val="00116E31"/>
    <w:rsid w:val="00120BED"/>
    <w:rsid w:val="0012304E"/>
    <w:rsid w:val="001248EF"/>
    <w:rsid w:val="001257C7"/>
    <w:rsid w:val="00126DDF"/>
    <w:rsid w:val="001270BF"/>
    <w:rsid w:val="00127BAC"/>
    <w:rsid w:val="00134868"/>
    <w:rsid w:val="001366D4"/>
    <w:rsid w:val="00140FF8"/>
    <w:rsid w:val="00142A56"/>
    <w:rsid w:val="00144DF5"/>
    <w:rsid w:val="00145A97"/>
    <w:rsid w:val="00146485"/>
    <w:rsid w:val="00147338"/>
    <w:rsid w:val="0015021E"/>
    <w:rsid w:val="001506B4"/>
    <w:rsid w:val="00150A6E"/>
    <w:rsid w:val="00150AD6"/>
    <w:rsid w:val="00153B40"/>
    <w:rsid w:val="00154ADA"/>
    <w:rsid w:val="0015531A"/>
    <w:rsid w:val="00155953"/>
    <w:rsid w:val="0015779C"/>
    <w:rsid w:val="001600E8"/>
    <w:rsid w:val="00163B27"/>
    <w:rsid w:val="00165317"/>
    <w:rsid w:val="00170F80"/>
    <w:rsid w:val="00171BAD"/>
    <w:rsid w:val="001744B4"/>
    <w:rsid w:val="001756A1"/>
    <w:rsid w:val="001761EE"/>
    <w:rsid w:val="0017638D"/>
    <w:rsid w:val="00176EAA"/>
    <w:rsid w:val="0017725A"/>
    <w:rsid w:val="00177C4B"/>
    <w:rsid w:val="0018325A"/>
    <w:rsid w:val="00183C9E"/>
    <w:rsid w:val="00184556"/>
    <w:rsid w:val="00185D2B"/>
    <w:rsid w:val="00186199"/>
    <w:rsid w:val="001878B0"/>
    <w:rsid w:val="001928F7"/>
    <w:rsid w:val="00193F07"/>
    <w:rsid w:val="00194537"/>
    <w:rsid w:val="0019563C"/>
    <w:rsid w:val="001A09F9"/>
    <w:rsid w:val="001A14DB"/>
    <w:rsid w:val="001A21A9"/>
    <w:rsid w:val="001A363B"/>
    <w:rsid w:val="001A59D8"/>
    <w:rsid w:val="001A5FA6"/>
    <w:rsid w:val="001B0A62"/>
    <w:rsid w:val="001B2F0C"/>
    <w:rsid w:val="001B64E7"/>
    <w:rsid w:val="001C123E"/>
    <w:rsid w:val="001C19E0"/>
    <w:rsid w:val="001C36D8"/>
    <w:rsid w:val="001C37F6"/>
    <w:rsid w:val="001C4BEC"/>
    <w:rsid w:val="001C6288"/>
    <w:rsid w:val="001C7DE9"/>
    <w:rsid w:val="001D0DB0"/>
    <w:rsid w:val="001D0F6A"/>
    <w:rsid w:val="001D21BC"/>
    <w:rsid w:val="001D2FA5"/>
    <w:rsid w:val="001D35E0"/>
    <w:rsid w:val="001D5045"/>
    <w:rsid w:val="001D5387"/>
    <w:rsid w:val="001D5A44"/>
    <w:rsid w:val="001D63BB"/>
    <w:rsid w:val="001D724B"/>
    <w:rsid w:val="001E11D3"/>
    <w:rsid w:val="001E2A6A"/>
    <w:rsid w:val="001E3DC2"/>
    <w:rsid w:val="001E56FF"/>
    <w:rsid w:val="001E5C6B"/>
    <w:rsid w:val="001E6E4D"/>
    <w:rsid w:val="001F03E1"/>
    <w:rsid w:val="001F0DE2"/>
    <w:rsid w:val="001F218E"/>
    <w:rsid w:val="001F3CC6"/>
    <w:rsid w:val="001F40BA"/>
    <w:rsid w:val="001F4530"/>
    <w:rsid w:val="002010DE"/>
    <w:rsid w:val="00202968"/>
    <w:rsid w:val="00202A66"/>
    <w:rsid w:val="00202C32"/>
    <w:rsid w:val="00203AEF"/>
    <w:rsid w:val="00210344"/>
    <w:rsid w:val="00211A26"/>
    <w:rsid w:val="002125F7"/>
    <w:rsid w:val="00213171"/>
    <w:rsid w:val="00213917"/>
    <w:rsid w:val="00214463"/>
    <w:rsid w:val="00214756"/>
    <w:rsid w:val="00215CF2"/>
    <w:rsid w:val="00215E33"/>
    <w:rsid w:val="00216232"/>
    <w:rsid w:val="00220542"/>
    <w:rsid w:val="00220684"/>
    <w:rsid w:val="00221174"/>
    <w:rsid w:val="00225ADC"/>
    <w:rsid w:val="00230732"/>
    <w:rsid w:val="00230A66"/>
    <w:rsid w:val="00230EC2"/>
    <w:rsid w:val="002359EB"/>
    <w:rsid w:val="002363AB"/>
    <w:rsid w:val="00237FA3"/>
    <w:rsid w:val="0024172D"/>
    <w:rsid w:val="00241B12"/>
    <w:rsid w:val="0024260D"/>
    <w:rsid w:val="00243E40"/>
    <w:rsid w:val="00245012"/>
    <w:rsid w:val="0024504E"/>
    <w:rsid w:val="0024651F"/>
    <w:rsid w:val="002470BA"/>
    <w:rsid w:val="00250BE3"/>
    <w:rsid w:val="00251290"/>
    <w:rsid w:val="0025158D"/>
    <w:rsid w:val="00251D17"/>
    <w:rsid w:val="00251F3A"/>
    <w:rsid w:val="0025281A"/>
    <w:rsid w:val="00253D3C"/>
    <w:rsid w:val="0025435F"/>
    <w:rsid w:val="00255292"/>
    <w:rsid w:val="00260200"/>
    <w:rsid w:val="00263563"/>
    <w:rsid w:val="002648D8"/>
    <w:rsid w:val="00264E55"/>
    <w:rsid w:val="00270548"/>
    <w:rsid w:val="00272E0C"/>
    <w:rsid w:val="00273F86"/>
    <w:rsid w:val="002752B0"/>
    <w:rsid w:val="002774F0"/>
    <w:rsid w:val="0028459B"/>
    <w:rsid w:val="00284C5F"/>
    <w:rsid w:val="002873F0"/>
    <w:rsid w:val="00291A74"/>
    <w:rsid w:val="00292198"/>
    <w:rsid w:val="002964F9"/>
    <w:rsid w:val="00297EF3"/>
    <w:rsid w:val="002A1F14"/>
    <w:rsid w:val="002A2678"/>
    <w:rsid w:val="002A2E01"/>
    <w:rsid w:val="002A398F"/>
    <w:rsid w:val="002A44F9"/>
    <w:rsid w:val="002A5C6B"/>
    <w:rsid w:val="002A5D31"/>
    <w:rsid w:val="002A714F"/>
    <w:rsid w:val="002A74FB"/>
    <w:rsid w:val="002B1851"/>
    <w:rsid w:val="002B27FF"/>
    <w:rsid w:val="002B4429"/>
    <w:rsid w:val="002B6793"/>
    <w:rsid w:val="002C1726"/>
    <w:rsid w:val="002C1DF3"/>
    <w:rsid w:val="002C21A6"/>
    <w:rsid w:val="002C26D5"/>
    <w:rsid w:val="002C2DE0"/>
    <w:rsid w:val="002C5777"/>
    <w:rsid w:val="002C7FC3"/>
    <w:rsid w:val="002D1791"/>
    <w:rsid w:val="002D32E3"/>
    <w:rsid w:val="002D55E7"/>
    <w:rsid w:val="002E0FEB"/>
    <w:rsid w:val="002E1EBA"/>
    <w:rsid w:val="002F0F79"/>
    <w:rsid w:val="002F280E"/>
    <w:rsid w:val="002F3709"/>
    <w:rsid w:val="002F3A6C"/>
    <w:rsid w:val="002F3E9C"/>
    <w:rsid w:val="002F4296"/>
    <w:rsid w:val="00300951"/>
    <w:rsid w:val="003023C9"/>
    <w:rsid w:val="00302CA8"/>
    <w:rsid w:val="00302DE9"/>
    <w:rsid w:val="003041B1"/>
    <w:rsid w:val="00305084"/>
    <w:rsid w:val="003168E2"/>
    <w:rsid w:val="003204E9"/>
    <w:rsid w:val="00320DDA"/>
    <w:rsid w:val="00321E8C"/>
    <w:rsid w:val="00322A65"/>
    <w:rsid w:val="00322A86"/>
    <w:rsid w:val="00323AE8"/>
    <w:rsid w:val="00324548"/>
    <w:rsid w:val="003251F4"/>
    <w:rsid w:val="003303E3"/>
    <w:rsid w:val="00331FA4"/>
    <w:rsid w:val="003329EA"/>
    <w:rsid w:val="00332FDE"/>
    <w:rsid w:val="003407A5"/>
    <w:rsid w:val="00341188"/>
    <w:rsid w:val="0034147B"/>
    <w:rsid w:val="0034432A"/>
    <w:rsid w:val="00350238"/>
    <w:rsid w:val="0035109C"/>
    <w:rsid w:val="00351F0A"/>
    <w:rsid w:val="0035432B"/>
    <w:rsid w:val="00357EB5"/>
    <w:rsid w:val="00361E7E"/>
    <w:rsid w:val="003669EF"/>
    <w:rsid w:val="00370AA4"/>
    <w:rsid w:val="00371FF4"/>
    <w:rsid w:val="00373015"/>
    <w:rsid w:val="00375D24"/>
    <w:rsid w:val="00377520"/>
    <w:rsid w:val="00380D36"/>
    <w:rsid w:val="003822D3"/>
    <w:rsid w:val="0038409E"/>
    <w:rsid w:val="00384BC3"/>
    <w:rsid w:val="00386630"/>
    <w:rsid w:val="00390522"/>
    <w:rsid w:val="00390B25"/>
    <w:rsid w:val="00390C86"/>
    <w:rsid w:val="00397156"/>
    <w:rsid w:val="00397351"/>
    <w:rsid w:val="00397960"/>
    <w:rsid w:val="003A20AA"/>
    <w:rsid w:val="003A3BC4"/>
    <w:rsid w:val="003A458A"/>
    <w:rsid w:val="003A4DA3"/>
    <w:rsid w:val="003A768B"/>
    <w:rsid w:val="003B07C8"/>
    <w:rsid w:val="003B2082"/>
    <w:rsid w:val="003B2F13"/>
    <w:rsid w:val="003B3D0C"/>
    <w:rsid w:val="003B405E"/>
    <w:rsid w:val="003B57D3"/>
    <w:rsid w:val="003C1F58"/>
    <w:rsid w:val="003C792F"/>
    <w:rsid w:val="003D124B"/>
    <w:rsid w:val="003D18F3"/>
    <w:rsid w:val="003D22BD"/>
    <w:rsid w:val="003D4E5A"/>
    <w:rsid w:val="003D5951"/>
    <w:rsid w:val="003D74F2"/>
    <w:rsid w:val="003D78B5"/>
    <w:rsid w:val="003E1062"/>
    <w:rsid w:val="003E244F"/>
    <w:rsid w:val="003E3AE8"/>
    <w:rsid w:val="003E62A6"/>
    <w:rsid w:val="003E695F"/>
    <w:rsid w:val="003E6C9B"/>
    <w:rsid w:val="003E709C"/>
    <w:rsid w:val="003E7B89"/>
    <w:rsid w:val="003F1D66"/>
    <w:rsid w:val="003F20D3"/>
    <w:rsid w:val="003F4241"/>
    <w:rsid w:val="003F7C45"/>
    <w:rsid w:val="0040132C"/>
    <w:rsid w:val="00405085"/>
    <w:rsid w:val="004066FC"/>
    <w:rsid w:val="00407C10"/>
    <w:rsid w:val="004113B4"/>
    <w:rsid w:val="00414827"/>
    <w:rsid w:val="00416C10"/>
    <w:rsid w:val="004217C8"/>
    <w:rsid w:val="0042180E"/>
    <w:rsid w:val="004222C8"/>
    <w:rsid w:val="0042253F"/>
    <w:rsid w:val="00424726"/>
    <w:rsid w:val="00424EF3"/>
    <w:rsid w:val="004268BB"/>
    <w:rsid w:val="00431047"/>
    <w:rsid w:val="004318F0"/>
    <w:rsid w:val="00431B86"/>
    <w:rsid w:val="00431BC5"/>
    <w:rsid w:val="004344A5"/>
    <w:rsid w:val="004408EC"/>
    <w:rsid w:val="00441B38"/>
    <w:rsid w:val="00441D14"/>
    <w:rsid w:val="00441E6A"/>
    <w:rsid w:val="004432B9"/>
    <w:rsid w:val="00443C8F"/>
    <w:rsid w:val="00452481"/>
    <w:rsid w:val="00453E40"/>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68F"/>
    <w:rsid w:val="00491ABD"/>
    <w:rsid w:val="0049297D"/>
    <w:rsid w:val="004929F2"/>
    <w:rsid w:val="00495A03"/>
    <w:rsid w:val="00497079"/>
    <w:rsid w:val="004A1BBA"/>
    <w:rsid w:val="004A1E8A"/>
    <w:rsid w:val="004A3E3C"/>
    <w:rsid w:val="004A3F71"/>
    <w:rsid w:val="004B0E6D"/>
    <w:rsid w:val="004B16E8"/>
    <w:rsid w:val="004B2326"/>
    <w:rsid w:val="004B4D2D"/>
    <w:rsid w:val="004B6250"/>
    <w:rsid w:val="004B76B1"/>
    <w:rsid w:val="004B7CA0"/>
    <w:rsid w:val="004C0057"/>
    <w:rsid w:val="004C04AE"/>
    <w:rsid w:val="004C0541"/>
    <w:rsid w:val="004C2C46"/>
    <w:rsid w:val="004C6E88"/>
    <w:rsid w:val="004C7235"/>
    <w:rsid w:val="004C7955"/>
    <w:rsid w:val="004D047F"/>
    <w:rsid w:val="004D3D96"/>
    <w:rsid w:val="004D650F"/>
    <w:rsid w:val="004D67E0"/>
    <w:rsid w:val="004E12E1"/>
    <w:rsid w:val="004E2133"/>
    <w:rsid w:val="004E32E2"/>
    <w:rsid w:val="004E5AB9"/>
    <w:rsid w:val="004E60FB"/>
    <w:rsid w:val="004F779C"/>
    <w:rsid w:val="004F7846"/>
    <w:rsid w:val="005000D4"/>
    <w:rsid w:val="005015FA"/>
    <w:rsid w:val="00505411"/>
    <w:rsid w:val="00510CAF"/>
    <w:rsid w:val="00510DAB"/>
    <w:rsid w:val="005128C5"/>
    <w:rsid w:val="00514754"/>
    <w:rsid w:val="0051478B"/>
    <w:rsid w:val="0051566A"/>
    <w:rsid w:val="00515D7B"/>
    <w:rsid w:val="005166E9"/>
    <w:rsid w:val="0052009E"/>
    <w:rsid w:val="0052302C"/>
    <w:rsid w:val="00525E59"/>
    <w:rsid w:val="00530D61"/>
    <w:rsid w:val="005318CC"/>
    <w:rsid w:val="00531D1B"/>
    <w:rsid w:val="005349B1"/>
    <w:rsid w:val="005374BC"/>
    <w:rsid w:val="00537A4E"/>
    <w:rsid w:val="00543188"/>
    <w:rsid w:val="00543367"/>
    <w:rsid w:val="00543BFA"/>
    <w:rsid w:val="00547D9C"/>
    <w:rsid w:val="00547DA1"/>
    <w:rsid w:val="005505E1"/>
    <w:rsid w:val="005541BC"/>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61D7"/>
    <w:rsid w:val="00597057"/>
    <w:rsid w:val="00597D8B"/>
    <w:rsid w:val="005A1C30"/>
    <w:rsid w:val="005A229D"/>
    <w:rsid w:val="005A3295"/>
    <w:rsid w:val="005A46FF"/>
    <w:rsid w:val="005A5AE2"/>
    <w:rsid w:val="005B011E"/>
    <w:rsid w:val="005B14F0"/>
    <w:rsid w:val="005B1E0B"/>
    <w:rsid w:val="005B2E84"/>
    <w:rsid w:val="005B70C6"/>
    <w:rsid w:val="005B7B0E"/>
    <w:rsid w:val="005C526E"/>
    <w:rsid w:val="005C5409"/>
    <w:rsid w:val="005C69AC"/>
    <w:rsid w:val="005C6DCF"/>
    <w:rsid w:val="005C6DF3"/>
    <w:rsid w:val="005C722E"/>
    <w:rsid w:val="005D01A4"/>
    <w:rsid w:val="005D14DE"/>
    <w:rsid w:val="005D2CC7"/>
    <w:rsid w:val="005D44E4"/>
    <w:rsid w:val="005D45B3"/>
    <w:rsid w:val="005D4CEB"/>
    <w:rsid w:val="005D5F80"/>
    <w:rsid w:val="005E0C14"/>
    <w:rsid w:val="005E1D51"/>
    <w:rsid w:val="005F04E6"/>
    <w:rsid w:val="005F43B9"/>
    <w:rsid w:val="005F68CB"/>
    <w:rsid w:val="005F6A4A"/>
    <w:rsid w:val="006033E3"/>
    <w:rsid w:val="00603663"/>
    <w:rsid w:val="0061321C"/>
    <w:rsid w:val="006159E5"/>
    <w:rsid w:val="00620DB0"/>
    <w:rsid w:val="0062386E"/>
    <w:rsid w:val="00623D9A"/>
    <w:rsid w:val="00623F01"/>
    <w:rsid w:val="006242FB"/>
    <w:rsid w:val="00626E2D"/>
    <w:rsid w:val="00627D94"/>
    <w:rsid w:val="00630B42"/>
    <w:rsid w:val="00631DB3"/>
    <w:rsid w:val="00634900"/>
    <w:rsid w:val="00637BA7"/>
    <w:rsid w:val="00642072"/>
    <w:rsid w:val="006440ED"/>
    <w:rsid w:val="00645293"/>
    <w:rsid w:val="00651B78"/>
    <w:rsid w:val="00652263"/>
    <w:rsid w:val="00652881"/>
    <w:rsid w:val="00653BAC"/>
    <w:rsid w:val="00657CAF"/>
    <w:rsid w:val="00661974"/>
    <w:rsid w:val="00662F58"/>
    <w:rsid w:val="00664551"/>
    <w:rsid w:val="0066704D"/>
    <w:rsid w:val="006676A0"/>
    <w:rsid w:val="006706B6"/>
    <w:rsid w:val="00670857"/>
    <w:rsid w:val="00671124"/>
    <w:rsid w:val="006727B0"/>
    <w:rsid w:val="0067307E"/>
    <w:rsid w:val="006848C1"/>
    <w:rsid w:val="006868CD"/>
    <w:rsid w:val="00686EEA"/>
    <w:rsid w:val="00687AD5"/>
    <w:rsid w:val="00690EC4"/>
    <w:rsid w:val="00691D14"/>
    <w:rsid w:val="00695251"/>
    <w:rsid w:val="00695296"/>
    <w:rsid w:val="00695ADE"/>
    <w:rsid w:val="00695C0D"/>
    <w:rsid w:val="00696356"/>
    <w:rsid w:val="00696DDE"/>
    <w:rsid w:val="006A72C6"/>
    <w:rsid w:val="006B02DA"/>
    <w:rsid w:val="006B0806"/>
    <w:rsid w:val="006B10DA"/>
    <w:rsid w:val="006B2065"/>
    <w:rsid w:val="006B3940"/>
    <w:rsid w:val="006B5B3E"/>
    <w:rsid w:val="006C168D"/>
    <w:rsid w:val="006C4465"/>
    <w:rsid w:val="006C642C"/>
    <w:rsid w:val="006C6FC6"/>
    <w:rsid w:val="006D0E4F"/>
    <w:rsid w:val="006D0F50"/>
    <w:rsid w:val="006D676F"/>
    <w:rsid w:val="006D7693"/>
    <w:rsid w:val="006E231B"/>
    <w:rsid w:val="006E346E"/>
    <w:rsid w:val="006E34B7"/>
    <w:rsid w:val="006F103E"/>
    <w:rsid w:val="006F4C30"/>
    <w:rsid w:val="006F4CD8"/>
    <w:rsid w:val="006F53D9"/>
    <w:rsid w:val="007004DC"/>
    <w:rsid w:val="00701347"/>
    <w:rsid w:val="007027B6"/>
    <w:rsid w:val="00703E8A"/>
    <w:rsid w:val="00707FB8"/>
    <w:rsid w:val="0071006D"/>
    <w:rsid w:val="00711522"/>
    <w:rsid w:val="007124FE"/>
    <w:rsid w:val="007125A9"/>
    <w:rsid w:val="00713186"/>
    <w:rsid w:val="00713757"/>
    <w:rsid w:val="00716F79"/>
    <w:rsid w:val="00717772"/>
    <w:rsid w:val="00717C29"/>
    <w:rsid w:val="00721AF1"/>
    <w:rsid w:val="0072280F"/>
    <w:rsid w:val="00722B5E"/>
    <w:rsid w:val="0072708F"/>
    <w:rsid w:val="00727C6C"/>
    <w:rsid w:val="0073150B"/>
    <w:rsid w:val="00732D1D"/>
    <w:rsid w:val="00736034"/>
    <w:rsid w:val="0073681C"/>
    <w:rsid w:val="00737AB0"/>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41EA"/>
    <w:rsid w:val="007951F3"/>
    <w:rsid w:val="0079671E"/>
    <w:rsid w:val="00797637"/>
    <w:rsid w:val="007A0A57"/>
    <w:rsid w:val="007A3680"/>
    <w:rsid w:val="007A59B8"/>
    <w:rsid w:val="007A6BEA"/>
    <w:rsid w:val="007B2191"/>
    <w:rsid w:val="007B2862"/>
    <w:rsid w:val="007B3C32"/>
    <w:rsid w:val="007B505A"/>
    <w:rsid w:val="007B662A"/>
    <w:rsid w:val="007C2BCC"/>
    <w:rsid w:val="007C7E22"/>
    <w:rsid w:val="007D1C16"/>
    <w:rsid w:val="007D28C9"/>
    <w:rsid w:val="007D3CC8"/>
    <w:rsid w:val="007D62F9"/>
    <w:rsid w:val="007D63A4"/>
    <w:rsid w:val="007E008D"/>
    <w:rsid w:val="007E0F0C"/>
    <w:rsid w:val="007E1AA2"/>
    <w:rsid w:val="007E1AD0"/>
    <w:rsid w:val="007E4C1F"/>
    <w:rsid w:val="007E5EDC"/>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1C19"/>
    <w:rsid w:val="008174D4"/>
    <w:rsid w:val="00820FE6"/>
    <w:rsid w:val="00821985"/>
    <w:rsid w:val="00821A66"/>
    <w:rsid w:val="00822476"/>
    <w:rsid w:val="00822882"/>
    <w:rsid w:val="00823E6D"/>
    <w:rsid w:val="00824200"/>
    <w:rsid w:val="00825D22"/>
    <w:rsid w:val="00825F68"/>
    <w:rsid w:val="00827CB9"/>
    <w:rsid w:val="008305BF"/>
    <w:rsid w:val="00832748"/>
    <w:rsid w:val="00835408"/>
    <w:rsid w:val="008359DA"/>
    <w:rsid w:val="00836D2A"/>
    <w:rsid w:val="00837CEF"/>
    <w:rsid w:val="00840035"/>
    <w:rsid w:val="00840220"/>
    <w:rsid w:val="00840677"/>
    <w:rsid w:val="00840C20"/>
    <w:rsid w:val="008428A9"/>
    <w:rsid w:val="00844112"/>
    <w:rsid w:val="00844CBE"/>
    <w:rsid w:val="008456C9"/>
    <w:rsid w:val="0084611D"/>
    <w:rsid w:val="00850C62"/>
    <w:rsid w:val="00854463"/>
    <w:rsid w:val="00857643"/>
    <w:rsid w:val="00863011"/>
    <w:rsid w:val="0086312D"/>
    <w:rsid w:val="00863392"/>
    <w:rsid w:val="00865075"/>
    <w:rsid w:val="0086734C"/>
    <w:rsid w:val="0086748F"/>
    <w:rsid w:val="00872CE4"/>
    <w:rsid w:val="00874F4B"/>
    <w:rsid w:val="0087539B"/>
    <w:rsid w:val="00877B62"/>
    <w:rsid w:val="00880016"/>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2A97"/>
    <w:rsid w:val="008C3990"/>
    <w:rsid w:val="008C5A67"/>
    <w:rsid w:val="008C61D6"/>
    <w:rsid w:val="008C64F1"/>
    <w:rsid w:val="008D1BB0"/>
    <w:rsid w:val="008D20FF"/>
    <w:rsid w:val="008D3DE6"/>
    <w:rsid w:val="008D4223"/>
    <w:rsid w:val="008D44CC"/>
    <w:rsid w:val="008D46E3"/>
    <w:rsid w:val="008D6709"/>
    <w:rsid w:val="008D671F"/>
    <w:rsid w:val="008E083A"/>
    <w:rsid w:val="008E0865"/>
    <w:rsid w:val="008E0E7C"/>
    <w:rsid w:val="008E2450"/>
    <w:rsid w:val="008E6497"/>
    <w:rsid w:val="008E7896"/>
    <w:rsid w:val="008F1C17"/>
    <w:rsid w:val="008F2477"/>
    <w:rsid w:val="00900DD1"/>
    <w:rsid w:val="009010F0"/>
    <w:rsid w:val="00901162"/>
    <w:rsid w:val="0090223A"/>
    <w:rsid w:val="009028E2"/>
    <w:rsid w:val="00904082"/>
    <w:rsid w:val="009055EC"/>
    <w:rsid w:val="009100C0"/>
    <w:rsid w:val="0091247B"/>
    <w:rsid w:val="0091320A"/>
    <w:rsid w:val="00914EAB"/>
    <w:rsid w:val="009150A1"/>
    <w:rsid w:val="00916808"/>
    <w:rsid w:val="00922D49"/>
    <w:rsid w:val="0092482C"/>
    <w:rsid w:val="00924A95"/>
    <w:rsid w:val="009259CF"/>
    <w:rsid w:val="00925E37"/>
    <w:rsid w:val="00925EDD"/>
    <w:rsid w:val="00927D0E"/>
    <w:rsid w:val="009309DA"/>
    <w:rsid w:val="00935771"/>
    <w:rsid w:val="00936688"/>
    <w:rsid w:val="00937CFA"/>
    <w:rsid w:val="009406B3"/>
    <w:rsid w:val="00945CF5"/>
    <w:rsid w:val="00946D66"/>
    <w:rsid w:val="009500A1"/>
    <w:rsid w:val="0095037E"/>
    <w:rsid w:val="00952AAD"/>
    <w:rsid w:val="00952F4F"/>
    <w:rsid w:val="00954567"/>
    <w:rsid w:val="009547A9"/>
    <w:rsid w:val="00957466"/>
    <w:rsid w:val="0096260B"/>
    <w:rsid w:val="00963F05"/>
    <w:rsid w:val="00965469"/>
    <w:rsid w:val="009664D5"/>
    <w:rsid w:val="0097008C"/>
    <w:rsid w:val="00970C69"/>
    <w:rsid w:val="009716AF"/>
    <w:rsid w:val="00971F1C"/>
    <w:rsid w:val="0097211D"/>
    <w:rsid w:val="00972E10"/>
    <w:rsid w:val="0097328D"/>
    <w:rsid w:val="009746CA"/>
    <w:rsid w:val="0097608D"/>
    <w:rsid w:val="0097659D"/>
    <w:rsid w:val="0097692D"/>
    <w:rsid w:val="00980242"/>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2B7"/>
    <w:rsid w:val="009D0628"/>
    <w:rsid w:val="009D1EA4"/>
    <w:rsid w:val="009D27AA"/>
    <w:rsid w:val="009D2D8B"/>
    <w:rsid w:val="009D38BA"/>
    <w:rsid w:val="009D4991"/>
    <w:rsid w:val="009D5BB5"/>
    <w:rsid w:val="009D696D"/>
    <w:rsid w:val="009D6ED2"/>
    <w:rsid w:val="009E08E9"/>
    <w:rsid w:val="009E0D5D"/>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2EEF"/>
    <w:rsid w:val="00A14AE3"/>
    <w:rsid w:val="00A16675"/>
    <w:rsid w:val="00A22CD6"/>
    <w:rsid w:val="00A234EC"/>
    <w:rsid w:val="00A2417A"/>
    <w:rsid w:val="00A26668"/>
    <w:rsid w:val="00A27804"/>
    <w:rsid w:val="00A36822"/>
    <w:rsid w:val="00A36AB5"/>
    <w:rsid w:val="00A37A23"/>
    <w:rsid w:val="00A411D1"/>
    <w:rsid w:val="00A43389"/>
    <w:rsid w:val="00A43E71"/>
    <w:rsid w:val="00A45753"/>
    <w:rsid w:val="00A47B15"/>
    <w:rsid w:val="00A52F84"/>
    <w:rsid w:val="00A5533F"/>
    <w:rsid w:val="00A554CA"/>
    <w:rsid w:val="00A56394"/>
    <w:rsid w:val="00A56B05"/>
    <w:rsid w:val="00A57678"/>
    <w:rsid w:val="00A60E2F"/>
    <w:rsid w:val="00A63284"/>
    <w:rsid w:val="00A64CB8"/>
    <w:rsid w:val="00A67018"/>
    <w:rsid w:val="00A672F3"/>
    <w:rsid w:val="00A673DC"/>
    <w:rsid w:val="00A67D40"/>
    <w:rsid w:val="00A7076E"/>
    <w:rsid w:val="00A709BE"/>
    <w:rsid w:val="00A7162E"/>
    <w:rsid w:val="00A7195A"/>
    <w:rsid w:val="00A72D71"/>
    <w:rsid w:val="00A7519C"/>
    <w:rsid w:val="00A75705"/>
    <w:rsid w:val="00A77C69"/>
    <w:rsid w:val="00A83953"/>
    <w:rsid w:val="00A83A77"/>
    <w:rsid w:val="00A85AF5"/>
    <w:rsid w:val="00A900E7"/>
    <w:rsid w:val="00A903B6"/>
    <w:rsid w:val="00A90F4F"/>
    <w:rsid w:val="00A92E44"/>
    <w:rsid w:val="00A9418A"/>
    <w:rsid w:val="00A947AA"/>
    <w:rsid w:val="00A9769C"/>
    <w:rsid w:val="00AA1B53"/>
    <w:rsid w:val="00AA3556"/>
    <w:rsid w:val="00AA35FD"/>
    <w:rsid w:val="00AA3DB7"/>
    <w:rsid w:val="00AB0340"/>
    <w:rsid w:val="00AB3012"/>
    <w:rsid w:val="00AB321C"/>
    <w:rsid w:val="00AB5B99"/>
    <w:rsid w:val="00AB688F"/>
    <w:rsid w:val="00AB75EA"/>
    <w:rsid w:val="00AB7AA2"/>
    <w:rsid w:val="00AB7BE2"/>
    <w:rsid w:val="00AC4BC1"/>
    <w:rsid w:val="00AD04BD"/>
    <w:rsid w:val="00AD1C72"/>
    <w:rsid w:val="00AD25F6"/>
    <w:rsid w:val="00AD46E6"/>
    <w:rsid w:val="00AD7214"/>
    <w:rsid w:val="00AE1066"/>
    <w:rsid w:val="00AE2AD2"/>
    <w:rsid w:val="00AE4518"/>
    <w:rsid w:val="00AE5D7F"/>
    <w:rsid w:val="00AE79F0"/>
    <w:rsid w:val="00AF2089"/>
    <w:rsid w:val="00AF3350"/>
    <w:rsid w:val="00AF4305"/>
    <w:rsid w:val="00AF5585"/>
    <w:rsid w:val="00AF561C"/>
    <w:rsid w:val="00AF6EC1"/>
    <w:rsid w:val="00B00331"/>
    <w:rsid w:val="00B01A80"/>
    <w:rsid w:val="00B02675"/>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2B4A"/>
    <w:rsid w:val="00B54370"/>
    <w:rsid w:val="00B55185"/>
    <w:rsid w:val="00B55281"/>
    <w:rsid w:val="00B60FD1"/>
    <w:rsid w:val="00B61923"/>
    <w:rsid w:val="00B621D6"/>
    <w:rsid w:val="00B63EF5"/>
    <w:rsid w:val="00B65D6F"/>
    <w:rsid w:val="00B67C23"/>
    <w:rsid w:val="00B70DC7"/>
    <w:rsid w:val="00B715FD"/>
    <w:rsid w:val="00B73042"/>
    <w:rsid w:val="00B74BB9"/>
    <w:rsid w:val="00B75283"/>
    <w:rsid w:val="00B75735"/>
    <w:rsid w:val="00B77142"/>
    <w:rsid w:val="00B807F5"/>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2FA"/>
    <w:rsid w:val="00BD3EB4"/>
    <w:rsid w:val="00BD5C65"/>
    <w:rsid w:val="00BD71EE"/>
    <w:rsid w:val="00BE6018"/>
    <w:rsid w:val="00BF1F57"/>
    <w:rsid w:val="00BF4086"/>
    <w:rsid w:val="00BF426C"/>
    <w:rsid w:val="00BF58D0"/>
    <w:rsid w:val="00BF63AF"/>
    <w:rsid w:val="00BF7D6A"/>
    <w:rsid w:val="00C013E1"/>
    <w:rsid w:val="00C01611"/>
    <w:rsid w:val="00C02D59"/>
    <w:rsid w:val="00C030B6"/>
    <w:rsid w:val="00C03284"/>
    <w:rsid w:val="00C050D7"/>
    <w:rsid w:val="00C05B5F"/>
    <w:rsid w:val="00C06911"/>
    <w:rsid w:val="00C104CC"/>
    <w:rsid w:val="00C12898"/>
    <w:rsid w:val="00C152FE"/>
    <w:rsid w:val="00C16739"/>
    <w:rsid w:val="00C22C7D"/>
    <w:rsid w:val="00C22CCE"/>
    <w:rsid w:val="00C231D6"/>
    <w:rsid w:val="00C23BA2"/>
    <w:rsid w:val="00C272C4"/>
    <w:rsid w:val="00C31C12"/>
    <w:rsid w:val="00C32AF2"/>
    <w:rsid w:val="00C33204"/>
    <w:rsid w:val="00C338EB"/>
    <w:rsid w:val="00C3465D"/>
    <w:rsid w:val="00C35643"/>
    <w:rsid w:val="00C379E9"/>
    <w:rsid w:val="00C439FB"/>
    <w:rsid w:val="00C43F23"/>
    <w:rsid w:val="00C50011"/>
    <w:rsid w:val="00C52CA1"/>
    <w:rsid w:val="00C5755E"/>
    <w:rsid w:val="00C6379C"/>
    <w:rsid w:val="00C645E6"/>
    <w:rsid w:val="00C64D82"/>
    <w:rsid w:val="00C64FBC"/>
    <w:rsid w:val="00C65A83"/>
    <w:rsid w:val="00C724F2"/>
    <w:rsid w:val="00C72761"/>
    <w:rsid w:val="00C72C6F"/>
    <w:rsid w:val="00C75057"/>
    <w:rsid w:val="00C77034"/>
    <w:rsid w:val="00C80F23"/>
    <w:rsid w:val="00C81151"/>
    <w:rsid w:val="00C81EFA"/>
    <w:rsid w:val="00C82CC6"/>
    <w:rsid w:val="00C850A3"/>
    <w:rsid w:val="00C85C32"/>
    <w:rsid w:val="00C87568"/>
    <w:rsid w:val="00C90DB6"/>
    <w:rsid w:val="00C913B6"/>
    <w:rsid w:val="00C9394F"/>
    <w:rsid w:val="00C93B1A"/>
    <w:rsid w:val="00C96F5F"/>
    <w:rsid w:val="00CA4126"/>
    <w:rsid w:val="00CA4574"/>
    <w:rsid w:val="00CA5927"/>
    <w:rsid w:val="00CA79EC"/>
    <w:rsid w:val="00CB041A"/>
    <w:rsid w:val="00CB39C2"/>
    <w:rsid w:val="00CB4664"/>
    <w:rsid w:val="00CB4C8C"/>
    <w:rsid w:val="00CB6782"/>
    <w:rsid w:val="00CC080A"/>
    <w:rsid w:val="00CC0994"/>
    <w:rsid w:val="00CC0C03"/>
    <w:rsid w:val="00CD0AAD"/>
    <w:rsid w:val="00CD6177"/>
    <w:rsid w:val="00CE182E"/>
    <w:rsid w:val="00CE2DAB"/>
    <w:rsid w:val="00CE2DE4"/>
    <w:rsid w:val="00CE2E79"/>
    <w:rsid w:val="00CE5277"/>
    <w:rsid w:val="00CE5A79"/>
    <w:rsid w:val="00CE6358"/>
    <w:rsid w:val="00CF2D54"/>
    <w:rsid w:val="00CF592C"/>
    <w:rsid w:val="00CF6992"/>
    <w:rsid w:val="00CF6AD7"/>
    <w:rsid w:val="00CF7B8C"/>
    <w:rsid w:val="00D03538"/>
    <w:rsid w:val="00D049B8"/>
    <w:rsid w:val="00D0516C"/>
    <w:rsid w:val="00D05EE7"/>
    <w:rsid w:val="00D068D0"/>
    <w:rsid w:val="00D078D1"/>
    <w:rsid w:val="00D129A8"/>
    <w:rsid w:val="00D12FB9"/>
    <w:rsid w:val="00D13FE2"/>
    <w:rsid w:val="00D200BD"/>
    <w:rsid w:val="00D22399"/>
    <w:rsid w:val="00D24B11"/>
    <w:rsid w:val="00D310BA"/>
    <w:rsid w:val="00D32C0A"/>
    <w:rsid w:val="00D33751"/>
    <w:rsid w:val="00D3382F"/>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121C"/>
    <w:rsid w:val="00D82494"/>
    <w:rsid w:val="00D84A4B"/>
    <w:rsid w:val="00D92168"/>
    <w:rsid w:val="00D940B5"/>
    <w:rsid w:val="00D95CB0"/>
    <w:rsid w:val="00D977C0"/>
    <w:rsid w:val="00DA00A3"/>
    <w:rsid w:val="00DA13F3"/>
    <w:rsid w:val="00DA23C3"/>
    <w:rsid w:val="00DA2DE3"/>
    <w:rsid w:val="00DA475D"/>
    <w:rsid w:val="00DA7146"/>
    <w:rsid w:val="00DA716A"/>
    <w:rsid w:val="00DB1F4F"/>
    <w:rsid w:val="00DB37EE"/>
    <w:rsid w:val="00DB4450"/>
    <w:rsid w:val="00DB7B69"/>
    <w:rsid w:val="00DC234A"/>
    <w:rsid w:val="00DC27AD"/>
    <w:rsid w:val="00DC41E4"/>
    <w:rsid w:val="00DC5116"/>
    <w:rsid w:val="00DC7C77"/>
    <w:rsid w:val="00DD074A"/>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6313"/>
    <w:rsid w:val="00E1738C"/>
    <w:rsid w:val="00E207A1"/>
    <w:rsid w:val="00E22C7E"/>
    <w:rsid w:val="00E22D28"/>
    <w:rsid w:val="00E230E3"/>
    <w:rsid w:val="00E27A14"/>
    <w:rsid w:val="00E30EDF"/>
    <w:rsid w:val="00E30F3C"/>
    <w:rsid w:val="00E31EC2"/>
    <w:rsid w:val="00E31FBA"/>
    <w:rsid w:val="00E32CB6"/>
    <w:rsid w:val="00E34042"/>
    <w:rsid w:val="00E34CDF"/>
    <w:rsid w:val="00E36AAE"/>
    <w:rsid w:val="00E41773"/>
    <w:rsid w:val="00E428DD"/>
    <w:rsid w:val="00E43B0B"/>
    <w:rsid w:val="00E44A50"/>
    <w:rsid w:val="00E477F6"/>
    <w:rsid w:val="00E50841"/>
    <w:rsid w:val="00E513F6"/>
    <w:rsid w:val="00E52F3B"/>
    <w:rsid w:val="00E53A45"/>
    <w:rsid w:val="00E53D94"/>
    <w:rsid w:val="00E53DEA"/>
    <w:rsid w:val="00E548E9"/>
    <w:rsid w:val="00E553CC"/>
    <w:rsid w:val="00E55667"/>
    <w:rsid w:val="00E57068"/>
    <w:rsid w:val="00E57630"/>
    <w:rsid w:val="00E616DB"/>
    <w:rsid w:val="00E627A4"/>
    <w:rsid w:val="00E630ED"/>
    <w:rsid w:val="00E74EC5"/>
    <w:rsid w:val="00E75FDC"/>
    <w:rsid w:val="00E76B86"/>
    <w:rsid w:val="00E8342F"/>
    <w:rsid w:val="00E847A7"/>
    <w:rsid w:val="00E85E29"/>
    <w:rsid w:val="00E85F25"/>
    <w:rsid w:val="00E86E79"/>
    <w:rsid w:val="00E87313"/>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4874"/>
    <w:rsid w:val="00EE79A6"/>
    <w:rsid w:val="00EF063B"/>
    <w:rsid w:val="00EF6111"/>
    <w:rsid w:val="00EF6232"/>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0868"/>
    <w:rsid w:val="00F423BD"/>
    <w:rsid w:val="00F4255D"/>
    <w:rsid w:val="00F432FF"/>
    <w:rsid w:val="00F46DF9"/>
    <w:rsid w:val="00F4715C"/>
    <w:rsid w:val="00F54869"/>
    <w:rsid w:val="00F556B2"/>
    <w:rsid w:val="00F57252"/>
    <w:rsid w:val="00F5754B"/>
    <w:rsid w:val="00F576DE"/>
    <w:rsid w:val="00F63BF7"/>
    <w:rsid w:val="00F64563"/>
    <w:rsid w:val="00F65617"/>
    <w:rsid w:val="00F65D71"/>
    <w:rsid w:val="00F70112"/>
    <w:rsid w:val="00F710BE"/>
    <w:rsid w:val="00F723B1"/>
    <w:rsid w:val="00F736D2"/>
    <w:rsid w:val="00F7564C"/>
    <w:rsid w:val="00F76220"/>
    <w:rsid w:val="00F769BE"/>
    <w:rsid w:val="00F81C33"/>
    <w:rsid w:val="00F82A1D"/>
    <w:rsid w:val="00F82E6B"/>
    <w:rsid w:val="00F91F6D"/>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098"/>
    <w:rsid w:val="00FC219C"/>
    <w:rsid w:val="00FC2979"/>
    <w:rsid w:val="00FD1C3C"/>
    <w:rsid w:val="00FD1E02"/>
    <w:rsid w:val="00FD38A8"/>
    <w:rsid w:val="00FD6AC8"/>
    <w:rsid w:val="00FE3EA1"/>
    <w:rsid w:val="00FE4818"/>
    <w:rsid w:val="00FE4BF2"/>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iPriority="0" w:unhideWhenUsed="0"/>
    <w:lsdException w:locked="1" w:name="HTML Preformatted"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FD1E0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C1289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FD1E02"/>
    <w:rPr>
      <w:rFonts w:cs="Times New Roman"/>
      <w:b/>
      <w:bCs/>
      <w:kern w:val="44"/>
      <w:sz w:val="44"/>
      <w:szCs w:val="44"/>
    </w:rPr>
  </w:style>
  <w:style w:customStyle="1" w:styleId="2Char" w:type="character">
    <w:name w:val="标题 2 Char"/>
    <w:link w:val="2"/>
    <w:uiPriority w:val="99"/>
    <w:semiHidden/>
    <w:locked/>
    <w:rsid w:val="00140FF8"/>
    <w:rPr>
      <w:rFonts w:ascii="Cambria" w:cs="Times New Roman" w:eastAsia="宋体" w:hAnsi="Cambria"/>
      <w:b/>
      <w:bCs/>
      <w:sz w:val="32"/>
      <w:szCs w:val="32"/>
    </w:rPr>
  </w:style>
  <w:style w:styleId="a0" w:type="paragraph">
    <w:name w:val="Normal Indent"/>
    <w:basedOn w:val="a"/>
    <w:uiPriority w:val="99"/>
    <w:rsid w:val="00C12898"/>
    <w:pPr>
      <w:ind w:firstLine="420" w:firstLineChars="200"/>
    </w:pPr>
  </w:style>
  <w:style w:styleId="a4" w:type="paragraph">
    <w:name w:val="Body Text Indent"/>
    <w:basedOn w:val="a"/>
    <w:link w:val="Char"/>
    <w:uiPriority w:val="99"/>
    <w:rsid w:val="00C12898"/>
    <w:pPr>
      <w:widowControl/>
      <w:spacing w:after="100" w:afterAutospacing="1" w:before="100" w:beforeAutospacing="1"/>
      <w:jc w:val="left"/>
    </w:pPr>
    <w:rPr>
      <w:rFonts w:ascii="Arial Unicode MS" w:cs="Arial Unicode MS" w:eastAsia="Arial Unicode MS" w:hAnsi="Arial Unicode MS"/>
      <w:kern w:val="0"/>
      <w:sz w:val="24"/>
    </w:rPr>
  </w:style>
  <w:style w:customStyle="1" w:styleId="Char" w:type="character">
    <w:name w:val="正文文本缩进 Char"/>
    <w:link w:val="a4"/>
    <w:uiPriority w:val="99"/>
    <w:semiHidden/>
    <w:locked/>
    <w:rsid w:val="00140FF8"/>
    <w:rPr>
      <w:rFonts w:cs="Times New Roman"/>
      <w:sz w:val="24"/>
      <w:szCs w:val="24"/>
    </w:rPr>
  </w:style>
  <w:style w:styleId="a5" w:type="paragraph">
    <w:name w:val="Plain Text"/>
    <w:basedOn w:val="a"/>
    <w:link w:val="Char0"/>
    <w:uiPriority w:val="99"/>
    <w:rsid w:val="00C12898"/>
    <w:rPr>
      <w:rFonts w:ascii="宋体" w:hAnsi="Courier New"/>
      <w:szCs w:val="21"/>
    </w:rPr>
  </w:style>
  <w:style w:customStyle="1" w:styleId="Char0" w:type="character">
    <w:name w:val="纯文本 Char"/>
    <w:link w:val="a5"/>
    <w:uiPriority w:val="99"/>
    <w:locked/>
    <w:rsid w:val="0042253F"/>
    <w:rPr>
      <w:rFonts w:ascii="宋体" w:cs="Times New Roman" w:hAnsi="Courier New"/>
      <w:kern w:val="2"/>
      <w:sz w:val="21"/>
    </w:rPr>
  </w:style>
  <w:style w:styleId="20" w:type="paragraph">
    <w:name w:val="Body Text Indent 2"/>
    <w:basedOn w:val="a"/>
    <w:link w:val="2Char0"/>
    <w:uiPriority w:val="99"/>
    <w:rsid w:val="00C12898"/>
    <w:pPr>
      <w:spacing w:line="560" w:lineRule="exact"/>
      <w:ind w:firstLine="480" w:firstLineChars="200"/>
    </w:pPr>
    <w:rPr>
      <w:rFonts w:ascii="宋体" w:hAnsi="宋体"/>
      <w:color w:val="FF0000"/>
      <w:sz w:val="24"/>
    </w:rPr>
  </w:style>
  <w:style w:customStyle="1" w:styleId="2Char0" w:type="character">
    <w:name w:val="正文文本缩进 2 Char"/>
    <w:link w:val="20"/>
    <w:uiPriority w:val="99"/>
    <w:semiHidden/>
    <w:locked/>
    <w:rsid w:val="00140FF8"/>
    <w:rPr>
      <w:rFonts w:cs="Times New Roman"/>
      <w:sz w:val="24"/>
      <w:szCs w:val="24"/>
    </w:rPr>
  </w:style>
  <w:style w:styleId="a6" w:type="paragraph">
    <w:name w:val="footer"/>
    <w:basedOn w:val="a"/>
    <w:link w:val="Char1"/>
    <w:uiPriority w:val="99"/>
    <w:rsid w:val="00C12898"/>
    <w:pPr>
      <w:tabs>
        <w:tab w:pos="4153" w:val="center"/>
        <w:tab w:pos="8306" w:val="right"/>
      </w:tabs>
      <w:snapToGrid w:val="0"/>
      <w:jc w:val="left"/>
    </w:pPr>
    <w:rPr>
      <w:sz w:val="18"/>
      <w:szCs w:val="18"/>
    </w:rPr>
  </w:style>
  <w:style w:customStyle="1" w:styleId="Char1" w:type="character">
    <w:name w:val="页脚 Char"/>
    <w:link w:val="a6"/>
    <w:uiPriority w:val="99"/>
    <w:semiHidden/>
    <w:locked/>
    <w:rsid w:val="00140FF8"/>
    <w:rPr>
      <w:rFonts w:cs="Times New Roman"/>
      <w:sz w:val="18"/>
      <w:szCs w:val="18"/>
    </w:rPr>
  </w:style>
  <w:style w:styleId="a7" w:type="character">
    <w:name w:val="page number"/>
    <w:uiPriority w:val="99"/>
    <w:rsid w:val="00C12898"/>
    <w:rPr>
      <w:rFonts w:cs="Times New Roman"/>
    </w:rPr>
  </w:style>
  <w:style w:styleId="a8" w:type="character">
    <w:name w:val="Hyperlink"/>
    <w:uiPriority w:val="99"/>
    <w:rsid w:val="00C12898"/>
    <w:rPr>
      <w:rFonts w:cs="Times New Roman"/>
      <w:color w:val="0000FF"/>
      <w:u w:val="single"/>
    </w:rPr>
  </w:style>
  <w:style w:styleId="3" w:type="paragraph">
    <w:name w:val="Body Text Indent 3"/>
    <w:basedOn w:val="a"/>
    <w:link w:val="3Char"/>
    <w:uiPriority w:val="99"/>
    <w:rsid w:val="00C12898"/>
    <w:pPr>
      <w:spacing w:line="560" w:lineRule="exact"/>
      <w:ind w:firstLine="420" w:firstLineChars="200"/>
    </w:pPr>
    <w:rPr>
      <w:rFonts w:ascii="Arial" w:cs="Arial" w:hAnsi="Arial"/>
      <w:color w:val="FF0000"/>
    </w:rPr>
  </w:style>
  <w:style w:customStyle="1" w:styleId="3Char" w:type="character">
    <w:name w:val="正文文本缩进 3 Char"/>
    <w:link w:val="3"/>
    <w:uiPriority w:val="99"/>
    <w:semiHidden/>
    <w:locked/>
    <w:rsid w:val="00140FF8"/>
    <w:rPr>
      <w:rFonts w:cs="Times New Roman"/>
      <w:sz w:val="16"/>
      <w:szCs w:val="16"/>
    </w:rPr>
  </w:style>
  <w:style w:styleId="a9" w:type="paragraph">
    <w:name w:val="header"/>
    <w:basedOn w:val="a"/>
    <w:link w:val="Char2"/>
    <w:uiPriority w:val="99"/>
    <w:rsid w:val="00C1289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FB572A"/>
    <w:rPr>
      <w:rFonts w:cs="Times New Roman"/>
      <w:kern w:val="2"/>
      <w:sz w:val="18"/>
      <w:szCs w:val="18"/>
    </w:rPr>
  </w:style>
  <w:style w:styleId="aa" w:type="character">
    <w:name w:val="FollowedHyperlink"/>
    <w:uiPriority w:val="99"/>
    <w:rsid w:val="00C12898"/>
    <w:rPr>
      <w:rFonts w:cs="Times New Roman"/>
      <w:color w:val="800080"/>
      <w:u w:val="single"/>
    </w:rPr>
  </w:style>
  <w:style w:styleId="ab" w:type="paragraph">
    <w:name w:val="List"/>
    <w:basedOn w:val="ac"/>
    <w:uiPriority w:val="99"/>
    <w:rsid w:val="00C12898"/>
    <w:pPr>
      <w:spacing w:after="220" w:line="220" w:lineRule="atLeast"/>
      <w:ind w:hanging="360" w:left="1440"/>
    </w:pPr>
    <w:rPr>
      <w:szCs w:val="20"/>
    </w:rPr>
  </w:style>
  <w:style w:styleId="ac" w:type="paragraph">
    <w:name w:val="Body Text"/>
    <w:basedOn w:val="a"/>
    <w:link w:val="Char3"/>
    <w:uiPriority w:val="99"/>
    <w:rsid w:val="00C12898"/>
    <w:pPr>
      <w:spacing w:after="120"/>
    </w:pPr>
  </w:style>
  <w:style w:customStyle="1" w:styleId="Char3" w:type="character">
    <w:name w:val="正文文本 Char"/>
    <w:link w:val="ac"/>
    <w:uiPriority w:val="99"/>
    <w:semiHidden/>
    <w:locked/>
    <w:rsid w:val="00140FF8"/>
    <w:rPr>
      <w:rFonts w:cs="Times New Roman"/>
      <w:sz w:val="24"/>
      <w:szCs w:val="24"/>
    </w:rPr>
  </w:style>
  <w:style w:styleId="ad" w:type="paragraph">
    <w:name w:val="Date"/>
    <w:basedOn w:val="a"/>
    <w:next w:val="a"/>
    <w:link w:val="Char4"/>
    <w:uiPriority w:val="99"/>
    <w:rsid w:val="00C12898"/>
    <w:rPr>
      <w:sz w:val="24"/>
      <w:szCs w:val="20"/>
    </w:rPr>
  </w:style>
  <w:style w:customStyle="1" w:styleId="Char4" w:type="character">
    <w:name w:val="日期 Char"/>
    <w:link w:val="ad"/>
    <w:uiPriority w:val="99"/>
    <w:locked/>
    <w:rsid w:val="00F27C38"/>
    <w:rPr>
      <w:rFonts w:cs="Times New Roman"/>
      <w:kern w:val="2"/>
      <w:sz w:val="24"/>
    </w:rPr>
  </w:style>
  <w:style w:customStyle="1" w:styleId="c1" w:type="character">
    <w:name w:val="c1"/>
    <w:uiPriority w:val="99"/>
    <w:rsid w:val="00C12898"/>
    <w:rPr>
      <w:rFonts w:cs="Times New Roman"/>
      <w:color w:val="000000"/>
      <w:sz w:val="18"/>
      <w:szCs w:val="18"/>
    </w:rPr>
  </w:style>
  <w:style w:styleId="10" w:type="paragraph">
    <w:name w:val="index 1"/>
    <w:basedOn w:val="a"/>
    <w:next w:val="a"/>
    <w:autoRedefine/>
    <w:uiPriority w:val="99"/>
    <w:semiHidden/>
    <w:rsid w:val="00C12898"/>
    <w:pPr>
      <w:jc w:val="right"/>
    </w:pPr>
    <w:rPr>
      <w:color w:val="008000"/>
    </w:rPr>
  </w:style>
  <w:style w:customStyle="1" w:styleId="font5" w:type="paragraph">
    <w:name w:val="font5"/>
    <w:basedOn w:val="a"/>
    <w:uiPriority w:val="99"/>
    <w:rsid w:val="00C1289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C1289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C1289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C1289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C1289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C1289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C1289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C1289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C1289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C12898"/>
    <w:rPr>
      <w:sz w:val="18"/>
      <w:szCs w:val="18"/>
    </w:rPr>
  </w:style>
  <w:style w:customStyle="1" w:styleId="Char5" w:type="character">
    <w:name w:val="批注框文本 Char"/>
    <w:link w:val="ae"/>
    <w:uiPriority w:val="99"/>
    <w:semiHidden/>
    <w:locked/>
    <w:rsid w:val="00140FF8"/>
    <w:rPr>
      <w:rFonts w:cs="Times New Roman"/>
      <w:sz w:val="2"/>
    </w:rPr>
  </w:style>
  <w:style w:styleId="af" w:type="character">
    <w:name w:val="annotation reference"/>
    <w:uiPriority w:val="99"/>
    <w:semiHidden/>
    <w:rsid w:val="00C12898"/>
    <w:rPr>
      <w:rFonts w:cs="Times New Roman"/>
      <w:sz w:val="21"/>
      <w:szCs w:val="21"/>
    </w:rPr>
  </w:style>
  <w:style w:styleId="af0" w:type="paragraph">
    <w:name w:val="annotation text"/>
    <w:basedOn w:val="a"/>
    <w:link w:val="Char6"/>
    <w:uiPriority w:val="99"/>
    <w:semiHidden/>
    <w:rsid w:val="00C12898"/>
    <w:pPr>
      <w:jc w:val="left"/>
    </w:pPr>
  </w:style>
  <w:style w:customStyle="1" w:styleId="Char6" w:type="character">
    <w:name w:val="批注文字 Char"/>
    <w:link w:val="af0"/>
    <w:uiPriority w:val="99"/>
    <w:semiHidden/>
    <w:locked/>
    <w:rsid w:val="00140FF8"/>
    <w:rPr>
      <w:rFonts w:cs="Times New Roman"/>
      <w:sz w:val="24"/>
      <w:szCs w:val="24"/>
    </w:rPr>
  </w:style>
  <w:style w:styleId="af1" w:type="paragraph">
    <w:name w:val="annotation subject"/>
    <w:basedOn w:val="af0"/>
    <w:next w:val="af0"/>
    <w:link w:val="Char7"/>
    <w:uiPriority w:val="99"/>
    <w:semiHidden/>
    <w:rsid w:val="00C12898"/>
    <w:rPr>
      <w:b/>
      <w:bCs/>
    </w:rPr>
  </w:style>
  <w:style w:customStyle="1" w:styleId="Char7" w:type="character">
    <w:name w:val="批注主题 Char"/>
    <w:link w:val="af1"/>
    <w:uiPriority w:val="99"/>
    <w:semiHidden/>
    <w:locked/>
    <w:rsid w:val="00140FF8"/>
    <w:rPr>
      <w:rFonts w:cs="Times New Roman"/>
      <w:b/>
      <w:bCs/>
      <w:sz w:val="24"/>
      <w:szCs w:val="24"/>
    </w:rPr>
  </w:style>
  <w:style w:customStyle="1" w:styleId="Char8" w:type="paragraph">
    <w:name w:val="Char"/>
    <w:basedOn w:val="a"/>
    <w:uiPriority w:val="99"/>
    <w:rsid w:val="00C12898"/>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140FF8"/>
    <w:rPr>
      <w:rFonts w:cs="Times New Roman"/>
      <w:sz w:val="2"/>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140FF8"/>
    <w:rPr>
      <w:rFonts w:cs="Times New Roman"/>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695296"/>
    <w:pPr>
      <w:widowControl w:val="0"/>
      <w:autoSpaceDE w:val="0"/>
      <w:autoSpaceDN w:val="0"/>
      <w:adjustRightInd w:val="0"/>
    </w:pPr>
    <w:rPr>
      <w:rFonts w:ascii="FangSong" w:cs="FangSong" w:hAnsi="FangSong"/>
      <w:color w:val="000000"/>
      <w:sz w:val="24"/>
      <w:szCs w:val="24"/>
    </w:rPr>
  </w:style>
  <w:style w:styleId="HTML" w:type="paragraph">
    <w:name w:val="HTML Preformatted"/>
    <w:basedOn w:val="a"/>
    <w:link w:val="HTMLChar"/>
    <w:uiPriority w:val="99"/>
    <w:rsid w:val="00634900"/>
    <w:pPr>
      <w:widowControl/>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jc w:val="left"/>
    </w:pPr>
    <w:rPr>
      <w:rFonts w:ascii="宋体" w:cs="宋体" w:hAnsi="宋体"/>
      <w:kern w:val="0"/>
      <w:sz w:val="24"/>
    </w:rPr>
  </w:style>
  <w:style w:customStyle="1" w:styleId="HTMLChar" w:type="character">
    <w:name w:val="HTML 预设格式 Char"/>
    <w:link w:val="HTML"/>
    <w:uiPriority w:val="99"/>
    <w:locked/>
    <w:rsid w:val="00634900"/>
    <w:rPr>
      <w:rFonts w:ascii="宋体" w:cs="宋体" w:eastAsia="宋体"/>
      <w:sz w:val="24"/>
      <w:szCs w:val="24"/>
    </w:rPr>
  </w:style>
  <w:style w:styleId="af8" w:type="character">
    <w:name w:val="Strong"/>
    <w:basedOn w:val="a1"/>
    <w:uiPriority w:val="22"/>
    <w:qFormat/>
    <w:locked/>
    <w:rsid w:val="00193F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2775">
      <w:bodyDiv w:val="1"/>
      <w:marLeft w:val="0"/>
      <w:marRight w:val="0"/>
      <w:marTop w:val="0"/>
      <w:marBottom w:val="0"/>
      <w:divBdr>
        <w:top w:val="none" w:sz="0" w:space="0" w:color="auto"/>
        <w:left w:val="none" w:sz="0" w:space="0" w:color="auto"/>
        <w:bottom w:val="none" w:sz="0" w:space="0" w:color="auto"/>
        <w:right w:val="none" w:sz="0" w:space="0" w:color="auto"/>
      </w:divBdr>
    </w:div>
    <w:div w:id="367880750">
      <w:bodyDiv w:val="1"/>
      <w:marLeft w:val="0"/>
      <w:marRight w:val="0"/>
      <w:marTop w:val="0"/>
      <w:marBottom w:val="0"/>
      <w:divBdr>
        <w:top w:val="none" w:sz="0" w:space="0" w:color="auto"/>
        <w:left w:val="none" w:sz="0" w:space="0" w:color="auto"/>
        <w:bottom w:val="none" w:sz="0" w:space="0" w:color="auto"/>
        <w:right w:val="none" w:sz="0" w:space="0" w:color="auto"/>
      </w:divBdr>
    </w:div>
    <w:div w:id="919413930">
      <w:bodyDiv w:val="1"/>
      <w:marLeft w:val="0"/>
      <w:marRight w:val="0"/>
      <w:marTop w:val="0"/>
      <w:marBottom w:val="0"/>
      <w:divBdr>
        <w:top w:val="none" w:sz="0" w:space="0" w:color="auto"/>
        <w:left w:val="none" w:sz="0" w:space="0" w:color="auto"/>
        <w:bottom w:val="none" w:sz="0" w:space="0" w:color="auto"/>
        <w:right w:val="none" w:sz="0" w:space="0" w:color="auto"/>
      </w:divBdr>
    </w:div>
    <w:div w:id="1077090524">
      <w:bodyDiv w:val="1"/>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 w:id="1682857256">
      <w:marLeft w:val="0"/>
      <w:marRight w:val="0"/>
      <w:marTop w:val="0"/>
      <w:marBottom w:val="0"/>
      <w:divBdr>
        <w:top w:val="none" w:sz="0" w:space="0" w:color="auto"/>
        <w:left w:val="none" w:sz="0" w:space="0" w:color="auto"/>
        <w:bottom w:val="none" w:sz="0" w:space="0" w:color="auto"/>
        <w:right w:val="none" w:sz="0" w:space="0" w:color="auto"/>
      </w:divBdr>
    </w:div>
    <w:div w:id="1682857257">
      <w:marLeft w:val="0"/>
      <w:marRight w:val="0"/>
      <w:marTop w:val="0"/>
      <w:marBottom w:val="0"/>
      <w:divBdr>
        <w:top w:val="none" w:sz="0" w:space="0" w:color="auto"/>
        <w:left w:val="none" w:sz="0" w:space="0" w:color="auto"/>
        <w:bottom w:val="none" w:sz="0" w:space="0" w:color="auto"/>
        <w:right w:val="none" w:sz="0" w:space="0" w:color="auto"/>
      </w:divBdr>
    </w:div>
    <w:div w:id="1682857258">
      <w:marLeft w:val="0"/>
      <w:marRight w:val="0"/>
      <w:marTop w:val="0"/>
      <w:marBottom w:val="0"/>
      <w:divBdr>
        <w:top w:val="none" w:sz="0" w:space="0" w:color="auto"/>
        <w:left w:val="none" w:sz="0" w:space="0" w:color="auto"/>
        <w:bottom w:val="none" w:sz="0" w:space="0" w:color="auto"/>
        <w:right w:val="none" w:sz="0" w:space="0" w:color="auto"/>
      </w:divBdr>
    </w:div>
    <w:div w:id="1682857259">
      <w:marLeft w:val="0"/>
      <w:marRight w:val="0"/>
      <w:marTop w:val="0"/>
      <w:marBottom w:val="0"/>
      <w:divBdr>
        <w:top w:val="none" w:sz="0" w:space="0" w:color="auto"/>
        <w:left w:val="none" w:sz="0" w:space="0" w:color="auto"/>
        <w:bottom w:val="none" w:sz="0" w:space="0" w:color="auto"/>
        <w:right w:val="none" w:sz="0" w:space="0" w:color="auto"/>
      </w:divBdr>
    </w:div>
    <w:div w:id="1682857260">
      <w:marLeft w:val="0"/>
      <w:marRight w:val="0"/>
      <w:marTop w:val="0"/>
      <w:marBottom w:val="0"/>
      <w:divBdr>
        <w:top w:val="none" w:sz="0" w:space="0" w:color="auto"/>
        <w:left w:val="none" w:sz="0" w:space="0" w:color="auto"/>
        <w:bottom w:val="none" w:sz="0" w:space="0" w:color="auto"/>
        <w:right w:val="none" w:sz="0" w:space="0" w:color="auto"/>
      </w:divBdr>
    </w:div>
    <w:div w:id="1682857261">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2857263">
      <w:marLeft w:val="0"/>
      <w:marRight w:val="0"/>
      <w:marTop w:val="0"/>
      <w:marBottom w:val="0"/>
      <w:divBdr>
        <w:top w:val="none" w:sz="0" w:space="0" w:color="auto"/>
        <w:left w:val="none" w:sz="0" w:space="0" w:color="auto"/>
        <w:bottom w:val="none" w:sz="0" w:space="0" w:color="auto"/>
        <w:right w:val="none" w:sz="0" w:space="0" w:color="auto"/>
      </w:divBdr>
    </w:div>
    <w:div w:id="1682857264">
      <w:marLeft w:val="0"/>
      <w:marRight w:val="0"/>
      <w:marTop w:val="0"/>
      <w:marBottom w:val="0"/>
      <w:divBdr>
        <w:top w:val="none" w:sz="0" w:space="0" w:color="auto"/>
        <w:left w:val="none" w:sz="0" w:space="0" w:color="auto"/>
        <w:bottom w:val="none" w:sz="0" w:space="0" w:color="auto"/>
        <w:right w:val="none" w:sz="0" w:space="0" w:color="auto"/>
      </w:divBdr>
    </w:div>
    <w:div w:id="168285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footer2.xml" Type="http://schemas.openxmlformats.org/officeDocument/2006/relationships/foot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29</Pages>
  <Words>4249</Words>
  <Characters>24222</Characters>
  <Application>Microsoft Office Word</Application>
  <DocSecurity>0</DocSecurity>
  <Lines>201</Lines>
  <Paragraphs>56</Paragraphs>
  <ScaleCrop>false</ScaleCrop>
  <Company>TRT. Ltd. Co.</Company>
  <LinksUpToDate>false</LinksUpToDate>
  <CharactersWithSpaces>28415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2012-11-28T02:28:00Z</dcterms:created>
  <cp:lastModifiedBy>sirong han</cp:lastModifiedBy>
  <cp:lastPrinted>2007-07-19T00:46:00Z</cp:lastPrinted>
  <dcterms:modified xsi:type="dcterms:W3CDTF">2020-10-20T06:20:00Z</dcterms:modified>
  <cp:revision>192</cp:revision>
</cp:coreProperties>
</file>