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074E9F" w:rsidR="001C36D8" w:rsidRDefault="001C36D8" w:rsidRPr="00272E0C">
      <w:pPr>
        <w:autoSpaceDE w:val="0"/>
        <w:autoSpaceDN w:val="0"/>
        <w:adjustRightInd w:val="0"/>
        <w:spacing w:line="360" w:lineRule="auto"/>
        <w:jc w:val="left"/>
        <w:rPr>
          <w:rFonts w:ascii="宋体" w:cs="Arial"/>
          <w:color w:val="000000"/>
          <w:kern w:val="0"/>
          <w:sz w:val="24"/>
        </w:rPr>
      </w:pPr>
    </w:p>
    <w:p w:rsidP="00074E9F" w:rsidR="001C36D8" w:rsidRDefault="001C36D8" w:rsidRPr="00272E0C">
      <w:pPr>
        <w:autoSpaceDE w:val="0"/>
        <w:autoSpaceDN w:val="0"/>
        <w:adjustRightInd w:val="0"/>
        <w:spacing w:line="360" w:lineRule="auto"/>
        <w:jc w:val="left"/>
        <w:rPr>
          <w:rFonts w:ascii="宋体" w:cs="Arial"/>
          <w:color w:val="000000"/>
          <w:kern w:val="0"/>
          <w:sz w:val="24"/>
        </w:rPr>
      </w:pPr>
    </w:p>
    <w:p w:rsidP="00074E9F" w:rsidR="001C36D8" w:rsidRDefault="001C36D8" w:rsidRPr="00272E0C">
      <w:pPr>
        <w:autoSpaceDE w:val="0"/>
        <w:autoSpaceDN w:val="0"/>
        <w:adjustRightInd w:val="0"/>
        <w:spacing w:line="360" w:lineRule="auto"/>
        <w:jc w:val="left"/>
        <w:rPr>
          <w:rFonts w:ascii="宋体" w:cs="Arial"/>
          <w:color w:val="000000"/>
          <w:kern w:val="0"/>
          <w:sz w:val="24"/>
        </w:rPr>
      </w:pPr>
    </w:p>
    <w:p w:rsidP="00074E9F" w:rsidR="001C36D8" w:rsidRDefault="001C36D8" w:rsidRPr="00272E0C">
      <w:pPr>
        <w:autoSpaceDE w:val="0"/>
        <w:autoSpaceDN w:val="0"/>
        <w:adjustRightInd w:val="0"/>
        <w:spacing w:line="360" w:lineRule="auto"/>
        <w:jc w:val="left"/>
        <w:rPr>
          <w:rFonts w:ascii="宋体" w:cs="Arial"/>
          <w:color w:val="000000"/>
          <w:kern w:val="0"/>
          <w:sz w:val="24"/>
        </w:rPr>
      </w:pPr>
    </w:p>
    <w:p w:rsidP="007951F3" w:rsidR="001C36D8" w:rsidRDefault="001C36D8" w:rsidRPr="00272E0C">
      <w:pPr>
        <w:spacing w:line="360" w:lineRule="auto"/>
        <w:jc w:val="center"/>
        <w:rPr>
          <w:rFonts w:ascii="宋体" w:hAnsi="宋体"/>
          <w:b/>
          <w:sz w:val="36"/>
          <w:szCs w:val="36"/>
        </w:rPr>
      </w:pPr>
      <w:r w:rsidRPr="00272E0C">
        <w:rPr>
          <w:rFonts w:ascii="宋体"/>
          <w:b/>
          <w:sz w:val="36"/>
          <w:szCs w:val="36"/>
        </w:rPr>
        <w:t/>
      </w:r>
      <w:proofErr w:type="spellStart"/>
      <w:proofErr w:type="gramStart"/>
      <w:r w:rsidRPr="00272E0C">
        <w:rPr>
          <w:rFonts w:ascii="宋体" w:hAnsi="宋体"/>
          <w:b/>
          <w:sz w:val="36"/>
          <w:szCs w:val="36"/>
        </w:rPr>
        <w:t/>
      </w:r>
      <w:proofErr w:type="spellEnd"/>
      <w:proofErr w:type="gramEnd"/>
      <w:r w:rsidRPr="00272E0C">
        <w:rPr>
          <w:rFonts w:ascii="宋体" w:hAnsi="宋体"/>
          <w:b/>
          <w:sz w:val="36"/>
          <w:szCs w:val="36"/>
        </w:rPr>
        <w:t>易方达证券公司指数分级证券投资基金</w:t>
      </w:r>
    </w:p>
    <w:p w:rsidP="007951F3" w:rsidR="001C36D8" w:rsidRDefault="001C36D8" w:rsidRPr="00272E0C">
      <w:pPr>
        <w:spacing w:line="360" w:lineRule="auto"/>
        <w:jc w:val="center"/>
        <w:rPr>
          <w:rFonts w:ascii="宋体" w:hAnsi="宋体"/>
          <w:b/>
          <w:sz w:val="36"/>
          <w:szCs w:val="36"/>
        </w:rPr>
      </w:pPr>
      <w:r w:rsidRPr="00272E0C">
        <w:rPr>
          <w:rFonts w:ascii="宋体" w:hAnsi="宋体"/>
          <w:b/>
          <w:sz w:val="36"/>
          <w:szCs w:val="36"/>
        </w:rPr>
        <w:t/>
      </w:r>
      <w:proofErr w:type="spellStart"/>
      <w:r w:rsidRPr="00272E0C">
        <w:rPr>
          <w:rFonts w:ascii="宋体" w:hAnsi="宋体"/>
          <w:b/>
          <w:sz w:val="36"/>
          <w:szCs w:val="36"/>
        </w:rPr>
        <w:t/>
      </w:r>
      <w:proofErr w:type="spellEnd"/>
      <w:r w:rsidRPr="00272E0C">
        <w:rPr>
          <w:rFonts w:ascii="宋体" w:hAnsi="宋体"/>
          <w:b/>
          <w:sz w:val="36"/>
          <w:szCs w:val="36"/>
        </w:rPr>
        <w:t>2020年第3季度报告</w:t>
      </w:r>
    </w:p>
    <w:p w:rsidP="007951F3" w:rsidR="001C36D8" w:rsidRDefault="001C36D8" w:rsidRPr="00717C29">
      <w:pPr>
        <w:spacing w:line="360" w:lineRule="auto"/>
        <w:jc w:val="center"/>
        <w:rPr>
          <w:rFonts w:ascii="宋体" w:hAnsi="宋体"/>
          <w:b/>
          <w:sz w:val="24"/>
          <w:szCs w:val="36"/>
        </w:rPr>
      </w:pPr>
      <w:r w:rsidRPr="00717C29">
        <w:rPr>
          <w:rFonts w:ascii="宋体"/>
          <w:b/>
          <w:sz w:val="24"/>
          <w:szCs w:val="36"/>
        </w:rPr>
        <w:t/>
      </w:r>
      <w:proofErr w:type="spellStart"/>
      <w:proofErr w:type="gramStart"/>
      <w:r w:rsidRPr="00717C29">
        <w:rPr>
          <w:rFonts w:ascii="宋体" w:hAnsi="宋体"/>
          <w:b/>
          <w:sz w:val="24"/>
          <w:szCs w:val="36"/>
        </w:rPr>
        <w:t/>
      </w:r>
      <w:proofErr w:type="spellEnd"/>
      <w:proofErr w:type="gramEnd"/>
      <w:r w:rsidRPr="00717C29">
        <w:rPr>
          <w:rFonts w:ascii="宋体" w:hAnsi="宋体"/>
          <w:b/>
          <w:sz w:val="24"/>
          <w:szCs w:val="36"/>
        </w:rPr>
        <w:t>2020年9月30日</w:t>
      </w: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rPr>
          <w:rFonts w:ascii="宋体"/>
          <w:b/>
          <w:color w:val="000000"/>
          <w:sz w:val="24"/>
        </w:rPr>
      </w:pPr>
    </w:p>
    <w:p w:rsidP="0015779C" w:rsidR="001C36D8" w:rsidRDefault="001C36D8" w:rsidRPr="00272E0C">
      <w:pPr>
        <w:spacing w:line="360" w:lineRule="auto"/>
        <w:ind w:firstLine="2168" w:firstLineChars="900"/>
        <w:rPr>
          <w:rFonts w:ascii="宋体" w:hAnsi="宋体"/>
          <w:b/>
          <w:color w:val="000000"/>
          <w:sz w:val="24"/>
        </w:rPr>
      </w:pPr>
      <w:r w:rsidRPr="00272E0C">
        <w:rPr>
          <w:rFonts w:ascii="宋体" w:hAnsi="宋体" w:hint="eastAsia"/>
          <w:b/>
          <w:color w:val="000000"/>
          <w:sz w:val="24"/>
        </w:rPr>
        <w:t>基金管理人：</w:t>
      </w:r>
      <w:r w:rsidRPr="00272E0C">
        <w:rPr>
          <w:rFonts w:ascii="宋体"/>
          <w:b/>
          <w:color w:val="000000"/>
          <w:sz w:val="24"/>
        </w:rPr>
        <w:t/>
      </w:r>
      <w:proofErr w:type="spellStart"/>
      <w:r w:rsidRPr="00272E0C">
        <w:rPr>
          <w:rFonts w:ascii="宋体" w:hAnsi="宋体"/>
          <w:b/>
          <w:color w:val="000000"/>
          <w:sz w:val="24"/>
        </w:rPr>
        <w:t/>
      </w:r>
      <w:proofErr w:type="spellEnd"/>
      <w:r w:rsidRPr="00272E0C">
        <w:rPr>
          <w:rFonts w:ascii="宋体" w:hAnsi="宋体"/>
          <w:b/>
          <w:color w:val="000000"/>
          <w:sz w:val="24"/>
        </w:rPr>
        <w:t>易方达基金管理有限公司</w:t>
      </w:r>
    </w:p>
    <w:p w:rsidP="0015779C" w:rsidR="001C36D8" w:rsidRDefault="001C36D8" w:rsidRPr="00272E0C">
      <w:pPr>
        <w:spacing w:line="360" w:lineRule="auto"/>
        <w:ind w:firstLine="2168" w:firstLineChars="900"/>
        <w:rPr>
          <w:rFonts w:ascii="宋体" w:hAnsi="宋体"/>
          <w:b/>
          <w:color w:val="000000"/>
          <w:sz w:val="24"/>
        </w:rPr>
      </w:pPr>
      <w:r w:rsidRPr="00272E0C">
        <w:rPr>
          <w:rFonts w:ascii="宋体" w:hAnsi="宋体" w:hint="eastAsia"/>
          <w:b/>
          <w:color w:val="000000"/>
          <w:sz w:val="24"/>
        </w:rPr>
        <w:t>基金托管人：</w:t>
      </w:r>
      <w:r w:rsidRPr="00272E0C">
        <w:rPr>
          <w:rFonts w:ascii="宋体"/>
          <w:b/>
          <w:color w:val="000000"/>
          <w:sz w:val="24"/>
        </w:rPr>
        <w:t/>
      </w:r>
      <w:proofErr w:type="spellStart"/>
      <w:r w:rsidRPr="00272E0C">
        <w:rPr>
          <w:rFonts w:ascii="宋体" w:hAnsi="宋体"/>
          <w:b/>
          <w:color w:val="000000"/>
          <w:sz w:val="24"/>
        </w:rPr>
        <w:t/>
      </w:r>
      <w:proofErr w:type="spellEnd"/>
      <w:r w:rsidRPr="00272E0C">
        <w:rPr>
          <w:rFonts w:ascii="宋体" w:hAnsi="宋体"/>
          <w:b/>
          <w:color w:val="000000"/>
          <w:sz w:val="24"/>
        </w:rPr>
        <w:t>中国建设银行股份有限公司</w:t>
      </w:r>
    </w:p>
    <w:p w:rsidP="0015779C" w:rsidR="001C36D8" w:rsidRDefault="001C36D8" w:rsidRPr="00272E0C">
      <w:pPr>
        <w:spacing w:line="360" w:lineRule="auto"/>
        <w:ind w:firstLine="2168" w:firstLineChars="900"/>
        <w:rPr>
          <w:rFonts w:ascii="宋体" w:hAnsi="宋体"/>
          <w:b/>
          <w:color w:val="000000"/>
          <w:sz w:val="24"/>
        </w:rPr>
        <w:sectPr w:rsidR="001C36D8" w:rsidRPr="00272E0C" w:rsidSect="00230A66">
          <w:headerReference r:id="rId8" w:type="default"/>
          <w:footerReference r:id="rId9" w:type="default"/>
          <w:pgSz w:h="15840" w:w="11926"/>
          <w:pgMar w:bottom="851" w:footer="992" w:gutter="0" w:header="851" w:left="1418" w:right="1418" w:top="1418"/>
          <w:cols w:space="720"/>
          <w:noEndnote/>
        </w:sectPr>
      </w:pPr>
      <w:r w:rsidRPr="00272E0C">
        <w:rPr>
          <w:rFonts w:ascii="宋体" w:hAnsi="宋体" w:hint="eastAsia"/>
          <w:b/>
          <w:color w:val="000000"/>
          <w:sz w:val="24"/>
        </w:rPr>
        <w:t>报告送出日期：</w:t>
      </w:r>
      <w:r w:rsidRPr="00272E0C">
        <w:rPr>
          <w:rFonts w:ascii="宋体"/>
          <w:b/>
          <w:color w:val="000000"/>
          <w:sz w:val="24"/>
        </w:rPr>
        <w:t/>
      </w:r>
      <w:proofErr w:type="spellStart"/>
      <w:r w:rsidRPr="00272E0C">
        <w:rPr>
          <w:rFonts w:ascii="宋体" w:hAnsi="宋体"/>
          <w:b/>
          <w:color w:val="000000"/>
          <w:sz w:val="24"/>
        </w:rPr>
        <w:t/>
      </w:r>
      <w:proofErr w:type="spellEnd"/>
      <w:r w:rsidRPr="00272E0C">
        <w:rPr>
          <w:rFonts w:ascii="宋体" w:hAnsi="宋体"/>
          <w:b/>
          <w:color w:val="000000"/>
          <w:sz w:val="24"/>
        </w:rPr>
        <w:t>二〇二〇年十月二十八日</w:t>
      </w:r>
    </w:p>
    <w:p w:rsidP="005C6DF3" w:rsidR="001C36D8" w:rsidRDefault="001C36D8" w:rsidRPr="00272E0C">
      <w:pPr>
        <w:pStyle w:val="1"/>
        <w:spacing w:after="312" w:afterLines="100" w:before="312" w:beforeLines="100" w:line="360" w:lineRule="auto"/>
        <w:jc w:val="center"/>
        <w:rPr>
          <w:rFonts w:ascii="宋体" w:cs="Arial"/>
          <w:b w:val="0"/>
          <w:color w:val="000000"/>
          <w:kern w:val="0"/>
          <w:sz w:val="24"/>
          <w:szCs w:val="24"/>
        </w:rPr>
      </w:pPr>
      <w:r w:rsidRPr="00272E0C">
        <w:rPr>
          <w:rFonts w:ascii="宋体" w:cs="Arial" w:hAnsi="宋体" w:hint="eastAsia"/>
          <w:color w:val="000000"/>
          <w:kern w:val="0"/>
          <w:sz w:val="24"/>
          <w:szCs w:val="24"/>
        </w:rPr>
        <w:lastRenderedPageBreak/>
        <w:t>§</w:t>
      </w:r>
      <w:r w:rsidRPr="00272E0C">
        <w:rPr>
          <w:rFonts w:ascii="宋体" w:cs="Arial" w:hAnsi="宋体"/>
          <w:color w:val="000000"/>
          <w:kern w:val="0"/>
          <w:sz w:val="24"/>
          <w:szCs w:val="24"/>
        </w:rPr>
        <w:t xml:space="preserve">1  </w:t>
      </w:r>
      <w:r w:rsidRPr="00272E0C">
        <w:rPr>
          <w:rFonts w:ascii="宋体" w:cs="Arial" w:hAnsi="宋体" w:hint="eastAsia"/>
          <w:color w:val="000000"/>
          <w:kern w:val="0"/>
          <w:sz w:val="24"/>
          <w:szCs w:val="24"/>
        </w:rPr>
        <w:t>重要提示</w:t>
      </w:r>
    </w:p>
    <w:p>
      <w:pPr>
        <w:spacing w:line="360"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rPr>
      </w:pPr>
      <w:r>
        <w:rPr>
          <w:color w:val="000000"/>
          <w:sz w:val="24"/>
        </w:rPr>
        <w:t xml:space="preserve">基金托管人中国建设银行股份有限公司根据本基金合同规定，于2020年10月26日复核了本报告中的财务指标、净值表现和投资组合报告等内容，保证复核内容不存在虚假记载、误导性陈述或者重大遗漏。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line="360"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rPr>
      </w:pPr>
      <w:r>
        <w:rPr>
          <w:color w:val="000000"/>
          <w:sz w:val="24"/>
        </w:rPr>
        <w:t>本报告中财务资料未经审计。</w:t>
      </w:r>
    </w:p>
    <w:p w:rsidP="00CC0C03" w:rsidR="001C36D8" w:rsidRDefault="001C36D8" w:rsidRPr="00CC0C03">
      <w:pPr>
        <w:spacing w:line="360" w:lineRule="auto"/>
        <w:ind w:firstLine="480" w:firstLineChars="200"/>
        <w:rPr>
          <w:color w:val="000000"/>
          <w:sz w:val="24"/>
        </w:rPr>
      </w:pPr>
      <w:r w:rsidRPr="00CC0C03">
        <w:rPr>
          <w:color w:val="000000"/>
          <w:sz w:val="24"/>
        </w:rPr>
        <w:t/>
      </w:r>
      <w:proofErr w:type="spellStart"/>
      <w:r w:rsidRPr="00CC0C03">
        <w:rPr>
          <w:color w:val="000000"/>
          <w:sz w:val="24"/>
        </w:rPr>
        <w:t/>
      </w:r>
      <w:proofErr w:type="spellEnd"/>
      <w:r w:rsidRPr="00CC0C03">
        <w:rPr>
          <w:color w:val="000000"/>
          <w:sz w:val="24"/>
        </w:rPr>
        <w:t>本报告期自2020年7月1日起至9月30日止。</w:t>
      </w:r>
    </w:p>
    <w:p w:rsidP="005C6DF3" w:rsidR="001C36D8" w:rsidRDefault="001C36D8" w:rsidRPr="00272E0C">
      <w:pPr>
        <w:pStyle w:val="1"/>
        <w:spacing w:after="312" w:afterLines="100" w:before="312" w:beforeLines="100" w:line="360" w:lineRule="auto"/>
        <w:jc w:val="center"/>
        <w:rPr>
          <w:rFonts w:ascii="宋体" w:cs="Arial"/>
          <w:color w:val="000000"/>
          <w:kern w:val="0"/>
          <w:sz w:val="24"/>
          <w:szCs w:val="24"/>
        </w:rPr>
      </w:pPr>
      <w:r w:rsidRPr="00272E0C">
        <w:rPr>
          <w:rFonts w:ascii="宋体" w:cs="Arial" w:hAnsi="宋体" w:hint="eastAsia"/>
          <w:color w:val="000000"/>
          <w:kern w:val="0"/>
          <w:sz w:val="24"/>
          <w:szCs w:val="24"/>
        </w:rPr>
        <w:t>§</w:t>
      </w:r>
      <w:r w:rsidRPr="00272E0C">
        <w:rPr>
          <w:rFonts w:ascii="宋体" w:cs="Arial" w:hAnsi="宋体"/>
          <w:color w:val="000000"/>
          <w:kern w:val="0"/>
          <w:sz w:val="24"/>
          <w:szCs w:val="24"/>
        </w:rPr>
        <w:t xml:space="preserve">2  </w:t>
      </w:r>
      <w:r w:rsidRPr="00272E0C">
        <w:rPr>
          <w:rFonts w:ascii="宋体" w:cs="Arial"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1826"/>
        <w:gridCol w:w="1826"/>
        <w:gridCol w:w="1827"/>
      </w:tblGrid>
      <w:tr w:rsidR="001C36D8" w:rsidRPr="00272E0C" w:rsidTr="007A6BEA">
        <w:tc>
          <w:tcPr>
            <w:tcW w:type="dxa" w:w="2835"/>
          </w:tcPr>
          <w:p w:rsidP="007A6BEA" w:rsidR="001C36D8" w:rsidRDefault="001C36D8" w:rsidRPr="004C6E88">
            <w:pPr>
              <w:adjustRightInd w:val="0"/>
              <w:spacing w:before="29" w:line="360" w:lineRule="auto"/>
              <w:ind w:left="17"/>
              <w:jc w:val="left"/>
              <w:rPr>
                <w:rFonts w:eastAsiaTheme="minorEastAsia"/>
                <w:kern w:val="0"/>
                <w:sz w:val="24"/>
              </w:rPr>
            </w:pPr>
            <w:r w:rsidRPr="004C6E88">
              <w:rPr>
                <w:rFonts w:eastAsiaTheme="minorEastAsia"/>
                <w:kern w:val="0"/>
                <w:sz w:val="24"/>
              </w:rPr>
              <w:t>基金简称</w:t>
            </w:r>
          </w:p>
        </w:tc>
        <w:tc>
          <w:tcPr>
            <w:tcW w:type="dxa" w:w="5479"/>
            <w:gridSpan w:val="3"/>
          </w:tcPr>
          <w:p w:rsidP="007A6BEA" w:rsidR="001C36D8" w:rsidRDefault="001C36D8" w:rsidRPr="004C6E88">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易方达证券公司分级</w:t>
            </w:r>
          </w:p>
        </w:tc>
      </w:tr>
      <w:tr w:rsidR="001C36D8" w:rsidRPr="00272E0C" w:rsidTr="002A44F9">
        <w:tc>
          <w:tcPr>
            <w:tcW w:type="dxa" w:w="2835"/>
          </w:tcPr>
          <w:p w:rsidR="001C36D8" w:rsidRDefault="001C36D8" w:rsidRPr="004C6E88">
            <w:pPr>
              <w:adjustRightInd w:val="0"/>
              <w:spacing w:before="29" w:line="360" w:lineRule="auto"/>
              <w:ind w:left="17"/>
              <w:jc w:val="left"/>
              <w:rPr>
                <w:rFonts w:eastAsiaTheme="minorEastAsia"/>
                <w:kern w:val="0"/>
                <w:sz w:val="24"/>
              </w:rPr>
            </w:pPr>
            <w:r w:rsidRPr="004C6E88">
              <w:rPr>
                <w:rFonts w:eastAsiaTheme="minorEastAsia"/>
                <w:kern w:val="0"/>
                <w:sz w:val="24"/>
              </w:rPr>
              <w:t>基金主代码</w:t>
            </w:r>
          </w:p>
        </w:tc>
        <w:tc>
          <w:tcPr>
            <w:tcW w:type="dxa" w:w="5479"/>
            <w:gridSpan w:val="3"/>
          </w:tcPr>
          <w:p w:rsidR="001C36D8" w:rsidRDefault="001C36D8" w:rsidRPr="004C6E88">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502010</w:t>
            </w:r>
          </w:p>
        </w:tc>
      </w:tr>
      <w:tr w:rsidR="003A768B" w:rsidRPr="00272E0C" w:rsidTr="002A44F9">
        <w:tc>
          <w:tcPr>
            <w:tcW w:type="dxa" w:w="2835"/>
          </w:tcPr>
          <w:p w:rsidP="00E43B0B" w:rsidR="003A768B" w:rsidRDefault="003A768B" w:rsidRPr="004C6E88">
            <w:pPr>
              <w:adjustRightInd w:val="0"/>
              <w:spacing w:before="29" w:line="360" w:lineRule="auto"/>
              <w:ind w:left="17"/>
              <w:jc w:val="left"/>
              <w:rPr>
                <w:rFonts w:eastAsiaTheme="minorEastAsia"/>
                <w:kern w:val="0"/>
                <w:sz w:val="24"/>
              </w:rPr>
            </w:pPr>
            <w:r w:rsidRPr="004C6E88">
              <w:rPr>
                <w:rFonts w:eastAsiaTheme="minorEastAsia"/>
                <w:kern w:val="0"/>
                <w:sz w:val="24"/>
              </w:rPr>
              <w:t>交易代码</w:t>
            </w:r>
          </w:p>
        </w:tc>
        <w:tc>
          <w:tcPr>
            <w:tcW w:type="dxa" w:w="5479"/>
            <w:gridSpan w:val="3"/>
          </w:tcPr>
          <w:p w:rsidP="00E43B0B" w:rsidR="003A768B" w:rsidRDefault="003A768B" w:rsidRPr="004C6E88">
            <w:pPr>
              <w:adjustRightInd w:val="0"/>
              <w:spacing w:before="29" w:line="360" w:lineRule="auto"/>
              <w:ind w:left="17"/>
              <w:jc w:val="left"/>
              <w:rPr>
                <w:rFonts w:eastAsiaTheme="minorEastAsia"/>
                <w:color w:val="000000"/>
                <w:kern w:val="0"/>
                <w:sz w:val="24"/>
              </w:rPr>
            </w:pPr>
            <w:r w:rsidRPr="004C6E88">
              <w:rPr>
                <w:rFonts w:eastAsiaTheme="minorEastAsia"/>
                <w:kern w:val="0"/>
                <w:sz w:val="24"/>
              </w:rPr>
              <w:t/>
            </w:r>
            <w:proofErr w:type="spellStart"/>
            <w:r w:rsidRPr="004C6E88">
              <w:rPr>
                <w:rFonts w:eastAsiaTheme="minorEastAsia"/>
                <w:kern w:val="0"/>
                <w:sz w:val="24"/>
              </w:rPr>
              <w:t/>
            </w:r>
            <w:proofErr w:type="spellEnd"/>
            <w:r w:rsidRPr="004C6E88">
              <w:rPr>
                <w:rFonts w:eastAsiaTheme="minorEastAsia"/>
                <w:kern w:val="0"/>
                <w:sz w:val="24"/>
              </w:rPr>
              <w:t/>
            </w:r>
            <w:proofErr w:type="spellStart"/>
            <w:r w:rsidRPr="004C6E88">
              <w:rPr>
                <w:rFonts w:eastAsiaTheme="minorEastAsia"/>
                <w:kern w:val="0"/>
                <w:sz w:val="24"/>
              </w:rPr>
              <w:t/>
            </w:r>
            <w:proofErr w:type="spellEnd"/>
            <w:r w:rsidRPr="004C6E88">
              <w:rPr>
                <w:rFonts w:eastAsiaTheme="minorEastAsia"/>
                <w:kern w:val="0"/>
                <w:sz w:val="24"/>
              </w:rPr>
              <w:t/>
            </w:r>
            <w:proofErr w:type="spellStart"/>
            <w:r w:rsidRPr="004C6E88">
              <w:rPr>
                <w:rFonts w:eastAsiaTheme="minorEastAsia"/>
                <w:kern w:val="0"/>
                <w:sz w:val="24"/>
              </w:rPr>
              <w:t/>
            </w:r>
            <w:proofErr w:type="spellEnd"/>
            <w:r w:rsidRPr="004C6E88">
              <w:rPr>
                <w:rFonts w:eastAsiaTheme="minorEastAsia"/>
                <w:kern w:val="0"/>
                <w:sz w:val="24"/>
              </w:rPr>
              <w:t>502010</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基金运作方式</w:t>
            </w:r>
          </w:p>
        </w:tc>
        <w:tc>
          <w:tcPr>
            <w:tcW w:type="dxa" w:w="5479"/>
            <w:gridSpan w:val="3"/>
          </w:tcPr>
          <w:p w:rsidP="007A6BE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契约型开放式、分级基金</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基金合同生效日</w:t>
            </w:r>
          </w:p>
        </w:tc>
        <w:tc>
          <w:tcPr>
            <w:tcW w:type="dxa" w:w="5479"/>
            <w:gridSpan w:val="3"/>
          </w:tcPr>
          <w:p w:rsidP="007A6BEA" w:rsidR="003A768B" w:rsidRDefault="003A768B" w:rsidRPr="004C6E88">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2015年7月8日</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报告期末基金份额总额</w:t>
            </w:r>
          </w:p>
        </w:tc>
        <w:tc>
          <w:tcPr>
            <w:tcW w:type="dxa" w:w="5479"/>
            <w:gridSpan w:val="3"/>
          </w:tcPr>
          <w:p w:rsidP="007A6BE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637,514,859.77</w:t>
            </w:r>
            <w:r w:rsidRPr="004C6E88">
              <w:rPr>
                <w:rFonts w:eastAsiaTheme="minorEastAsia"/>
                <w:color w:val="000000"/>
                <w:kern w:val="0"/>
                <w:sz w:val="24"/>
              </w:rPr>
              <w:t>份</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投资目标</w:t>
            </w:r>
          </w:p>
        </w:tc>
        <w:tc>
          <w:tcPr>
            <w:tcW w:type="dxa" w:w="5479"/>
            <w:gridSpan w:val="3"/>
          </w:tcPr>
          <w:p w:rsidP="007A6BE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紧密追踪业绩比较基准，追求跟踪偏离度与跟踪误差的最小化。</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投资策略</w:t>
            </w:r>
          </w:p>
        </w:tc>
        <w:tc>
          <w:tcPr>
            <w:tcW w:type="dxa" w:w="5479"/>
            <w:gridSpan w:val="3"/>
          </w:tcPr>
          <w:p w:rsidP="007A6BE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本基金主要采取完全复制法进行投资，即完全按照标的指数的成份股组成及权重构建基金投资组合，并根据标的指数成份股及其权重的变动进行相应调整，以达到紧密跟踪标的指数的目的。本基金力争将年化跟踪误差控制在4%以内，日跟踪偏离度绝对值的平均值控制在0.35%以内。</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业绩比较基准</w:t>
            </w:r>
          </w:p>
        </w:tc>
        <w:tc>
          <w:tcPr>
            <w:tcW w:type="dxa" w:w="5479"/>
            <w:gridSpan w:val="3"/>
          </w:tcPr>
          <w:p w:rsidP="00CD0AAD"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95%×中证全指证券公司指数收益率＋5%×同期银行活期存款利率（税后）</w:t>
            </w:r>
          </w:p>
        </w:tc>
      </w:tr>
      <w:tr w:rsidR="003A768B" w:rsidRPr="00272E0C" w:rsidTr="00A008DA">
        <w:tc>
          <w:tcPr>
            <w:tcW w:type="dxa" w:w="2835"/>
          </w:tcPr>
          <w:p w:rsidP="00A008D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风险收益特征</w:t>
            </w:r>
          </w:p>
        </w:tc>
        <w:tc>
          <w:tcPr>
            <w:tcW w:type="dxa" w:w="5479"/>
            <w:gridSpan w:val="3"/>
          </w:tcPr>
          <w:p w:rsidP="00A008D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本基金为股票型基金，主要采用完全复制策略跟踪标的指数的表现，其风险收益特征与标的指数相似。长期而言，其风险收益水平高于混合型基金、债券型基金和货币市场基金；A类份额具有预期风险、收益较低的特征；B类份额具有预期风险、收益较高的特征。</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基金管理人</w:t>
            </w:r>
          </w:p>
        </w:tc>
        <w:tc>
          <w:tcPr>
            <w:tcW w:type="dxa" w:w="5479"/>
            <w:gridSpan w:val="3"/>
          </w:tcPr>
          <w:p w:rsidP="007A6BE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易方达基金管理有限公司</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基金托管人</w:t>
            </w:r>
          </w:p>
        </w:tc>
        <w:tc>
          <w:tcPr>
            <w:tcW w:type="dxa" w:w="5479"/>
            <w:gridSpan w:val="3"/>
          </w:tcPr>
          <w:p w:rsidP="007A6BE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中国建设银行股份有限公司</w:t>
            </w:r>
          </w:p>
        </w:tc>
      </w:tr>
      <w:tr w:rsidR="003A768B" w:rsidRPr="00272E0C" w:rsidTr="00EB3E72">
        <w:tc>
          <w:tcPr>
            <w:tcW w:type="dxa" w:w="2835"/>
          </w:tcPr>
          <w:p w:rsidP="004C6E88" w:rsidR="003A768B" w:rsidRDefault="003A768B" w:rsidRPr="004C6E88">
            <w:pPr>
              <w:adjustRightInd w:val="0"/>
              <w:spacing w:before="29" w:line="360" w:lineRule="auto"/>
              <w:ind w:left="17"/>
              <w:jc w:val="left"/>
              <w:rPr>
                <w:rFonts w:eastAsiaTheme="minorEastAsia"/>
                <w:kern w:val="0"/>
                <w:sz w:val="24"/>
              </w:rPr>
            </w:pPr>
            <w:r w:rsidRPr="004C6E88">
              <w:rPr>
                <w:rFonts w:eastAsiaTheme="minorEastAsia"/>
                <w:color w:val="000000"/>
                <w:sz w:val="24"/>
              </w:rPr>
              <w:t>下属</w:t>
            </w:r>
            <w:r w:rsidR="004C6E88" w:rsidRPr="004C6E88">
              <w:rPr>
                <w:rFonts w:eastAsiaTheme="minorEastAsia"/>
                <w:color w:val="000000"/>
                <w:sz w:val="24"/>
              </w:rPr>
              <w:t>分</w:t>
            </w:r>
            <w:r w:rsidRPr="004C6E88">
              <w:rPr>
                <w:rFonts w:eastAsiaTheme="minorEastAsia"/>
                <w:color w:val="000000"/>
                <w:sz w:val="24"/>
              </w:rPr>
              <w:t>级基金的基金简称</w:t>
            </w:r>
          </w:p>
        </w:tc>
        <w:tc>
          <w:tcPr>
            <w:tcW w:type="dxa" w:w="1826"/>
            <w:vAlign w:val="center"/>
          </w:tcPr>
          <w:p w:rsidP="007A6BEA"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sz w:val="24"/>
              </w:rPr>
              <w:t/>
            </w:r>
            <w:proofErr w:type="spellEnd"/>
            <w:r w:rsidRPr="004C6E88">
              <w:rPr>
                <w:rFonts w:eastAsiaTheme="minorEastAsia"/>
                <w:sz w:val="24"/>
              </w:rPr>
              <w:t>易方达证券公司分级</w:t>
            </w:r>
          </w:p>
        </w:tc>
        <w:tc>
          <w:tcPr>
            <w:tcW w:type="dxa" w:w="1826"/>
            <w:vAlign w:val="center"/>
          </w:tcPr>
          <w:p w:rsidP="007A6BEA"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sz w:val="24"/>
              </w:rPr>
              <w:t/>
            </w:r>
            <w:proofErr w:type="spellEnd"/>
            <w:r w:rsidRPr="004C6E88">
              <w:rPr>
                <w:rFonts w:eastAsiaTheme="minorEastAsia"/>
                <w:sz w:val="24"/>
              </w:rPr>
              <w:t>易方达证券公司分级A</w:t>
            </w:r>
          </w:p>
        </w:tc>
        <w:tc>
          <w:tcPr>
            <w:tcW w:type="dxa" w:w="1827"/>
            <w:vAlign w:val="center"/>
          </w:tcPr>
          <w:p w:rsidP="007A6BEA"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sz w:val="24"/>
              </w:rPr>
              <w:t/>
            </w:r>
            <w:proofErr w:type="spellEnd"/>
            <w:r w:rsidRPr="004C6E88">
              <w:rPr>
                <w:rFonts w:eastAsiaTheme="minorEastAsia"/>
                <w:sz w:val="24"/>
              </w:rPr>
              <w:t/>
            </w:r>
            <w:r w:rsidRPr="004C6E88">
              <w:rPr>
                <w:rFonts w:eastAsiaTheme="minorEastAsia"/>
                <w:color w:val="000000"/>
                <w:kern w:val="0"/>
                <w:sz w:val="24"/>
              </w:rPr>
              <w:t/>
            </w:r>
            <w:r w:rsidRPr="004C6E88">
              <w:rPr>
                <w:rFonts w:eastAsiaTheme="minorEastAsia"/>
                <w:sz w:val="24"/>
              </w:rPr>
              <w:t>易方达证券公司分级B</w:t>
            </w:r>
          </w:p>
        </w:tc>
      </w:tr>
      <w:tr w:rsidR="002C2DE0" w:rsidRPr="00272E0C" w:rsidTr="00EB3E72">
        <w:tc>
          <w:tcPr>
            <w:tcW w:type="dxa" w:w="2835"/>
          </w:tcPr>
          <w:p w:rsidP="004C6E88" w:rsidR="002C2DE0" w:rsidRDefault="002C2DE0" w:rsidRPr="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下属</w:t>
            </w:r>
            <w:r w:rsidR="004C6E88" w:rsidRPr="004C6E88">
              <w:rPr>
                <w:rFonts w:eastAsiaTheme="minorEastAsia"/>
                <w:color w:val="000000"/>
                <w:sz w:val="24"/>
              </w:rPr>
              <w:t>分</w:t>
            </w:r>
            <w:r w:rsidR="003168E2">
              <w:rPr>
                <w:rFonts w:eastAsiaTheme="minorEastAsia"/>
                <w:color w:val="000000"/>
                <w:sz w:val="24"/>
              </w:rPr>
              <w:t>级基金</w:t>
            </w:r>
            <w:r w:rsidRPr="004C6E88">
              <w:rPr>
                <w:rFonts w:eastAsiaTheme="minorEastAsia"/>
                <w:color w:val="000000"/>
                <w:sz w:val="24"/>
              </w:rPr>
              <w:t>场内简称</w:t>
            </w:r>
          </w:p>
        </w:tc>
        <w:tc>
          <w:tcPr>
            <w:tcW w:type="dxa" w:w="1826"/>
            <w:vAlign w:val="center"/>
          </w:tcPr>
          <w:p w:rsidP="00E43B0B" w:rsidR="002C2DE0" w:rsidRDefault="002C2DE0" w:rsidRPr="004C6E88">
            <w:pPr>
              <w:rPr>
                <w:rFonts w:eastAsiaTheme="minorEastAsia"/>
                <w:color w:val="000000"/>
                <w:kern w:val="0"/>
                <w:sz w:val="24"/>
              </w:rPr>
            </w:pPr>
            <w:r w:rsidRPr="004C6E88">
              <w:rPr>
                <w:rFonts w:eastAsiaTheme="minorEastAsia"/>
                <w:sz w:val="24"/>
              </w:rPr>
              <w:t/>
            </w:r>
            <w:proofErr w:type="spellStart"/>
            <w:r w:rsidRPr="004C6E88">
              <w:rPr>
                <w:rFonts w:eastAsiaTheme="minorEastAsia"/>
                <w:sz w:val="24"/>
              </w:rPr>
              <w:t/>
            </w:r>
            <w:proofErr w:type="spellEnd"/>
            <w:r w:rsidRPr="004C6E88">
              <w:rPr>
                <w:rFonts w:eastAsiaTheme="minorEastAsia"/>
                <w:sz w:val="24"/>
              </w:rPr>
              <w:t/>
            </w:r>
            <w:proofErr w:type="spellStart"/>
            <w:r w:rsidRPr="004C6E88">
              <w:rPr>
                <w:rFonts w:eastAsiaTheme="minorEastAsia"/>
                <w:sz w:val="24"/>
              </w:rPr>
              <w:t/>
            </w:r>
            <w:proofErr w:type="spellEnd"/>
            <w:r w:rsidRPr="004C6E88">
              <w:rPr>
                <w:rFonts w:eastAsiaTheme="minorEastAsia"/>
                <w:sz w:val="24"/>
              </w:rPr>
              <w:t>证券分级</w:t>
            </w:r>
          </w:p>
        </w:tc>
        <w:tc>
          <w:tcPr>
            <w:tcW w:type="dxa" w:w="1826"/>
            <w:vAlign w:val="center"/>
          </w:tcPr>
          <w:p w:rsidP="00E43B0B" w:rsidR="002C2DE0" w:rsidRDefault="002C2DE0" w:rsidRPr="004C6E88">
            <w:pPr>
              <w:rPr>
                <w:rFonts w:eastAsiaTheme="minorEastAsia"/>
                <w:color w:val="000000"/>
                <w:kern w:val="0"/>
                <w:sz w:val="24"/>
              </w:rPr>
            </w:pPr>
            <w:r w:rsidRPr="004C6E88">
              <w:rPr>
                <w:rFonts w:eastAsiaTheme="minorEastAsia"/>
                <w:sz w:val="24"/>
              </w:rPr>
              <w:t/>
            </w:r>
            <w:proofErr w:type="spellStart"/>
            <w:r w:rsidRPr="004C6E88">
              <w:rPr>
                <w:rFonts w:eastAsiaTheme="minorEastAsia"/>
                <w:sz w:val="24"/>
              </w:rPr>
              <w:t/>
            </w:r>
            <w:proofErr w:type="spellEnd"/>
            <w:r w:rsidRPr="004C6E88">
              <w:rPr>
                <w:rFonts w:eastAsiaTheme="minorEastAsia"/>
                <w:sz w:val="24"/>
              </w:rPr>
              <w:t/>
            </w:r>
            <w:proofErr w:type="spellStart"/>
            <w:r w:rsidRPr="004C6E88">
              <w:rPr>
                <w:rFonts w:eastAsiaTheme="minorEastAsia"/>
                <w:sz w:val="24"/>
              </w:rPr>
              <w:t/>
            </w:r>
            <w:proofErr w:type="spellEnd"/>
            <w:r w:rsidRPr="004C6E88">
              <w:rPr>
                <w:rFonts w:eastAsiaTheme="minorEastAsia"/>
                <w:sz w:val="24"/>
              </w:rPr>
              <w:t>证券A</w:t>
            </w:r>
          </w:p>
        </w:tc>
        <w:tc>
          <w:tcPr>
            <w:tcW w:type="dxa" w:w="1827"/>
            <w:vAlign w:val="center"/>
          </w:tcPr>
          <w:p w:rsidP="00E43B0B" w:rsidR="002C2DE0" w:rsidRDefault="002C2DE0" w:rsidRPr="004C6E88">
            <w:pPr>
              <w:rPr>
                <w:rFonts w:eastAsiaTheme="minorEastAsia"/>
                <w:color w:val="000000"/>
                <w:kern w:val="0"/>
                <w:sz w:val="24"/>
              </w:rPr>
            </w:pPr>
            <w:r w:rsidRPr="004C6E88">
              <w:rPr>
                <w:rFonts w:eastAsiaTheme="minorEastAsia"/>
                <w:sz w:val="24"/>
              </w:rPr>
              <w:t/>
            </w:r>
            <w:proofErr w:type="spellStart"/>
            <w:r w:rsidRPr="004C6E88">
              <w:rPr>
                <w:rFonts w:eastAsiaTheme="minorEastAsia"/>
                <w:sz w:val="24"/>
              </w:rPr>
              <w:t/>
            </w:r>
            <w:proofErr w:type="spellEnd"/>
            <w:r w:rsidRPr="004C6E88">
              <w:rPr>
                <w:rFonts w:eastAsiaTheme="minorEastAsia"/>
                <w:sz w:val="24"/>
              </w:rPr>
              <w:t/>
            </w:r>
            <w:proofErr w:type="spellStart"/>
            <w:r w:rsidRPr="004C6E88">
              <w:rPr>
                <w:rFonts w:eastAsiaTheme="minorEastAsia"/>
                <w:sz w:val="24"/>
              </w:rPr>
              <w:t/>
            </w:r>
            <w:proofErr w:type="spellEnd"/>
            <w:r w:rsidRPr="004C6E88">
              <w:rPr>
                <w:rFonts w:eastAsiaTheme="minorEastAsia"/>
                <w:sz w:val="24"/>
              </w:rPr>
              <w:t/>
            </w:r>
            <w:r w:rsidRPr="004C6E88">
              <w:rPr>
                <w:rFonts w:eastAsiaTheme="minorEastAsia"/>
                <w:color w:val="000000"/>
                <w:kern w:val="0"/>
                <w:sz w:val="24"/>
              </w:rPr>
              <w:t/>
            </w:r>
            <w:r w:rsidRPr="004C6E88">
              <w:rPr>
                <w:rFonts w:eastAsiaTheme="minorEastAsia"/>
                <w:sz w:val="24"/>
              </w:rPr>
              <w:t>证券B</w:t>
            </w:r>
          </w:p>
        </w:tc>
      </w:tr>
      <w:tr w:rsidR="003A768B" w:rsidRPr="00272E0C" w:rsidTr="00EB3E72">
        <w:tc>
          <w:tcPr>
            <w:tcW w:type="dxa" w:w="2835"/>
          </w:tcPr>
          <w:p w:rsidP="004C6E88"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下属</w:t>
            </w:r>
            <w:r w:rsidR="004C6E88" w:rsidRPr="004C6E88">
              <w:rPr>
                <w:rFonts w:eastAsiaTheme="minorEastAsia"/>
                <w:color w:val="000000"/>
                <w:sz w:val="24"/>
              </w:rPr>
              <w:t>分</w:t>
            </w:r>
            <w:r w:rsidRPr="004C6E88">
              <w:rPr>
                <w:rFonts w:eastAsiaTheme="minorEastAsia"/>
                <w:color w:val="000000"/>
                <w:sz w:val="24"/>
              </w:rPr>
              <w:t>级基金的交易代码</w:t>
            </w:r>
          </w:p>
        </w:tc>
        <w:tc>
          <w:tcPr>
            <w:tcW w:type="dxa" w:w="1826"/>
            <w:vAlign w:val="center"/>
          </w:tcPr>
          <w:p w:rsidP="007A6BEA"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sz w:val="24"/>
              </w:rPr>
              <w:t/>
            </w:r>
            <w:proofErr w:type="spellEnd"/>
            <w:r w:rsidRPr="004C6E88">
              <w:rPr>
                <w:rFonts w:eastAsiaTheme="minorEastAsia"/>
                <w:sz w:val="24"/>
              </w:rPr>
              <w:t>502010</w:t>
            </w:r>
          </w:p>
        </w:tc>
        <w:tc>
          <w:tcPr>
            <w:tcW w:type="dxa" w:w="1826"/>
            <w:vAlign w:val="center"/>
          </w:tcPr>
          <w:p w:rsidP="007A6BEA"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sz w:val="24"/>
              </w:rPr>
              <w:t/>
            </w:r>
            <w:proofErr w:type="spellEnd"/>
            <w:r w:rsidRPr="004C6E88">
              <w:rPr>
                <w:rFonts w:eastAsiaTheme="minorEastAsia"/>
                <w:sz w:val="24"/>
              </w:rPr>
              <w:t>502011</w:t>
            </w:r>
          </w:p>
        </w:tc>
        <w:tc>
          <w:tcPr>
            <w:tcW w:type="dxa" w:w="1827"/>
            <w:vAlign w:val="center"/>
          </w:tcPr>
          <w:p w:rsidP="007A6BEA"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sz w:val="24"/>
              </w:rPr>
              <w:t/>
            </w:r>
            <w:proofErr w:type="spellEnd"/>
            <w:r w:rsidRPr="004C6E88">
              <w:rPr>
                <w:rFonts w:eastAsiaTheme="minorEastAsia"/>
                <w:sz w:val="24"/>
              </w:rPr>
              <w:t/>
            </w:r>
            <w:r w:rsidRPr="004C6E88">
              <w:rPr>
                <w:rFonts w:eastAsiaTheme="minorEastAsia"/>
                <w:color w:val="000000"/>
                <w:kern w:val="0"/>
                <w:sz w:val="24"/>
              </w:rPr>
              <w:t/>
            </w:r>
            <w:r w:rsidRPr="004C6E88">
              <w:rPr>
                <w:rFonts w:eastAsiaTheme="minorEastAsia"/>
                <w:sz w:val="24"/>
              </w:rPr>
              <w:t>502012</w:t>
            </w:r>
          </w:p>
        </w:tc>
      </w:tr>
      <w:tr w:rsidR="003A768B" w:rsidRPr="00272E0C" w:rsidTr="00EB3E72">
        <w:tc>
          <w:tcPr>
            <w:tcW w:type="dxa" w:w="2835"/>
          </w:tcPr>
          <w:p w:rsidP="004C6E88"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lastRenderedPageBreak/>
              <w:t>报告期末下属</w:t>
            </w:r>
            <w:r w:rsidR="004C6E88" w:rsidRPr="004C6E88">
              <w:rPr>
                <w:rFonts w:eastAsiaTheme="minorEastAsia"/>
                <w:color w:val="000000"/>
                <w:sz w:val="24"/>
              </w:rPr>
              <w:t>分</w:t>
            </w:r>
            <w:r w:rsidRPr="004C6E88">
              <w:rPr>
                <w:rFonts w:eastAsiaTheme="minorEastAsia"/>
                <w:color w:val="000000"/>
                <w:sz w:val="24"/>
              </w:rPr>
              <w:t>级基金的份额总额</w:t>
            </w:r>
          </w:p>
        </w:tc>
        <w:tc>
          <w:tcPr>
            <w:tcW w:type="dxa" w:w="1826"/>
            <w:vAlign w:val="center"/>
          </w:tcPr>
          <w:p w:rsidP="00057DD3"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
            </w:r>
            <w:r w:rsidRPr="004C6E88">
              <w:rPr>
                <w:rFonts w:eastAsiaTheme="minorEastAsia"/>
                <w:sz w:val="24"/>
              </w:rPr>
              <w:t>438,819,925.77</w:t>
            </w:r>
            <w:r w:rsidRPr="004C6E88">
              <w:rPr>
                <w:rFonts w:eastAsiaTheme="minorEastAsia"/>
                <w:color w:val="000000"/>
                <w:kern w:val="0"/>
                <w:sz w:val="24"/>
              </w:rPr>
              <w:t>份</w:t>
            </w:r>
          </w:p>
        </w:tc>
        <w:tc>
          <w:tcPr>
            <w:tcW w:type="dxa" w:w="1826"/>
            <w:vAlign w:val="center"/>
          </w:tcPr>
          <w:p w:rsidP="00057DD3"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sz w:val="24"/>
              </w:rPr>
              <w:t>99,347,467.00</w:t>
            </w:r>
            <w:r w:rsidRPr="004C6E88">
              <w:rPr>
                <w:rFonts w:eastAsiaTheme="minorEastAsia"/>
                <w:color w:val="000000"/>
                <w:kern w:val="0"/>
                <w:sz w:val="24"/>
              </w:rPr>
              <w:t>份</w:t>
            </w:r>
          </w:p>
        </w:tc>
        <w:tc>
          <w:tcPr>
            <w:tcW w:type="dxa" w:w="1827"/>
            <w:vAlign w:val="center"/>
          </w:tcPr>
          <w:p w:rsidP="00057DD3"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sz w:val="24"/>
              </w:rPr>
              <w:t/>
            </w:r>
            <w:r w:rsidRPr="004C6E88">
              <w:rPr>
                <w:rFonts w:eastAsiaTheme="minorEastAsia"/>
                <w:color w:val="000000"/>
                <w:kern w:val="0"/>
                <w:sz w:val="24"/>
              </w:rPr>
              <w:t/>
            </w:r>
            <w:r w:rsidRPr="004C6E88">
              <w:rPr>
                <w:rFonts w:eastAsiaTheme="minorEastAsia"/>
                <w:sz w:val="24"/>
              </w:rPr>
              <w:t>99,347,467.00</w:t>
            </w:r>
            <w:r w:rsidRPr="004C6E88">
              <w:rPr>
                <w:rFonts w:eastAsiaTheme="minorEastAsia"/>
                <w:color w:val="000000"/>
                <w:kern w:val="0"/>
                <w:sz w:val="24"/>
              </w:rPr>
              <w:t>份</w:t>
            </w:r>
          </w:p>
        </w:tc>
      </w:tr>
      <w:tr w:rsidR="003A768B" w:rsidRPr="00272E0C" w:rsidTr="00EB3E72">
        <w:tc>
          <w:tcPr>
            <w:tcW w:type="dxa" w:w="2835"/>
          </w:tcPr>
          <w:p w:rsidP="004C6E88" w:rsidR="003A768B" w:rsidRDefault="003A768B" w:rsidRPr="004C6E88">
            <w:pPr>
              <w:adjustRightInd w:val="0"/>
              <w:spacing w:before="29" w:line="360" w:lineRule="auto"/>
              <w:ind w:left="17"/>
              <w:jc w:val="left"/>
              <w:rPr>
                <w:rFonts w:eastAsiaTheme="minorEastAsia"/>
                <w:sz w:val="24"/>
              </w:rPr>
            </w:pPr>
            <w:r w:rsidRPr="004C6E88">
              <w:rPr>
                <w:rFonts w:eastAsiaTheme="minorEastAsia"/>
                <w:color w:val="000000"/>
                <w:kern w:val="0"/>
                <w:sz w:val="24"/>
              </w:rPr>
              <w:t>下属</w:t>
            </w:r>
            <w:r w:rsidR="004C6E88" w:rsidRPr="004C6E88">
              <w:rPr>
                <w:rFonts w:eastAsiaTheme="minorEastAsia"/>
                <w:color w:val="000000"/>
                <w:kern w:val="0"/>
                <w:sz w:val="24"/>
              </w:rPr>
              <w:t>分</w:t>
            </w:r>
            <w:r w:rsidRPr="004C6E88">
              <w:rPr>
                <w:rFonts w:eastAsiaTheme="minorEastAsia"/>
                <w:color w:val="000000"/>
                <w:kern w:val="0"/>
                <w:sz w:val="24"/>
              </w:rPr>
              <w:t>级基金的</w:t>
            </w:r>
            <w:r w:rsidRPr="004C6E88">
              <w:rPr>
                <w:rFonts w:eastAsiaTheme="minorEastAsia"/>
                <w:kern w:val="0"/>
                <w:sz w:val="24"/>
              </w:rPr>
              <w:t>风险收益特征</w:t>
            </w:r>
          </w:p>
        </w:tc>
        <w:tc>
          <w:tcPr>
            <w:tcW w:type="dxa" w:w="1826"/>
          </w:tcPr>
          <w:p w:rsidP="00A008D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基础份额为股票型基金，其风险收益水平高于混合型基金、债券型基金和货币市场基金。</w:t>
            </w:r>
          </w:p>
        </w:tc>
        <w:tc>
          <w:tcPr>
            <w:tcW w:type="dxa" w:w="1826"/>
          </w:tcPr>
          <w:p w:rsidP="00A008D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与基础份额相比，A类份额的预期收益和预期风险低于基础份额。</w:t>
            </w:r>
          </w:p>
        </w:tc>
        <w:tc>
          <w:tcPr>
            <w:tcW w:type="dxa" w:w="1827"/>
          </w:tcPr>
          <w:p w:rsidP="00A008D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与基础份额相比，B类份额的预期收益和预期风险高于基础份额。</w:t>
            </w:r>
          </w:p>
        </w:tc>
      </w:tr>
    </w:tbl>
    <w:p w:rsidP="005C6DF3" w:rsidR="001C36D8" w:rsidRDefault="001C36D8" w:rsidRPr="00272E0C">
      <w:pPr>
        <w:pStyle w:val="1"/>
        <w:spacing w:after="312" w:afterLines="100" w:before="312" w:beforeLines="100" w:line="360" w:lineRule="auto"/>
        <w:jc w:val="center"/>
        <w:rPr>
          <w:rFonts w:ascii="宋体" w:cs="Arial"/>
          <w:color w:val="000000"/>
          <w:kern w:val="0"/>
          <w:sz w:val="24"/>
          <w:szCs w:val="24"/>
        </w:rPr>
      </w:pPr>
      <w:r w:rsidRPr="00272E0C">
        <w:rPr>
          <w:rFonts w:ascii="宋体" w:cs="Arial" w:hAnsi="宋体" w:hint="eastAsia"/>
          <w:color w:val="000000"/>
          <w:kern w:val="0"/>
          <w:sz w:val="24"/>
          <w:szCs w:val="24"/>
        </w:rPr>
        <w:t>§</w:t>
      </w:r>
      <w:r w:rsidRPr="00272E0C">
        <w:rPr>
          <w:rFonts w:ascii="宋体" w:cs="Arial" w:hAnsi="宋体"/>
          <w:color w:val="000000"/>
          <w:kern w:val="0"/>
          <w:sz w:val="24"/>
          <w:szCs w:val="24"/>
        </w:rPr>
        <w:t xml:space="preserve">3  </w:t>
      </w:r>
      <w:r w:rsidRPr="00272E0C">
        <w:rPr>
          <w:rFonts w:ascii="宋体" w:cs="Arial" w:hAnsi="宋体" w:hint="eastAsia"/>
          <w:color w:val="000000"/>
          <w:kern w:val="0"/>
          <w:sz w:val="24"/>
          <w:szCs w:val="24"/>
        </w:rPr>
        <w:t>主要财务指标和基金净值表现</w:t>
      </w:r>
    </w:p>
    <w:p w:rsidP="003A4DA3" w:rsidR="001C36D8" w:rsidRDefault="001C36D8" w:rsidRPr="00272E0C">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 xml:space="preserve">3.1 </w:t>
      </w:r>
      <w:r w:rsidRPr="00272E0C">
        <w:rPr>
          <w:rFonts w:ascii="宋体" w:cs="Arial" w:hAnsi="宋体" w:hint="eastAsia"/>
          <w:b/>
          <w:color w:val="000000"/>
          <w:kern w:val="0"/>
          <w:sz w:val="24"/>
        </w:rPr>
        <w:t>主要财务指标</w:t>
      </w:r>
    </w:p>
    <w:p w:rsidP="0008378B" w:rsidR="0008378B" w:rsidRDefault="0008378B" w:rsidRPr="006506EF">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552"/>
        <w:gridCol w:w="2410"/>
      </w:tblGrid>
      <w:tr w:rsidR="0008378B" w:rsidRPr="006506EF" w:rsidTr="005D3A22">
        <w:tc>
          <w:tcPr>
            <w:tcW w:type="dxa" w:w="3402"/>
            <w:vAlign w:val="center"/>
          </w:tcPr>
          <w:p w:rsidP="005D3A22" w:rsidR="0008378B" w:rsidRDefault="0008378B" w:rsidRPr="006506EF">
            <w:pPr>
              <w:adjustRightInd w:val="0"/>
              <w:spacing w:before="29" w:line="360" w:lineRule="auto"/>
              <w:ind w:left="17"/>
              <w:jc w:val="center"/>
              <w:rPr>
                <w:kern w:val="0"/>
                <w:sz w:val="24"/>
              </w:rPr>
            </w:pPr>
            <w:r w:rsidRPr="006506EF">
              <w:rPr>
                <w:kern w:val="0"/>
                <w:sz w:val="24"/>
              </w:rPr>
              <w:t>主要财务指标</w:t>
            </w:r>
            <w:r w:rsidRPr="006506EF">
              <w:rPr>
                <w:kern w:val="0"/>
                <w:sz w:val="24"/>
              </w:rPr>
              <w:t/>
            </w:r>
            <w:proofErr w:type="spellStart"/>
            <w:r w:rsidRPr="006506EF">
              <w:rPr>
                <w:kern w:val="0"/>
                <w:sz w:val="24"/>
              </w:rPr>
              <w:t/>
            </w:r>
            <w:proofErr w:type="spellEnd"/>
            <w:r w:rsidRPr="006506EF">
              <w:rPr>
                <w:kern w:val="0"/>
                <w:sz w:val="24"/>
              </w:rPr>
              <w:t/>
            </w:r>
          </w:p>
        </w:tc>
        <w:tc>
          <w:tcPr>
            <w:tcW w:type="dxa" w:w="4962"/>
            <w:hMerge w:val="restart"/>
            <w:vAlign w:val="center"/>
          </w:tcPr>
          <w:p w:rsidP="005D3A22" w:rsidR="0008378B" w:rsidRDefault="0008378B" w:rsidRPr="006506EF">
            <w:pPr>
              <w:adjustRightInd w:val="0"/>
              <w:spacing w:before="29" w:line="360" w:lineRule="auto"/>
              <w:ind w:left="17"/>
              <w:jc w:val="center"/>
              <w:rPr>
                <w:color w:val="000000"/>
                <w:sz w:val="24"/>
              </w:rPr>
            </w:pPr>
            <w:r w:rsidRPr="006506EF">
              <w:rPr>
                <w:color w:val="000000"/>
                <w:sz w:val="24"/>
              </w:rPr>
              <w:t>报告期</w:t>
            </w:r>
          </w:p>
          <w:p w:rsidP="005D3A22" w:rsidR="0008378B" w:rsidRDefault="0008378B" w:rsidRPr="006506EF">
            <w:pPr>
              <w:adjustRightInd w:val="0"/>
              <w:spacing w:before="29" w:line="360" w:lineRule="auto"/>
              <w:ind w:left="17"/>
              <w:jc w:val="center"/>
              <w:rPr>
                <w:color w:val="000000"/>
                <w:sz w:val="24"/>
              </w:rPr>
            </w:pPr>
            <w:r w:rsidRPr="006506EF">
              <w:rPr>
                <w:color w:val="000000"/>
                <w:sz w:val="24"/>
              </w:rPr>
              <w:t>(</w:t>
            </w:r>
            <w:proofErr w:type="spellStart"/>
            <w:r w:rsidRPr="006506EF">
              <w:rPr>
                <w:color w:val="000000"/>
                <w:sz w:val="24"/>
              </w:rPr>
              <w:t/>
            </w:r>
            <w:proofErr w:type="spellEnd"/>
            <w:r w:rsidRPr="006506EF">
              <w:rPr>
                <w:color w:val="000000"/>
                <w:sz w:val="24"/>
              </w:rPr>
              <w:t>2020年7月1日-</w:t>
            </w:r>
            <w:proofErr w:type="spellStart"/>
            <w:r w:rsidRPr="006506EF">
              <w:rPr>
                <w:color w:val="000000"/>
                <w:sz w:val="24"/>
              </w:rPr>
              <w:t/>
            </w:r>
            <w:proofErr w:type="spellEnd"/>
            <w:r w:rsidRPr="006506EF">
              <w:rPr>
                <w:color w:val="000000"/>
                <w:sz w:val="24"/>
              </w:rPr>
              <w:t>2020年9月30日)</w:t>
            </w:r>
          </w:p>
        </w:tc>
        <w:tc>
          <w:tcPr>
            <w:tcW w:type="dxa" w:w="2410"/>
            <w:hMerge/>
          </w:tcPr>
          <w:p w:rsidP="005D3A22" w:rsidR="0008378B" w:rsidRDefault="0008378B" w:rsidRPr="006506EF">
            <w:pPr>
              <w:adjustRightInd w:val="0"/>
              <w:spacing w:before="29" w:line="360" w:lineRule="auto"/>
              <w:ind w:left="17"/>
              <w:jc w:val="center"/>
              <w:rPr>
                <w:color w:val="000000"/>
                <w:sz w:val="24"/>
              </w:rPr>
            </w:pPr>
            <w:r w:rsidRPr="006506EF">
              <w:rPr>
                <w:color w:val="000000"/>
                <w:sz w:val="24"/>
              </w:rPr>
              <w:t>上期金额</w:t>
            </w:r>
            <w:r w:rsidRPr="006506EF">
              <w:rPr>
                <w:color w:val="000000"/>
                <w:sz w:val="24"/>
              </w:rPr>
              <w:t/>
            </w:r>
            <w:proofErr w:type="spellStart"/>
            <w:r w:rsidRPr="006506EF">
              <w:rPr>
                <w:color w:val="000000"/>
                <w:sz w:val="24"/>
              </w:rPr>
              <w:t/>
            </w:r>
            <w:proofErr w:type="spellEnd"/>
            <w:r w:rsidRPr="006506EF">
              <w:rPr>
                <w:color w:val="000000"/>
                <w:sz w:val="24"/>
              </w:rPr>
              <w:t/>
            </w:r>
          </w:p>
        </w:tc>
      </w:tr>
      <w:tr w:rsidR="0008378B" w:rsidRPr="006506EF" w:rsidTr="005D3A22">
        <w:tc>
          <w:tcPr>
            <w:tcW w:type="dxa" w:w="3402"/>
          </w:tcPr>
          <w:p w:rsidP="005D3A22" w:rsidR="0008378B" w:rsidRDefault="0008378B" w:rsidRPr="006506EF">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type="dxa" w:w="4962"/>
            <w:hMerge w:val="restart"/>
            <w:vAlign w:val="bottom"/>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66,090,804.80</w:t>
            </w:r>
          </w:p>
        </w:tc>
        <w:tc>
          <w:tcPr>
            <w:tcW w:type="dxa" w:w="2410"/>
            <w:hMerge/>
            <w:vAlign w:val="bottom"/>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type="dxa" w:w="3402"/>
          </w:tcPr>
          <w:p w:rsidP="005D3A22" w:rsidR="0008378B" w:rsidRDefault="0008378B" w:rsidRPr="006506EF">
            <w:pPr>
              <w:adjustRightInd w:val="0"/>
              <w:spacing w:before="29" w:line="360" w:lineRule="auto"/>
              <w:ind w:left="17"/>
              <w:rPr>
                <w:kern w:val="0"/>
                <w:sz w:val="24"/>
              </w:rPr>
            </w:pPr>
            <w:r w:rsidRPr="006506EF">
              <w:rPr>
                <w:kern w:val="0"/>
                <w:sz w:val="24"/>
              </w:rPr>
              <w:t>2.</w:t>
            </w:r>
            <w:r w:rsidRPr="006506EF">
              <w:rPr>
                <w:kern w:val="0"/>
                <w:sz w:val="24"/>
              </w:rPr>
              <w:t>本期利润</w:t>
            </w:r>
          </w:p>
        </w:tc>
        <w:tc>
          <w:tcPr>
            <w:tcW w:type="dxa" w:w="4962"/>
            <w:hMerge w:val="restart"/>
            <w:vAlign w:val="bottom"/>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164,971,227.73</w:t>
            </w:r>
          </w:p>
        </w:tc>
        <w:tc>
          <w:tcPr>
            <w:tcW w:type="dxa" w:w="2410"/>
            <w:hMerge/>
            <w:vAlign w:val="bottom"/>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type="dxa" w:w="3402"/>
          </w:tcPr>
          <w:p w:rsidP="005D3A22" w:rsidR="0008378B" w:rsidRDefault="0008378B" w:rsidRPr="006506EF">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type="dxa" w:w="4962"/>
            <w:hMerge w:val="restart"/>
            <w:vAlign w:val="bottom"/>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0.2566</w:t>
            </w:r>
          </w:p>
        </w:tc>
        <w:tc>
          <w:tcPr>
            <w:tcW w:type="dxa" w:w="2410"/>
            <w:hMerge/>
            <w:vAlign w:val="bottom"/>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type="dxa" w:w="3402"/>
          </w:tcPr>
          <w:p w:rsidP="005D3A22" w:rsidR="0008378B" w:rsidRDefault="0008378B" w:rsidRPr="006506EF">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type="dxa" w:w="4962"/>
            <w:hMerge w:val="restart"/>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849,551,073.67</w:t>
            </w:r>
          </w:p>
        </w:tc>
        <w:tc>
          <w:tcPr>
            <w:tcW w:type="dxa" w:w="2410"/>
            <w:hMerge/>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w:t>
            </w:r>
          </w:p>
        </w:tc>
      </w:tr>
      <w:tr w:rsidR="0008378B" w:rsidRPr="006506EF" w:rsidTr="005D3A22">
        <w:trPr>
          <w:trHeight w:val="158"/>
        </w:trPr>
        <w:tc>
          <w:tcPr>
            <w:tcW w:type="dxa" w:w="3402"/>
          </w:tcPr>
          <w:p w:rsidP="005D3A22" w:rsidR="0008378B" w:rsidRDefault="0008378B" w:rsidRPr="006506EF">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type="dxa" w:w="4962"/>
            <w:hMerge w:val="restart"/>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r w:rsidRPr="006506EF">
              <w:rPr>
                <w:color w:val="000000"/>
                <w:sz w:val="24"/>
              </w:rPr>
              <w:lastRenderedPageBreak/>
              <w:t/>
            </w:r>
            <w:proofErr w:type="spellEnd"/>
            <w:r w:rsidRPr="006506EF">
              <w:rPr>
                <w:color w:val="000000"/>
                <w:sz w:val="24"/>
              </w:rPr>
              <w:t>1.3326</w:t>
            </w:r>
          </w:p>
        </w:tc>
        <w:tc>
          <w:tcPr>
            <w:tcW w:type="dxa" w:w="2410"/>
            <w:hMerge/>
          </w:tcPr>
          <w:p w:rsidP="005D3A22" w:rsidR="0008378B" w:rsidRDefault="0008378B" w:rsidRPr="006506EF">
            <w:pPr>
              <w:adjustRightInd w:val="0"/>
              <w:spacing w:before="29" w:line="360" w:lineRule="auto"/>
              <w:ind w:left="17"/>
              <w:jc w:val="right"/>
              <w:rPr>
                <w:color w:val="000000"/>
                <w:sz w:val="24"/>
              </w:rPr>
            </w:pPr>
            <w:r w:rsidRPr="006506EF">
              <w:rPr>
                <w:color w:val="000000"/>
                <w:sz w:val="24"/>
              </w:rPr>
              <w:lastRenderedPageBreak/>
              <w:t/>
            </w:r>
            <w:r w:rsidRPr="006506EF">
              <w:rPr>
                <w:color w:val="000000"/>
                <w:sz w:val="24"/>
              </w:rPr>
              <w:lastRenderedPageBreak/>
              <w:t>-</w:t>
            </w:r>
          </w:p>
        </w:tc>
      </w:tr>
    </w:tbl>
    <w:p>
      <w:pPr>
        <w:spacing w:line="360" w:lineRule="auto"/>
        <w:ind w:firstLine="480" w:firstLineChars="200"/>
        <w:rPr>
          <w:color w:val="000000"/>
          <w:sz w:val="24"/>
        </w:rPr>
      </w:pPr>
      <w:r>
        <w:rPr>
          <w:color w:val="000000"/>
          <w:sz w:val="24"/>
        </w:rPr>
        <w:t>注：1.所述基金业绩指标不包括持有人认购或交易基金的各项费用，计入费用后实际收益水平要低于所列数字。</w:t>
      </w:r>
    </w:p>
    <w:p w:rsidP="00E43B0B" w:rsidR="001C36D8" w:rsidRDefault="0008378B" w:rsidRPr="00E43B0B">
      <w:pPr>
        <w:spacing w:line="360" w:lineRule="auto"/>
        <w:ind w:firstLine="480" w:firstLineChars="200"/>
        <w:rPr>
          <w:color w:val="000000"/>
          <w:sz w:val="24"/>
        </w:rPr>
      </w:pPr>
      <w:r w:rsidRPr="006506EF">
        <w:rPr>
          <w:color w:val="000000"/>
          <w:sz w:val="24"/>
        </w:rPr>
        <w:lastRenderedPageBreak/>
        <w:t/>
      </w:r>
      <w:proofErr w:type="spellStart"/>
      <w:r w:rsidRPr="006506EF">
        <w:rPr>
          <w:color w:val="000000"/>
          <w:sz w:val="24"/>
        </w:rPr>
        <w:t/>
      </w:r>
      <w:proofErr w:type="spellEnd"/>
      <w:r w:rsidRPr="006506EF">
        <w:rPr>
          <w:color w:val="000000"/>
          <w:sz w:val="24"/>
        </w:rPr>
        <w:t/>
      </w:r>
      <w:proofErr w:type="spellStart"/>
      <w:r w:rsidRPr="006506EF">
        <w:rPr>
          <w:color w:val="000000"/>
          <w:sz w:val="24"/>
        </w:rPr>
        <w:t/>
      </w:r>
      <w:proofErr w:type="spellEnd"/>
      <w:r w:rsidRPr="006506EF">
        <w:rPr>
          <w:color w:val="000000"/>
          <w:sz w:val="24"/>
        </w:rPr>
        <w:t>2.本期已实现收益指基金本期利息收入、投资收益、其他收入（不含公允价值变动收益）扣除相关费用后的余额，本期利润为本期已实现收益加上本期公允价值变动收益。</w:t>
      </w:r>
    </w:p>
    <w:p w:rsidP="003A4DA3" w:rsidR="001C36D8" w:rsidRDefault="001C36D8" w:rsidRPr="00272E0C">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 xml:space="preserve">3.2 </w:t>
      </w:r>
      <w:r w:rsidRPr="00272E0C">
        <w:rPr>
          <w:rFonts w:ascii="宋体" w:cs="Arial" w:hAnsi="宋体" w:hint="eastAsia"/>
          <w:b/>
          <w:color w:val="000000"/>
          <w:kern w:val="0"/>
          <w:sz w:val="24"/>
        </w:rPr>
        <w:t>基金净值表现</w:t>
      </w:r>
    </w:p>
    <w:p w:rsidP="003A4DA3" w:rsidR="001C36D8" w:rsidRDefault="001C36D8" w:rsidRPr="00272E0C">
      <w:pPr>
        <w:autoSpaceDE w:val="0"/>
        <w:autoSpaceDN w:val="0"/>
        <w:adjustRightInd w:val="0"/>
        <w:spacing w:line="360" w:lineRule="auto"/>
        <w:jc w:val="left"/>
        <w:rPr>
          <w:rFonts w:ascii="宋体" w:cs="Arial"/>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272E0C">
          <w:rPr>
            <w:rFonts w:ascii="宋体" w:cs="Arial" w:hAnsi="宋体"/>
            <w:b/>
            <w:color w:val="000000"/>
            <w:kern w:val="0"/>
            <w:sz w:val="24"/>
          </w:rPr>
          <w:t>3.2.1</w:t>
        </w:r>
      </w:smartTag>
      <w:r w:rsidRPr="00272E0C">
        <w:rPr>
          <w:rFonts w:ascii="宋体" w:cs="Arial" w:hAnsi="宋体" w:hint="eastAsia"/>
          <w:b/>
          <w:color w:val="000000"/>
          <w:kern w:val="0"/>
          <w:sz w:val="24"/>
        </w:rPr>
        <w:t>本报告期基金份额净值增长率及其与同期业绩比较基准收益率的比较</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215"/>
        <w:gridCol w:w="1216"/>
        <w:gridCol w:w="1216"/>
        <w:gridCol w:w="1216"/>
        <w:gridCol w:w="1216"/>
        <w:gridCol w:w="1217"/>
        <w:gridCol w:w="1217"/>
      </w:tblGrid>
      <w:tr w:rsidR="001C36D8" w:rsidRPr="00272E0C" w:rsidTr="001A09F9">
        <w:tc>
          <w:tcPr>
            <w:tcW w:type="dxa" w:w="1215"/>
            <w:vAlign w:val="center"/>
          </w:tcPr>
          <w:p w:rsidP="001A09F9" w:rsidR="001C36D8" w:rsidRDefault="001C36D8" w:rsidRPr="00E43B0B">
            <w:pPr>
              <w:snapToGrid w:val="0"/>
              <w:spacing w:line="288" w:lineRule="auto"/>
              <w:jc w:val="center"/>
              <w:rPr>
                <w:color w:val="000000"/>
                <w:sz w:val="24"/>
              </w:rPr>
            </w:pPr>
            <w:r w:rsidRPr="00E43B0B">
              <w:rPr>
                <w:color w:val="000000"/>
                <w:sz w:val="24"/>
              </w:rPr>
              <w:t>阶段</w:t>
            </w:r>
            <w:r w:rsidRPr="00E43B0B">
              <w:rPr>
                <w:color w:val="000000"/>
                <w:sz w:val="24"/>
              </w:rPr>
              <w:t/>
            </w:r>
            <w:proofErr w:type="spellStart"/>
            <w:r w:rsidRPr="00E43B0B">
              <w:rPr>
                <w:color w:val="000000"/>
                <w:sz w:val="24"/>
              </w:rPr>
              <w:t/>
            </w:r>
            <w:proofErr w:type="spellEnd"/>
            <w:r w:rsidRPr="00E43B0B">
              <w:rPr>
                <w:color w:val="000000"/>
                <w:sz w:val="24"/>
              </w:rPr>
              <w:t/>
            </w:r>
          </w:p>
        </w:tc>
        <w:tc>
          <w:tcPr>
            <w:tcW w:type="dxa" w:w="1216"/>
            <w:vAlign w:val="center"/>
          </w:tcPr>
          <w:p w:rsidP="001A09F9" w:rsidR="001C36D8" w:rsidRDefault="001C36D8" w:rsidRPr="00E43B0B">
            <w:pPr>
              <w:snapToGrid w:val="0"/>
              <w:spacing w:line="288" w:lineRule="auto"/>
              <w:jc w:val="center"/>
              <w:rPr>
                <w:color w:val="000000"/>
                <w:sz w:val="24"/>
                <w:highlight w:val="green"/>
              </w:rPr>
            </w:pPr>
            <w:r w:rsidRPr="00E43B0B">
              <w:rPr>
                <w:color w:val="000000"/>
                <w:sz w:val="24"/>
              </w:rPr>
              <w:t>净值增长率</w:t>
            </w:r>
            <w:r w:rsidRPr="00E43B0B">
              <w:rPr>
                <w:rFonts w:ascii="宋体" w:cs="宋体" w:hAnsi="宋体" w:hint="eastAsia"/>
                <w:color w:val="000000"/>
                <w:sz w:val="24"/>
              </w:rPr>
              <w:t>①</w:t>
            </w:r>
          </w:p>
        </w:tc>
        <w:tc>
          <w:tcPr>
            <w:tcW w:type="dxa" w:w="1216"/>
            <w:vAlign w:val="center"/>
          </w:tcPr>
          <w:p w:rsidP="001A09F9" w:rsidR="001C36D8" w:rsidRDefault="001C36D8" w:rsidRPr="00E43B0B">
            <w:pPr>
              <w:snapToGrid w:val="0"/>
              <w:spacing w:line="288" w:lineRule="auto"/>
              <w:jc w:val="center"/>
              <w:rPr>
                <w:color w:val="000000"/>
                <w:sz w:val="24"/>
                <w:highlight w:val="green"/>
              </w:rPr>
            </w:pPr>
            <w:r w:rsidRPr="00E43B0B">
              <w:rPr>
                <w:color w:val="000000"/>
                <w:sz w:val="24"/>
              </w:rPr>
              <w:t>净值增长率标准差</w:t>
            </w:r>
            <w:r w:rsidRPr="00E43B0B">
              <w:rPr>
                <w:rFonts w:ascii="宋体" w:cs="宋体" w:hAnsi="宋体" w:hint="eastAsia"/>
                <w:color w:val="000000"/>
                <w:sz w:val="24"/>
              </w:rPr>
              <w:t>②</w:t>
            </w:r>
          </w:p>
        </w:tc>
        <w:tc>
          <w:tcPr>
            <w:tcW w:type="dxa" w:w="1216"/>
            <w:vAlign w:val="center"/>
          </w:tcPr>
          <w:p w:rsidP="001A09F9" w:rsidR="001C36D8" w:rsidRDefault="001C36D8" w:rsidRPr="00E43B0B">
            <w:pPr>
              <w:snapToGrid w:val="0"/>
              <w:spacing w:line="288" w:lineRule="auto"/>
              <w:jc w:val="center"/>
              <w:rPr>
                <w:color w:val="000000"/>
                <w:sz w:val="24"/>
              </w:rPr>
            </w:pPr>
            <w:r w:rsidRPr="00E43B0B">
              <w:rPr>
                <w:color w:val="000000"/>
                <w:sz w:val="24"/>
              </w:rPr>
              <w:t>业绩比较基准收益率</w:t>
            </w:r>
            <w:r w:rsidRPr="00E43B0B">
              <w:rPr>
                <w:rFonts w:ascii="宋体" w:cs="宋体" w:hAnsi="宋体" w:hint="eastAsia"/>
                <w:color w:val="000000"/>
                <w:sz w:val="24"/>
              </w:rPr>
              <w:t>③</w:t>
            </w:r>
          </w:p>
        </w:tc>
        <w:tc>
          <w:tcPr>
            <w:tcW w:type="dxa" w:w="1216"/>
            <w:vAlign w:val="center"/>
          </w:tcPr>
          <w:p w:rsidP="001A09F9" w:rsidR="001C36D8" w:rsidRDefault="001C36D8" w:rsidRPr="00E43B0B">
            <w:pPr>
              <w:snapToGrid w:val="0"/>
              <w:spacing w:line="288" w:lineRule="auto"/>
              <w:jc w:val="center"/>
              <w:rPr>
                <w:color w:val="000000"/>
                <w:sz w:val="24"/>
              </w:rPr>
            </w:pPr>
            <w:r w:rsidRPr="00E43B0B">
              <w:rPr>
                <w:color w:val="000000"/>
                <w:sz w:val="24"/>
              </w:rPr>
              <w:t>业绩比较基准收益率标准差</w:t>
            </w:r>
            <w:r w:rsidRPr="00E43B0B">
              <w:rPr>
                <w:rFonts w:ascii="宋体" w:cs="宋体" w:hAnsi="宋体" w:hint="eastAsia"/>
                <w:color w:val="000000"/>
                <w:sz w:val="24"/>
              </w:rPr>
              <w:t>④</w:t>
            </w:r>
          </w:p>
        </w:tc>
        <w:tc>
          <w:tcPr>
            <w:tcW w:type="dxa" w:w="1217"/>
            <w:vAlign w:val="center"/>
          </w:tcPr>
          <w:p w:rsidP="001A09F9" w:rsidR="001C36D8" w:rsidRDefault="001C36D8" w:rsidRPr="00E43B0B">
            <w:pPr>
              <w:snapToGrid w:val="0"/>
              <w:spacing w:line="288" w:lineRule="auto"/>
              <w:jc w:val="center"/>
              <w:rPr>
                <w:color w:val="000000"/>
                <w:sz w:val="24"/>
              </w:rPr>
            </w:pPr>
            <w:r w:rsidRPr="00E43B0B">
              <w:rPr>
                <w:rFonts w:ascii="宋体" w:cs="宋体" w:hAnsi="宋体" w:hint="eastAsia"/>
                <w:color w:val="000000"/>
                <w:sz w:val="24"/>
              </w:rPr>
              <w:t>①</w:t>
            </w:r>
            <w:r w:rsidRPr="00E43B0B">
              <w:rPr>
                <w:color w:val="000000"/>
                <w:sz w:val="24"/>
              </w:rPr>
              <w:t>－</w:t>
            </w:r>
            <w:r w:rsidRPr="00E43B0B">
              <w:rPr>
                <w:rFonts w:ascii="宋体" w:cs="宋体" w:hAnsi="宋体" w:hint="eastAsia"/>
                <w:color w:val="000000"/>
                <w:sz w:val="24"/>
              </w:rPr>
              <w:t>③</w:t>
            </w:r>
          </w:p>
        </w:tc>
        <w:tc>
          <w:tcPr>
            <w:tcW w:type="dxa" w:w="1217"/>
            <w:vAlign w:val="center"/>
          </w:tcPr>
          <w:p w:rsidP="001A09F9" w:rsidR="001C36D8" w:rsidRDefault="001C36D8" w:rsidRPr="00E43B0B">
            <w:pPr>
              <w:snapToGrid w:val="0"/>
              <w:spacing w:line="288" w:lineRule="auto"/>
              <w:jc w:val="center"/>
              <w:rPr>
                <w:color w:val="000000"/>
                <w:sz w:val="24"/>
              </w:rPr>
            </w:pPr>
            <w:r w:rsidRPr="00E43B0B">
              <w:rPr>
                <w:rFonts w:ascii="宋体" w:cs="宋体" w:hAnsi="宋体" w:hint="eastAsia"/>
                <w:color w:val="000000"/>
                <w:sz w:val="24"/>
              </w:rPr>
              <w:t>②</w:t>
            </w:r>
            <w:r w:rsidRPr="00E43B0B">
              <w:rPr>
                <w:color w:val="000000"/>
                <w:sz w:val="24"/>
              </w:rPr>
              <w:t>－</w:t>
            </w:r>
            <w:r w:rsidRPr="00E43B0B">
              <w:rPr>
                <w:rFonts w:ascii="宋体" w:cs="宋体" w:hAnsi="宋体" w:hint="eastAsia"/>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21.77%</w:t>
            </w:r>
          </w:p>
        </w:tc>
        <w:tc>
          <w:tcPr>
            <w:vAlign w:val="center"/>
          </w:tcPr>
          <w:p>
            <w:pPr>
              <w:jc w:val="center"/>
            </w:pPr>
            <w:r>
              <w:rPr>
                <w:color w:val="000000"/>
                <w:sz w:val="24"/>
              </w:rPr>
              <w:t>2.78%</w:t>
            </w:r>
          </w:p>
        </w:tc>
        <w:tc>
          <w:tcPr>
            <w:vAlign w:val="center"/>
          </w:tcPr>
          <w:p>
            <w:pPr>
              <w:jc w:val="center"/>
            </w:pPr>
            <w:r>
              <w:rPr>
                <w:color w:val="000000"/>
                <w:sz w:val="24"/>
              </w:rPr>
              <w:t>17.79%</w:t>
            </w:r>
          </w:p>
        </w:tc>
        <w:tc>
          <w:tcPr>
            <w:vAlign w:val="center"/>
          </w:tcPr>
          <w:p>
            <w:pPr>
              <w:jc w:val="center"/>
            </w:pPr>
            <w:r>
              <w:rPr>
                <w:color w:val="000000"/>
                <w:sz w:val="24"/>
              </w:rPr>
              <w:t>2.78%</w:t>
            </w:r>
          </w:p>
        </w:tc>
        <w:tc>
          <w:tcPr>
            <w:vAlign w:val="center"/>
          </w:tcPr>
          <w:p>
            <w:pPr>
              <w:jc w:val="center"/>
            </w:pPr>
            <w:r>
              <w:rPr>
                <w:color w:val="000000"/>
                <w:sz w:val="24"/>
              </w:rPr>
              <w:t>3.98%</w:t>
            </w:r>
          </w:p>
        </w:tc>
        <w:tc>
          <w:tcPr>
            <w:vAlign w:val="center"/>
          </w:tcPr>
          <w:p>
            <w:pPr>
              <w:jc w:val="center"/>
            </w:pPr>
            <w:r>
              <w:rPr>
                <w:color w:val="000000"/>
                <w:sz w:val="24"/>
              </w:rPr>
              <w:t>0.00%</w:t>
            </w:r>
          </w:p>
        </w:tc>
      </w:tr>
      <w:tr>
        <w:tc>
          <w:tcPr>
            <w:vAlign w:val="center"/>
          </w:tcPr>
          <w:p>
            <w:pPr>
              <w:jc w:val="left"/>
            </w:pPr>
            <w:r>
              <w:rPr>
                <w:color w:val="000000"/>
                <w:sz w:val="24"/>
              </w:rPr>
              <w:t>过去六个月</w:t>
            </w:r>
          </w:p>
        </w:tc>
        <w:tc>
          <w:tcPr>
            <w:vAlign w:val="center"/>
          </w:tcPr>
          <w:p>
            <w:pPr>
              <w:jc w:val="center"/>
            </w:pPr>
            <w:r>
              <w:rPr>
                <w:color w:val="000000"/>
                <w:sz w:val="24"/>
              </w:rPr>
              <w:t>34.53%</w:t>
            </w:r>
          </w:p>
        </w:tc>
        <w:tc>
          <w:tcPr>
            <w:vAlign w:val="center"/>
          </w:tcPr>
          <w:p>
            <w:pPr>
              <w:jc w:val="center"/>
            </w:pPr>
            <w:r>
              <w:rPr>
                <w:color w:val="000000"/>
                <w:sz w:val="24"/>
              </w:rPr>
              <w:t>2.22%</w:t>
            </w:r>
          </w:p>
        </w:tc>
        <w:tc>
          <w:tcPr>
            <w:vAlign w:val="center"/>
          </w:tcPr>
          <w:p>
            <w:pPr>
              <w:jc w:val="center"/>
            </w:pPr>
            <w:r>
              <w:rPr>
                <w:color w:val="000000"/>
                <w:sz w:val="24"/>
              </w:rPr>
              <w:t>28.26%</w:t>
            </w:r>
          </w:p>
        </w:tc>
        <w:tc>
          <w:tcPr>
            <w:vAlign w:val="center"/>
          </w:tcPr>
          <w:p>
            <w:pPr>
              <w:jc w:val="center"/>
            </w:pPr>
            <w:r>
              <w:rPr>
                <w:color w:val="000000"/>
                <w:sz w:val="24"/>
              </w:rPr>
              <w:t>2.23%</w:t>
            </w:r>
          </w:p>
        </w:tc>
        <w:tc>
          <w:tcPr>
            <w:vAlign w:val="center"/>
          </w:tcPr>
          <w:p>
            <w:pPr>
              <w:jc w:val="center"/>
            </w:pPr>
            <w:r>
              <w:rPr>
                <w:color w:val="000000"/>
                <w:sz w:val="24"/>
              </w:rPr>
              <w:t>6.27%</w:t>
            </w:r>
          </w:p>
        </w:tc>
        <w:tc>
          <w:tcPr>
            <w:vAlign w:val="center"/>
          </w:tcPr>
          <w:p>
            <w:pPr>
              <w:jc w:val="center"/>
            </w:pPr>
            <w:r>
              <w:rPr>
                <w:color w:val="000000"/>
                <w:sz w:val="24"/>
              </w:rPr>
              <w:t>-0.01%</w:t>
            </w:r>
          </w:p>
        </w:tc>
      </w:tr>
      <w:tr>
        <w:tc>
          <w:tcPr>
            <w:vAlign w:val="center"/>
          </w:tcPr>
          <w:p>
            <w:pPr>
              <w:jc w:val="left"/>
            </w:pPr>
            <w:r>
              <w:rPr>
                <w:color w:val="000000"/>
                <w:sz w:val="24"/>
              </w:rPr>
              <w:t>过去一年</w:t>
            </w:r>
          </w:p>
        </w:tc>
        <w:tc>
          <w:tcPr>
            <w:vAlign w:val="center"/>
          </w:tcPr>
          <w:p>
            <w:pPr>
              <w:jc w:val="center"/>
            </w:pPr>
            <w:r>
              <w:rPr>
                <w:color w:val="000000"/>
                <w:sz w:val="24"/>
              </w:rPr>
              <w:t>34.72%</w:t>
            </w:r>
          </w:p>
        </w:tc>
        <w:tc>
          <w:tcPr>
            <w:vAlign w:val="center"/>
          </w:tcPr>
          <w:p>
            <w:pPr>
              <w:jc w:val="center"/>
            </w:pPr>
            <w:r>
              <w:rPr>
                <w:color w:val="000000"/>
                <w:sz w:val="24"/>
              </w:rPr>
              <w:t>2.14%</w:t>
            </w:r>
          </w:p>
        </w:tc>
        <w:tc>
          <w:tcPr>
            <w:vAlign w:val="center"/>
          </w:tcPr>
          <w:p>
            <w:pPr>
              <w:jc w:val="center"/>
            </w:pPr>
            <w:r>
              <w:rPr>
                <w:color w:val="000000"/>
                <w:sz w:val="24"/>
              </w:rPr>
              <w:t>26.62%</w:t>
            </w:r>
          </w:p>
        </w:tc>
        <w:tc>
          <w:tcPr>
            <w:vAlign w:val="center"/>
          </w:tcPr>
          <w:p>
            <w:pPr>
              <w:jc w:val="center"/>
            </w:pPr>
            <w:r>
              <w:rPr>
                <w:color w:val="000000"/>
                <w:sz w:val="24"/>
              </w:rPr>
              <w:t>2.15%</w:t>
            </w:r>
          </w:p>
        </w:tc>
        <w:tc>
          <w:tcPr>
            <w:vAlign w:val="center"/>
          </w:tcPr>
          <w:p>
            <w:pPr>
              <w:jc w:val="center"/>
            </w:pPr>
            <w:r>
              <w:rPr>
                <w:color w:val="000000"/>
                <w:sz w:val="24"/>
              </w:rPr>
              <w:t>8.10%</w:t>
            </w:r>
          </w:p>
        </w:tc>
        <w:tc>
          <w:tcPr>
            <w:vAlign w:val="center"/>
          </w:tcPr>
          <w:p>
            <w:pPr>
              <w:jc w:val="center"/>
            </w:pPr>
            <w:r>
              <w:rPr>
                <w:color w:val="000000"/>
                <w:sz w:val="24"/>
              </w:rPr>
              <w:t>-0.01%</w:t>
            </w:r>
          </w:p>
        </w:tc>
      </w:tr>
      <w:tr>
        <w:tc>
          <w:tcPr>
            <w:vAlign w:val="center"/>
          </w:tcPr>
          <w:p>
            <w:pPr>
              <w:jc w:val="left"/>
            </w:pPr>
            <w:r>
              <w:rPr>
                <w:color w:val="000000"/>
                <w:sz w:val="24"/>
              </w:rPr>
              <w:t>过去三年</w:t>
            </w:r>
          </w:p>
        </w:tc>
        <w:tc>
          <w:tcPr>
            <w:vAlign w:val="center"/>
          </w:tcPr>
          <w:p>
            <w:pPr>
              <w:jc w:val="center"/>
            </w:pPr>
            <w:r>
              <w:rPr>
                <w:color w:val="000000"/>
                <w:sz w:val="24"/>
              </w:rPr>
              <w:t>16.99%</w:t>
            </w:r>
          </w:p>
        </w:tc>
        <w:tc>
          <w:tcPr>
            <w:vAlign w:val="center"/>
          </w:tcPr>
          <w:p>
            <w:pPr>
              <w:jc w:val="center"/>
            </w:pPr>
            <w:r>
              <w:rPr>
                <w:color w:val="000000"/>
                <w:sz w:val="24"/>
              </w:rPr>
              <w:t>2.00%</w:t>
            </w:r>
          </w:p>
        </w:tc>
        <w:tc>
          <w:tcPr>
            <w:vAlign w:val="center"/>
          </w:tcPr>
          <w:p>
            <w:pPr>
              <w:jc w:val="center"/>
            </w:pPr>
            <w:r>
              <w:rPr>
                <w:color w:val="000000"/>
                <w:sz w:val="24"/>
              </w:rPr>
              <w:t>5.58%</w:t>
            </w:r>
          </w:p>
        </w:tc>
        <w:tc>
          <w:tcPr>
            <w:vAlign w:val="center"/>
          </w:tcPr>
          <w:p>
            <w:pPr>
              <w:jc w:val="center"/>
            </w:pPr>
            <w:r>
              <w:rPr>
                <w:color w:val="000000"/>
                <w:sz w:val="24"/>
              </w:rPr>
              <w:t>2.02%</w:t>
            </w:r>
          </w:p>
        </w:tc>
        <w:tc>
          <w:tcPr>
            <w:vAlign w:val="center"/>
          </w:tcPr>
          <w:p>
            <w:pPr>
              <w:jc w:val="center"/>
            </w:pPr>
            <w:r>
              <w:rPr>
                <w:color w:val="000000"/>
                <w:sz w:val="24"/>
              </w:rPr>
              <w:t>11.41%</w:t>
            </w:r>
          </w:p>
        </w:tc>
        <w:tc>
          <w:tcPr>
            <w:vAlign w:val="center"/>
          </w:tcPr>
          <w:p>
            <w:pPr>
              <w:jc w:val="center"/>
            </w:pPr>
            <w:r>
              <w:rPr>
                <w:color w:val="000000"/>
                <w:sz w:val="24"/>
              </w:rPr>
              <w:t>-0.02%</w:t>
            </w:r>
          </w:p>
        </w:tc>
      </w:tr>
      <w:tr>
        <w:tc>
          <w:tcPr>
            <w:vAlign w:val="center"/>
          </w:tcPr>
          <w:p>
            <w:pPr>
              <w:jc w:val="left"/>
            </w:pPr>
            <w:r>
              <w:rPr>
                <w:color w:val="000000"/>
                <w:sz w:val="24"/>
              </w:rPr>
              <w:t>过去五年</w:t>
            </w:r>
          </w:p>
        </w:tc>
        <w:tc>
          <w:tcPr>
            <w:vAlign w:val="center"/>
          </w:tcPr>
          <w:p>
            <w:pPr>
              <w:jc w:val="center"/>
            </w:pPr>
            <w:r>
              <w:rPr>
                <w:color w:val="000000"/>
                <w:sz w:val="24"/>
              </w:rPr>
              <w:t>35.40%</w:t>
            </w:r>
          </w:p>
        </w:tc>
        <w:tc>
          <w:tcPr>
            <w:vAlign w:val="center"/>
          </w:tcPr>
          <w:p>
            <w:pPr>
              <w:jc w:val="center"/>
            </w:pPr>
            <w:r>
              <w:rPr>
                <w:color w:val="000000"/>
                <w:sz w:val="24"/>
              </w:rPr>
              <w:t>1.97%</w:t>
            </w:r>
          </w:p>
        </w:tc>
        <w:tc>
          <w:tcPr>
            <w:vAlign w:val="center"/>
          </w:tcPr>
          <w:p>
            <w:pPr>
              <w:jc w:val="center"/>
            </w:pPr>
            <w:r>
              <w:rPr>
                <w:color w:val="000000"/>
                <w:sz w:val="24"/>
              </w:rPr>
              <w:t>22.59%</w:t>
            </w:r>
          </w:p>
        </w:tc>
        <w:tc>
          <w:tcPr>
            <w:vAlign w:val="center"/>
          </w:tcPr>
          <w:p>
            <w:pPr>
              <w:jc w:val="center"/>
            </w:pPr>
            <w:r>
              <w:rPr>
                <w:color w:val="000000"/>
                <w:sz w:val="24"/>
              </w:rPr>
              <w:t>2.00%</w:t>
            </w:r>
          </w:p>
        </w:tc>
        <w:tc>
          <w:tcPr>
            <w:vAlign w:val="center"/>
          </w:tcPr>
          <w:p>
            <w:pPr>
              <w:jc w:val="center"/>
            </w:pPr>
            <w:r>
              <w:rPr>
                <w:color w:val="000000"/>
                <w:sz w:val="24"/>
              </w:rPr>
              <w:t>12.81%</w:t>
            </w:r>
          </w:p>
        </w:tc>
        <w:tc>
          <w:tcPr>
            <w:vAlign w:val="center"/>
          </w:tcPr>
          <w:p>
            <w:pPr>
              <w:jc w:val="center"/>
            </w:pPr>
            <w:r>
              <w:rPr>
                <w:color w:val="000000"/>
                <w:sz w:val="24"/>
              </w:rPr>
              <w:t>-0.03%</w:t>
            </w:r>
          </w:p>
        </w:tc>
      </w:tr>
      <w:tr>
        <w:tc>
          <w:tcPr>
            <w:vAlign w:val="center"/>
          </w:tcPr>
          <w:p>
            <w:pPr>
              <w:jc w:val="left"/>
            </w:pPr>
            <w:r>
              <w:rPr>
                <w:color w:val="000000"/>
                <w:sz w:val="24"/>
              </w:rPr>
              <w:t>自基金合同生效起至今</w:t>
            </w:r>
          </w:p>
        </w:tc>
        <w:tc>
          <w:tcPr>
            <w:vAlign w:val="center"/>
          </w:tcPr>
          <w:p>
            <w:pPr>
              <w:jc w:val="center"/>
            </w:pPr>
            <w:r>
              <w:rPr>
                <w:color w:val="000000"/>
                <w:sz w:val="24"/>
              </w:rPr>
              <w:t>-8.86%</w:t>
            </w:r>
          </w:p>
        </w:tc>
        <w:tc>
          <w:tcPr>
            <w:vAlign w:val="center"/>
          </w:tcPr>
          <w:p>
            <w:pPr>
              <w:jc w:val="center"/>
            </w:pPr>
            <w:r>
              <w:rPr>
                <w:color w:val="000000"/>
                <w:sz w:val="24"/>
              </w:rPr>
              <w:t>2.07%</w:t>
            </w:r>
          </w:p>
        </w:tc>
        <w:tc>
          <w:tcPr>
            <w:vAlign w:val="center"/>
          </w:tcPr>
          <w:p>
            <w:pPr>
              <w:jc w:val="center"/>
            </w:pPr>
            <w:r>
              <w:rPr>
                <w:color w:val="000000"/>
                <w:sz w:val="24"/>
              </w:rPr>
              <w:t>-21.17%</w:t>
            </w:r>
          </w:p>
        </w:tc>
        <w:tc>
          <w:tcPr>
            <w:vAlign w:val="center"/>
          </w:tcPr>
          <w:p>
            <w:pPr>
              <w:jc w:val="center"/>
            </w:pPr>
            <w:r>
              <w:rPr>
                <w:color w:val="000000"/>
                <w:sz w:val="24"/>
              </w:rPr>
              <w:t>2.17%</w:t>
            </w:r>
          </w:p>
        </w:tc>
        <w:tc>
          <w:tcPr>
            <w:vAlign w:val="center"/>
          </w:tcPr>
          <w:p>
            <w:pPr>
              <w:jc w:val="center"/>
            </w:pPr>
            <w:r>
              <w:rPr>
                <w:color w:val="000000"/>
                <w:sz w:val="24"/>
              </w:rPr>
              <w:t>12.31%</w:t>
            </w:r>
          </w:p>
        </w:tc>
        <w:tc>
          <w:tcPr>
            <w:vAlign w:val="center"/>
          </w:tcPr>
          <w:p>
            <w:pPr>
              <w:jc w:val="center"/>
            </w:pPr>
            <w:r>
              <w:rPr>
                <w:color w:val="000000"/>
                <w:sz w:val="24"/>
              </w:rPr>
              <w:t>-0.10%</w:t>
            </w:r>
          </w:p>
        </w:tc>
      </w:tr>
    </w:tbl>
    <w:p w:rsidP="003A4DA3" w:rsidR="001C36D8" w:rsidRDefault="001C36D8" w:rsidRPr="00272E0C">
      <w:pPr>
        <w:spacing w:line="360" w:lineRule="auto"/>
        <w:rPr>
          <w:rFonts w:ascii="宋体" w:cs="Arial"/>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272E0C">
          <w:rPr>
            <w:rFonts w:ascii="宋体" w:cs="Arial" w:hAnsi="宋体"/>
            <w:b/>
            <w:color w:val="000000"/>
            <w:kern w:val="0"/>
            <w:sz w:val="24"/>
          </w:rPr>
          <w:t>3.2.2</w:t>
        </w:r>
        <w:r w:rsidR="00193F07" w:rsidRPr="00370BEA">
          <w:rPr>
            <w:rStyle w:val="af8"/>
            <w:rFonts w:hint="eastAsia"/>
            <w:color w:val="000000"/>
            <w:sz w:val="24"/>
            <w:shd w:color="auto" w:fill="FFFFFF" w:val="clear"/>
          </w:rPr>
          <w:t/>
        </w:r>
        <w:proofErr w:type="spellStart"/>
        <w:r w:rsidR="00193F07" w:rsidRPr="00370BEA">
          <w:rPr>
            <w:rStyle w:val="af8"/>
            <w:rFonts w:hint="eastAsia"/>
            <w:color w:val="000000"/>
            <w:sz w:val="24"/>
            <w:shd w:color="auto" w:fill="FFFFFF" w:val="clear"/>
          </w:rPr>
          <w:t/>
        </w:r>
        <w:proofErr w:type="spellEnd"/>
        <w:r w:rsidR="00193F07" w:rsidRPr="00370BEA">
          <w:rPr>
            <w:rStyle w:val="af8"/>
            <w:rFonts w:hint="eastAsia"/>
            <w:color w:val="000000"/>
            <w:sz w:val="24"/>
            <w:shd w:color="auto" w:fill="FFFFFF" w:val="clear"/>
          </w:rPr>
          <w:t>自基金合同生效以来</w:t>
        </w:r>
      </w:smartTag>
      <w:r w:rsidRPr="00272E0C">
        <w:rPr>
          <w:rFonts w:ascii="宋体" w:hAnsi="宋体" w:hint="eastAsia"/>
          <w:b/>
          <w:bCs/>
          <w:color w:val="000000"/>
          <w:sz w:val="24"/>
        </w:rPr>
        <w:t>基金累计净值增长率变动及其与同期业绩比较基准收益率变动的比较</w:t>
      </w:r>
    </w:p>
    <w:p w:rsidP="003A4DA3" w:rsidR="001C36D8" w:rsidRDefault="001C36D8" w:rsidRPr="00E43B0B">
      <w:pPr>
        <w:spacing w:line="360" w:lineRule="auto"/>
        <w:jc w:val="center"/>
        <w:rPr>
          <w:sz w:val="24"/>
        </w:rPr>
      </w:pPr>
      <w:r w:rsidRPr="00E43B0B">
        <w:rPr>
          <w:sz w:val="24"/>
        </w:rPr>
        <w:t/>
      </w:r>
      <w:proofErr w:type="spellStart"/>
      <w:r w:rsidRPr="00E43B0B">
        <w:rPr>
          <w:sz w:val="24"/>
        </w:rPr>
        <w:t/>
      </w:r>
      <w:proofErr w:type="spellEnd"/>
      <w:r w:rsidRPr="00E43B0B">
        <w:rPr>
          <w:sz w:val="24"/>
        </w:rPr>
        <w:t>易方达证券公司指数分级证券投资基金</w:t>
      </w:r>
    </w:p>
    <w:p w:rsidP="003A4DA3" w:rsidR="001C36D8" w:rsidRDefault="006F4C30" w:rsidRPr="00E43B0B">
      <w:pPr>
        <w:pStyle w:val="a5"/>
        <w:snapToGrid w:val="0"/>
        <w:spacing w:line="360" w:lineRule="auto"/>
        <w:jc w:val="center"/>
        <w:rPr>
          <w:rFonts w:ascii="Times New Roman" w:hAnsi="Times New Roman"/>
          <w:color w:val="000000"/>
          <w:sz w:val="24"/>
          <w:szCs w:val="24"/>
        </w:rPr>
      </w:pPr>
      <w:r w:rsidRPr="00E43B0B">
        <w:rPr>
          <w:rFonts w:ascii="Times New Roman" w:hAnsi="Times New Roman"/>
          <w:color w:val="000000"/>
          <w:sz w:val="24"/>
          <w:szCs w:val="24"/>
        </w:rPr>
        <w:t>累计</w:t>
      </w:r>
      <w:r w:rsidR="001C36D8" w:rsidRPr="00E43B0B">
        <w:rPr>
          <w:rFonts w:ascii="Times New Roman" w:hAnsi="Times New Roman"/>
          <w:color w:val="000000"/>
          <w:sz w:val="24"/>
          <w:szCs w:val="24"/>
        </w:rPr>
        <w:t>净值增长率与业绩比较基准收益率历史走势对比图</w:t>
      </w:r>
    </w:p>
    <w:p w:rsidP="003A4DA3" w:rsidR="001C36D8" w:rsidRDefault="001C36D8" w:rsidRPr="00E43B0B">
      <w:pPr>
        <w:spacing w:line="360" w:lineRule="auto"/>
        <w:jc w:val="center"/>
        <w:rPr>
          <w:sz w:val="24"/>
        </w:rPr>
      </w:pPr>
      <w:r w:rsidRPr="00E43B0B">
        <w:rPr>
          <w:color w:val="000000"/>
          <w:kern w:val="0"/>
          <w:sz w:val="24"/>
        </w:rPr>
        <w:t>（</w:t>
      </w:r>
      <w:r w:rsidRPr="00E43B0B">
        <w:rPr>
          <w:color w:val="000000"/>
          <w:kern w:val="0"/>
          <w:sz w:val="24"/>
        </w:rPr>
        <w:t/>
      </w:r>
      <w:proofErr w:type="spellStart"/>
      <w:r w:rsidRPr="00E43B0B">
        <w:rPr>
          <w:color w:val="000000"/>
          <w:kern w:val="0"/>
          <w:sz w:val="24"/>
        </w:rPr>
        <w:t/>
      </w:r>
      <w:proofErr w:type="spellEnd"/>
      <w:r w:rsidRPr="00E43B0B">
        <w:rPr>
          <w:color w:val="000000"/>
          <w:kern w:val="0"/>
          <w:sz w:val="24"/>
        </w:rPr>
        <w:t>2015年7月8日</w:t>
      </w:r>
      <w:r w:rsidRPr="00E43B0B">
        <w:rPr>
          <w:color w:val="000000"/>
          <w:kern w:val="0"/>
          <w:sz w:val="24"/>
        </w:rPr>
        <w:t>至</w:t>
      </w:r>
      <w:r w:rsidRPr="00E43B0B">
        <w:rPr>
          <w:color w:val="000000"/>
          <w:kern w:val="0"/>
          <w:sz w:val="24"/>
        </w:rPr>
        <w:t/>
      </w:r>
      <w:proofErr w:type="spellStart"/>
      <w:r w:rsidRPr="00E43B0B">
        <w:rPr>
          <w:color w:val="000000"/>
          <w:kern w:val="0"/>
          <w:sz w:val="24"/>
        </w:rPr>
        <w:t/>
      </w:r>
      <w:proofErr w:type="spellEnd"/>
      <w:r w:rsidRPr="00E43B0B">
        <w:rPr>
          <w:color w:val="000000"/>
          <w:kern w:val="0"/>
          <w:sz w:val="24"/>
        </w:rPr>
        <w:t>2020年9月30日</w:t>
      </w:r>
      <w:r w:rsidRPr="00E43B0B">
        <w:rPr>
          <w:color w:val="000000"/>
          <w:kern w:val="0"/>
          <w:sz w:val="24"/>
        </w:rPr>
        <w:t>）</w:t>
      </w:r>
    </w:p>
    <w:p w:rsidP="0042253F" w:rsidR="001C36D8" w:rsidRDefault="003F1D66" w:rsidRPr="00272E0C">
      <w:pPr>
        <w:tabs>
          <w:tab w:pos="1800" w:val="left"/>
        </w:tabs>
        <w:spacing w:line="360" w:lineRule="auto"/>
        <w:jc w:val="center"/>
        <w:rPr>
          <w:rFonts w:ascii="宋体"/>
          <w:color w:val="000000"/>
          <w:sz w:val="24"/>
        </w:rPr>
      </w:pPr>
      <w:r>
        <w:rPr>
          <w:rFonts w:ascii="宋体"/>
          <w:noProof/>
          <w:color w:val="000000"/>
          <w:sz w:val="24"/>
        </w:rPr>
        <w:lastRenderedPageBreak/>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11.4pt;height:241.5pt;visibility:visible" type="#_x0000_t75">
            <v:imagedata o:title="" r:id="rId10"/>
          </v:shape>
        </w:pict>
      </w:r>
    </w:p>
    <w:p w:rsidP="00E43B0B" w:rsidR="001C36D8" w:rsidRDefault="001C36D8" w:rsidRPr="00E43B0B">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注：自基金合同生效至报告期末，基金份额净值增长率为-8.86%，同期业绩比较基准收益率为-21.17%。</w:t>
      </w:r>
    </w:p>
    <w:p w:rsidP="005C6DF3" w:rsidR="001C36D8" w:rsidRDefault="001C36D8" w:rsidRPr="00272E0C">
      <w:pPr>
        <w:pStyle w:val="1"/>
        <w:spacing w:after="312" w:afterLines="100" w:before="312" w:beforeLines="100" w:line="360" w:lineRule="auto"/>
        <w:jc w:val="center"/>
        <w:rPr>
          <w:rFonts w:ascii="宋体" w:cs="Arial"/>
          <w:color w:val="000000"/>
          <w:kern w:val="0"/>
          <w:sz w:val="24"/>
          <w:szCs w:val="24"/>
        </w:rPr>
      </w:pPr>
      <w:r w:rsidRPr="00272E0C">
        <w:rPr>
          <w:rFonts w:ascii="宋体" w:cs="Arial" w:hAnsi="宋体" w:hint="eastAsia"/>
          <w:color w:val="000000"/>
          <w:kern w:val="0"/>
          <w:sz w:val="24"/>
          <w:szCs w:val="24"/>
        </w:rPr>
        <w:t>§</w:t>
      </w:r>
      <w:r w:rsidRPr="00272E0C">
        <w:rPr>
          <w:rFonts w:ascii="宋体" w:cs="Arial" w:hAnsi="宋体"/>
          <w:color w:val="000000"/>
          <w:kern w:val="0"/>
          <w:sz w:val="24"/>
          <w:szCs w:val="24"/>
        </w:rPr>
        <w:t xml:space="preserve">4  </w:t>
      </w:r>
      <w:r w:rsidRPr="00272E0C">
        <w:rPr>
          <w:rFonts w:ascii="宋体" w:cs="Arial" w:hAnsi="宋体" w:hint="eastAsia"/>
          <w:color w:val="000000"/>
          <w:kern w:val="0"/>
          <w:sz w:val="24"/>
          <w:szCs w:val="24"/>
        </w:rPr>
        <w:t>管理人报告</w:t>
      </w:r>
    </w:p>
    <w:p w:rsidP="005C6DF3" w:rsidR="005C6DF3" w:rsidRDefault="001C36D8" w:rsidRPr="0078105B">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 xml:space="preserve">4.1 </w:t>
      </w:r>
      <w:r w:rsidRPr="00272E0C">
        <w:rPr>
          <w:rFonts w:ascii="宋体" w:cs="Arial" w:hAnsi="宋体" w:hint="eastAsia"/>
          <w:b/>
          <w:color w:val="000000"/>
          <w:kern w:val="0"/>
          <w:sz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5C6DF3" w:rsidRPr="0078105B" w:rsidTr="00B7074C">
        <w:trPr>
          <w:cantSplit/>
        </w:trPr>
        <w:tc>
          <w:tcPr>
            <w:tcW w:type="dxa" w:w="567"/>
            <w:vMerge w:val="restart"/>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B7074C" w:rsidR="005C6DF3" w:rsidRDefault="005C6DF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w:t>
            </w:r>
            <w:r w:rsidRPr="00FA472B">
              <w:rPr>
                <w:color w:val="000000"/>
                <w:kern w:val="0"/>
                <w:sz w:val="24"/>
              </w:rPr>
              <w:lastRenderedPageBreak/>
              <w:t>年限</w:t>
            </w:r>
          </w:p>
        </w:tc>
        <w:tc>
          <w:tcPr>
            <w:tcW w:type="dxa" w:w="2977"/>
            <w:vMerge w:val="restart"/>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lastRenderedPageBreak/>
              <w:t>说明</w:t>
            </w:r>
          </w:p>
        </w:tc>
      </w:tr>
      <w:tr w:rsidR="005C6DF3" w:rsidRPr="0078105B" w:rsidTr="00B7074C">
        <w:trPr>
          <w:cantSplit/>
        </w:trPr>
        <w:tc>
          <w:tcPr>
            <w:tcW w:type="dxa" w:w="567"/>
            <w:vMerge/>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p>
        </w:tc>
        <w:tc>
          <w:tcPr>
            <w:tcW w:type="dxa" w:w="2835"/>
            <w:vMerge/>
          </w:tcPr>
          <w:p w:rsidP="00B7074C" w:rsidR="005C6DF3" w:rsidRDefault="005C6DF3"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余海燕</w:t>
            </w:r>
          </w:p>
        </w:tc>
        <w:tc>
          <w:tcPr>
            <w:vAlign w:val="center"/>
          </w:tcPr>
          <w:p>
            <w:pPr>
              <w:jc w:val="left"/>
            </w:pPr>
            <w:r>
              <w:rPr>
                <w:color w:val="000000"/>
                <w:sz w:val="24"/>
              </w:rPr>
              <w:t>本基金的基金经理、易方达沪深300医药卫生交易型开放式指数证券投资基金的基金经理、易方达沪深300非银行金融交易型开放式指数证券投资基金的基金经理、易方达沪深300非银行金融交易型开放式指数证券投资基金联接基金的基金经理、易方达上证50指数分级证券投资基金的基金经理、易方达国企改革指数分级证券投资基金的基金经理、易方达军工指数分级证券投资基金的基金经理、易方达沪深300交易型开放式指数发起式证券投资基金的基金经理、易方达沪深300交易型开放式指数发起式证券投资基金联接基金的基金经理、易方达中证500交易型开放式指数证券投资基金的基金经理、易方达中证海外中国互联网50交易型开放式指数证券投资基金的基金经理、易方达中证军工交易型开放式指数证券投资基金的基金经理、易方达中证全指证券公司交易型开放式指数证券投资基金的基金经理、易方达沪深300医药卫生交易型开放式指数证券投资基金联接基金的基金经理、易方达恒生中国企业交易型开放式指数证券投资基金联接基金的基金经理、易方达黄金交易型开放式证券投资基金联接基金的基金经理、易方达黄金交易型开放式证券投资基金的基金经理、易方达恒生中国企业交易型开放式指数证券投资基金的基金经理、易方达中证海外中国互联网50交易型开放式指数证券投资基金联接基金的基金经理、易方达中证500交易型开放式指数证券投资基金发起式联接基金的基金经理、易方达日兴资管日经225交易型开放式指数证券投资基金（QDII）的基金经理、易方达上证50交易型开放式指数证券投资基金的基金经理、易方达上证50交易型开放式指数证券投资基金发起式联接基金的基金经理、指数投资部副总经理、指数投资决策委员会委员</w:t>
            </w:r>
          </w:p>
        </w:tc>
        <w:tc>
          <w:tcPr>
            <w:vAlign w:val="center"/>
          </w:tcPr>
          <w:p>
            <w:pPr>
              <w:jc w:val="center"/>
            </w:pPr>
            <w:r>
              <w:rPr>
                <w:color w:val="000000"/>
                <w:sz w:val="24"/>
              </w:rPr>
              <w:t>2015-07-08</w:t>
            </w:r>
          </w:p>
        </w:tc>
        <w:tc>
          <w:tcPr>
            <w:vAlign w:val="center"/>
          </w:tcPr>
          <w:p>
            <w:pPr>
              <w:jc w:val="center"/>
            </w:pPr>
            <w:r>
              <w:rPr>
                <w:color w:val="000000"/>
                <w:sz w:val="24"/>
              </w:rPr>
              <w:t>-</w:t>
            </w:r>
          </w:p>
        </w:tc>
        <w:tc>
          <w:tcPr>
            <w:vAlign w:val="center"/>
          </w:tcPr>
          <w:p>
            <w:pPr>
              <w:jc w:val="center"/>
            </w:pPr>
            <w:r>
              <w:rPr>
                <w:color w:val="000000"/>
                <w:sz w:val="24"/>
              </w:rPr>
              <w:t>15年</w:t>
            </w:r>
          </w:p>
        </w:tc>
        <w:tc>
          <w:tcPr>
            <w:vAlign w:val="center"/>
          </w:tcPr>
          <w:p>
            <w:pPr>
              <w:jc w:val="both"/>
            </w:pPr>
            <w:r>
              <w:rPr>
                <w:color w:val="000000"/>
                <w:sz w:val="24"/>
              </w:rPr>
              <w:t>硕士研究生，具有基金从业资格。曾任汇丰银行Consumer Credit Risk信用风险分析师，华宝兴业基金管理有限公司分析师、基金经理助理、基金经理，易方达基金管理有限公司投资发展部产品经理。</w:t>
            </w:r>
          </w:p>
        </w:tc>
      </w:tr>
    </w:tbl>
    <w:p>
      <w:pPr>
        <w:tabs>
          <w:tab w:pos="426" w:val="left"/>
        </w:tabs>
        <w:spacing w:line="360" w:lineRule="auto"/>
        <w:ind w:firstLine="480" w:firstLineChars="200"/>
        <w:rPr>
          <w:kern w:val="0"/>
        </w:rPr>
      </w:pPr>
      <w:r>
        <w:rPr>
          <w:color w:val="000000"/>
          <w:sz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C72761" w:rsidR="00C72761" w:rsidRDefault="005C6DF3">
      <w:pPr>
        <w:tabs>
          <w:tab w:pos="426" w:val="left"/>
        </w:tabs>
        <w:spacing w:line="360" w:lineRule="auto"/>
        <w:ind w:firstLine="480" w:firstLineChars="200"/>
        <w:rPr>
          <w:kern w:val="0"/>
        </w:rPr>
      </w:pPr>
      <w:r w:rsidRPr="00DF18FE">
        <w:rPr>
          <w:color w:val="000000"/>
          <w:sz w:val="24"/>
        </w:rPr>
        <w:t/>
      </w:r>
      <w:proofErr w:type="gramStart"/>
      <w:r w:rsidRPr="00DF18FE">
        <w:rPr>
          <w:color w:val="000000"/>
          <w:sz w:val="24"/>
        </w:rPr>
        <w:t/>
      </w:r>
      <w:proofErr w:type="gramEnd"/>
      <w:r w:rsidRPr="00DF18FE">
        <w:rPr>
          <w:color w:val="000000"/>
          <w:sz w:val="24"/>
        </w:rPr>
        <w:t>2.证券从业的含义遵从《证券业从业人员资格管理办法》的相关规定。</w:t>
      </w:r>
    </w:p>
    <w:p w:rsidP="00CB041A" w:rsidR="001C36D8" w:rsidRDefault="001C36D8" w:rsidRPr="00272E0C">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4.2</w:t>
      </w:r>
      <w:r w:rsidRPr="00272E0C">
        <w:rPr>
          <w:rFonts w:ascii="宋体" w:hAnsi="宋体" w:hint="eastAsia"/>
          <w:b/>
          <w:bCs/>
          <w:color w:val="000000"/>
          <w:sz w:val="24"/>
        </w:rPr>
        <w:t>管理人对报告期内本基金运作遵规守信情况的说明</w:t>
      </w:r>
    </w:p>
    <w:p w:rsidP="00E43B0B" w:rsidR="001C36D8" w:rsidRDefault="001C36D8" w:rsidRPr="00E43B0B">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3A4DA3" w:rsidR="001C36D8" w:rsidRDefault="001C36D8" w:rsidRPr="00272E0C">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lastRenderedPageBreak/>
        <w:t xml:space="preserve">4.3 </w:t>
      </w:r>
      <w:r w:rsidRPr="00272E0C">
        <w:rPr>
          <w:rFonts w:ascii="宋体" w:cs="Arial" w:hAnsi="宋体" w:hint="eastAsia"/>
          <w:b/>
          <w:color w:val="000000"/>
          <w:kern w:val="0"/>
          <w:sz w:val="24"/>
        </w:rPr>
        <w:t>公平交易专项说明</w:t>
      </w:r>
    </w:p>
    <w:p w:rsidP="003A4DA3" w:rsidR="001C36D8" w:rsidRDefault="001C36D8" w:rsidRPr="00272E0C">
      <w:pPr>
        <w:spacing w:line="360" w:lineRule="auto"/>
        <w:rPr>
          <w:rFonts w:ascii="宋体"/>
          <w:sz w:val="24"/>
        </w:rPr>
      </w:pPr>
      <w:smartTag w:element="chsdate" w:uri="urn:schemas-microsoft-com:office:smarttags">
        <w:smartTagPr>
          <w:attr w:name="IsROCDate" w:val="False"/>
          <w:attr w:name="IsLunarDate" w:val="False"/>
          <w:attr w:name="Day" w:val="30"/>
          <w:attr w:name="Month" w:val="12"/>
          <w:attr w:name="Year" w:val="1899"/>
        </w:smartTagPr>
        <w:r w:rsidRPr="00272E0C">
          <w:rPr>
            <w:rFonts w:ascii="宋体" w:hAnsi="宋体"/>
            <w:sz w:val="24"/>
          </w:rPr>
          <w:t>4.3.1</w:t>
        </w:r>
      </w:smartTag>
      <w:r w:rsidRPr="00272E0C">
        <w:rPr>
          <w:rFonts w:ascii="宋体" w:hAnsi="宋体" w:hint="eastAsia"/>
          <w:sz w:val="24"/>
        </w:rPr>
        <w:t>公平交易制度的执行情况</w:t>
      </w:r>
    </w:p>
    <w:p w:rsidP="0015779C" w:rsidR="001C36D8" w:rsidRDefault="001C36D8" w:rsidRPr="003D22BD">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3A4DA3" w:rsidR="001C36D8" w:rsidRDefault="001C36D8" w:rsidRPr="00272E0C">
      <w:pPr>
        <w:spacing w:line="360" w:lineRule="auto"/>
        <w:rPr>
          <w:rFonts w:ascii="宋体"/>
          <w:sz w:val="24"/>
        </w:rPr>
      </w:pPr>
      <w:smartTag w:element="chsdate" w:uri="urn:schemas-microsoft-com:office:smarttags">
        <w:smartTagPr>
          <w:attr w:name="IsROCDate" w:val="False"/>
          <w:attr w:name="IsLunarDate" w:val="False"/>
          <w:attr w:name="Day" w:val="30"/>
          <w:attr w:name="Month" w:val="12"/>
          <w:attr w:name="Year" w:val="1899"/>
        </w:smartTagPr>
        <w:r w:rsidRPr="00272E0C">
          <w:rPr>
            <w:rFonts w:ascii="宋体" w:hAnsi="宋体"/>
            <w:sz w:val="24"/>
          </w:rPr>
          <w:t>4.3.2</w:t>
        </w:r>
      </w:smartTag>
      <w:r w:rsidRPr="00272E0C">
        <w:rPr>
          <w:rFonts w:ascii="宋体" w:hAnsi="宋体" w:hint="eastAsia"/>
          <w:sz w:val="24"/>
        </w:rPr>
        <w:t>异常交易行为的专项说明</w:t>
      </w:r>
    </w:p>
    <w:p>
      <w:pPr>
        <w:spacing w:line="360" w:lineRule="auto"/>
        <w:ind w:firstLine="480" w:firstLineChars="200"/>
        <w:rPr>
          <w:rFonts w:ascii="宋体" w:cs="Arial"/>
          <w:b/>
          <w:color w:val="000000"/>
          <w:kern w:val="0"/>
          <w:sz w:val="24"/>
        </w:rPr>
      </w:pPr>
      <w:r>
        <w:rPr>
          <w:color w:val="000000"/>
          <w:sz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061008" w:rsidR="001C36D8" w:rsidRDefault="001C36D8" w:rsidRPr="00272E0C">
      <w:pPr>
        <w:spacing w:line="360" w:lineRule="auto"/>
        <w:ind w:firstLine="480" w:firstLineChars="200"/>
        <w:rPr>
          <w:rFonts w:ascii="宋体" w:cs="Arial"/>
          <w:b/>
          <w:color w:val="000000"/>
          <w:kern w:val="0"/>
          <w:sz w:val="24"/>
        </w:rPr>
      </w:pPr>
      <w:r w:rsidRPr="003D22BD">
        <w:rPr>
          <w:color w:val="000000"/>
          <w:sz w:val="24"/>
        </w:rPr>
        <w:t/>
      </w:r>
      <w:proofErr w:type="spellStart"/>
      <w:proofErr w:type="gramStart"/>
      <w:r w:rsidRPr="003D22BD">
        <w:rPr>
          <w:color w:val="000000"/>
          <w:sz w:val="24"/>
        </w:rPr>
        <w:t/>
      </w:r>
      <w:proofErr w:type="spellEnd"/>
      <w:proofErr w:type="gramEnd"/>
      <w:r w:rsidRPr="003D22BD">
        <w:rPr>
          <w:color w:val="000000"/>
          <w:sz w:val="24"/>
        </w:rPr>
        <w:t>本报告期内，未发现本基金有可能导致不公平交易和利益输送的异常交易。</w:t>
      </w:r>
      <w:r w:rsidR="00061008" w:rsidRPr="00272E0C">
        <w:rPr>
          <w:rFonts w:ascii="宋体" w:cs="Arial"/>
          <w:b/>
          <w:color w:val="000000"/>
          <w:kern w:val="0"/>
          <w:sz w:val="24"/>
        </w:rPr>
        <w:t xml:space="preserve"> </w:t>
      </w:r>
    </w:p>
    <w:p w:rsidP="00061008" w:rsidR="001C36D8" w:rsidRDefault="00061008" w:rsidRPr="00061008">
      <w:pPr>
        <w:autoSpaceDE w:val="0"/>
        <w:autoSpaceDN w:val="0"/>
        <w:adjustRightInd w:val="0"/>
        <w:spacing w:line="360" w:lineRule="auto"/>
        <w:jc w:val="left"/>
        <w:rPr>
          <w:rFonts w:ascii="宋体" w:cs="Arial" w:hAnsi="宋体"/>
          <w:b/>
          <w:color w:val="000000"/>
          <w:kern w:val="0"/>
          <w:sz w:val="24"/>
        </w:rPr>
      </w:pPr>
      <w:r w:rsidRPr="00061008">
        <w:rPr>
          <w:rFonts w:ascii="宋体" w:cs="Arial" w:hAnsi="宋体"/>
          <w:b/>
          <w:color w:val="000000"/>
          <w:kern w:val="0"/>
          <w:sz w:val="24"/>
        </w:rPr>
        <w:t>4.4</w:t>
      </w:r>
      <w:r w:rsidRPr="00061008">
        <w:rPr>
          <w:rFonts w:ascii="宋体" w:cs="Arial" w:hAnsi="宋体" w:hint="eastAsia"/>
          <w:b/>
          <w:color w:val="000000"/>
          <w:kern w:val="0"/>
          <w:sz w:val="24"/>
        </w:rPr>
        <w:t xml:space="preserve"> </w:t>
      </w:r>
      <w:r w:rsidR="001C36D8" w:rsidRPr="00061008">
        <w:rPr>
          <w:rFonts w:ascii="宋体" w:cs="Arial" w:hAnsi="宋体" w:hint="eastAsia"/>
          <w:b/>
          <w:color w:val="000000"/>
          <w:kern w:val="0"/>
          <w:sz w:val="24"/>
        </w:rPr>
        <w:t>报告期内基金投资策略和运作分析</w:t>
      </w:r>
    </w:p>
    <w:p>
      <w:pPr>
        <w:spacing w:line="360" w:lineRule="auto"/>
        <w:ind w:firstLine="480" w:firstLineChars="200"/>
        <w:rPr>
          <w:color w:val="000000"/>
          <w:sz w:val="24"/>
        </w:rPr>
      </w:pPr>
      <w:r>
        <w:rPr>
          <w:color w:val="000000"/>
          <w:sz w:val="24"/>
        </w:rPr>
        <w:t>2020年三季度国内宏观经济持续复苏，经济的内生增长性增强。随着我国疫情防控取得阶段性胜利，经济运行逐步回归常态，受益于生产、需求以及价格三个方面的综合改善，8月份单月规模以上工业企业实现利润6128.1亿元，同比增长19.1%，已连续3个月实现双位数高增长。9月制造业PMI较上月上涨0.5个百分点至51.5%，已连续第7个月处于扩张区间，处于2018年3季度以来高位；9月非制造业PMI 55.9%，较上月提升0.7个百分点。PMI指标预示经济复苏提速，供需分化持续收敛，服务业加速修复，经济内生增长动能不断释放。宏观政策方面，在国内经济受益于疫情防控得力的背景下，央行的货币政策在经济韧性下逐步回归常态，本季度央行货币政策操作中性偏紧，从前瞻调整转向相机调整，央行在公开市场投放依然审慎，流动性结构性偏紧。海外市场方面，欧洲疫情反扑，9月下旬西班牙、意大利实施新的封锁措施，英国政府也开始考虑二次封锁，使得此前欧洲疫情控制显著好于美国、欧洲经济复苏快于美国的状况发生了逆转，导致美元指数在9月份以来出现回升。资本市场方面，虽然三季度存在中美贸易协商等在内的诸多经贸、政治和全球地缘政治的潜在冲突，但中国经济复苏的确定性、低估值行业的复苏和体制优势使得A股具备较强韧性，市场依然延续了前期震荡上行的趋势，三季度上证综指以上涨7.82%收官。风格主题方面，A股市场从年初以来的估值驱动逐步向业绩驱动转向，前期表现相对弱势的低估值顺周期板块受到市场关注，市场风格趋于均衡，沪深300指数、上证50指数、创业板指分别上涨10.17%、9.87%、5.60%。行业方面，休闲服务、国防军工、电气设备、汽车、食品饮料、证券公司、化工等板块表现强势，通信、商业贸易、计算机、农林牧渔等板块表现相对落后。报告期内中证全指证券公司指数上涨18.64%。</w:t>
      </w:r>
    </w:p>
    <w:p w:rsidP="0015779C" w:rsidR="001C36D8" w:rsidRDefault="001C36D8" w:rsidRPr="003D22BD">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报告期内本基金为正常运作期，在操作中，我们严格遵守基金合同，坚持既定的指数化投资策略，在指数权重调整和基金申赎变动时，应用指数复制和数量化技术降低冲击成本和减少跟踪误差。</w:t>
      </w:r>
    </w:p>
    <w:p w:rsidP="00061008" w:rsidR="001C36D8" w:rsidRDefault="001C36D8" w:rsidRPr="00061008">
      <w:pPr>
        <w:autoSpaceDE w:val="0"/>
        <w:autoSpaceDN w:val="0"/>
        <w:adjustRightInd w:val="0"/>
        <w:spacing w:line="360" w:lineRule="auto"/>
        <w:jc w:val="left"/>
        <w:rPr>
          <w:rFonts w:ascii="宋体" w:cs="Arial" w:hAnsi="宋体"/>
          <w:b/>
          <w:color w:val="000000"/>
          <w:kern w:val="0"/>
          <w:sz w:val="24"/>
        </w:rPr>
      </w:pPr>
      <w:r w:rsidRPr="00061008">
        <w:rPr>
          <w:rFonts w:ascii="宋体" w:cs="Arial" w:hAnsi="宋体"/>
          <w:b/>
          <w:color w:val="000000"/>
          <w:kern w:val="0"/>
          <w:sz w:val="24"/>
        </w:rPr>
        <w:t>4.</w:t>
      </w:r>
      <w:r w:rsidR="00061008">
        <w:rPr>
          <w:rFonts w:ascii="宋体" w:cs="Arial" w:hAnsi="宋体"/>
          <w:b/>
          <w:color w:val="000000"/>
          <w:kern w:val="0"/>
          <w:sz w:val="24"/>
        </w:rPr>
        <w:t>5</w:t>
      </w:r>
      <w:r w:rsidR="00061008">
        <w:rPr>
          <w:rFonts w:ascii="宋体" w:cs="Arial" w:hAnsi="宋体" w:hint="eastAsia"/>
          <w:b/>
          <w:color w:val="000000"/>
          <w:kern w:val="0"/>
          <w:sz w:val="24"/>
        </w:rPr>
        <w:t xml:space="preserve"> </w:t>
      </w:r>
      <w:r w:rsidRPr="00061008">
        <w:rPr>
          <w:rFonts w:ascii="宋体" w:cs="Arial" w:hAnsi="宋体" w:hint="eastAsia"/>
          <w:b/>
          <w:color w:val="000000"/>
          <w:kern w:val="0"/>
          <w:sz w:val="24"/>
        </w:rPr>
        <w:t>报告期内基金的业绩表现</w:t>
      </w:r>
    </w:p>
    <w:p w:rsidP="00061008" w:rsidR="001C36D8" w:rsidRDefault="001C36D8">
      <w:pPr>
        <w:spacing w:line="360" w:lineRule="auto"/>
        <w:ind w:firstLine="480" w:firstLineChars="200"/>
        <w:rPr>
          <w:color w:val="000000"/>
          <w:sz w:val="24"/>
        </w:rPr>
      </w:pPr>
      <w:r w:rsidRPr="003D22BD">
        <w:rPr>
          <w:color w:val="000000"/>
          <w:sz w:val="24"/>
        </w:rPr>
        <w:t/>
      </w:r>
      <w:proofErr w:type="spellStart"/>
      <w:proofErr w:type="gramStart"/>
      <w:r w:rsidRPr="003D22BD">
        <w:rPr>
          <w:color w:val="000000"/>
          <w:sz w:val="24"/>
        </w:rPr>
        <w:t/>
      </w:r>
      <w:proofErr w:type="spellEnd"/>
      <w:proofErr w:type="gramEnd"/>
      <w:r w:rsidRPr="003D22BD">
        <w:rPr>
          <w:color w:val="000000"/>
          <w:sz w:val="24"/>
        </w:rPr>
        <w:t>截至报告期末，本基金份额净值为1.3326元，本报告期份额净值增长率为21.77%，同期业绩比较基准收益率为17.79%，年化跟踪误差1.55%，各项指标均在合同规定的目标控制范围之内。</w:t>
      </w:r>
    </w:p>
    <w:p w:rsidP="005C6DF3" w:rsidR="001C36D8" w:rsidRDefault="001C36D8" w:rsidRPr="00272E0C">
      <w:pPr>
        <w:pStyle w:val="1"/>
        <w:spacing w:after="312" w:afterLines="100" w:before="312" w:beforeLines="100" w:line="360" w:lineRule="auto"/>
        <w:jc w:val="center"/>
        <w:rPr>
          <w:rFonts w:ascii="宋体" w:cs="Arial"/>
          <w:color w:val="000000"/>
          <w:kern w:val="0"/>
          <w:sz w:val="24"/>
          <w:szCs w:val="24"/>
        </w:rPr>
      </w:pPr>
      <w:r w:rsidRPr="00272E0C">
        <w:rPr>
          <w:rFonts w:ascii="宋体" w:cs="Arial" w:hAnsi="宋体" w:hint="eastAsia"/>
          <w:color w:val="000000"/>
          <w:kern w:val="0"/>
          <w:sz w:val="24"/>
          <w:szCs w:val="24"/>
        </w:rPr>
        <w:t>§</w:t>
      </w:r>
      <w:r w:rsidRPr="00272E0C">
        <w:rPr>
          <w:rFonts w:ascii="宋体" w:cs="Arial" w:hAnsi="宋体"/>
          <w:color w:val="000000"/>
          <w:kern w:val="0"/>
          <w:sz w:val="24"/>
          <w:szCs w:val="24"/>
        </w:rPr>
        <w:t xml:space="preserve">5  </w:t>
      </w:r>
      <w:r w:rsidRPr="00272E0C">
        <w:rPr>
          <w:rFonts w:ascii="宋体" w:cs="Arial" w:hAnsi="宋体" w:hint="eastAsia"/>
          <w:color w:val="000000"/>
          <w:kern w:val="0"/>
          <w:sz w:val="24"/>
          <w:szCs w:val="24"/>
        </w:rPr>
        <w:t>投资组合报告</w:t>
      </w:r>
    </w:p>
    <w:p w:rsidP="003A4DA3" w:rsidR="001C36D8" w:rsidRDefault="001C36D8" w:rsidRPr="00272E0C">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 xml:space="preserve">5.1 </w:t>
      </w:r>
      <w:r w:rsidRPr="00272E0C">
        <w:rPr>
          <w:rFonts w:ascii="宋体" w:cs="Arial" w:hAnsi="宋体" w:hint="eastAsia"/>
          <w:b/>
          <w:color w:val="000000"/>
          <w:kern w:val="0"/>
          <w:sz w:val="24"/>
        </w:rPr>
        <w:t>报告期末基金资产组合情况</w:t>
      </w:r>
    </w:p>
    <w:tbl>
      <w:tblPr>
        <w:tblW w:type="dxa" w:w="8746"/>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643"/>
        <w:gridCol w:w="3283"/>
        <w:gridCol w:w="2977"/>
        <w:gridCol w:w="1843"/>
      </w:tblGrid>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序号</w:t>
            </w:r>
          </w:p>
        </w:tc>
        <w:tc>
          <w:tcPr>
            <w:tcW w:type="dxa" w:w="3283"/>
            <w:vAlign w:val="center"/>
          </w:tcPr>
          <w:p w:rsidP="001A09F9" w:rsidR="001C36D8" w:rsidRDefault="001C36D8" w:rsidRPr="005B1E0B">
            <w:pPr>
              <w:spacing w:before="29" w:line="360" w:lineRule="auto"/>
              <w:ind w:left="17"/>
              <w:jc w:val="center"/>
              <w:rPr>
                <w:color w:val="000000"/>
                <w:sz w:val="24"/>
              </w:rPr>
            </w:pPr>
            <w:r w:rsidRPr="005B1E0B">
              <w:rPr>
                <w:color w:val="000000"/>
                <w:sz w:val="24"/>
              </w:rPr>
              <w:t>项目</w:t>
            </w:r>
          </w:p>
        </w:tc>
        <w:tc>
          <w:tcPr>
            <w:tcW w:type="dxa" w:w="2977"/>
            <w:vAlign w:val="center"/>
          </w:tcPr>
          <w:p w:rsidP="0015779C" w:rsidR="001C36D8" w:rsidRDefault="001C36D8" w:rsidRPr="005B1E0B">
            <w:pPr>
              <w:spacing w:before="29" w:line="360" w:lineRule="auto"/>
              <w:ind w:left="17"/>
              <w:jc w:val="center"/>
              <w:rPr>
                <w:color w:val="000000"/>
                <w:sz w:val="24"/>
              </w:rPr>
            </w:pPr>
            <w:r w:rsidRPr="005B1E0B">
              <w:rPr>
                <w:color w:val="000000"/>
                <w:sz w:val="24"/>
              </w:rPr>
              <w:t>金额</w:t>
            </w:r>
            <w:r w:rsidR="0015779C" w:rsidRPr="005B1E0B">
              <w:rPr>
                <w:color w:val="000000"/>
                <w:sz w:val="24"/>
              </w:rPr>
              <w:t>（元）</w:t>
            </w:r>
          </w:p>
        </w:tc>
        <w:tc>
          <w:tcPr>
            <w:tcW w:type="dxa" w:w="1843"/>
            <w:vAlign w:val="center"/>
          </w:tcPr>
          <w:p w:rsidP="0015779C" w:rsidR="001C36D8" w:rsidRDefault="001C36D8" w:rsidRPr="005B1E0B">
            <w:pPr>
              <w:spacing w:before="29" w:line="360" w:lineRule="auto"/>
              <w:ind w:left="17"/>
              <w:jc w:val="center"/>
              <w:rPr>
                <w:color w:val="000000"/>
                <w:sz w:val="24"/>
              </w:rPr>
            </w:pPr>
            <w:r w:rsidRPr="005B1E0B">
              <w:rPr>
                <w:color w:val="000000"/>
                <w:sz w:val="24"/>
              </w:rPr>
              <w:t>占基金总资产的比例</w:t>
            </w:r>
            <w:r w:rsidR="0015779C" w:rsidRPr="005B1E0B">
              <w:rPr>
                <w:color w:val="000000"/>
                <w:sz w:val="24"/>
              </w:rPr>
              <w:t>（</w:t>
            </w:r>
            <w:r w:rsidR="0015779C" w:rsidRPr="005B1E0B">
              <w:rPr>
                <w:color w:val="000000"/>
                <w:sz w:val="24"/>
              </w:rPr>
              <w:t>%</w:t>
            </w:r>
            <w:r w:rsidR="0015779C" w:rsidRPr="005B1E0B">
              <w:rPr>
                <w:color w:val="000000"/>
                <w:sz w:val="24"/>
              </w:rPr>
              <w:t>）</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1</w:t>
            </w:r>
          </w:p>
        </w:tc>
        <w:tc>
          <w:tcPr>
            <w:tcW w:type="dxa" w:w="3283"/>
            <w:vAlign w:val="center"/>
          </w:tcPr>
          <w:p w:rsidP="001A09F9" w:rsidR="001C36D8" w:rsidRDefault="001C36D8" w:rsidRPr="005B1E0B">
            <w:pPr>
              <w:spacing w:before="29" w:line="360" w:lineRule="auto"/>
              <w:ind w:left="17"/>
              <w:jc w:val="left"/>
              <w:rPr>
                <w:sz w:val="24"/>
              </w:rPr>
            </w:pPr>
            <w:r w:rsidRPr="005B1E0B">
              <w:rPr>
                <w:color w:val="000000"/>
                <w:sz w:val="24"/>
              </w:rPr>
              <w:t>权益投资</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801,639,756.80</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93.39</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p>
        </w:tc>
        <w:tc>
          <w:tcPr>
            <w:tcW w:type="dxa" w:w="3283"/>
            <w:vAlign w:val="center"/>
          </w:tcPr>
          <w:p w:rsidP="001A09F9" w:rsidR="001C36D8" w:rsidRDefault="001C36D8" w:rsidRPr="005B1E0B">
            <w:pPr>
              <w:spacing w:before="29" w:line="360" w:lineRule="auto"/>
              <w:ind w:left="17"/>
              <w:jc w:val="left"/>
              <w:rPr>
                <w:sz w:val="24"/>
              </w:rPr>
            </w:pPr>
            <w:r w:rsidRPr="005B1E0B">
              <w:rPr>
                <w:color w:val="000000"/>
                <w:sz w:val="24"/>
              </w:rPr>
              <w:t>其中：股票</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801,639,756.80</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93.39</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2</w:t>
            </w:r>
          </w:p>
        </w:tc>
        <w:tc>
          <w:tcPr>
            <w:tcW w:type="dxa" w:w="3283"/>
            <w:vAlign w:val="center"/>
          </w:tcPr>
          <w:p w:rsidP="001A09F9" w:rsidR="001C36D8" w:rsidRDefault="001C36D8" w:rsidRPr="005B1E0B">
            <w:pPr>
              <w:spacing w:before="29" w:line="360" w:lineRule="auto"/>
              <w:ind w:left="17"/>
              <w:jc w:val="left"/>
              <w:rPr>
                <w:sz w:val="24"/>
              </w:rPr>
            </w:pPr>
            <w:r w:rsidRPr="005B1E0B">
              <w:rPr>
                <w:color w:val="000000"/>
                <w:sz w:val="24"/>
              </w:rPr>
              <w:t>固定收益投资</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r w:rsidRPr="005B1E0B">
              <w:rPr>
                <w:color w:val="000000"/>
                <w:sz w:val="24"/>
              </w:rPr>
              <w:lastRenderedPageBreak/>
              <w:t>-</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p>
        </w:tc>
        <w:tc>
          <w:tcPr>
            <w:tcW w:type="dxa" w:w="3283"/>
            <w:vAlign w:val="center"/>
          </w:tcPr>
          <w:p w:rsidP="001A09F9" w:rsidR="001C36D8" w:rsidRDefault="001C36D8" w:rsidRPr="005B1E0B">
            <w:pPr>
              <w:spacing w:before="29" w:line="360" w:lineRule="auto"/>
              <w:ind w:left="17"/>
              <w:jc w:val="left"/>
              <w:rPr>
                <w:sz w:val="24"/>
              </w:rPr>
            </w:pPr>
            <w:r w:rsidRPr="005B1E0B">
              <w:rPr>
                <w:color w:val="000000"/>
                <w:sz w:val="24"/>
              </w:rPr>
              <w:t>其中：债券</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p>
        </w:tc>
        <w:tc>
          <w:tcPr>
            <w:tcW w:type="dxa" w:w="3283"/>
            <w:vAlign w:val="center"/>
          </w:tcPr>
          <w:p w:rsidP="001A09F9" w:rsidR="001C36D8" w:rsidRDefault="001C36D8" w:rsidRPr="005B1E0B">
            <w:pPr>
              <w:autoSpaceDE w:val="0"/>
              <w:autoSpaceDN w:val="0"/>
              <w:adjustRightInd w:val="0"/>
              <w:spacing w:before="29" w:line="360" w:lineRule="auto"/>
              <w:ind w:left="17"/>
              <w:jc w:val="left"/>
              <w:rPr>
                <w:color w:val="000000"/>
                <w:sz w:val="24"/>
              </w:rPr>
            </w:pPr>
            <w:r w:rsidRPr="005B1E0B">
              <w:rPr>
                <w:color w:val="000000"/>
                <w:sz w:val="24"/>
              </w:rPr>
              <w:t>资产支持证券</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type="dxa" w:w="643"/>
          </w:tcPr>
          <w:p w:rsidP="001A09F9" w:rsidR="001C36D8" w:rsidRDefault="001C36D8" w:rsidRPr="005B1E0B">
            <w:pPr>
              <w:spacing w:before="29" w:line="360" w:lineRule="auto"/>
              <w:ind w:left="17"/>
              <w:jc w:val="center"/>
              <w:rPr>
                <w:color w:val="000000"/>
                <w:sz w:val="24"/>
              </w:rPr>
            </w:pPr>
            <w:r w:rsidRPr="005B1E0B">
              <w:rPr>
                <w:color w:val="000000"/>
                <w:sz w:val="24"/>
              </w:rPr>
              <w:t>3</w:t>
            </w:r>
          </w:p>
        </w:tc>
        <w:tc>
          <w:tcPr>
            <w:tcW w:type="dxa" w:w="3283"/>
          </w:tcPr>
          <w:p w:rsidP="0015779C" w:rsidR="001C36D8" w:rsidRDefault="001C36D8" w:rsidRPr="005B1E0B">
            <w:pPr>
              <w:spacing w:before="29" w:line="360" w:lineRule="auto"/>
              <w:ind w:left="105" w:leftChars="50"/>
              <w:rPr>
                <w:color w:val="000000"/>
                <w:sz w:val="24"/>
              </w:rPr>
            </w:pPr>
            <w:r w:rsidRPr="005B1E0B">
              <w:rPr>
                <w:color w:val="000000"/>
                <w:sz w:val="24"/>
              </w:rPr>
              <w:t>贵金属投资</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4</w:t>
            </w:r>
          </w:p>
        </w:tc>
        <w:tc>
          <w:tcPr>
            <w:tcW w:type="dxa" w:w="3283"/>
            <w:vAlign w:val="center"/>
          </w:tcPr>
          <w:p w:rsidP="001A09F9" w:rsidR="001C36D8" w:rsidRDefault="001C36D8" w:rsidRPr="005B1E0B">
            <w:pPr>
              <w:spacing w:before="29" w:line="360" w:lineRule="auto"/>
              <w:ind w:left="17"/>
              <w:jc w:val="left"/>
              <w:rPr>
                <w:color w:val="000000"/>
                <w:sz w:val="24"/>
              </w:rPr>
            </w:pPr>
            <w:r w:rsidRPr="005B1E0B">
              <w:rPr>
                <w:color w:val="000000"/>
                <w:sz w:val="24"/>
              </w:rPr>
              <w:t>金融衍生品投资</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5</w:t>
            </w:r>
          </w:p>
        </w:tc>
        <w:tc>
          <w:tcPr>
            <w:tcW w:type="dxa" w:w="3283"/>
            <w:vAlign w:val="center"/>
          </w:tcPr>
          <w:p w:rsidP="001A09F9" w:rsidR="001C36D8" w:rsidRDefault="001C36D8" w:rsidRPr="005B1E0B">
            <w:pPr>
              <w:spacing w:before="29" w:line="360" w:lineRule="auto"/>
              <w:ind w:left="17"/>
              <w:jc w:val="left"/>
              <w:rPr>
                <w:sz w:val="24"/>
              </w:rPr>
            </w:pPr>
            <w:r w:rsidRPr="005B1E0B">
              <w:rPr>
                <w:color w:val="000000"/>
                <w:sz w:val="24"/>
              </w:rPr>
              <w:t>买入返售金融资产</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r w:rsidRPr="005B1E0B">
              <w:rPr>
                <w:color w:val="000000"/>
                <w:sz w:val="24"/>
              </w:rPr>
              <w:lastRenderedPageBreak/>
              <w:t>-</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p>
        </w:tc>
        <w:tc>
          <w:tcPr>
            <w:tcW w:type="dxa" w:w="3283"/>
            <w:vAlign w:val="center"/>
          </w:tcPr>
          <w:p w:rsidP="001A09F9" w:rsidR="001C36D8" w:rsidRDefault="001C36D8" w:rsidRPr="005B1E0B">
            <w:pPr>
              <w:spacing w:before="29" w:line="360" w:lineRule="auto"/>
              <w:ind w:left="17"/>
              <w:jc w:val="left"/>
              <w:rPr>
                <w:sz w:val="24"/>
              </w:rPr>
            </w:pPr>
            <w:r w:rsidRPr="005B1E0B">
              <w:rPr>
                <w:color w:val="000000"/>
                <w:sz w:val="24"/>
              </w:rPr>
              <w:t>其中：买断式回购的买入返售金融资产</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6</w:t>
            </w:r>
          </w:p>
        </w:tc>
        <w:tc>
          <w:tcPr>
            <w:tcW w:type="dxa" w:w="3283"/>
            <w:vAlign w:val="center"/>
          </w:tcPr>
          <w:p w:rsidP="001A09F9" w:rsidR="001C36D8" w:rsidRDefault="001C36D8" w:rsidRPr="005B1E0B">
            <w:pPr>
              <w:spacing w:before="29" w:line="360" w:lineRule="auto"/>
              <w:ind w:left="17"/>
              <w:jc w:val="left"/>
              <w:rPr>
                <w:sz w:val="24"/>
              </w:rPr>
            </w:pPr>
            <w:r w:rsidRPr="005B1E0B">
              <w:rPr>
                <w:color w:val="000000"/>
                <w:sz w:val="24"/>
              </w:rPr>
              <w:t>银行存款和结算备付金合计</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55,315,469.93</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6.44</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7</w:t>
            </w:r>
          </w:p>
        </w:tc>
        <w:tc>
          <w:tcPr>
            <w:tcW w:type="dxa" w:w="3283"/>
            <w:vAlign w:val="center"/>
          </w:tcPr>
          <w:p w:rsidP="001A09F9" w:rsidR="001C36D8" w:rsidRDefault="001C36D8" w:rsidRPr="005B1E0B">
            <w:pPr>
              <w:jc w:val="left"/>
              <w:rPr>
                <w:sz w:val="24"/>
              </w:rPr>
            </w:pPr>
            <w:r w:rsidRPr="005B1E0B">
              <w:rPr>
                <w:color w:val="000000"/>
                <w:sz w:val="24"/>
              </w:rPr>
              <w:t>其他资产</w:t>
            </w:r>
          </w:p>
        </w:tc>
        <w:tc>
          <w:tcPr>
            <w:tcW w:type="dxa" w:w="2977"/>
            <w:vAlign w:val="center"/>
          </w:tcPr>
          <w:p w:rsidP="001A09F9" w:rsidR="001C36D8" w:rsidRDefault="001C36D8" w:rsidRPr="005B1E0B">
            <w:pPr>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1,431,197.06</w:t>
            </w:r>
          </w:p>
        </w:tc>
        <w:tc>
          <w:tcPr>
            <w:tcW w:type="dxa" w:w="1843"/>
            <w:vAlign w:val="center"/>
          </w:tcPr>
          <w:p w:rsidP="001A09F9" w:rsidR="001C36D8" w:rsidRDefault="001C36D8" w:rsidRPr="005B1E0B">
            <w:pPr>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0.17</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8</w:t>
            </w:r>
          </w:p>
        </w:tc>
        <w:tc>
          <w:tcPr>
            <w:tcW w:type="dxa" w:w="3283"/>
            <w:vAlign w:val="center"/>
          </w:tcPr>
          <w:p w:rsidP="001A09F9" w:rsidR="001C36D8" w:rsidRDefault="001C36D8" w:rsidRPr="005B1E0B">
            <w:pPr>
              <w:jc w:val="left"/>
              <w:rPr>
                <w:sz w:val="24"/>
              </w:rPr>
            </w:pPr>
            <w:r w:rsidRPr="005B1E0B">
              <w:rPr>
                <w:color w:val="000000"/>
                <w:sz w:val="24"/>
              </w:rPr>
              <w:t>合计</w:t>
            </w:r>
          </w:p>
        </w:tc>
        <w:tc>
          <w:tcPr>
            <w:tcW w:type="dxa" w:w="2977"/>
            <w:vAlign w:val="center"/>
          </w:tcPr>
          <w:p w:rsidP="001A09F9" w:rsidR="001C36D8" w:rsidRDefault="001C36D8" w:rsidRPr="005B1E0B">
            <w:pPr>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858,386,423.79</w:t>
            </w:r>
          </w:p>
        </w:tc>
        <w:tc>
          <w:tcPr>
            <w:tcW w:type="dxa" w:w="1843"/>
            <w:vAlign w:val="center"/>
          </w:tcPr>
          <w:p w:rsidP="001A09F9" w:rsidR="001C36D8" w:rsidRDefault="001C36D8" w:rsidRPr="005B1E0B">
            <w:pPr>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100.00</w:t>
            </w:r>
          </w:p>
        </w:tc>
      </w:tr>
    </w:tbl>
    <w:p w:rsidP="00737AB0" w:rsidR="00737AB0" w:rsidRDefault="00737AB0"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rPr>
      </w:pPr>
      <w:r w:rsidRPr="00220C32">
        <w:rPr>
          <w:rFonts w:asciiTheme="minorEastAsia" w:eastAsiaTheme="minorEastAsia" w:hAnsiTheme="minorEastAsia"/>
          <w:b/>
          <w:bCs/>
          <w:color w:themeColor="text1" w:val="000000"/>
          <w:kern w:val="0"/>
          <w:sz w:val="24"/>
        </w:rPr>
        <w:t xml:space="preserve">5.2 </w:t>
      </w:r>
      <w:r w:rsidRPr="00220C32">
        <w:rPr>
          <w:rFonts w:asciiTheme="minorEastAsia" w:eastAsiaTheme="minorEastAsia" w:hAnsiTheme="minorEastAsia" w:hint="eastAsia"/>
          <w:b/>
          <w:bCs/>
          <w:color w:themeColor="text1" w:val="000000"/>
          <w:kern w:val="0"/>
          <w:sz w:val="24"/>
        </w:rPr>
        <w:t>报告期末按行业分类的股票投资组合</w:t>
      </w:r>
    </w:p>
    <w:p w:rsidP="00737AB0" w:rsidR="00737AB0" w:rsidRDefault="00737AB0" w:rsidRPr="000D7474">
      <w:pPr>
        <w:rPr>
          <w:rFonts w:asciiTheme="minorEastAsia" w:eastAsiaTheme="minorEastAsia" w:hAnsiTheme="minorEastAsia"/>
          <w:b/>
          <w:bCs/>
          <w:color w:themeColor="text1" w:val="000000"/>
          <w:kern w:val="0"/>
          <w:sz w:val="24"/>
        </w:rPr>
      </w:pPr>
      <w:r w:rsidRPr="000D7474">
        <w:rPr>
          <w:rFonts w:asciiTheme="minorEastAsia" w:eastAsiaTheme="minorEastAsia" w:hAnsiTheme="minorEastAsia"/>
          <w:b/>
          <w:bCs/>
          <w:color w:themeColor="text1" w:val="000000"/>
          <w:kern w:val="0"/>
          <w:sz w:val="24"/>
        </w:rPr>
        <w:t/>
      </w:r>
      <w:proofErr w:type="spellStart"/>
      <w:r w:rsidRPr="000D7474">
        <w:rPr>
          <w:rFonts w:asciiTheme="minorEastAsia" w:eastAsiaTheme="minorEastAsia" w:hAnsiTheme="minorEastAsia"/>
          <w:b/>
          <w:bCs/>
          <w:color w:themeColor="text1" w:val="000000"/>
          <w:kern w:val="0"/>
          <w:sz w:val="24"/>
        </w:rPr>
        <w:t/>
      </w:r>
      <w:proofErr w:type="spellEnd"/>
      <w:r w:rsidRPr="000D7474">
        <w:rPr>
          <w:rFonts w:asciiTheme="minorEastAsia" w:eastAsiaTheme="minorEastAsia" w:hAnsiTheme="minorEastAsia"/>
          <w:b/>
          <w:bCs/>
          <w:color w:themeColor="text1" w:val="000000"/>
          <w:kern w:val="0"/>
          <w:sz w:val="24"/>
        </w:rPr>
        <w:t/>
      </w:r>
      <w:r w:rsidRPr="000D7474">
        <w:rPr>
          <w:rFonts w:asciiTheme="minorEastAsia" w:eastAsiaTheme="minorEastAsia" w:hAnsiTheme="minorEastAsia" w:hint="eastAsia"/>
          <w:b/>
          <w:bCs/>
          <w:color w:themeColor="text1" w:val="000000"/>
          <w:kern w:val="0"/>
          <w:sz w:val="24"/>
        </w:rPr>
        <w:t>5.2.1报告期末按行业分类的境内股票投资组合</w:t>
      </w:r>
    </w:p>
    <w:tbl>
      <w:tblPr>
        <w:tblW w:type="dxa" w:w="8976"/>
        <w:tblInd w:type="dxa" w:w="-13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785"/>
        <w:gridCol w:w="3691"/>
        <w:gridCol w:w="2852"/>
        <w:gridCol w:w="1648"/>
      </w:tblGrid>
      <w:tr w:rsidR="00737AB0" w:rsidRPr="008C2A4F" w:rsidTr="00EF063B">
        <w:trPr>
          <w:trHeight w:val="390"/>
        </w:trPr>
        <w:tc>
          <w:tcPr>
            <w:tcW w:type="dxa" w:w="785"/>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代码</w:t>
            </w: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行业类别</w:t>
            </w:r>
          </w:p>
        </w:tc>
        <w:tc>
          <w:tcPr>
            <w:tcW w:type="dxa" w:w="2852"/>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公允价值（元）</w:t>
            </w:r>
          </w:p>
        </w:tc>
        <w:tc>
          <w:tcPr>
            <w:tcW w:type="dxa" w:w="1648"/>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占基金资产净值比例（％）</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A</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农、林、牧、渔业</w:t>
            </w:r>
          </w:p>
        </w:tc>
        <w:tc>
          <w:tcPr>
            <w:tcW w:type="dxa" w:w="2852"/>
            <w:vAlign w:val="center"/>
          </w:tcPr>
          <w:p w:rsidP="00D94F96" w:rsidR="00737AB0" w:rsidRDefault="00737AB0" w:rsidRPr="008C2A4F">
            <w:pPr>
              <w:autoSpaceDE w:val="0"/>
              <w:autoSpaceDN w:val="0"/>
              <w:adjustRightInd w:val="0"/>
              <w:spacing w:before="29" w:line="360" w:lineRule="auto"/>
              <w:ind w:left="15"/>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autoSpaceDE w:val="0"/>
              <w:autoSpaceDN w:val="0"/>
              <w:adjustRightInd w:val="0"/>
              <w:spacing w:before="29" w:line="360" w:lineRule="auto"/>
              <w:ind w:left="15"/>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B</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采矿业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p w:rsidP="00D94F96" w:rsidR="00737AB0" w:rsidRDefault="00737AB0" w:rsidRPr="008C2A4F">
            <w:pPr>
              <w:jc w:val="right"/>
              <w:rPr>
                <w:rFonts w:eastAsiaTheme="minorEastAsia"/>
                <w:color w:themeColor="text1" w:val="000000"/>
                <w:kern w:val="0"/>
                <w:sz w:val="24"/>
              </w:rPr>
            </w:pP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p w:rsidP="00D94F96" w:rsidR="00737AB0" w:rsidRDefault="00737AB0" w:rsidRPr="008C2A4F">
            <w:pPr>
              <w:jc w:val="right"/>
              <w:rPr>
                <w:rFonts w:eastAsiaTheme="minorEastAsia"/>
                <w:color w:themeColor="text1" w:val="000000"/>
                <w:kern w:val="0"/>
                <w:sz w:val="24"/>
              </w:rPr>
            </w:pP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C</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制造业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3,511,074.54</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0.41</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D</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电力、热力、燃气及水生产和供应业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E</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建筑业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13,029.12</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0.00</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F</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批发和零售业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11,470.24</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0.00</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G</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交通运输、仓储和邮政业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18,653.36</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0.00</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lastRenderedPageBreak/>
              <w:t>H</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住宿和餐饮业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I</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信息传输、软件和信息技术服务业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55,709.13</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0.01</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J</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金融业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797,691,778.62</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93.90</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K</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房地产业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L</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租赁和商务服务业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M</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科学研究和技术服务业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30,161.76</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0.00</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N</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水利、环境和公共设施管理业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262,746.77</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0.03</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O</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居民服务、修理和其他服务业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P</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教育</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Q</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卫生和社会工作</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r w:rsidRPr="008C2A4F">
              <w:rPr>
                <w:rFonts w:eastAsiaTheme="minorEastAsia"/>
                <w:color w:themeColor="text1" w:val="000000"/>
                <w:kern w:val="0"/>
                <w:sz w:val="24"/>
              </w:rPr>
              <w:lastRenderedPageBreak/>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lastRenderedPageBreak/>
              <w:t/>
            </w:r>
            <w:proofErr w:type="spellStart"/>
            <w:r w:rsidRPr="008C2A4F">
              <w:rPr>
                <w:rFonts w:eastAsiaTheme="minorEastAsia"/>
                <w:color w:themeColor="text1" w:val="000000"/>
                <w:kern w:val="0"/>
                <w:sz w:val="24"/>
              </w:rPr>
              <w:t/>
            </w:r>
            <w:r w:rsidRPr="008C2A4F">
              <w:rPr>
                <w:rFonts w:eastAsiaTheme="minorEastAsia"/>
                <w:color w:themeColor="text1" w:val="000000"/>
                <w:kern w:val="0"/>
                <w:sz w:val="24"/>
              </w:rPr>
              <w:lastRenderedPageBreak/>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lastRenderedPageBreak/>
              <w:t>R</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文化、体育和娱乐业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45,133.26</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0.01</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S</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综合</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合计</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801,639,756.80</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94.36</w:t>
            </w:r>
          </w:p>
        </w:tc>
      </w:tr>
    </w:tbl>
    <w:p w:rsidP="000F2837" w:rsidR="000F2837" w:rsidRDefault="001C36D8" w:rsidRPr="000F2837">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5.3</w:t>
      </w:r>
      <w:r w:rsidR="00291A74" w:rsidRPr="00291A74">
        <w:rPr>
          <w:rFonts w:ascii="宋体" w:cs="Arial" w:hAnsi="宋体" w:hint="eastAsia"/>
          <w:b/>
          <w:color w:val="000000"/>
          <w:kern w:val="0"/>
          <w:sz w:val="24"/>
        </w:rPr>
        <w:t>报告期末按公允价值占基金资产净值比例大小排序的前十名股票投资明细</w:t>
      </w:r>
    </w:p>
    <w:tbl>
      <w:tblPr>
        <w:tblW w:type="dxa" w:w="8789"/>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1276"/>
        <w:gridCol w:w="1418"/>
        <w:gridCol w:w="1701"/>
        <w:gridCol w:w="1984"/>
        <w:gridCol w:w="1559"/>
      </w:tblGrid>
      <w:tr w:rsidR="000F2837" w:rsidRPr="00264E55" w:rsidTr="002406DE">
        <w:tc>
          <w:tcPr>
            <w:tcW w:type="dxa" w:w="851"/>
            <w:vAlign w:val="center"/>
          </w:tcPr>
          <w:p w:rsidP="002406DE" w:rsidR="000F2837" w:rsidRDefault="000F2837" w:rsidRPr="00232B03">
            <w:pPr>
              <w:spacing w:before="29" w:line="360" w:lineRule="auto"/>
              <w:ind w:left="17"/>
              <w:jc w:val="center"/>
              <w:rPr>
                <w:color w:val="000000"/>
                <w:kern w:val="0"/>
                <w:sz w:val="24"/>
              </w:rPr>
            </w:pPr>
            <w:r w:rsidRPr="00232B03">
              <w:rPr>
                <w:color w:val="000000"/>
                <w:kern w:val="0"/>
                <w:sz w:val="24"/>
              </w:rPr>
              <w:t>序号</w:t>
            </w:r>
          </w:p>
        </w:tc>
        <w:tc>
          <w:tcPr>
            <w:tcW w:type="dxa" w:w="1276"/>
            <w:vAlign w:val="center"/>
          </w:tcPr>
          <w:p w:rsidP="002406DE" w:rsidR="000F2837" w:rsidRDefault="000F2837" w:rsidRPr="00232B03">
            <w:pPr>
              <w:spacing w:before="29" w:line="360" w:lineRule="auto"/>
              <w:ind w:left="17"/>
              <w:jc w:val="center"/>
              <w:rPr>
                <w:color w:val="000000"/>
                <w:kern w:val="0"/>
                <w:sz w:val="24"/>
              </w:rPr>
            </w:pPr>
            <w:r w:rsidRPr="00232B03">
              <w:rPr>
                <w:color w:val="000000"/>
                <w:kern w:val="0"/>
                <w:sz w:val="24"/>
              </w:rPr>
              <w:t>股票代码</w:t>
            </w:r>
          </w:p>
        </w:tc>
        <w:tc>
          <w:tcPr>
            <w:tcW w:type="dxa" w:w="1418"/>
            <w:vAlign w:val="center"/>
          </w:tcPr>
          <w:p w:rsidP="002406DE" w:rsidR="000F2837" w:rsidRDefault="000F2837" w:rsidRPr="00232B03">
            <w:pPr>
              <w:spacing w:before="29" w:line="360" w:lineRule="auto"/>
              <w:ind w:left="17"/>
              <w:jc w:val="center"/>
              <w:rPr>
                <w:color w:val="000000"/>
                <w:kern w:val="0"/>
                <w:sz w:val="24"/>
              </w:rPr>
            </w:pPr>
            <w:r w:rsidRPr="00232B03">
              <w:rPr>
                <w:color w:val="000000"/>
                <w:kern w:val="0"/>
                <w:sz w:val="24"/>
              </w:rPr>
              <w:t>股票名称</w:t>
            </w:r>
          </w:p>
        </w:tc>
        <w:tc>
          <w:tcPr>
            <w:tcW w:type="dxa" w:w="1701"/>
            <w:vAlign w:val="center"/>
          </w:tcPr>
          <w:p w:rsidP="002406DE" w:rsidR="000F2837" w:rsidRDefault="000F2837" w:rsidRPr="00232B03">
            <w:pPr>
              <w:spacing w:before="29" w:line="360" w:lineRule="auto"/>
              <w:ind w:left="17"/>
              <w:jc w:val="center"/>
              <w:rPr>
                <w:color w:val="000000"/>
                <w:kern w:val="0"/>
                <w:sz w:val="24"/>
              </w:rPr>
            </w:pPr>
            <w:r w:rsidRPr="00232B03">
              <w:rPr>
                <w:color w:val="000000"/>
                <w:kern w:val="0"/>
                <w:sz w:val="24"/>
              </w:rPr>
              <w:t>数量（股）</w:t>
            </w:r>
          </w:p>
        </w:tc>
        <w:tc>
          <w:tcPr>
            <w:tcW w:type="dxa" w:w="1984"/>
            <w:vAlign w:val="center"/>
          </w:tcPr>
          <w:p w:rsidP="002406DE" w:rsidR="000F2837" w:rsidRDefault="000F2837" w:rsidRPr="00232B03">
            <w:pPr>
              <w:autoSpaceDE w:val="0"/>
              <w:autoSpaceDN w:val="0"/>
              <w:adjustRightInd w:val="0"/>
              <w:spacing w:before="29" w:line="360" w:lineRule="auto"/>
              <w:ind w:left="17"/>
              <w:jc w:val="center"/>
              <w:rPr>
                <w:color w:val="000000"/>
                <w:kern w:val="0"/>
                <w:sz w:val="24"/>
              </w:rPr>
            </w:pPr>
            <w:r w:rsidRPr="00232B03">
              <w:rPr>
                <w:color w:val="000000"/>
                <w:kern w:val="0"/>
                <w:sz w:val="24"/>
              </w:rPr>
              <w:t>公允价值（元）</w:t>
            </w:r>
          </w:p>
        </w:tc>
        <w:tc>
          <w:tcPr>
            <w:tcW w:type="dxa" w:w="1559"/>
            <w:vAlign w:val="center"/>
          </w:tcPr>
          <w:p w:rsidP="002406DE" w:rsidR="000F2837" w:rsidRDefault="000F2837" w:rsidRPr="00232B03">
            <w:pPr>
              <w:spacing w:before="29" w:line="360" w:lineRule="auto"/>
              <w:ind w:left="17"/>
              <w:jc w:val="center"/>
              <w:rPr>
                <w:color w:val="000000"/>
                <w:kern w:val="0"/>
                <w:sz w:val="24"/>
              </w:rPr>
            </w:pPr>
            <w:r w:rsidRPr="00232B03">
              <w:rPr>
                <w:color w:val="000000"/>
                <w:kern w:val="0"/>
                <w:sz w:val="24"/>
              </w:rPr>
              <w:t>占基金资产净值比例（％）</w:t>
            </w:r>
          </w:p>
        </w:tc>
      </w:tr>
      <w:tr>
        <w:tc>
          <w:tcPr>
            <w:vAlign w:val="center"/>
          </w:tcPr>
          <w:p>
            <w:pPr>
              <w:jc w:val="center"/>
            </w:pPr>
            <w:r>
              <w:rPr>
                <w:color w:val="000000"/>
                <w:kern w:val="0"/>
                <w:sz w:val="24"/>
              </w:rPr>
              <w:t>1</w:t>
            </w:r>
          </w:p>
        </w:tc>
        <w:tc>
          <w:tcPr>
            <w:vAlign w:val="center"/>
          </w:tcPr>
          <w:p>
            <w:pPr>
              <w:jc w:val="center"/>
            </w:pPr>
            <w:r>
              <w:rPr>
                <w:color w:val="000000"/>
                <w:kern w:val="0"/>
                <w:sz w:val="24"/>
              </w:rPr>
              <w:t>600030</w:t>
            </w:r>
          </w:p>
        </w:tc>
        <w:tc>
          <w:tcPr>
            <w:vAlign w:val="center"/>
          </w:tcPr>
          <w:p>
            <w:pPr>
              <w:jc w:val="center"/>
            </w:pPr>
            <w:r>
              <w:rPr>
                <w:color w:val="000000"/>
                <w:kern w:val="0"/>
                <w:sz w:val="24"/>
              </w:rPr>
              <w:t>中信证券</w:t>
            </w:r>
          </w:p>
        </w:tc>
        <w:tc>
          <w:tcPr>
            <w:vAlign w:val="center"/>
          </w:tcPr>
          <w:p>
            <w:pPr>
              <w:jc w:val="right"/>
            </w:pPr>
            <w:r>
              <w:rPr>
                <w:color w:val="000000"/>
                <w:kern w:val="0"/>
                <w:sz w:val="24"/>
              </w:rPr>
              <w:t>3,902,761</w:t>
            </w:r>
          </w:p>
        </w:tc>
        <w:tc>
          <w:tcPr>
            <w:vAlign w:val="center"/>
          </w:tcPr>
          <w:p>
            <w:pPr>
              <w:jc w:val="right"/>
            </w:pPr>
            <w:r>
              <w:rPr>
                <w:color w:val="000000"/>
                <w:kern w:val="0"/>
                <w:sz w:val="24"/>
              </w:rPr>
              <w:t>117,199,912.83</w:t>
            </w:r>
          </w:p>
        </w:tc>
        <w:tc>
          <w:tcPr>
            <w:vAlign w:val="center"/>
          </w:tcPr>
          <w:p>
            <w:pPr>
              <w:jc w:val="right"/>
            </w:pPr>
            <w:r>
              <w:rPr>
                <w:color w:val="000000"/>
                <w:kern w:val="0"/>
                <w:sz w:val="24"/>
              </w:rPr>
              <w:t>13.80</w:t>
            </w:r>
          </w:p>
        </w:tc>
      </w:tr>
      <w:tr>
        <w:tc>
          <w:tcPr>
            <w:vAlign w:val="center"/>
          </w:tcPr>
          <w:p>
            <w:pPr>
              <w:jc w:val="center"/>
            </w:pPr>
            <w:r>
              <w:rPr>
                <w:color w:val="000000"/>
                <w:kern w:val="0"/>
                <w:sz w:val="24"/>
              </w:rPr>
              <w:t>2</w:t>
            </w:r>
          </w:p>
        </w:tc>
        <w:tc>
          <w:tcPr>
            <w:vAlign w:val="center"/>
          </w:tcPr>
          <w:p>
            <w:pPr>
              <w:jc w:val="center"/>
            </w:pPr>
            <w:r>
              <w:rPr>
                <w:color w:val="000000"/>
                <w:kern w:val="0"/>
                <w:sz w:val="24"/>
              </w:rPr>
              <w:t>300059</w:t>
            </w:r>
          </w:p>
        </w:tc>
        <w:tc>
          <w:tcPr>
            <w:vAlign w:val="center"/>
          </w:tcPr>
          <w:p>
            <w:pPr>
              <w:jc w:val="center"/>
            </w:pPr>
            <w:r>
              <w:rPr>
                <w:color w:val="000000"/>
                <w:kern w:val="0"/>
                <w:sz w:val="24"/>
              </w:rPr>
              <w:t>东方财富</w:t>
            </w:r>
          </w:p>
        </w:tc>
        <w:tc>
          <w:tcPr>
            <w:vAlign w:val="center"/>
          </w:tcPr>
          <w:p>
            <w:pPr>
              <w:jc w:val="right"/>
            </w:pPr>
            <w:r>
              <w:rPr>
                <w:color w:val="000000"/>
                <w:kern w:val="0"/>
                <w:sz w:val="24"/>
              </w:rPr>
              <w:t>3,226,844</w:t>
            </w:r>
          </w:p>
        </w:tc>
        <w:tc>
          <w:tcPr>
            <w:vAlign w:val="center"/>
          </w:tcPr>
          <w:p>
            <w:pPr>
              <w:jc w:val="right"/>
            </w:pPr>
            <w:r>
              <w:rPr>
                <w:color w:val="000000"/>
                <w:kern w:val="0"/>
                <w:sz w:val="24"/>
              </w:rPr>
              <w:t>77,411,987.56</w:t>
            </w:r>
          </w:p>
        </w:tc>
        <w:tc>
          <w:tcPr>
            <w:vAlign w:val="center"/>
          </w:tcPr>
          <w:p>
            <w:pPr>
              <w:jc w:val="right"/>
            </w:pPr>
            <w:r>
              <w:rPr>
                <w:color w:val="000000"/>
                <w:kern w:val="0"/>
                <w:sz w:val="24"/>
              </w:rPr>
              <w:t>9.11</w:t>
            </w:r>
          </w:p>
        </w:tc>
      </w:tr>
      <w:tr>
        <w:tc>
          <w:tcPr>
            <w:vAlign w:val="center"/>
          </w:tcPr>
          <w:p>
            <w:pPr>
              <w:jc w:val="center"/>
            </w:pPr>
            <w:r>
              <w:rPr>
                <w:color w:val="000000"/>
                <w:kern w:val="0"/>
                <w:sz w:val="24"/>
              </w:rPr>
              <w:t>3</w:t>
            </w:r>
          </w:p>
        </w:tc>
        <w:tc>
          <w:tcPr>
            <w:vAlign w:val="center"/>
          </w:tcPr>
          <w:p>
            <w:pPr>
              <w:jc w:val="center"/>
            </w:pPr>
            <w:r>
              <w:rPr>
                <w:color w:val="000000"/>
                <w:kern w:val="0"/>
                <w:sz w:val="24"/>
              </w:rPr>
              <w:t>600837</w:t>
            </w:r>
          </w:p>
        </w:tc>
        <w:tc>
          <w:tcPr>
            <w:vAlign w:val="center"/>
          </w:tcPr>
          <w:p>
            <w:pPr>
              <w:jc w:val="center"/>
            </w:pPr>
            <w:r>
              <w:rPr>
                <w:color w:val="000000"/>
                <w:kern w:val="0"/>
                <w:sz w:val="24"/>
              </w:rPr>
              <w:t>海通证券</w:t>
            </w:r>
          </w:p>
        </w:tc>
        <w:tc>
          <w:tcPr>
            <w:vAlign w:val="center"/>
          </w:tcPr>
          <w:p>
            <w:pPr>
              <w:jc w:val="right"/>
            </w:pPr>
            <w:r>
              <w:rPr>
                <w:color w:val="000000"/>
                <w:kern w:val="0"/>
                <w:sz w:val="24"/>
              </w:rPr>
              <w:t>4,521,355</w:t>
            </w:r>
          </w:p>
        </w:tc>
        <w:tc>
          <w:tcPr>
            <w:vAlign w:val="center"/>
          </w:tcPr>
          <w:p>
            <w:pPr>
              <w:jc w:val="right"/>
            </w:pPr>
            <w:r>
              <w:rPr>
                <w:color w:val="000000"/>
                <w:kern w:val="0"/>
                <w:sz w:val="24"/>
              </w:rPr>
              <w:t>63,977,173.25</w:t>
            </w:r>
          </w:p>
        </w:tc>
        <w:tc>
          <w:tcPr>
            <w:vAlign w:val="center"/>
          </w:tcPr>
          <w:p>
            <w:pPr>
              <w:jc w:val="right"/>
            </w:pPr>
            <w:r>
              <w:rPr>
                <w:color w:val="000000"/>
                <w:kern w:val="0"/>
                <w:sz w:val="24"/>
              </w:rPr>
              <w:t>7.53</w:t>
            </w:r>
          </w:p>
        </w:tc>
      </w:tr>
      <w:tr>
        <w:tc>
          <w:tcPr>
            <w:vAlign w:val="center"/>
          </w:tcPr>
          <w:p>
            <w:pPr>
              <w:jc w:val="center"/>
            </w:pPr>
            <w:r>
              <w:rPr>
                <w:color w:val="000000"/>
                <w:kern w:val="0"/>
                <w:sz w:val="24"/>
              </w:rPr>
              <w:t>4</w:t>
            </w:r>
          </w:p>
        </w:tc>
        <w:tc>
          <w:tcPr>
            <w:vAlign w:val="center"/>
          </w:tcPr>
          <w:p>
            <w:pPr>
              <w:jc w:val="center"/>
            </w:pPr>
            <w:r>
              <w:rPr>
                <w:color w:val="000000"/>
                <w:kern w:val="0"/>
                <w:sz w:val="24"/>
              </w:rPr>
              <w:t>601688</w:t>
            </w:r>
          </w:p>
        </w:tc>
        <w:tc>
          <w:tcPr>
            <w:vAlign w:val="center"/>
          </w:tcPr>
          <w:p>
            <w:pPr>
              <w:jc w:val="center"/>
            </w:pPr>
            <w:r>
              <w:rPr>
                <w:color w:val="000000"/>
                <w:kern w:val="0"/>
                <w:sz w:val="24"/>
              </w:rPr>
              <w:t>华泰证券</w:t>
            </w:r>
          </w:p>
        </w:tc>
        <w:tc>
          <w:tcPr>
            <w:vAlign w:val="center"/>
          </w:tcPr>
          <w:p>
            <w:pPr>
              <w:jc w:val="right"/>
            </w:pPr>
            <w:r>
              <w:rPr>
                <w:color w:val="000000"/>
                <w:kern w:val="0"/>
                <w:sz w:val="24"/>
              </w:rPr>
              <w:t>2,756,508</w:t>
            </w:r>
          </w:p>
        </w:tc>
        <w:tc>
          <w:tcPr>
            <w:vAlign w:val="center"/>
          </w:tcPr>
          <w:p>
            <w:pPr>
              <w:jc w:val="right"/>
            </w:pPr>
            <w:r>
              <w:rPr>
                <w:color w:val="000000"/>
                <w:kern w:val="0"/>
                <w:sz w:val="24"/>
              </w:rPr>
              <w:t>56,591,109.24</w:t>
            </w:r>
          </w:p>
        </w:tc>
        <w:tc>
          <w:tcPr>
            <w:vAlign w:val="center"/>
          </w:tcPr>
          <w:p>
            <w:pPr>
              <w:jc w:val="right"/>
            </w:pPr>
            <w:r>
              <w:rPr>
                <w:color w:val="000000"/>
                <w:kern w:val="0"/>
                <w:sz w:val="24"/>
              </w:rPr>
              <w:t>6.66</w:t>
            </w:r>
          </w:p>
        </w:tc>
      </w:tr>
      <w:tr>
        <w:tc>
          <w:tcPr>
            <w:vAlign w:val="center"/>
          </w:tcPr>
          <w:p>
            <w:pPr>
              <w:jc w:val="center"/>
            </w:pPr>
            <w:r>
              <w:rPr>
                <w:color w:val="000000"/>
                <w:kern w:val="0"/>
                <w:sz w:val="24"/>
              </w:rPr>
              <w:t>5</w:t>
            </w:r>
          </w:p>
        </w:tc>
        <w:tc>
          <w:tcPr>
            <w:vAlign w:val="center"/>
          </w:tcPr>
          <w:p>
            <w:pPr>
              <w:jc w:val="center"/>
            </w:pPr>
            <w:r>
              <w:rPr>
                <w:color w:val="000000"/>
                <w:kern w:val="0"/>
                <w:sz w:val="24"/>
              </w:rPr>
              <w:t>601211</w:t>
            </w:r>
          </w:p>
        </w:tc>
        <w:tc>
          <w:tcPr>
            <w:vAlign w:val="center"/>
          </w:tcPr>
          <w:p>
            <w:pPr>
              <w:jc w:val="center"/>
            </w:pPr>
            <w:r>
              <w:rPr>
                <w:color w:val="000000"/>
                <w:kern w:val="0"/>
                <w:sz w:val="24"/>
              </w:rPr>
              <w:t>国泰君安</w:t>
            </w:r>
          </w:p>
        </w:tc>
        <w:tc>
          <w:tcPr>
            <w:vAlign w:val="center"/>
          </w:tcPr>
          <w:p>
            <w:pPr>
              <w:jc w:val="right"/>
            </w:pPr>
            <w:r>
              <w:rPr>
                <w:color w:val="000000"/>
                <w:kern w:val="0"/>
                <w:sz w:val="24"/>
              </w:rPr>
              <w:t>2,111,979</w:t>
            </w:r>
          </w:p>
        </w:tc>
        <w:tc>
          <w:tcPr>
            <w:vAlign w:val="center"/>
          </w:tcPr>
          <w:p>
            <w:pPr>
              <w:jc w:val="right"/>
            </w:pPr>
            <w:r>
              <w:rPr>
                <w:color w:val="000000"/>
                <w:kern w:val="0"/>
                <w:sz w:val="24"/>
              </w:rPr>
              <w:t>38,522,496.96</w:t>
            </w:r>
          </w:p>
        </w:tc>
        <w:tc>
          <w:tcPr>
            <w:vAlign w:val="center"/>
          </w:tcPr>
          <w:p>
            <w:pPr>
              <w:jc w:val="right"/>
            </w:pPr>
            <w:r>
              <w:rPr>
                <w:color w:val="000000"/>
                <w:kern w:val="0"/>
                <w:sz w:val="24"/>
              </w:rPr>
              <w:t>4.53</w:t>
            </w:r>
          </w:p>
        </w:tc>
      </w:tr>
      <w:tr>
        <w:tc>
          <w:tcPr>
            <w:vAlign w:val="center"/>
          </w:tcPr>
          <w:p>
            <w:pPr>
              <w:jc w:val="center"/>
            </w:pPr>
            <w:r>
              <w:rPr>
                <w:color w:val="000000"/>
                <w:kern w:val="0"/>
                <w:sz w:val="24"/>
              </w:rPr>
              <w:t>6</w:t>
            </w:r>
          </w:p>
        </w:tc>
        <w:tc>
          <w:tcPr>
            <w:vAlign w:val="center"/>
          </w:tcPr>
          <w:p>
            <w:pPr>
              <w:jc w:val="center"/>
            </w:pPr>
            <w:r>
              <w:rPr>
                <w:color w:val="000000"/>
                <w:kern w:val="0"/>
                <w:sz w:val="24"/>
              </w:rPr>
              <w:t>600999</w:t>
            </w:r>
          </w:p>
        </w:tc>
        <w:tc>
          <w:tcPr>
            <w:vAlign w:val="center"/>
          </w:tcPr>
          <w:p>
            <w:pPr>
              <w:jc w:val="center"/>
            </w:pPr>
            <w:r>
              <w:rPr>
                <w:color w:val="000000"/>
                <w:kern w:val="0"/>
                <w:sz w:val="24"/>
              </w:rPr>
              <w:t>招商证券</w:t>
            </w:r>
          </w:p>
        </w:tc>
        <w:tc>
          <w:tcPr>
            <w:vAlign w:val="center"/>
          </w:tcPr>
          <w:p>
            <w:pPr>
              <w:jc w:val="right"/>
            </w:pPr>
            <w:r>
              <w:rPr>
                <w:color w:val="000000"/>
                <w:kern w:val="0"/>
                <w:sz w:val="24"/>
              </w:rPr>
              <w:t>1,740,921</w:t>
            </w:r>
          </w:p>
        </w:tc>
        <w:tc>
          <w:tcPr>
            <w:vAlign w:val="center"/>
          </w:tcPr>
          <w:p>
            <w:pPr>
              <w:jc w:val="right"/>
            </w:pPr>
            <w:r>
              <w:rPr>
                <w:color w:val="000000"/>
                <w:kern w:val="0"/>
                <w:sz w:val="24"/>
              </w:rPr>
              <w:t>37,621,302.81</w:t>
            </w:r>
          </w:p>
        </w:tc>
        <w:tc>
          <w:tcPr>
            <w:vAlign w:val="center"/>
          </w:tcPr>
          <w:p>
            <w:pPr>
              <w:jc w:val="right"/>
            </w:pPr>
            <w:r>
              <w:rPr>
                <w:color w:val="000000"/>
                <w:kern w:val="0"/>
                <w:sz w:val="24"/>
              </w:rPr>
              <w:t>4.43</w:t>
            </w:r>
          </w:p>
        </w:tc>
      </w:tr>
      <w:tr>
        <w:tc>
          <w:tcPr>
            <w:vAlign w:val="center"/>
          </w:tcPr>
          <w:p>
            <w:pPr>
              <w:jc w:val="center"/>
            </w:pPr>
            <w:r>
              <w:rPr>
                <w:color w:val="000000"/>
                <w:kern w:val="0"/>
                <w:sz w:val="24"/>
              </w:rPr>
              <w:t>7</w:t>
            </w:r>
          </w:p>
        </w:tc>
        <w:tc>
          <w:tcPr>
            <w:vAlign w:val="center"/>
          </w:tcPr>
          <w:p>
            <w:pPr>
              <w:jc w:val="center"/>
            </w:pPr>
            <w:r>
              <w:rPr>
                <w:color w:val="000000"/>
                <w:kern w:val="0"/>
                <w:sz w:val="24"/>
              </w:rPr>
              <w:t>000166</w:t>
            </w:r>
          </w:p>
        </w:tc>
        <w:tc>
          <w:tcPr>
            <w:vAlign w:val="center"/>
          </w:tcPr>
          <w:p>
            <w:pPr>
              <w:jc w:val="center"/>
            </w:pPr>
            <w:r>
              <w:rPr>
                <w:color w:val="000000"/>
                <w:kern w:val="0"/>
                <w:sz w:val="24"/>
              </w:rPr>
              <w:t>申万宏源</w:t>
            </w:r>
          </w:p>
        </w:tc>
        <w:tc>
          <w:tcPr>
            <w:vAlign w:val="center"/>
          </w:tcPr>
          <w:p>
            <w:pPr>
              <w:jc w:val="right"/>
            </w:pPr>
            <w:r>
              <w:rPr>
                <w:color w:val="000000"/>
                <w:kern w:val="0"/>
                <w:sz w:val="24"/>
              </w:rPr>
              <w:t>4,221,473</w:t>
            </w:r>
          </w:p>
        </w:tc>
        <w:tc>
          <w:tcPr>
            <w:vAlign w:val="center"/>
          </w:tcPr>
          <w:p>
            <w:pPr>
              <w:jc w:val="right"/>
            </w:pPr>
            <w:r>
              <w:rPr>
                <w:color w:val="000000"/>
                <w:kern w:val="0"/>
                <w:sz w:val="24"/>
              </w:rPr>
              <w:t>22,416,021.63</w:t>
            </w:r>
          </w:p>
        </w:tc>
        <w:tc>
          <w:tcPr>
            <w:vAlign w:val="center"/>
          </w:tcPr>
          <w:p>
            <w:pPr>
              <w:jc w:val="right"/>
            </w:pPr>
            <w:r>
              <w:rPr>
                <w:color w:val="000000"/>
                <w:kern w:val="0"/>
                <w:sz w:val="24"/>
              </w:rPr>
              <w:t>2.64</w:t>
            </w:r>
          </w:p>
        </w:tc>
      </w:tr>
      <w:tr>
        <w:tc>
          <w:tcPr>
            <w:vAlign w:val="center"/>
          </w:tcPr>
          <w:p>
            <w:pPr>
              <w:jc w:val="center"/>
            </w:pPr>
            <w:r>
              <w:rPr>
                <w:color w:val="000000"/>
                <w:kern w:val="0"/>
                <w:sz w:val="24"/>
              </w:rPr>
              <w:t>8</w:t>
            </w:r>
          </w:p>
        </w:tc>
        <w:tc>
          <w:tcPr>
            <w:vAlign w:val="center"/>
          </w:tcPr>
          <w:p>
            <w:pPr>
              <w:jc w:val="center"/>
            </w:pPr>
            <w:r>
              <w:rPr>
                <w:color w:val="000000"/>
                <w:kern w:val="0"/>
                <w:sz w:val="24"/>
              </w:rPr>
              <w:t>000776</w:t>
            </w:r>
          </w:p>
        </w:tc>
        <w:tc>
          <w:tcPr>
            <w:vAlign w:val="center"/>
          </w:tcPr>
          <w:p>
            <w:pPr>
              <w:jc w:val="center"/>
            </w:pPr>
            <w:r>
              <w:rPr>
                <w:color w:val="000000"/>
                <w:kern w:val="0"/>
                <w:sz w:val="24"/>
              </w:rPr>
              <w:t>广发证券</w:t>
            </w:r>
          </w:p>
        </w:tc>
        <w:tc>
          <w:tcPr>
            <w:vAlign w:val="center"/>
          </w:tcPr>
          <w:p>
            <w:pPr>
              <w:jc w:val="right"/>
            </w:pPr>
            <w:r>
              <w:rPr>
                <w:color w:val="000000"/>
                <w:kern w:val="0"/>
                <w:sz w:val="24"/>
              </w:rPr>
              <w:t>1,386,029</w:t>
            </w:r>
          </w:p>
        </w:tc>
        <w:tc>
          <w:tcPr>
            <w:vAlign w:val="center"/>
          </w:tcPr>
          <w:p>
            <w:pPr>
              <w:jc w:val="right"/>
            </w:pPr>
            <w:r>
              <w:rPr>
                <w:color w:val="000000"/>
                <w:kern w:val="0"/>
                <w:sz w:val="24"/>
              </w:rPr>
              <w:t>21,871,537.62</w:t>
            </w:r>
          </w:p>
        </w:tc>
        <w:tc>
          <w:tcPr>
            <w:vAlign w:val="center"/>
          </w:tcPr>
          <w:p>
            <w:pPr>
              <w:jc w:val="right"/>
            </w:pPr>
            <w:r>
              <w:rPr>
                <w:color w:val="000000"/>
                <w:kern w:val="0"/>
                <w:sz w:val="24"/>
              </w:rPr>
              <w:t>2.57</w:t>
            </w:r>
          </w:p>
        </w:tc>
      </w:tr>
      <w:tr>
        <w:tc>
          <w:tcPr>
            <w:vAlign w:val="center"/>
          </w:tcPr>
          <w:p>
            <w:pPr>
              <w:jc w:val="center"/>
            </w:pPr>
            <w:r>
              <w:rPr>
                <w:color w:val="000000"/>
                <w:kern w:val="0"/>
                <w:sz w:val="24"/>
              </w:rPr>
              <w:t>9</w:t>
            </w:r>
          </w:p>
        </w:tc>
        <w:tc>
          <w:tcPr>
            <w:vAlign w:val="center"/>
          </w:tcPr>
          <w:p>
            <w:pPr>
              <w:jc w:val="center"/>
            </w:pPr>
            <w:r>
              <w:rPr>
                <w:color w:val="000000"/>
                <w:kern w:val="0"/>
                <w:sz w:val="24"/>
              </w:rPr>
              <w:t>601788</w:t>
            </w:r>
          </w:p>
        </w:tc>
        <w:tc>
          <w:tcPr>
            <w:vAlign w:val="center"/>
          </w:tcPr>
          <w:p>
            <w:pPr>
              <w:jc w:val="center"/>
            </w:pPr>
            <w:r>
              <w:rPr>
                <w:color w:val="000000"/>
                <w:kern w:val="0"/>
                <w:sz w:val="24"/>
              </w:rPr>
              <w:t>光大证券</w:t>
            </w:r>
          </w:p>
        </w:tc>
        <w:tc>
          <w:tcPr>
            <w:vAlign w:val="center"/>
          </w:tcPr>
          <w:p>
            <w:pPr>
              <w:jc w:val="right"/>
            </w:pPr>
            <w:r>
              <w:rPr>
                <w:color w:val="000000"/>
                <w:kern w:val="0"/>
                <w:sz w:val="24"/>
              </w:rPr>
              <w:t>914,775</w:t>
            </w:r>
          </w:p>
        </w:tc>
        <w:tc>
          <w:tcPr>
            <w:vAlign w:val="center"/>
          </w:tcPr>
          <w:p>
            <w:pPr>
              <w:jc w:val="right"/>
            </w:pPr>
            <w:r>
              <w:rPr>
                <w:color w:val="000000"/>
                <w:kern w:val="0"/>
                <w:sz w:val="24"/>
              </w:rPr>
              <w:t>20,079,311.25</w:t>
            </w:r>
          </w:p>
        </w:tc>
        <w:tc>
          <w:tcPr>
            <w:vAlign w:val="center"/>
          </w:tcPr>
          <w:p>
            <w:pPr>
              <w:jc w:val="right"/>
            </w:pPr>
            <w:r>
              <w:rPr>
                <w:color w:val="000000"/>
                <w:kern w:val="0"/>
                <w:sz w:val="24"/>
              </w:rPr>
              <w:t>2.36</w:t>
            </w:r>
          </w:p>
        </w:tc>
      </w:tr>
      <w:tr>
        <w:tc>
          <w:tcPr>
            <w:vAlign w:val="center"/>
          </w:tcPr>
          <w:p>
            <w:pPr>
              <w:jc w:val="center"/>
            </w:pPr>
            <w:r>
              <w:rPr>
                <w:color w:val="000000"/>
                <w:kern w:val="0"/>
                <w:sz w:val="24"/>
              </w:rPr>
              <w:t>10</w:t>
            </w:r>
          </w:p>
        </w:tc>
        <w:tc>
          <w:tcPr>
            <w:vAlign w:val="center"/>
          </w:tcPr>
          <w:p>
            <w:pPr>
              <w:jc w:val="center"/>
            </w:pPr>
            <w:r>
              <w:rPr>
                <w:color w:val="000000"/>
                <w:kern w:val="0"/>
                <w:sz w:val="24"/>
              </w:rPr>
              <w:t>600958</w:t>
            </w:r>
          </w:p>
        </w:tc>
        <w:tc>
          <w:tcPr>
            <w:vAlign w:val="center"/>
          </w:tcPr>
          <w:p>
            <w:pPr>
              <w:jc w:val="center"/>
            </w:pPr>
            <w:r>
              <w:rPr>
                <w:color w:val="000000"/>
                <w:kern w:val="0"/>
                <w:sz w:val="24"/>
              </w:rPr>
              <w:t>东方证券</w:t>
            </w:r>
          </w:p>
        </w:tc>
        <w:tc>
          <w:tcPr>
            <w:vAlign w:val="center"/>
          </w:tcPr>
          <w:p>
            <w:pPr>
              <w:jc w:val="right"/>
            </w:pPr>
            <w:r>
              <w:rPr>
                <w:color w:val="000000"/>
                <w:kern w:val="0"/>
                <w:sz w:val="24"/>
              </w:rPr>
              <w:t>1,676,563</w:t>
            </w:r>
          </w:p>
        </w:tc>
        <w:tc>
          <w:tcPr>
            <w:vAlign w:val="center"/>
          </w:tcPr>
          <w:p>
            <w:pPr>
              <w:jc w:val="right"/>
            </w:pPr>
            <w:r>
              <w:rPr>
                <w:color w:val="000000"/>
                <w:kern w:val="0"/>
                <w:sz w:val="24"/>
              </w:rPr>
              <w:t>18,492,489.89</w:t>
            </w:r>
          </w:p>
        </w:tc>
        <w:tc>
          <w:tcPr>
            <w:vAlign w:val="center"/>
          </w:tcPr>
          <w:p>
            <w:pPr>
              <w:jc w:val="right"/>
            </w:pPr>
            <w:r>
              <w:rPr>
                <w:color w:val="000000"/>
                <w:kern w:val="0"/>
                <w:sz w:val="24"/>
              </w:rPr>
              <w:t>2.18</w:t>
            </w:r>
          </w:p>
        </w:tc>
      </w:tr>
    </w:tbl>
    <w:p w:rsidP="00653BAC" w:rsidR="00653BAC" w:rsidRDefault="001C36D8" w:rsidRPr="00653BAC">
      <w:pPr>
        <w:autoSpaceDE w:val="0"/>
        <w:autoSpaceDN w:val="0"/>
        <w:adjustRightInd w:val="0"/>
        <w:spacing w:line="360" w:lineRule="auto"/>
        <w:jc w:val="left"/>
        <w:rPr>
          <w:rFonts w:eastAsiaTheme="minorEastAsia"/>
          <w:b/>
          <w:color w:themeColor="text1" w:val="000000"/>
          <w:kern w:val="0"/>
          <w:sz w:val="24"/>
        </w:rPr>
      </w:pPr>
      <w:r w:rsidRPr="00272E0C">
        <w:rPr>
          <w:rFonts w:ascii="宋体" w:cs="Arial" w:hAnsi="宋体"/>
          <w:b/>
          <w:color w:val="000000"/>
          <w:kern w:val="0"/>
          <w:sz w:val="24"/>
        </w:rPr>
        <w:t xml:space="preserve">5.4 </w:t>
      </w:r>
      <w:r w:rsidRPr="00272E0C">
        <w:rPr>
          <w:rFonts w:ascii="宋体" w:cs="Arial" w:hAnsi="宋体" w:hint="eastAsia"/>
          <w:b/>
          <w:color w:val="000000"/>
          <w:kern w:val="0"/>
          <w:sz w:val="24"/>
        </w:rPr>
        <w:t>报告期末按债券品种分类的债券投资组合</w:t>
      </w:r>
    </w:p>
    <w:p w:rsidP="00653BAC" w:rsidR="001C36D8" w:rsidRDefault="00653BAC" w:rsidRPr="00653BAC">
      <w:pPr>
        <w:spacing w:line="360" w:lineRule="auto"/>
        <w:ind w:firstLine="480" w:firstLineChars="200"/>
        <w:rPr>
          <w:color w:val="000000"/>
          <w:sz w:val="24"/>
        </w:rPr>
      </w:pPr>
      <w:r w:rsidRPr="00653BAC">
        <w:rPr>
          <w:color w:val="000000"/>
          <w:sz w:val="24"/>
        </w:rPr>
        <w:lastRenderedPageBreak/>
        <w:t/>
      </w:r>
      <w:proofErr w:type="spellStart"/>
      <w:r w:rsidRPr="00653BAC">
        <w:rPr>
          <w:color w:val="000000"/>
          <w:sz w:val="24"/>
        </w:rPr>
        <w:t/>
      </w:r>
      <w:proofErr w:type="spellEnd"/>
      <w:r w:rsidRPr="00653BAC">
        <w:rPr>
          <w:color w:val="000000"/>
          <w:sz w:val="24"/>
        </w:rPr>
        <w:t/>
      </w:r>
      <w:proofErr w:type="spellStart"/>
      <w:r w:rsidRPr="00653BAC">
        <w:rPr>
          <w:color w:val="000000"/>
          <w:sz w:val="24"/>
        </w:rPr>
        <w:t/>
      </w:r>
      <w:proofErr w:type="spellEnd"/>
      <w:r w:rsidRPr="00653BAC">
        <w:rPr>
          <w:color w:val="000000"/>
          <w:sz w:val="24"/>
        </w:rPr>
        <w:t>本基金本报告期末未持有债券。</w:t>
      </w:r>
    </w:p>
    <w:p w:rsidP="00576862" w:rsidR="001C36D8" w:rsidRDefault="001C36D8" w:rsidRPr="00272E0C">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 xml:space="preserve">5.5 </w:t>
      </w:r>
      <w:r w:rsidRPr="00272E0C">
        <w:rPr>
          <w:rFonts w:ascii="宋体" w:cs="Arial" w:hAnsi="宋体" w:hint="eastAsia"/>
          <w:b/>
          <w:color w:val="000000"/>
          <w:kern w:val="0"/>
          <w:sz w:val="24"/>
        </w:rPr>
        <w:t>报告期末按公允价值占基金资产净值比例大小排</w:t>
      </w:r>
      <w:r>
        <w:rPr>
          <w:rFonts w:ascii="宋体" w:cs="Arial" w:hAnsi="宋体" w:hint="eastAsia"/>
          <w:b/>
          <w:color w:val="000000"/>
          <w:kern w:val="0"/>
          <w:sz w:val="24"/>
        </w:rPr>
        <w:t>序</w:t>
      </w:r>
      <w:r w:rsidRPr="00272E0C">
        <w:rPr>
          <w:rFonts w:ascii="宋体" w:cs="Arial" w:hAnsi="宋体" w:hint="eastAsia"/>
          <w:b/>
          <w:color w:val="000000"/>
          <w:kern w:val="0"/>
          <w:sz w:val="24"/>
        </w:rPr>
        <w:t>的前五名债券投资明细</w:t>
      </w:r>
    </w:p>
    <w:p w:rsidP="005B1E0B" w:rsidR="001C36D8" w:rsidRDefault="001C36D8" w:rsidRPr="005B1E0B">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本基金本报告期末未持有债券。</w:t>
      </w:r>
    </w:p>
    <w:p w:rsidP="00576862" w:rsidR="001C36D8" w:rsidRDefault="001C36D8" w:rsidRPr="00272E0C">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5.6</w:t>
      </w:r>
      <w:r w:rsidRPr="00272E0C">
        <w:rPr>
          <w:rFonts w:ascii="宋体" w:cs="Arial" w:hAnsi="宋体" w:hint="eastAsia"/>
          <w:b/>
          <w:color w:val="000000"/>
          <w:kern w:val="0"/>
          <w:sz w:val="24"/>
        </w:rPr>
        <w:t>报告期末按公允价值占基金资产净值比例大小排</w:t>
      </w:r>
      <w:r>
        <w:rPr>
          <w:rFonts w:ascii="宋体" w:cs="Arial" w:hAnsi="宋体" w:hint="eastAsia"/>
          <w:b/>
          <w:color w:val="000000"/>
          <w:kern w:val="0"/>
          <w:sz w:val="24"/>
        </w:rPr>
        <w:t>序</w:t>
      </w:r>
      <w:r w:rsidRPr="00272E0C">
        <w:rPr>
          <w:rFonts w:ascii="宋体" w:cs="Arial" w:hAnsi="宋体" w:hint="eastAsia"/>
          <w:b/>
          <w:color w:val="000000"/>
          <w:kern w:val="0"/>
          <w:sz w:val="24"/>
        </w:rPr>
        <w:t>的前十名资产支持证券投资明细</w:t>
      </w:r>
    </w:p>
    <w:p w:rsidP="005B1E0B" w:rsidR="001C36D8" w:rsidRDefault="001C36D8" w:rsidRPr="005B1E0B">
      <w:pPr>
        <w:spacing w:line="360" w:lineRule="auto"/>
        <w:ind w:firstLine="480" w:firstLineChars="200"/>
        <w:rPr>
          <w:color w:val="000000"/>
          <w:sz w:val="24"/>
        </w:rPr>
      </w:pPr>
      <w:r w:rsidRPr="003D22BD">
        <w:rPr>
          <w:color w:val="000000"/>
          <w:sz w:val="24"/>
        </w:rPr>
        <w:lastRenderedPageBreak/>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本基金本报告期末未持有资产支持证券。</w:t>
      </w:r>
    </w:p>
    <w:p w:rsidP="001C123E" w:rsidR="001C36D8" w:rsidRDefault="001C36D8" w:rsidRPr="001D63BB">
      <w:pPr>
        <w:autoSpaceDE w:val="0"/>
        <w:autoSpaceDN w:val="0"/>
        <w:adjustRightInd w:val="0"/>
        <w:spacing w:line="360" w:lineRule="auto"/>
        <w:jc w:val="left"/>
        <w:rPr>
          <w:rFonts w:ascii="宋体"/>
          <w:b/>
          <w:bCs/>
          <w:color w:val="000000"/>
          <w:kern w:val="0"/>
          <w:sz w:val="24"/>
        </w:rPr>
      </w:pPr>
      <w:r w:rsidRPr="001B0A62">
        <w:rPr>
          <w:rFonts w:ascii="宋体"/>
          <w:b/>
          <w:bCs/>
          <w:color w:val="000000"/>
          <w:kern w:val="0"/>
          <w:sz w:val="24"/>
        </w:rPr>
        <w:t/>
      </w:r>
      <w:r w:rsidRPr="001B0A62">
        <w:rPr>
          <w:rFonts w:ascii="宋体" w:hAnsi="宋体"/>
          <w:b/>
          <w:bCs/>
          <w:color w:val="000000"/>
          <w:kern w:val="0"/>
          <w:sz w:val="24"/>
        </w:rPr>
        <w:t>5.</w:t>
      </w:r>
      <w:r>
        <w:rPr>
          <w:rFonts w:ascii="宋体" w:hAnsi="宋体"/>
          <w:b/>
          <w:bCs/>
          <w:color w:val="000000"/>
          <w:kern w:val="0"/>
          <w:sz w:val="24"/>
        </w:rPr>
        <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P="005B1E0B" w:rsidR="001C36D8" w:rsidRDefault="001C36D8" w:rsidRPr="005B1E0B">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本基金本报告期末未持有贵金属。</w:t>
      </w:r>
    </w:p>
    <w:p w:rsidP="00576862" w:rsidR="001C36D8" w:rsidRDefault="001C36D8" w:rsidRPr="00272E0C">
      <w:pPr>
        <w:autoSpaceDE w:val="0"/>
        <w:autoSpaceDN w:val="0"/>
        <w:adjustRightInd w:val="0"/>
        <w:spacing w:line="360" w:lineRule="auto"/>
        <w:jc w:val="left"/>
        <w:rPr>
          <w:rFonts w:ascii="宋体" w:cs="Arial"/>
          <w:b/>
          <w:color w:val="000000"/>
          <w:kern w:val="0"/>
          <w:sz w:val="24"/>
        </w:rPr>
      </w:pPr>
      <w:r>
        <w:rPr>
          <w:rFonts w:ascii="宋体"/>
          <w:b/>
          <w:bCs/>
          <w:color w:val="000000"/>
          <w:kern w:val="0"/>
          <w:sz w:val="24"/>
        </w:rPr>
        <w:t/>
      </w:r>
      <w:r>
        <w:rPr>
          <w:rFonts w:ascii="宋体" w:hAnsi="宋体"/>
          <w:b/>
          <w:bCs/>
          <w:color w:val="000000"/>
          <w:kern w:val="0"/>
          <w:sz w:val="24"/>
        </w:rPr>
        <w:t/>
      </w:r>
      <w:r w:rsidRPr="001B0A62">
        <w:rPr>
          <w:rFonts w:ascii="宋体"/>
          <w:b/>
          <w:bCs/>
          <w:color w:val="000000"/>
          <w:kern w:val="0"/>
          <w:sz w:val="24"/>
        </w:rPr>
        <w:t>5.</w:t>
      </w:r>
      <w:r w:rsidRPr="001B0A62">
        <w:rPr>
          <w:rFonts w:ascii="宋体" w:hAnsi="宋体"/>
          <w:b/>
          <w:bCs/>
          <w:color w:val="000000"/>
          <w:kern w:val="0"/>
          <w:sz w:val="24"/>
        </w:rPr>
        <w:t/>
      </w:r>
      <w:r>
        <w:rPr>
          <w:rFonts w:ascii="宋体" w:hAnsi="宋体"/>
          <w:b/>
          <w:bCs/>
          <w:color w:val="000000"/>
          <w:kern w:val="0"/>
          <w:sz w:val="24"/>
        </w:rPr>
        <w:t/>
      </w:r>
      <w:r w:rsidRPr="001B0A62">
        <w:rPr>
          <w:rFonts w:ascii="宋体"/>
          <w:b/>
          <w:bCs/>
          <w:color w:val="000000"/>
          <w:kern w:val="0"/>
          <w:sz w:val="24"/>
        </w:rPr>
        <w:t>8</w:t>
      </w:r>
      <w:r w:rsidRPr="00272E0C">
        <w:rPr>
          <w:rFonts w:ascii="宋体" w:hAnsi="宋体" w:hint="eastAsia"/>
          <w:b/>
          <w:bCs/>
          <w:color w:val="000000"/>
          <w:sz w:val="24"/>
        </w:rPr>
        <w:t>报告期末按公允价值占基金资产净值比例大小排</w:t>
      </w:r>
      <w:r>
        <w:rPr>
          <w:rFonts w:ascii="宋体" w:hAnsi="宋体" w:hint="eastAsia"/>
          <w:b/>
          <w:bCs/>
          <w:color w:val="000000"/>
          <w:sz w:val="24"/>
        </w:rPr>
        <w:t>序</w:t>
      </w:r>
      <w:r w:rsidRPr="00272E0C">
        <w:rPr>
          <w:rFonts w:ascii="宋体" w:hAnsi="宋体" w:hint="eastAsia"/>
          <w:b/>
          <w:bCs/>
          <w:color w:val="000000"/>
          <w:sz w:val="24"/>
        </w:rPr>
        <w:t>的前五名权证投资明细</w:t>
      </w:r>
    </w:p>
    <w:p w:rsidP="005B1E0B" w:rsidR="001C36D8" w:rsidRDefault="001C36D8" w:rsidRPr="005B1E0B">
      <w:pPr>
        <w:spacing w:line="360" w:lineRule="auto"/>
        <w:ind w:firstLine="480" w:firstLineChars="200"/>
        <w:rPr>
          <w:color w:val="000000"/>
          <w:sz w:val="24"/>
        </w:rPr>
      </w:pPr>
      <w:r w:rsidRPr="003D22BD">
        <w:rPr>
          <w:color w:val="000000"/>
          <w:sz w:val="24"/>
        </w:rPr>
        <w:lastRenderedPageBreak/>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本基金本报告期末未持有权证。</w:t>
      </w:r>
    </w:p>
    <w:p w:rsidP="00E57068" w:rsidR="001C36D8" w:rsidRDefault="00B55281" w:rsidRPr="00E85E29">
      <w:pPr>
        <w:adjustRightInd w:val="0"/>
        <w:snapToGrid w:val="0"/>
        <w:spacing w:line="360" w:lineRule="auto"/>
        <w:rPr>
          <w:rFonts w:ascii="宋体"/>
          <w:b/>
          <w:sz w:val="24"/>
        </w:rPr>
      </w:pPr>
      <w:r w:rsidRPr="00E85E29">
        <w:rPr>
          <w:rFonts w:ascii="宋体"/>
          <w:b/>
          <w:sz w:val="24"/>
        </w:rPr>
        <w:t/>
      </w:r>
      <w:proofErr w:type="spellStart"/>
      <w:r w:rsidRPr="00E85E29">
        <w:rPr>
          <w:rFonts w:ascii="宋体" w:hAnsi="宋体"/>
          <w:b/>
          <w:sz w:val="24"/>
        </w:rPr>
        <w:t/>
      </w:r>
      <w:proofErr w:type="spellEnd"/>
      <w:r w:rsidRPr="00E85E29">
        <w:rPr>
          <w:rFonts w:ascii="宋体" w:hAnsi="宋体"/>
          <w:b/>
          <w:sz w:val="24"/>
        </w:rPr>
        <w:t/>
      </w:r>
      <w:r w:rsidR="001C36D8">
        <w:rPr>
          <w:rFonts w:ascii="宋体"/>
          <w:b/>
          <w:bCs/>
          <w:color w:val="000000"/>
          <w:kern w:val="0"/>
          <w:sz w:val="24"/>
        </w:rPr>
        <w:t/>
      </w:r>
      <w:r w:rsidR="001C36D8">
        <w:rPr>
          <w:rFonts w:ascii="宋体" w:hAnsi="宋体"/>
          <w:b/>
          <w:bCs/>
          <w:color w:val="000000"/>
          <w:kern w:val="0"/>
          <w:sz w:val="24"/>
        </w:rPr>
        <w:t/>
      </w:r>
      <w:r w:rsidR="001C36D8" w:rsidRPr="001B0A62">
        <w:rPr>
          <w:rFonts w:ascii="宋体"/>
          <w:b/>
          <w:bCs/>
          <w:color w:val="000000"/>
          <w:kern w:val="0"/>
          <w:sz w:val="24"/>
        </w:rPr>
        <w:t>5.</w:t>
      </w:r>
      <w:r w:rsidR="001C36D8" w:rsidRPr="001B0A62">
        <w:rPr>
          <w:rFonts w:ascii="宋体" w:hAnsi="宋体"/>
          <w:b/>
          <w:bCs/>
          <w:color w:val="000000"/>
          <w:kern w:val="0"/>
          <w:sz w:val="24"/>
        </w:rPr>
        <w:t/>
      </w:r>
      <w:r w:rsidR="001C36D8">
        <w:rPr>
          <w:rFonts w:ascii="宋体" w:hAnsi="宋体"/>
          <w:b/>
          <w:bCs/>
          <w:color w:val="000000"/>
          <w:kern w:val="0"/>
          <w:sz w:val="24"/>
        </w:rPr>
        <w:t/>
      </w:r>
      <w:r w:rsidR="001C36D8" w:rsidRPr="001B0A62">
        <w:rPr>
          <w:rFonts w:ascii="宋体"/>
          <w:b/>
          <w:bCs/>
          <w:color w:val="000000"/>
          <w:kern w:val="0"/>
          <w:sz w:val="24"/>
        </w:rPr>
        <w:t>9</w:t>
      </w:r>
      <w:r w:rsidR="001C36D8" w:rsidRPr="00E85E29">
        <w:rPr>
          <w:rFonts w:ascii="宋体" w:hAnsi="宋体" w:hint="eastAsia"/>
          <w:b/>
          <w:sz w:val="24"/>
        </w:rPr>
        <w:t>报告期末本基金投资的股指期货交易情况说明</w:t>
      </w:r>
    </w:p>
    <w:p w:rsidP="003B3D0C" w:rsidR="003B3D0C" w:rsidRDefault="003B3D0C">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r>
        <w:rPr>
          <w:color w:val="000000"/>
          <w:sz w:val="24"/>
        </w:rPr>
        <w:t/>
      </w:r>
      <w:r>
        <w:rPr>
          <w:rFonts w:eastAsiaTheme="minorEastAsia"/>
          <w:color w:themeColor="text1" w:val="000000"/>
          <w:sz w:val="24"/>
        </w:rPr>
        <w:t/>
      </w:r>
      <w:proofErr w:type="spellEnd"/>
      <w:r>
        <w:rPr>
          <w:rFonts w:eastAsiaTheme="minorEastAsia"/>
          <w:color w:themeColor="text1" w:val="000000"/>
          <w:sz w:val="24"/>
        </w:rPr>
        <w:t>本基金本报告期末未投资股指期货。</w:t>
      </w:r>
    </w:p>
    <w:p w:rsidP="00576862" w:rsidR="001C36D8" w:rsidRDefault="00B55281" w:rsidRPr="00272E0C">
      <w:pPr>
        <w:adjustRightInd w:val="0"/>
        <w:snapToGrid w:val="0"/>
        <w:spacing w:line="360" w:lineRule="auto"/>
        <w:rPr>
          <w:rFonts w:ascii="宋体"/>
          <w:b/>
          <w:sz w:val="24"/>
        </w:rPr>
      </w:pPr>
      <w:r w:rsidRPr="00E85E29">
        <w:rPr>
          <w:rFonts w:ascii="宋体"/>
          <w:b/>
          <w:sz w:val="24"/>
        </w:rPr>
        <w:t/>
      </w:r>
      <w:proofErr w:type="spellStart"/>
      <w:r w:rsidRPr="00E85E29">
        <w:rPr>
          <w:rFonts w:ascii="宋体" w:hAnsi="宋体"/>
          <w:b/>
          <w:sz w:val="24"/>
        </w:rPr>
        <w:t/>
      </w:r>
      <w:proofErr w:type="spellEnd"/>
      <w:r w:rsidRPr="00E85E29">
        <w:rPr>
          <w:rFonts w:ascii="宋体" w:hAnsi="宋体"/>
          <w:b/>
          <w:sz w:val="24"/>
        </w:rPr>
        <w:t/>
      </w:r>
      <w:r w:rsidR="001C36D8">
        <w:rPr>
          <w:rFonts w:ascii="宋体"/>
          <w:b/>
          <w:sz w:val="24"/>
        </w:rPr>
        <w:t/>
      </w:r>
      <w:r w:rsidR="001C36D8">
        <w:rPr>
          <w:rFonts w:ascii="宋体" w:hAnsi="宋体"/>
          <w:b/>
          <w:sz w:val="24"/>
        </w:rPr>
        <w:t>5</w:t>
      </w:r>
      <w:r w:rsidR="001C36D8" w:rsidRPr="00272E0C">
        <w:rPr>
          <w:rFonts w:ascii="宋体"/>
          <w:b/>
          <w:sz w:val="24"/>
        </w:rPr>
        <w:t>.</w:t>
      </w:r>
      <w:r w:rsidR="001C36D8">
        <w:rPr>
          <w:rFonts w:ascii="宋体"/>
          <w:b/>
          <w:sz w:val="24"/>
        </w:rPr>
        <w:t/>
      </w:r>
      <w:r w:rsidR="001C36D8">
        <w:rPr>
          <w:rFonts w:ascii="宋体" w:hAnsi="宋体"/>
          <w:b/>
          <w:sz w:val="24"/>
        </w:rPr>
        <w:t>10</w:t>
      </w:r>
      <w:r w:rsidR="001C36D8" w:rsidRPr="00272E0C">
        <w:rPr>
          <w:rFonts w:ascii="宋体" w:hAnsi="宋体" w:hint="eastAsia"/>
          <w:b/>
          <w:sz w:val="24"/>
        </w:rPr>
        <w:t>报告期末本基金投资的国债期货交易情况说明</w:t>
      </w:r>
    </w:p>
    <w:p w:rsidP="000C44BD" w:rsidR="000C44BD" w:rsidRDefault="000C44BD">
      <w:pPr>
        <w:spacing w:line="360" w:lineRule="auto"/>
        <w:ind w:firstLine="480" w:firstLineChars="200"/>
      </w:pPr>
      <w:r>
        <w:rPr>
          <w:color w:val="000000"/>
          <w:sz w:val="24"/>
        </w:rPr>
        <w:t/>
      </w:r>
      <w:proofErr w:type="spellStart"/>
      <w:r>
        <w:rPr>
          <w:color w:val="000000"/>
          <w:sz w:val="24"/>
        </w:rPr>
        <w:t/>
      </w:r>
      <w:proofErr w:type="spellEnd"/>
      <w:r>
        <w:rPr>
          <w:color w:val="000000"/>
          <w:sz w:val="24"/>
        </w:rPr>
        <w:t/>
      </w:r>
      <w:proofErr w:type="spellStart"/>
      <w:r>
        <w:rPr>
          <w:color w:val="000000"/>
          <w:sz w:val="24"/>
        </w:rPr>
        <w:t/>
      </w:r>
      <w:proofErr w:type="spellEnd"/>
      <w:r>
        <w:rPr>
          <w:color w:val="000000"/>
          <w:sz w:val="24"/>
        </w:rPr>
        <w:t>本基金本报告期末未投资国债期货。</w:t>
      </w:r>
    </w:p>
    <w:p w:rsidP="00576862" w:rsidR="001C36D8" w:rsidRDefault="001C36D8" w:rsidRPr="00272E0C">
      <w:pPr>
        <w:autoSpaceDE w:val="0"/>
        <w:autoSpaceDN w:val="0"/>
        <w:adjustRightInd w:val="0"/>
        <w:spacing w:line="360" w:lineRule="auto"/>
        <w:jc w:val="left"/>
        <w:rPr>
          <w:rFonts w:ascii="宋体" w:cs="Arial"/>
          <w:b/>
          <w:color w:val="000000"/>
          <w:kern w:val="0"/>
          <w:sz w:val="24"/>
        </w:rPr>
      </w:pPr>
      <w:r>
        <w:rPr>
          <w:rFonts w:ascii="宋体" w:cs="Arial"/>
          <w:b/>
          <w:color w:val="000000"/>
          <w:kern w:val="0"/>
          <w:sz w:val="24"/>
        </w:rPr>
        <w:t/>
      </w:r>
      <w:r>
        <w:rPr>
          <w:rFonts w:ascii="宋体" w:cs="Arial" w:hAnsi="宋体"/>
          <w:b/>
          <w:color w:val="000000"/>
          <w:kern w:val="0"/>
          <w:sz w:val="24"/>
        </w:rPr>
        <w:t>5</w:t>
      </w:r>
      <w:r w:rsidRPr="00272E0C">
        <w:rPr>
          <w:rFonts w:ascii="宋体" w:cs="Arial"/>
          <w:b/>
          <w:color w:val="000000"/>
          <w:kern w:val="0"/>
          <w:sz w:val="24"/>
        </w:rPr>
        <w:t>.</w:t>
      </w:r>
      <w:r>
        <w:rPr>
          <w:rFonts w:ascii="宋体" w:cs="Arial"/>
          <w:b/>
          <w:color w:val="000000"/>
          <w:kern w:val="0"/>
          <w:sz w:val="24"/>
        </w:rPr>
        <w:t/>
      </w:r>
      <w:r>
        <w:rPr>
          <w:rFonts w:ascii="宋体" w:cs="Arial" w:hAnsi="宋体"/>
          <w:b/>
          <w:color w:val="000000"/>
          <w:kern w:val="0"/>
          <w:sz w:val="24"/>
        </w:rPr>
        <w:t>11</w:t>
      </w:r>
      <w:r w:rsidRPr="00272E0C">
        <w:rPr>
          <w:rFonts w:ascii="宋体" w:cs="Arial" w:hAnsi="宋体" w:hint="eastAsia"/>
          <w:b/>
          <w:color w:val="000000"/>
          <w:kern w:val="0"/>
          <w:sz w:val="24"/>
        </w:rPr>
        <w:t>投资组合报告附注</w:t>
      </w:r>
    </w:p>
    <w:p w:rsidP="00576862" w:rsidR="001C36D8" w:rsidRDefault="00B60FD1" w:rsidRPr="005B1E0B">
      <w:pPr>
        <w:spacing w:line="360" w:lineRule="auto"/>
        <w:rPr>
          <w:color w:val="000000"/>
          <w:kern w:val="0"/>
          <w:sz w:val="24"/>
        </w:rPr>
      </w:pPr>
      <w:r>
        <w:rPr>
          <w:rFonts w:hint="eastAsia"/>
          <w:color w:val="000000"/>
          <w:sz w:val="24"/>
        </w:rPr>
        <w:t/>
      </w:r>
      <w:proofErr w:type="spellStart"/>
      <w:r>
        <w:rPr>
          <w:rFonts w:hint="eastAsia"/>
          <w:color w:val="000000"/>
          <w:sz w:val="24"/>
        </w:rPr>
        <w:t/>
      </w:r>
      <w:proofErr w:type="spellEnd"/>
      <w:r>
        <w:rPr>
          <w:rFonts w:hint="eastAsia"/>
          <w:color w:val="000000"/>
          <w:sz w:val="24"/>
        </w:rPr>
        <w:t/>
      </w:r>
      <w:r w:rsidR="001C36D8" w:rsidRPr="001C123E">
        <w:rPr>
          <w:rFonts w:ascii="宋体"/>
          <w:bCs/>
          <w:color w:val="000000"/>
          <w:kern w:val="0"/>
          <w:sz w:val="24"/>
        </w:rPr>
        <w:t/>
      </w:r>
      <w:r w:rsidR="001C36D8" w:rsidRPr="001C123E">
        <w:rPr>
          <w:rFonts w:ascii="宋体" w:hAnsi="宋体"/>
          <w:bCs/>
          <w:color w:val="000000"/>
          <w:kern w:val="0"/>
          <w:sz w:val="24"/>
        </w:rPr>
        <w:t>5.11.1</w:t>
      </w:r>
      <w:r w:rsidR="00D8121C">
        <w:rPr>
          <w:rFonts w:ascii="宋体" w:hAnsi="宋体" w:hint="eastAsia"/>
          <w:bCs/>
          <w:color w:val="000000"/>
          <w:kern w:val="0"/>
          <w:sz w:val="24"/>
        </w:rPr>
        <w:t xml:space="preserve"> </w:t>
      </w:r>
      <w:r w:rsidR="001C36D8" w:rsidRPr="005B1E0B">
        <w:rPr>
          <w:color w:val="000000"/>
          <w:kern w:val="0"/>
          <w:sz w:val="24"/>
        </w:rPr>
        <w:t>2020年2月10日，中国人民银行针对华泰证券股份有限公司如下违法事实：1、未按规定履行客户身份识别义务；2、未按规定报送可疑交易报告；3、与身份不明的客户进行交易，处以责令改正，并处罚款1010万元的行政处罚。</w:t>
      </w:r>
    </w:p>
    <w:p>
      <w:pPr>
        <w:spacing w:line="360" w:lineRule="auto"/>
        <w:rPr>
          <w:color w:val="000000"/>
          <w:kern w:val="0"/>
          <w:sz w:val="24"/>
        </w:rPr>
      </w:pPr>
      <w:r>
        <w:rPr>
          <w:color w:val="000000"/>
          <w:kern w:val="0"/>
          <w:sz w:val="24"/>
        </w:rPr>
        <w:t>2019年11月13日，中国人民银行兰州市中心支行对招商证券股份有限公司兰州庆阳路证券营业部于2018年1月1日至2019年6月30日未按照规定履行反洗钱客户身份识别义务的违法违规事实，责令整改并处罚款20万元的行政处罚。</w:t>
      </w:r>
    </w:p>
    <w:p>
      <w:pPr>
        <w:spacing w:line="360" w:lineRule="auto"/>
        <w:rPr>
          <w:color w:val="000000"/>
          <w:kern w:val="0"/>
          <w:sz w:val="24"/>
        </w:rPr>
      </w:pPr>
      <w:r>
        <w:rPr>
          <w:color w:val="000000"/>
          <w:kern w:val="0"/>
          <w:sz w:val="24"/>
        </w:rPr>
        <w:t>2020年4月8日，中国人民银行长春中心支行对招商证券股份有限公司长春人民大街证券营业部未按照规定履行客户身份识别义务的违法违规事实，责令整改并处罚款22万元的行政处罚。</w:t>
      </w:r>
    </w:p>
    <w:p>
      <w:pPr>
        <w:spacing w:line="360" w:lineRule="auto"/>
        <w:rPr>
          <w:color w:val="000000"/>
          <w:kern w:val="0"/>
          <w:sz w:val="24"/>
        </w:rPr>
      </w:pPr>
      <w:r>
        <w:rPr>
          <w:color w:val="000000"/>
          <w:kern w:val="0"/>
          <w:sz w:val="24"/>
        </w:rPr>
        <w:t>2019年11月12日，中国人民银行宁波市中心支行对光大证券股份有限公司宁波奉化中山东路证券营业部未按照规定履行客户身份识别义务的违法违规事实，责令整改并处罚款20万元的行政处罚。</w:t>
      </w:r>
    </w:p>
    <w:p>
      <w:pPr>
        <w:spacing w:line="360" w:lineRule="auto"/>
        <w:rPr>
          <w:color w:val="000000"/>
          <w:kern w:val="0"/>
          <w:sz w:val="24"/>
        </w:rPr>
      </w:pPr>
      <w:r>
        <w:rPr>
          <w:color w:val="000000"/>
          <w:kern w:val="0"/>
          <w:sz w:val="24"/>
        </w:rPr>
        <w:t>本基金为指数型基金，上述股票系标的指数成份股，上述股票的投资决策程序符合公司投资制度的规定。除华泰证券、招商证券、光大证券外，本基金投资的前十名证券的发行主体本期没有出现被监管部门立案调查，或在报告编制日前一年内受到公开谴责、处罚的情形。</w:t>
      </w:r>
    </w:p>
    <w:p w:rsidP="00576862" w:rsidR="001C36D8" w:rsidRDefault="00B60FD1" w:rsidRPr="005B1E0B">
      <w:pPr>
        <w:spacing w:line="360" w:lineRule="auto"/>
        <w:rPr>
          <w:color w:val="000000"/>
          <w:kern w:val="0"/>
          <w:sz w:val="24"/>
        </w:rPr>
      </w:pPr>
      <w:r>
        <w:rPr>
          <w:rFonts w:hint="eastAsia"/>
          <w:color w:val="000000"/>
          <w:sz w:val="24"/>
        </w:rPr>
        <w:t/>
      </w:r>
      <w:r w:rsidR="001C36D8" w:rsidRPr="001C123E">
        <w:rPr>
          <w:rFonts w:ascii="宋体"/>
          <w:bCs/>
          <w:color w:val="000000"/>
          <w:kern w:val="0"/>
          <w:sz w:val="24"/>
        </w:rPr>
        <w:t/>
      </w:r>
      <w:r w:rsidR="001C36D8" w:rsidRPr="001C123E">
        <w:rPr>
          <w:rFonts w:ascii="宋体" w:hAnsi="宋体"/>
          <w:bCs/>
          <w:color w:val="000000"/>
          <w:kern w:val="0"/>
          <w:sz w:val="24"/>
        </w:rPr>
        <w:t>5.11.2</w:t>
      </w:r>
      <w:r w:rsidR="00D8121C">
        <w:rPr>
          <w:rFonts w:ascii="宋体" w:hAnsi="宋体" w:hint="eastAsia"/>
          <w:bCs/>
          <w:color w:val="000000"/>
          <w:kern w:val="0"/>
          <w:sz w:val="24"/>
        </w:rPr>
        <w:t xml:space="preserve"> </w:t>
      </w:r>
      <w:r w:rsidR="001C36D8" w:rsidRPr="005B1E0B">
        <w:rPr>
          <w:color w:val="000000"/>
          <w:kern w:val="0"/>
          <w:sz w:val="24"/>
        </w:rPr>
        <w:t>本基金投资的前十名股票没有超出基金合同规定的备选股票库。</w:t>
      </w:r>
    </w:p>
    <w:p w:rsidP="00576862" w:rsidR="001C36D8" w:rsidRDefault="001C36D8" w:rsidRPr="00717C29">
      <w:pPr>
        <w:autoSpaceDE w:val="0"/>
        <w:autoSpaceDN w:val="0"/>
        <w:adjustRightInd w:val="0"/>
        <w:spacing w:line="360" w:lineRule="auto"/>
        <w:jc w:val="left"/>
        <w:rPr>
          <w:rFonts w:ascii="宋体" w:cs="Arial"/>
          <w:color w:val="000000"/>
          <w:kern w:val="0"/>
          <w:sz w:val="24"/>
        </w:rPr>
      </w:pPr>
      <w:r w:rsidRPr="00717C29">
        <w:rPr>
          <w:rFonts w:ascii="宋体"/>
          <w:bCs/>
          <w:color w:val="000000"/>
          <w:kern w:val="0"/>
          <w:sz w:val="24"/>
        </w:rPr>
        <w:t/>
      </w:r>
      <w:r w:rsidRPr="00717C29">
        <w:rPr>
          <w:rFonts w:ascii="宋体" w:hAnsi="宋体"/>
          <w:bCs/>
          <w:color w:val="000000"/>
          <w:kern w:val="0"/>
          <w:sz w:val="24"/>
        </w:rPr>
        <w:t>5.11.3</w:t>
      </w:r>
      <w:r w:rsidR="00FE4BF2">
        <w:rPr>
          <w:rFonts w:ascii="宋体" w:cs="Arial" w:hAnsi="宋体" w:hint="eastAsia"/>
          <w:color w:val="000000"/>
          <w:kern w:val="0"/>
          <w:sz w:val="24"/>
        </w:rPr>
        <w:t>其他</w:t>
      </w:r>
      <w:r w:rsidRPr="00717C29">
        <w:rPr>
          <w:rFonts w:ascii="宋体" w:cs="Arial" w:hAnsi="宋体" w:hint="eastAsia"/>
          <w:color w:val="000000"/>
          <w:kern w:val="0"/>
          <w:sz w:val="24"/>
        </w:rPr>
        <w:t>资产构成</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959"/>
        <w:gridCol w:w="2761"/>
        <w:gridCol w:w="4808"/>
      </w:tblGrid>
      <w:tr w:rsidR="001C36D8" w:rsidRPr="00272E0C" w:rsidTr="001A09F9">
        <w:tc>
          <w:tcPr>
            <w:tcW w:type="dxa" w:w="959"/>
          </w:tcPr>
          <w:p w:rsidP="001A09F9" w:rsidR="001C36D8" w:rsidRDefault="001C36D8" w:rsidRPr="005B1E0B">
            <w:pPr>
              <w:autoSpaceDE w:val="0"/>
              <w:autoSpaceDN w:val="0"/>
              <w:adjustRightInd w:val="0"/>
              <w:spacing w:line="360" w:lineRule="auto"/>
              <w:jc w:val="left"/>
              <w:rPr>
                <w:color w:val="000000"/>
                <w:sz w:val="24"/>
              </w:rPr>
            </w:pPr>
            <w:r w:rsidRPr="005B1E0B">
              <w:rPr>
                <w:color w:val="000000"/>
                <w:sz w:val="24"/>
              </w:rPr>
              <w:t>序号</w:t>
            </w:r>
          </w:p>
        </w:tc>
        <w:tc>
          <w:tcPr>
            <w:tcW w:type="dxa" w:w="2761"/>
          </w:tcPr>
          <w:p w:rsidP="001A09F9" w:rsidR="001C36D8" w:rsidRDefault="001C36D8" w:rsidRPr="005B1E0B">
            <w:pPr>
              <w:autoSpaceDE w:val="0"/>
              <w:autoSpaceDN w:val="0"/>
              <w:adjustRightInd w:val="0"/>
              <w:spacing w:line="360" w:lineRule="auto"/>
              <w:jc w:val="left"/>
              <w:rPr>
                <w:color w:val="000000"/>
                <w:sz w:val="24"/>
              </w:rPr>
            </w:pPr>
            <w:r w:rsidRPr="005B1E0B">
              <w:rPr>
                <w:color w:val="000000"/>
                <w:sz w:val="24"/>
              </w:rPr>
              <w:t>名称</w:t>
            </w:r>
          </w:p>
        </w:tc>
        <w:tc>
          <w:tcPr>
            <w:tcW w:type="dxa" w:w="4808"/>
          </w:tcPr>
          <w:p w:rsidP="001A09F9" w:rsidR="001C36D8" w:rsidRDefault="001C36D8" w:rsidRPr="005B1E0B">
            <w:pPr>
              <w:autoSpaceDE w:val="0"/>
              <w:autoSpaceDN w:val="0"/>
              <w:adjustRightInd w:val="0"/>
              <w:spacing w:line="360" w:lineRule="auto"/>
              <w:jc w:val="left"/>
              <w:rPr>
                <w:color w:val="000000"/>
                <w:sz w:val="24"/>
              </w:rPr>
            </w:pPr>
            <w:r w:rsidRPr="005B1E0B">
              <w:rPr>
                <w:color w:val="000000"/>
                <w:sz w:val="24"/>
              </w:rPr>
              <w:t>金额（元）</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kern w:val="0"/>
                <w:sz w:val="24"/>
              </w:rPr>
            </w:pPr>
            <w:r w:rsidRPr="005B1E0B">
              <w:rPr>
                <w:color w:val="000000"/>
                <w:sz w:val="24"/>
              </w:rPr>
              <w:t>1</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存出保证金</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52,511.66</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t>2</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应收证券清算款</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183,355.59</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t>3</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应收股利</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lastRenderedPageBreak/>
              <w:t>4</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应收利息</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4,741.94</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t>5</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应收申购款</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1,190,587.87</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t>6</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其他应收款</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w:t>
            </w:r>
          </w:p>
        </w:tc>
      </w:tr>
      <w:tr w:rsidR="001C36D8" w:rsidRPr="00272E0C" w:rsidTr="001A09F9">
        <w:tc>
          <w:tcPr>
            <w:tcW w:type="dxa" w:w="959"/>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t>7</w:t>
            </w:r>
          </w:p>
        </w:tc>
        <w:tc>
          <w:tcPr>
            <w:tcW w:type="dxa" w:w="2761"/>
          </w:tcPr>
          <w:p w:rsidP="0015779C" w:rsidR="001C36D8" w:rsidRDefault="001C36D8" w:rsidRPr="005B1E0B">
            <w:pPr>
              <w:autoSpaceDE w:val="0"/>
              <w:autoSpaceDN w:val="0"/>
              <w:adjustRightInd w:val="0"/>
              <w:spacing w:before="29" w:line="360" w:lineRule="auto"/>
              <w:ind w:left="105" w:leftChars="50"/>
              <w:rPr>
                <w:color w:val="000000"/>
                <w:sz w:val="24"/>
              </w:rPr>
            </w:pPr>
            <w:r w:rsidRPr="005B1E0B">
              <w:rPr>
                <w:color w:val="000000"/>
                <w:sz w:val="24"/>
              </w:rPr>
              <w:t>待摊费用</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t>8</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其他</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t>9</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合计</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1,431,197.06</w:t>
            </w:r>
          </w:p>
        </w:tc>
      </w:tr>
    </w:tbl>
    <w:p w:rsidP="00576862" w:rsidR="001C36D8" w:rsidRDefault="001C36D8" w:rsidRPr="00717C29">
      <w:pPr>
        <w:autoSpaceDE w:val="0"/>
        <w:autoSpaceDN w:val="0"/>
        <w:adjustRightInd w:val="0"/>
        <w:spacing w:line="360" w:lineRule="auto"/>
        <w:jc w:val="left"/>
        <w:rPr>
          <w:rFonts w:ascii="宋体" w:cs="Arial"/>
          <w:color w:val="000000"/>
          <w:kern w:val="0"/>
          <w:sz w:val="24"/>
        </w:rPr>
      </w:pPr>
      <w:r w:rsidRPr="00717C29">
        <w:rPr>
          <w:rFonts w:ascii="宋体"/>
          <w:bCs/>
          <w:color w:val="000000"/>
          <w:kern w:val="0"/>
          <w:sz w:val="24"/>
        </w:rPr>
        <w:t/>
      </w:r>
      <w:r w:rsidRPr="00717C29">
        <w:rPr>
          <w:rFonts w:ascii="宋体" w:hAnsi="宋体"/>
          <w:bCs/>
          <w:color w:val="000000"/>
          <w:kern w:val="0"/>
          <w:sz w:val="24"/>
        </w:rPr>
        <w:t>5.11.4</w:t>
      </w:r>
      <w:r w:rsidRPr="00717C29">
        <w:rPr>
          <w:rFonts w:ascii="宋体" w:cs="Arial" w:hAnsi="宋体" w:hint="eastAsia"/>
          <w:color w:val="000000"/>
          <w:kern w:val="0"/>
          <w:sz w:val="24"/>
        </w:rPr>
        <w:t>报告期末持有的处于转股期的可转换债券明细</w:t>
      </w:r>
    </w:p>
    <w:p w:rsidP="003D22BD" w:rsidR="001C36D8" w:rsidRDefault="001C36D8" w:rsidRPr="003D22BD">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本基金本报告期末未持有处于转股期的可转换债券。</w:t>
      </w:r>
    </w:p>
    <w:p w:rsidP="00924A95" w:rsidR="00924A95" w:rsidRDefault="00924A95" w:rsidRPr="001C7E00">
      <w:pPr>
        <w:autoSpaceDE w:val="0"/>
        <w:autoSpaceDN w:val="0"/>
        <w:adjustRightInd w:val="0"/>
        <w:spacing w:line="360" w:lineRule="auto"/>
        <w:jc w:val="left"/>
        <w:rPr>
          <w:rFonts w:ascii="宋体"/>
          <w:bCs/>
          <w:color w:val="000000"/>
          <w:kern w:val="0"/>
          <w:sz w:val="24"/>
        </w:rPr>
      </w:pPr>
      <w:r w:rsidRPr="001C7E00">
        <w:rPr>
          <w:rFonts w:ascii="宋体"/>
          <w:bCs/>
          <w:color w:val="000000"/>
          <w:kern w:val="0"/>
          <w:sz w:val="24"/>
        </w:rPr>
        <w:t/>
      </w:r>
      <w:r w:rsidRPr="001C7E00">
        <w:rPr>
          <w:rFonts w:ascii="宋体" w:hAnsi="宋体"/>
          <w:bCs/>
          <w:color w:val="000000"/>
          <w:kern w:val="0"/>
          <w:sz w:val="24"/>
        </w:rPr>
        <w:t>5.11.5</w:t>
      </w:r>
      <w:r w:rsidRPr="001C7E00">
        <w:rPr>
          <w:rFonts w:ascii="宋体" w:hAnsi="宋体" w:hint="eastAsia"/>
          <w:bCs/>
          <w:color w:val="000000"/>
          <w:kern w:val="0"/>
          <w:sz w:val="24"/>
        </w:rPr>
        <w:t>报告期末前十名股票中存在流通受限情况的说明</w:t>
      </w:r>
    </w:p>
    <w:p w:rsidP="005B1E0B" w:rsidR="001C36D8" w:rsidRDefault="00924A95" w:rsidRPr="005B1E0B">
      <w:pPr>
        <w:spacing w:line="360" w:lineRule="auto"/>
        <w:ind w:firstLine="480" w:firstLineChars="200"/>
        <w:rPr>
          <w:color w:val="000000"/>
          <w:sz w:val="24"/>
        </w:rPr>
      </w:pPr>
      <w:r w:rsidRPr="006C56AA">
        <w:rPr>
          <w:color w:val="000000"/>
          <w:sz w:val="24"/>
        </w:rPr>
        <w:lastRenderedPageBreak/>
        <w:t>本基金本报告期末前十名股票中不存在流通受限情况。</w:t>
      </w:r>
    </w:p>
    <w:p w:rsidP="005C6DF3" w:rsidR="001C36D8" w:rsidRDefault="001C36D8" w:rsidRPr="00272E0C">
      <w:pPr>
        <w:pStyle w:val="1"/>
        <w:spacing w:after="312" w:afterLines="100" w:before="312" w:beforeLines="100" w:line="360" w:lineRule="auto"/>
        <w:jc w:val="center"/>
        <w:rPr>
          <w:rFonts w:ascii="宋体" w:cs="Arial"/>
          <w:color w:val="000000"/>
          <w:kern w:val="0"/>
          <w:sz w:val="24"/>
          <w:szCs w:val="24"/>
        </w:rPr>
      </w:pPr>
      <w:r w:rsidRPr="00272E0C">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6</w:t>
      </w:r>
      <w:r w:rsidR="005D2CC7" w:rsidRPr="00272E0C">
        <w:rPr>
          <w:rFonts w:ascii="宋体" w:cs="Arial" w:hAnsi="宋体"/>
          <w:color w:val="000000"/>
          <w:kern w:val="0"/>
          <w:sz w:val="24"/>
          <w:szCs w:val="24"/>
        </w:rPr>
        <w:t xml:space="preserve">  </w:t>
      </w:r>
      <w:r w:rsidRPr="00272E0C">
        <w:rPr>
          <w:rFonts w:ascii="宋体" w:cs="Arial" w:hAnsi="宋体" w:hint="eastAsia"/>
          <w:color w:val="000000"/>
          <w:kern w:val="0"/>
          <w:sz w:val="24"/>
          <w:szCs w:val="24"/>
        </w:rPr>
        <w:t>开放式基金份额变动</w:t>
      </w:r>
    </w:p>
    <w:p w:rsidP="0019563C" w:rsidR="001C36D8" w:rsidRDefault="001C36D8" w:rsidRPr="00272E0C">
      <w:pPr>
        <w:autoSpaceDE w:val="0"/>
        <w:autoSpaceDN w:val="0"/>
        <w:adjustRightInd w:val="0"/>
        <w:spacing w:before="29" w:line="360" w:lineRule="auto"/>
        <w:ind w:left="15"/>
        <w:jc w:val="right"/>
        <w:rPr>
          <w:rFonts w:ascii="宋体" w:cs="Arial"/>
          <w:color w:val="000000"/>
          <w:kern w:val="0"/>
          <w:sz w:val="24"/>
        </w:rPr>
      </w:pPr>
      <w:r w:rsidRPr="00272E0C">
        <w:rPr>
          <w:rFonts w:ascii="宋体" w:cs="Arial" w:hAnsi="宋体" w:hint="eastAsia"/>
          <w:color w:val="000000"/>
          <w:kern w:val="0"/>
          <w:sz w:val="24"/>
        </w:rPr>
        <w:t>单位：份</w:t>
      </w:r>
    </w:p>
    <w:tbl>
      <w:tblPr>
        <w:tblW w:type="dxa" w:w="8719"/>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1774"/>
        <w:gridCol w:w="2409"/>
        <w:gridCol w:w="2410"/>
        <w:gridCol w:w="2126"/>
      </w:tblGrid>
      <w:tr w:rsidR="001C36D8" w:rsidRPr="00272E0C" w:rsidTr="00EF063B">
        <w:tc>
          <w:tcPr>
            <w:tcW w:type="dxa" w:w="1774"/>
            <w:vAlign w:val="center"/>
          </w:tcPr>
          <w:p w:rsidP="007A6BEA" w:rsidR="001C36D8" w:rsidRDefault="001C36D8" w:rsidRPr="005B1E0B">
            <w:pPr>
              <w:autoSpaceDE w:val="0"/>
              <w:autoSpaceDN w:val="0"/>
              <w:adjustRightInd w:val="0"/>
              <w:spacing w:before="29" w:line="360" w:lineRule="auto"/>
              <w:ind w:left="17"/>
              <w:jc w:val="left"/>
              <w:rPr>
                <w:color w:val="000000"/>
                <w:kern w:val="0"/>
                <w:sz w:val="24"/>
              </w:rPr>
            </w:pPr>
            <w:r w:rsidRPr="005B1E0B">
              <w:rPr>
                <w:color w:val="000000"/>
                <w:kern w:val="0"/>
                <w:sz w:val="24"/>
              </w:rPr>
              <w:t>项目</w:t>
            </w:r>
          </w:p>
        </w:tc>
        <w:tc>
          <w:tcPr>
            <w:tcW w:type="dxa" w:w="2409"/>
            <w:vAlign w:val="center"/>
          </w:tcPr>
          <w:p w:rsidP="005B14F0" w:rsidR="001C36D8" w:rsidRDefault="001C36D8" w:rsidRPr="005B1E0B">
            <w:pPr>
              <w:autoSpaceDE w:val="0"/>
              <w:autoSpaceDN w:val="0"/>
              <w:adjustRightInd w:val="0"/>
              <w:spacing w:before="29" w:line="360" w:lineRule="auto"/>
              <w:ind w:left="17"/>
              <w:jc w:val="right"/>
              <w:rPr>
                <w:sz w:val="24"/>
              </w:rPr>
            </w:pPr>
            <w:r w:rsidRPr="005B1E0B">
              <w:rPr>
                <w:color w:val="000000"/>
                <w:kern w:val="0"/>
                <w:sz w:val="24"/>
              </w:rPr>
              <w:t/>
            </w:r>
            <w:proofErr w:type="spellStart"/>
            <w:r w:rsidRPr="005B1E0B">
              <w:rPr>
                <w:sz w:val="24"/>
              </w:rPr>
              <w:t/>
            </w:r>
            <w:proofErr w:type="spellEnd"/>
            <w:r w:rsidRPr="005B1E0B">
              <w:rPr>
                <w:sz w:val="24"/>
              </w:rPr>
              <w:t>易方达证券公司分级</w:t>
            </w:r>
          </w:p>
        </w:tc>
        <w:tc>
          <w:tcPr>
            <w:tcW w:type="dxa" w:w="2410"/>
            <w:vAlign w:val="center"/>
          </w:tcPr>
          <w:p w:rsidP="007A6BEA" w:rsidR="001C36D8" w:rsidRDefault="001C36D8" w:rsidRPr="005B1E0B">
            <w:pPr>
              <w:autoSpaceDE w:val="0"/>
              <w:autoSpaceDN w:val="0"/>
              <w:adjustRightInd w:val="0"/>
              <w:spacing w:before="29" w:line="360" w:lineRule="auto"/>
              <w:ind w:left="17"/>
              <w:jc w:val="right"/>
              <w:rPr>
                <w:color w:val="000000"/>
                <w:sz w:val="24"/>
              </w:rPr>
            </w:pPr>
            <w:r w:rsidRPr="005B1E0B">
              <w:rPr>
                <w:color w:val="000000"/>
                <w:kern w:val="0"/>
                <w:sz w:val="24"/>
              </w:rPr>
              <w:t/>
            </w:r>
            <w:proofErr w:type="spellStart"/>
            <w:r w:rsidRPr="005B1E0B">
              <w:rPr>
                <w:sz w:val="24"/>
              </w:rPr>
              <w:t/>
            </w:r>
            <w:proofErr w:type="spellEnd"/>
            <w:r w:rsidRPr="005B1E0B">
              <w:rPr>
                <w:sz w:val="24"/>
              </w:rPr>
              <w:t>易方达证券公司分级A</w:t>
            </w:r>
          </w:p>
        </w:tc>
        <w:tc>
          <w:tcPr>
            <w:tcW w:type="dxa" w:w="2126"/>
            <w:vAlign w:val="center"/>
          </w:tcPr>
          <w:p w:rsidP="00183C9E" w:rsidR="001C36D8" w:rsidRDefault="001C36D8" w:rsidRPr="005B1E0B">
            <w:pPr>
              <w:autoSpaceDE w:val="0"/>
              <w:autoSpaceDN w:val="0"/>
              <w:adjustRightInd w:val="0"/>
              <w:spacing w:before="29" w:line="360" w:lineRule="auto"/>
              <w:ind w:left="17"/>
              <w:jc w:val="right"/>
              <w:rPr>
                <w:color w:val="000000"/>
                <w:sz w:val="24"/>
              </w:rPr>
            </w:pPr>
            <w:r w:rsidRPr="005B1E0B">
              <w:rPr>
                <w:color w:val="000000"/>
                <w:kern w:val="0"/>
                <w:sz w:val="24"/>
              </w:rPr>
              <w:t/>
            </w:r>
            <w:proofErr w:type="spellStart"/>
            <w:r w:rsidRPr="005B1E0B">
              <w:rPr>
                <w:sz w:val="24"/>
              </w:rPr>
              <w:t/>
            </w:r>
            <w:proofErr w:type="spellEnd"/>
            <w:r w:rsidRPr="005B1E0B">
              <w:rPr>
                <w:sz w:val="24"/>
              </w:rPr>
              <w:t>易方达证券公司分级B</w:t>
            </w:r>
          </w:p>
        </w:tc>
      </w:tr>
      <w:tr w:rsidR="001C36D8" w:rsidRPr="00272E0C" w:rsidTr="00EF063B">
        <w:tc>
          <w:tcPr>
            <w:tcW w:type="dxa" w:w="1774"/>
            <w:vAlign w:val="center"/>
          </w:tcPr>
          <w:p w:rsidP="007A6BEA" w:rsidR="001C36D8" w:rsidRDefault="001C36D8" w:rsidRPr="005B1E0B">
            <w:pPr>
              <w:autoSpaceDE w:val="0"/>
              <w:autoSpaceDN w:val="0"/>
              <w:adjustRightInd w:val="0"/>
              <w:spacing w:before="29" w:line="360" w:lineRule="auto"/>
              <w:ind w:left="17"/>
              <w:jc w:val="left"/>
              <w:rPr>
                <w:color w:val="000000"/>
                <w:kern w:val="0"/>
                <w:sz w:val="24"/>
              </w:rPr>
            </w:pPr>
            <w:r w:rsidRPr="005B1E0B">
              <w:rPr>
                <w:color w:val="000000"/>
                <w:kern w:val="0"/>
                <w:sz w:val="24"/>
              </w:rPr>
              <w:t>报告期期初基金份额总额</w:t>
            </w:r>
          </w:p>
        </w:tc>
        <w:tc>
          <w:tcPr>
            <w:tcW w:type="dxa" w:w="2409"/>
            <w:vAlign w:val="center"/>
          </w:tcPr>
          <w:p w:rsidP="007A6BEA"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428,451,229.81</w:t>
            </w:r>
          </w:p>
        </w:tc>
        <w:tc>
          <w:tcPr>
            <w:tcW w:type="dxa" w:w="2410"/>
            <w:vAlign w:val="center"/>
          </w:tcPr>
          <w:p w:rsidP="00465C86"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124,663,817.00</w:t>
            </w:r>
          </w:p>
        </w:tc>
        <w:tc>
          <w:tcPr>
            <w:tcW w:type="dxa" w:w="2126"/>
            <w:vAlign w:val="center"/>
          </w:tcPr>
          <w:p w:rsidP="00183C9E"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
            </w:r>
            <w:r w:rsidRPr="005B1E0B">
              <w:rPr>
                <w:sz w:val="24"/>
              </w:rPr>
              <w:t>124,663,817.00</w:t>
            </w:r>
          </w:p>
        </w:tc>
      </w:tr>
      <w:tr w:rsidR="001C36D8" w:rsidRPr="00272E0C" w:rsidTr="00EF063B">
        <w:tc>
          <w:tcPr>
            <w:tcW w:type="dxa" w:w="1774"/>
            <w:vAlign w:val="center"/>
          </w:tcPr>
          <w:p w:rsidP="007A6BEA" w:rsidR="001C36D8" w:rsidRDefault="001C36D8" w:rsidRPr="005B1E0B">
            <w:pPr>
              <w:autoSpaceDE w:val="0"/>
              <w:autoSpaceDN w:val="0"/>
              <w:adjustRightInd w:val="0"/>
              <w:spacing w:before="29" w:line="360" w:lineRule="auto"/>
              <w:ind w:left="17"/>
              <w:jc w:val="lef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报告期</w:t>
            </w:r>
            <w:r w:rsidRPr="005B1E0B">
              <w:rPr>
                <w:color w:val="000000"/>
                <w:kern w:val="0"/>
                <w:sz w:val="24"/>
              </w:rPr>
              <w:t>基金总申购份额</w:t>
            </w:r>
          </w:p>
        </w:tc>
        <w:tc>
          <w:tcPr>
            <w:tcW w:type="dxa" w:w="2409"/>
            <w:vAlign w:val="center"/>
          </w:tcPr>
          <w:p w:rsidP="007A6BEA"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136,390,291.55</w:t>
            </w:r>
          </w:p>
        </w:tc>
        <w:tc>
          <w:tcPr>
            <w:tcW w:type="dxa" w:w="2410"/>
            <w:vAlign w:val="center"/>
          </w:tcPr>
          <w:p w:rsidP="00465C86"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c>
          <w:tcPr>
            <w:tcW w:type="dxa" w:w="2126"/>
            <w:vAlign w:val="center"/>
          </w:tcPr>
          <w:p w:rsidP="00183C9E"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
            </w:r>
            <w:r w:rsidRPr="005B1E0B">
              <w:rPr>
                <w:sz w:val="24"/>
              </w:rPr>
              <w:t>-</w:t>
            </w:r>
          </w:p>
        </w:tc>
      </w:tr>
      <w:tr w:rsidR="001C36D8" w:rsidRPr="00272E0C" w:rsidTr="00EF063B">
        <w:tc>
          <w:tcPr>
            <w:tcW w:type="dxa" w:w="1774"/>
            <w:vAlign w:val="center"/>
          </w:tcPr>
          <w:p w:rsidP="007A6BEA" w:rsidR="001C36D8" w:rsidRDefault="001C36D8" w:rsidRPr="005B1E0B">
            <w:pPr>
              <w:autoSpaceDE w:val="0"/>
              <w:autoSpaceDN w:val="0"/>
              <w:adjustRightInd w:val="0"/>
              <w:spacing w:before="29" w:line="360" w:lineRule="auto"/>
              <w:ind w:left="17"/>
              <w:jc w:val="left"/>
              <w:rPr>
                <w:color w:val="000000"/>
                <w:kern w:val="0"/>
                <w:sz w:val="24"/>
              </w:rPr>
            </w:pPr>
            <w:r w:rsidRPr="005B1E0B">
              <w:rPr>
                <w:color w:val="000000"/>
                <w:kern w:val="0"/>
                <w:sz w:val="24"/>
              </w:rPr>
              <w:t>减：</w:t>
            </w:r>
            <w:r w:rsidRPr="005B1E0B">
              <w:rPr>
                <w:color w:val="000000"/>
                <w:kern w:val="0"/>
                <w:sz w:val="24"/>
              </w:rPr>
              <w:t/>
            </w:r>
            <w:proofErr w:type="spellStart"/>
            <w:r w:rsidRPr="005B1E0B">
              <w:rPr>
                <w:color w:val="000000"/>
                <w:kern w:val="0"/>
                <w:sz w:val="24"/>
              </w:rPr>
              <w:t/>
            </w:r>
            <w:r w:rsidRPr="005B1E0B">
              <w:rPr>
                <w:color w:val="000000"/>
                <w:kern w:val="0"/>
                <w:sz w:val="24"/>
              </w:rPr>
              <w:lastRenderedPageBreak/>
              <w:t/>
            </w:r>
            <w:proofErr w:type="spellEnd"/>
            <w:r w:rsidRPr="005B1E0B">
              <w:rPr>
                <w:color w:val="000000"/>
                <w:kern w:val="0"/>
                <w:sz w:val="24"/>
              </w:rPr>
              <w:t>报告期</w:t>
            </w:r>
            <w:r w:rsidRPr="005B1E0B">
              <w:rPr>
                <w:color w:val="000000"/>
                <w:kern w:val="0"/>
                <w:sz w:val="24"/>
              </w:rPr>
              <w:t>基金总赎回份额</w:t>
            </w:r>
          </w:p>
        </w:tc>
        <w:tc>
          <w:tcPr>
            <w:tcW w:type="dxa" w:w="2409"/>
            <w:vAlign w:val="center"/>
          </w:tcPr>
          <w:p w:rsidP="007A6BEA"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lastRenderedPageBreak/>
              <w:t/>
            </w:r>
            <w:proofErr w:type="spellStart"/>
            <w:r w:rsidRPr="005B1E0B">
              <w:rPr>
                <w:color w:val="000000"/>
                <w:sz w:val="24"/>
              </w:rPr>
              <w:t/>
            </w:r>
            <w:r w:rsidRPr="005B1E0B">
              <w:rPr>
                <w:color w:val="000000"/>
                <w:sz w:val="24"/>
              </w:rPr>
              <w:lastRenderedPageBreak/>
              <w:t/>
            </w:r>
            <w:proofErr w:type="spellEnd"/>
            <w:r w:rsidRPr="005B1E0B">
              <w:rPr>
                <w:color w:val="000000"/>
                <w:sz w:val="24"/>
              </w:rPr>
              <w:t>187,666,314.88</w:t>
            </w:r>
          </w:p>
        </w:tc>
        <w:tc>
          <w:tcPr>
            <w:tcW w:type="dxa" w:w="2410"/>
            <w:vAlign w:val="center"/>
          </w:tcPr>
          <w:p w:rsidP="00465C86"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lastRenderedPageBreak/>
              <w:t/>
            </w:r>
            <w:proofErr w:type="spellStart"/>
            <w:r w:rsidRPr="005B1E0B">
              <w:rPr>
                <w:color w:val="000000"/>
                <w:sz w:val="24"/>
              </w:rPr>
              <w:t/>
            </w:r>
            <w:r w:rsidRPr="005B1E0B">
              <w:rPr>
                <w:color w:val="000000"/>
                <w:sz w:val="24"/>
              </w:rPr>
              <w:lastRenderedPageBreak/>
              <w:t/>
            </w:r>
            <w:proofErr w:type="spellEnd"/>
            <w:r w:rsidRPr="005B1E0B">
              <w:rPr>
                <w:color w:val="000000"/>
                <w:sz w:val="24"/>
              </w:rPr>
              <w:t>-</w:t>
            </w:r>
          </w:p>
        </w:tc>
        <w:tc>
          <w:tcPr>
            <w:tcW w:type="dxa" w:w="2126"/>
            <w:vAlign w:val="center"/>
          </w:tcPr>
          <w:p w:rsidP="00183C9E"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lastRenderedPageBreak/>
              <w:t/>
            </w:r>
            <w:proofErr w:type="spellStart"/>
            <w:r w:rsidRPr="005B1E0B">
              <w:rPr>
                <w:color w:val="000000"/>
                <w:sz w:val="24"/>
              </w:rPr>
              <w:t/>
            </w:r>
            <w:r w:rsidRPr="005B1E0B">
              <w:rPr>
                <w:color w:val="000000"/>
                <w:sz w:val="24"/>
              </w:rPr>
              <w:lastRenderedPageBreak/>
              <w:t/>
            </w:r>
            <w:proofErr w:type="spellEnd"/>
            <w:r w:rsidRPr="005B1E0B">
              <w:rPr>
                <w:color w:val="000000"/>
                <w:sz w:val="24"/>
              </w:rPr>
              <w:t/>
            </w:r>
            <w:r w:rsidRPr="005B1E0B">
              <w:rPr>
                <w:sz w:val="24"/>
              </w:rPr>
              <w:t>-</w:t>
            </w:r>
          </w:p>
        </w:tc>
      </w:tr>
      <w:tr w:rsidR="001C36D8" w:rsidRPr="00272E0C" w:rsidTr="00EF063B">
        <w:trPr>
          <w:trHeight w:val="1718"/>
        </w:trPr>
        <w:tc>
          <w:tcPr>
            <w:tcW w:type="dxa" w:w="1774"/>
            <w:vAlign w:val="center"/>
          </w:tcPr>
          <w:p w:rsidP="007A6BEA" w:rsidR="001C36D8" w:rsidRDefault="001C36D8" w:rsidRPr="005B1E0B">
            <w:pPr>
              <w:autoSpaceDE w:val="0"/>
              <w:autoSpaceDN w:val="0"/>
              <w:adjustRightInd w:val="0"/>
              <w:spacing w:before="29" w:line="360" w:lineRule="auto"/>
              <w:ind w:left="17"/>
              <w:jc w:val="left"/>
              <w:rPr>
                <w:color w:val="000000"/>
                <w:kern w:val="0"/>
                <w:sz w:val="24"/>
              </w:rPr>
            </w:pPr>
            <w:r w:rsidRPr="005B1E0B">
              <w:rPr>
                <w:color w:val="000000"/>
                <w:kern w:val="0"/>
                <w:sz w:val="24"/>
              </w:rPr>
              <w:lastRenderedPageBreak/>
              <w:t/>
            </w:r>
            <w:proofErr w:type="spellStart"/>
            <w:r w:rsidRPr="005B1E0B">
              <w:rPr>
                <w:color w:val="000000"/>
                <w:kern w:val="0"/>
                <w:sz w:val="24"/>
              </w:rPr>
              <w:t/>
            </w:r>
            <w:proofErr w:type="spellEnd"/>
            <w:r w:rsidRPr="005B1E0B">
              <w:rPr>
                <w:color w:val="000000"/>
                <w:kern w:val="0"/>
                <w:sz w:val="24"/>
              </w:rPr>
              <w:t>报告期</w:t>
            </w:r>
            <w:r w:rsidRPr="005B1E0B">
              <w:rPr>
                <w:color w:val="000000"/>
                <w:kern w:val="0"/>
                <w:sz w:val="24"/>
              </w:rPr>
              <w:t>基金拆分变动份额</w:t>
            </w:r>
            <w:r w:rsidR="005541BC" w:rsidRPr="00921BFA">
              <w:rPr>
                <w:rFonts w:hint="eastAsia"/>
                <w:color w:val="000000"/>
                <w:kern w:val="0"/>
                <w:sz w:val="24"/>
              </w:rPr>
              <w:t>（份额减少以“</w:t>
            </w:r>
            <w:r w:rsidR="005541BC" w:rsidRPr="00921BFA">
              <w:rPr>
                <w:rFonts w:hint="eastAsia"/>
                <w:color w:val="000000"/>
                <w:kern w:val="0"/>
                <w:sz w:val="24"/>
              </w:rPr>
              <w:t>-</w:t>
            </w:r>
            <w:r w:rsidR="005541BC" w:rsidRPr="00921BFA">
              <w:rPr>
                <w:rFonts w:hint="eastAsia"/>
                <w:color w:val="000000"/>
                <w:kern w:val="0"/>
                <w:sz w:val="24"/>
              </w:rPr>
              <w:t>”填列）</w:t>
            </w:r>
          </w:p>
        </w:tc>
        <w:tc>
          <w:tcPr>
            <w:tcW w:type="dxa" w:w="2409"/>
            <w:vAlign w:val="center"/>
          </w:tcPr>
          <w:p w:rsidP="007A6BEA"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61,644,719.29</w:t>
            </w:r>
          </w:p>
        </w:tc>
        <w:tc>
          <w:tcPr>
            <w:tcW w:type="dxa" w:w="2410"/>
            <w:vAlign w:val="center"/>
          </w:tcPr>
          <w:p w:rsidP="00465C86"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-25,316,350.00</w:t>
            </w:r>
          </w:p>
        </w:tc>
        <w:tc>
          <w:tcPr>
            <w:tcW w:type="dxa" w:w="2126"/>
            <w:vAlign w:val="center"/>
          </w:tcPr>
          <w:p w:rsidP="00183C9E"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
            </w:r>
            <w:r w:rsidRPr="005B1E0B">
              <w:rPr>
                <w:sz w:val="24"/>
              </w:rPr>
              <w:t>-25,316,350.00</w:t>
            </w:r>
          </w:p>
        </w:tc>
      </w:tr>
      <w:tr w:rsidR="001C36D8" w:rsidRPr="00272E0C" w:rsidTr="00EF063B">
        <w:tc>
          <w:tcPr>
            <w:tcW w:type="dxa" w:w="1774"/>
            <w:vAlign w:val="center"/>
          </w:tcPr>
          <w:p w:rsidP="007A6BEA" w:rsidR="001C36D8" w:rsidRDefault="001C36D8" w:rsidRPr="005B1E0B">
            <w:pPr>
              <w:autoSpaceDE w:val="0"/>
              <w:autoSpaceDN w:val="0"/>
              <w:adjustRightInd w:val="0"/>
              <w:spacing w:before="29" w:line="360" w:lineRule="auto"/>
              <w:ind w:left="17"/>
              <w:jc w:val="left"/>
              <w:rPr>
                <w:color w:val="000000"/>
                <w:kern w:val="0"/>
                <w:sz w:val="24"/>
              </w:rPr>
            </w:pPr>
            <w:r w:rsidRPr="005B1E0B">
              <w:rPr>
                <w:color w:val="000000"/>
                <w:kern w:val="0"/>
                <w:sz w:val="24"/>
              </w:rPr>
              <w:t>报告期期末基金份额总额</w:t>
            </w:r>
          </w:p>
        </w:tc>
        <w:tc>
          <w:tcPr>
            <w:tcW w:type="dxa" w:w="2409"/>
            <w:vAlign w:val="center"/>
          </w:tcPr>
          <w:p w:rsidP="007A6BEA"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438,819,925.77</w:t>
            </w:r>
          </w:p>
        </w:tc>
        <w:tc>
          <w:tcPr>
            <w:tcW w:type="dxa" w:w="2410"/>
            <w:vAlign w:val="center"/>
          </w:tcPr>
          <w:p w:rsidP="00465C86"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99,347,467.00</w:t>
            </w:r>
          </w:p>
        </w:tc>
        <w:tc>
          <w:tcPr>
            <w:tcW w:type="dxa" w:w="2126"/>
            <w:vAlign w:val="center"/>
          </w:tcPr>
          <w:p w:rsidP="00183C9E"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r w:rsidRPr="005B1E0B">
              <w:rPr>
                <w:sz w:val="24"/>
              </w:rPr>
              <w:t/>
            </w:r>
            <w:proofErr w:type="spellEnd"/>
            <w:r w:rsidRPr="005B1E0B">
              <w:rPr>
                <w:sz w:val="24"/>
              </w:rPr>
              <w:t>99,347,467.00</w:t>
            </w:r>
          </w:p>
        </w:tc>
      </w:tr>
    </w:tbl>
    <w:p w:rsidP="003D22BD" w:rsidR="001C36D8" w:rsidRDefault="001C36D8" w:rsidRPr="003D22BD">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注：拆分变动份额包括三类份额之间的配对转换份额及折算调整份额。</w:t>
      </w:r>
    </w:p>
    <w:p w:rsidP="005C6DF3" w:rsidR="001C36D8" w:rsidRDefault="001C36D8">
      <w:pPr>
        <w:pStyle w:val="1"/>
        <w:tabs>
          <w:tab w:pos="4156" w:val="center"/>
          <w:tab w:pos="8312" w:val="right"/>
        </w:tabs>
        <w:spacing w:after="312" w:afterLines="100" w:before="312" w:beforeLines="100" w:line="360" w:lineRule="auto"/>
        <w:jc w:val="center"/>
        <w:rPr>
          <w:rFonts w:ascii="方正仿宋简体"/>
          <w:sz w:val="24"/>
          <w:szCs w:val="24"/>
        </w:rPr>
      </w:pPr>
      <w:r>
        <w:rPr>
          <w:rFonts w:ascii="宋体"/>
          <w:color w:val="000000"/>
          <w:kern w:val="0"/>
          <w:sz w:val="24"/>
          <w:szCs w:val="24"/>
        </w:rPr>
        <w:t/>
      </w:r>
      <w:proofErr w:type="spellStart"/>
      <w:r>
        <w:rPr>
          <w:rFonts w:ascii="宋体" w:hAnsi="宋体"/>
          <w:color w:val="000000"/>
          <w:kern w:val="0"/>
          <w:sz w:val="24"/>
          <w:szCs w:val="24"/>
        </w:rPr>
        <w:t/>
      </w:r>
      <w:proofErr w:type="spellEnd"/>
      <w:r>
        <w:rPr>
          <w:rFonts w:ascii="宋体" w:hAnsi="宋体"/>
          <w:color w:val="000000"/>
          <w:kern w:val="0"/>
          <w:sz w:val="24"/>
          <w:szCs w:val="24"/>
        </w:rPr>
        <w:t/>
      </w:r>
      <w:r>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xml:space="preserve">7  </w:t>
      </w:r>
      <w:r>
        <w:rPr>
          <w:rFonts w:ascii="方正仿宋简体" w:hint="eastAsia"/>
          <w:sz w:val="24"/>
          <w:szCs w:val="24"/>
        </w:rPr>
        <w:t>基金管理人运用固有资金投资本基金情况</w:t>
      </w:r>
    </w:p>
    <w:p w:rsidP="003D4E5A" w:rsidR="001C36D8" w:rsidRDefault="001C36D8">
      <w:pPr>
        <w:spacing w:line="360" w:lineRule="auto"/>
        <w:jc w:val="left"/>
        <w:rPr>
          <w:sz w:val="24"/>
        </w:rPr>
      </w:pPr>
      <w:r>
        <w:rPr>
          <w:b/>
          <w:sz w:val="24"/>
        </w:rPr>
        <w:t/>
      </w:r>
      <w:proofErr w:type="spellStart"/>
      <w:r>
        <w:rPr>
          <w:b/>
          <w:sz w:val="24"/>
        </w:rPr>
        <w:t/>
      </w:r>
      <w:proofErr w:type="spellEnd"/>
      <w:r>
        <w:rPr>
          <w:b/>
          <w:sz w:val="24"/>
        </w:rPr>
        <w:t xml:space="preserve">7.1 </w:t>
      </w:r>
      <w:r>
        <w:rPr>
          <w:rFonts w:hint="eastAsia"/>
          <w:b/>
          <w:sz w:val="24"/>
        </w:rPr>
        <w:t>基金管理人持有本基金份额变动情况</w:t>
      </w:r>
    </w:p>
    <w:p w:rsidP="005B1E0B" w:rsidR="001C36D8" w:rsidRDefault="00BF63AF" w:rsidRPr="005B1E0B">
      <w:pPr>
        <w:spacing w:line="360" w:lineRule="auto"/>
        <w:ind w:firstLine="480" w:firstLineChars="200"/>
        <w:rPr>
          <w:color w:val="000000"/>
          <w:sz w:val="24"/>
        </w:rPr>
      </w:pPr>
      <w:r w:rsidRPr="00510DAB">
        <w:rPr>
          <w:color w:val="000000"/>
          <w:sz w:val="24"/>
        </w:rPr>
        <w:t/>
      </w:r>
      <w:proofErr w:type="spellStart"/>
      <w:r w:rsidRPr="00510DAB">
        <w:rPr>
          <w:color w:val="000000"/>
          <w:sz w:val="24"/>
        </w:rPr>
        <w:t/>
      </w:r>
      <w:proofErr w:type="spellEnd"/>
      <w:r w:rsidRPr="00510DAB">
        <w:rPr>
          <w:color w:val="000000"/>
          <w:sz w:val="24"/>
        </w:rPr>
        <w:t>本报告期内基金管理人未持有本基金份额。</w:t>
      </w:r>
    </w:p>
    <w:p w:rsidP="003D4E5A" w:rsidR="001C36D8" w:rsidRDefault="001C36D8">
      <w:pPr>
        <w:spacing w:line="360" w:lineRule="auto"/>
        <w:jc w:val="left"/>
        <w:rPr>
          <w:sz w:val="24"/>
        </w:rPr>
      </w:pPr>
      <w:r>
        <w:rPr>
          <w:b/>
          <w:sz w:val="24"/>
        </w:rPr>
        <w:t/>
      </w:r>
      <w:proofErr w:type="spellStart"/>
      <w:r>
        <w:rPr>
          <w:b/>
          <w:sz w:val="24"/>
        </w:rPr>
        <w:t/>
      </w:r>
      <w:proofErr w:type="spellEnd"/>
      <w:r>
        <w:rPr>
          <w:b/>
          <w:sz w:val="24"/>
        </w:rPr>
        <w:t xml:space="preserve">7.2 </w:t>
      </w:r>
      <w:r>
        <w:rPr>
          <w:rFonts w:hint="eastAsia"/>
          <w:b/>
          <w:sz w:val="24"/>
        </w:rPr>
        <w:t>基金管理人运用固有资金投资本基金交易明细</w:t>
      </w:r>
    </w:p>
    <w:p w:rsidP="003D22BD" w:rsidR="001C36D8" w:rsidRDefault="001C36D8" w:rsidRPr="003D22BD">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本报告期内基金管理人未运用固有资金申购、赎回、买卖本基金份额。</w:t>
      </w:r>
    </w:p>
    <w:p w:rsidP="00A12EEF" w:rsidR="00A12EEF" w:rsidRDefault="00A12EEF" w:rsidRPr="005D2CC7">
      <w:pPr>
        <w:pStyle w:val="1"/>
        <w:spacing w:after="312" w:afterLines="100" w:before="312" w:beforeLines="100" w:line="360" w:lineRule="auto"/>
        <w:jc w:val="center"/>
        <w:rPr>
          <w:rFonts w:ascii="宋体" w:cs="Arial" w:hAnsi="宋体"/>
          <w:color w:val="000000"/>
          <w:kern w:val="0"/>
          <w:sz w:val="24"/>
          <w:szCs w:val="24"/>
        </w:rPr>
      </w:pPr>
      <w:r w:rsidRPr="005D2CC7">
        <w:rPr>
          <w:rFonts w:ascii="宋体" w:cs="Arial" w:hAnsi="宋体"/>
          <w:color w:val="000000"/>
          <w:kern w:val="0"/>
          <w:sz w:val="24"/>
          <w:szCs w:val="24"/>
        </w:rPr>
        <w:lastRenderedPageBreak/>
        <w:t/>
      </w:r>
      <w:proofErr w:type="spellStart"/>
      <w:r w:rsidRPr="005D2CC7">
        <w:rPr>
          <w:rFonts w:ascii="宋体" w:cs="Arial" w:hAnsi="宋体"/>
          <w:color w:val="000000"/>
          <w:kern w:val="0"/>
          <w:sz w:val="24"/>
          <w:szCs w:val="24"/>
        </w:rPr>
        <w:t/>
      </w:r>
      <w:proofErr w:type="spellEnd"/>
      <w:r w:rsidRPr="005D2CC7">
        <w:rPr>
          <w:rFonts w:ascii="宋体" w:cs="Arial" w:hAnsi="宋体"/>
          <w:color w:val="000000"/>
          <w:kern w:val="0"/>
          <w:sz w:val="24"/>
          <w:szCs w:val="24"/>
        </w:rPr>
        <w:t>§8</w:t>
      </w:r>
      <w:r w:rsidR="005D2CC7" w:rsidRPr="00272E0C">
        <w:rPr>
          <w:rFonts w:ascii="宋体" w:cs="Arial" w:hAnsi="宋体"/>
          <w:color w:val="000000"/>
          <w:kern w:val="0"/>
          <w:sz w:val="24"/>
          <w:szCs w:val="24"/>
        </w:rPr>
        <w:t xml:space="preserve">  </w:t>
      </w:r>
      <w:r w:rsidRPr="005D2CC7">
        <w:rPr>
          <w:rFonts w:ascii="宋体" w:cs="Arial" w:hAnsi="宋体"/>
          <w:color w:val="000000"/>
          <w:kern w:val="0"/>
          <w:sz w:val="24"/>
          <w:szCs w:val="24"/>
        </w:rPr>
        <w:t>影响投资者决策的其他重要信息</w:t>
      </w:r>
    </w:p>
    <w:p w:rsidP="004B7CA0" w:rsidR="004B7CA0" w:rsidRDefault="004B7CA0" w:rsidRPr="00654C5E">
      <w:pPr>
        <w:autoSpaceDE w:val="0"/>
        <w:autoSpaceDN w:val="0"/>
        <w:adjustRightInd w:val="0"/>
        <w:spacing w:line="360" w:lineRule="auto"/>
        <w:jc w:val="left"/>
        <w:rPr>
          <w:rFonts w:ascii="宋体"/>
          <w:b/>
          <w:bCs/>
          <w:color w:val="000000"/>
          <w:kern w:val="0"/>
          <w:sz w:val="24"/>
        </w:rPr>
      </w:pPr>
      <w:r w:rsidRPr="00654C5E">
        <w:rPr>
          <w:rFonts w:ascii="宋体"/>
          <w:b/>
          <w:bCs/>
          <w:color w:val="000000"/>
          <w:kern w:val="0"/>
          <w:sz w:val="24"/>
        </w:rPr>
        <w:t/>
      </w:r>
      <w:proofErr w:type="spellStart"/>
      <w:r w:rsidRPr="00654C5E">
        <w:rPr>
          <w:rFonts w:ascii="宋体"/>
          <w:b/>
          <w:bCs/>
          <w:color w:val="000000"/>
          <w:kern w:val="0"/>
          <w:sz w:val="24"/>
        </w:rPr>
        <w:t/>
      </w:r>
      <w:proofErr w:type="spellEnd"/>
      <w:r w:rsidRPr="00654C5E">
        <w:rPr>
          <w:rFonts w:ascii="宋体"/>
          <w:b/>
          <w:bCs/>
          <w:color w:val="000000"/>
          <w:kern w:val="0"/>
          <w:sz w:val="24"/>
        </w:rPr>
        <w:t>8.1 影响投资者决策的其他重要信息</w:t>
      </w:r>
    </w:p>
    <w:p w:rsidP="004B7CA0" w:rsidR="001C36D8" w:rsidRDefault="004B7CA0" w:rsidRPr="003D22BD">
      <w:pPr>
        <w:spacing w:line="360" w:lineRule="auto"/>
        <w:ind w:firstLine="480" w:firstLineChars="200"/>
        <w:rPr>
          <w:color w:val="000000"/>
          <w:sz w:val="24"/>
        </w:rPr>
      </w:pPr>
      <w:r w:rsidRPr="00FC0759">
        <w:rPr>
          <w:rFonts w:eastAsiaTheme="minorEastAsia"/>
          <w:color w:themeColor="text1" w:val="000000"/>
          <w:sz w:val="24"/>
        </w:rPr>
        <w:t/>
      </w:r>
      <w:proofErr w:type="spellStart"/>
      <w:r w:rsidRPr="00FC0759">
        <w:rPr>
          <w:color w:themeColor="text1" w:val="000000"/>
          <w:sz w:val="24"/>
        </w:rPr>
        <w:t/>
      </w:r>
      <w:proofErr w:type="spellEnd"/>
      <w:r w:rsidRPr="00FC0759">
        <w:rPr>
          <w:rFonts w:eastAsiaTheme="minorEastAsia"/>
          <w:color w:themeColor="text1" w:val="000000"/>
          <w:sz w:val="24"/>
        </w:rPr>
        <w:t>根据中国人民银行、中国银行保险监督管理委员会、中国证券监督管理委员会、国家外汇管理局联合发布的《关于规范金融机构资产管理业务的指导意见》，本基金将在2020年底前完成规范整改，请投资者理性投资并关注基金管理人届时发布的相关公告。</w:t>
      </w:r>
    </w:p>
    <w:p w:rsidP="005C6DF3" w:rsidR="001C36D8" w:rsidRDefault="001C36D8" w:rsidRPr="00272E0C">
      <w:pPr>
        <w:pStyle w:val="1"/>
        <w:spacing w:after="312" w:afterLines="100" w:before="312" w:beforeLines="100" w:line="360" w:lineRule="auto"/>
        <w:jc w:val="center"/>
        <w:rPr>
          <w:rFonts w:ascii="宋体" w:cs="Arial"/>
          <w:color w:val="000000"/>
          <w:kern w:val="0"/>
          <w:sz w:val="24"/>
          <w:szCs w:val="24"/>
        </w:rPr>
      </w:pPr>
      <w:r w:rsidRPr="00272E0C">
        <w:rPr>
          <w:rFonts w:ascii="宋体" w:cs="Arial" w:hAnsi="宋体" w:hint="eastAsia"/>
          <w:color w:val="000000"/>
          <w:kern w:val="0"/>
          <w:sz w:val="24"/>
          <w:szCs w:val="24"/>
        </w:rPr>
        <w:lastRenderedPageBreak/>
        <w:t>§</w:t>
      </w:r>
      <w:r w:rsidRPr="00272E0C">
        <w:rPr>
          <w:rFonts w:ascii="宋体" w:cs="Arial"/>
          <w:color w:val="000000"/>
          <w:kern w:val="0"/>
          <w:sz w:val="24"/>
          <w:szCs w:val="24"/>
        </w:rPr>
        <w:t/>
      </w:r>
      <w:r w:rsidRPr="00272E0C">
        <w:rPr>
          <w:rFonts w:ascii="宋体" w:cs="Arial" w:hAnsi="宋体"/>
          <w:color w:val="000000"/>
          <w:kern w:val="0"/>
          <w:sz w:val="24"/>
          <w:szCs w:val="24"/>
        </w:rPr>
        <w:t>9</w:t>
      </w:r>
      <w:r w:rsidR="005D2CC7" w:rsidRPr="00272E0C">
        <w:rPr>
          <w:rFonts w:ascii="宋体" w:cs="Arial" w:hAnsi="宋体"/>
          <w:color w:val="000000"/>
          <w:kern w:val="0"/>
          <w:sz w:val="24"/>
          <w:szCs w:val="24"/>
        </w:rPr>
        <w:t xml:space="preserve">  </w:t>
      </w:r>
      <w:r w:rsidRPr="00272E0C">
        <w:rPr>
          <w:rFonts w:ascii="宋体" w:cs="Arial" w:hAnsi="宋体" w:hint="eastAsia"/>
          <w:color w:val="000000"/>
          <w:kern w:val="0"/>
          <w:sz w:val="24"/>
          <w:szCs w:val="24"/>
        </w:rPr>
        <w:t>备查文件目录</w:t>
      </w:r>
    </w:p>
    <w:p w:rsidP="001078B6" w:rsidR="001C36D8" w:rsidRDefault="001C36D8" w:rsidRPr="00CE2DE4">
      <w:pPr>
        <w:spacing w:line="360" w:lineRule="auto"/>
        <w:rPr>
          <w:rFonts w:ascii="宋体"/>
          <w:b/>
          <w:color w:val="000000"/>
          <w:kern w:val="0"/>
          <w:sz w:val="24"/>
        </w:rPr>
      </w:pPr>
      <w:r w:rsidRPr="00CE2DE4">
        <w:rPr>
          <w:rFonts w:ascii="宋体"/>
          <w:b/>
          <w:color w:val="000000"/>
          <w:sz w:val="24"/>
        </w:rPr>
        <w:t/>
      </w:r>
      <w:r w:rsidRPr="00CE2DE4">
        <w:rPr>
          <w:rFonts w:ascii="宋体" w:hAnsi="宋体"/>
          <w:b/>
          <w:color w:val="000000"/>
          <w:sz w:val="24"/>
        </w:rPr>
        <w:t xml:space="preserve">9.1 </w:t>
      </w:r>
      <w:r w:rsidRPr="00CE2DE4">
        <w:rPr>
          <w:rFonts w:ascii="宋体" w:hAnsi="宋体" w:hint="eastAsia"/>
          <w:b/>
          <w:color w:val="000000"/>
          <w:sz w:val="24"/>
        </w:rPr>
        <w:t>备查文件目录</w:t>
      </w:r>
    </w:p>
    <w:p>
      <w:pPr>
        <w:spacing w:line="360" w:lineRule="auto"/>
        <w:ind w:firstLine="480" w:firstLineChars="200"/>
        <w:rPr>
          <w:color w:val="000000"/>
          <w:sz w:val="24"/>
        </w:rPr>
      </w:pPr>
      <w:r>
        <w:rPr>
          <w:color w:val="000000"/>
          <w:sz w:val="24"/>
        </w:rPr>
        <w:t>1.中国证监会准予易方达证券公司指数分级证券投资基金募集注册的文件；</w:t>
      </w:r>
    </w:p>
    <w:p>
      <w:pPr>
        <w:spacing w:line="360" w:lineRule="auto"/>
        <w:ind w:firstLine="480" w:firstLineChars="200"/>
        <w:rPr>
          <w:color w:val="000000"/>
          <w:sz w:val="24"/>
        </w:rPr>
      </w:pPr>
      <w:r>
        <w:rPr>
          <w:color w:val="000000"/>
          <w:sz w:val="24"/>
        </w:rPr>
        <w:t>2.《易方达证券公司指数分级证券投资基金基金合同》；</w:t>
      </w:r>
    </w:p>
    <w:p>
      <w:pPr>
        <w:spacing w:line="360" w:lineRule="auto"/>
        <w:ind w:firstLine="480" w:firstLineChars="200"/>
        <w:rPr>
          <w:color w:val="000000"/>
          <w:sz w:val="24"/>
        </w:rPr>
      </w:pPr>
      <w:r>
        <w:rPr>
          <w:color w:val="000000"/>
          <w:sz w:val="24"/>
        </w:rPr>
        <w:t>3.《易方达证券公司指数分级证券投资基金托管协议》；</w:t>
      </w:r>
    </w:p>
    <w:p w:rsidP="00E43B0B" w:rsidR="001C36D8" w:rsidRDefault="001C36D8" w:rsidRPr="00E43B0B">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4.基金管理人业务资格批件和营业执照。</w:t>
      </w:r>
    </w:p>
    <w:p w:rsidP="001078B6" w:rsidR="001C36D8" w:rsidRDefault="001C36D8" w:rsidRPr="00CE2DE4">
      <w:pPr>
        <w:spacing w:line="360" w:lineRule="auto"/>
        <w:rPr>
          <w:rFonts w:ascii="宋体"/>
          <w:b/>
          <w:color w:val="000000"/>
          <w:sz w:val="24"/>
        </w:rPr>
      </w:pPr>
      <w:r w:rsidRPr="00CE2DE4">
        <w:rPr>
          <w:rFonts w:ascii="宋体"/>
          <w:b/>
          <w:color w:val="000000"/>
          <w:sz w:val="24"/>
        </w:rPr>
        <w:t/>
      </w:r>
      <w:r w:rsidRPr="00CE2DE4">
        <w:rPr>
          <w:rFonts w:ascii="宋体" w:hAnsi="宋体"/>
          <w:b/>
          <w:color w:val="000000"/>
          <w:sz w:val="24"/>
        </w:rPr>
        <w:t xml:space="preserve">9.2 </w:t>
      </w:r>
      <w:r w:rsidRPr="00CE2DE4">
        <w:rPr>
          <w:rFonts w:ascii="宋体" w:hAnsi="宋体" w:hint="eastAsia"/>
          <w:b/>
          <w:color w:val="000000"/>
          <w:sz w:val="24"/>
        </w:rPr>
        <w:t>存放地点</w:t>
      </w:r>
    </w:p>
    <w:p w:rsidP="00E43B0B" w:rsidR="001C36D8" w:rsidRDefault="001C36D8" w:rsidRPr="00E43B0B">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广州市天河区珠江新城珠江东路30号广州银行大厦40-43楼。</w:t>
      </w:r>
    </w:p>
    <w:p w:rsidP="001078B6" w:rsidR="001C36D8" w:rsidRDefault="001C36D8" w:rsidRPr="00CE2DE4">
      <w:pPr>
        <w:spacing w:line="360" w:lineRule="auto"/>
        <w:rPr>
          <w:rFonts w:ascii="宋体"/>
          <w:b/>
          <w:color w:val="000000"/>
          <w:sz w:val="24"/>
        </w:rPr>
      </w:pPr>
      <w:r w:rsidRPr="00CE2DE4">
        <w:rPr>
          <w:rFonts w:ascii="宋体"/>
          <w:b/>
          <w:color w:val="000000"/>
          <w:sz w:val="24"/>
        </w:rPr>
        <w:t/>
      </w:r>
      <w:r w:rsidRPr="00CE2DE4">
        <w:rPr>
          <w:rFonts w:ascii="宋体" w:hAnsi="宋体"/>
          <w:b/>
          <w:color w:val="000000"/>
          <w:sz w:val="24"/>
        </w:rPr>
        <w:t xml:space="preserve">9.3 </w:t>
      </w:r>
      <w:r w:rsidRPr="00CE2DE4">
        <w:rPr>
          <w:rFonts w:ascii="宋体" w:hAnsi="宋体" w:hint="eastAsia"/>
          <w:b/>
          <w:color w:val="000000"/>
          <w:sz w:val="24"/>
        </w:rPr>
        <w:t>查阅方式</w:t>
      </w:r>
    </w:p>
    <w:p w:rsidP="0015779C" w:rsidR="001C36D8" w:rsidRDefault="001C36D8" w:rsidRPr="003D22BD">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投资者可在营业时间免费查阅，也可按工本费购买复印件。</w:t>
      </w:r>
    </w:p>
    <w:p w:rsidP="0019563C" w:rsidR="001C36D8" w:rsidRDefault="001C36D8" w:rsidRPr="00272E0C">
      <w:pPr>
        <w:spacing w:line="360" w:lineRule="auto"/>
        <w:ind w:left="840"/>
        <w:jc w:val="right"/>
        <w:rPr>
          <w:rFonts w:ascii="宋体"/>
          <w:color w:val="000000"/>
          <w:sz w:val="24"/>
        </w:rPr>
      </w:pPr>
      <w:r w:rsidRPr="00272E0C">
        <w:rPr>
          <w:rFonts w:ascii="宋体"/>
          <w:color w:val="000000"/>
          <w:sz w:val="24"/>
        </w:rPr>
        <w:tab/>
      </w:r>
    </w:p>
    <w:p w:rsidP="0019563C" w:rsidR="001C36D8" w:rsidRDefault="001C36D8">
      <w:pPr>
        <w:spacing w:line="360" w:lineRule="auto"/>
        <w:ind w:left="840"/>
        <w:jc w:val="right"/>
        <w:rPr>
          <w:rFonts w:ascii="宋体"/>
          <w:color w:val="000000"/>
          <w:sz w:val="24"/>
        </w:rPr>
      </w:pPr>
    </w:p>
    <w:p w:rsidP="0019563C" w:rsidR="001C36D8" w:rsidRDefault="001C36D8">
      <w:pPr>
        <w:spacing w:line="360" w:lineRule="auto"/>
        <w:ind w:left="840"/>
        <w:jc w:val="right"/>
        <w:rPr>
          <w:rFonts w:ascii="宋体"/>
          <w:color w:val="000000"/>
          <w:sz w:val="24"/>
        </w:rPr>
      </w:pPr>
    </w:p>
    <w:p w:rsidP="0019563C" w:rsidR="001C36D8" w:rsidRDefault="001C36D8">
      <w:pPr>
        <w:spacing w:line="360" w:lineRule="auto"/>
        <w:ind w:left="840"/>
        <w:jc w:val="right"/>
        <w:rPr>
          <w:rFonts w:ascii="宋体"/>
          <w:color w:val="000000"/>
          <w:sz w:val="24"/>
        </w:rPr>
      </w:pPr>
    </w:p>
    <w:p w:rsidP="0019563C" w:rsidR="001C36D8" w:rsidRDefault="001C36D8" w:rsidRPr="00272E0C">
      <w:pPr>
        <w:spacing w:line="360" w:lineRule="auto"/>
        <w:ind w:left="840"/>
        <w:jc w:val="right"/>
        <w:rPr>
          <w:rFonts w:ascii="宋体"/>
          <w:color w:val="000000"/>
          <w:sz w:val="24"/>
        </w:rPr>
      </w:pPr>
    </w:p>
    <w:p w:rsidP="0019563C" w:rsidR="001C36D8" w:rsidRDefault="001C36D8" w:rsidRPr="00272E0C">
      <w:pPr>
        <w:spacing w:line="360" w:lineRule="auto"/>
        <w:ind w:left="840"/>
        <w:jc w:val="right"/>
        <w:rPr>
          <w:rFonts w:ascii="宋体"/>
          <w:color w:val="000000"/>
          <w:sz w:val="24"/>
        </w:rPr>
      </w:pPr>
    </w:p>
    <w:p w:rsidP="001078B6" w:rsidR="001C36D8" w:rsidRDefault="001C36D8" w:rsidRPr="00272E0C">
      <w:pPr>
        <w:spacing w:line="360" w:lineRule="auto"/>
        <w:jc w:val="right"/>
        <w:rPr>
          <w:rFonts w:ascii="宋体" w:hAnsi="宋体"/>
          <w:b/>
          <w:bCs/>
          <w:sz w:val="24"/>
        </w:rPr>
      </w:pPr>
      <w:r w:rsidRPr="00272E0C">
        <w:rPr>
          <w:rFonts w:ascii="宋体"/>
          <w:b/>
          <w:bCs/>
          <w:sz w:val="24"/>
        </w:rPr>
        <w:t/>
      </w:r>
      <w:proofErr w:type="spellStart"/>
      <w:r w:rsidRPr="00272E0C">
        <w:rPr>
          <w:rFonts w:ascii="宋体" w:hAnsi="宋体"/>
          <w:b/>
          <w:bCs/>
          <w:sz w:val="24"/>
        </w:rPr>
        <w:t/>
      </w:r>
      <w:proofErr w:type="spellEnd"/>
      <w:r w:rsidRPr="00272E0C">
        <w:rPr>
          <w:rFonts w:ascii="宋体" w:hAnsi="宋体"/>
          <w:b/>
          <w:bCs/>
          <w:sz w:val="24"/>
        </w:rPr>
        <w:t>易方达基金管理有限公司</w:t>
      </w:r>
    </w:p>
    <w:p w:rsidP="008C2A97" w:rsidR="001C36D8" w:rsidRDefault="001C36D8" w:rsidRPr="008C2A97">
      <w:pPr>
        <w:spacing w:line="360" w:lineRule="auto"/>
        <w:jc w:val="right"/>
        <w:rPr>
          <w:rFonts w:ascii="宋体" w:hAnsi="宋体"/>
          <w:b/>
          <w:bCs/>
          <w:sz w:val="24"/>
        </w:rPr>
      </w:pPr>
      <w:r w:rsidRPr="00272E0C">
        <w:rPr>
          <w:rFonts w:ascii="宋体" w:hAnsi="宋体"/>
          <w:b/>
          <w:bCs/>
          <w:sz w:val="24"/>
        </w:rPr>
        <w:t/>
      </w:r>
      <w:proofErr w:type="spellStart"/>
      <w:r w:rsidRPr="00272E0C">
        <w:rPr>
          <w:rFonts w:ascii="宋体" w:hAnsi="宋体"/>
          <w:b/>
          <w:bCs/>
          <w:sz w:val="24"/>
        </w:rPr>
        <w:t/>
      </w:r>
      <w:proofErr w:type="spellEnd"/>
      <w:r w:rsidRPr="00272E0C">
        <w:rPr>
          <w:rFonts w:ascii="宋体" w:hAnsi="宋体"/>
          <w:b/>
          <w:bCs/>
          <w:sz w:val="24"/>
        </w:rPr>
        <w:t>二〇二〇年十月二十八日</w:t>
      </w:r>
    </w:p>
    <w:sectPr w:rsidR="001C36D8" w:rsidRPr="008C2A97" w:rsidSect="00DB4450">
      <w:footerReference r:id="rId11" w:type="even"/>
      <w:footerReference r:id="rId12" w:type="defaul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865" w:rsidRDefault="008E0865">
      <w:r>
        <w:separator/>
      </w:r>
    </w:p>
  </w:endnote>
  <w:endnote w:type="continuationSeparator" w:id="0">
    <w:p w:rsidR="008E0865" w:rsidRDefault="008E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TSong-Light">
    <w:altName w:val="Times New Roman"/>
    <w:panose1 w:val="00000000000000000000"/>
    <w:charset w:val="00"/>
    <w:family w:val="roman"/>
    <w:notTrueType/>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230A66" w:rsidR="00E43B0B" w:rsidRDefault="00E43B0B" w:rsidRPr="001D0DB0">
    <w:pPr>
      <w:pStyle w:val="a6"/>
      <w:jc w:val="center"/>
    </w:pPr>
    <w:r>
      <w:rPr>
        <w:rFonts w:hint="eastAsia"/>
        <w:kern w:val="0"/>
        <w:szCs w:val="21"/>
      </w:rPr>
      <w:t>第</w:t>
    </w:r>
    <w:r w:rsidR="0015021E">
      <w:rPr>
        <w:kern w:val="0"/>
        <w:szCs w:val="21"/>
      </w:rPr>
      <w:fldChar w:fldCharType="begin"/>
    </w:r>
    <w:r>
      <w:rPr>
        <w:kern w:val="0"/>
        <w:szCs w:val="21"/>
      </w:rPr>
      <w:instrText xml:space="preserve"> PAGE </w:instrText>
    </w:r>
    <w:r w:rsidR="0015021E">
      <w:rPr>
        <w:kern w:val="0"/>
        <w:szCs w:val="21"/>
      </w:rPr>
      <w:fldChar w:fldCharType="separate"/>
    </w:r>
    <w:r w:rsidR="003F1D66">
      <w:rPr>
        <w:noProof/>
        <w:kern w:val="0"/>
        <w:szCs w:val="21"/>
      </w:rPr>
      <w:t>1</w:t>
    </w:r>
    <w:r w:rsidR="0015021E">
      <w:rPr>
        <w:kern w:val="0"/>
        <w:szCs w:val="21"/>
      </w:rPr>
      <w:fldChar w:fldCharType="end"/>
    </w:r>
    <w:proofErr w:type="gramStart"/>
    <w:r>
      <w:rPr>
        <w:rFonts w:hint="eastAsia"/>
        <w:kern w:val="0"/>
        <w:szCs w:val="21"/>
      </w:rPr>
      <w:t>页共</w:t>
    </w:r>
    <w:proofErr w:type="gramEnd"/>
    <w:r w:rsidR="0015021E">
      <w:rPr>
        <w:kern w:val="0"/>
        <w:szCs w:val="21"/>
      </w:rPr>
      <w:fldChar w:fldCharType="begin"/>
    </w:r>
    <w:r>
      <w:rPr>
        <w:kern w:val="0"/>
        <w:szCs w:val="21"/>
      </w:rPr>
      <w:instrText xml:space="preserve"> NUMPAGES </w:instrText>
    </w:r>
    <w:r w:rsidR="0015021E">
      <w:rPr>
        <w:kern w:val="0"/>
        <w:szCs w:val="21"/>
      </w:rPr>
      <w:fldChar w:fldCharType="separate"/>
    </w:r>
    <w:r w:rsidR="003F1D66">
      <w:rPr>
        <w:noProof/>
        <w:kern w:val="0"/>
        <w:szCs w:val="21"/>
      </w:rPr>
      <w:t>1</w:t>
    </w:r>
    <w:r w:rsidR="0015021E">
      <w:rPr>
        <w:kern w:val="0"/>
        <w:szCs w:val="21"/>
      </w:rPr>
      <w:fldChar w:fldCharType="end"/>
    </w:r>
    <w:r>
      <w:rPr>
        <w:rFonts w:hint="eastAsia"/>
        <w:kern w:val="0"/>
        <w:szCs w:val="21"/>
      </w:rPr>
      <w:t>页</w:t>
    </w: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E43B0B" w:rsidRDefault="0015021E">
    <w:pPr>
      <w:pStyle w:val="a6"/>
      <w:framePr w:hAnchor="margin" w:vAnchor="text" w:wrap="around" w:xAlign="center" w:y="1"/>
      <w:rPr>
        <w:rStyle w:val="a7"/>
      </w:rPr>
    </w:pPr>
    <w:r>
      <w:rPr>
        <w:rStyle w:val="a7"/>
      </w:rPr>
      <w:fldChar w:fldCharType="begin"/>
    </w:r>
    <w:r w:rsidR="00E43B0B">
      <w:rPr>
        <w:rStyle w:val="a7"/>
      </w:rPr>
      <w:instrText xml:space="preserve">PAGE  </w:instrText>
    </w:r>
    <w:r>
      <w:rPr>
        <w:rStyle w:val="a7"/>
      </w:rPr>
      <w:fldChar w:fldCharType="end"/>
    </w:r>
  </w:p>
  <w:p w:rsidR="00E43B0B" w:rsidRDefault="00E43B0B">
    <w:pPr>
      <w:pStyle w:val="a6"/>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E43B0B" w:rsidRDefault="0015021E">
    <w:pPr>
      <w:pStyle w:val="a6"/>
      <w:framePr w:hAnchor="margin" w:vAnchor="text" w:wrap="around" w:xAlign="center" w:y="1"/>
      <w:rPr>
        <w:rStyle w:val="a7"/>
      </w:rPr>
    </w:pPr>
    <w:r>
      <w:rPr>
        <w:rStyle w:val="a7"/>
      </w:rPr>
      <w:fldChar w:fldCharType="begin"/>
    </w:r>
    <w:r w:rsidR="00E43B0B">
      <w:rPr>
        <w:rStyle w:val="a7"/>
      </w:rPr>
      <w:instrText xml:space="preserve">PAGE  </w:instrText>
    </w:r>
    <w:r>
      <w:rPr>
        <w:rStyle w:val="a7"/>
      </w:rPr>
      <w:fldChar w:fldCharType="separate"/>
    </w:r>
    <w:r w:rsidR="003F1D66">
      <w:rPr>
        <w:rStyle w:val="a7"/>
        <w:noProof/>
      </w:rPr>
      <w:t>6</w:t>
    </w:r>
    <w:r>
      <w:rPr>
        <w:rStyle w:val="a7"/>
      </w:rPr>
      <w:fldChar w:fldCharType="end"/>
    </w:r>
  </w:p>
  <w:p w:rsidR="00E43B0B" w:rsidRDefault="00E43B0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R="008E0865" w:rsidRDefault="008E0865">
      <w:r>
        <w:separator/>
      </w:r>
    </w:p>
  </w:footnote>
  <w:footnote w:id="0" w:type="continuationSeparator">
    <w:p w:rsidR="008E0865" w:rsidRDefault="008E0865">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FB572A" w:rsidR="00E43B0B" w:rsidRDefault="00E43B0B" w:rsidRPr="00717C29">
    <w:pPr>
      <w:pStyle w:val="a9"/>
      <w:pBdr>
        <w:bottom w:color="auto" w:space="0" w:sz="6" w:val="single"/>
      </w:pBdr>
      <w:jc w:val="right"/>
      <w:rPr>
        <w:sz w:val="15"/>
      </w:rPr>
    </w:pPr>
    <w:r w:rsidRPr="00717C29">
      <w:rPr>
        <w:szCs w:val="21"/>
      </w:rPr>
      <w:t/>
    </w:r>
    <w:proofErr w:type="spellStart"/>
    <w:proofErr w:type="gramStart"/>
    <w:r w:rsidRPr="00717C29">
      <w:rPr>
        <w:szCs w:val="21"/>
      </w:rPr>
      <w:t/>
    </w:r>
    <w:proofErr w:type="spellEnd"/>
    <w:proofErr w:type="gramEnd"/>
    <w:r w:rsidRPr="00717C29">
      <w:rPr>
        <w:szCs w:val="21"/>
      </w:rPr>
      <w:t>易方达证券公司指数分级证券投资基金</w:t>
    </w:r>
    <w:proofErr w:type="spellStart"/>
    <w:r w:rsidRPr="00717C29">
      <w:rPr>
        <w:szCs w:val="21"/>
      </w:rPr>
      <w:t/>
    </w:r>
    <w:proofErr w:type="spellEnd"/>
    <w:r w:rsidRPr="00717C29">
      <w:rPr>
        <w:szCs w:val="21"/>
      </w:rPr>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printPostScriptOverText/>
  <w:bordersDoNotSurroundHeader/>
  <w:bordersDoNotSurroundFooter/>
  <w:proofState w:grammar="clean"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42A56"/>
    <w:rsid w:val="0000116E"/>
    <w:rsid w:val="0000403B"/>
    <w:rsid w:val="00005911"/>
    <w:rsid w:val="0000595B"/>
    <w:rsid w:val="00010A83"/>
    <w:rsid w:val="00010A8E"/>
    <w:rsid w:val="00010AC3"/>
    <w:rsid w:val="000118A9"/>
    <w:rsid w:val="00011EB5"/>
    <w:rsid w:val="0001280C"/>
    <w:rsid w:val="00013023"/>
    <w:rsid w:val="000148F1"/>
    <w:rsid w:val="00014E17"/>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5190"/>
    <w:rsid w:val="00055AF1"/>
    <w:rsid w:val="00056A75"/>
    <w:rsid w:val="00057DD3"/>
    <w:rsid w:val="00061008"/>
    <w:rsid w:val="000625A6"/>
    <w:rsid w:val="000627CD"/>
    <w:rsid w:val="00062BCE"/>
    <w:rsid w:val="00064AE3"/>
    <w:rsid w:val="00066524"/>
    <w:rsid w:val="00070CD1"/>
    <w:rsid w:val="0007171B"/>
    <w:rsid w:val="00074E9F"/>
    <w:rsid w:val="00081D05"/>
    <w:rsid w:val="0008378B"/>
    <w:rsid w:val="00085449"/>
    <w:rsid w:val="00087CF7"/>
    <w:rsid w:val="00090B0F"/>
    <w:rsid w:val="00090D91"/>
    <w:rsid w:val="00091214"/>
    <w:rsid w:val="00094876"/>
    <w:rsid w:val="00095912"/>
    <w:rsid w:val="00095CE0"/>
    <w:rsid w:val="00096933"/>
    <w:rsid w:val="00097230"/>
    <w:rsid w:val="0009778D"/>
    <w:rsid w:val="000A457E"/>
    <w:rsid w:val="000A53FD"/>
    <w:rsid w:val="000A549A"/>
    <w:rsid w:val="000A72F2"/>
    <w:rsid w:val="000B0C56"/>
    <w:rsid w:val="000B3E43"/>
    <w:rsid w:val="000B5974"/>
    <w:rsid w:val="000B5CC0"/>
    <w:rsid w:val="000C1038"/>
    <w:rsid w:val="000C1723"/>
    <w:rsid w:val="000C1B20"/>
    <w:rsid w:val="000C4107"/>
    <w:rsid w:val="000C44BD"/>
    <w:rsid w:val="000C45E7"/>
    <w:rsid w:val="000C57A8"/>
    <w:rsid w:val="000D0149"/>
    <w:rsid w:val="000D01F4"/>
    <w:rsid w:val="000D0D4E"/>
    <w:rsid w:val="000D1519"/>
    <w:rsid w:val="000E1618"/>
    <w:rsid w:val="000E4456"/>
    <w:rsid w:val="000F175F"/>
    <w:rsid w:val="000F17D1"/>
    <w:rsid w:val="000F2837"/>
    <w:rsid w:val="000F399F"/>
    <w:rsid w:val="000F60FF"/>
    <w:rsid w:val="000F635F"/>
    <w:rsid w:val="000F6C61"/>
    <w:rsid w:val="001008A1"/>
    <w:rsid w:val="00100C12"/>
    <w:rsid w:val="00102E56"/>
    <w:rsid w:val="001049B6"/>
    <w:rsid w:val="001051C6"/>
    <w:rsid w:val="001078B6"/>
    <w:rsid w:val="0011177A"/>
    <w:rsid w:val="00111D44"/>
    <w:rsid w:val="00116E31"/>
    <w:rsid w:val="00120BED"/>
    <w:rsid w:val="0012304E"/>
    <w:rsid w:val="001248EF"/>
    <w:rsid w:val="001257C7"/>
    <w:rsid w:val="00126DDF"/>
    <w:rsid w:val="001270BF"/>
    <w:rsid w:val="00127BAC"/>
    <w:rsid w:val="00134868"/>
    <w:rsid w:val="001366D4"/>
    <w:rsid w:val="00140FF8"/>
    <w:rsid w:val="00142A56"/>
    <w:rsid w:val="00144DF5"/>
    <w:rsid w:val="00145A97"/>
    <w:rsid w:val="00146485"/>
    <w:rsid w:val="00147338"/>
    <w:rsid w:val="0015021E"/>
    <w:rsid w:val="001506B4"/>
    <w:rsid w:val="00150A6E"/>
    <w:rsid w:val="00150AD6"/>
    <w:rsid w:val="00153B40"/>
    <w:rsid w:val="00154ADA"/>
    <w:rsid w:val="0015531A"/>
    <w:rsid w:val="00155953"/>
    <w:rsid w:val="0015779C"/>
    <w:rsid w:val="001600E8"/>
    <w:rsid w:val="00163B27"/>
    <w:rsid w:val="00165317"/>
    <w:rsid w:val="00170F80"/>
    <w:rsid w:val="00171BAD"/>
    <w:rsid w:val="001744B4"/>
    <w:rsid w:val="001756A1"/>
    <w:rsid w:val="001761EE"/>
    <w:rsid w:val="0017638D"/>
    <w:rsid w:val="00176EAA"/>
    <w:rsid w:val="0017725A"/>
    <w:rsid w:val="00177C4B"/>
    <w:rsid w:val="0018325A"/>
    <w:rsid w:val="00183C9E"/>
    <w:rsid w:val="00184556"/>
    <w:rsid w:val="00185D2B"/>
    <w:rsid w:val="00186199"/>
    <w:rsid w:val="001878B0"/>
    <w:rsid w:val="001928F7"/>
    <w:rsid w:val="00193F07"/>
    <w:rsid w:val="00194537"/>
    <w:rsid w:val="0019563C"/>
    <w:rsid w:val="001A09F9"/>
    <w:rsid w:val="001A14DB"/>
    <w:rsid w:val="001A21A9"/>
    <w:rsid w:val="001A363B"/>
    <w:rsid w:val="001A59D8"/>
    <w:rsid w:val="001A5FA6"/>
    <w:rsid w:val="001B0A62"/>
    <w:rsid w:val="001B2F0C"/>
    <w:rsid w:val="001B64E7"/>
    <w:rsid w:val="001C123E"/>
    <w:rsid w:val="001C19E0"/>
    <w:rsid w:val="001C36D8"/>
    <w:rsid w:val="001C37F6"/>
    <w:rsid w:val="001C4BEC"/>
    <w:rsid w:val="001C6288"/>
    <w:rsid w:val="001C7DE9"/>
    <w:rsid w:val="001D0DB0"/>
    <w:rsid w:val="001D0F6A"/>
    <w:rsid w:val="001D21BC"/>
    <w:rsid w:val="001D2FA5"/>
    <w:rsid w:val="001D35E0"/>
    <w:rsid w:val="001D5045"/>
    <w:rsid w:val="001D5387"/>
    <w:rsid w:val="001D5A44"/>
    <w:rsid w:val="001D63BB"/>
    <w:rsid w:val="001D724B"/>
    <w:rsid w:val="001E11D3"/>
    <w:rsid w:val="001E2A6A"/>
    <w:rsid w:val="001E3DC2"/>
    <w:rsid w:val="001E56FF"/>
    <w:rsid w:val="001E5C6B"/>
    <w:rsid w:val="001E6E4D"/>
    <w:rsid w:val="001F03E1"/>
    <w:rsid w:val="001F0DE2"/>
    <w:rsid w:val="001F218E"/>
    <w:rsid w:val="001F3CC6"/>
    <w:rsid w:val="001F40BA"/>
    <w:rsid w:val="001F4530"/>
    <w:rsid w:val="002010DE"/>
    <w:rsid w:val="00202968"/>
    <w:rsid w:val="00202A66"/>
    <w:rsid w:val="00202C32"/>
    <w:rsid w:val="00203AEF"/>
    <w:rsid w:val="00210344"/>
    <w:rsid w:val="00211A26"/>
    <w:rsid w:val="002125F7"/>
    <w:rsid w:val="00213171"/>
    <w:rsid w:val="00213917"/>
    <w:rsid w:val="00214463"/>
    <w:rsid w:val="00214756"/>
    <w:rsid w:val="00215CF2"/>
    <w:rsid w:val="00215E33"/>
    <w:rsid w:val="00216232"/>
    <w:rsid w:val="00220542"/>
    <w:rsid w:val="00220684"/>
    <w:rsid w:val="00221174"/>
    <w:rsid w:val="00225ADC"/>
    <w:rsid w:val="00230732"/>
    <w:rsid w:val="00230A66"/>
    <w:rsid w:val="00230EC2"/>
    <w:rsid w:val="002359EB"/>
    <w:rsid w:val="002363AB"/>
    <w:rsid w:val="00237FA3"/>
    <w:rsid w:val="0024172D"/>
    <w:rsid w:val="00241B12"/>
    <w:rsid w:val="0024260D"/>
    <w:rsid w:val="00243E40"/>
    <w:rsid w:val="00245012"/>
    <w:rsid w:val="0024504E"/>
    <w:rsid w:val="0024651F"/>
    <w:rsid w:val="002470BA"/>
    <w:rsid w:val="00250BE3"/>
    <w:rsid w:val="00251290"/>
    <w:rsid w:val="0025158D"/>
    <w:rsid w:val="00251D17"/>
    <w:rsid w:val="00251F3A"/>
    <w:rsid w:val="0025281A"/>
    <w:rsid w:val="00253D3C"/>
    <w:rsid w:val="0025435F"/>
    <w:rsid w:val="00255292"/>
    <w:rsid w:val="00260200"/>
    <w:rsid w:val="00263563"/>
    <w:rsid w:val="002648D8"/>
    <w:rsid w:val="00264E55"/>
    <w:rsid w:val="00270548"/>
    <w:rsid w:val="00272E0C"/>
    <w:rsid w:val="00273F86"/>
    <w:rsid w:val="002752B0"/>
    <w:rsid w:val="002774F0"/>
    <w:rsid w:val="0028459B"/>
    <w:rsid w:val="00284C5F"/>
    <w:rsid w:val="002873F0"/>
    <w:rsid w:val="00291A74"/>
    <w:rsid w:val="00292198"/>
    <w:rsid w:val="002964F9"/>
    <w:rsid w:val="00297EF3"/>
    <w:rsid w:val="002A1F14"/>
    <w:rsid w:val="002A2678"/>
    <w:rsid w:val="002A2E01"/>
    <w:rsid w:val="002A398F"/>
    <w:rsid w:val="002A44F9"/>
    <w:rsid w:val="002A5C6B"/>
    <w:rsid w:val="002A5D31"/>
    <w:rsid w:val="002A714F"/>
    <w:rsid w:val="002A74FB"/>
    <w:rsid w:val="002B1851"/>
    <w:rsid w:val="002B27FF"/>
    <w:rsid w:val="002B4429"/>
    <w:rsid w:val="002B6793"/>
    <w:rsid w:val="002C1726"/>
    <w:rsid w:val="002C1DF3"/>
    <w:rsid w:val="002C21A6"/>
    <w:rsid w:val="002C26D5"/>
    <w:rsid w:val="002C2DE0"/>
    <w:rsid w:val="002C5777"/>
    <w:rsid w:val="002C7FC3"/>
    <w:rsid w:val="002D1791"/>
    <w:rsid w:val="002D32E3"/>
    <w:rsid w:val="002D55E7"/>
    <w:rsid w:val="002E0FEB"/>
    <w:rsid w:val="002E1EBA"/>
    <w:rsid w:val="002F0F79"/>
    <w:rsid w:val="002F280E"/>
    <w:rsid w:val="002F3709"/>
    <w:rsid w:val="002F3A6C"/>
    <w:rsid w:val="002F3E9C"/>
    <w:rsid w:val="002F4296"/>
    <w:rsid w:val="00300951"/>
    <w:rsid w:val="003023C9"/>
    <w:rsid w:val="00302CA8"/>
    <w:rsid w:val="00302DE9"/>
    <w:rsid w:val="003041B1"/>
    <w:rsid w:val="00305084"/>
    <w:rsid w:val="003168E2"/>
    <w:rsid w:val="003204E9"/>
    <w:rsid w:val="00320DDA"/>
    <w:rsid w:val="00321E8C"/>
    <w:rsid w:val="00322A65"/>
    <w:rsid w:val="00322A86"/>
    <w:rsid w:val="00323AE8"/>
    <w:rsid w:val="00324548"/>
    <w:rsid w:val="003251F4"/>
    <w:rsid w:val="003303E3"/>
    <w:rsid w:val="00331FA4"/>
    <w:rsid w:val="003329EA"/>
    <w:rsid w:val="00332FDE"/>
    <w:rsid w:val="003407A5"/>
    <w:rsid w:val="00341188"/>
    <w:rsid w:val="0034147B"/>
    <w:rsid w:val="0034432A"/>
    <w:rsid w:val="00350238"/>
    <w:rsid w:val="0035109C"/>
    <w:rsid w:val="00351F0A"/>
    <w:rsid w:val="0035432B"/>
    <w:rsid w:val="00357EB5"/>
    <w:rsid w:val="00361E7E"/>
    <w:rsid w:val="003669EF"/>
    <w:rsid w:val="00370AA4"/>
    <w:rsid w:val="00371FF4"/>
    <w:rsid w:val="00373015"/>
    <w:rsid w:val="00375D24"/>
    <w:rsid w:val="00377520"/>
    <w:rsid w:val="00380D36"/>
    <w:rsid w:val="003822D3"/>
    <w:rsid w:val="0038409E"/>
    <w:rsid w:val="00384BC3"/>
    <w:rsid w:val="00386630"/>
    <w:rsid w:val="00390522"/>
    <w:rsid w:val="00390B25"/>
    <w:rsid w:val="00390C86"/>
    <w:rsid w:val="00397156"/>
    <w:rsid w:val="00397351"/>
    <w:rsid w:val="00397960"/>
    <w:rsid w:val="003A20AA"/>
    <w:rsid w:val="003A3BC4"/>
    <w:rsid w:val="003A458A"/>
    <w:rsid w:val="003A4DA3"/>
    <w:rsid w:val="003A768B"/>
    <w:rsid w:val="003B07C8"/>
    <w:rsid w:val="003B2082"/>
    <w:rsid w:val="003B2F13"/>
    <w:rsid w:val="003B3D0C"/>
    <w:rsid w:val="003B405E"/>
    <w:rsid w:val="003B57D3"/>
    <w:rsid w:val="003C1F58"/>
    <w:rsid w:val="003C792F"/>
    <w:rsid w:val="003D124B"/>
    <w:rsid w:val="003D18F3"/>
    <w:rsid w:val="003D22BD"/>
    <w:rsid w:val="003D4E5A"/>
    <w:rsid w:val="003D5951"/>
    <w:rsid w:val="003D74F2"/>
    <w:rsid w:val="003D78B5"/>
    <w:rsid w:val="003E1062"/>
    <w:rsid w:val="003E244F"/>
    <w:rsid w:val="003E3AE8"/>
    <w:rsid w:val="003E62A6"/>
    <w:rsid w:val="003E695F"/>
    <w:rsid w:val="003E6C9B"/>
    <w:rsid w:val="003E709C"/>
    <w:rsid w:val="003E7B89"/>
    <w:rsid w:val="003F1D66"/>
    <w:rsid w:val="003F20D3"/>
    <w:rsid w:val="003F4241"/>
    <w:rsid w:val="003F7C45"/>
    <w:rsid w:val="0040132C"/>
    <w:rsid w:val="00405085"/>
    <w:rsid w:val="004066FC"/>
    <w:rsid w:val="00407C10"/>
    <w:rsid w:val="004113B4"/>
    <w:rsid w:val="00414827"/>
    <w:rsid w:val="00416C10"/>
    <w:rsid w:val="004217C8"/>
    <w:rsid w:val="0042180E"/>
    <w:rsid w:val="004222C8"/>
    <w:rsid w:val="0042253F"/>
    <w:rsid w:val="00424726"/>
    <w:rsid w:val="00424EF3"/>
    <w:rsid w:val="004268BB"/>
    <w:rsid w:val="00431047"/>
    <w:rsid w:val="004318F0"/>
    <w:rsid w:val="00431B86"/>
    <w:rsid w:val="00431BC5"/>
    <w:rsid w:val="004344A5"/>
    <w:rsid w:val="004408EC"/>
    <w:rsid w:val="00441B38"/>
    <w:rsid w:val="00441D14"/>
    <w:rsid w:val="00441E6A"/>
    <w:rsid w:val="004432B9"/>
    <w:rsid w:val="00443C8F"/>
    <w:rsid w:val="00452481"/>
    <w:rsid w:val="00453E40"/>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68F"/>
    <w:rsid w:val="00491ABD"/>
    <w:rsid w:val="0049297D"/>
    <w:rsid w:val="004929F2"/>
    <w:rsid w:val="00495A03"/>
    <w:rsid w:val="00497079"/>
    <w:rsid w:val="004A1BBA"/>
    <w:rsid w:val="004A1E8A"/>
    <w:rsid w:val="004A3E3C"/>
    <w:rsid w:val="004A3F71"/>
    <w:rsid w:val="004B0E6D"/>
    <w:rsid w:val="004B16E8"/>
    <w:rsid w:val="004B2326"/>
    <w:rsid w:val="004B4D2D"/>
    <w:rsid w:val="004B6250"/>
    <w:rsid w:val="004B76B1"/>
    <w:rsid w:val="004B7CA0"/>
    <w:rsid w:val="004C0057"/>
    <w:rsid w:val="004C04AE"/>
    <w:rsid w:val="004C0541"/>
    <w:rsid w:val="004C2C46"/>
    <w:rsid w:val="004C6E88"/>
    <w:rsid w:val="004C7235"/>
    <w:rsid w:val="004C7955"/>
    <w:rsid w:val="004D047F"/>
    <w:rsid w:val="004D3D96"/>
    <w:rsid w:val="004D650F"/>
    <w:rsid w:val="004D67E0"/>
    <w:rsid w:val="004E12E1"/>
    <w:rsid w:val="004E2133"/>
    <w:rsid w:val="004E32E2"/>
    <w:rsid w:val="004E5AB9"/>
    <w:rsid w:val="004E60FB"/>
    <w:rsid w:val="004F779C"/>
    <w:rsid w:val="004F7846"/>
    <w:rsid w:val="005000D4"/>
    <w:rsid w:val="005015FA"/>
    <w:rsid w:val="00505411"/>
    <w:rsid w:val="00510CAF"/>
    <w:rsid w:val="00510DAB"/>
    <w:rsid w:val="005128C5"/>
    <w:rsid w:val="00514754"/>
    <w:rsid w:val="0051478B"/>
    <w:rsid w:val="0051566A"/>
    <w:rsid w:val="00515D7B"/>
    <w:rsid w:val="005166E9"/>
    <w:rsid w:val="0052009E"/>
    <w:rsid w:val="0052302C"/>
    <w:rsid w:val="00525E59"/>
    <w:rsid w:val="00530D61"/>
    <w:rsid w:val="005318CC"/>
    <w:rsid w:val="00531D1B"/>
    <w:rsid w:val="005349B1"/>
    <w:rsid w:val="005374BC"/>
    <w:rsid w:val="00537A4E"/>
    <w:rsid w:val="00543188"/>
    <w:rsid w:val="00543367"/>
    <w:rsid w:val="00543BFA"/>
    <w:rsid w:val="00547D9C"/>
    <w:rsid w:val="00547DA1"/>
    <w:rsid w:val="005505E1"/>
    <w:rsid w:val="005541BC"/>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61D7"/>
    <w:rsid w:val="00597057"/>
    <w:rsid w:val="00597D8B"/>
    <w:rsid w:val="005A1C30"/>
    <w:rsid w:val="005A229D"/>
    <w:rsid w:val="005A3295"/>
    <w:rsid w:val="005A46FF"/>
    <w:rsid w:val="005A5AE2"/>
    <w:rsid w:val="005B011E"/>
    <w:rsid w:val="005B14F0"/>
    <w:rsid w:val="005B1E0B"/>
    <w:rsid w:val="005B2E84"/>
    <w:rsid w:val="005B70C6"/>
    <w:rsid w:val="005B7B0E"/>
    <w:rsid w:val="005C526E"/>
    <w:rsid w:val="005C5409"/>
    <w:rsid w:val="005C69AC"/>
    <w:rsid w:val="005C6DCF"/>
    <w:rsid w:val="005C6DF3"/>
    <w:rsid w:val="005C722E"/>
    <w:rsid w:val="005D01A4"/>
    <w:rsid w:val="005D14DE"/>
    <w:rsid w:val="005D2CC7"/>
    <w:rsid w:val="005D44E4"/>
    <w:rsid w:val="005D45B3"/>
    <w:rsid w:val="005D4CEB"/>
    <w:rsid w:val="005D5F80"/>
    <w:rsid w:val="005E0C14"/>
    <w:rsid w:val="005E1D51"/>
    <w:rsid w:val="005F04E6"/>
    <w:rsid w:val="005F43B9"/>
    <w:rsid w:val="005F68CB"/>
    <w:rsid w:val="005F6A4A"/>
    <w:rsid w:val="006033E3"/>
    <w:rsid w:val="00603663"/>
    <w:rsid w:val="0061321C"/>
    <w:rsid w:val="006159E5"/>
    <w:rsid w:val="00620DB0"/>
    <w:rsid w:val="0062386E"/>
    <w:rsid w:val="00623D9A"/>
    <w:rsid w:val="00623F01"/>
    <w:rsid w:val="006242FB"/>
    <w:rsid w:val="00626E2D"/>
    <w:rsid w:val="00627D94"/>
    <w:rsid w:val="00630B42"/>
    <w:rsid w:val="00631DB3"/>
    <w:rsid w:val="00634900"/>
    <w:rsid w:val="00637BA7"/>
    <w:rsid w:val="00642072"/>
    <w:rsid w:val="006440ED"/>
    <w:rsid w:val="00645293"/>
    <w:rsid w:val="00651B78"/>
    <w:rsid w:val="00652263"/>
    <w:rsid w:val="00652881"/>
    <w:rsid w:val="00653BAC"/>
    <w:rsid w:val="00657CAF"/>
    <w:rsid w:val="00661974"/>
    <w:rsid w:val="00662F58"/>
    <w:rsid w:val="00664551"/>
    <w:rsid w:val="0066704D"/>
    <w:rsid w:val="006676A0"/>
    <w:rsid w:val="006706B6"/>
    <w:rsid w:val="00670857"/>
    <w:rsid w:val="00671124"/>
    <w:rsid w:val="006727B0"/>
    <w:rsid w:val="0067307E"/>
    <w:rsid w:val="006848C1"/>
    <w:rsid w:val="006868CD"/>
    <w:rsid w:val="00686EEA"/>
    <w:rsid w:val="00687AD5"/>
    <w:rsid w:val="00690EC4"/>
    <w:rsid w:val="00691D14"/>
    <w:rsid w:val="00695251"/>
    <w:rsid w:val="00695296"/>
    <w:rsid w:val="00695ADE"/>
    <w:rsid w:val="00695C0D"/>
    <w:rsid w:val="00696356"/>
    <w:rsid w:val="00696DDE"/>
    <w:rsid w:val="006A72C6"/>
    <w:rsid w:val="006B02DA"/>
    <w:rsid w:val="006B0806"/>
    <w:rsid w:val="006B10DA"/>
    <w:rsid w:val="006B2065"/>
    <w:rsid w:val="006B3940"/>
    <w:rsid w:val="006B5B3E"/>
    <w:rsid w:val="006C168D"/>
    <w:rsid w:val="006C4465"/>
    <w:rsid w:val="006C642C"/>
    <w:rsid w:val="006C6FC6"/>
    <w:rsid w:val="006D0E4F"/>
    <w:rsid w:val="006D0F50"/>
    <w:rsid w:val="006D676F"/>
    <w:rsid w:val="006D7693"/>
    <w:rsid w:val="006E231B"/>
    <w:rsid w:val="006E346E"/>
    <w:rsid w:val="006E34B7"/>
    <w:rsid w:val="006F103E"/>
    <w:rsid w:val="006F4C30"/>
    <w:rsid w:val="006F4CD8"/>
    <w:rsid w:val="006F53D9"/>
    <w:rsid w:val="007004DC"/>
    <w:rsid w:val="00701347"/>
    <w:rsid w:val="007027B6"/>
    <w:rsid w:val="00703E8A"/>
    <w:rsid w:val="00707FB8"/>
    <w:rsid w:val="0071006D"/>
    <w:rsid w:val="00711522"/>
    <w:rsid w:val="007124FE"/>
    <w:rsid w:val="007125A9"/>
    <w:rsid w:val="00713186"/>
    <w:rsid w:val="00713757"/>
    <w:rsid w:val="00716F79"/>
    <w:rsid w:val="00717772"/>
    <w:rsid w:val="00717C29"/>
    <w:rsid w:val="00721AF1"/>
    <w:rsid w:val="0072280F"/>
    <w:rsid w:val="00722B5E"/>
    <w:rsid w:val="0072708F"/>
    <w:rsid w:val="00727C6C"/>
    <w:rsid w:val="0073150B"/>
    <w:rsid w:val="00732D1D"/>
    <w:rsid w:val="00736034"/>
    <w:rsid w:val="0073681C"/>
    <w:rsid w:val="00737AB0"/>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91053"/>
    <w:rsid w:val="00791A3A"/>
    <w:rsid w:val="00794196"/>
    <w:rsid w:val="007941EA"/>
    <w:rsid w:val="007951F3"/>
    <w:rsid w:val="0079671E"/>
    <w:rsid w:val="00797637"/>
    <w:rsid w:val="007A0A57"/>
    <w:rsid w:val="007A3680"/>
    <w:rsid w:val="007A59B8"/>
    <w:rsid w:val="007A6BEA"/>
    <w:rsid w:val="007B2191"/>
    <w:rsid w:val="007B2862"/>
    <w:rsid w:val="007B3C32"/>
    <w:rsid w:val="007B505A"/>
    <w:rsid w:val="007B662A"/>
    <w:rsid w:val="007C2BCC"/>
    <w:rsid w:val="007C7E22"/>
    <w:rsid w:val="007D1C16"/>
    <w:rsid w:val="007D28C9"/>
    <w:rsid w:val="007D3CC8"/>
    <w:rsid w:val="007D62F9"/>
    <w:rsid w:val="007D63A4"/>
    <w:rsid w:val="007E008D"/>
    <w:rsid w:val="007E0F0C"/>
    <w:rsid w:val="007E1AA2"/>
    <w:rsid w:val="007E1AD0"/>
    <w:rsid w:val="007E4C1F"/>
    <w:rsid w:val="007E5EDC"/>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1C19"/>
    <w:rsid w:val="008174D4"/>
    <w:rsid w:val="00820FE6"/>
    <w:rsid w:val="00821985"/>
    <w:rsid w:val="00821A66"/>
    <w:rsid w:val="00822476"/>
    <w:rsid w:val="00822882"/>
    <w:rsid w:val="00823E6D"/>
    <w:rsid w:val="00824200"/>
    <w:rsid w:val="00825D22"/>
    <w:rsid w:val="00825F68"/>
    <w:rsid w:val="00827CB9"/>
    <w:rsid w:val="008305BF"/>
    <w:rsid w:val="00832748"/>
    <w:rsid w:val="00835408"/>
    <w:rsid w:val="008359DA"/>
    <w:rsid w:val="00836D2A"/>
    <w:rsid w:val="00837CEF"/>
    <w:rsid w:val="00840035"/>
    <w:rsid w:val="00840220"/>
    <w:rsid w:val="00840677"/>
    <w:rsid w:val="00840C20"/>
    <w:rsid w:val="008428A9"/>
    <w:rsid w:val="00844112"/>
    <w:rsid w:val="00844CBE"/>
    <w:rsid w:val="008456C9"/>
    <w:rsid w:val="0084611D"/>
    <w:rsid w:val="00850C62"/>
    <w:rsid w:val="00854463"/>
    <w:rsid w:val="00857643"/>
    <w:rsid w:val="00863011"/>
    <w:rsid w:val="0086312D"/>
    <w:rsid w:val="00863392"/>
    <w:rsid w:val="00865075"/>
    <w:rsid w:val="0086734C"/>
    <w:rsid w:val="0086748F"/>
    <w:rsid w:val="00872CE4"/>
    <w:rsid w:val="00874F4B"/>
    <w:rsid w:val="0087539B"/>
    <w:rsid w:val="00877B62"/>
    <w:rsid w:val="00880016"/>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2A97"/>
    <w:rsid w:val="008C3990"/>
    <w:rsid w:val="008C5A67"/>
    <w:rsid w:val="008C61D6"/>
    <w:rsid w:val="008C64F1"/>
    <w:rsid w:val="008D1BB0"/>
    <w:rsid w:val="008D20FF"/>
    <w:rsid w:val="008D3DE6"/>
    <w:rsid w:val="008D4223"/>
    <w:rsid w:val="008D44CC"/>
    <w:rsid w:val="008D46E3"/>
    <w:rsid w:val="008D6709"/>
    <w:rsid w:val="008D671F"/>
    <w:rsid w:val="008E083A"/>
    <w:rsid w:val="008E0865"/>
    <w:rsid w:val="008E0E7C"/>
    <w:rsid w:val="008E2450"/>
    <w:rsid w:val="008E6497"/>
    <w:rsid w:val="008E7896"/>
    <w:rsid w:val="008F1C17"/>
    <w:rsid w:val="008F2477"/>
    <w:rsid w:val="00900DD1"/>
    <w:rsid w:val="009010F0"/>
    <w:rsid w:val="00901162"/>
    <w:rsid w:val="0090223A"/>
    <w:rsid w:val="009028E2"/>
    <w:rsid w:val="00904082"/>
    <w:rsid w:val="009055EC"/>
    <w:rsid w:val="009100C0"/>
    <w:rsid w:val="0091247B"/>
    <w:rsid w:val="0091320A"/>
    <w:rsid w:val="00914EAB"/>
    <w:rsid w:val="009150A1"/>
    <w:rsid w:val="00916808"/>
    <w:rsid w:val="00922D49"/>
    <w:rsid w:val="0092482C"/>
    <w:rsid w:val="00924A95"/>
    <w:rsid w:val="009259CF"/>
    <w:rsid w:val="00925E37"/>
    <w:rsid w:val="00925EDD"/>
    <w:rsid w:val="00927D0E"/>
    <w:rsid w:val="009309DA"/>
    <w:rsid w:val="00935771"/>
    <w:rsid w:val="00936688"/>
    <w:rsid w:val="00937CFA"/>
    <w:rsid w:val="009406B3"/>
    <w:rsid w:val="00945CF5"/>
    <w:rsid w:val="00946D66"/>
    <w:rsid w:val="009500A1"/>
    <w:rsid w:val="0095037E"/>
    <w:rsid w:val="00952AAD"/>
    <w:rsid w:val="00952F4F"/>
    <w:rsid w:val="00954567"/>
    <w:rsid w:val="009547A9"/>
    <w:rsid w:val="00957466"/>
    <w:rsid w:val="0096260B"/>
    <w:rsid w:val="00963F05"/>
    <w:rsid w:val="00965469"/>
    <w:rsid w:val="009664D5"/>
    <w:rsid w:val="0097008C"/>
    <w:rsid w:val="00970C69"/>
    <w:rsid w:val="009716AF"/>
    <w:rsid w:val="00971F1C"/>
    <w:rsid w:val="0097211D"/>
    <w:rsid w:val="00972E10"/>
    <w:rsid w:val="0097328D"/>
    <w:rsid w:val="009746CA"/>
    <w:rsid w:val="0097608D"/>
    <w:rsid w:val="0097659D"/>
    <w:rsid w:val="0097692D"/>
    <w:rsid w:val="00980242"/>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2B7"/>
    <w:rsid w:val="009D0628"/>
    <w:rsid w:val="009D1EA4"/>
    <w:rsid w:val="009D27AA"/>
    <w:rsid w:val="009D2D8B"/>
    <w:rsid w:val="009D38BA"/>
    <w:rsid w:val="009D4991"/>
    <w:rsid w:val="009D5BB5"/>
    <w:rsid w:val="009D696D"/>
    <w:rsid w:val="009D6ED2"/>
    <w:rsid w:val="009E08E9"/>
    <w:rsid w:val="009E0D5D"/>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2EEF"/>
    <w:rsid w:val="00A14AE3"/>
    <w:rsid w:val="00A16675"/>
    <w:rsid w:val="00A22CD6"/>
    <w:rsid w:val="00A234EC"/>
    <w:rsid w:val="00A2417A"/>
    <w:rsid w:val="00A26668"/>
    <w:rsid w:val="00A27804"/>
    <w:rsid w:val="00A36822"/>
    <w:rsid w:val="00A36AB5"/>
    <w:rsid w:val="00A37A23"/>
    <w:rsid w:val="00A411D1"/>
    <w:rsid w:val="00A43389"/>
    <w:rsid w:val="00A43E71"/>
    <w:rsid w:val="00A45753"/>
    <w:rsid w:val="00A47B15"/>
    <w:rsid w:val="00A52F84"/>
    <w:rsid w:val="00A5533F"/>
    <w:rsid w:val="00A554CA"/>
    <w:rsid w:val="00A56394"/>
    <w:rsid w:val="00A56B05"/>
    <w:rsid w:val="00A57678"/>
    <w:rsid w:val="00A60E2F"/>
    <w:rsid w:val="00A63284"/>
    <w:rsid w:val="00A64CB8"/>
    <w:rsid w:val="00A67018"/>
    <w:rsid w:val="00A672F3"/>
    <w:rsid w:val="00A673DC"/>
    <w:rsid w:val="00A67D40"/>
    <w:rsid w:val="00A7076E"/>
    <w:rsid w:val="00A709BE"/>
    <w:rsid w:val="00A7162E"/>
    <w:rsid w:val="00A7195A"/>
    <w:rsid w:val="00A72D71"/>
    <w:rsid w:val="00A7519C"/>
    <w:rsid w:val="00A75705"/>
    <w:rsid w:val="00A77C69"/>
    <w:rsid w:val="00A83953"/>
    <w:rsid w:val="00A83A77"/>
    <w:rsid w:val="00A85AF5"/>
    <w:rsid w:val="00A900E7"/>
    <w:rsid w:val="00A903B6"/>
    <w:rsid w:val="00A90F4F"/>
    <w:rsid w:val="00A92E44"/>
    <w:rsid w:val="00A9418A"/>
    <w:rsid w:val="00A947AA"/>
    <w:rsid w:val="00A9769C"/>
    <w:rsid w:val="00AA1B53"/>
    <w:rsid w:val="00AA3556"/>
    <w:rsid w:val="00AA35FD"/>
    <w:rsid w:val="00AA3DB7"/>
    <w:rsid w:val="00AB0340"/>
    <w:rsid w:val="00AB3012"/>
    <w:rsid w:val="00AB321C"/>
    <w:rsid w:val="00AB5B99"/>
    <w:rsid w:val="00AB688F"/>
    <w:rsid w:val="00AB75EA"/>
    <w:rsid w:val="00AB7AA2"/>
    <w:rsid w:val="00AB7BE2"/>
    <w:rsid w:val="00AC4BC1"/>
    <w:rsid w:val="00AD04BD"/>
    <w:rsid w:val="00AD1C72"/>
    <w:rsid w:val="00AD25F6"/>
    <w:rsid w:val="00AD46E6"/>
    <w:rsid w:val="00AD7214"/>
    <w:rsid w:val="00AE1066"/>
    <w:rsid w:val="00AE2AD2"/>
    <w:rsid w:val="00AE4518"/>
    <w:rsid w:val="00AE5D7F"/>
    <w:rsid w:val="00AE79F0"/>
    <w:rsid w:val="00AF2089"/>
    <w:rsid w:val="00AF3350"/>
    <w:rsid w:val="00AF4305"/>
    <w:rsid w:val="00AF5585"/>
    <w:rsid w:val="00AF561C"/>
    <w:rsid w:val="00AF6EC1"/>
    <w:rsid w:val="00B00331"/>
    <w:rsid w:val="00B01A80"/>
    <w:rsid w:val="00B02675"/>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2B4A"/>
    <w:rsid w:val="00B54370"/>
    <w:rsid w:val="00B55185"/>
    <w:rsid w:val="00B55281"/>
    <w:rsid w:val="00B60FD1"/>
    <w:rsid w:val="00B61923"/>
    <w:rsid w:val="00B621D6"/>
    <w:rsid w:val="00B63EF5"/>
    <w:rsid w:val="00B65D6F"/>
    <w:rsid w:val="00B67C23"/>
    <w:rsid w:val="00B70DC7"/>
    <w:rsid w:val="00B715FD"/>
    <w:rsid w:val="00B73042"/>
    <w:rsid w:val="00B74BB9"/>
    <w:rsid w:val="00B75283"/>
    <w:rsid w:val="00B75735"/>
    <w:rsid w:val="00B77142"/>
    <w:rsid w:val="00B807F5"/>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2FA"/>
    <w:rsid w:val="00BD3EB4"/>
    <w:rsid w:val="00BD5C65"/>
    <w:rsid w:val="00BD71EE"/>
    <w:rsid w:val="00BE6018"/>
    <w:rsid w:val="00BF1F57"/>
    <w:rsid w:val="00BF4086"/>
    <w:rsid w:val="00BF426C"/>
    <w:rsid w:val="00BF58D0"/>
    <w:rsid w:val="00BF63AF"/>
    <w:rsid w:val="00BF7D6A"/>
    <w:rsid w:val="00C013E1"/>
    <w:rsid w:val="00C01611"/>
    <w:rsid w:val="00C02D59"/>
    <w:rsid w:val="00C030B6"/>
    <w:rsid w:val="00C03284"/>
    <w:rsid w:val="00C050D7"/>
    <w:rsid w:val="00C05B5F"/>
    <w:rsid w:val="00C06911"/>
    <w:rsid w:val="00C104CC"/>
    <w:rsid w:val="00C12898"/>
    <w:rsid w:val="00C152FE"/>
    <w:rsid w:val="00C16739"/>
    <w:rsid w:val="00C22C7D"/>
    <w:rsid w:val="00C22CCE"/>
    <w:rsid w:val="00C231D6"/>
    <w:rsid w:val="00C23BA2"/>
    <w:rsid w:val="00C272C4"/>
    <w:rsid w:val="00C31C12"/>
    <w:rsid w:val="00C32AF2"/>
    <w:rsid w:val="00C33204"/>
    <w:rsid w:val="00C338EB"/>
    <w:rsid w:val="00C3465D"/>
    <w:rsid w:val="00C35643"/>
    <w:rsid w:val="00C379E9"/>
    <w:rsid w:val="00C439FB"/>
    <w:rsid w:val="00C43F23"/>
    <w:rsid w:val="00C50011"/>
    <w:rsid w:val="00C52CA1"/>
    <w:rsid w:val="00C5755E"/>
    <w:rsid w:val="00C6379C"/>
    <w:rsid w:val="00C645E6"/>
    <w:rsid w:val="00C64D82"/>
    <w:rsid w:val="00C64FBC"/>
    <w:rsid w:val="00C65A83"/>
    <w:rsid w:val="00C724F2"/>
    <w:rsid w:val="00C72761"/>
    <w:rsid w:val="00C72C6F"/>
    <w:rsid w:val="00C75057"/>
    <w:rsid w:val="00C77034"/>
    <w:rsid w:val="00C80F23"/>
    <w:rsid w:val="00C81151"/>
    <w:rsid w:val="00C81EFA"/>
    <w:rsid w:val="00C82CC6"/>
    <w:rsid w:val="00C850A3"/>
    <w:rsid w:val="00C85C32"/>
    <w:rsid w:val="00C87568"/>
    <w:rsid w:val="00C90DB6"/>
    <w:rsid w:val="00C913B6"/>
    <w:rsid w:val="00C9394F"/>
    <w:rsid w:val="00C93B1A"/>
    <w:rsid w:val="00C96F5F"/>
    <w:rsid w:val="00CA4126"/>
    <w:rsid w:val="00CA4574"/>
    <w:rsid w:val="00CA5927"/>
    <w:rsid w:val="00CA79EC"/>
    <w:rsid w:val="00CB041A"/>
    <w:rsid w:val="00CB39C2"/>
    <w:rsid w:val="00CB4664"/>
    <w:rsid w:val="00CB4C8C"/>
    <w:rsid w:val="00CB6782"/>
    <w:rsid w:val="00CC080A"/>
    <w:rsid w:val="00CC0994"/>
    <w:rsid w:val="00CC0C03"/>
    <w:rsid w:val="00CD0AAD"/>
    <w:rsid w:val="00CD6177"/>
    <w:rsid w:val="00CE182E"/>
    <w:rsid w:val="00CE2DAB"/>
    <w:rsid w:val="00CE2DE4"/>
    <w:rsid w:val="00CE2E79"/>
    <w:rsid w:val="00CE5277"/>
    <w:rsid w:val="00CE5A79"/>
    <w:rsid w:val="00CE6358"/>
    <w:rsid w:val="00CF2D54"/>
    <w:rsid w:val="00CF592C"/>
    <w:rsid w:val="00CF6992"/>
    <w:rsid w:val="00CF6AD7"/>
    <w:rsid w:val="00CF7B8C"/>
    <w:rsid w:val="00D03538"/>
    <w:rsid w:val="00D049B8"/>
    <w:rsid w:val="00D0516C"/>
    <w:rsid w:val="00D05EE7"/>
    <w:rsid w:val="00D068D0"/>
    <w:rsid w:val="00D078D1"/>
    <w:rsid w:val="00D129A8"/>
    <w:rsid w:val="00D12FB9"/>
    <w:rsid w:val="00D13FE2"/>
    <w:rsid w:val="00D200BD"/>
    <w:rsid w:val="00D22399"/>
    <w:rsid w:val="00D24B11"/>
    <w:rsid w:val="00D310BA"/>
    <w:rsid w:val="00D32C0A"/>
    <w:rsid w:val="00D33751"/>
    <w:rsid w:val="00D3382F"/>
    <w:rsid w:val="00D33924"/>
    <w:rsid w:val="00D34559"/>
    <w:rsid w:val="00D36F6E"/>
    <w:rsid w:val="00D3705B"/>
    <w:rsid w:val="00D37343"/>
    <w:rsid w:val="00D4205E"/>
    <w:rsid w:val="00D45DB6"/>
    <w:rsid w:val="00D5574C"/>
    <w:rsid w:val="00D604CE"/>
    <w:rsid w:val="00D61982"/>
    <w:rsid w:val="00D6267A"/>
    <w:rsid w:val="00D67D12"/>
    <w:rsid w:val="00D7585A"/>
    <w:rsid w:val="00D77B06"/>
    <w:rsid w:val="00D80618"/>
    <w:rsid w:val="00D8121C"/>
    <w:rsid w:val="00D82494"/>
    <w:rsid w:val="00D84A4B"/>
    <w:rsid w:val="00D92168"/>
    <w:rsid w:val="00D940B5"/>
    <w:rsid w:val="00D95CB0"/>
    <w:rsid w:val="00D977C0"/>
    <w:rsid w:val="00DA00A3"/>
    <w:rsid w:val="00DA13F3"/>
    <w:rsid w:val="00DA23C3"/>
    <w:rsid w:val="00DA2DE3"/>
    <w:rsid w:val="00DA475D"/>
    <w:rsid w:val="00DA7146"/>
    <w:rsid w:val="00DA716A"/>
    <w:rsid w:val="00DB1F4F"/>
    <w:rsid w:val="00DB37EE"/>
    <w:rsid w:val="00DB4450"/>
    <w:rsid w:val="00DB7B69"/>
    <w:rsid w:val="00DC234A"/>
    <w:rsid w:val="00DC27AD"/>
    <w:rsid w:val="00DC41E4"/>
    <w:rsid w:val="00DC5116"/>
    <w:rsid w:val="00DC7C77"/>
    <w:rsid w:val="00DD074A"/>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6313"/>
    <w:rsid w:val="00E1738C"/>
    <w:rsid w:val="00E207A1"/>
    <w:rsid w:val="00E22C7E"/>
    <w:rsid w:val="00E22D28"/>
    <w:rsid w:val="00E230E3"/>
    <w:rsid w:val="00E27A14"/>
    <w:rsid w:val="00E30EDF"/>
    <w:rsid w:val="00E30F3C"/>
    <w:rsid w:val="00E31EC2"/>
    <w:rsid w:val="00E31FBA"/>
    <w:rsid w:val="00E32CB6"/>
    <w:rsid w:val="00E34042"/>
    <w:rsid w:val="00E34CDF"/>
    <w:rsid w:val="00E36AAE"/>
    <w:rsid w:val="00E41773"/>
    <w:rsid w:val="00E428DD"/>
    <w:rsid w:val="00E43B0B"/>
    <w:rsid w:val="00E44A50"/>
    <w:rsid w:val="00E477F6"/>
    <w:rsid w:val="00E50841"/>
    <w:rsid w:val="00E513F6"/>
    <w:rsid w:val="00E52F3B"/>
    <w:rsid w:val="00E53A45"/>
    <w:rsid w:val="00E53D94"/>
    <w:rsid w:val="00E53DEA"/>
    <w:rsid w:val="00E548E9"/>
    <w:rsid w:val="00E553CC"/>
    <w:rsid w:val="00E55667"/>
    <w:rsid w:val="00E57068"/>
    <w:rsid w:val="00E57630"/>
    <w:rsid w:val="00E616DB"/>
    <w:rsid w:val="00E627A4"/>
    <w:rsid w:val="00E630ED"/>
    <w:rsid w:val="00E74EC5"/>
    <w:rsid w:val="00E75FDC"/>
    <w:rsid w:val="00E76B86"/>
    <w:rsid w:val="00E8342F"/>
    <w:rsid w:val="00E847A7"/>
    <w:rsid w:val="00E85E29"/>
    <w:rsid w:val="00E85F25"/>
    <w:rsid w:val="00E86E79"/>
    <w:rsid w:val="00E87313"/>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4874"/>
    <w:rsid w:val="00EE79A6"/>
    <w:rsid w:val="00EF063B"/>
    <w:rsid w:val="00EF6111"/>
    <w:rsid w:val="00EF6232"/>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0868"/>
    <w:rsid w:val="00F423BD"/>
    <w:rsid w:val="00F4255D"/>
    <w:rsid w:val="00F432FF"/>
    <w:rsid w:val="00F46DF9"/>
    <w:rsid w:val="00F4715C"/>
    <w:rsid w:val="00F54869"/>
    <w:rsid w:val="00F556B2"/>
    <w:rsid w:val="00F57252"/>
    <w:rsid w:val="00F5754B"/>
    <w:rsid w:val="00F576DE"/>
    <w:rsid w:val="00F63BF7"/>
    <w:rsid w:val="00F64563"/>
    <w:rsid w:val="00F65617"/>
    <w:rsid w:val="00F65D71"/>
    <w:rsid w:val="00F70112"/>
    <w:rsid w:val="00F710BE"/>
    <w:rsid w:val="00F723B1"/>
    <w:rsid w:val="00F736D2"/>
    <w:rsid w:val="00F7564C"/>
    <w:rsid w:val="00F76220"/>
    <w:rsid w:val="00F769BE"/>
    <w:rsid w:val="00F81C33"/>
    <w:rsid w:val="00F82A1D"/>
    <w:rsid w:val="00F82E6B"/>
    <w:rsid w:val="00F91F6D"/>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C1CA5"/>
    <w:rsid w:val="00FC2098"/>
    <w:rsid w:val="00FC219C"/>
    <w:rsid w:val="00FC2979"/>
    <w:rsid w:val="00FD1C3C"/>
    <w:rsid w:val="00FD1E02"/>
    <w:rsid w:val="00FD38A8"/>
    <w:rsid w:val="00FD6AC8"/>
    <w:rsid w:val="00FE3EA1"/>
    <w:rsid w:val="00FE4818"/>
    <w:rsid w:val="00FE4BF2"/>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header" w:semiHidden="0" w:uiPriority="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22" w:unhideWhenUsed="0"/>
    <w:lsdException w:locked="1" w:name="Emphasis" w:qFormat="1" w:semiHidden="0" w:uiPriority="0" w:unhideWhenUsed="0"/>
    <w:lsdException w:locked="1" w:name="Plain Text" w:semiHidden="0" w:uiPriority="0" w:unhideWhenUsed="0"/>
    <w:lsdException w:locked="1" w:name="HTML Preformatted"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uiPriority w:val="99"/>
    <w:qFormat/>
    <w:rsid w:val="00FD1E02"/>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C1289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FD1E02"/>
    <w:rPr>
      <w:rFonts w:cs="Times New Roman"/>
      <w:b/>
      <w:bCs/>
      <w:kern w:val="44"/>
      <w:sz w:val="44"/>
      <w:szCs w:val="44"/>
    </w:rPr>
  </w:style>
  <w:style w:customStyle="1" w:styleId="2Char" w:type="character">
    <w:name w:val="标题 2 Char"/>
    <w:link w:val="2"/>
    <w:uiPriority w:val="99"/>
    <w:semiHidden/>
    <w:locked/>
    <w:rsid w:val="00140FF8"/>
    <w:rPr>
      <w:rFonts w:ascii="Cambria" w:cs="Times New Roman" w:eastAsia="宋体" w:hAnsi="Cambria"/>
      <w:b/>
      <w:bCs/>
      <w:sz w:val="32"/>
      <w:szCs w:val="32"/>
    </w:rPr>
  </w:style>
  <w:style w:styleId="a0" w:type="paragraph">
    <w:name w:val="Normal Indent"/>
    <w:basedOn w:val="a"/>
    <w:uiPriority w:val="99"/>
    <w:rsid w:val="00C12898"/>
    <w:pPr>
      <w:ind w:firstLine="420" w:firstLineChars="200"/>
    </w:pPr>
  </w:style>
  <w:style w:styleId="a4" w:type="paragraph">
    <w:name w:val="Body Text Indent"/>
    <w:basedOn w:val="a"/>
    <w:link w:val="Char"/>
    <w:uiPriority w:val="99"/>
    <w:rsid w:val="00C12898"/>
    <w:pPr>
      <w:widowControl/>
      <w:spacing w:after="100" w:afterAutospacing="1" w:before="100" w:beforeAutospacing="1"/>
      <w:jc w:val="left"/>
    </w:pPr>
    <w:rPr>
      <w:rFonts w:ascii="Arial Unicode MS" w:cs="Arial Unicode MS" w:eastAsia="Arial Unicode MS" w:hAnsi="Arial Unicode MS"/>
      <w:kern w:val="0"/>
      <w:sz w:val="24"/>
    </w:rPr>
  </w:style>
  <w:style w:customStyle="1" w:styleId="Char" w:type="character">
    <w:name w:val="正文文本缩进 Char"/>
    <w:link w:val="a4"/>
    <w:uiPriority w:val="99"/>
    <w:semiHidden/>
    <w:locked/>
    <w:rsid w:val="00140FF8"/>
    <w:rPr>
      <w:rFonts w:cs="Times New Roman"/>
      <w:sz w:val="24"/>
      <w:szCs w:val="24"/>
    </w:rPr>
  </w:style>
  <w:style w:styleId="a5" w:type="paragraph">
    <w:name w:val="Plain Text"/>
    <w:basedOn w:val="a"/>
    <w:link w:val="Char0"/>
    <w:uiPriority w:val="99"/>
    <w:rsid w:val="00C12898"/>
    <w:rPr>
      <w:rFonts w:ascii="宋体" w:hAnsi="Courier New"/>
      <w:szCs w:val="21"/>
    </w:rPr>
  </w:style>
  <w:style w:customStyle="1" w:styleId="Char0" w:type="character">
    <w:name w:val="纯文本 Char"/>
    <w:link w:val="a5"/>
    <w:uiPriority w:val="99"/>
    <w:locked/>
    <w:rsid w:val="0042253F"/>
    <w:rPr>
      <w:rFonts w:ascii="宋体" w:cs="Times New Roman" w:hAnsi="Courier New"/>
      <w:kern w:val="2"/>
      <w:sz w:val="21"/>
    </w:rPr>
  </w:style>
  <w:style w:styleId="20" w:type="paragraph">
    <w:name w:val="Body Text Indent 2"/>
    <w:basedOn w:val="a"/>
    <w:link w:val="2Char0"/>
    <w:uiPriority w:val="99"/>
    <w:rsid w:val="00C12898"/>
    <w:pPr>
      <w:spacing w:line="560" w:lineRule="exact"/>
      <w:ind w:firstLine="480" w:firstLineChars="200"/>
    </w:pPr>
    <w:rPr>
      <w:rFonts w:ascii="宋体" w:hAnsi="宋体"/>
      <w:color w:val="FF0000"/>
      <w:sz w:val="24"/>
    </w:rPr>
  </w:style>
  <w:style w:customStyle="1" w:styleId="2Char0" w:type="character">
    <w:name w:val="正文文本缩进 2 Char"/>
    <w:link w:val="20"/>
    <w:uiPriority w:val="99"/>
    <w:semiHidden/>
    <w:locked/>
    <w:rsid w:val="00140FF8"/>
    <w:rPr>
      <w:rFonts w:cs="Times New Roman"/>
      <w:sz w:val="24"/>
      <w:szCs w:val="24"/>
    </w:rPr>
  </w:style>
  <w:style w:styleId="a6" w:type="paragraph">
    <w:name w:val="footer"/>
    <w:basedOn w:val="a"/>
    <w:link w:val="Char1"/>
    <w:uiPriority w:val="99"/>
    <w:rsid w:val="00C12898"/>
    <w:pPr>
      <w:tabs>
        <w:tab w:pos="4153" w:val="center"/>
        <w:tab w:pos="8306" w:val="right"/>
      </w:tabs>
      <w:snapToGrid w:val="0"/>
      <w:jc w:val="left"/>
    </w:pPr>
    <w:rPr>
      <w:sz w:val="18"/>
      <w:szCs w:val="18"/>
    </w:rPr>
  </w:style>
  <w:style w:customStyle="1" w:styleId="Char1" w:type="character">
    <w:name w:val="页脚 Char"/>
    <w:link w:val="a6"/>
    <w:uiPriority w:val="99"/>
    <w:semiHidden/>
    <w:locked/>
    <w:rsid w:val="00140FF8"/>
    <w:rPr>
      <w:rFonts w:cs="Times New Roman"/>
      <w:sz w:val="18"/>
      <w:szCs w:val="18"/>
    </w:rPr>
  </w:style>
  <w:style w:styleId="a7" w:type="character">
    <w:name w:val="page number"/>
    <w:uiPriority w:val="99"/>
    <w:rsid w:val="00C12898"/>
    <w:rPr>
      <w:rFonts w:cs="Times New Roman"/>
    </w:rPr>
  </w:style>
  <w:style w:styleId="a8" w:type="character">
    <w:name w:val="Hyperlink"/>
    <w:uiPriority w:val="99"/>
    <w:rsid w:val="00C12898"/>
    <w:rPr>
      <w:rFonts w:cs="Times New Roman"/>
      <w:color w:val="0000FF"/>
      <w:u w:val="single"/>
    </w:rPr>
  </w:style>
  <w:style w:styleId="3" w:type="paragraph">
    <w:name w:val="Body Text Indent 3"/>
    <w:basedOn w:val="a"/>
    <w:link w:val="3Char"/>
    <w:uiPriority w:val="99"/>
    <w:rsid w:val="00C12898"/>
    <w:pPr>
      <w:spacing w:line="560" w:lineRule="exact"/>
      <w:ind w:firstLine="420" w:firstLineChars="200"/>
    </w:pPr>
    <w:rPr>
      <w:rFonts w:ascii="Arial" w:cs="Arial" w:hAnsi="Arial"/>
      <w:color w:val="FF0000"/>
    </w:rPr>
  </w:style>
  <w:style w:customStyle="1" w:styleId="3Char" w:type="character">
    <w:name w:val="正文文本缩进 3 Char"/>
    <w:link w:val="3"/>
    <w:uiPriority w:val="99"/>
    <w:semiHidden/>
    <w:locked/>
    <w:rsid w:val="00140FF8"/>
    <w:rPr>
      <w:rFonts w:cs="Times New Roman"/>
      <w:sz w:val="16"/>
      <w:szCs w:val="16"/>
    </w:rPr>
  </w:style>
  <w:style w:styleId="a9" w:type="paragraph">
    <w:name w:val="header"/>
    <w:basedOn w:val="a"/>
    <w:link w:val="Char2"/>
    <w:uiPriority w:val="99"/>
    <w:rsid w:val="00C12898"/>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FB572A"/>
    <w:rPr>
      <w:rFonts w:cs="Times New Roman"/>
      <w:kern w:val="2"/>
      <w:sz w:val="18"/>
      <w:szCs w:val="18"/>
    </w:rPr>
  </w:style>
  <w:style w:styleId="aa" w:type="character">
    <w:name w:val="FollowedHyperlink"/>
    <w:uiPriority w:val="99"/>
    <w:rsid w:val="00C12898"/>
    <w:rPr>
      <w:rFonts w:cs="Times New Roman"/>
      <w:color w:val="800080"/>
      <w:u w:val="single"/>
    </w:rPr>
  </w:style>
  <w:style w:styleId="ab" w:type="paragraph">
    <w:name w:val="List"/>
    <w:basedOn w:val="ac"/>
    <w:uiPriority w:val="99"/>
    <w:rsid w:val="00C12898"/>
    <w:pPr>
      <w:spacing w:after="220" w:line="220" w:lineRule="atLeast"/>
      <w:ind w:hanging="360" w:left="1440"/>
    </w:pPr>
    <w:rPr>
      <w:szCs w:val="20"/>
    </w:rPr>
  </w:style>
  <w:style w:styleId="ac" w:type="paragraph">
    <w:name w:val="Body Text"/>
    <w:basedOn w:val="a"/>
    <w:link w:val="Char3"/>
    <w:uiPriority w:val="99"/>
    <w:rsid w:val="00C12898"/>
    <w:pPr>
      <w:spacing w:after="120"/>
    </w:pPr>
  </w:style>
  <w:style w:customStyle="1" w:styleId="Char3" w:type="character">
    <w:name w:val="正文文本 Char"/>
    <w:link w:val="ac"/>
    <w:uiPriority w:val="99"/>
    <w:semiHidden/>
    <w:locked/>
    <w:rsid w:val="00140FF8"/>
    <w:rPr>
      <w:rFonts w:cs="Times New Roman"/>
      <w:sz w:val="24"/>
      <w:szCs w:val="24"/>
    </w:rPr>
  </w:style>
  <w:style w:styleId="ad" w:type="paragraph">
    <w:name w:val="Date"/>
    <w:basedOn w:val="a"/>
    <w:next w:val="a"/>
    <w:link w:val="Char4"/>
    <w:uiPriority w:val="99"/>
    <w:rsid w:val="00C12898"/>
    <w:rPr>
      <w:sz w:val="24"/>
      <w:szCs w:val="20"/>
    </w:rPr>
  </w:style>
  <w:style w:customStyle="1" w:styleId="Char4" w:type="character">
    <w:name w:val="日期 Char"/>
    <w:link w:val="ad"/>
    <w:uiPriority w:val="99"/>
    <w:locked/>
    <w:rsid w:val="00F27C38"/>
    <w:rPr>
      <w:rFonts w:cs="Times New Roman"/>
      <w:kern w:val="2"/>
      <w:sz w:val="24"/>
    </w:rPr>
  </w:style>
  <w:style w:customStyle="1" w:styleId="c1" w:type="character">
    <w:name w:val="c1"/>
    <w:uiPriority w:val="99"/>
    <w:rsid w:val="00C12898"/>
    <w:rPr>
      <w:rFonts w:cs="Times New Roman"/>
      <w:color w:val="000000"/>
      <w:sz w:val="18"/>
      <w:szCs w:val="18"/>
    </w:rPr>
  </w:style>
  <w:style w:styleId="10" w:type="paragraph">
    <w:name w:val="index 1"/>
    <w:basedOn w:val="a"/>
    <w:next w:val="a"/>
    <w:autoRedefine/>
    <w:uiPriority w:val="99"/>
    <w:semiHidden/>
    <w:rsid w:val="00C12898"/>
    <w:pPr>
      <w:jc w:val="right"/>
    </w:pPr>
    <w:rPr>
      <w:color w:val="008000"/>
    </w:rPr>
  </w:style>
  <w:style w:customStyle="1" w:styleId="font5" w:type="paragraph">
    <w:name w:val="font5"/>
    <w:basedOn w:val="a"/>
    <w:uiPriority w:val="99"/>
    <w:rsid w:val="00C12898"/>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C1289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C1289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C1289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uiPriority w:val="99"/>
    <w:rsid w:val="00C1289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C1289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C1289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C1289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C12898"/>
    <w:rPr>
      <w:sz w:val="18"/>
      <w:szCs w:val="18"/>
    </w:rPr>
  </w:style>
  <w:style w:customStyle="1" w:styleId="Char5" w:type="character">
    <w:name w:val="批注框文本 Char"/>
    <w:link w:val="ae"/>
    <w:uiPriority w:val="99"/>
    <w:semiHidden/>
    <w:locked/>
    <w:rsid w:val="00140FF8"/>
    <w:rPr>
      <w:rFonts w:cs="Times New Roman"/>
      <w:sz w:val="2"/>
    </w:rPr>
  </w:style>
  <w:style w:styleId="af" w:type="character">
    <w:name w:val="annotation reference"/>
    <w:uiPriority w:val="99"/>
    <w:semiHidden/>
    <w:rsid w:val="00C12898"/>
    <w:rPr>
      <w:rFonts w:cs="Times New Roman"/>
      <w:sz w:val="21"/>
      <w:szCs w:val="21"/>
    </w:rPr>
  </w:style>
  <w:style w:styleId="af0" w:type="paragraph">
    <w:name w:val="annotation text"/>
    <w:basedOn w:val="a"/>
    <w:link w:val="Char6"/>
    <w:uiPriority w:val="99"/>
    <w:semiHidden/>
    <w:rsid w:val="00C12898"/>
    <w:pPr>
      <w:jc w:val="left"/>
    </w:pPr>
  </w:style>
  <w:style w:customStyle="1" w:styleId="Char6" w:type="character">
    <w:name w:val="批注文字 Char"/>
    <w:link w:val="af0"/>
    <w:uiPriority w:val="99"/>
    <w:semiHidden/>
    <w:locked/>
    <w:rsid w:val="00140FF8"/>
    <w:rPr>
      <w:rFonts w:cs="Times New Roman"/>
      <w:sz w:val="24"/>
      <w:szCs w:val="24"/>
    </w:rPr>
  </w:style>
  <w:style w:styleId="af1" w:type="paragraph">
    <w:name w:val="annotation subject"/>
    <w:basedOn w:val="af0"/>
    <w:next w:val="af0"/>
    <w:link w:val="Char7"/>
    <w:uiPriority w:val="99"/>
    <w:semiHidden/>
    <w:rsid w:val="00C12898"/>
    <w:rPr>
      <w:b/>
      <w:bCs/>
    </w:rPr>
  </w:style>
  <w:style w:customStyle="1" w:styleId="Char7" w:type="character">
    <w:name w:val="批注主题 Char"/>
    <w:link w:val="af1"/>
    <w:uiPriority w:val="99"/>
    <w:semiHidden/>
    <w:locked/>
    <w:rsid w:val="00140FF8"/>
    <w:rPr>
      <w:rFonts w:cs="Times New Roman"/>
      <w:b/>
      <w:bCs/>
      <w:sz w:val="24"/>
      <w:szCs w:val="24"/>
    </w:rPr>
  </w:style>
  <w:style w:customStyle="1" w:styleId="Char8" w:type="paragraph">
    <w:name w:val="Char"/>
    <w:basedOn w:val="a"/>
    <w:uiPriority w:val="99"/>
    <w:rsid w:val="00C12898"/>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140FF8"/>
    <w:rPr>
      <w:rFonts w:cs="Times New Roman"/>
      <w:sz w:val="2"/>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semiHidden/>
    <w:rsid w:val="00547D9C"/>
    <w:pPr>
      <w:snapToGrid w:val="0"/>
      <w:jc w:val="left"/>
    </w:pPr>
    <w:rPr>
      <w:sz w:val="18"/>
      <w:szCs w:val="18"/>
    </w:rPr>
  </w:style>
  <w:style w:customStyle="1" w:styleId="Chara" w:type="character">
    <w:name w:val="脚注文本 Char"/>
    <w:link w:val="af4"/>
    <w:uiPriority w:val="99"/>
    <w:semiHidden/>
    <w:locked/>
    <w:rsid w:val="00140FF8"/>
    <w:rPr>
      <w:rFonts w:cs="Times New Roman"/>
      <w:sz w:val="18"/>
      <w:szCs w:val="18"/>
    </w:rPr>
  </w:style>
  <w:style w:styleId="af5" w:type="character">
    <w:name w:val="footnote reference"/>
    <w:uiPriority w:val="99"/>
    <w:semiHidden/>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customStyle="1" w:styleId="Default" w:type="paragraph">
    <w:name w:val="Default"/>
    <w:uiPriority w:val="99"/>
    <w:rsid w:val="00695296"/>
    <w:pPr>
      <w:widowControl w:val="0"/>
      <w:autoSpaceDE w:val="0"/>
      <w:autoSpaceDN w:val="0"/>
      <w:adjustRightInd w:val="0"/>
    </w:pPr>
    <w:rPr>
      <w:rFonts w:ascii="FangSong" w:cs="FangSong" w:hAnsi="FangSong"/>
      <w:color w:val="000000"/>
      <w:sz w:val="24"/>
      <w:szCs w:val="24"/>
    </w:rPr>
  </w:style>
  <w:style w:styleId="HTML" w:type="paragraph">
    <w:name w:val="HTML Preformatted"/>
    <w:basedOn w:val="a"/>
    <w:link w:val="HTMLChar"/>
    <w:uiPriority w:val="99"/>
    <w:rsid w:val="00634900"/>
    <w:pPr>
      <w:widowControl/>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jc w:val="left"/>
    </w:pPr>
    <w:rPr>
      <w:rFonts w:ascii="宋体" w:cs="宋体" w:hAnsi="宋体"/>
      <w:kern w:val="0"/>
      <w:sz w:val="24"/>
    </w:rPr>
  </w:style>
  <w:style w:customStyle="1" w:styleId="HTMLChar" w:type="character">
    <w:name w:val="HTML 预设格式 Char"/>
    <w:link w:val="HTML"/>
    <w:uiPriority w:val="99"/>
    <w:locked/>
    <w:rsid w:val="00634900"/>
    <w:rPr>
      <w:rFonts w:ascii="宋体" w:cs="宋体" w:eastAsia="宋体"/>
      <w:sz w:val="24"/>
      <w:szCs w:val="24"/>
    </w:rPr>
  </w:style>
  <w:style w:styleId="af8" w:type="character">
    <w:name w:val="Strong"/>
    <w:basedOn w:val="a1"/>
    <w:uiPriority w:val="22"/>
    <w:qFormat/>
    <w:locked/>
    <w:rsid w:val="00193F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52775">
      <w:bodyDiv w:val="1"/>
      <w:marLeft w:val="0"/>
      <w:marRight w:val="0"/>
      <w:marTop w:val="0"/>
      <w:marBottom w:val="0"/>
      <w:divBdr>
        <w:top w:val="none" w:sz="0" w:space="0" w:color="auto"/>
        <w:left w:val="none" w:sz="0" w:space="0" w:color="auto"/>
        <w:bottom w:val="none" w:sz="0" w:space="0" w:color="auto"/>
        <w:right w:val="none" w:sz="0" w:space="0" w:color="auto"/>
      </w:divBdr>
    </w:div>
    <w:div w:id="367880750">
      <w:bodyDiv w:val="1"/>
      <w:marLeft w:val="0"/>
      <w:marRight w:val="0"/>
      <w:marTop w:val="0"/>
      <w:marBottom w:val="0"/>
      <w:divBdr>
        <w:top w:val="none" w:sz="0" w:space="0" w:color="auto"/>
        <w:left w:val="none" w:sz="0" w:space="0" w:color="auto"/>
        <w:bottom w:val="none" w:sz="0" w:space="0" w:color="auto"/>
        <w:right w:val="none" w:sz="0" w:space="0" w:color="auto"/>
      </w:divBdr>
    </w:div>
    <w:div w:id="919413930">
      <w:bodyDiv w:val="1"/>
      <w:marLeft w:val="0"/>
      <w:marRight w:val="0"/>
      <w:marTop w:val="0"/>
      <w:marBottom w:val="0"/>
      <w:divBdr>
        <w:top w:val="none" w:sz="0" w:space="0" w:color="auto"/>
        <w:left w:val="none" w:sz="0" w:space="0" w:color="auto"/>
        <w:bottom w:val="none" w:sz="0" w:space="0" w:color="auto"/>
        <w:right w:val="none" w:sz="0" w:space="0" w:color="auto"/>
      </w:divBdr>
    </w:div>
    <w:div w:id="1077090524">
      <w:bodyDiv w:val="1"/>
      <w:marLeft w:val="0"/>
      <w:marRight w:val="0"/>
      <w:marTop w:val="0"/>
      <w:marBottom w:val="0"/>
      <w:divBdr>
        <w:top w:val="none" w:sz="0" w:space="0" w:color="auto"/>
        <w:left w:val="none" w:sz="0" w:space="0" w:color="auto"/>
        <w:bottom w:val="none" w:sz="0" w:space="0" w:color="auto"/>
        <w:right w:val="none" w:sz="0" w:space="0" w:color="auto"/>
      </w:divBdr>
    </w:div>
    <w:div w:id="1682857254">
      <w:marLeft w:val="0"/>
      <w:marRight w:val="0"/>
      <w:marTop w:val="0"/>
      <w:marBottom w:val="0"/>
      <w:divBdr>
        <w:top w:val="none" w:sz="0" w:space="0" w:color="auto"/>
        <w:left w:val="none" w:sz="0" w:space="0" w:color="auto"/>
        <w:bottom w:val="none" w:sz="0" w:space="0" w:color="auto"/>
        <w:right w:val="none" w:sz="0" w:space="0" w:color="auto"/>
      </w:divBdr>
    </w:div>
    <w:div w:id="1682857255">
      <w:marLeft w:val="0"/>
      <w:marRight w:val="0"/>
      <w:marTop w:val="0"/>
      <w:marBottom w:val="0"/>
      <w:divBdr>
        <w:top w:val="none" w:sz="0" w:space="0" w:color="auto"/>
        <w:left w:val="none" w:sz="0" w:space="0" w:color="auto"/>
        <w:bottom w:val="none" w:sz="0" w:space="0" w:color="auto"/>
        <w:right w:val="none" w:sz="0" w:space="0" w:color="auto"/>
      </w:divBdr>
    </w:div>
    <w:div w:id="1682857256">
      <w:marLeft w:val="0"/>
      <w:marRight w:val="0"/>
      <w:marTop w:val="0"/>
      <w:marBottom w:val="0"/>
      <w:divBdr>
        <w:top w:val="none" w:sz="0" w:space="0" w:color="auto"/>
        <w:left w:val="none" w:sz="0" w:space="0" w:color="auto"/>
        <w:bottom w:val="none" w:sz="0" w:space="0" w:color="auto"/>
        <w:right w:val="none" w:sz="0" w:space="0" w:color="auto"/>
      </w:divBdr>
    </w:div>
    <w:div w:id="1682857257">
      <w:marLeft w:val="0"/>
      <w:marRight w:val="0"/>
      <w:marTop w:val="0"/>
      <w:marBottom w:val="0"/>
      <w:divBdr>
        <w:top w:val="none" w:sz="0" w:space="0" w:color="auto"/>
        <w:left w:val="none" w:sz="0" w:space="0" w:color="auto"/>
        <w:bottom w:val="none" w:sz="0" w:space="0" w:color="auto"/>
        <w:right w:val="none" w:sz="0" w:space="0" w:color="auto"/>
      </w:divBdr>
    </w:div>
    <w:div w:id="1682857258">
      <w:marLeft w:val="0"/>
      <w:marRight w:val="0"/>
      <w:marTop w:val="0"/>
      <w:marBottom w:val="0"/>
      <w:divBdr>
        <w:top w:val="none" w:sz="0" w:space="0" w:color="auto"/>
        <w:left w:val="none" w:sz="0" w:space="0" w:color="auto"/>
        <w:bottom w:val="none" w:sz="0" w:space="0" w:color="auto"/>
        <w:right w:val="none" w:sz="0" w:space="0" w:color="auto"/>
      </w:divBdr>
    </w:div>
    <w:div w:id="1682857259">
      <w:marLeft w:val="0"/>
      <w:marRight w:val="0"/>
      <w:marTop w:val="0"/>
      <w:marBottom w:val="0"/>
      <w:divBdr>
        <w:top w:val="none" w:sz="0" w:space="0" w:color="auto"/>
        <w:left w:val="none" w:sz="0" w:space="0" w:color="auto"/>
        <w:bottom w:val="none" w:sz="0" w:space="0" w:color="auto"/>
        <w:right w:val="none" w:sz="0" w:space="0" w:color="auto"/>
      </w:divBdr>
    </w:div>
    <w:div w:id="1682857260">
      <w:marLeft w:val="0"/>
      <w:marRight w:val="0"/>
      <w:marTop w:val="0"/>
      <w:marBottom w:val="0"/>
      <w:divBdr>
        <w:top w:val="none" w:sz="0" w:space="0" w:color="auto"/>
        <w:left w:val="none" w:sz="0" w:space="0" w:color="auto"/>
        <w:bottom w:val="none" w:sz="0" w:space="0" w:color="auto"/>
        <w:right w:val="none" w:sz="0" w:space="0" w:color="auto"/>
      </w:divBdr>
    </w:div>
    <w:div w:id="1682857261">
      <w:marLeft w:val="0"/>
      <w:marRight w:val="0"/>
      <w:marTop w:val="0"/>
      <w:marBottom w:val="0"/>
      <w:divBdr>
        <w:top w:val="none" w:sz="0" w:space="0" w:color="auto"/>
        <w:left w:val="none" w:sz="0" w:space="0" w:color="auto"/>
        <w:bottom w:val="none" w:sz="0" w:space="0" w:color="auto"/>
        <w:right w:val="none" w:sz="0" w:space="0" w:color="auto"/>
      </w:divBdr>
    </w:div>
    <w:div w:id="1682857262">
      <w:marLeft w:val="0"/>
      <w:marRight w:val="0"/>
      <w:marTop w:val="0"/>
      <w:marBottom w:val="0"/>
      <w:divBdr>
        <w:top w:val="none" w:sz="0" w:space="0" w:color="auto"/>
        <w:left w:val="none" w:sz="0" w:space="0" w:color="auto"/>
        <w:bottom w:val="none" w:sz="0" w:space="0" w:color="auto"/>
        <w:right w:val="none" w:sz="0" w:space="0" w:color="auto"/>
      </w:divBdr>
    </w:div>
    <w:div w:id="1682857263">
      <w:marLeft w:val="0"/>
      <w:marRight w:val="0"/>
      <w:marTop w:val="0"/>
      <w:marBottom w:val="0"/>
      <w:divBdr>
        <w:top w:val="none" w:sz="0" w:space="0" w:color="auto"/>
        <w:left w:val="none" w:sz="0" w:space="0" w:color="auto"/>
        <w:bottom w:val="none" w:sz="0" w:space="0" w:color="auto"/>
        <w:right w:val="none" w:sz="0" w:space="0" w:color="auto"/>
      </w:divBdr>
    </w:div>
    <w:div w:id="1682857264">
      <w:marLeft w:val="0"/>
      <w:marRight w:val="0"/>
      <w:marTop w:val="0"/>
      <w:marBottom w:val="0"/>
      <w:divBdr>
        <w:top w:val="none" w:sz="0" w:space="0" w:color="auto"/>
        <w:left w:val="none" w:sz="0" w:space="0" w:color="auto"/>
        <w:bottom w:val="none" w:sz="0" w:space="0" w:color="auto"/>
        <w:right w:val="none" w:sz="0" w:space="0" w:color="auto"/>
      </w:divBdr>
    </w:div>
    <w:div w:id="16828572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media/image1.jpeg" Type="http://schemas.openxmlformats.org/officeDocument/2006/relationships/image"/>
<Relationship Id="rId11" Target="footer2.xml" Type="http://schemas.openxmlformats.org/officeDocument/2006/relationships/footer"/>
<Relationship Id="rId12" Target="footer3.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29</Pages>
  <Words>4249</Words>
  <Characters>24222</Characters>
  <Application>Microsoft Office Word</Application>
  <DocSecurity>0</DocSecurity>
  <Lines>201</Lines>
  <Paragraphs>56</Paragraphs>
  <ScaleCrop>false</ScaleCrop>
  <Company>TRT. Ltd. Co.</Company>
  <LinksUpToDate>false</LinksUpToDate>
  <CharactersWithSpaces>28415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2012-11-28T02:28:00Z</dcterms:created>
  <cp:lastModifiedBy>sirong han</cp:lastModifiedBy>
  <cp:lastPrinted>2007-07-19T00:46:00Z</cp:lastPrinted>
  <dcterms:modified xsi:type="dcterms:W3CDTF">2020-10-20T06:20:00Z</dcterms:modified>
  <cp:revision>192</cp:revision>
</cp:coreProperties>
</file>