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易方达3年封闭运作战略配售灵活配置混合型证券投资基金（LOF）</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中国建设银行股份有限公司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易方达3年封闭战略配售混合（LOF）</w:t>
            </w:r>
          </w:p>
        </w:tc>
      </w:tr>
      <w:tr w:rsidR="00815999" w:rsidRPr="00264E55" w:rsidTr="003328D9">
        <w:tc>
          <w:tcPr>
            <w:tcW w:type="dxa" w:w="2835"/>
            <w:vAlign w:val="center"/>
          </w:tcPr>
          <w:p w:rsidP="00815999" w:rsidR="00815999" w:rsidRDefault="00815999" w:rsidRPr="00232B03">
            <w:pPr>
              <w:adjustRightInd w:val="0"/>
              <w:spacing w:before="29" w:line="360" w:lineRule="auto"/>
              <w:ind w:left="17"/>
              <w:jc w:val="left"/>
              <w:rPr>
                <w:kern w:val="0"/>
                <w:sz w:val="24"/>
                <w:szCs w:val="24"/>
              </w:rPr>
            </w:pPr>
            <w:r w:rsidRPr="00232B03">
              <w:rPr>
                <w:kern w:val="0"/>
                <w:sz w:val="24"/>
                <w:szCs w:val="24"/>
              </w:rPr>
              <w:t>场内简称</w:t>
            </w:r>
          </w:p>
        </w:tc>
        <w:tc>
          <w:tcPr>
            <w:tcW w:type="dxa" w:w="5479"/>
            <w:gridSpan w:val="2"/>
            <w:vAlign w:val="center"/>
          </w:tcPr>
          <w:p w:rsidP="00815999" w:rsidR="00815999" w:rsidRDefault="00815999" w:rsidRPr="00232B03">
            <w:pPr>
              <w:adjustRightInd w:val="0"/>
              <w:spacing w:before="29" w:line="360" w:lineRule="auto"/>
              <w:ind w:left="17"/>
              <w:jc w:val="left"/>
              <w:rPr>
                <w:kern w:val="0"/>
                <w:sz w:val="24"/>
                <w:szCs w:val="24"/>
              </w:rPr>
            </w:pPr>
            <w:r w:rsidRPr="00232B03">
              <w:rPr>
                <w:kern w:val="0"/>
                <w:sz w:val="24"/>
                <w:szCs w:val="24"/>
              </w:rPr>
              <w:t/>
            </w:r>
            <w:proofErr w:type="spellStart"/>
            <w:r w:rsidRPr="00232B03">
              <w:rPr>
                <w:kern w:val="0"/>
                <w:sz w:val="24"/>
                <w:szCs w:val="24"/>
              </w:rPr>
              <w:t/>
            </w:r>
            <w:proofErr w:type="spellEnd"/>
            <w:r w:rsidRPr="00232B03">
              <w:rPr>
                <w:kern w:val="0"/>
                <w:sz w:val="24"/>
                <w:szCs w:val="24"/>
              </w:rPr>
              <w:t/>
            </w:r>
            <w:proofErr w:type="spellStart"/>
            <w:r w:rsidRPr="00232B03">
              <w:rPr>
                <w:kern w:val="0"/>
                <w:sz w:val="24"/>
                <w:szCs w:val="24"/>
              </w:rPr>
              <w:t/>
            </w:r>
            <w:proofErr w:type="spellEnd"/>
            <w:r w:rsidRPr="00232B03">
              <w:rPr>
                <w:kern w:val="0"/>
                <w:sz w:val="24"/>
                <w:szCs w:val="24"/>
              </w:rPr>
              <w:t>易基配售</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161131</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161131</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2018年7月5日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24,459,604,026.99</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在严格控制风险的前提下，追求超越业绩比较基准的投资回报，力争实现基金资产的长期稳健增值。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在封闭运作期内主要采用战略配售和固定收益两种投资策略。基金将深入分析战略配售股票的投资机会，通过综合分析行业景气度、行业竞争格局、公司基本面、治理状况、估值水平、业务持续性和盈利确定性等多方面因素，结合市场未来走势等判断，精选战略配售个股，并在锁定期结束后选择适当的时机卖出。在债券投资方面主要通过类属配置与券种选择进行投资管理。类属配置方面，基金结合对宏观经济、市场利率、供求变化等因素的综合分析，定期对投资组合类属资产进行优化配置和调整；在券种选择上，基金以长期利率趋势分析为基础，结合经济变化趋势、货币政策及不同债券品种的收益率水平、流动性和信用风险等因素，实施积极主动的债券投资管理。本基金还将积极关注银行存款、同业存单的投资机会并进行合理配置。</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沪深300指数收益率×60%+中债总指数收益率×40%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本基金为混合型证券投资基金，其预期风险与预期收益水平低于股票型基金，高于债券型基金和货币市场基金。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中国建设银行股份有限公司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468,253,423.92</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459,316,100.83</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0.0188</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27,019,250,421.76</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1.1046</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1.72%</w:t>
            </w:r>
          </w:p>
        </w:tc>
        <w:tc>
          <w:tcPr>
            <w:vAlign w:val="center"/>
          </w:tcPr>
          <w:p>
            <w:pPr>
              <w:jc w:val="center"/>
            </w:pPr>
            <w:r>
              <w:rPr>
                <w:color w:val="000000"/>
                <w:kern w:val="0"/>
                <w:sz w:val="24"/>
                <w:szCs w:val="24"/>
              </w:rPr>
              <w:t>0.37%</w:t>
            </w:r>
          </w:p>
        </w:tc>
        <w:tc>
          <w:tcPr>
            <w:vAlign w:val="center"/>
          </w:tcPr>
          <w:p>
            <w:pPr>
              <w:jc w:val="center"/>
            </w:pPr>
            <w:r>
              <w:rPr>
                <w:color w:val="000000"/>
                <w:kern w:val="0"/>
                <w:sz w:val="24"/>
                <w:szCs w:val="24"/>
              </w:rPr>
              <w:t>5.30%</w:t>
            </w:r>
          </w:p>
        </w:tc>
        <w:tc>
          <w:tcPr>
            <w:vAlign w:val="center"/>
          </w:tcPr>
          <w:p>
            <w:pPr>
              <w:jc w:val="center"/>
            </w:pPr>
            <w:r>
              <w:rPr>
                <w:color w:val="000000"/>
                <w:kern w:val="0"/>
                <w:sz w:val="24"/>
                <w:szCs w:val="24"/>
              </w:rPr>
              <w:t>0.94%</w:t>
            </w:r>
          </w:p>
        </w:tc>
        <w:tc>
          <w:tcPr>
            <w:vAlign w:val="center"/>
          </w:tcPr>
          <w:p>
            <w:pPr>
              <w:jc w:val="center"/>
            </w:pPr>
            <w:r>
              <w:rPr>
                <w:color w:val="000000"/>
                <w:kern w:val="0"/>
                <w:sz w:val="24"/>
                <w:szCs w:val="24"/>
              </w:rPr>
              <w:t>-3.58%</w:t>
            </w:r>
          </w:p>
        </w:tc>
        <w:tc>
          <w:tcPr>
            <w:vAlign w:val="center"/>
          </w:tcPr>
          <w:p>
            <w:pPr>
              <w:jc w:val="center"/>
            </w:pPr>
            <w:r>
              <w:rPr>
                <w:color w:val="000000"/>
                <w:kern w:val="0"/>
                <w:sz w:val="24"/>
                <w:szCs w:val="24"/>
              </w:rPr>
              <w:t>-0.57%</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3.07%</w:t>
            </w:r>
          </w:p>
        </w:tc>
        <w:tc>
          <w:tcPr>
            <w:vAlign w:val="center"/>
          </w:tcPr>
          <w:p>
            <w:pPr>
              <w:jc w:val="center"/>
            </w:pPr>
            <w:r>
              <w:rPr>
                <w:color w:val="000000"/>
                <w:kern w:val="0"/>
                <w:sz w:val="24"/>
                <w:szCs w:val="24"/>
              </w:rPr>
              <w:t>0.30%</w:t>
            </w:r>
          </w:p>
        </w:tc>
        <w:tc>
          <w:tcPr>
            <w:vAlign w:val="center"/>
          </w:tcPr>
          <w:p>
            <w:pPr>
              <w:jc w:val="center"/>
            </w:pPr>
            <w:r>
              <w:rPr>
                <w:color w:val="000000"/>
                <w:kern w:val="0"/>
                <w:sz w:val="24"/>
                <w:szCs w:val="24"/>
              </w:rPr>
              <w:t>13.20%</w:t>
            </w:r>
          </w:p>
        </w:tc>
        <w:tc>
          <w:tcPr>
            <w:vAlign w:val="center"/>
          </w:tcPr>
          <w:p>
            <w:pPr>
              <w:jc w:val="center"/>
            </w:pPr>
            <w:r>
              <w:rPr>
                <w:color w:val="000000"/>
                <w:kern w:val="0"/>
                <w:sz w:val="24"/>
                <w:szCs w:val="24"/>
              </w:rPr>
              <w:t>0.78%</w:t>
            </w:r>
          </w:p>
        </w:tc>
        <w:tc>
          <w:tcPr>
            <w:vAlign w:val="center"/>
          </w:tcPr>
          <w:p>
            <w:pPr>
              <w:jc w:val="center"/>
            </w:pPr>
            <w:r>
              <w:rPr>
                <w:color w:val="000000"/>
                <w:kern w:val="0"/>
                <w:sz w:val="24"/>
                <w:szCs w:val="24"/>
              </w:rPr>
              <w:t>-10.13%</w:t>
            </w:r>
          </w:p>
        </w:tc>
        <w:tc>
          <w:tcPr>
            <w:vAlign w:val="center"/>
          </w:tcPr>
          <w:p>
            <w:pPr>
              <w:jc w:val="center"/>
            </w:pPr>
            <w:r>
              <w:rPr>
                <w:color w:val="000000"/>
                <w:kern w:val="0"/>
                <w:sz w:val="24"/>
                <w:szCs w:val="24"/>
              </w:rPr>
              <w:t>-0.48%</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0.84%</w:t>
            </w:r>
          </w:p>
        </w:tc>
        <w:tc>
          <w:tcPr>
            <w:vAlign w:val="center"/>
          </w:tcPr>
          <w:p>
            <w:pPr>
              <w:jc w:val="center"/>
            </w:pPr>
            <w:r>
              <w:rPr>
                <w:color w:val="000000"/>
                <w:kern w:val="0"/>
                <w:sz w:val="24"/>
                <w:szCs w:val="24"/>
              </w:rPr>
              <w:t>0.31%</w:t>
            </w:r>
          </w:p>
        </w:tc>
        <w:tc>
          <w:tcPr>
            <w:vAlign w:val="center"/>
          </w:tcPr>
          <w:p>
            <w:pPr>
              <w:jc w:val="center"/>
            </w:pPr>
            <w:r>
              <w:rPr>
                <w:color w:val="000000"/>
                <w:kern w:val="0"/>
                <w:sz w:val="24"/>
                <w:szCs w:val="24"/>
              </w:rPr>
              <w:t>12.02%</w:t>
            </w:r>
          </w:p>
        </w:tc>
        <w:tc>
          <w:tcPr>
            <w:vAlign w:val="center"/>
          </w:tcPr>
          <w:p>
            <w:pPr>
              <w:jc w:val="center"/>
            </w:pPr>
            <w:r>
              <w:rPr>
                <w:color w:val="000000"/>
                <w:kern w:val="0"/>
                <w:sz w:val="24"/>
                <w:szCs w:val="24"/>
              </w:rPr>
              <w:t>0.82%</w:t>
            </w:r>
          </w:p>
        </w:tc>
        <w:tc>
          <w:tcPr>
            <w:vAlign w:val="center"/>
          </w:tcPr>
          <w:p>
            <w:pPr>
              <w:jc w:val="center"/>
            </w:pPr>
            <w:r>
              <w:rPr>
                <w:color w:val="000000"/>
                <w:kern w:val="0"/>
                <w:sz w:val="24"/>
                <w:szCs w:val="24"/>
              </w:rPr>
              <w:t>-11.18%</w:t>
            </w:r>
          </w:p>
        </w:tc>
        <w:tc>
          <w:tcPr>
            <w:vAlign w:val="center"/>
          </w:tcPr>
          <w:p>
            <w:pPr>
              <w:jc w:val="center"/>
            </w:pPr>
            <w:r>
              <w:rPr>
                <w:color w:val="000000"/>
                <w:kern w:val="0"/>
                <w:sz w:val="24"/>
                <w:szCs w:val="24"/>
              </w:rPr>
              <w:t>-0.51%</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10.46%</w:t>
            </w:r>
          </w:p>
        </w:tc>
        <w:tc>
          <w:tcPr>
            <w:vAlign w:val="center"/>
          </w:tcPr>
          <w:p>
            <w:pPr>
              <w:jc w:val="center"/>
            </w:pPr>
            <w:r>
              <w:rPr>
                <w:color w:val="000000"/>
                <w:kern w:val="0"/>
                <w:sz w:val="24"/>
                <w:szCs w:val="24"/>
              </w:rPr>
              <w:t>0.23%</w:t>
            </w:r>
          </w:p>
        </w:tc>
        <w:tc>
          <w:tcPr>
            <w:vAlign w:val="center"/>
          </w:tcPr>
          <w:p>
            <w:pPr>
              <w:jc w:val="center"/>
            </w:pPr>
            <w:r>
              <w:rPr>
                <w:color w:val="000000"/>
                <w:kern w:val="0"/>
                <w:sz w:val="24"/>
                <w:szCs w:val="24"/>
              </w:rPr>
              <w:t>22.95%</w:t>
            </w:r>
          </w:p>
        </w:tc>
        <w:tc>
          <w:tcPr>
            <w:vAlign w:val="center"/>
          </w:tcPr>
          <w:p>
            <w:pPr>
              <w:jc w:val="center"/>
            </w:pPr>
            <w:r>
              <w:rPr>
                <w:color w:val="000000"/>
                <w:kern w:val="0"/>
                <w:sz w:val="24"/>
                <w:szCs w:val="24"/>
              </w:rPr>
              <w:t>0.83%</w:t>
            </w:r>
          </w:p>
        </w:tc>
        <w:tc>
          <w:tcPr>
            <w:vAlign w:val="center"/>
          </w:tcPr>
          <w:p>
            <w:pPr>
              <w:jc w:val="center"/>
            </w:pPr>
            <w:r>
              <w:rPr>
                <w:color w:val="000000"/>
                <w:kern w:val="0"/>
                <w:sz w:val="24"/>
                <w:szCs w:val="24"/>
              </w:rPr>
              <w:t>-12.49%</w:t>
            </w:r>
          </w:p>
        </w:tc>
        <w:tc>
          <w:tcPr>
            <w:vAlign w:val="center"/>
          </w:tcPr>
          <w:p>
            <w:pPr>
              <w:jc w:val="center"/>
            </w:pPr>
            <w:r>
              <w:rPr>
                <w:color w:val="000000"/>
                <w:kern w:val="0"/>
                <w:sz w:val="24"/>
                <w:szCs w:val="24"/>
              </w:rPr>
              <w:t>-0.60%</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易方达3年封闭运作战略配售灵活配置混合型证券投资基金（LOF）</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2018年7月5日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注：自基金合同生效至报告期末，基金份额净值增长率为10.46%，同期业绩比较基准收益率为22.95%。</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付浩</w:t>
            </w:r>
          </w:p>
        </w:tc>
        <w:tc>
          <w:tcPr>
            <w:vAlign w:val="center"/>
          </w:tcPr>
          <w:p>
            <w:pPr>
              <w:jc w:val="left"/>
            </w:pPr>
            <w:r>
              <w:rPr>
                <w:color w:val="000000"/>
                <w:sz w:val="24"/>
              </w:rPr>
              <w:t>本基金的基金经理、权益投资管理部总经理、权益投资决策委员会委员</w:t>
            </w:r>
          </w:p>
        </w:tc>
        <w:tc>
          <w:tcPr>
            <w:vAlign w:val="center"/>
          </w:tcPr>
          <w:p>
            <w:pPr>
              <w:jc w:val="center"/>
            </w:pPr>
            <w:r>
              <w:rPr>
                <w:color w:val="000000"/>
                <w:sz w:val="24"/>
              </w:rPr>
              <w:t>2018-07-05</w:t>
            </w:r>
          </w:p>
        </w:tc>
        <w:tc>
          <w:tcPr>
            <w:vAlign w:val="center"/>
          </w:tcPr>
          <w:p>
            <w:pPr>
              <w:jc w:val="center"/>
            </w:pPr>
            <w:r>
              <w:rPr>
                <w:color w:val="000000"/>
                <w:sz w:val="24"/>
              </w:rPr>
              <w:t>-</w:t>
            </w:r>
          </w:p>
        </w:tc>
        <w:tc>
          <w:tcPr>
            <w:vAlign w:val="center"/>
          </w:tcPr>
          <w:p>
            <w:pPr>
              <w:jc w:val="center"/>
            </w:pPr>
            <w:r>
              <w:rPr>
                <w:color w:val="000000"/>
                <w:sz w:val="24"/>
              </w:rPr>
              <w:t>23年</w:t>
            </w:r>
          </w:p>
        </w:tc>
        <w:tc>
          <w:tcPr>
            <w:vAlign w:val="center"/>
          </w:tcPr>
          <w:p>
            <w:pPr>
              <w:jc w:val="both"/>
            </w:pPr>
            <w:r>
              <w:rPr>
                <w:color w:val="000000"/>
                <w:sz w:val="24"/>
              </w:rPr>
              <w:t>硕士研究生，具有基金从业资格。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科瑞证券投资基金基金经理、易方达科翔股票型证券投资基金基金经理、易方达科汇灵活配置混合型证券投资基金基金经理。</w:t>
            </w:r>
          </w:p>
        </w:tc>
      </w:tr>
      <w:tr>
        <w:tc>
          <w:tcPr>
            <w:vAlign w:val="center"/>
          </w:tcPr>
          <w:p>
            <w:pPr>
              <w:jc w:val="center"/>
            </w:pPr>
            <w:r>
              <w:rPr>
                <w:color w:val="000000"/>
                <w:sz w:val="24"/>
              </w:rPr>
              <w:t>胡剑</w:t>
            </w:r>
          </w:p>
        </w:tc>
        <w:tc>
          <w:tcPr>
            <w:vAlign w:val="center"/>
          </w:tcPr>
          <w:p>
            <w:pPr>
              <w:jc w:val="left"/>
            </w:pPr>
            <w:r>
              <w:rPr>
                <w:color w:val="000000"/>
                <w:sz w:val="24"/>
              </w:rPr>
              <w:t>本基金的基金经理、易方达稳健收益债券型证券投资基金的基金经理、易方达信用债债券型证券投资基金的基金经理、易方达裕惠回报定期开放式混合型发起式证券投资基金的基金经理、易方达瑞富灵活配置混合型证券投资基金的基金经理、易方达岁丰添利债券型证券投资基金的基金经理、易方达恒利3个月定期开放债券型发起式证券投资基金的基金经理、易方达恒益定期开放债券型发起式证券投资基金的基金经理、易方达恒盛3个月定期开放混合型发起式证券投资基金的基金经理、易方达富惠纯债债券型证券投资基金的基金经理、易方达中债7-10年期国开行债券指数证券投资基金的基金经理、易方达中债3-5年期国债指数证券投资基金的基金经理、易方达恒惠定期开放债券型发起式证券投资基金的基金经理、副总经理级高级管理人员、固定收益研究部总经理、固定收益投资部总经理、固定收益投资决策委员会委员</w:t>
            </w:r>
          </w:p>
        </w:tc>
        <w:tc>
          <w:tcPr>
            <w:vAlign w:val="center"/>
          </w:tcPr>
          <w:p>
            <w:pPr>
              <w:jc w:val="center"/>
            </w:pPr>
            <w:r>
              <w:rPr>
                <w:color w:val="000000"/>
                <w:sz w:val="24"/>
              </w:rPr>
              <w:t>2018-07-05</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硕士研究生，具有基金从业资格。曾任易方达基金管理有限公司债券研究员、基金经理助理、固定收益研究部负责人、固定收益总部总经理助理、易方达中债新综合债券指数发起式证券投资基金（LOF）基金经理、易方达纯债债券型证券投资基金基金经理、易方达永旭添利定期开放债券型证券投资基金基金经理、易方达纯债1年定期开放债券型证券投资基金基金经理、易方达裕景添利6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易方达丰惠混合型证券投资基金基金经理。</w:t>
            </w:r>
          </w:p>
        </w:tc>
      </w:tr>
      <w:tr>
        <w:tc>
          <w:tcPr>
            <w:vAlign w:val="center"/>
          </w:tcPr>
          <w:p>
            <w:pPr>
              <w:jc w:val="center"/>
            </w:pPr>
            <w:r>
              <w:rPr>
                <w:color w:val="000000"/>
                <w:sz w:val="24"/>
              </w:rPr>
              <w:t>纪玲云</w:t>
            </w:r>
          </w:p>
        </w:tc>
        <w:tc>
          <w:tcPr>
            <w:vAlign w:val="center"/>
          </w:tcPr>
          <w:p>
            <w:pPr>
              <w:jc w:val="left"/>
            </w:pPr>
            <w:r>
              <w:rPr>
                <w:color w:val="000000"/>
                <w:sz w:val="24"/>
              </w:rPr>
              <w:t>本基金的基金经理、易方达信用债债券型证券投资基金的基金经理、易方达瑞财灵活配置混合型证券投资基金的基金经理、易方达恒利3个月定期开放债券型发起式证券投资基金的基金经理、易方达恒盛3个月定期开放混合型发起式证券投资基金的基金经理、易方达恒裕一年定期开放债券型发起式证券投资基金的基金经理、易方达稳健收益债券型证券投资基金的基金经理助理、固定收益研究部总经理助理、投资经理</w:t>
            </w:r>
          </w:p>
        </w:tc>
        <w:tc>
          <w:tcPr>
            <w:vAlign w:val="center"/>
          </w:tcPr>
          <w:p>
            <w:pPr>
              <w:jc w:val="center"/>
            </w:pPr>
            <w:r>
              <w:rPr>
                <w:color w:val="000000"/>
                <w:sz w:val="24"/>
              </w:rPr>
              <w:t>2018-07-05</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硕士研究生，具有基金从业资格。曾任易方达基金管理有限公司固定收益研究员、投资经理助理。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215133" w:rsidR="00C71BA1" w:rsidRDefault="00C71BA1" w:rsidRPr="00215133">
      <w:pPr>
        <w:autoSpaceDE w:val="0"/>
        <w:autoSpaceDN w:val="0"/>
        <w:adjustRightInd w:val="0"/>
        <w:spacing w:line="360" w:lineRule="auto"/>
        <w:jc w:val="left"/>
        <w:rPr>
          <w:rFonts w:ascii="宋体" w:hAnsi="宋体"/>
          <w:b/>
          <w:bCs/>
          <w:color w:val="000000"/>
          <w:kern w:val="0"/>
          <w:sz w:val="24"/>
          <w:szCs w:val="24"/>
        </w:rPr>
      </w:pPr>
      <w:bookmarkStart w:id="0" w:name="_Hlk44921484"/>
      <w:r w:rsidRPr="00215133">
        <w:rPr>
          <w:rFonts w:ascii="宋体" w:hAnsi="宋体"/>
          <w:b/>
          <w:bCs/>
          <w:color w:val="000000"/>
          <w:kern w:val="0"/>
          <w:sz w:val="24"/>
          <w:szCs w:val="24"/>
        </w:rPr>
        <w:t/>
      </w:r>
      <w:proofErr w:type="spellStart"/>
      <w:r w:rsidRPr="00215133">
        <w:rPr>
          <w:rFonts w:ascii="宋体" w:hAnsi="宋体"/>
          <w:b/>
          <w:bCs/>
          <w:color w:val="000000"/>
          <w:kern w:val="0"/>
          <w:sz w:val="24"/>
          <w:szCs w:val="24"/>
        </w:rPr>
        <w:t/>
      </w:r>
      <w:proofErr w:type="spellEnd"/>
      <w:r w:rsidRPr="00215133">
        <w:rPr>
          <w:rFonts w:ascii="宋体" w:hAnsi="宋体"/>
          <w:b/>
          <w:bCs/>
          <w:color w:val="000000"/>
          <w:kern w:val="0"/>
          <w:sz w:val="24"/>
          <w:szCs w:val="24"/>
        </w:rPr>
        <w:t>4.1.1 期末兼任私募资产管理计划投资经理的基金经理同时管理的产品情况</w:t>
      </w:r>
      <w:bookmarkEnd w:id="0"/>
    </w:p>
    <w:tbl>
      <w:tblPr>
        <w:tblW w:w="0" w:type="dxa"/>
        <w:tblBorders>
          <w:top w:val="single"/>
          <w:left w:val="single"/>
          <w:bottom w:val="single"/>
          <w:right w:val="single"/>
          <w:insideH w:val="single"/>
          <w:insideV w:val="single"/>
        </w:tblBorders>
      </w:tblPr>
      <w:tr w:rsidR="00C71BA1" w:rsidRPr="00C71BA1" w:rsidTr="00090712">
        <w:tc>
          <w:tcPr>
            <w:tcW w:type="dxa" w:w="959"/>
            <w:vAlign w:val="center"/>
            <w:hideMark/>
          </w:tcPr>
          <w:p w:rsidP="00090712" w:rsidR="00C71BA1" w:rsidRDefault="00C71BA1" w:rsidRPr="00C71BA1">
            <w:pPr>
              <w:adjustRightInd w:val="0"/>
              <w:snapToGrid w:val="0"/>
              <w:spacing w:line="300" w:lineRule="exact"/>
              <w:jc w:val="center"/>
              <w:rPr>
                <w:rFonts w:eastAsiaTheme="minorEastAsia"/>
                <w:color w:themeColor="text1" w:val="000000"/>
                <w:sz w:val="24"/>
                <w:szCs w:val="24"/>
              </w:rPr>
            </w:pPr>
            <w:r w:rsidRPr="00C71BA1">
              <w:rPr>
                <w:rFonts w:eastAsiaTheme="minorEastAsia" w:hint="eastAsia"/>
                <w:color w:themeColor="text1" w:val="000000"/>
                <w:sz w:val="24"/>
                <w:szCs w:val="24"/>
              </w:rPr>
              <w:t>姓名</w:t>
            </w:r>
          </w:p>
        </w:tc>
        <w:tc>
          <w:tcPr>
            <w:tcW w:type="dxa" w:w="2410"/>
            <w:vAlign w:val="center"/>
            <w:hideMark/>
          </w:tcPr>
          <w:p w:rsidP="00090712" w:rsidR="00C71BA1" w:rsidRDefault="00C71BA1" w:rsidRPr="00C71BA1">
            <w:pPr>
              <w:adjustRightInd w:val="0"/>
              <w:snapToGrid w:val="0"/>
              <w:spacing w:line="300" w:lineRule="exact"/>
              <w:jc w:val="center"/>
              <w:rPr>
                <w:rFonts w:eastAsiaTheme="minorEastAsia"/>
                <w:color w:themeColor="text1" w:val="000000"/>
                <w:sz w:val="24"/>
                <w:szCs w:val="24"/>
              </w:rPr>
            </w:pPr>
            <w:r w:rsidRPr="00C71BA1">
              <w:rPr>
                <w:rFonts w:eastAsiaTheme="minorEastAsia" w:hint="eastAsia"/>
                <w:color w:themeColor="text1" w:val="000000"/>
                <w:sz w:val="24"/>
                <w:szCs w:val="24"/>
              </w:rPr>
              <w:t>产品类型</w:t>
            </w:r>
          </w:p>
        </w:tc>
        <w:tc>
          <w:tcPr>
            <w:tcW w:type="dxa" w:w="2693"/>
            <w:vAlign w:val="center"/>
            <w:hideMark/>
          </w:tcPr>
          <w:p w:rsidP="00090712" w:rsidR="00C71BA1" w:rsidRDefault="00C71BA1" w:rsidRPr="00C71BA1">
            <w:pPr>
              <w:adjustRightInd w:val="0"/>
              <w:snapToGrid w:val="0"/>
              <w:spacing w:line="300" w:lineRule="exact"/>
              <w:jc w:val="center"/>
              <w:rPr>
                <w:rFonts w:eastAsiaTheme="minorEastAsia"/>
                <w:color w:themeColor="text1" w:val="000000"/>
                <w:sz w:val="24"/>
                <w:szCs w:val="24"/>
              </w:rPr>
            </w:pPr>
            <w:r w:rsidRPr="00C71BA1">
              <w:rPr>
                <w:rFonts w:eastAsiaTheme="minorEastAsia" w:hint="eastAsia"/>
                <w:color w:themeColor="text1" w:val="000000"/>
                <w:sz w:val="24"/>
                <w:szCs w:val="24"/>
              </w:rPr>
              <w:t>产品数量（只）</w:t>
            </w:r>
          </w:p>
        </w:tc>
        <w:tc>
          <w:tcPr>
            <w:tcW w:type="dxa" w:w="1843"/>
            <w:vAlign w:val="center"/>
            <w:hideMark/>
          </w:tcPr>
          <w:p w:rsidP="00090712" w:rsidR="00C71BA1" w:rsidRDefault="00C71BA1" w:rsidRPr="00C71BA1">
            <w:pPr>
              <w:adjustRightInd w:val="0"/>
              <w:snapToGrid w:val="0"/>
              <w:spacing w:line="300" w:lineRule="exact"/>
              <w:jc w:val="center"/>
              <w:rPr>
                <w:rFonts w:eastAsiaTheme="minorEastAsia"/>
                <w:color w:themeColor="text1" w:val="000000"/>
                <w:sz w:val="24"/>
                <w:szCs w:val="24"/>
              </w:rPr>
            </w:pPr>
            <w:r w:rsidRPr="00C71BA1">
              <w:rPr>
                <w:rFonts w:eastAsiaTheme="minorEastAsia" w:hint="eastAsia"/>
                <w:color w:themeColor="text1" w:val="000000"/>
                <w:sz w:val="24"/>
                <w:szCs w:val="24"/>
              </w:rPr>
              <w:t>资产净值</w:t>
            </w:r>
            <w:r w:rsidRPr="00C71BA1">
              <w:rPr>
                <w:rFonts w:eastAsiaTheme="minorEastAsia"/>
                <w:color w:themeColor="text1" w:val="000000"/>
                <w:sz w:val="24"/>
                <w:szCs w:val="24"/>
              </w:rPr>
              <w:t>(</w:t>
            </w:r>
            <w:r w:rsidRPr="00C71BA1">
              <w:rPr>
                <w:rFonts w:eastAsiaTheme="minorEastAsia" w:hint="eastAsia"/>
                <w:color w:themeColor="text1" w:val="000000"/>
                <w:sz w:val="24"/>
                <w:szCs w:val="24"/>
              </w:rPr>
              <w:t>元</w:t>
            </w:r>
            <w:r w:rsidRPr="00C71BA1">
              <w:rPr>
                <w:rFonts w:eastAsiaTheme="minorEastAsia"/>
                <w:color w:themeColor="text1" w:val="000000"/>
                <w:sz w:val="24"/>
                <w:szCs w:val="24"/>
              </w:rPr>
              <w:t>)</w:t>
            </w:r>
          </w:p>
        </w:tc>
        <w:tc>
          <w:tcPr>
            <w:tcW w:type="dxa" w:w="1381"/>
            <w:vAlign w:val="center"/>
            <w:hideMark/>
          </w:tcPr>
          <w:p w:rsidP="00090712" w:rsidR="00C71BA1" w:rsidRDefault="00C71BA1" w:rsidRPr="00C71BA1">
            <w:pPr>
              <w:widowControl/>
              <w:jc w:val="center"/>
              <w:rPr>
                <w:rFonts w:eastAsiaTheme="minorEastAsia"/>
                <w:color w:themeColor="text1" w:val="000000"/>
                <w:sz w:val="24"/>
                <w:szCs w:val="24"/>
              </w:rPr>
            </w:pPr>
            <w:r w:rsidRPr="00C71BA1">
              <w:rPr>
                <w:rFonts w:eastAsiaTheme="minorEastAsia" w:hint="eastAsia"/>
                <w:color w:themeColor="text1" w:val="000000"/>
                <w:sz w:val="24"/>
                <w:szCs w:val="24"/>
              </w:rPr>
              <w:t>任职时间</w:t>
            </w:r>
          </w:p>
        </w:tc>
      </w:tr>
      <w:tr w:rsidR="00C71BA1" w:rsidRPr="00C71BA1" w:rsidTr="00090712">
        <w:tc>
          <w:tcPr>
            <w:tcW w:type="dxa" w:w="959"/>
            <w:vMerge w:val="restart"/>
            <w:vAlign w:val="center"/>
            <w:hideMark/>
          </w:tcPr>
          <w:p w:rsidP="00090712" w:rsidR="00C71BA1" w:rsidRDefault="00C71BA1" w:rsidRPr="00C71BA1">
            <w:pPr>
              <w:widowControl/>
              <w:jc w:val="center"/>
              <w:rPr>
                <w:rFonts w:eastAsiaTheme="minorEastAsia"/>
                <w:color w:themeColor="text1" w:val="000000"/>
                <w:kern w:val="0"/>
                <w:sz w:val="24"/>
                <w:szCs w:val="24"/>
              </w:rPr>
            </w:pPr>
            <w:r w:rsidRPr="00C71BA1">
              <w:rPr>
                <w:rFonts w:eastAsiaTheme="minorEastAsia"/>
                <w:color w:themeColor="text1" w:val="000000"/>
                <w:sz w:val="24"/>
                <w:szCs w:val="24"/>
              </w:rPr>
              <w:t/>
            </w:r>
            <w:proofErr w:type="spellStart"/>
            <w:r w:rsidRPr="00C71BA1">
              <w:rPr>
                <w:rFonts w:eastAsiaTheme="minorEastAsia"/>
                <w:color w:themeColor="text1" w:val="000000"/>
                <w:sz w:val="24"/>
                <w:szCs w:val="24"/>
              </w:rPr>
              <w:t/>
            </w:r>
            <w:r w:rsidRPr="00C71BA1">
              <w:rPr>
                <w:rFonts w:eastAsiaTheme="minorEastAsia"/>
                <w:color w:themeColor="text1" w:val="000000"/>
                <w:sz w:val="24"/>
                <w:szCs w:val="24"/>
              </w:rPr>
              <w:lastRenderedPageBreak/>
              <w:t/>
            </w:r>
            <w:proofErr w:type="spellEnd"/>
            <w:r w:rsidRPr="00C71BA1">
              <w:rPr>
                <w:rFonts w:eastAsiaTheme="minorEastAsia"/>
                <w:color w:themeColor="text1" w:val="000000"/>
                <w:sz w:val="24"/>
                <w:szCs w:val="24"/>
              </w:rPr>
              <w:t>纪玲云</w:t>
            </w:r>
          </w:p>
        </w:tc>
        <w:tc>
          <w:tcPr>
            <w:tcW w:type="dxa" w:w="2410"/>
            <w:hideMark/>
          </w:tcPr>
          <w:p w:rsidP="00090712" w:rsidR="00C71BA1" w:rsidRDefault="00C71BA1" w:rsidRPr="00C71BA1">
            <w:pPr>
              <w:widowControl/>
              <w:jc w:val="left"/>
              <w:rPr>
                <w:rFonts w:eastAsiaTheme="minorEastAsia"/>
                <w:color w:themeColor="text1" w:val="000000"/>
                <w:kern w:val="0"/>
                <w:sz w:val="24"/>
                <w:szCs w:val="24"/>
              </w:rPr>
            </w:pPr>
            <w:r w:rsidRPr="00C71BA1">
              <w:rPr>
                <w:rFonts w:eastAsiaTheme="minorEastAsia" w:hint="eastAsia"/>
                <w:color w:themeColor="text1" w:val="000000"/>
                <w:sz w:val="24"/>
                <w:szCs w:val="24"/>
              </w:rPr>
              <w:lastRenderedPageBreak/>
              <w:t>公</w:t>
            </w:r>
            <w:proofErr w:type="gramStart"/>
            <w:r w:rsidRPr="00C71BA1">
              <w:rPr>
                <w:rFonts w:eastAsiaTheme="minorEastAsia" w:hint="eastAsia"/>
                <w:color w:themeColor="text1" w:val="000000"/>
                <w:sz w:val="24"/>
                <w:szCs w:val="24"/>
              </w:rPr>
              <w:t>募基金</w:t>
            </w:r>
            <w:proofErr w:type="gramEnd"/>
          </w:p>
        </w:tc>
        <w:tc>
          <w:tcPr>
            <w:tcW w:type="dxa" w:w="2693"/>
            <w:vAlign w:val="center"/>
            <w:hideMark/>
          </w:tcPr>
          <w:p w:rsidP="00090712" w:rsidR="00C71BA1" w:rsidRDefault="00C71BA1" w:rsidRPr="00FF0244">
            <w:pPr>
              <w:widowControl/>
              <w:jc w:val="center"/>
              <w:rPr>
                <w:rFonts w:eastAsiaTheme="minorEastAsia"/>
                <w:color w:themeColor="text1" w:val="000000"/>
                <w:kern w:val="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6</w:t>
            </w:r>
          </w:p>
        </w:tc>
        <w:tc>
          <w:tcPr>
            <w:tcW w:type="dxa" w:w="1843"/>
            <w:vAlign w:val="center"/>
            <w:hideMark/>
          </w:tcPr>
          <w:p w:rsidP="00090712" w:rsidR="00C71BA1" w:rsidRDefault="00C71BA1" w:rsidRPr="00FF0244">
            <w:pPr>
              <w:widowControl/>
              <w:jc w:val="right"/>
              <w:rPr>
                <w:rFonts w:eastAsiaTheme="minorEastAsia"/>
                <w:color w:themeColor="text1" w:val="000000"/>
                <w:kern w:val="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36,686,109,815.64</w:t>
            </w:r>
          </w:p>
        </w:tc>
        <w:tc>
          <w:tcPr>
            <w:tcW w:type="dxa" w:w="1381"/>
            <w:vAlign w:val="center"/>
            <w:hideMark/>
          </w:tcPr>
          <w:p w:rsidP="00090712" w:rsidR="00C71BA1" w:rsidRDefault="00C71BA1" w:rsidRPr="00FF0244">
            <w:pPr>
              <w:widowControl/>
              <w:jc w:val="center"/>
              <w:rPr>
                <w:rFonts w:eastAsiaTheme="minorEastAsia"/>
                <w:color w:themeColor="text1" w:val="000000"/>
                <w:kern w:val="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r w:rsidRPr="00FF0244">
              <w:rPr>
                <w:rFonts w:eastAsiaTheme="minorEastAsia"/>
                <w:color w:themeColor="text1" w:val="000000"/>
                <w:sz w:val="24"/>
                <w:szCs w:val="24"/>
              </w:rPr>
              <w:lastRenderedPageBreak/>
              <w:t/>
            </w:r>
            <w:proofErr w:type="spellEnd"/>
            <w:r w:rsidRPr="00FF0244">
              <w:rPr>
                <w:rFonts w:eastAsiaTheme="minorEastAsia"/>
                <w:color w:themeColor="text1" w:val="000000"/>
                <w:sz w:val="24"/>
                <w:szCs w:val="24"/>
              </w:rPr>
              <w:t>2013-09-14</w:t>
            </w:r>
          </w:p>
        </w:tc>
      </w:tr>
      <w:tr w:rsidR="00C71BA1" w:rsidRPr="00C71BA1" w:rsidTr="00090712">
        <w:tc>
          <w:tcPr>
            <w:tcW w:type="dxa" w:w="9286"/>
            <w:vMerge/>
            <w:vAlign w:val="center"/>
            <w:hideMark/>
          </w:tcPr>
          <w:p w:rsidP="00090712" w:rsidR="00C71BA1" w:rsidRDefault="00C71BA1" w:rsidRPr="00C71BA1">
            <w:pPr>
              <w:widowControl/>
              <w:jc w:val="left"/>
              <w:rPr>
                <w:rFonts w:eastAsiaTheme="minorEastAsia"/>
                <w:color w:themeColor="text1" w:val="000000"/>
                <w:kern w:val="0"/>
                <w:sz w:val="24"/>
                <w:szCs w:val="24"/>
              </w:rPr>
            </w:pPr>
          </w:p>
        </w:tc>
        <w:tc>
          <w:tcPr>
            <w:tcW w:type="dxa" w:w="2410"/>
            <w:hideMark/>
          </w:tcPr>
          <w:p w:rsidP="00090712" w:rsidR="00C71BA1" w:rsidRDefault="00C71BA1" w:rsidRPr="00C71BA1">
            <w:pPr>
              <w:widowControl/>
              <w:jc w:val="left"/>
              <w:rPr>
                <w:rFonts w:eastAsiaTheme="minorEastAsia"/>
                <w:color w:themeColor="text1" w:val="000000"/>
                <w:kern w:val="0"/>
                <w:sz w:val="24"/>
                <w:szCs w:val="24"/>
              </w:rPr>
            </w:pPr>
            <w:r w:rsidRPr="00C71BA1">
              <w:rPr>
                <w:rFonts w:eastAsiaTheme="minorEastAsia" w:hint="eastAsia"/>
                <w:color w:themeColor="text1" w:val="000000"/>
                <w:sz w:val="24"/>
                <w:szCs w:val="24"/>
              </w:rPr>
              <w:t>私募资产管理计划</w:t>
            </w:r>
          </w:p>
        </w:tc>
        <w:tc>
          <w:tcPr>
            <w:tcW w:type="dxa" w:w="2693"/>
            <w:vAlign w:val="center"/>
            <w:hideMark/>
          </w:tcPr>
          <w:p w:rsidP="00090712" w:rsidR="00C71BA1" w:rsidRDefault="00C71BA1" w:rsidRPr="00FF0244">
            <w:pPr>
              <w:widowControl/>
              <w:jc w:val="center"/>
              <w:rPr>
                <w:rFonts w:eastAsiaTheme="minorEastAsia"/>
                <w:color w:themeColor="text1" w:val="000000"/>
                <w:kern w:val="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1</w:t>
            </w:r>
          </w:p>
        </w:tc>
        <w:tc>
          <w:tcPr>
            <w:tcW w:type="dxa" w:w="1843"/>
            <w:vAlign w:val="center"/>
            <w:hideMark/>
          </w:tcPr>
          <w:p w:rsidP="00090712" w:rsidR="00C71BA1" w:rsidRDefault="00C71BA1" w:rsidRPr="00FF0244">
            <w:pPr>
              <w:widowControl/>
              <w:jc w:val="right"/>
              <w:rPr>
                <w:rFonts w:eastAsiaTheme="minorEastAsia"/>
                <w:color w:themeColor="text1" w:val="000000"/>
                <w:kern w:val="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10,968,722.13</w:t>
            </w:r>
          </w:p>
        </w:tc>
        <w:tc>
          <w:tcPr>
            <w:tcW w:type="dxa" w:w="1381"/>
            <w:vAlign w:val="center"/>
            <w:hideMark/>
          </w:tcPr>
          <w:p w:rsidP="00090712" w:rsidR="00C71BA1" w:rsidRDefault="00C71BA1" w:rsidRPr="000D33A8">
            <w:pPr>
              <w:widowControl/>
              <w:jc w:val="center"/>
              <w:rPr>
                <w:rFonts w:eastAsiaTheme="minorEastAsia"/>
                <w:color w:themeColor="text1" w:val="000000"/>
                <w:kern w:val="0"/>
                <w:sz w:val="24"/>
                <w:szCs w:val="24"/>
              </w:rPr>
            </w:pPr>
            <w:r w:rsidRPr="000D33A8">
              <w:rPr>
                <w:rFonts w:eastAsiaTheme="minorEastAsia"/>
                <w:color w:themeColor="text1" w:val="000000"/>
                <w:sz w:val="24"/>
                <w:szCs w:val="24"/>
              </w:rPr>
              <w:t/>
            </w:r>
            <w:proofErr w:type="spellStart"/>
            <w:r w:rsidRPr="000D33A8">
              <w:rPr>
                <w:rFonts w:eastAsiaTheme="minorEastAsia"/>
                <w:color w:themeColor="text1" w:val="000000"/>
                <w:sz w:val="24"/>
                <w:szCs w:val="24"/>
              </w:rPr>
              <w:t/>
            </w:r>
            <w:proofErr w:type="spellEnd"/>
            <w:r w:rsidRPr="000D33A8">
              <w:rPr>
                <w:rFonts w:eastAsiaTheme="minorEastAsia"/>
                <w:color w:themeColor="text1" w:val="000000"/>
                <w:sz w:val="24"/>
                <w:szCs w:val="24"/>
              </w:rPr>
              <w:t>2019-11-22</w:t>
            </w:r>
          </w:p>
        </w:tc>
      </w:tr>
      <w:tr w:rsidR="00C71BA1" w:rsidRPr="00C71BA1" w:rsidTr="00090712">
        <w:tc>
          <w:tcPr>
            <w:tcW w:type="dxa" w:w="9286"/>
            <w:vMerge/>
            <w:vAlign w:val="center"/>
            <w:hideMark/>
          </w:tcPr>
          <w:p w:rsidP="00090712" w:rsidR="00C71BA1" w:rsidRDefault="00C71BA1" w:rsidRPr="00C71BA1">
            <w:pPr>
              <w:widowControl/>
              <w:jc w:val="left"/>
              <w:rPr>
                <w:rFonts w:eastAsiaTheme="minorEastAsia"/>
                <w:color w:themeColor="text1" w:val="000000"/>
                <w:kern w:val="0"/>
                <w:sz w:val="24"/>
                <w:szCs w:val="24"/>
              </w:rPr>
            </w:pPr>
          </w:p>
        </w:tc>
        <w:tc>
          <w:tcPr>
            <w:tcW w:type="dxa" w:w="2410"/>
            <w:hideMark/>
          </w:tcPr>
          <w:p w:rsidP="00090712" w:rsidR="00C71BA1" w:rsidRDefault="00C71BA1" w:rsidRPr="00C71BA1">
            <w:pPr>
              <w:widowControl/>
              <w:jc w:val="left"/>
              <w:rPr>
                <w:rFonts w:eastAsiaTheme="minorEastAsia"/>
                <w:color w:themeColor="text1" w:val="000000"/>
                <w:sz w:val="24"/>
                <w:szCs w:val="24"/>
              </w:rPr>
            </w:pPr>
            <w:r w:rsidRPr="00C71BA1">
              <w:rPr>
                <w:rFonts w:eastAsiaTheme="minorEastAsia" w:hint="eastAsia"/>
                <w:color w:themeColor="text1" w:val="000000"/>
                <w:sz w:val="24"/>
                <w:szCs w:val="24"/>
              </w:rPr>
              <w:t>其他组合</w:t>
            </w:r>
          </w:p>
        </w:tc>
        <w:tc>
          <w:tcPr>
            <w:tcW w:type="dxa" w:w="2693"/>
            <w:vAlign w:val="center"/>
            <w:hideMark/>
          </w:tcPr>
          <w:p w:rsidP="00090712" w:rsidR="00C71BA1" w:rsidRDefault="00C71BA1" w:rsidRPr="00FF0244">
            <w:pPr>
              <w:jc w:val="center"/>
              <w:rPr>
                <w:rFonts w:eastAsiaTheme="minorEastAsia"/>
                <w:color w:themeColor="text1" w:val="00000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8</w:t>
            </w:r>
          </w:p>
        </w:tc>
        <w:tc>
          <w:tcPr>
            <w:tcW w:type="dxa" w:w="1843"/>
            <w:vAlign w:val="center"/>
            <w:hideMark/>
          </w:tcPr>
          <w:p w:rsidP="00090712" w:rsidR="00C71BA1" w:rsidRDefault="00C71BA1" w:rsidRPr="00FF0244">
            <w:pPr>
              <w:jc w:val="right"/>
              <w:rPr>
                <w:rFonts w:eastAsiaTheme="minorEastAsia"/>
                <w:color w:themeColor="text1" w:val="00000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100,902,421,358.75</w:t>
            </w:r>
          </w:p>
        </w:tc>
        <w:tc>
          <w:tcPr>
            <w:tcW w:type="dxa" w:w="1381"/>
            <w:vAlign w:val="center"/>
            <w:hideMark/>
          </w:tcPr>
          <w:p w:rsidP="00090712" w:rsidR="00C71BA1" w:rsidRDefault="00C71BA1" w:rsidRPr="000D33A8">
            <w:pPr>
              <w:jc w:val="center"/>
              <w:rPr>
                <w:rFonts w:eastAsiaTheme="minorEastAsia"/>
                <w:color w:themeColor="text1" w:val="000000"/>
                <w:sz w:val="24"/>
                <w:szCs w:val="24"/>
              </w:rPr>
            </w:pPr>
            <w:r w:rsidRPr="000D33A8">
              <w:rPr>
                <w:rFonts w:eastAsiaTheme="minorEastAsia"/>
                <w:color w:themeColor="text1" w:val="000000"/>
                <w:sz w:val="24"/>
                <w:szCs w:val="24"/>
              </w:rPr>
              <w:t/>
            </w:r>
            <w:proofErr w:type="spellStart"/>
            <w:r w:rsidRPr="000D33A8">
              <w:rPr>
                <w:rFonts w:eastAsiaTheme="minorEastAsia"/>
                <w:color w:themeColor="text1" w:val="000000"/>
                <w:sz w:val="24"/>
                <w:szCs w:val="24"/>
              </w:rPr>
              <w:t/>
            </w:r>
            <w:proofErr w:type="spellEnd"/>
            <w:r w:rsidRPr="000D33A8">
              <w:rPr>
                <w:rFonts w:eastAsiaTheme="minorEastAsia"/>
                <w:color w:themeColor="text1" w:val="000000"/>
                <w:sz w:val="24"/>
                <w:szCs w:val="24"/>
              </w:rPr>
              <w:t>2015-11-27</w:t>
            </w:r>
          </w:p>
        </w:tc>
      </w:tr>
      <w:tr w:rsidR="00C71BA1" w:rsidRPr="00C71BA1" w:rsidTr="00090712">
        <w:tc>
          <w:tcPr>
            <w:tcW w:type="dxa" w:w="9286"/>
            <w:vMerge/>
            <w:vAlign w:val="center"/>
            <w:hideMark/>
          </w:tcPr>
          <w:p w:rsidP="00090712" w:rsidR="00C71BA1" w:rsidRDefault="00C71BA1" w:rsidRPr="00C71BA1">
            <w:pPr>
              <w:widowControl/>
              <w:jc w:val="left"/>
              <w:rPr>
                <w:rFonts w:eastAsiaTheme="minorEastAsia"/>
                <w:color w:themeColor="text1" w:val="000000"/>
                <w:kern w:val="0"/>
                <w:sz w:val="24"/>
                <w:szCs w:val="24"/>
              </w:rPr>
            </w:pPr>
          </w:p>
        </w:tc>
        <w:tc>
          <w:tcPr>
            <w:tcW w:type="dxa" w:w="2410"/>
            <w:hideMark/>
          </w:tcPr>
          <w:p w:rsidP="00090712" w:rsidR="00C71BA1" w:rsidRDefault="00C71BA1" w:rsidRPr="00C71BA1">
            <w:pPr>
              <w:widowControl/>
              <w:jc w:val="left"/>
              <w:rPr>
                <w:rFonts w:eastAsiaTheme="minorEastAsia"/>
                <w:color w:themeColor="text1" w:val="000000"/>
                <w:sz w:val="24"/>
                <w:szCs w:val="24"/>
              </w:rPr>
            </w:pPr>
            <w:r w:rsidRPr="00C71BA1">
              <w:rPr>
                <w:rFonts w:eastAsiaTheme="minorEastAsia" w:hint="eastAsia"/>
                <w:color w:themeColor="text1" w:val="000000"/>
                <w:sz w:val="24"/>
                <w:szCs w:val="24"/>
              </w:rPr>
              <w:t>合计</w:t>
            </w:r>
          </w:p>
        </w:tc>
        <w:tc>
          <w:tcPr>
            <w:tcW w:type="dxa" w:w="2693"/>
            <w:vAlign w:val="center"/>
            <w:hideMark/>
          </w:tcPr>
          <w:p w:rsidP="00090712" w:rsidR="00C71BA1" w:rsidRDefault="00C71BA1" w:rsidRPr="00FF0244">
            <w:pPr>
              <w:jc w:val="center"/>
              <w:rPr>
                <w:rFonts w:eastAsiaTheme="minorEastAsia"/>
                <w:color w:themeColor="text1" w:val="00000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15</w:t>
            </w:r>
          </w:p>
        </w:tc>
        <w:tc>
          <w:tcPr>
            <w:tcW w:type="dxa" w:w="1843"/>
            <w:vAlign w:val="center"/>
            <w:hideMark/>
          </w:tcPr>
          <w:p w:rsidP="00090712" w:rsidR="00C71BA1" w:rsidRDefault="00C71BA1" w:rsidRPr="00FF0244">
            <w:pPr>
              <w:jc w:val="right"/>
              <w:rPr>
                <w:rFonts w:eastAsiaTheme="minorEastAsia"/>
                <w:color w:themeColor="text1" w:val="000000"/>
                <w:sz w:val="24"/>
                <w:szCs w:val="24"/>
              </w:rPr>
            </w:pPr>
            <w:r w:rsidRPr="00FF0244">
              <w:rPr>
                <w:rFonts w:eastAsiaTheme="minorEastAsia"/>
                <w:color w:themeColor="text1" w:val="000000"/>
                <w:sz w:val="24"/>
                <w:szCs w:val="24"/>
              </w:rPr>
              <w:t/>
            </w:r>
            <w:proofErr w:type="spellStart"/>
            <w:r w:rsidRPr="00FF0244">
              <w:rPr>
                <w:rFonts w:eastAsiaTheme="minorEastAsia"/>
                <w:color w:themeColor="text1" w:val="000000"/>
                <w:sz w:val="24"/>
                <w:szCs w:val="24"/>
              </w:rPr>
              <w:t/>
            </w:r>
            <w:proofErr w:type="spellEnd"/>
            <w:r w:rsidRPr="00FF0244">
              <w:rPr>
                <w:rFonts w:eastAsiaTheme="minorEastAsia"/>
                <w:color w:themeColor="text1" w:val="000000"/>
                <w:sz w:val="24"/>
                <w:szCs w:val="24"/>
              </w:rPr>
              <w:t>137,599,499,896.52</w:t>
            </w:r>
          </w:p>
        </w:tc>
        <w:tc>
          <w:tcPr>
            <w:tcW w:type="dxa" w:w="1381"/>
            <w:vAlign w:val="center"/>
          </w:tcPr>
          <w:p w:rsidP="00090712" w:rsidR="00C71BA1" w:rsidRDefault="00C71BA1" w:rsidRPr="000D33A8">
            <w:pPr>
              <w:jc w:val="center"/>
              <w:rPr>
                <w:rFonts w:eastAsiaTheme="minorEastAsia"/>
                <w:color w:themeColor="text1" w:val="000000"/>
                <w:sz w:val="24"/>
                <w:szCs w:val="24"/>
              </w:rPr>
            </w:pPr>
            <w:r w:rsidRPr="000D33A8">
              <w:rPr>
                <w:color w:themeColor="text1" w:val="000000"/>
                <w:kern w:val="0"/>
                <w:sz w:val="24"/>
                <w:szCs w:val="24"/>
              </w:rPr>
              <w:t>-</w:t>
            </w:r>
            <w:bookmarkStart w:id="1" w:name="_GoBack"/>
            <w:bookmarkEnd w:id="1"/>
          </w:p>
        </w:tc>
      </w:tr>
    </w:tbl>
    <w:p>
      <w:pPr>
        <w:spacing w:line="360" w:lineRule="auto"/>
        <w:ind w:firstLine="480" w:firstLineChars="200"/>
        <w:rPr>
          <w:color w:val="000000"/>
          <w:sz w:val="24"/>
          <w:szCs w:val="24"/>
        </w:rPr>
      </w:pPr>
      <w:r>
        <w:rPr>
          <w:kern w:val="0"/>
          <w:sz w:val="24"/>
          <w:szCs w:val="24"/>
        </w:rPr>
        <w:t>注：1.“任职时间”为首次开始管理上表中本类产品的时间。</w:t>
      </w:r>
    </w:p>
    <w:p w:rsidP="00C71BA1" w:rsidR="00750D48" w:rsidRDefault="00C71BA1" w:rsidRPr="00C71BA1">
      <w:pPr>
        <w:spacing w:line="360" w:lineRule="auto"/>
        <w:ind w:firstLine="480" w:firstLineChars="200"/>
        <w:rPr>
          <w:color w:val="000000"/>
          <w:sz w:val="24"/>
          <w:szCs w:val="24"/>
        </w:rPr>
      </w:pPr>
      <w:r w:rsidRPr="00C71BA1">
        <w:rPr>
          <w:kern w:val="0"/>
          <w:sz w:val="24"/>
          <w:szCs w:val="24"/>
        </w:rPr>
        <w:t/>
      </w:r>
      <w:proofErr w:type="gramStart"/>
      <w:r w:rsidRPr="00C71BA1">
        <w:rPr>
          <w:kern w:val="0"/>
          <w:sz w:val="24"/>
          <w:szCs w:val="24"/>
        </w:rPr>
        <w:t/>
      </w:r>
      <w:proofErr w:type="gramEnd"/>
      <w:r w:rsidRPr="00C71BA1">
        <w:rPr>
          <w:kern w:val="0"/>
          <w:sz w:val="24"/>
          <w:szCs w:val="24"/>
        </w:rPr>
        <w:t>2.纪玲云作为团队成员之一参与上述其他组合的管理。</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受益于良好的疫情控制效果，2020年三季度国内经济基本面维持平稳复苏的走势。工业增加值增速在5-6%附近，环比增速有所波动，但整体表现较为平稳。结构上看，房地产投资保持了较高的增速水平，且在新开工增速提升的情况下，7、8月份同比增速进一步提高到11.8%的较高水平；制造业投资在三季度持续回升，截至8月底已经基本接近去年11月份的水平，体现出经济主体自身的的活跃程度在增强；基建投资则持续有小幅回落，但增速水平仍然保持在去年11月份以来的趋势值之上。从需求端来看，房地产和汽车消费仍然维持较好水平，以餐饮为代表的终端需求的恢复在7月份开始有所加速。未来随着出行和场景消费行政限制的放松，需求端的恢复有望持续。进出口方面，由于海外经济重启，国内快速恢复的供给能力带动出口增速大幅回升，进口数据也有一定程度的恢复，但整体的贸易顺差数据维持高位。</w:t>
      </w:r>
    </w:p>
    <w:p>
      <w:pPr>
        <w:spacing w:line="360" w:lineRule="auto"/>
        <w:ind w:firstLine="480" w:firstLineChars="200"/>
        <w:rPr>
          <w:color w:val="000000"/>
          <w:sz w:val="24"/>
          <w:szCs w:val="24"/>
        </w:rPr>
      </w:pPr>
      <w:r>
        <w:rPr>
          <w:color w:val="000000"/>
          <w:sz w:val="24"/>
          <w:szCs w:val="24"/>
        </w:rPr>
        <w:t>货币政策三季度继续向中性方向回归。银行间存款类金融机构以利率债为质押的7天回购利率（DR007）中枢水平自6月份快速上升至2.2%附近后，三季度基本在该水平保持平稳。信用扩张方面，央行基本保持了相对宽松的信贷环境，但是信用扩张速度有所放缓，体现出政策层面回归中性的意图。不过从社融数据的结构来看，非金融企业和居民部门的中长期贷款持续明显多增，反映经济主体的信心在逐渐恢复，这与制造业投资以及终端需求的恢复一致，说明经济的自身动能在持续增强。</w:t>
      </w:r>
    </w:p>
    <w:p>
      <w:pPr>
        <w:spacing w:line="360" w:lineRule="auto"/>
        <w:ind w:firstLine="480" w:firstLineChars="200"/>
        <w:rPr>
          <w:color w:val="000000"/>
          <w:sz w:val="24"/>
          <w:szCs w:val="24"/>
        </w:rPr>
      </w:pPr>
      <w:r>
        <w:rPr>
          <w:color w:val="000000"/>
          <w:sz w:val="24"/>
          <w:szCs w:val="24"/>
        </w:rPr>
        <w:t>债券市场收益率在三季度出现持续快速回升。政策性金融债收益率平坦化上行55-65BP，国债上行30-50BP。信用债表现相对较好，1年和5年端AAA品种利差分别压缩22BP和27BP，3年端AAA品种由于绝对利差水平不高，且二季度压缩较为明显，本季度变动不大。级别利差水平压缩显著，3年期限AA-与AAA的级别利差在三季度压缩30BP。</w:t>
      </w:r>
    </w:p>
    <w:p>
      <w:pPr>
        <w:spacing w:line="360" w:lineRule="auto"/>
        <w:ind w:firstLine="480" w:firstLineChars="200"/>
        <w:rPr>
          <w:color w:val="000000"/>
          <w:sz w:val="24"/>
          <w:szCs w:val="24"/>
        </w:rPr>
      </w:pPr>
      <w:r>
        <w:rPr>
          <w:color w:val="000000"/>
          <w:sz w:val="24"/>
          <w:szCs w:val="24"/>
        </w:rPr>
        <w:t>权益市场在7月上旬出现明显上涨后维持了振荡走势。整个季度来看，沪深300指数上涨10.17%，创业板指上涨5.6%。结构上看，休闲服务、军工、电器设备、汽车、食品饮料等行业涨幅较高，达到20-30%；通信、商业贸易、计算机等行业表现较差，整个季度下跌3-8%。</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操作上，组合在债券方面维持了中短端、高流动性资产为主的配置思路，在给组合提供流动性的同时获取安全的票息收益，较好地规避了债券市场收益大幅上升带来的净值波动风险。权益投资方面，我们仍然坚持一直的投资理念，寻找“简单、独特、可持续”的优质股票，在拥有安全边际的前提下买入，中长期持有，争取为持有人获取更大收益。</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截至报告期末，本基金份额净值为1.1046元，本报告期份额净值增长率为1.72%，同期业绩比较基准收益率为5.30%。</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7,170,689,050.93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26.54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7,170,689,050.93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26.54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19,201,448,100.00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71.06</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19,201,448,100.00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71.06</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510,980,122.16</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1.89</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139,972,135.02</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0.52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27,023,089,408.11</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1,932,015,147.44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7.15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1,734,276,719.38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6.42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143,728.96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653,223,036.60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2.42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18,081,222.55</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2,228,376,831.00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8.25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333,901,870.64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1.24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269,575,690.22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586,227.76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495,547.26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7,170,689,050.93</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26.54</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601658</w:t>
            </w:r>
          </w:p>
        </w:tc>
        <w:tc>
          <w:tcPr>
            <w:vAlign w:val="center"/>
          </w:tcPr>
          <w:p>
            <w:pPr>
              <w:jc w:val="center"/>
            </w:pPr>
            <w:r>
              <w:rPr>
                <w:color w:val="000000"/>
                <w:kern w:val="0"/>
                <w:sz w:val="24"/>
                <w:szCs w:val="24"/>
              </w:rPr>
              <w:t>邮储银行</w:t>
            </w:r>
          </w:p>
        </w:tc>
        <w:tc>
          <w:tcPr>
            <w:vAlign w:val="center"/>
          </w:tcPr>
          <w:p>
            <w:pPr>
              <w:jc w:val="right"/>
            </w:pPr>
            <w:r>
              <w:rPr>
                <w:color w:val="000000"/>
                <w:kern w:val="0"/>
                <w:sz w:val="24"/>
                <w:szCs w:val="24"/>
              </w:rPr>
              <w:t>461,009,000</w:t>
            </w:r>
          </w:p>
        </w:tc>
        <w:tc>
          <w:tcPr>
            <w:vAlign w:val="center"/>
          </w:tcPr>
          <w:p>
            <w:pPr>
              <w:jc w:val="right"/>
            </w:pPr>
            <w:r>
              <w:rPr>
                <w:color w:val="000000"/>
                <w:kern w:val="0"/>
                <w:sz w:val="24"/>
                <w:szCs w:val="24"/>
              </w:rPr>
              <w:t>2,051,490,050.00</w:t>
            </w:r>
          </w:p>
        </w:tc>
        <w:tc>
          <w:tcPr>
            <w:vAlign w:val="center"/>
          </w:tcPr>
          <w:p>
            <w:pPr>
              <w:jc w:val="right"/>
            </w:pPr>
            <w:r>
              <w:rPr>
                <w:color w:val="000000"/>
                <w:kern w:val="0"/>
                <w:sz w:val="24"/>
                <w:szCs w:val="24"/>
              </w:rPr>
              <w:t>7.59</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003816</w:t>
            </w:r>
          </w:p>
        </w:tc>
        <w:tc>
          <w:tcPr>
            <w:vAlign w:val="center"/>
          </w:tcPr>
          <w:p>
            <w:pPr>
              <w:jc w:val="center"/>
            </w:pPr>
            <w:r>
              <w:rPr>
                <w:color w:val="000000"/>
                <w:kern w:val="0"/>
                <w:sz w:val="24"/>
                <w:szCs w:val="24"/>
              </w:rPr>
              <w:t>中国广核</w:t>
            </w:r>
          </w:p>
        </w:tc>
        <w:tc>
          <w:tcPr>
            <w:vAlign w:val="center"/>
          </w:tcPr>
          <w:p>
            <w:pPr>
              <w:jc w:val="right"/>
            </w:pPr>
            <w:r>
              <w:rPr>
                <w:color w:val="000000"/>
                <w:kern w:val="0"/>
                <w:sz w:val="24"/>
                <w:szCs w:val="24"/>
              </w:rPr>
              <w:t>555,485,000</w:t>
            </w:r>
          </w:p>
        </w:tc>
        <w:tc>
          <w:tcPr>
            <w:vAlign w:val="center"/>
          </w:tcPr>
          <w:p>
            <w:pPr>
              <w:jc w:val="right"/>
            </w:pPr>
            <w:r>
              <w:rPr>
                <w:color w:val="000000"/>
                <w:kern w:val="0"/>
                <w:sz w:val="24"/>
                <w:szCs w:val="24"/>
              </w:rPr>
              <w:t>1,594,241,950.00</w:t>
            </w:r>
          </w:p>
        </w:tc>
        <w:tc>
          <w:tcPr>
            <w:vAlign w:val="center"/>
          </w:tcPr>
          <w:p>
            <w:pPr>
              <w:jc w:val="right"/>
            </w:pPr>
            <w:r>
              <w:rPr>
                <w:color w:val="000000"/>
                <w:kern w:val="0"/>
                <w:sz w:val="24"/>
                <w:szCs w:val="24"/>
              </w:rPr>
              <w:t>5.90</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601816</w:t>
            </w:r>
          </w:p>
        </w:tc>
        <w:tc>
          <w:tcPr>
            <w:vAlign w:val="center"/>
          </w:tcPr>
          <w:p>
            <w:pPr>
              <w:jc w:val="center"/>
            </w:pPr>
            <w:r>
              <w:rPr>
                <w:color w:val="000000"/>
                <w:kern w:val="0"/>
                <w:sz w:val="24"/>
                <w:szCs w:val="24"/>
              </w:rPr>
              <w:t>京沪高铁</w:t>
            </w:r>
          </w:p>
        </w:tc>
        <w:tc>
          <w:tcPr>
            <w:vAlign w:val="center"/>
          </w:tcPr>
          <w:p>
            <w:pPr>
              <w:jc w:val="right"/>
            </w:pPr>
            <w:r>
              <w:rPr>
                <w:color w:val="000000"/>
                <w:kern w:val="0"/>
                <w:sz w:val="24"/>
                <w:szCs w:val="24"/>
              </w:rPr>
              <w:t>114,754,098</w:t>
            </w:r>
          </w:p>
        </w:tc>
        <w:tc>
          <w:tcPr>
            <w:vAlign w:val="center"/>
          </w:tcPr>
          <w:p>
            <w:pPr>
              <w:jc w:val="right"/>
            </w:pPr>
            <w:r>
              <w:rPr>
                <w:color w:val="000000"/>
                <w:kern w:val="0"/>
                <w:sz w:val="24"/>
                <w:szCs w:val="24"/>
              </w:rPr>
              <w:t>652,950,817.62</w:t>
            </w:r>
          </w:p>
        </w:tc>
        <w:tc>
          <w:tcPr>
            <w:vAlign w:val="center"/>
          </w:tcPr>
          <w:p>
            <w:pPr>
              <w:jc w:val="right"/>
            </w:pPr>
            <w:r>
              <w:rPr>
                <w:color w:val="000000"/>
                <w:kern w:val="0"/>
                <w:sz w:val="24"/>
                <w:szCs w:val="24"/>
              </w:rPr>
              <w:t>2.42</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000333</w:t>
            </w:r>
          </w:p>
        </w:tc>
        <w:tc>
          <w:tcPr>
            <w:vAlign w:val="center"/>
          </w:tcPr>
          <w:p>
            <w:pPr>
              <w:jc w:val="center"/>
            </w:pPr>
            <w:r>
              <w:rPr>
                <w:color w:val="000000"/>
                <w:kern w:val="0"/>
                <w:sz w:val="24"/>
                <w:szCs w:val="24"/>
              </w:rPr>
              <w:t>美的集团</w:t>
            </w:r>
          </w:p>
        </w:tc>
        <w:tc>
          <w:tcPr>
            <w:vAlign w:val="center"/>
          </w:tcPr>
          <w:p>
            <w:pPr>
              <w:jc w:val="right"/>
            </w:pPr>
            <w:r>
              <w:rPr>
                <w:color w:val="000000"/>
                <w:kern w:val="0"/>
                <w:sz w:val="24"/>
                <w:szCs w:val="24"/>
              </w:rPr>
              <w:t>5,381,116</w:t>
            </w:r>
          </w:p>
        </w:tc>
        <w:tc>
          <w:tcPr>
            <w:vAlign w:val="center"/>
          </w:tcPr>
          <w:p>
            <w:pPr>
              <w:jc w:val="right"/>
            </w:pPr>
            <w:r>
              <w:rPr>
                <w:color w:val="000000"/>
                <w:kern w:val="0"/>
                <w:sz w:val="24"/>
                <w:szCs w:val="24"/>
              </w:rPr>
              <w:t>390,669,021.60</w:t>
            </w:r>
          </w:p>
        </w:tc>
        <w:tc>
          <w:tcPr>
            <w:vAlign w:val="center"/>
          </w:tcPr>
          <w:p>
            <w:pPr>
              <w:jc w:val="right"/>
            </w:pPr>
            <w:r>
              <w:rPr>
                <w:color w:val="000000"/>
                <w:kern w:val="0"/>
                <w:sz w:val="24"/>
                <w:szCs w:val="24"/>
              </w:rPr>
              <w:t>1.45</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000651</w:t>
            </w:r>
          </w:p>
        </w:tc>
        <w:tc>
          <w:tcPr>
            <w:vAlign w:val="center"/>
          </w:tcPr>
          <w:p>
            <w:pPr>
              <w:jc w:val="center"/>
            </w:pPr>
            <w:r>
              <w:rPr>
                <w:color w:val="000000"/>
                <w:kern w:val="0"/>
                <w:sz w:val="24"/>
                <w:szCs w:val="24"/>
              </w:rPr>
              <w:t>格力电器</w:t>
            </w:r>
          </w:p>
        </w:tc>
        <w:tc>
          <w:tcPr>
            <w:vAlign w:val="center"/>
          </w:tcPr>
          <w:p>
            <w:pPr>
              <w:jc w:val="right"/>
            </w:pPr>
            <w:r>
              <w:rPr>
                <w:color w:val="000000"/>
                <w:kern w:val="0"/>
                <w:sz w:val="24"/>
                <w:szCs w:val="24"/>
              </w:rPr>
              <w:t>6,322,443</w:t>
            </w:r>
          </w:p>
        </w:tc>
        <w:tc>
          <w:tcPr>
            <w:vAlign w:val="center"/>
          </w:tcPr>
          <w:p>
            <w:pPr>
              <w:jc w:val="right"/>
            </w:pPr>
            <w:r>
              <w:rPr>
                <w:color w:val="000000"/>
                <w:kern w:val="0"/>
                <w:sz w:val="24"/>
                <w:szCs w:val="24"/>
              </w:rPr>
              <w:t>336,986,211.90</w:t>
            </w:r>
          </w:p>
        </w:tc>
        <w:tc>
          <w:tcPr>
            <w:vAlign w:val="center"/>
          </w:tcPr>
          <w:p>
            <w:pPr>
              <w:jc w:val="right"/>
            </w:pPr>
            <w:r>
              <w:rPr>
                <w:color w:val="000000"/>
                <w:kern w:val="0"/>
                <w:sz w:val="24"/>
                <w:szCs w:val="24"/>
              </w:rPr>
              <w:t>1.25</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600519</w:t>
            </w:r>
          </w:p>
        </w:tc>
        <w:tc>
          <w:tcPr>
            <w:vAlign w:val="center"/>
          </w:tcPr>
          <w:p>
            <w:pPr>
              <w:jc w:val="center"/>
            </w:pPr>
            <w:r>
              <w:rPr>
                <w:color w:val="000000"/>
                <w:kern w:val="0"/>
                <w:sz w:val="24"/>
                <w:szCs w:val="24"/>
              </w:rPr>
              <w:t>贵州茅台</w:t>
            </w:r>
          </w:p>
        </w:tc>
        <w:tc>
          <w:tcPr>
            <w:vAlign w:val="center"/>
          </w:tcPr>
          <w:p>
            <w:pPr>
              <w:jc w:val="right"/>
            </w:pPr>
            <w:r>
              <w:rPr>
                <w:color w:val="000000"/>
                <w:kern w:val="0"/>
                <w:sz w:val="24"/>
                <w:szCs w:val="24"/>
              </w:rPr>
              <w:t>183,538</w:t>
            </w:r>
          </w:p>
        </w:tc>
        <w:tc>
          <w:tcPr>
            <w:vAlign w:val="center"/>
          </w:tcPr>
          <w:p>
            <w:pPr>
              <w:jc w:val="right"/>
            </w:pPr>
            <w:r>
              <w:rPr>
                <w:color w:val="000000"/>
                <w:kern w:val="0"/>
                <w:sz w:val="24"/>
                <w:szCs w:val="24"/>
              </w:rPr>
              <w:t>306,233,153.00</w:t>
            </w:r>
          </w:p>
        </w:tc>
        <w:tc>
          <w:tcPr>
            <w:vAlign w:val="center"/>
          </w:tcPr>
          <w:p>
            <w:pPr>
              <w:jc w:val="right"/>
            </w:pPr>
            <w:r>
              <w:rPr>
                <w:color w:val="000000"/>
                <w:kern w:val="0"/>
                <w:sz w:val="24"/>
                <w:szCs w:val="24"/>
              </w:rPr>
              <w:t>1.13</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603259</w:t>
            </w:r>
          </w:p>
        </w:tc>
        <w:tc>
          <w:tcPr>
            <w:vAlign w:val="center"/>
          </w:tcPr>
          <w:p>
            <w:pPr>
              <w:jc w:val="center"/>
            </w:pPr>
            <w:r>
              <w:rPr>
                <w:color w:val="000000"/>
                <w:kern w:val="0"/>
                <w:sz w:val="24"/>
                <w:szCs w:val="24"/>
              </w:rPr>
              <w:t>药明康德</w:t>
            </w:r>
          </w:p>
        </w:tc>
        <w:tc>
          <w:tcPr>
            <w:vAlign w:val="center"/>
          </w:tcPr>
          <w:p>
            <w:pPr>
              <w:jc w:val="right"/>
            </w:pPr>
            <w:r>
              <w:rPr>
                <w:color w:val="000000"/>
                <w:kern w:val="0"/>
                <w:sz w:val="24"/>
                <w:szCs w:val="24"/>
              </w:rPr>
              <w:t>2,652,317</w:t>
            </w:r>
          </w:p>
        </w:tc>
        <w:tc>
          <w:tcPr>
            <w:vAlign w:val="center"/>
          </w:tcPr>
          <w:p>
            <w:pPr>
              <w:jc w:val="right"/>
            </w:pPr>
            <w:r>
              <w:rPr>
                <w:color w:val="000000"/>
                <w:kern w:val="0"/>
                <w:sz w:val="24"/>
                <w:szCs w:val="24"/>
              </w:rPr>
              <w:t>269,210,175.50</w:t>
            </w:r>
          </w:p>
        </w:tc>
        <w:tc>
          <w:tcPr>
            <w:vAlign w:val="center"/>
          </w:tcPr>
          <w:p>
            <w:pPr>
              <w:jc w:val="right"/>
            </w:pPr>
            <w:r>
              <w:rPr>
                <w:color w:val="000000"/>
                <w:kern w:val="0"/>
                <w:sz w:val="24"/>
                <w:szCs w:val="24"/>
              </w:rPr>
              <w:t>1.00</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600887</w:t>
            </w:r>
          </w:p>
        </w:tc>
        <w:tc>
          <w:tcPr>
            <w:vAlign w:val="center"/>
          </w:tcPr>
          <w:p>
            <w:pPr>
              <w:jc w:val="center"/>
            </w:pPr>
            <w:r>
              <w:rPr>
                <w:color w:val="000000"/>
                <w:kern w:val="0"/>
                <w:sz w:val="24"/>
                <w:szCs w:val="24"/>
              </w:rPr>
              <w:t>伊利股份</w:t>
            </w:r>
          </w:p>
        </w:tc>
        <w:tc>
          <w:tcPr>
            <w:vAlign w:val="center"/>
          </w:tcPr>
          <w:p>
            <w:pPr>
              <w:jc w:val="right"/>
            </w:pPr>
            <w:r>
              <w:rPr>
                <w:color w:val="000000"/>
                <w:kern w:val="0"/>
                <w:sz w:val="24"/>
                <w:szCs w:val="24"/>
              </w:rPr>
              <w:t>6,479,994</w:t>
            </w:r>
          </w:p>
        </w:tc>
        <w:tc>
          <w:tcPr>
            <w:vAlign w:val="center"/>
          </w:tcPr>
          <w:p>
            <w:pPr>
              <w:jc w:val="right"/>
            </w:pPr>
            <w:r>
              <w:rPr>
                <w:color w:val="000000"/>
                <w:kern w:val="0"/>
                <w:sz w:val="24"/>
                <w:szCs w:val="24"/>
              </w:rPr>
              <w:t>249,479,769.00</w:t>
            </w:r>
          </w:p>
        </w:tc>
        <w:tc>
          <w:tcPr>
            <w:vAlign w:val="center"/>
          </w:tcPr>
          <w:p>
            <w:pPr>
              <w:jc w:val="right"/>
            </w:pPr>
            <w:r>
              <w:rPr>
                <w:color w:val="000000"/>
                <w:kern w:val="0"/>
                <w:sz w:val="24"/>
                <w:szCs w:val="24"/>
              </w:rPr>
              <w:t>0.92</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000538</w:t>
            </w:r>
          </w:p>
        </w:tc>
        <w:tc>
          <w:tcPr>
            <w:vAlign w:val="center"/>
          </w:tcPr>
          <w:p>
            <w:pPr>
              <w:jc w:val="center"/>
            </w:pPr>
            <w:r>
              <w:rPr>
                <w:color w:val="000000"/>
                <w:kern w:val="0"/>
                <w:sz w:val="24"/>
                <w:szCs w:val="24"/>
              </w:rPr>
              <w:t>云南白药</w:t>
            </w:r>
          </w:p>
        </w:tc>
        <w:tc>
          <w:tcPr>
            <w:vAlign w:val="center"/>
          </w:tcPr>
          <w:p>
            <w:pPr>
              <w:jc w:val="right"/>
            </w:pPr>
            <w:r>
              <w:rPr>
                <w:color w:val="000000"/>
                <w:kern w:val="0"/>
                <w:sz w:val="24"/>
                <w:szCs w:val="24"/>
              </w:rPr>
              <w:t>1,884,146</w:t>
            </w:r>
          </w:p>
        </w:tc>
        <w:tc>
          <w:tcPr>
            <w:vAlign w:val="center"/>
          </w:tcPr>
          <w:p>
            <w:pPr>
              <w:jc w:val="right"/>
            </w:pPr>
            <w:r>
              <w:rPr>
                <w:color w:val="000000"/>
                <w:kern w:val="0"/>
                <w:sz w:val="24"/>
                <w:szCs w:val="24"/>
              </w:rPr>
              <w:t>192,107,526.16</w:t>
            </w:r>
          </w:p>
        </w:tc>
        <w:tc>
          <w:tcPr>
            <w:vAlign w:val="center"/>
          </w:tcPr>
          <w:p>
            <w:pPr>
              <w:jc w:val="right"/>
            </w:pPr>
            <w:r>
              <w:rPr>
                <w:color w:val="000000"/>
                <w:kern w:val="0"/>
                <w:sz w:val="24"/>
                <w:szCs w:val="24"/>
              </w:rPr>
              <w:t>0.71</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600048</w:t>
            </w:r>
          </w:p>
        </w:tc>
        <w:tc>
          <w:tcPr>
            <w:vAlign w:val="center"/>
          </w:tcPr>
          <w:p>
            <w:pPr>
              <w:jc w:val="center"/>
            </w:pPr>
            <w:r>
              <w:rPr>
                <w:color w:val="000000"/>
                <w:kern w:val="0"/>
                <w:sz w:val="24"/>
                <w:szCs w:val="24"/>
              </w:rPr>
              <w:t>保利地产</w:t>
            </w:r>
          </w:p>
        </w:tc>
        <w:tc>
          <w:tcPr>
            <w:vAlign w:val="center"/>
          </w:tcPr>
          <w:p>
            <w:pPr>
              <w:jc w:val="right"/>
            </w:pPr>
            <w:r>
              <w:rPr>
                <w:color w:val="000000"/>
                <w:kern w:val="0"/>
                <w:sz w:val="24"/>
                <w:szCs w:val="24"/>
              </w:rPr>
              <w:t>10,919,200</w:t>
            </w:r>
          </w:p>
        </w:tc>
        <w:tc>
          <w:tcPr>
            <w:vAlign w:val="center"/>
          </w:tcPr>
          <w:p>
            <w:pPr>
              <w:jc w:val="right"/>
            </w:pPr>
            <w:r>
              <w:rPr>
                <w:color w:val="000000"/>
                <w:kern w:val="0"/>
                <w:sz w:val="24"/>
                <w:szCs w:val="24"/>
              </w:rPr>
              <w:t>173,506,088.00</w:t>
            </w:r>
          </w:p>
        </w:tc>
        <w:tc>
          <w:tcPr>
            <w:vAlign w:val="center"/>
          </w:tcPr>
          <w:p>
            <w:pPr>
              <w:jc w:val="right"/>
            </w:pPr>
            <w:r>
              <w:rPr>
                <w:color w:val="000000"/>
                <w:kern w:val="0"/>
                <w:sz w:val="24"/>
                <w:szCs w:val="24"/>
              </w:rPr>
              <w:t>0.64</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type="dxa" w:w="8755"/>
        <w:jc w:val="center"/>
        <w:tblLayout w:type="fixed"/>
        <w:tblLook w:firstColumn="1" w:firstRow="1" w:lastColumn="0" w:lastRow="0" w:noHBand="0" w:noVBand="1" w:val="04A0"/>
      </w:tblPr>
      <w:tblGrid>
        <w:gridCol w:w="817"/>
        <w:gridCol w:w="3260"/>
        <w:gridCol w:w="2949"/>
        <w:gridCol w:w="1729"/>
      </w:tblGrid>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序号</w:t>
            </w:r>
          </w:p>
        </w:tc>
        <w:tc>
          <w:tcPr>
            <w:tcW w:type="dxa" w:w="3260"/>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债券品种</w:t>
            </w: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
            </w:r>
          </w:p>
        </w:tc>
        <w:tc>
          <w:tcPr>
            <w:tcW w:type="dxa" w:w="294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公允价值</w:t>
            </w:r>
            <w:r w:rsidRPr="00283CAD">
              <w:rPr>
                <w:rFonts w:eastAsiaTheme="minorEastAsia"/>
                <w:color w:themeColor="text1" w:val="000000"/>
                <w:sz w:val="24"/>
                <w:szCs w:val="24"/>
              </w:rPr>
              <w:t>(</w:t>
            </w:r>
            <w:r w:rsidRPr="00283CAD">
              <w:rPr>
                <w:rFonts w:eastAsiaTheme="minorEastAsia"/>
                <w:color w:themeColor="text1" w:val="000000"/>
                <w:sz w:val="24"/>
                <w:szCs w:val="24"/>
              </w:rPr>
              <w:t>元</w:t>
            </w:r>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占基金资产净值比例</w:t>
            </w:r>
            <w:r w:rsidRPr="00283CAD">
              <w:rPr>
                <w:rFonts w:eastAsiaTheme="minorEastAsia"/>
                <w:color w:themeColor="text1" w:val="000000"/>
                <w:sz w:val="24"/>
                <w:szCs w:val="24"/>
              </w:rPr>
              <w:t>(</w:t>
            </w:r>
            <w:r w:rsidRPr="00283CAD">
              <w:rPr>
                <w:rFonts w:eastAsiaTheme="minorEastAsia"/>
                <w:color w:themeColor="text1" w:val="000000"/>
                <w:sz w:val="24"/>
                <w:szCs w:val="24"/>
              </w:rPr>
              <w:t>％</w:t>
            </w: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1</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国家债券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2</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央行票据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3</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金融债券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3,531,198,000.00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13.07</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其中：政策性金融债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3,531,198,000.00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13.07</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4</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1,699,843,100.00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r w:rsidRPr="00283CAD">
              <w:rPr>
                <w:rFonts w:eastAsiaTheme="minorEastAsia"/>
                <w:color w:themeColor="text1" w:val="000000"/>
                <w:sz w:val="24"/>
                <w:szCs w:val="24"/>
              </w:rPr>
              <w:lastRenderedPageBreak/>
              <w:t/>
            </w:r>
            <w:proofErr w:type="spellEnd"/>
            <w:r w:rsidRPr="00283CAD">
              <w:rPr>
                <w:rFonts w:eastAsiaTheme="minorEastAsia"/>
                <w:color w:themeColor="text1" w:val="000000"/>
                <w:sz w:val="24"/>
                <w:szCs w:val="24"/>
              </w:rPr>
              <w:t>6.29</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5</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企业短期融资券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6</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中期票据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2,291,532,000.00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8.48</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7</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可转债</w:t>
            </w:r>
            <w:r w:rsidR="004B5343" w:rsidRPr="004B5343">
              <w:rPr>
                <w:rFonts w:eastAsiaTheme="minorEastAsia" w:hint="eastAsia"/>
                <w:color w:themeColor="text1" w:val="000000"/>
                <w:sz w:val="24"/>
                <w:szCs w:val="24"/>
              </w:rPr>
              <w:t>（可交换债）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8</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同业存单</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11,678,875,000.00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43.22</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9</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其他</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10</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合计</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19,201,448,100.00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71.07</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560"/>
        <w:gridCol w:w="1984"/>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债券名称</w:t>
            </w:r>
          </w:p>
        </w:tc>
        <w:tc>
          <w:tcPr>
            <w:tcW w:type="dxa" w:w="1560"/>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type="dxa" w:w="198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180212</w:t>
            </w:r>
          </w:p>
        </w:tc>
        <w:tc>
          <w:tcPr>
            <w:vAlign w:val="center"/>
          </w:tcPr>
          <w:p>
            <w:pPr>
              <w:jc w:val="center"/>
            </w:pPr>
            <w:r>
              <w:rPr>
                <w:color w:val="000000"/>
                <w:kern w:val="0"/>
                <w:sz w:val="24"/>
                <w:szCs w:val="24"/>
              </w:rPr>
              <w:t>18国开12</w:t>
            </w:r>
          </w:p>
        </w:tc>
        <w:tc>
          <w:tcPr>
            <w:vAlign w:val="center"/>
          </w:tcPr>
          <w:p>
            <w:pPr>
              <w:jc w:val="right"/>
            </w:pPr>
            <w:r>
              <w:rPr>
                <w:color w:val="000000"/>
                <w:kern w:val="0"/>
                <w:sz w:val="24"/>
                <w:szCs w:val="24"/>
              </w:rPr>
              <w:t>18,600,000</w:t>
            </w:r>
          </w:p>
        </w:tc>
        <w:tc>
          <w:tcPr>
            <w:vAlign w:val="center"/>
          </w:tcPr>
          <w:p>
            <w:pPr>
              <w:jc w:val="right"/>
            </w:pPr>
            <w:r>
              <w:rPr>
                <w:color w:val="000000"/>
                <w:kern w:val="0"/>
                <w:sz w:val="24"/>
                <w:szCs w:val="24"/>
              </w:rPr>
              <w:t>1,874,136,000.00</w:t>
            </w:r>
          </w:p>
        </w:tc>
        <w:tc>
          <w:tcPr>
            <w:vAlign w:val="center"/>
          </w:tcPr>
          <w:p>
            <w:pPr>
              <w:jc w:val="right"/>
            </w:pPr>
            <w:r>
              <w:rPr>
                <w:color w:val="000000"/>
                <w:kern w:val="0"/>
                <w:sz w:val="24"/>
                <w:szCs w:val="24"/>
              </w:rPr>
              <w:t>6.94</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112004040</w:t>
            </w:r>
          </w:p>
        </w:tc>
        <w:tc>
          <w:tcPr>
            <w:vAlign w:val="center"/>
          </w:tcPr>
          <w:p>
            <w:pPr>
              <w:jc w:val="center"/>
            </w:pPr>
            <w:r>
              <w:rPr>
                <w:color w:val="000000"/>
                <w:kern w:val="0"/>
                <w:sz w:val="24"/>
                <w:szCs w:val="24"/>
              </w:rPr>
              <w:t>20中国银行CD040</w:t>
            </w:r>
          </w:p>
        </w:tc>
        <w:tc>
          <w:tcPr>
            <w:vAlign w:val="center"/>
          </w:tcPr>
          <w:p>
            <w:pPr>
              <w:jc w:val="right"/>
            </w:pPr>
            <w:r>
              <w:rPr>
                <w:color w:val="000000"/>
                <w:kern w:val="0"/>
                <w:sz w:val="24"/>
                <w:szCs w:val="24"/>
              </w:rPr>
              <w:t>10,000,000</w:t>
            </w:r>
          </w:p>
        </w:tc>
        <w:tc>
          <w:tcPr>
            <w:vAlign w:val="center"/>
          </w:tcPr>
          <w:p>
            <w:pPr>
              <w:jc w:val="right"/>
            </w:pPr>
            <w:r>
              <w:rPr>
                <w:color w:val="000000"/>
                <w:kern w:val="0"/>
                <w:sz w:val="24"/>
                <w:szCs w:val="24"/>
              </w:rPr>
              <w:t>993,500,000.00</w:t>
            </w:r>
          </w:p>
        </w:tc>
        <w:tc>
          <w:tcPr>
            <w:vAlign w:val="center"/>
          </w:tcPr>
          <w:p>
            <w:pPr>
              <w:jc w:val="right"/>
            </w:pPr>
            <w:r>
              <w:rPr>
                <w:color w:val="000000"/>
                <w:kern w:val="0"/>
                <w:sz w:val="24"/>
                <w:szCs w:val="24"/>
              </w:rPr>
              <w:t>3.68</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112003083</w:t>
            </w:r>
          </w:p>
        </w:tc>
        <w:tc>
          <w:tcPr>
            <w:vAlign w:val="center"/>
          </w:tcPr>
          <w:p>
            <w:pPr>
              <w:jc w:val="center"/>
            </w:pPr>
            <w:r>
              <w:rPr>
                <w:color w:val="000000"/>
                <w:kern w:val="0"/>
                <w:sz w:val="24"/>
                <w:szCs w:val="24"/>
              </w:rPr>
              <w:t>20农业银行CD083</w:t>
            </w:r>
          </w:p>
        </w:tc>
        <w:tc>
          <w:tcPr>
            <w:vAlign w:val="center"/>
          </w:tcPr>
          <w:p>
            <w:pPr>
              <w:jc w:val="right"/>
            </w:pPr>
            <w:r>
              <w:rPr>
                <w:color w:val="000000"/>
                <w:kern w:val="0"/>
                <w:sz w:val="24"/>
                <w:szCs w:val="24"/>
              </w:rPr>
              <w:t>10,000,000</w:t>
            </w:r>
          </w:p>
        </w:tc>
        <w:tc>
          <w:tcPr>
            <w:vAlign w:val="center"/>
          </w:tcPr>
          <w:p>
            <w:pPr>
              <w:jc w:val="right"/>
            </w:pPr>
            <w:r>
              <w:rPr>
                <w:color w:val="000000"/>
                <w:kern w:val="0"/>
                <w:sz w:val="24"/>
                <w:szCs w:val="24"/>
              </w:rPr>
              <w:t>986,400,000.00</w:t>
            </w:r>
          </w:p>
        </w:tc>
        <w:tc>
          <w:tcPr>
            <w:vAlign w:val="center"/>
          </w:tcPr>
          <w:p>
            <w:pPr>
              <w:jc w:val="right"/>
            </w:pPr>
            <w:r>
              <w:rPr>
                <w:color w:val="000000"/>
                <w:kern w:val="0"/>
                <w:sz w:val="24"/>
                <w:szCs w:val="24"/>
              </w:rPr>
              <w:t>3.65</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112008169</w:t>
            </w:r>
          </w:p>
        </w:tc>
        <w:tc>
          <w:tcPr>
            <w:vAlign w:val="center"/>
          </w:tcPr>
          <w:p>
            <w:pPr>
              <w:jc w:val="center"/>
            </w:pPr>
            <w:r>
              <w:rPr>
                <w:color w:val="000000"/>
                <w:kern w:val="0"/>
                <w:sz w:val="24"/>
                <w:szCs w:val="24"/>
              </w:rPr>
              <w:t>20中信银行CD169</w:t>
            </w:r>
          </w:p>
        </w:tc>
        <w:tc>
          <w:tcPr>
            <w:vAlign w:val="center"/>
          </w:tcPr>
          <w:p>
            <w:pPr>
              <w:jc w:val="right"/>
            </w:pPr>
            <w:r>
              <w:rPr>
                <w:color w:val="000000"/>
                <w:kern w:val="0"/>
                <w:sz w:val="24"/>
                <w:szCs w:val="24"/>
              </w:rPr>
              <w:t>10,000,000</w:t>
            </w:r>
          </w:p>
        </w:tc>
        <w:tc>
          <w:tcPr>
            <w:vAlign w:val="center"/>
          </w:tcPr>
          <w:p>
            <w:pPr>
              <w:jc w:val="right"/>
            </w:pPr>
            <w:r>
              <w:rPr>
                <w:color w:val="000000"/>
                <w:kern w:val="0"/>
                <w:sz w:val="24"/>
                <w:szCs w:val="24"/>
              </w:rPr>
              <w:t>986,200,000.00</w:t>
            </w:r>
          </w:p>
        </w:tc>
        <w:tc>
          <w:tcPr>
            <w:vAlign w:val="center"/>
          </w:tcPr>
          <w:p>
            <w:pPr>
              <w:jc w:val="right"/>
            </w:pPr>
            <w:r>
              <w:rPr>
                <w:color w:val="000000"/>
                <w:kern w:val="0"/>
                <w:sz w:val="24"/>
                <w:szCs w:val="24"/>
              </w:rPr>
              <w:t>3.65</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112004019</w:t>
            </w:r>
          </w:p>
        </w:tc>
        <w:tc>
          <w:tcPr>
            <w:vAlign w:val="center"/>
          </w:tcPr>
          <w:p>
            <w:pPr>
              <w:jc w:val="center"/>
            </w:pPr>
            <w:r>
              <w:rPr>
                <w:color w:val="000000"/>
                <w:kern w:val="0"/>
                <w:sz w:val="24"/>
                <w:szCs w:val="24"/>
              </w:rPr>
              <w:t>20中国银行CD019</w:t>
            </w:r>
          </w:p>
        </w:tc>
        <w:tc>
          <w:tcPr>
            <w:vAlign w:val="center"/>
          </w:tcPr>
          <w:p>
            <w:pPr>
              <w:jc w:val="right"/>
            </w:pPr>
            <w:r>
              <w:rPr>
                <w:color w:val="000000"/>
                <w:kern w:val="0"/>
                <w:sz w:val="24"/>
                <w:szCs w:val="24"/>
              </w:rPr>
              <w:t>10,000,000</w:t>
            </w:r>
          </w:p>
        </w:tc>
        <w:tc>
          <w:tcPr>
            <w:vAlign w:val="center"/>
          </w:tcPr>
          <w:p>
            <w:pPr>
              <w:jc w:val="right"/>
            </w:pPr>
            <w:r>
              <w:rPr>
                <w:color w:val="000000"/>
                <w:kern w:val="0"/>
                <w:sz w:val="24"/>
                <w:szCs w:val="24"/>
              </w:rPr>
              <w:t>974,700,000.00</w:t>
            </w:r>
          </w:p>
        </w:tc>
        <w:tc>
          <w:tcPr>
            <w:vAlign w:val="center"/>
          </w:tcPr>
          <w:p>
            <w:pPr>
              <w:jc w:val="right"/>
            </w:pPr>
            <w:r>
              <w:rPr>
                <w:color w:val="000000"/>
                <w:kern w:val="0"/>
                <w:sz w:val="24"/>
                <w:szCs w:val="24"/>
              </w:rPr>
              <w:t>3.61</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112006065</w:t>
            </w:r>
          </w:p>
        </w:tc>
        <w:tc>
          <w:tcPr>
            <w:vAlign w:val="center"/>
          </w:tcPr>
          <w:p>
            <w:pPr>
              <w:jc w:val="center"/>
            </w:pPr>
            <w:r>
              <w:rPr>
                <w:color w:val="000000"/>
                <w:kern w:val="0"/>
                <w:sz w:val="24"/>
                <w:szCs w:val="24"/>
              </w:rPr>
              <w:t>20交通银行CD065</w:t>
            </w:r>
          </w:p>
        </w:tc>
        <w:tc>
          <w:tcPr>
            <w:vAlign w:val="center"/>
          </w:tcPr>
          <w:p>
            <w:pPr>
              <w:jc w:val="right"/>
            </w:pPr>
            <w:r>
              <w:rPr>
                <w:color w:val="000000"/>
                <w:kern w:val="0"/>
                <w:sz w:val="24"/>
                <w:szCs w:val="24"/>
              </w:rPr>
              <w:t>10,000,000</w:t>
            </w:r>
          </w:p>
        </w:tc>
        <w:tc>
          <w:tcPr>
            <w:vAlign w:val="center"/>
          </w:tcPr>
          <w:p>
            <w:pPr>
              <w:jc w:val="right"/>
            </w:pPr>
            <w:r>
              <w:rPr>
                <w:color w:val="000000"/>
                <w:kern w:val="0"/>
                <w:sz w:val="24"/>
                <w:szCs w:val="24"/>
              </w:rPr>
              <w:t>974,700,000.00</w:t>
            </w:r>
          </w:p>
        </w:tc>
        <w:tc>
          <w:tcPr>
            <w:vAlign w:val="center"/>
          </w:tcPr>
          <w:p>
            <w:pPr>
              <w:jc w:val="right"/>
            </w:pPr>
            <w:r>
              <w:rPr>
                <w:color w:val="000000"/>
                <w:kern w:val="0"/>
                <w:sz w:val="24"/>
                <w:szCs w:val="24"/>
              </w:rPr>
              <w:t>3.61</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2020年3月9日，中国银行保险监督管理委员会对中国邮政储蓄银行股份有限公司的如下违法违规行为作出罚款50万元的行政处罚决定：可回溯制度执行不到位、可回溯基础管理不到位、未传递或缺失可回溯视频资料、质检不合格业务占比较高。2020年4月20日，中国银行保险监督管理委员会对中国邮政储蓄银行股份有限公司的如下违法违规行为作出罚款190万元的行政处罚决定：邮储银行监管标准化数据（EAST）系统数据质量及数据报送存在（一）资金交易信息漏报严重；（二）贷款核销业务漏报或错报；（三）贸易融资业务漏报；（四）分户账明细记录应报未报；（五）分户账账户数据应报未报；（六）错报总账会计数据；（七）关键且应报字段漏报或填报错误。</w:t>
      </w:r>
    </w:p>
    <w:p>
      <w:pPr>
        <w:spacing w:line="360" w:lineRule="auto"/>
        <w:rPr>
          <w:rFonts w:ascii="宋体" w:hAnsi="宋体"/>
          <w:color w:val="000000"/>
          <w:sz w:val="24"/>
          <w:szCs w:val="24"/>
        </w:rPr>
      </w:pPr>
      <w:r>
        <w:rPr>
          <w:rFonts w:ascii="宋体" w:hAnsi="宋体"/>
          <w:color w:val="000000"/>
          <w:sz w:val="24"/>
          <w:szCs w:val="24"/>
        </w:rPr>
        <w:t>2020年4月20日，中国银行保险监督管理委员会对中国银行股份有限公司的如下违法违规行为作出罚款270万元的行政处罚决定：中国银行监管标准化数据（EAST）系统数据质量及数据报送存在（一）理财产品数量漏报；（二）资金交易信息漏报严重；（三）贸易融资业务漏报；（四）分户账明细记录应报未报；（五）分户账账户数据应报未报；（六）关键且应报字段漏报或填报错误。</w:t>
      </w:r>
    </w:p>
    <w:p>
      <w:pPr>
        <w:spacing w:line="360" w:lineRule="auto"/>
        <w:rPr>
          <w:rFonts w:ascii="宋体" w:hAnsi="宋体"/>
          <w:color w:val="000000"/>
          <w:sz w:val="24"/>
          <w:szCs w:val="24"/>
        </w:rPr>
      </w:pPr>
      <w:r>
        <w:rPr>
          <w:rFonts w:ascii="宋体" w:hAnsi="宋体"/>
          <w:color w:val="000000"/>
          <w:sz w:val="24"/>
          <w:szCs w:val="24"/>
        </w:rPr>
        <w:t>2020年1月19日，国家税务总局北京市海淀区税务局对中国农业银行股份有限公司未按照规定期限办理纳税申报和报送纳税资料的违法违规事实，作出罚款50万元的行政处罚决定。2020年3月9日，中国银行保险监督管理委员会对中国农业银行股份有限公司的如下违法违规行为作出罚款50万元的行政处罚决定：可回溯制度执行不到位、可回溯基础管理不到位、部分可回溯视频质检结果未反馈给保险公司、可回溯资料不符合监管规定。2020年4月22日，中国银行保险监督管理委员会对中国农业银行股份有限公司的如下违法违规行为作出罚款230万元的行政处罚决定：农业银行监管标准化数据（EAST）系统数据质量及数据报送（一）资金交易信息漏报严重；（二）信贷资产转让业务漏报；（三）贸易融资业务漏报；（四）分户账明细记录应报未报；（五）分户账账户数据应报未报；（六）关键且应报字段漏报或填报错误。2020年4月22日，中国银行保险监督管理委员会对中国农业银行股份有限公司的如下违法违规行为作出罚款200万元的行政处罚决定：（一）“两会一层”境外机构管理履职不到位；（二）国别风险管理不满足监管要求；（三）信贷资金被挪用作保证金；（四）未将集团成员纳入集团客户统一授信管理。2020年7月13日，中国银行保险监督管理委员会对中国农业银行股份有限公司的如下违法违规行为作出“没收违法所得55.3万元，罚款5260.3万元，罚没合计5315.6万元”的行政处罚决定：（一）向关系人发放信用贷款；（二）批量处置不良资产未公告；（三）批量处置不良资产未向监管部门报告 ；（四）违规转让正常类贷款；（五）个人住房贷款首付比例违规；（六）流动资金贷款被用于固定资产投资；（七）超过实际需求发放流动资金贷款；（八）贷后管理缺失导致企业套取扶贫贷款资金用于房地产开发；（九）贷款用于偿还银行承兑汇票垫款；（十）承兑业务贸易背景审查不严；（十一）保理业务授权管理不到位；（十二）贴现资金直接回流至银行承兑汇票出票人；（十三）贷款资金直接转存银行承兑汇票保证金；（十四）信贷资金用于兑付到期理财资产；（十五）信贷资金用于承接承销债券；（十六）销售非保本理财产品违规出具承诺函；（十七）提供与事实不符的报告；（十八）理财产品相互交易、相互调节收益；（十九）面向一般个人投资者销售的理财产品投向股权投资；（二十）将系统内资金纳入一般存款核算，虚增存款；（二十一）开立同业银行结算账户不合规；（二十二）个别人员未经核准即履行高管人员职责；（二十三）对小微企业不当收费；（二十四）未按规定报送案件。</w:t>
      </w:r>
    </w:p>
    <w:p>
      <w:pPr>
        <w:spacing w:line="360" w:lineRule="auto"/>
        <w:rPr>
          <w:rFonts w:ascii="宋体" w:hAnsi="宋体"/>
          <w:color w:val="000000"/>
          <w:sz w:val="24"/>
          <w:szCs w:val="24"/>
        </w:rPr>
      </w:pPr>
      <w:r>
        <w:rPr>
          <w:rFonts w:ascii="宋体" w:hAnsi="宋体"/>
          <w:color w:val="000000"/>
          <w:sz w:val="24"/>
          <w:szCs w:val="24"/>
        </w:rPr>
        <w:t>2020年2月20日，北京银保监局对中信银行股份有限公司的如下违法违规行为，作出“责令中信银行股份有限公司改正，并给予合计2020万元罚款”的行政处罚决定：中信银行股份有限公司违规发放土地储备贷款；受托支付不符合监管规定；信托消费贷款业务开展不审慎；流动资金贷款被挪用于股权投资；信贷资金被挪用流入房地产开发公司；个人经营性贷款资金被挪用于购房；非真实转让不良信贷资产；未对融资人交易材料合理性进行必要的审查，资金被用于缴纳土地竞买保证金；违规为房地产开发企业发放流动资金性质融资；签署抽屉协议互投涉房信贷资产腾挪信贷规模；卖出回购信贷资产收益权，实现信贷规模阶段性出表；理财资金违规投向未上市房地产企业股权；理财资金被挪用于支付土地出让价款；违规向资本金不足的房地产开发项目提供融资；并购贷款真实性审核不足，借款人变相用于置换项目公司缴纳的土地出让价款；协助合作机构签署抽屉协议，规避相关监管规定；理财资金实际用于置换项目前期股东支付的土地出让金；违规为房地产企业支付土地购置费用提供融资；违规向四证不全的商业性房地产开发项目提供融资。2020年4月20日，中国银行保险监督管理委员会对中信银行股份有限公司的如下违法违规行为作出罚款160万元的行政处罚决定：中信银行监管标准化数据（EAST）系统数据质量及数据报送存在（一）理财产品数量漏报；（二）信贷资产转让业务漏报；（三）贸易融资业务漏报；（四）分户账明细记录应报未报；（五）分户账账户数据应报未报；（六）关键且应报字段漏报或填报错误。</w:t>
      </w:r>
    </w:p>
    <w:p>
      <w:pPr>
        <w:spacing w:line="360" w:lineRule="auto"/>
        <w:rPr>
          <w:rFonts w:ascii="宋体" w:hAnsi="宋体"/>
          <w:color w:val="000000"/>
          <w:sz w:val="24"/>
          <w:szCs w:val="24"/>
        </w:rPr>
      </w:pPr>
      <w:r>
        <w:rPr>
          <w:rFonts w:ascii="宋体" w:hAnsi="宋体"/>
          <w:color w:val="000000"/>
          <w:sz w:val="24"/>
          <w:szCs w:val="24"/>
        </w:rPr>
        <w:t>2019年12月27日，中国银行保险监督管理委员会对交通银行股份有限公司如下违法违规行为作出“罚款150万元”的行政处罚：1、授信审批不审慎；2、总行对分支机构管控不力承担管理责任。2020年4月20日，中国银行保险监督管理委员会对交通银行股份有限公司如下违法违规行为作出“罚款260万元”的行政处罚：交通银行监管标准化数据（EAST）系统数据质量及数据报送存在（一）理财产品数量漏报；（二）资金交易信息漏报严重；（三）贸易融资业务漏报；（四）信贷业务担保合同漏报；（五）分户账明细记录应报未报；（六）分户账账户数据应报未报；（七）关键且应报字段漏报或填报错误。2020年7月28日，中国银行保险监督管理委员会上海监管局对交通银行股份有限公司太平洋信用卡中心的如下违法违规行为作出“责令改正，并处罚款共计100万元”的行政处罚：1.2019年6月，该中心对某客户个人信息未尽安全保护义务；2.2019年5月、7月，该中心对部分信用卡催收外包管理严重不审慎。2020年8月6日，上海市黄浦区城市管理行政执法局对交通银行太平洋信用卡中心上海分中心占用城市道路的行为罚款300元。</w:t>
      </w:r>
    </w:p>
    <w:p>
      <w:pPr>
        <w:spacing w:line="360" w:lineRule="auto"/>
        <w:rPr>
          <w:rFonts w:ascii="宋体" w:hAnsi="宋体"/>
          <w:color w:val="000000"/>
          <w:sz w:val="24"/>
          <w:szCs w:val="24"/>
        </w:rPr>
      </w:pPr>
      <w:r>
        <w:rPr>
          <w:rFonts w:ascii="宋体" w:hAnsi="宋体"/>
          <w:color w:val="000000"/>
          <w:sz w:val="24"/>
          <w:szCs w:val="24"/>
        </w:rPr>
        <w:t>2020年4月30日，北京市西城区卫生健康委员会对中国农业发展银行违反《北京市生活饮用水卫生监督管理条例》第二十一条第（三）项的行为作出“罚款5000元”的行政处罚决定。</w:t>
      </w:r>
    </w:p>
    <w:p>
      <w:pPr>
        <w:spacing w:line="360" w:lineRule="auto"/>
        <w:rPr>
          <w:rFonts w:ascii="宋体" w:hAnsi="宋体"/>
          <w:color w:val="000000"/>
          <w:sz w:val="24"/>
          <w:szCs w:val="24"/>
        </w:rPr>
      </w:pPr>
      <w:r>
        <w:rPr>
          <w:rFonts w:ascii="宋体" w:hAnsi="宋体"/>
          <w:color w:val="000000"/>
          <w:sz w:val="24"/>
          <w:szCs w:val="24"/>
        </w:rPr>
        <w:t>本基金投资邮储银行、20中国银行CD040、20农业银行CD083、20中信银行CD169、20交通银行CD065、20中国银行CD019、18农发09、20农业银行CD093的投资决策程序符合公司投资制度的规定。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邮储银行、20中国银行CD040、20农业银行CD083、20中信银行CD169、20交通银行CD065、20中国银行CD019、18农发09、20农业银行CD093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358,622.01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139,613,513.01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139,972,135.02</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601658</w:t>
            </w:r>
          </w:p>
        </w:tc>
        <w:tc>
          <w:tcPr>
            <w:vAlign w:val="center"/>
          </w:tcPr>
          <w:p>
            <w:pPr>
              <w:jc w:val="center"/>
            </w:pPr>
            <w:r>
              <w:rPr>
                <w:color w:val="000000"/>
                <w:kern w:val="0"/>
                <w:sz w:val="24"/>
                <w:szCs w:val="24"/>
              </w:rPr>
              <w:t>邮储银行</w:t>
            </w:r>
          </w:p>
        </w:tc>
        <w:tc>
          <w:tcPr>
            <w:vAlign w:val="center"/>
          </w:tcPr>
          <w:p>
            <w:pPr>
              <w:jc w:val="right"/>
            </w:pPr>
            <w:r>
              <w:rPr>
                <w:color w:val="000000"/>
                <w:kern w:val="0"/>
                <w:sz w:val="24"/>
                <w:szCs w:val="24"/>
              </w:rPr>
              <w:t>2,051,490,050.00</w:t>
            </w:r>
          </w:p>
        </w:tc>
        <w:tc>
          <w:tcPr>
            <w:vAlign w:val="center"/>
          </w:tcPr>
          <w:p>
            <w:pPr>
              <w:jc w:val="right"/>
            </w:pPr>
            <w:r>
              <w:rPr>
                <w:color w:val="000000"/>
                <w:kern w:val="0"/>
                <w:sz w:val="24"/>
                <w:szCs w:val="24"/>
              </w:rPr>
              <w:t>7.59</w:t>
            </w:r>
          </w:p>
        </w:tc>
        <w:tc>
          <w:tcPr>
            <w:vAlign w:val="center"/>
          </w:tcPr>
          <w:p>
            <w:pPr>
              <w:jc w:val="right"/>
            </w:pPr>
            <w:r>
              <w:rPr>
                <w:color w:val="000000"/>
                <w:kern w:val="0"/>
                <w:sz w:val="24"/>
                <w:szCs w:val="24"/>
              </w:rPr>
              <w:t>新股战略配售流通受限</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601816</w:t>
            </w:r>
          </w:p>
        </w:tc>
        <w:tc>
          <w:tcPr>
            <w:vAlign w:val="center"/>
          </w:tcPr>
          <w:p>
            <w:pPr>
              <w:jc w:val="center"/>
            </w:pPr>
            <w:r>
              <w:rPr>
                <w:color w:val="000000"/>
                <w:kern w:val="0"/>
                <w:sz w:val="24"/>
                <w:szCs w:val="24"/>
              </w:rPr>
              <w:t>京沪高铁</w:t>
            </w:r>
          </w:p>
        </w:tc>
        <w:tc>
          <w:tcPr>
            <w:vAlign w:val="center"/>
          </w:tcPr>
          <w:p>
            <w:pPr>
              <w:jc w:val="right"/>
            </w:pPr>
            <w:r>
              <w:rPr>
                <w:color w:val="000000"/>
                <w:kern w:val="0"/>
                <w:sz w:val="24"/>
                <w:szCs w:val="24"/>
              </w:rPr>
              <w:t>652,950,817.62</w:t>
            </w:r>
          </w:p>
        </w:tc>
        <w:tc>
          <w:tcPr>
            <w:vAlign w:val="center"/>
          </w:tcPr>
          <w:p>
            <w:pPr>
              <w:jc w:val="right"/>
            </w:pPr>
            <w:r>
              <w:rPr>
                <w:color w:val="000000"/>
                <w:kern w:val="0"/>
                <w:sz w:val="24"/>
                <w:szCs w:val="24"/>
              </w:rPr>
              <w:t>2.42</w:t>
            </w:r>
          </w:p>
        </w:tc>
        <w:tc>
          <w:tcPr>
            <w:vAlign w:val="center"/>
          </w:tcPr>
          <w:p>
            <w:pPr>
              <w:jc w:val="right"/>
            </w:pPr>
            <w:r>
              <w:rPr>
                <w:color w:val="000000"/>
                <w:kern w:val="0"/>
                <w:sz w:val="24"/>
                <w:szCs w:val="24"/>
              </w:rPr>
              <w:t>新股战略配售流通受限</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24,458,013,050.22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1,590,976.77</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24,459,604,026.99</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1.中国证监会准予易方达3年封闭运作战略配售灵活配置混合型证券投资基金（LOF）注册的文件；</w:t>
      </w:r>
    </w:p>
    <w:p>
      <w:pPr>
        <w:spacing w:line="360" w:lineRule="auto"/>
        <w:ind w:firstLine="480" w:firstLineChars="200"/>
        <w:rPr>
          <w:color w:val="000000"/>
          <w:sz w:val="24"/>
          <w:szCs w:val="24"/>
        </w:rPr>
      </w:pPr>
      <w:r>
        <w:rPr>
          <w:color w:val="000000"/>
          <w:sz w:val="24"/>
          <w:szCs w:val="24"/>
        </w:rPr>
        <w:t>2.《易方达3年封闭运作战略配售灵活配置混合型证券投资基金（LOF）基金合同》；</w:t>
      </w:r>
    </w:p>
    <w:p>
      <w:pPr>
        <w:spacing w:line="360" w:lineRule="auto"/>
        <w:ind w:firstLine="480" w:firstLineChars="200"/>
        <w:rPr>
          <w:color w:val="000000"/>
          <w:sz w:val="24"/>
          <w:szCs w:val="24"/>
        </w:rPr>
      </w:pPr>
      <w:r>
        <w:rPr>
          <w:color w:val="000000"/>
          <w:sz w:val="24"/>
          <w:szCs w:val="24"/>
        </w:rPr>
        <w:t>3.《易方达3年封闭运作战略配售灵活配置混合型证券投资基金（LOF）托管协议》；</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4.基金管理人业务资格批件、营业执照。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易方达3年封闭运作战略配售灵活配置混合型证券投资基金（LOF）</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