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易方达中债新综合债券指数发起式证券投资基金（LOF）</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中国农业银行股份有限公司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基金托管人中国农业银行股份有限公司根据本基金合同规定，于2020年10月26日复核了本报告中的财务指标、净值表现和投资组合报告等内容，保证复核内容不存在虚假记载、误导性陈述或者重大遗漏。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易方达中债新综指发起式（LOF）</w:t>
            </w:r>
          </w:p>
        </w:tc>
      </w:tr>
      <w:tr w:rsidR="00D36169" w:rsidRPr="0078105B" w:rsidTr="00414367">
        <w:tc>
          <w:tcPr>
            <w:tcW w:type="dxa" w:w="2835"/>
            <w:vAlign w:val="center"/>
          </w:tcPr>
          <w:p w:rsidP="00611CB2" w:rsidR="00D36169" w:rsidRDefault="00D36169" w:rsidRPr="00C30CFF">
            <w:pPr>
              <w:adjustRightInd w:val="0"/>
              <w:spacing w:before="29" w:line="360" w:lineRule="auto"/>
              <w:ind w:left="17"/>
              <w:jc w:val="left"/>
              <w:rPr>
                <w:kern w:val="0"/>
                <w:sz w:val="24"/>
              </w:rPr>
            </w:pPr>
            <w:r w:rsidRPr="00C30CFF">
              <w:rPr>
                <w:kern w:val="0"/>
                <w:sz w:val="24"/>
              </w:rPr>
              <w:t>场内简称</w:t>
            </w:r>
          </w:p>
        </w:tc>
        <w:tc>
          <w:tcPr>
            <w:tcW w:type="dxa" w:w="5529"/>
            <w:gridSpan w:val="2"/>
            <w:vAlign w:val="center"/>
          </w:tcPr>
          <w:p w:rsidP="00611CB2" w:rsidR="00D36169" w:rsidRDefault="00D36169" w:rsidRPr="00C30CFF">
            <w:pPr>
              <w:adjustRightInd w:val="0"/>
              <w:spacing w:before="29" w:line="360" w:lineRule="auto"/>
              <w:ind w:left="17"/>
              <w:jc w:val="left"/>
              <w:rPr>
                <w:kern w:val="0"/>
                <w:sz w:val="24"/>
              </w:rPr>
            </w:pPr>
            <w:r w:rsidRPr="00C30CFF">
              <w:rPr>
                <w:kern w:val="0"/>
                <w:sz w:val="24"/>
              </w:rPr>
              <w:t/>
            </w:r>
            <w:proofErr w:type="spellStart"/>
            <w:r w:rsidRPr="00C30CFF">
              <w:rPr>
                <w:kern w:val="0"/>
                <w:sz w:val="24"/>
              </w:rPr>
              <w:t/>
            </w:r>
            <w:proofErr w:type="spellEnd"/>
            <w:r w:rsidRPr="00C30CFF">
              <w:rPr>
                <w:kern w:val="0"/>
                <w:sz w:val="24"/>
              </w:rPr>
              <w:t/>
            </w:r>
            <w:proofErr w:type="spellStart"/>
            <w:r w:rsidRPr="00C30CFF">
              <w:rPr>
                <w:kern w:val="0"/>
                <w:sz w:val="24"/>
              </w:rPr>
              <w:t/>
            </w:r>
            <w:proofErr w:type="spellEnd"/>
            <w:r w:rsidRPr="00C30CFF">
              <w:rPr>
                <w:kern w:val="0"/>
                <w:sz w:val="24"/>
              </w:rPr>
              <w:t>易基综债</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161119</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契约型、上市开放式（LOF）、发起式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2012年11月8日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335,344,055.88</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本基金通过指数化投资，争取在扣除各项费用之前获得与标的指数相似的总回报，追求跟踪偏离度及跟踪误差的最小化。</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本基金为被动管理的指数基金，主要采用分层抽样复制和动态最优化的方法，构造与标的指数风险收益特征相似的资产组合，以实现对标的指数的有效跟踪。</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中债-新综合指数</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本基金为债券型指数基金，其预期风险和预期收益低于股票基金、混合基金，高于货币市场基金。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中国农业银行股份有限公司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易方达中债新综指发起式（LOF）A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易方达中债新综指发起式（LOF）C</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161119</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161120</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303,610,018.87</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31,734,037.01</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易方达中债新综指发起式（LOF）A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易方达中债新综指发起式（LOF）C</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1,175,221.18</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74,588.95</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-2,190,903.40</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-302,537.80</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-0.0069</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-0.0091</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432,602,144.63</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44,254,946.44</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1.4249</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1.3946</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易方达中债新综指发起式（LOF）A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-0.43%</w:t>
            </w:r>
          </w:p>
        </w:tc>
        <w:tc>
          <w:tcPr>
            <w:vAlign w:val="center"/>
          </w:tcPr>
          <w:p>
            <w:pPr>
              <w:jc w:val="center"/>
            </w:pPr>
            <w:r>
              <w:rPr>
                <w:color w:val="000000"/>
                <w:sz w:val="24"/>
              </w:rPr>
              <w:t>0.10%</w:t>
            </w:r>
          </w:p>
        </w:tc>
        <w:tc>
          <w:tcPr>
            <w:vAlign w:val="center"/>
          </w:tcPr>
          <w:p>
            <w:pPr>
              <w:jc w:val="center"/>
            </w:pPr>
            <w:r>
              <w:rPr>
                <w:color w:val="000000"/>
                <w:sz w:val="24"/>
              </w:rPr>
              <w:t>-0.63%</w:t>
            </w:r>
          </w:p>
        </w:tc>
        <w:tc>
          <w:tcPr>
            <w:vAlign w:val="center"/>
          </w:tcPr>
          <w:p>
            <w:pPr>
              <w:jc w:val="center"/>
            </w:pPr>
            <w:r>
              <w:rPr>
                <w:color w:val="000000"/>
                <w:sz w:val="24"/>
              </w:rPr>
              <w:t>0.08%</w:t>
            </w:r>
          </w:p>
        </w:tc>
        <w:tc>
          <w:tcPr>
            <w:vAlign w:val="center"/>
          </w:tcPr>
          <w:p>
            <w:pPr>
              <w:jc w:val="center"/>
            </w:pPr>
            <w:r>
              <w:rPr>
                <w:color w:val="000000"/>
                <w:sz w:val="24"/>
              </w:rPr>
              <w:t>0.20%</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-0.86%</w:t>
            </w:r>
          </w:p>
        </w:tc>
        <w:tc>
          <w:tcPr>
            <w:vAlign w:val="center"/>
          </w:tcPr>
          <w:p>
            <w:pPr>
              <w:jc w:val="center"/>
            </w:pPr>
            <w:r>
              <w:rPr>
                <w:color w:val="000000"/>
                <w:sz w:val="24"/>
              </w:rPr>
              <w:t>0.13%</w:t>
            </w:r>
          </w:p>
        </w:tc>
        <w:tc>
          <w:tcPr>
            <w:vAlign w:val="center"/>
          </w:tcPr>
          <w:p>
            <w:pPr>
              <w:jc w:val="center"/>
            </w:pPr>
            <w:r>
              <w:rPr>
                <w:color w:val="000000"/>
                <w:sz w:val="24"/>
              </w:rPr>
              <w:t>-0.85%</w:t>
            </w:r>
          </w:p>
        </w:tc>
        <w:tc>
          <w:tcPr>
            <w:vAlign w:val="center"/>
          </w:tcPr>
          <w:p>
            <w:pPr>
              <w:jc w:val="center"/>
            </w:pPr>
            <w:r>
              <w:rPr>
                <w:color w:val="000000"/>
                <w:sz w:val="24"/>
              </w:rPr>
              <w:t>0.10%</w:t>
            </w:r>
          </w:p>
        </w:tc>
        <w:tc>
          <w:tcPr>
            <w:vAlign w:val="center"/>
          </w:tcPr>
          <w:p>
            <w:pPr>
              <w:jc w:val="center"/>
            </w:pPr>
            <w:r>
              <w:rPr>
                <w:color w:val="000000"/>
                <w:sz w:val="24"/>
              </w:rPr>
              <w:t>-0.01%</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2.93%</w:t>
            </w:r>
          </w:p>
        </w:tc>
        <w:tc>
          <w:tcPr>
            <w:vAlign w:val="center"/>
          </w:tcPr>
          <w:p>
            <w:pPr>
              <w:jc w:val="center"/>
            </w:pPr>
            <w:r>
              <w:rPr>
                <w:color w:val="000000"/>
                <w:sz w:val="24"/>
              </w:rPr>
              <w:t>0.11%</w:t>
            </w:r>
          </w:p>
        </w:tc>
        <w:tc>
          <w:tcPr>
            <w:vAlign w:val="center"/>
          </w:tcPr>
          <w:p>
            <w:pPr>
              <w:jc w:val="center"/>
            </w:pPr>
            <w:r>
              <w:rPr>
                <w:color w:val="000000"/>
                <w:sz w:val="24"/>
              </w:rPr>
              <w:t>3.02%</w:t>
            </w:r>
          </w:p>
        </w:tc>
        <w:tc>
          <w:tcPr>
            <w:vAlign w:val="center"/>
          </w:tcPr>
          <w:p>
            <w:pPr>
              <w:jc w:val="center"/>
            </w:pPr>
            <w:r>
              <w:rPr>
                <w:color w:val="000000"/>
                <w:sz w:val="24"/>
              </w:rPr>
              <w:t>0.09%</w:t>
            </w:r>
          </w:p>
        </w:tc>
        <w:tc>
          <w:tcPr>
            <w:vAlign w:val="center"/>
          </w:tcPr>
          <w:p>
            <w:pPr>
              <w:jc w:val="center"/>
            </w:pPr>
            <w:r>
              <w:rPr>
                <w:color w:val="000000"/>
                <w:sz w:val="24"/>
              </w:rPr>
              <w:t>-0.09%</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14.53%</w:t>
            </w:r>
          </w:p>
        </w:tc>
        <w:tc>
          <w:tcPr>
            <w:vAlign w:val="center"/>
          </w:tcPr>
          <w:p>
            <w:pPr>
              <w:jc w:val="center"/>
            </w:pPr>
            <w:r>
              <w:rPr>
                <w:color w:val="000000"/>
                <w:sz w:val="24"/>
              </w:rPr>
              <w:t>0.09%</w:t>
            </w:r>
          </w:p>
        </w:tc>
        <w:tc>
          <w:tcPr>
            <w:vAlign w:val="center"/>
          </w:tcPr>
          <w:p>
            <w:pPr>
              <w:jc w:val="center"/>
            </w:pPr>
            <w:r>
              <w:rPr>
                <w:color w:val="000000"/>
                <w:sz w:val="24"/>
              </w:rPr>
              <w:t>14.59%</w:t>
            </w:r>
          </w:p>
        </w:tc>
        <w:tc>
          <w:tcPr>
            <w:vAlign w:val="center"/>
          </w:tcPr>
          <w:p>
            <w:pPr>
              <w:jc w:val="center"/>
            </w:pPr>
            <w:r>
              <w:rPr>
                <w:color w:val="000000"/>
                <w:sz w:val="24"/>
              </w:rPr>
              <w:t>0.07%</w:t>
            </w:r>
          </w:p>
        </w:tc>
        <w:tc>
          <w:tcPr>
            <w:vAlign w:val="center"/>
          </w:tcPr>
          <w:p>
            <w:pPr>
              <w:jc w:val="center"/>
            </w:pPr>
            <w:r>
              <w:rPr>
                <w:color w:val="000000"/>
                <w:sz w:val="24"/>
              </w:rPr>
              <w:t>-0.06%</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23.36%</w:t>
            </w:r>
          </w:p>
        </w:tc>
        <w:tc>
          <w:tcPr>
            <w:vAlign w:val="center"/>
          </w:tcPr>
          <w:p>
            <w:pPr>
              <w:jc w:val="center"/>
            </w:pPr>
            <w:r>
              <w:rPr>
                <w:color w:val="000000"/>
                <w:sz w:val="24"/>
              </w:rPr>
              <w:t>0.08%</w:t>
            </w:r>
          </w:p>
        </w:tc>
        <w:tc>
          <w:tcPr>
            <w:vAlign w:val="center"/>
          </w:tcPr>
          <w:p>
            <w:pPr>
              <w:jc w:val="center"/>
            </w:pPr>
            <w:r>
              <w:rPr>
                <w:color w:val="000000"/>
                <w:sz w:val="24"/>
              </w:rPr>
              <w:t>20.71%</w:t>
            </w:r>
          </w:p>
        </w:tc>
        <w:tc>
          <w:tcPr>
            <w:vAlign w:val="center"/>
          </w:tcPr>
          <w:p>
            <w:pPr>
              <w:jc w:val="center"/>
            </w:pPr>
            <w:r>
              <w:rPr>
                <w:color w:val="000000"/>
                <w:sz w:val="24"/>
              </w:rPr>
              <w:t>0.08%</w:t>
            </w:r>
          </w:p>
        </w:tc>
        <w:tc>
          <w:tcPr>
            <w:vAlign w:val="center"/>
          </w:tcPr>
          <w:p>
            <w:pPr>
              <w:jc w:val="center"/>
            </w:pPr>
            <w:r>
              <w:rPr>
                <w:color w:val="000000"/>
                <w:sz w:val="24"/>
              </w:rPr>
              <w:t>2.65%</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42.49%</w:t>
            </w:r>
          </w:p>
        </w:tc>
        <w:tc>
          <w:tcPr>
            <w:vAlign w:val="center"/>
          </w:tcPr>
          <w:p>
            <w:pPr>
              <w:jc w:val="center"/>
            </w:pPr>
            <w:r>
              <w:rPr>
                <w:color w:val="000000"/>
                <w:sz w:val="24"/>
              </w:rPr>
              <w:t>0.10%</w:t>
            </w:r>
          </w:p>
        </w:tc>
        <w:tc>
          <w:tcPr>
            <w:vAlign w:val="center"/>
          </w:tcPr>
          <w:p>
            <w:pPr>
              <w:jc w:val="center"/>
            </w:pPr>
            <w:r>
              <w:rPr>
                <w:color w:val="000000"/>
                <w:sz w:val="24"/>
              </w:rPr>
              <w:t>40.53%</w:t>
            </w:r>
          </w:p>
        </w:tc>
        <w:tc>
          <w:tcPr>
            <w:vAlign w:val="center"/>
          </w:tcPr>
          <w:p>
            <w:pPr>
              <w:jc w:val="center"/>
            </w:pPr>
            <w:r>
              <w:rPr>
                <w:color w:val="000000"/>
                <w:sz w:val="24"/>
              </w:rPr>
              <w:t>0.08%</w:t>
            </w:r>
          </w:p>
        </w:tc>
        <w:tc>
          <w:tcPr>
            <w:vAlign w:val="center"/>
          </w:tcPr>
          <w:p>
            <w:pPr>
              <w:jc w:val="center"/>
            </w:pPr>
            <w:r>
              <w:rPr>
                <w:color w:val="000000"/>
                <w:sz w:val="24"/>
              </w:rPr>
              <w:t>1.96%</w:t>
            </w:r>
          </w:p>
        </w:tc>
        <w:tc>
          <w:tcPr>
            <w:vAlign w:val="center"/>
          </w:tcPr>
          <w:p>
            <w:pPr>
              <w:jc w:val="center"/>
            </w:pPr>
            <w:r>
              <w:rPr>
                <w:color w:val="000000"/>
                <w:sz w:val="24"/>
              </w:rPr>
              <w:t>0.02%</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易方达中债新综指发起式（LOF）C</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-0.51%</w:t>
            </w:r>
          </w:p>
        </w:tc>
        <w:tc>
          <w:tcPr>
            <w:vAlign w:val="center"/>
          </w:tcPr>
          <w:p>
            <w:pPr>
              <w:jc w:val="center"/>
            </w:pPr>
            <w:r>
              <w:rPr>
                <w:color w:val="000000"/>
                <w:sz w:val="24"/>
              </w:rPr>
              <w:t>0.10%</w:t>
            </w:r>
          </w:p>
        </w:tc>
        <w:tc>
          <w:tcPr>
            <w:vAlign w:val="center"/>
          </w:tcPr>
          <w:p>
            <w:pPr>
              <w:jc w:val="center"/>
            </w:pPr>
            <w:r>
              <w:rPr>
                <w:color w:val="000000"/>
                <w:sz w:val="24"/>
              </w:rPr>
              <w:t>-0.63%</w:t>
            </w:r>
          </w:p>
        </w:tc>
        <w:tc>
          <w:tcPr>
            <w:vAlign w:val="center"/>
          </w:tcPr>
          <w:p>
            <w:pPr>
              <w:jc w:val="center"/>
            </w:pPr>
            <w:r>
              <w:rPr>
                <w:color w:val="000000"/>
                <w:sz w:val="24"/>
              </w:rPr>
              <w:t>0.08%</w:t>
            </w:r>
          </w:p>
        </w:tc>
        <w:tc>
          <w:tcPr>
            <w:vAlign w:val="center"/>
          </w:tcPr>
          <w:p>
            <w:pPr>
              <w:jc w:val="center"/>
            </w:pPr>
            <w:r>
              <w:rPr>
                <w:color w:val="000000"/>
                <w:sz w:val="24"/>
              </w:rPr>
              <w:t>0.12%</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-1.03%</w:t>
            </w:r>
          </w:p>
        </w:tc>
        <w:tc>
          <w:tcPr>
            <w:vAlign w:val="center"/>
          </w:tcPr>
          <w:p>
            <w:pPr>
              <w:jc w:val="center"/>
            </w:pPr>
            <w:r>
              <w:rPr>
                <w:color w:val="000000"/>
                <w:sz w:val="24"/>
              </w:rPr>
              <w:t>0.13%</w:t>
            </w:r>
          </w:p>
        </w:tc>
        <w:tc>
          <w:tcPr>
            <w:vAlign w:val="center"/>
          </w:tcPr>
          <w:p>
            <w:pPr>
              <w:jc w:val="center"/>
            </w:pPr>
            <w:r>
              <w:rPr>
                <w:color w:val="000000"/>
                <w:sz w:val="24"/>
              </w:rPr>
              <w:t>-0.85%</w:t>
            </w:r>
          </w:p>
        </w:tc>
        <w:tc>
          <w:tcPr>
            <w:vAlign w:val="center"/>
          </w:tcPr>
          <w:p>
            <w:pPr>
              <w:jc w:val="center"/>
            </w:pPr>
            <w:r>
              <w:rPr>
                <w:color w:val="000000"/>
                <w:sz w:val="24"/>
              </w:rPr>
              <w:t>0.10%</w:t>
            </w:r>
          </w:p>
        </w:tc>
        <w:tc>
          <w:tcPr>
            <w:vAlign w:val="center"/>
          </w:tcPr>
          <w:p>
            <w:pPr>
              <w:jc w:val="center"/>
            </w:pPr>
            <w:r>
              <w:rPr>
                <w:color w:val="000000"/>
                <w:sz w:val="24"/>
              </w:rPr>
              <w:t>-0.18%</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2.58%</w:t>
            </w:r>
          </w:p>
        </w:tc>
        <w:tc>
          <w:tcPr>
            <w:vAlign w:val="center"/>
          </w:tcPr>
          <w:p>
            <w:pPr>
              <w:jc w:val="center"/>
            </w:pPr>
            <w:r>
              <w:rPr>
                <w:color w:val="000000"/>
                <w:sz w:val="24"/>
              </w:rPr>
              <w:t>0.11%</w:t>
            </w:r>
          </w:p>
        </w:tc>
        <w:tc>
          <w:tcPr>
            <w:vAlign w:val="center"/>
          </w:tcPr>
          <w:p>
            <w:pPr>
              <w:jc w:val="center"/>
            </w:pPr>
            <w:r>
              <w:rPr>
                <w:color w:val="000000"/>
                <w:sz w:val="24"/>
              </w:rPr>
              <w:t>3.02%</w:t>
            </w:r>
          </w:p>
        </w:tc>
        <w:tc>
          <w:tcPr>
            <w:vAlign w:val="center"/>
          </w:tcPr>
          <w:p>
            <w:pPr>
              <w:jc w:val="center"/>
            </w:pPr>
            <w:r>
              <w:rPr>
                <w:color w:val="000000"/>
                <w:sz w:val="24"/>
              </w:rPr>
              <w:t>0.09%</w:t>
            </w:r>
          </w:p>
        </w:tc>
        <w:tc>
          <w:tcPr>
            <w:vAlign w:val="center"/>
          </w:tcPr>
          <w:p>
            <w:pPr>
              <w:jc w:val="center"/>
            </w:pPr>
            <w:r>
              <w:rPr>
                <w:color w:val="000000"/>
                <w:sz w:val="24"/>
              </w:rPr>
              <w:t>-0.44%</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13.49%</w:t>
            </w:r>
          </w:p>
        </w:tc>
        <w:tc>
          <w:tcPr>
            <w:vAlign w:val="center"/>
          </w:tcPr>
          <w:p>
            <w:pPr>
              <w:jc w:val="center"/>
            </w:pPr>
            <w:r>
              <w:rPr>
                <w:color w:val="000000"/>
                <w:sz w:val="24"/>
              </w:rPr>
              <w:t>0.09%</w:t>
            </w:r>
          </w:p>
        </w:tc>
        <w:tc>
          <w:tcPr>
            <w:vAlign w:val="center"/>
          </w:tcPr>
          <w:p>
            <w:pPr>
              <w:jc w:val="center"/>
            </w:pPr>
            <w:r>
              <w:rPr>
                <w:color w:val="000000"/>
                <w:sz w:val="24"/>
              </w:rPr>
              <w:t>14.59%</w:t>
            </w:r>
          </w:p>
        </w:tc>
        <w:tc>
          <w:tcPr>
            <w:vAlign w:val="center"/>
          </w:tcPr>
          <w:p>
            <w:pPr>
              <w:jc w:val="center"/>
            </w:pPr>
            <w:r>
              <w:rPr>
                <w:color w:val="000000"/>
                <w:sz w:val="24"/>
              </w:rPr>
              <w:t>0.07%</w:t>
            </w:r>
          </w:p>
        </w:tc>
        <w:tc>
          <w:tcPr>
            <w:vAlign w:val="center"/>
          </w:tcPr>
          <w:p>
            <w:pPr>
              <w:jc w:val="center"/>
            </w:pPr>
            <w:r>
              <w:rPr>
                <w:color w:val="000000"/>
                <w:sz w:val="24"/>
              </w:rPr>
              <w:t>-1.10%</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21.45%</w:t>
            </w:r>
          </w:p>
        </w:tc>
        <w:tc>
          <w:tcPr>
            <w:vAlign w:val="center"/>
          </w:tcPr>
          <w:p>
            <w:pPr>
              <w:jc w:val="center"/>
            </w:pPr>
            <w:r>
              <w:rPr>
                <w:color w:val="000000"/>
                <w:sz w:val="24"/>
              </w:rPr>
              <w:t>0.08%</w:t>
            </w:r>
          </w:p>
        </w:tc>
        <w:tc>
          <w:tcPr>
            <w:vAlign w:val="center"/>
          </w:tcPr>
          <w:p>
            <w:pPr>
              <w:jc w:val="center"/>
            </w:pPr>
            <w:r>
              <w:rPr>
                <w:color w:val="000000"/>
                <w:sz w:val="24"/>
              </w:rPr>
              <w:t>20.71%</w:t>
            </w:r>
          </w:p>
        </w:tc>
        <w:tc>
          <w:tcPr>
            <w:vAlign w:val="center"/>
          </w:tcPr>
          <w:p>
            <w:pPr>
              <w:jc w:val="center"/>
            </w:pPr>
            <w:r>
              <w:rPr>
                <w:color w:val="000000"/>
                <w:sz w:val="24"/>
              </w:rPr>
              <w:t>0.08%</w:t>
            </w:r>
          </w:p>
        </w:tc>
        <w:tc>
          <w:tcPr>
            <w:vAlign w:val="center"/>
          </w:tcPr>
          <w:p>
            <w:pPr>
              <w:jc w:val="center"/>
            </w:pPr>
            <w:r>
              <w:rPr>
                <w:color w:val="000000"/>
                <w:sz w:val="24"/>
              </w:rPr>
              <w:t>0.74%</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39.46%</w:t>
            </w:r>
          </w:p>
        </w:tc>
        <w:tc>
          <w:tcPr>
            <w:vAlign w:val="center"/>
          </w:tcPr>
          <w:p>
            <w:pPr>
              <w:jc w:val="center"/>
            </w:pPr>
            <w:r>
              <w:rPr>
                <w:color w:val="000000"/>
                <w:sz w:val="24"/>
              </w:rPr>
              <w:t>0.10%</w:t>
            </w:r>
          </w:p>
        </w:tc>
        <w:tc>
          <w:tcPr>
            <w:vAlign w:val="center"/>
          </w:tcPr>
          <w:p>
            <w:pPr>
              <w:jc w:val="center"/>
            </w:pPr>
            <w:r>
              <w:rPr>
                <w:color w:val="000000"/>
                <w:sz w:val="24"/>
              </w:rPr>
              <w:t>40.53%</w:t>
            </w:r>
          </w:p>
        </w:tc>
        <w:tc>
          <w:tcPr>
            <w:vAlign w:val="center"/>
          </w:tcPr>
          <w:p>
            <w:pPr>
              <w:jc w:val="center"/>
            </w:pPr>
            <w:r>
              <w:rPr>
                <w:color w:val="000000"/>
                <w:sz w:val="24"/>
              </w:rPr>
              <w:t>0.08%</w:t>
            </w:r>
          </w:p>
        </w:tc>
        <w:tc>
          <w:tcPr>
            <w:vAlign w:val="center"/>
          </w:tcPr>
          <w:p>
            <w:pPr>
              <w:jc w:val="center"/>
            </w:pPr>
            <w:r>
              <w:rPr>
                <w:color w:val="000000"/>
                <w:sz w:val="24"/>
              </w:rPr>
              <w:t>-1.07%</w:t>
            </w:r>
          </w:p>
        </w:tc>
        <w:tc>
          <w:tcPr>
            <w:vAlign w:val="center"/>
          </w:tcPr>
          <w:p>
            <w:pPr>
              <w:jc w:val="center"/>
            </w:pPr>
            <w:r>
              <w:rPr>
                <w:color w:val="000000"/>
                <w:sz w:val="24"/>
              </w:rPr>
              <w:t>0.02%</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易方达中债新综合债券指数发起式证券投资基金（LOF）</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（2012年11月8日至2020年9月30日）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易方达中债新综指发起式（LOF）A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易方达中债新综指发起式（LOF）C</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注：自基金合同生效至报告期末，A类基金份额净值增长率为42.49%，C类基金份额净值增长率为39.46%，同期业绩比较基准收益率为40.53%。</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王晓晨</w:t>
            </w:r>
          </w:p>
        </w:tc>
        <w:tc>
          <w:tcPr>
            <w:vAlign w:val="center"/>
          </w:tcPr>
          <w:p>
            <w:pPr>
              <w:jc w:val="left"/>
            </w:pPr>
            <w:r>
              <w:rPr>
                <w:color w:val="000000"/>
                <w:sz w:val="24"/>
              </w:rPr>
              <w:t>本基金的基金经理、易方达增强回报债券型证券投资基金的基金经理、易方达投资级信用债债券型证券投资基金的基金经理、易方达双债增强债券型证券投资基金的基金经理、易方达恒安定期开放债券型发起式证券投资基金的基金经理、易方达富财纯债债券型证券投资基金的基金经理、易方达安瑞短债债券型证券投资基金的基金经理、易方达中债1-3年国开行债券指数证券投资基金的基金经理、易方达中债3-5年国开行债券指数证券投资基金的基金经理、易方达恒兴3个月定期开放债券型发起式证券投资基金的基金经理、易方达中债1-3年政策性金融债指数证券投资基金的基金经理、易方达中债3-5年政策性金融债指数证券投资基金的基金经理、固定收益投资部副总经理、固定收益投资决策委员会委员、易方达资产管理（香港）有限公司基金经理、就证券提供意见负责人员（RO）、提供资产管理负责人员（RO）、易方达资产管理（香港）有限公司固定收益投资决策委员会委员</w:t>
            </w:r>
          </w:p>
        </w:tc>
        <w:tc>
          <w:tcPr>
            <w:vAlign w:val="center"/>
          </w:tcPr>
          <w:p>
            <w:pPr>
              <w:jc w:val="center"/>
            </w:pPr>
            <w:r>
              <w:rPr>
                <w:color w:val="000000"/>
                <w:sz w:val="24"/>
              </w:rPr>
              <w:t>2014-07-05</w:t>
            </w:r>
          </w:p>
        </w:tc>
        <w:tc>
          <w:tcPr>
            <w:vAlign w:val="center"/>
          </w:tcPr>
          <w:p>
            <w:pPr>
              <w:jc w:val="center"/>
            </w:pPr>
            <w:r>
              <w:rPr>
                <w:color w:val="000000"/>
                <w:sz w:val="24"/>
              </w:rPr>
              <w:t>-</w:t>
            </w:r>
          </w:p>
        </w:tc>
        <w:tc>
          <w:tcPr>
            <w:vAlign w:val="center"/>
          </w:tcPr>
          <w:p>
            <w:pPr>
              <w:jc w:val="center"/>
            </w:pPr>
            <w:r>
              <w:rPr>
                <w:color w:val="000000"/>
                <w:sz w:val="24"/>
              </w:rPr>
              <w:t>17年</w:t>
            </w:r>
          </w:p>
        </w:tc>
        <w:tc>
          <w:tcPr>
            <w:vAlign w:val="center"/>
          </w:tcPr>
          <w:p>
            <w:pPr>
              <w:jc w:val="both"/>
            </w:pPr>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3-5年期国债指数证券投资基金基金经理、易方达中债7-10年期国开行债券指数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三季度宏观经济继续处于疫情冲击后的复苏态势之中，其中融资数据的持续改善是经济回暖的重要基础。7月公布的6月份新增社融规模高达3.4万亿元，增速提高至12.8%，结构上企业中长期贷款快速增长。虽然此后7月份社融增速涨幅略有放缓，但8月份重抬升势，同比增速进一步提高至13.3%。在融资数据的带动下，三季度各项经济指标不断回升。工业增加值增速由6月份的4.8%提高至8月份的5.6%，同时出口及地产板块也展现出较强的韧性，复苏力度好于市场预期。</w:t>
      </w:r>
    </w:p>
    <w:p>
      <w:pPr>
        <w:spacing w:line="360" w:lineRule="auto"/>
        <w:ind w:firstLine="480" w:firstLineChars="200"/>
        <w:rPr>
          <w:color w:val="000000"/>
          <w:sz w:val="24"/>
        </w:rPr>
      </w:pPr>
      <w:r>
        <w:rPr>
          <w:color w:val="000000"/>
          <w:sz w:val="24"/>
        </w:rPr>
        <w:t>随着经济增速的持续修复，货币政策从上半年的宽松模式逐步退出，银行间存款类金融机构以利率债为质押的7天回购利率（DR007）整体位于2.20%左右的水平，较二季度明显抬升。此外，权益市场的乐观预期也对债券市场带来了较大冲击。债券收益率在经历了二季度的快速回升后，三季度进一步大幅上行，1年期与10年期国开债收益率分别提高了65bp和62bp，但市场信用利差整体有所压缩。</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操作上，基金总体上按照指数的结构和久期进行配置。但是由于基金规模较小，分类债券资产的权重与指数中该资产的权重仍存在一定偏差，基金在一定程度上采取了较为灵活的配置策略。</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1.4249元，本报告期份额净值增长率为-0.43%，同期业绩比较基准收益率为-0.63%；C类基金份额净值为1.3946元，本报告期份额净值增长率为-0.51%，同期业绩比较基准收益率为-0.63%。</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639,154,500.00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97.77</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614,273,000.00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93.96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24,881,500.00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3.81</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5,683,049.71</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0.87</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8,913,807.54</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653,751,357.25</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p w:rsidP="00EA6415" w:rsidR="00874AA3" w:rsidRDefault="00874AA3" w:rsidRPr="00EA6415">
      <w:pPr>
        <w:spacing w:line="360" w:lineRule="auto"/>
        <w:ind w:firstLine="480" w:firstLineChars="200"/>
        <w:rPr>
          <w:color w:val="000000"/>
          <w:sz w:val="24"/>
        </w:rPr>
      </w:pPr>
      <w:r w:rsidRPr="00EA6415">
        <w:rPr>
          <w:color w:val="000000"/>
          <w:sz w:val="24"/>
        </w:rPr>
        <w:lastRenderedPageBreak/>
        <w:t/>
      </w:r>
      <w:proofErr w:type="spellStart"/>
      <w:r w:rsidRPr="00EA6415">
        <w:rPr>
          <w:color w:val="000000"/>
          <w:sz w:val="24"/>
        </w:rPr>
        <w:t/>
      </w:r>
      <w:proofErr w:type="spellEnd"/>
      <w:r w:rsidRPr="00EA6415">
        <w:rPr>
          <w:color w:val="000000"/>
          <w:sz w:val="24"/>
        </w:rPr>
        <w:t/>
      </w:r>
      <w:proofErr w:type="spellStart"/>
      <w:proofErr w:type="gramStart"/>
      <w:r w:rsidRPr="00EA6415">
        <w:rPr>
          <w:color w:val="000000"/>
          <w:sz w:val="24"/>
        </w:rPr>
        <w:t/>
      </w:r>
      <w:proofErr w:type="spellEnd"/>
      <w:proofErr w:type="gramEnd"/>
      <w:r w:rsidRPr="00EA6415">
        <w:rPr>
          <w:color w:val="000000"/>
          <w:sz w:val="24"/>
        </w:rPr>
        <w:t>本基金本报告期末未持有境内股票。</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本基金本报告期末未持有股票。</w:t>
      </w:r>
    </w:p>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w:t>
            </w:r>
            <w:r w:rsidRPr="006A1153">
              <w:rPr>
                <w:rFonts w:eastAsiaTheme="minorEastAsia"/>
                <w:color w:themeColor="text1" w:val="000000"/>
                <w:sz w:val="24"/>
              </w:rPr>
              <w:lastRenderedPageBreak/>
              <w:t>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1</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18,895,000.00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3.96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78,774,000.00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16.52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78,774,000.00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16.52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4</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123,308,500.00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25.86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89,939,000.00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18.86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303,356,500.00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63.62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7</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614,273,000.00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128.82</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190208</w:t>
            </w:r>
          </w:p>
        </w:tc>
        <w:tc>
          <w:tcPr>
            <w:vAlign w:val="center"/>
          </w:tcPr>
          <w:p>
            <w:pPr>
              <w:jc w:val="center"/>
            </w:pPr>
            <w:r>
              <w:rPr>
                <w:color w:val="000000"/>
                <w:sz w:val="24"/>
              </w:rPr>
              <w:t>19国开08</w:t>
            </w:r>
          </w:p>
        </w:tc>
        <w:tc>
          <w:tcPr>
            <w:vAlign w:val="center"/>
          </w:tcPr>
          <w:p>
            <w:pPr>
              <w:jc w:val="right"/>
            </w:pPr>
            <w:r>
              <w:rPr>
                <w:color w:val="000000"/>
                <w:sz w:val="24"/>
              </w:rPr>
              <w:t>300,000</w:t>
            </w:r>
          </w:p>
        </w:tc>
        <w:tc>
          <w:tcPr>
            <w:vAlign w:val="center"/>
          </w:tcPr>
          <w:p>
            <w:pPr>
              <w:jc w:val="right"/>
            </w:pPr>
            <w:r>
              <w:rPr>
                <w:color w:val="000000"/>
                <w:sz w:val="24"/>
              </w:rPr>
              <w:t>29,976,000.00</w:t>
            </w:r>
          </w:p>
        </w:tc>
        <w:tc>
          <w:tcPr>
            <w:vAlign w:val="center"/>
          </w:tcPr>
          <w:p>
            <w:pPr>
              <w:jc w:val="right"/>
            </w:pPr>
            <w:r>
              <w:rPr>
                <w:color w:val="000000"/>
                <w:sz w:val="24"/>
              </w:rPr>
              <w:t>6.29</w:t>
            </w:r>
          </w:p>
        </w:tc>
      </w:tr>
      <w:tr>
        <w:tc>
          <w:tcPr>
            <w:vAlign w:val="center"/>
          </w:tcPr>
          <w:p>
            <w:pPr>
              <w:jc w:val="center"/>
            </w:pPr>
            <w:r>
              <w:rPr>
                <w:color w:val="000000"/>
                <w:sz w:val="24"/>
              </w:rPr>
              <w:t>2</w:t>
            </w:r>
          </w:p>
        </w:tc>
        <w:tc>
          <w:tcPr>
            <w:vAlign w:val="center"/>
          </w:tcPr>
          <w:p>
            <w:pPr>
              <w:jc w:val="center"/>
            </w:pPr>
            <w:r>
              <w:rPr>
                <w:color w:val="000000"/>
                <w:sz w:val="24"/>
              </w:rPr>
              <w:t>042000295</w:t>
            </w:r>
          </w:p>
        </w:tc>
        <w:tc>
          <w:tcPr>
            <w:vAlign w:val="center"/>
          </w:tcPr>
          <w:p>
            <w:pPr>
              <w:jc w:val="center"/>
            </w:pPr>
            <w:r>
              <w:rPr>
                <w:color w:val="000000"/>
                <w:sz w:val="24"/>
              </w:rPr>
              <w:t>20阜阳投资CP001</w:t>
            </w:r>
          </w:p>
        </w:tc>
        <w:tc>
          <w:tcPr>
            <w:vAlign w:val="center"/>
          </w:tcPr>
          <w:p>
            <w:pPr>
              <w:jc w:val="right"/>
            </w:pPr>
            <w:r>
              <w:rPr>
                <w:color w:val="000000"/>
                <w:sz w:val="24"/>
              </w:rPr>
              <w:t>200,000</w:t>
            </w:r>
          </w:p>
        </w:tc>
        <w:tc>
          <w:tcPr>
            <w:vAlign w:val="center"/>
          </w:tcPr>
          <w:p>
            <w:pPr>
              <w:jc w:val="right"/>
            </w:pPr>
            <w:r>
              <w:rPr>
                <w:color w:val="000000"/>
                <w:sz w:val="24"/>
              </w:rPr>
              <w:t>19,980,000.00</w:t>
            </w:r>
          </w:p>
        </w:tc>
        <w:tc>
          <w:tcPr>
            <w:vAlign w:val="center"/>
          </w:tcPr>
          <w:p>
            <w:pPr>
              <w:jc w:val="right"/>
            </w:pPr>
            <w:r>
              <w:rPr>
                <w:color w:val="000000"/>
                <w:sz w:val="24"/>
              </w:rPr>
              <w:t>4.19</w:t>
            </w:r>
          </w:p>
        </w:tc>
      </w:tr>
      <w:tr>
        <w:tc>
          <w:tcPr>
            <w:vAlign w:val="center"/>
          </w:tcPr>
          <w:p>
            <w:pPr>
              <w:jc w:val="center"/>
            </w:pPr>
            <w:r>
              <w:rPr>
                <w:color w:val="000000"/>
                <w:sz w:val="24"/>
              </w:rPr>
              <w:t>3</w:t>
            </w:r>
          </w:p>
        </w:tc>
        <w:tc>
          <w:tcPr>
            <w:vAlign w:val="center"/>
          </w:tcPr>
          <w:p>
            <w:pPr>
              <w:jc w:val="center"/>
            </w:pPr>
            <w:r>
              <w:rPr>
                <w:color w:val="000000"/>
                <w:sz w:val="24"/>
              </w:rPr>
              <w:t>101901295</w:t>
            </w:r>
          </w:p>
        </w:tc>
        <w:tc>
          <w:tcPr>
            <w:vAlign w:val="center"/>
          </w:tcPr>
          <w:p>
            <w:pPr>
              <w:jc w:val="center"/>
            </w:pPr>
            <w:r>
              <w:rPr>
                <w:color w:val="000000"/>
                <w:sz w:val="24"/>
              </w:rPr>
              <w:t>19京国资MTN002</w:t>
            </w:r>
          </w:p>
        </w:tc>
        <w:tc>
          <w:tcPr>
            <w:vAlign w:val="center"/>
          </w:tcPr>
          <w:p>
            <w:pPr>
              <w:jc w:val="right"/>
            </w:pPr>
            <w:r>
              <w:rPr>
                <w:color w:val="000000"/>
                <w:sz w:val="24"/>
              </w:rPr>
              <w:t>200,000</w:t>
            </w:r>
          </w:p>
        </w:tc>
        <w:tc>
          <w:tcPr>
            <w:vAlign w:val="center"/>
          </w:tcPr>
          <w:p>
            <w:pPr>
              <w:jc w:val="right"/>
            </w:pPr>
            <w:r>
              <w:rPr>
                <w:color w:val="000000"/>
                <w:sz w:val="24"/>
              </w:rPr>
              <w:t>19,820,000.00</w:t>
            </w:r>
          </w:p>
        </w:tc>
        <w:tc>
          <w:tcPr>
            <w:vAlign w:val="center"/>
          </w:tcPr>
          <w:p>
            <w:pPr>
              <w:jc w:val="right"/>
            </w:pPr>
            <w:r>
              <w:rPr>
                <w:color w:val="000000"/>
                <w:sz w:val="24"/>
              </w:rPr>
              <w:t>4.16</w:t>
            </w:r>
          </w:p>
        </w:tc>
      </w:tr>
      <w:tr>
        <w:tc>
          <w:tcPr>
            <w:vAlign w:val="center"/>
          </w:tcPr>
          <w:p>
            <w:pPr>
              <w:jc w:val="center"/>
            </w:pPr>
            <w:r>
              <w:rPr>
                <w:color w:val="000000"/>
                <w:sz w:val="24"/>
              </w:rPr>
              <w:t>4</w:t>
            </w:r>
          </w:p>
        </w:tc>
        <w:tc>
          <w:tcPr>
            <w:vAlign w:val="center"/>
          </w:tcPr>
          <w:p>
            <w:pPr>
              <w:jc w:val="center"/>
            </w:pPr>
            <w:r>
              <w:rPr>
                <w:color w:val="000000"/>
                <w:sz w:val="24"/>
              </w:rPr>
              <w:t>200211</w:t>
            </w:r>
          </w:p>
        </w:tc>
        <w:tc>
          <w:tcPr>
            <w:vAlign w:val="center"/>
          </w:tcPr>
          <w:p>
            <w:pPr>
              <w:jc w:val="center"/>
            </w:pPr>
            <w:r>
              <w:rPr>
                <w:color w:val="000000"/>
                <w:sz w:val="24"/>
              </w:rPr>
              <w:t>20国开11</w:t>
            </w:r>
          </w:p>
        </w:tc>
        <w:tc>
          <w:tcPr>
            <w:vAlign w:val="center"/>
          </w:tcPr>
          <w:p>
            <w:pPr>
              <w:jc w:val="right"/>
            </w:pPr>
            <w:r>
              <w:rPr>
                <w:color w:val="000000"/>
                <w:sz w:val="24"/>
              </w:rPr>
              <w:t>200,000</w:t>
            </w:r>
          </w:p>
        </w:tc>
        <w:tc>
          <w:tcPr>
            <w:vAlign w:val="center"/>
          </w:tcPr>
          <w:p>
            <w:pPr>
              <w:jc w:val="right"/>
            </w:pPr>
            <w:r>
              <w:rPr>
                <w:color w:val="000000"/>
                <w:sz w:val="24"/>
              </w:rPr>
              <w:t>19,814,000.00</w:t>
            </w:r>
          </w:p>
        </w:tc>
        <w:tc>
          <w:tcPr>
            <w:vAlign w:val="center"/>
          </w:tcPr>
          <w:p>
            <w:pPr>
              <w:jc w:val="right"/>
            </w:pPr>
            <w:r>
              <w:rPr>
                <w:color w:val="000000"/>
                <w:sz w:val="24"/>
              </w:rPr>
              <w:t>4.16</w:t>
            </w:r>
          </w:p>
        </w:tc>
      </w:tr>
      <w:tr>
        <w:tc>
          <w:tcPr>
            <w:vAlign w:val="center"/>
          </w:tcPr>
          <w:p>
            <w:pPr>
              <w:jc w:val="center"/>
            </w:pPr>
            <w:r>
              <w:rPr>
                <w:color w:val="000000"/>
                <w:sz w:val="24"/>
              </w:rPr>
              <w:t>5</w:t>
            </w:r>
          </w:p>
        </w:tc>
        <w:tc>
          <w:tcPr>
            <w:vAlign w:val="center"/>
          </w:tcPr>
          <w:p>
            <w:pPr>
              <w:jc w:val="center"/>
            </w:pPr>
            <w:r>
              <w:rPr>
                <w:color w:val="000000"/>
                <w:sz w:val="24"/>
              </w:rPr>
              <w:t>102000581</w:t>
            </w:r>
          </w:p>
        </w:tc>
        <w:tc>
          <w:tcPr>
            <w:vAlign w:val="center"/>
          </w:tcPr>
          <w:p>
            <w:pPr>
              <w:jc w:val="center"/>
            </w:pPr>
            <w:r>
              <w:rPr>
                <w:color w:val="000000"/>
                <w:sz w:val="24"/>
              </w:rPr>
              <w:t>20中建MTN001</w:t>
            </w:r>
          </w:p>
        </w:tc>
        <w:tc>
          <w:tcPr>
            <w:vAlign w:val="center"/>
          </w:tcPr>
          <w:p>
            <w:pPr>
              <w:jc w:val="right"/>
            </w:pPr>
            <w:r>
              <w:rPr>
                <w:color w:val="000000"/>
                <w:sz w:val="24"/>
              </w:rPr>
              <w:t>200,000</w:t>
            </w:r>
          </w:p>
        </w:tc>
        <w:tc>
          <w:tcPr>
            <w:vAlign w:val="center"/>
          </w:tcPr>
          <w:p>
            <w:pPr>
              <w:jc w:val="right"/>
            </w:pPr>
            <w:r>
              <w:rPr>
                <w:color w:val="000000"/>
                <w:sz w:val="24"/>
              </w:rPr>
              <w:t>19,680,000.00</w:t>
            </w:r>
          </w:p>
        </w:tc>
        <w:tc>
          <w:tcPr>
            <w:vAlign w:val="center"/>
          </w:tcPr>
          <w:p>
            <w:pPr>
              <w:jc w:val="right"/>
            </w:pPr>
            <w:r>
              <w:rPr>
                <w:color w:val="000000"/>
                <w:sz w:val="24"/>
              </w:rPr>
              <w:t>4.13</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21"/>
        <w:gridCol w:w="1316"/>
        <w:gridCol w:w="1272"/>
        <w:gridCol w:w="1732"/>
        <w:gridCol w:w="1652"/>
        <w:gridCol w:w="1828"/>
      </w:tblGrid>
      <w:tr w:rsidR="00F016DD" w:rsidRPr="0078105B" w:rsidTr="00174038">
        <w:tc>
          <w:tcPr>
            <w:tcW w:type="dxa" w:w="1187"/>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3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type="dxa" w:w="1263"/>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type="dxa" w:w="181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type="dxa" w:w="1698"/>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17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168907</w:t>
            </w:r>
          </w:p>
        </w:tc>
        <w:tc>
          <w:tcPr>
            <w:vAlign w:val="center"/>
          </w:tcPr>
          <w:p>
            <w:pPr>
              <w:jc w:val="center"/>
            </w:pPr>
            <w:r>
              <w:rPr>
                <w:color w:val="000000"/>
                <w:sz w:val="24"/>
              </w:rPr>
              <w:t>健弘05A</w:t>
            </w:r>
          </w:p>
        </w:tc>
        <w:tc>
          <w:tcPr>
            <w:vAlign w:val="center"/>
          </w:tcPr>
          <w:p>
            <w:pPr>
              <w:jc w:val="right"/>
            </w:pPr>
            <w:r>
              <w:rPr>
                <w:color w:val="000000"/>
                <w:sz w:val="24"/>
              </w:rPr>
              <w:t>150,000</w:t>
            </w:r>
          </w:p>
        </w:tc>
        <w:tc>
          <w:tcPr>
            <w:vAlign w:val="center"/>
          </w:tcPr>
          <w:p>
            <w:pPr>
              <w:jc w:val="right"/>
            </w:pPr>
            <w:r>
              <w:rPr>
                <w:color w:val="000000"/>
                <w:sz w:val="24"/>
              </w:rPr>
              <w:t>14,881,500.00</w:t>
            </w:r>
          </w:p>
        </w:tc>
        <w:tc>
          <w:tcPr>
            <w:vAlign w:val="center"/>
          </w:tcPr>
          <w:p>
            <w:pPr>
              <w:jc w:val="right"/>
            </w:pPr>
            <w:r>
              <w:rPr>
                <w:color w:val="000000"/>
                <w:sz w:val="24"/>
              </w:rPr>
              <w:t>3.12</w:t>
            </w:r>
          </w:p>
        </w:tc>
      </w:tr>
      <w:tr>
        <w:tc>
          <w:tcPr>
            <w:vAlign w:val="center"/>
          </w:tcPr>
          <w:p>
            <w:pPr>
              <w:jc w:val="center"/>
            </w:pPr>
            <w:r>
              <w:rPr>
                <w:color w:val="000000"/>
                <w:sz w:val="24"/>
              </w:rPr>
              <w:t>2</w:t>
            </w:r>
          </w:p>
        </w:tc>
        <w:tc>
          <w:tcPr>
            <w:vAlign w:val="center"/>
          </w:tcPr>
          <w:p>
            <w:pPr>
              <w:jc w:val="center"/>
            </w:pPr>
            <w:r>
              <w:rPr>
                <w:color w:val="000000"/>
                <w:sz w:val="24"/>
              </w:rPr>
              <w:t>169222</w:t>
            </w:r>
          </w:p>
        </w:tc>
        <w:tc>
          <w:tcPr>
            <w:vAlign w:val="center"/>
          </w:tcPr>
          <w:p>
            <w:pPr>
              <w:jc w:val="center"/>
            </w:pPr>
            <w:r>
              <w:rPr>
                <w:color w:val="000000"/>
                <w:sz w:val="24"/>
              </w:rPr>
              <w:t>智禾04A</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2.10</w:t>
            </w:r>
          </w:p>
        </w:tc>
      </w:tr>
    </w:tbl>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2019年11月4日，国家税务总局北京市海淀区税务局对中国建筑股份有限公司未依法履行职责的行为进行罚款。2019年12月10日，昆明市水务局对中国建筑股份有限公司“未按照防洪审批方案施工影响姚安河行洪”的行为罚款四万元。2020年3月19日，西安市人力资源和社会保障局依据《西安市农民工工资保障办法》第二十三条第一项，对中国建筑股份有限公司“未按本办法规定预存农民工工资支付保证金”的行为罚款10000元。2020年5月7日，江西省交通建设工程质量监督管理局对中国建筑股份有限公司“中国建筑股份有限公司井冈山航电枢纽工程项目A1合同段从事电焊作业的陈子高未按照国家有关规定经专门的安全作业培训取得相应特种作业资格”的行为罚款2万元。2020年7月31日，门头沟区住建委对中国建筑股份有限公司因违反《中华人民共和国建筑法》第四十四条第一款、《北京市建设工程施工现场管理办法》第十三条第一款的行为，罚款1000元。</w:t>
      </w:r>
    </w:p>
    <w:p>
      <w:pPr>
        <w:widowControl/>
        <w:spacing w:line="360" w:lineRule="auto"/>
        <w:rPr>
          <w:color w:val="000000"/>
          <w:sz w:val="24"/>
        </w:rPr>
      </w:pPr>
      <w:r>
        <w:rPr>
          <w:color w:val="000000"/>
          <w:sz w:val="24"/>
        </w:rPr>
        <w:t>本基金投资20中建MTN001的投资决策程序符合公司投资制度的规定。</w:t>
      </w:r>
    </w:p>
    <w:p>
      <w:pPr>
        <w:widowControl/>
        <w:spacing w:line="360" w:lineRule="auto"/>
        <w:rPr>
          <w:color w:val="000000"/>
          <w:sz w:val="24"/>
        </w:rPr>
      </w:pPr>
      <w:r>
        <w:rPr>
          <w:color w:val="000000"/>
          <w:sz w:val="24"/>
        </w:rPr>
        <w:t>除20中建MTN001外，本基金投资的前十名证券的发行主体本期没有出现被监管部门立案调查，或在报告编制日前一年内受到公开谴责、处罚的情形。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本基金本报告期没有投资股票，因此不存在投资的前十名股票超出基金合同规定的备选股票库情况。</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3,788.50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471,884.49</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8,219,371.23</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218,763.32</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8,913,807.54</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本基金本报告期末未持有处于转股期的可转换债券。</w:t>
      </w:r>
    </w:p>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本基金本报告期末未持有股票。</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易方达中债新综指发起式（LOF）A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易方达中债新综指发起式（LOF）C</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355,433,643.18</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45,541,928.74</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84,232,115.85</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7,271,319.04</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136,055,740.16</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21,079,210.77</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303,610,018.87</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31,734,037.01</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CC78C7" w:rsidR="00CC78C7" w:rsidRDefault="00CC78C7" w:rsidRPr="00266D4B">
      <w:pPr>
        <w:autoSpaceDE w:val="0"/>
        <w:autoSpaceDN w:val="0"/>
        <w:adjustRightInd w:val="0"/>
        <w:spacing w:before="29" w:line="288" w:lineRule="auto"/>
        <w:ind w:left="15" w:right="480"/>
        <w:jc w:val="right"/>
        <w:rPr>
          <w:color w:val="000000"/>
          <w:kern w:val="0"/>
          <w:sz w:val="24"/>
        </w:rPr>
      </w:pPr>
      <w:r w:rsidRPr="00266D4B">
        <w:rPr>
          <w:color w:val="000000"/>
          <w:kern w:val="0"/>
          <w:sz w:val="24"/>
        </w:rPr>
        <w:t/>
      </w:r>
      <w:proofErr w:type="spellStart"/>
      <w:r w:rsidRPr="00266D4B">
        <w:rPr>
          <w:color w:val="000000"/>
          <w:kern w:val="0"/>
          <w:sz w:val="24"/>
        </w:rPr>
        <w:t/>
      </w:r>
      <w:proofErr w:type="spellEnd"/>
      <w:r w:rsidRPr="00266D4B">
        <w:rPr>
          <w:color w:val="000000"/>
          <w:kern w:val="0"/>
          <w:sz w:val="24"/>
        </w:rPr>
        <w:t/>
      </w:r>
      <w:r w:rsidRPr="00266D4B">
        <w:rPr>
          <w:color w:val="000000"/>
          <w:kern w:val="0"/>
          <w:sz w:val="24"/>
        </w:rPr>
        <w:t>单位：份</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167"/>
        <w:gridCol w:w="2616"/>
        <w:gridCol w:w="2631"/>
      </w:tblGrid>
      <w:tr w:rsidR="00CC78C7" w:rsidRPr="00E90B39" w:rsidTr="0001612A">
        <w:trPr>
          <w:trHeight w:val="248"/>
        </w:trPr>
        <w:tc>
          <w:tcPr>
            <w:tcW w:type="dxa" w:w="3167"/>
            <w:vAlign w:val="center"/>
          </w:tcPr>
          <w:p w:rsidP="00964538" w:rsidR="00CC78C7" w:rsidRDefault="00CC78C7" w:rsidRPr="00FA472B">
            <w:pPr>
              <w:autoSpaceDE w:val="0"/>
              <w:autoSpaceDN w:val="0"/>
              <w:adjustRightInd w:val="0"/>
              <w:spacing w:before="29" w:line="360" w:lineRule="auto"/>
              <w:ind w:left="15"/>
              <w:jc w:val="center"/>
              <w:rPr>
                <w:color w:val="000000"/>
                <w:kern w:val="0"/>
                <w:sz w:val="24"/>
              </w:rPr>
            </w:pPr>
            <w:r w:rsidRPr="00FA472B">
              <w:rPr>
                <w:color w:val="000000"/>
                <w:kern w:val="0"/>
                <w:sz w:val="24"/>
              </w:rPr>
              <w:t>项目</w:t>
            </w:r>
            <w:r w:rsidRPr="003B42FF">
              <w:rPr>
                <w:rFonts w:eastAsiaTheme="minorEastAsia"/>
                <w:bCs/>
                <w:color w:val="000000"/>
              </w:rPr>
              <w:lastRenderedPageBreak/>
              <w:t/>
            </w:r>
            <w:proofErr w:type="spellStart"/>
            <w:r w:rsidRPr="003B42FF">
              <w:rPr>
                <w:rFonts w:eastAsiaTheme="minorEastAsia"/>
                <w:bCs/>
                <w:color w:val="000000"/>
              </w:rPr>
              <w:t/>
            </w:r>
            <w:proofErr w:type="spellEnd"/>
            <w:r w:rsidRPr="003B42FF">
              <w:rPr>
                <w:rFonts w:eastAsiaTheme="minorEastAsia"/>
                <w:bCs/>
                <w:color w:val="000000"/>
              </w:rPr>
              <w:t/>
            </w:r>
            <w:r w:rsidRPr="00FA472B">
              <w:rPr>
                <w:color w:val="000000"/>
                <w:kern w:val="0"/>
                <w:sz w:val="24"/>
              </w:rPr>
              <w:t/>
            </w:r>
            <w:proofErr w:type="spellStart"/>
            <w:r w:rsidRPr="00FA472B">
              <w:rPr>
                <w:color w:val="000000"/>
                <w:kern w:val="0"/>
                <w:sz w:val="24"/>
              </w:rPr>
              <w:t/>
            </w:r>
            <w:proofErr w:type="spellEnd"/>
            <w:r w:rsidRPr="00FA472B">
              <w:rPr>
                <w:color w:val="000000"/>
                <w:kern w:val="0"/>
                <w:sz w:val="24"/>
              </w:rPr>
              <w:t/>
            </w:r>
          </w:p>
        </w:tc>
        <w:tc>
          <w:tcPr>
            <w:tcW w:type="dxa" w:w="2616"/>
            <w:vAlign w:val="bottom"/>
          </w:tcPr>
          <w:p w:rsidP="00964538" w:rsidR="00CC78C7" w:rsidRDefault="00CC78C7" w:rsidRPr="00FA472B">
            <w:pPr>
              <w:jc w:val="center"/>
              <w:rPr>
                <w:sz w:val="24"/>
              </w:rPr>
            </w:pPr>
            <w:r w:rsidRPr="00FA472B">
              <w:rPr>
                <w:color w:val="000000"/>
                <w:kern w:val="0"/>
                <w:sz w:val="24"/>
              </w:rPr>
              <w:lastRenderedPageBreak/>
              <w:t/>
            </w:r>
            <w:proofErr w:type="spellStart"/>
            <w:r w:rsidRPr="00FA472B">
              <w:rPr>
                <w:sz w:val="24"/>
              </w:rPr>
              <w:t/>
            </w:r>
            <w:proofErr w:type="spellEnd"/>
            <w:r w:rsidRPr="00FA472B">
              <w:rPr>
                <w:sz w:val="24"/>
              </w:rPr>
              <w:t>易方达中债新综指发起式（LOF）A</w:t>
            </w:r>
          </w:p>
        </w:tc>
        <w:tc>
          <w:tcPr>
            <w:tcW w:type="dxa" w:w="2631"/>
            <w:vAlign w:val="bottom"/>
          </w:tcPr>
          <w:p w:rsidP="00964538" w:rsidR="00CC78C7" w:rsidRDefault="00CC78C7" w:rsidRPr="00FA472B">
            <w:pPr>
              <w:jc w:val="center"/>
              <w:rPr>
                <w:sz w:val="24"/>
              </w:rPr>
            </w:pPr>
            <w:r w:rsidRPr="00FA472B">
              <w:rPr>
                <w:color w:val="000000"/>
                <w:kern w:val="0"/>
                <w:sz w:val="24"/>
              </w:rPr>
              <w:t/>
            </w:r>
            <w:r w:rsidRPr="00FA472B">
              <w:rPr>
                <w:sz w:val="24"/>
              </w:rPr>
              <w:t>易方达中债新综指发起式（LOF）C</w:t>
            </w:r>
          </w:p>
        </w:tc>
      </w:tr>
      <w:tr w:rsidR="00CC78C7" w:rsidRPr="00E90B39" w:rsidTr="0001612A">
        <w:trPr>
          <w:trHeight w:val="247"/>
        </w:trPr>
        <w:tc>
          <w:tcPr>
            <w:tcW w:type="dxa" w:w="3167"/>
            <w:vAlign w:val="center"/>
          </w:tcPr>
          <w:p w:rsidP="00964538" w:rsidR="00CC78C7" w:rsidRDefault="00CC78C7" w:rsidRPr="00FA472B">
            <w:pPr>
              <w:pStyle w:val="ac"/>
              <w:adjustRightInd w:val="0"/>
              <w:snapToGrid w:val="0"/>
              <w:spacing w:line="360" w:lineRule="exact"/>
              <w:rPr>
                <w:color w:val="000000"/>
                <w:szCs w:val="24"/>
              </w:rPr>
            </w:pPr>
            <w:r w:rsidRPr="00FA472B">
              <w:rPr>
                <w:color w:val="000000"/>
                <w:szCs w:val="24"/>
              </w:rPr>
              <w:lastRenderedPageBreak/>
              <w:t>报告期期</w:t>
            </w:r>
            <w:proofErr w:type="gramStart"/>
            <w:r w:rsidRPr="00FA472B">
              <w:rPr>
                <w:color w:val="000000"/>
                <w:szCs w:val="24"/>
              </w:rPr>
              <w:t>初管理</w:t>
            </w:r>
            <w:proofErr w:type="gramEnd"/>
            <w:r w:rsidRPr="00FA472B">
              <w:rPr>
                <w:color w:val="000000"/>
                <w:szCs w:val="24"/>
              </w:rPr>
              <w:t>人持有的本基金份额</w:t>
            </w:r>
          </w:p>
        </w:tc>
        <w:tc>
          <w:tcPr>
            <w:tcW w:type="dxa" w:w="2616"/>
            <w:vAlign w:val="center"/>
          </w:tcPr>
          <w:p w:rsidP="00964538" w:rsidR="00CC78C7" w:rsidRDefault="00CC78C7" w:rsidRPr="00FA472B">
            <w:pPr>
              <w:jc w:val="right"/>
              <w:rPr>
                <w:sz w:val="24"/>
              </w:rPr>
            </w:pPr>
            <w:r w:rsidRPr="00FA472B">
              <w:rPr>
                <w:color w:val="000000"/>
                <w:sz w:val="24"/>
              </w:rPr>
              <w:t>29,709,723.72</w:t>
            </w:r>
          </w:p>
        </w:tc>
        <w:tc>
          <w:tcPr>
            <w:tcW w:type="dxa" w:w="2631"/>
            <w:vAlign w:val="center"/>
          </w:tcPr>
          <w:p w:rsidP="00964538" w:rsidR="00CC78C7" w:rsidRDefault="00CC78C7" w:rsidRPr="00FA472B">
            <w:pPr>
              <w:jc w:val="right"/>
              <w:rPr>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3B42FF">
              <w:rPr>
                <w:rFonts w:eastAsiaTheme="minorEastAsia"/>
                <w:color w:themeColor="text1" w:val="000000"/>
                <w:kern w:val="0"/>
                <w:sz w:val="24"/>
              </w:rPr>
              <w:t/>
            </w:r>
            <w:proofErr w:type="spellStart"/>
            <w:r w:rsidRPr="003B42FF">
              <w:rPr>
                <w:rFonts w:eastAsiaTheme="minorEastAsia"/>
                <w:color w:themeColor="text1" w:val="000000"/>
                <w:kern w:val="0"/>
                <w:sz w:val="24"/>
              </w:rPr>
              <w:t/>
            </w:r>
            <w:r w:rsidR="00AE68BC">
              <w:rPr>
                <w:color w:val="000000"/>
                <w:kern w:val="0"/>
                <w:sz w:val="24"/>
              </w:rPr>
              <w:t/>
            </w:r>
            <w:proofErr w:type="spellEnd"/>
            <w:r w:rsidRPr="003B42FF">
              <w:rPr>
                <w:rFonts w:eastAsiaTheme="minorEastAsia"/>
                <w:color w:themeColor="text1" w:val="000000"/>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type="dxa" w:w="2616"/>
            <w:vAlign w:val="center"/>
          </w:tcPr>
          <w:p w:rsidP="00964538" w:rsidR="00CC78C7" w:rsidRDefault="00CC78C7" w:rsidRPr="00FA472B">
            <w:pPr>
              <w:jc w:val="right"/>
              <w:rPr>
                <w:color w:val="000000"/>
                <w:kern w:val="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3B42FF">
              <w:rPr>
                <w:rFonts w:eastAsiaTheme="minorEastAsia"/>
                <w:color w:themeColor="text1" w:val="000000"/>
                <w:kern w:val="0"/>
                <w:sz w:val="24"/>
              </w:rPr>
              <w:t/>
            </w:r>
            <w:proofErr w:type="spellStart"/>
            <w:r w:rsidRPr="003B42FF">
              <w:rPr>
                <w:rFonts w:eastAsiaTheme="minorEastAsia"/>
                <w:color w:themeColor="text1" w:val="000000"/>
                <w:kern w:val="0"/>
                <w:sz w:val="24"/>
              </w:rPr>
              <w:t/>
            </w:r>
            <w:r w:rsidR="00AE68BC">
              <w:rPr>
                <w:color w:val="000000"/>
                <w:kern w:val="0"/>
                <w:sz w:val="24"/>
              </w:rPr>
              <w:t/>
            </w:r>
            <w:proofErr w:type="spellEnd"/>
            <w:r w:rsidRPr="003B42FF">
              <w:rPr>
                <w:rFonts w:eastAsiaTheme="minorEastAsia"/>
                <w:color w:themeColor="text1" w:val="000000"/>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type="dxa" w:w="2616"/>
            <w:vAlign w:val="center"/>
          </w:tcPr>
          <w:p w:rsidP="00964538" w:rsidR="00CC78C7" w:rsidRDefault="00CC78C7" w:rsidRPr="00FA472B">
            <w:pPr>
              <w:jc w:val="right"/>
              <w:rPr>
                <w:color w:val="000000"/>
                <w:kern w:val="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FA472B">
              <w:rPr>
                <w:color w:val="000000"/>
                <w:sz w:val="24"/>
              </w:rPr>
              <w:t>报告期期末管理人持有的本基金份额</w:t>
            </w:r>
          </w:p>
        </w:tc>
        <w:tc>
          <w:tcPr>
            <w:tcW w:type="dxa" w:w="2616"/>
            <w:vAlign w:val="center"/>
          </w:tcPr>
          <w:p w:rsidP="00964538" w:rsidR="00CC78C7" w:rsidRDefault="00CC78C7" w:rsidRPr="00FA472B">
            <w:pPr>
              <w:jc w:val="right"/>
              <w:rPr>
                <w:sz w:val="24"/>
              </w:rPr>
            </w:pPr>
            <w:r w:rsidRPr="00FA472B">
              <w:rPr>
                <w:color w:val="000000"/>
                <w:sz w:val="24"/>
              </w:rPr>
              <w:t/>
            </w:r>
            <w:proofErr w:type="spellStart"/>
            <w:r w:rsidRPr="00FA472B">
              <w:rPr>
                <w:color w:val="000000"/>
                <w:sz w:val="24"/>
              </w:rPr>
              <w:t/>
            </w:r>
            <w:proofErr w:type="spellEnd"/>
            <w:r w:rsidRPr="00FA472B">
              <w:rPr>
                <w:color w:val="000000"/>
                <w:sz w:val="24"/>
              </w:rPr>
              <w:t>29,709,723.72</w:t>
            </w:r>
          </w:p>
        </w:tc>
        <w:tc>
          <w:tcPr>
            <w:tcW w:type="dxa" w:w="2631"/>
            <w:vAlign w:val="center"/>
          </w:tcPr>
          <w:p w:rsidP="00964538" w:rsidR="00CC78C7" w:rsidRDefault="00CC78C7" w:rsidRPr="00FA472B">
            <w:pPr>
              <w:jc w:val="right"/>
              <w:rPr>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type="dxa" w:w="2616"/>
            <w:vAlign w:val="center"/>
          </w:tcPr>
          <w:p w:rsidP="00964538" w:rsidR="00CC78C7" w:rsidRDefault="00CC78C7" w:rsidRPr="00FA472B">
            <w:pPr>
              <w:jc w:val="right"/>
              <w:rPr>
                <w:color w:val="000000"/>
                <w:kern w:val="0"/>
                <w:sz w:val="24"/>
              </w:rPr>
            </w:pPr>
            <w:r w:rsidRPr="00FA472B">
              <w:rPr>
                <w:color w:val="000000"/>
                <w:sz w:val="24"/>
              </w:rPr>
              <w:t>9.7855</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bl>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b w:val="0"/>
          <w:color w:val="000000"/>
          <w:sz w:val="24"/>
        </w:rPr>
      </w:pPr>
      <w:r w:rsidRPr="0078105B">
        <w:rPr>
          <w:rFonts w:ascii="宋体" w:cs="Arial"/>
          <w:color w:val="000000"/>
          <w:kern w:val="0"/>
          <w:sz w:val="24"/>
          <w:szCs w:val="24"/>
        </w:rPr>
        <w:lastRenderedPageBreak/>
        <w:t/>
      </w:r>
      <w:proofErr w:type="spellStart"/>
      <w:r w:rsidRPr="0078105B">
        <w:rPr>
          <w:rFonts w:ascii="宋体" w:cs="Arial" w:hAnsi="宋体"/>
          <w:color w:val="000000"/>
          <w:kern w:val="0"/>
          <w:sz w:val="24"/>
          <w:szCs w:val="24"/>
        </w:rPr>
        <w:t/>
      </w:r>
      <w:proofErr w:type="spellEnd"/>
      <w:r w:rsidRPr="0078105B">
        <w:rPr>
          <w:rFonts w:ascii="宋体" w:cs="Arial" w:hAnsi="宋体"/>
          <w:color w:val="000000"/>
          <w:kern w:val="0"/>
          <w:sz w:val="24"/>
          <w:szCs w:val="24"/>
        </w:rPr>
        <w:t/>
      </w: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 xml:space="preserve">8  </w:t>
      </w:r>
      <w:r>
        <w:rPr>
          <w:rFonts w:ascii="宋体" w:cs="Arial" w:hAnsi="宋体" w:hint="eastAsia"/>
          <w:color w:val="000000"/>
          <w:kern w:val="0"/>
          <w:sz w:val="24"/>
          <w:szCs w:val="24"/>
        </w:rPr>
        <w:t>报告期末</w:t>
      </w:r>
      <w:r w:rsidRPr="0078105B">
        <w:rPr>
          <w:rFonts w:ascii="宋体" w:cs="Arial" w:hAnsi="宋体" w:hint="eastAsia"/>
          <w:color w:val="000000"/>
          <w:kern w:val="0"/>
          <w:sz w:val="24"/>
          <w:szCs w:val="24"/>
        </w:rPr>
        <w:t>发起</w:t>
      </w:r>
      <w:proofErr w:type="gramStart"/>
      <w:r w:rsidRPr="0078105B">
        <w:rPr>
          <w:rFonts w:ascii="宋体" w:cs="Arial" w:hAnsi="宋体" w:hint="eastAsia"/>
          <w:color w:val="000000"/>
          <w:kern w:val="0"/>
          <w:sz w:val="24"/>
          <w:szCs w:val="24"/>
        </w:rPr>
        <w:t>式基金</w:t>
      </w:r>
      <w:proofErr w:type="gramEnd"/>
      <w:r w:rsidRPr="0078105B">
        <w:rPr>
          <w:rFonts w:ascii="宋体" w:cs="Arial" w:hAnsi="宋体" w:hint="eastAsia"/>
          <w:color w:val="000000"/>
          <w:kern w:val="0"/>
          <w:sz w:val="24"/>
          <w:szCs w:val="24"/>
        </w:rPr>
        <w:t>发起资金持有份额情况</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448"/>
        <w:gridCol w:w="1984"/>
        <w:gridCol w:w="1276"/>
        <w:gridCol w:w="1843"/>
        <w:gridCol w:w="1276"/>
        <w:gridCol w:w="1053"/>
      </w:tblGrid>
      <w:tr w:rsidR="00F016DD" w:rsidRPr="0078105B" w:rsidTr="009D0312">
        <w:trPr>
          <w:trHeight w:val="543"/>
          <w:jc w:val="center"/>
        </w:trPr>
        <w:tc>
          <w:tcPr>
            <w:tcW w:type="dxa" w:w="1448"/>
            <w:vAlign w:val="center"/>
          </w:tcPr>
          <w:p w:rsidP="00973B57" w:rsidR="00F016DD" w:rsidRDefault="00F016DD" w:rsidRPr="00FA472B">
            <w:pPr>
              <w:widowControl/>
              <w:jc w:val="left"/>
              <w:rPr>
                <w:color w:val="000000"/>
                <w:sz w:val="24"/>
              </w:rPr>
            </w:pPr>
            <w:r w:rsidRPr="00FA472B">
              <w:rPr>
                <w:color w:val="000000"/>
                <w:sz w:val="24"/>
              </w:rPr>
              <w:t>项目</w:t>
            </w:r>
            <w:r w:rsidRPr="00FA472B">
              <w:rPr>
                <w:color w:val="000000"/>
                <w:sz w:val="24"/>
              </w:rPr>
              <w:t/>
            </w:r>
            <w:proofErr w:type="spellStart"/>
            <w:r w:rsidRPr="00FA472B">
              <w:rPr>
                <w:color w:val="000000"/>
                <w:sz w:val="24"/>
              </w:rPr>
              <w:t/>
            </w:r>
            <w:proofErr w:type="spellEnd"/>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984"/>
          </w:tcPr>
          <w:p w:rsidP="00973B57" w:rsidR="00F016DD" w:rsidRDefault="00F016DD" w:rsidRPr="00FA472B">
            <w:pPr>
              <w:adjustRightInd w:val="0"/>
              <w:snapToGrid w:val="0"/>
              <w:spacing w:line="360" w:lineRule="exact"/>
              <w:rPr>
                <w:color w:val="000000"/>
                <w:sz w:val="24"/>
              </w:rPr>
            </w:pPr>
            <w:r w:rsidRPr="00FA472B">
              <w:rPr>
                <w:color w:val="000000"/>
                <w:sz w:val="24"/>
              </w:rPr>
              <w:t>持有份额总数</w:t>
            </w:r>
          </w:p>
        </w:tc>
        <w:tc>
          <w:tcPr>
            <w:tcW w:type="dxa" w:w="1276"/>
          </w:tcPr>
          <w:p w:rsidP="00973B57" w:rsidR="00F016DD" w:rsidRDefault="00F016DD" w:rsidRPr="00FA472B">
            <w:pPr>
              <w:adjustRightInd w:val="0"/>
              <w:snapToGrid w:val="0"/>
              <w:spacing w:line="360" w:lineRule="exact"/>
              <w:rPr>
                <w:color w:val="000000"/>
                <w:sz w:val="24"/>
              </w:rPr>
            </w:pPr>
            <w:r w:rsidRPr="00FA472B">
              <w:rPr>
                <w:color w:val="000000"/>
                <w:sz w:val="24"/>
              </w:rPr>
              <w:t>持有份额占基金总份额比例</w:t>
            </w:r>
          </w:p>
        </w:tc>
        <w:tc>
          <w:tcPr>
            <w:tcW w:type="dxa" w:w="1843"/>
          </w:tcPr>
          <w:p w:rsidP="00973B57" w:rsidR="00F016DD" w:rsidRDefault="00F016DD" w:rsidRPr="00FA472B">
            <w:pPr>
              <w:adjustRightInd w:val="0"/>
              <w:snapToGrid w:val="0"/>
              <w:spacing w:line="360" w:lineRule="exact"/>
              <w:rPr>
                <w:color w:val="000000"/>
                <w:sz w:val="24"/>
              </w:rPr>
            </w:pPr>
            <w:r w:rsidRPr="00FA472B">
              <w:rPr>
                <w:color w:val="000000"/>
                <w:sz w:val="24"/>
              </w:rPr>
              <w:t>发起份额总数</w:t>
            </w:r>
          </w:p>
        </w:tc>
        <w:tc>
          <w:tcPr>
            <w:tcW w:type="dxa" w:w="1276"/>
          </w:tcPr>
          <w:p w:rsidP="00973B57" w:rsidR="00F016DD" w:rsidRDefault="00F016DD" w:rsidRPr="00FA472B">
            <w:pPr>
              <w:adjustRightInd w:val="0"/>
              <w:snapToGrid w:val="0"/>
              <w:spacing w:line="360" w:lineRule="exact"/>
              <w:rPr>
                <w:color w:val="000000"/>
                <w:sz w:val="24"/>
              </w:rPr>
            </w:pPr>
            <w:r w:rsidRPr="00FA472B">
              <w:rPr>
                <w:color w:val="000000"/>
                <w:sz w:val="24"/>
              </w:rPr>
              <w:t>发起份额占基金总份额比例</w:t>
            </w:r>
          </w:p>
        </w:tc>
        <w:tc>
          <w:tcPr>
            <w:tcW w:type="dxa" w:w="1053"/>
          </w:tcPr>
          <w:p w:rsidP="00973B57" w:rsidR="00F016DD" w:rsidRDefault="00F016DD" w:rsidRPr="00FA472B">
            <w:pPr>
              <w:widowControl/>
              <w:jc w:val="left"/>
              <w:rPr>
                <w:color w:val="000000"/>
                <w:sz w:val="24"/>
              </w:rPr>
            </w:pPr>
            <w:r w:rsidRPr="00FA472B">
              <w:rPr>
                <w:color w:val="000000"/>
                <w:sz w:val="24"/>
              </w:rPr>
              <w:t>发起份额承诺持有期限</w:t>
            </w:r>
          </w:p>
        </w:tc>
      </w:tr>
      <w:tr w:rsidR="00F016DD" w:rsidRPr="0078105B" w:rsidTr="009D0312">
        <w:trPr>
          <w:jc w:val="center"/>
        </w:trPr>
        <w:tc>
          <w:tcPr>
            <w:tcW w:type="dxa" w:w="1448"/>
          </w:tcPr>
          <w:p w:rsidP="00973B57" w:rsidR="00F016DD" w:rsidRDefault="00F016DD" w:rsidRPr="00FA472B">
            <w:pPr>
              <w:adjustRightInd w:val="0"/>
              <w:snapToGrid w:val="0"/>
              <w:spacing w:line="360" w:lineRule="exact"/>
              <w:rPr>
                <w:color w:val="000000"/>
                <w:sz w:val="24"/>
              </w:rPr>
            </w:pPr>
            <w:r w:rsidRPr="00FA472B">
              <w:rPr>
                <w:color w:val="000000"/>
                <w:sz w:val="24"/>
              </w:rPr>
              <w:t>基金管理人</w:t>
            </w:r>
            <w:proofErr w:type="gramStart"/>
            <w:r w:rsidRPr="00FA472B">
              <w:rPr>
                <w:color w:val="000000"/>
                <w:sz w:val="24"/>
              </w:rPr>
              <w:t>固有资金</w:t>
            </w:r>
            <w:proofErr w:type="gramEnd"/>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29,709,723.72</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8.8595%</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t>10,000,450.04</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2.9821%</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t>3年</w:t>
            </w:r>
          </w:p>
        </w:tc>
      </w:tr>
      <w:tr w:rsidR="00F016DD" w:rsidRPr="0078105B" w:rsidTr="009D0312">
        <w:trPr>
          <w:trHeight w:val="790"/>
          <w:jc w:val="center"/>
        </w:trPr>
        <w:tc>
          <w:tcPr>
            <w:tcW w:type="dxa" w:w="1448"/>
          </w:tcPr>
          <w:p w:rsidP="00973B57" w:rsidR="00F016DD" w:rsidRDefault="00F016DD" w:rsidRPr="00FA472B">
            <w:pPr>
              <w:adjustRightInd w:val="0"/>
              <w:snapToGrid w:val="0"/>
              <w:spacing w:line="360" w:lineRule="exact"/>
              <w:rPr>
                <w:color w:val="000000"/>
                <w:sz w:val="24"/>
              </w:rPr>
            </w:pPr>
            <w:r w:rsidRPr="00FA472B">
              <w:rPr>
                <w:color w:val="000000"/>
                <w:sz w:val="24"/>
              </w:rPr>
              <w:t>基金管理人高级管理人员</w:t>
            </w:r>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type="dxa" w:w="1448"/>
          </w:tcPr>
          <w:p w:rsidP="00973B57" w:rsidR="00F016DD" w:rsidRDefault="00F016DD" w:rsidRPr="00FA472B">
            <w:pPr>
              <w:adjustRightInd w:val="0"/>
              <w:snapToGrid w:val="0"/>
              <w:spacing w:line="360" w:lineRule="exact"/>
              <w:jc w:val="left"/>
              <w:rPr>
                <w:color w:val="000000"/>
                <w:sz w:val="24"/>
              </w:rPr>
            </w:pPr>
            <w:r w:rsidRPr="00FA472B">
              <w:rPr>
                <w:color w:val="000000"/>
                <w:sz w:val="24"/>
              </w:rPr>
              <w:t>基金经理等人员</w:t>
            </w:r>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
            </w:r>
            <w:r w:rsidRPr="00FA472B">
              <w:rPr>
                <w:kern w:val="0"/>
                <w:sz w:val="24"/>
              </w:rPr>
              <w:lastRenderedPageBreak/>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w:t>
            </w:r>
          </w:p>
        </w:tc>
      </w:tr>
      <w:tr w:rsidR="00F016DD" w:rsidRPr="0078105B" w:rsidTr="009D0312">
        <w:trPr>
          <w:jc w:val="center"/>
        </w:trPr>
        <w:tc>
          <w:tcPr>
            <w:tcW w:type="dxa" w:w="1448"/>
          </w:tcPr>
          <w:p w:rsidP="00973B57" w:rsidR="00F016DD" w:rsidRDefault="00F016DD" w:rsidRPr="00FA472B">
            <w:pPr>
              <w:adjustRightInd w:val="0"/>
              <w:snapToGrid w:val="0"/>
              <w:spacing w:line="360" w:lineRule="exact"/>
              <w:jc w:val="left"/>
              <w:rPr>
                <w:color w:val="000000"/>
                <w:sz w:val="24"/>
              </w:rPr>
            </w:pPr>
            <w:r w:rsidRPr="00FA472B">
              <w:rPr>
                <w:color w:val="000000"/>
                <w:sz w:val="24"/>
              </w:rPr>
              <w:lastRenderedPageBreak/>
              <w:t>基金管理</w:t>
            </w:r>
            <w:proofErr w:type="gramStart"/>
            <w:r w:rsidRPr="00FA472B">
              <w:rPr>
                <w:color w:val="000000"/>
                <w:sz w:val="24"/>
              </w:rPr>
              <w:t>人股东</w:t>
            </w:r>
            <w:proofErr w:type="gramEnd"/>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type="dxa" w:w="1448"/>
          </w:tcPr>
          <w:p w:rsidP="00973B57" w:rsidR="00F016DD" w:rsidRDefault="00F016DD" w:rsidRPr="00FA472B">
            <w:pPr>
              <w:adjustRightInd w:val="0"/>
              <w:snapToGrid w:val="0"/>
              <w:spacing w:line="360" w:lineRule="exact"/>
              <w:jc w:val="left"/>
              <w:rPr>
                <w:color w:val="000000"/>
                <w:sz w:val="24"/>
              </w:rPr>
            </w:pPr>
            <w:r w:rsidRPr="00FA472B">
              <w:rPr>
                <w:color w:val="000000"/>
                <w:sz w:val="24"/>
              </w:rPr>
              <w:t>其他</w:t>
            </w:r>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
            </w:r>
            <w:proofErr w:type="spellStart"/>
            <w:r w:rsidRPr="00FA472B">
              <w:rPr>
                <w:kern w:val="0"/>
                <w:sz w:val="24"/>
              </w:rPr>
              <w:t/>
            </w:r>
            <w:proofErr w:type="spellEnd"/>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t/>
            </w:r>
            <w:proofErr w:type="spellStart"/>
            <w:r w:rsidRPr="00FA472B">
              <w:rPr>
                <w:kern w:val="0"/>
                <w:sz w:val="24"/>
              </w:rPr>
              <w:t/>
            </w:r>
            <w:proofErr w:type="spellEnd"/>
            <w:r w:rsidRPr="00FA472B">
              <w:rPr>
                <w:kern w:val="0"/>
                <w:sz w:val="24"/>
              </w:rPr>
              <w:t>-</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t>-</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type="dxa" w:w="1448"/>
          </w:tcPr>
          <w:p w:rsidP="00973B57" w:rsidR="00F016DD" w:rsidRDefault="00F016DD" w:rsidRPr="00FA472B">
            <w:pPr>
              <w:adjustRightInd w:val="0"/>
              <w:snapToGrid w:val="0"/>
              <w:spacing w:line="360" w:lineRule="exact"/>
              <w:jc w:val="left"/>
              <w:rPr>
                <w:color w:val="000000"/>
                <w:sz w:val="24"/>
              </w:rPr>
            </w:pPr>
            <w:r w:rsidRPr="00FA472B">
              <w:rPr>
                <w:color w:val="000000"/>
                <w:sz w:val="24"/>
              </w:rPr>
              <w:t>合计</w:t>
            </w:r>
          </w:p>
        </w:tc>
        <w:tc>
          <w:tcPr>
            <w:tcW w:type="dxa" w:w="1984"/>
          </w:tcPr>
          <w:p w:rsidP="00973B57" w:rsidR="00F016DD" w:rsidRDefault="00F016DD" w:rsidRPr="00FA472B">
            <w:pPr>
              <w:adjustRightInd w:val="0"/>
              <w:snapToGrid w:val="0"/>
              <w:spacing w:line="360" w:lineRule="exact"/>
              <w:jc w:val="right"/>
              <w:rPr>
                <w:kern w:val="0"/>
                <w:sz w:val="24"/>
              </w:rPr>
            </w:pPr>
            <w:r w:rsidRPr="00FA472B">
              <w:rPr>
                <w:kern w:val="0"/>
                <w:sz w:val="24"/>
              </w:rPr>
              <w:t/>
            </w:r>
            <w:proofErr w:type="spellStart"/>
            <w:r w:rsidRPr="00FA472B">
              <w:rPr>
                <w:kern w:val="0"/>
                <w:sz w:val="24"/>
              </w:rPr>
              <w:t/>
            </w:r>
            <w:r w:rsidRPr="00FA472B">
              <w:rPr>
                <w:kern w:val="0"/>
                <w:sz w:val="24"/>
              </w:rPr>
              <w:lastRenderedPageBreak/>
              <w:t/>
            </w:r>
            <w:proofErr w:type="spellEnd"/>
            <w:r w:rsidRPr="00FA472B">
              <w:rPr>
                <w:kern w:val="0"/>
                <w:sz w:val="24"/>
              </w:rPr>
              <w:t>29,709,723.72</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8.8595%</w:t>
            </w:r>
          </w:p>
        </w:tc>
        <w:tc>
          <w:tcPr>
            <w:tcW w:type="dxa" w:w="1843"/>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proofErr w:type="spellStart"/>
            <w:r w:rsidRPr="00FA472B">
              <w:rPr>
                <w:kern w:val="0"/>
                <w:sz w:val="24"/>
              </w:rPr>
              <w:t/>
            </w:r>
            <w:r w:rsidRPr="00FA472B">
              <w:rPr>
                <w:kern w:val="0"/>
                <w:sz w:val="24"/>
              </w:rPr>
              <w:lastRenderedPageBreak/>
              <w:t/>
            </w:r>
            <w:proofErr w:type="spellEnd"/>
            <w:r w:rsidRPr="00FA472B">
              <w:rPr>
                <w:kern w:val="0"/>
                <w:sz w:val="24"/>
              </w:rPr>
              <w:t>10,000,450.04</w:t>
            </w:r>
          </w:p>
        </w:tc>
        <w:tc>
          <w:tcPr>
            <w:tcW w:type="dxa" w:w="1276"/>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2.9821%</w:t>
            </w:r>
          </w:p>
        </w:tc>
        <w:tc>
          <w:tcPr>
            <w:tcW w:type="dxa" w:w="1053"/>
          </w:tcPr>
          <w:p w:rsidP="00973B57" w:rsidR="00F016DD" w:rsidRDefault="00F016DD" w:rsidRPr="00FA472B">
            <w:pPr>
              <w:adjustRightInd w:val="0"/>
              <w:snapToGrid w:val="0"/>
              <w:spacing w:line="360" w:lineRule="exact"/>
              <w:jc w:val="right"/>
              <w:rPr>
                <w:kern w:val="0"/>
                <w:sz w:val="24"/>
              </w:rPr>
            </w:pPr>
            <w:r w:rsidRPr="00FA472B">
              <w:rPr>
                <w:kern w:val="0"/>
                <w:sz w:val="24"/>
              </w:rPr>
              <w:lastRenderedPageBreak/>
              <w:t/>
            </w:r>
            <w:r w:rsidRPr="00FA472B">
              <w:rPr>
                <w:kern w:val="0"/>
                <w:sz w:val="24"/>
              </w:rPr>
              <w:lastRenderedPageBreak/>
              <w:t>-</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9</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9.1</w:t>
      </w:r>
      <w:r w:rsidRPr="00E8153C">
        <w:rPr>
          <w:color w:val="000000"/>
          <w:kern w:val="0"/>
          <w:sz w:val="24"/>
        </w:rPr>
        <w:t>备查文件目录</w:t>
      </w:r>
    </w:p>
    <w:p>
      <w:pPr>
        <w:spacing w:line="360" w:lineRule="auto"/>
        <w:ind w:firstLine="480" w:firstLineChars="200"/>
        <w:rPr>
          <w:color w:val="000000"/>
          <w:sz w:val="24"/>
        </w:rPr>
      </w:pPr>
      <w:r>
        <w:rPr>
          <w:color w:val="000000"/>
          <w:sz w:val="24"/>
        </w:rPr>
        <w:t>1.中国证监会核准易方达中债新综合债券指数发起式证券投资基金（LOF）募集的文件；</w:t>
      </w:r>
    </w:p>
    <w:p>
      <w:pPr>
        <w:spacing w:line="360" w:lineRule="auto"/>
        <w:ind w:firstLine="480" w:firstLineChars="200"/>
        <w:rPr>
          <w:color w:val="000000"/>
          <w:sz w:val="24"/>
        </w:rPr>
      </w:pPr>
      <w:r>
        <w:rPr>
          <w:color w:val="000000"/>
          <w:sz w:val="24"/>
        </w:rPr>
        <w:t>2.《易方达中债新综合债券指数发起式证券投资基金（LOF）基金合同》；</w:t>
      </w:r>
    </w:p>
    <w:p>
      <w:pPr>
        <w:spacing w:line="360" w:lineRule="auto"/>
        <w:ind w:firstLine="480" w:firstLineChars="200"/>
        <w:rPr>
          <w:color w:val="000000"/>
          <w:sz w:val="24"/>
        </w:rPr>
      </w:pPr>
      <w:r>
        <w:rPr>
          <w:color w:val="000000"/>
          <w:sz w:val="24"/>
        </w:rPr>
        <w:t>3.《易方达中债新综合债券指数发起式证券投资基金（LOF）托管协议》；</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4.基金管理人业务资格批件、营业执照。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易方达中债新综合债券指数发起式证券投资基金（LOF）</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