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542546" w:rsidR="00750D48" w:rsidRDefault="00750D48" w:rsidRPr="00264E55">
      <w:pPr>
        <w:spacing w:line="360" w:lineRule="auto"/>
        <w:jc w:val="center"/>
        <w:rPr>
          <w:rFonts w:ascii="宋体" w:hAnsi="宋体"/>
          <w:b/>
          <w:sz w:val="36"/>
          <w:szCs w:val="36"/>
        </w:rPr>
      </w:pPr>
      <w:r w:rsidRPr="00264E55">
        <w:rPr>
          <w:rFonts w:ascii="宋体"/>
          <w:b/>
          <w:sz w:val="36"/>
          <w:szCs w:val="36"/>
        </w:rPr>
        <w:t/>
      </w:r>
      <w:proofErr w:type="spellStart"/>
      <w:proofErr w:type="gramStart"/>
      <w:r w:rsidRPr="00264E55">
        <w:rPr>
          <w:rFonts w:ascii="宋体" w:hAnsi="宋体"/>
          <w:b/>
          <w:sz w:val="36"/>
          <w:szCs w:val="36"/>
        </w:rPr>
        <w:t/>
      </w:r>
      <w:proofErr w:type="spellEnd"/>
      <w:proofErr w:type="gramEnd"/>
      <w:r w:rsidRPr="00264E55">
        <w:rPr>
          <w:rFonts w:ascii="宋体" w:hAnsi="宋体"/>
          <w:b/>
          <w:sz w:val="36"/>
          <w:szCs w:val="36"/>
        </w:rPr>
        <w:t>易方达策略成长二号混合型证券投资基金</w:t>
      </w:r>
    </w:p>
    <w:p w:rsidP="00542546" w:rsidR="00750D48" w:rsidRDefault="00750D48" w:rsidRPr="00264E55">
      <w:pPr>
        <w:spacing w:line="360" w:lineRule="auto"/>
        <w:jc w:val="center"/>
        <w:rPr>
          <w:rFonts w:ascii="宋体" w:hAnsi="宋体"/>
          <w:b/>
          <w:sz w:val="36"/>
          <w:szCs w:val="36"/>
        </w:rPr>
      </w:pPr>
      <w:r w:rsidRPr="00264E55">
        <w:rPr>
          <w:rFonts w:ascii="宋体" w:hAnsi="宋体"/>
          <w:b/>
          <w:sz w:val="36"/>
          <w:szCs w:val="36"/>
        </w:rPr>
        <w:t/>
      </w:r>
      <w:proofErr w:type="spellStart"/>
      <w:r w:rsidRPr="00264E55">
        <w:rPr>
          <w:rFonts w:ascii="宋体" w:hAnsi="宋体"/>
          <w:b/>
          <w:sz w:val="36"/>
          <w:szCs w:val="36"/>
        </w:rPr>
        <w:t/>
      </w:r>
      <w:proofErr w:type="spellEnd"/>
      <w:r w:rsidRPr="00264E55">
        <w:rPr>
          <w:rFonts w:ascii="宋体" w:hAnsi="宋体"/>
          <w:b/>
          <w:sz w:val="36"/>
          <w:szCs w:val="36"/>
        </w:rPr>
        <w:t>2020年第3季度报告</w:t>
      </w:r>
    </w:p>
    <w:p w:rsidP="00542546" w:rsidR="00750D48" w:rsidRDefault="00750D48" w:rsidRPr="00093704">
      <w:pPr>
        <w:spacing w:line="360" w:lineRule="auto"/>
        <w:jc w:val="center"/>
        <w:rPr>
          <w:rFonts w:ascii="宋体" w:hAnsi="宋体"/>
          <w:b/>
          <w:sz w:val="24"/>
          <w:szCs w:val="24"/>
        </w:rPr>
      </w:pPr>
      <w:r w:rsidRPr="00093704">
        <w:rPr>
          <w:rFonts w:ascii="宋体"/>
          <w:b/>
          <w:sz w:val="24"/>
          <w:szCs w:val="24"/>
        </w:rPr>
        <w:t/>
      </w:r>
      <w:proofErr w:type="spellStart"/>
      <w:proofErr w:type="gramStart"/>
      <w:r w:rsidRPr="00093704">
        <w:rPr>
          <w:rFonts w:ascii="宋体" w:hAnsi="宋体"/>
          <w:b/>
          <w:sz w:val="24"/>
          <w:szCs w:val="24"/>
        </w:rPr>
        <w:t/>
      </w:r>
      <w:proofErr w:type="spellEnd"/>
      <w:proofErr w:type="gramEnd"/>
      <w:r w:rsidRPr="00093704">
        <w:rPr>
          <w:rFonts w:ascii="宋体" w:hAnsi="宋体"/>
          <w:b/>
          <w:sz w:val="24"/>
          <w:szCs w:val="24"/>
        </w:rPr>
        <w:t>2020年9月30日</w:t>
      </w: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rPr>
          <w:rFonts w:ascii="宋体"/>
          <w:b/>
          <w:bCs/>
          <w:color w:val="000000"/>
          <w:sz w:val="24"/>
          <w:szCs w:val="24"/>
        </w:rPr>
      </w:pPr>
    </w:p>
    <w:p w:rsidP="00EB572F" w:rsidR="00750D48" w:rsidRDefault="00750D48" w:rsidRPr="00264E55">
      <w:pPr>
        <w:spacing w:line="360" w:lineRule="auto"/>
        <w:ind w:firstLine="2168" w:firstLineChars="900"/>
        <w:rPr>
          <w:rFonts w:ascii="宋体" w:hAnsi="宋体"/>
          <w:b/>
          <w:color w:val="000000"/>
          <w:sz w:val="24"/>
          <w:szCs w:val="24"/>
        </w:rPr>
      </w:pPr>
      <w:r w:rsidRPr="00264E55">
        <w:rPr>
          <w:rFonts w:ascii="宋体" w:hAnsi="宋体" w:hint="eastAsia"/>
          <w:b/>
          <w:color w:val="000000"/>
          <w:sz w:val="24"/>
          <w:szCs w:val="24"/>
        </w:rPr>
        <w:t>基金管理人：</w:t>
      </w:r>
      <w:r w:rsidRPr="00264E55">
        <w:rPr>
          <w:rFonts w:ascii="宋体"/>
          <w:b/>
          <w:color w:val="000000"/>
          <w:sz w:val="24"/>
          <w:szCs w:val="24"/>
        </w:rPr>
        <w:t/>
      </w:r>
      <w:proofErr w:type="spellStart"/>
      <w:proofErr w:type="gramStart"/>
      <w:r w:rsidRPr="00264E55">
        <w:rPr>
          <w:rFonts w:ascii="宋体" w:hAnsi="宋体"/>
          <w:b/>
          <w:color w:val="000000"/>
          <w:sz w:val="24"/>
          <w:szCs w:val="24"/>
        </w:rPr>
        <w:t/>
      </w:r>
      <w:proofErr w:type="spellEnd"/>
      <w:proofErr w:type="gramEnd"/>
      <w:r w:rsidRPr="00264E55">
        <w:rPr>
          <w:rFonts w:ascii="宋体" w:hAnsi="宋体"/>
          <w:b/>
          <w:color w:val="000000"/>
          <w:sz w:val="24"/>
          <w:szCs w:val="24"/>
        </w:rPr>
        <w:t>易方达基金管理有限公司</w:t>
      </w:r>
    </w:p>
    <w:p w:rsidP="00EB572F" w:rsidR="00750D48" w:rsidRDefault="00750D48" w:rsidRPr="00264E55">
      <w:pPr>
        <w:spacing w:line="360" w:lineRule="auto"/>
        <w:ind w:firstLine="2168" w:firstLineChars="900"/>
        <w:rPr>
          <w:rFonts w:ascii="宋体" w:hAnsi="宋体"/>
          <w:b/>
          <w:color w:val="000000"/>
          <w:sz w:val="24"/>
          <w:szCs w:val="24"/>
        </w:rPr>
      </w:pPr>
      <w:r w:rsidRPr="00264E55">
        <w:rPr>
          <w:rFonts w:ascii="宋体" w:hAnsi="宋体" w:hint="eastAsia"/>
          <w:b/>
          <w:color w:val="000000"/>
          <w:sz w:val="24"/>
          <w:szCs w:val="24"/>
        </w:rPr>
        <w:t>基金托管人：</w:t>
      </w:r>
      <w:r w:rsidRPr="00264E55">
        <w:rPr>
          <w:rFonts w:ascii="宋体"/>
          <w:b/>
          <w:color w:val="000000"/>
          <w:sz w:val="24"/>
          <w:szCs w:val="24"/>
        </w:rPr>
        <w:t/>
      </w:r>
      <w:proofErr w:type="spellStart"/>
      <w:proofErr w:type="gramStart"/>
      <w:r w:rsidRPr="00264E55">
        <w:rPr>
          <w:rFonts w:ascii="宋体" w:hAnsi="宋体"/>
          <w:b/>
          <w:color w:val="000000"/>
          <w:sz w:val="24"/>
          <w:szCs w:val="24"/>
        </w:rPr>
        <w:t/>
      </w:r>
      <w:proofErr w:type="spellEnd"/>
      <w:proofErr w:type="gramEnd"/>
      <w:r w:rsidRPr="00264E55">
        <w:rPr>
          <w:rFonts w:ascii="宋体" w:hAnsi="宋体"/>
          <w:b/>
          <w:color w:val="000000"/>
          <w:sz w:val="24"/>
          <w:szCs w:val="24"/>
        </w:rPr>
        <w:t>中国银行股份有限公司</w:t>
      </w:r>
    </w:p>
    <w:p w:rsidP="00EB572F" w:rsidR="00750D48" w:rsidRDefault="00750D48" w:rsidRPr="00264E55">
      <w:pPr>
        <w:spacing w:line="360" w:lineRule="auto"/>
        <w:ind w:firstLine="2168" w:firstLineChars="900"/>
        <w:rPr>
          <w:rFonts w:ascii="宋体" w:hAnsi="宋体"/>
          <w:b/>
          <w:color w:val="000000"/>
          <w:sz w:val="24"/>
          <w:szCs w:val="24"/>
        </w:rPr>
        <w:sectPr w:rsidR="00750D48" w:rsidRPr="00264E55" w:rsidSect="00304A12">
          <w:headerReference r:id="rId9" w:type="default"/>
          <w:footerReference r:id="rId10" w:type="default"/>
          <w:pgSz w:h="15840" w:w="11926"/>
          <w:pgMar w:bottom="851" w:footer="992" w:gutter="0" w:header="851" w:left="1418" w:right="1418" w:top="1418"/>
          <w:cols w:space="720"/>
          <w:noEndnote/>
        </w:sectPr>
      </w:pPr>
      <w:r w:rsidRPr="00264E55">
        <w:rPr>
          <w:rFonts w:ascii="宋体" w:hAnsi="宋体" w:hint="eastAsia"/>
          <w:b/>
          <w:color w:val="000000"/>
          <w:sz w:val="24"/>
          <w:szCs w:val="24"/>
        </w:rPr>
        <w:t>报告送出日期：</w:t>
      </w:r>
      <w:r w:rsidRPr="00264E55">
        <w:rPr>
          <w:rFonts w:ascii="宋体"/>
          <w:b/>
          <w:color w:val="000000"/>
          <w:sz w:val="24"/>
          <w:szCs w:val="24"/>
        </w:rPr>
        <w:t/>
      </w:r>
      <w:proofErr w:type="spellStart"/>
      <w:proofErr w:type="gramStart"/>
      <w:r w:rsidRPr="00264E55">
        <w:rPr>
          <w:rFonts w:ascii="宋体" w:hAnsi="宋体"/>
          <w:b/>
          <w:color w:val="000000"/>
          <w:sz w:val="24"/>
          <w:szCs w:val="24"/>
        </w:rPr>
        <w:t/>
      </w:r>
      <w:proofErr w:type="spellEnd"/>
      <w:proofErr w:type="gramEnd"/>
      <w:r w:rsidRPr="00264E55">
        <w:rPr>
          <w:rFonts w:ascii="宋体" w:hAnsi="宋体"/>
          <w:b/>
          <w:color w:val="000000"/>
          <w:sz w:val="24"/>
          <w:szCs w:val="24"/>
        </w:rPr>
        <w:t>二〇二〇年十月二十八日</w:t>
      </w:r>
    </w:p>
    <w:p w:rsidP="004D28A3" w:rsidR="00750D48" w:rsidRDefault="00750D48" w:rsidRPr="00264E55">
      <w:pPr>
        <w:pStyle w:val="1"/>
        <w:spacing w:after="312" w:afterLines="100" w:before="312" w:beforeLines="100" w:line="360" w:lineRule="auto"/>
        <w:jc w:val="center"/>
        <w:rPr>
          <w:rFonts w:ascii="宋体"/>
          <w:b w:val="0"/>
          <w:bCs w:val="0"/>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1  </w:t>
      </w:r>
      <w:r w:rsidRPr="00264E55">
        <w:rPr>
          <w:rFonts w:ascii="宋体" w:hAnsi="宋体" w:hint="eastAsia"/>
          <w:color w:val="000000"/>
          <w:kern w:val="0"/>
          <w:sz w:val="24"/>
          <w:szCs w:val="24"/>
        </w:rPr>
        <w:t>重要提示</w:t>
      </w:r>
    </w:p>
    <w:p>
      <w:pPr>
        <w:spacing w:line="360"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line="360" w:lineRule="auto"/>
        <w:ind w:firstLine="480" w:firstLineChars="200"/>
        <w:rPr>
          <w:color w:val="000000"/>
          <w:sz w:val="24"/>
          <w:szCs w:val="24"/>
        </w:rPr>
      </w:pPr>
      <w:r>
        <w:rPr>
          <w:color w:val="000000"/>
          <w:sz w:val="24"/>
          <w:szCs w:val="24"/>
        </w:rPr>
        <w:t xml:space="preserve">基金托管人中国银行股份有限公司根据本基金合同规定，于2020年10月26日复核了本报告中的财务指标、净值表现和投资组合报告等内容，保证复核内容不存在虚假记载、误导性陈述或者重大遗漏。 </w:t>
      </w:r>
    </w:p>
    <w:p>
      <w:pPr>
        <w:spacing w:line="360"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line="360"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line="360" w:lineRule="auto"/>
        <w:ind w:firstLine="480" w:firstLineChars="200"/>
        <w:rPr>
          <w:color w:val="000000"/>
          <w:sz w:val="24"/>
          <w:szCs w:val="24"/>
        </w:rPr>
      </w:pPr>
      <w:r>
        <w:rPr>
          <w:color w:val="000000"/>
          <w:sz w:val="24"/>
          <w:szCs w:val="24"/>
        </w:rPr>
        <w:t>本报告中财务资料未经审计。</w:t>
      </w:r>
    </w:p>
    <w:p w:rsidP="00EB572F" w:rsidR="00750D48" w:rsidRDefault="00750D48" w:rsidRPr="006C56AA">
      <w:pPr>
        <w:spacing w:line="360" w:lineRule="auto"/>
        <w:ind w:firstLine="480" w:firstLineChars="200"/>
        <w:rPr>
          <w:color w:val="000000"/>
          <w:sz w:val="24"/>
          <w:szCs w:val="24"/>
        </w:rPr>
      </w:pPr>
      <w:r w:rsidRPr="006C56AA">
        <w:rPr>
          <w:color w:val="000000"/>
          <w:sz w:val="24"/>
          <w:szCs w:val="24"/>
        </w:rPr>
        <w:t/>
      </w:r>
      <w:proofErr w:type="spellStart"/>
      <w:proofErr w:type="gramStart"/>
      <w:r w:rsidRPr="006C56AA">
        <w:rPr>
          <w:color w:val="000000"/>
          <w:sz w:val="24"/>
          <w:szCs w:val="24"/>
        </w:rPr>
        <w:t/>
      </w:r>
      <w:proofErr w:type="spellEnd"/>
      <w:proofErr w:type="gramEnd"/>
      <w:r w:rsidRPr="006C56AA">
        <w:rPr>
          <w:color w:val="000000"/>
          <w:sz w:val="24"/>
          <w:szCs w:val="24"/>
        </w:rPr>
        <w:t>本报告期自2020年7月1日起至9月30日止。</w:t>
      </w: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2  </w:t>
      </w:r>
      <w:r w:rsidRPr="00264E55">
        <w:rPr>
          <w:rFonts w:ascii="宋体" w:hAnsi="宋体" w:hint="eastAsia"/>
          <w:color w:val="000000"/>
          <w:kern w:val="0"/>
          <w:sz w:val="24"/>
          <w:szCs w:val="24"/>
        </w:rPr>
        <w:t>基金产品概况</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2835"/>
        <w:gridCol w:w="2739"/>
        <w:gridCol w:w="2740"/>
      </w:tblGrid>
      <w:tr w:rsidR="00750D48" w:rsidRPr="00264E55" w:rsidTr="00500A03">
        <w:tc>
          <w:tcPr>
            <w:tcW w:type="dxa" w:w="2835"/>
          </w:tcPr>
          <w:p w:rsidP="007B5AFB" w:rsidR="00750D48" w:rsidRDefault="00750D48" w:rsidRPr="00232B03">
            <w:pPr>
              <w:adjustRightInd w:val="0"/>
              <w:spacing w:before="29" w:line="360" w:lineRule="auto"/>
              <w:ind w:left="17"/>
              <w:jc w:val="left"/>
              <w:rPr>
                <w:kern w:val="0"/>
                <w:sz w:val="24"/>
                <w:szCs w:val="24"/>
              </w:rPr>
            </w:pPr>
            <w:r w:rsidRPr="00232B03">
              <w:rPr>
                <w:kern w:val="0"/>
                <w:sz w:val="24"/>
                <w:szCs w:val="24"/>
              </w:rPr>
              <w:t>基金简称</w:t>
            </w:r>
          </w:p>
        </w:tc>
        <w:tc>
          <w:tcPr>
            <w:tcW w:type="dxa" w:w="5479"/>
            <w:gridSpan w:val="2"/>
          </w:tcPr>
          <w:p w:rsidP="007B5AFB" w:rsidR="00750D48" w:rsidRDefault="00750D48" w:rsidRPr="00232B03">
            <w:pPr>
              <w:adjustRightInd w:val="0"/>
              <w:spacing w:before="29" w:line="360" w:lineRule="auto"/>
              <w:ind w:left="17"/>
              <w:jc w:val="lef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易方达策略成长二号混合</w:t>
            </w:r>
          </w:p>
        </w:tc>
      </w:tr>
      <w:tr w:rsidR="00750D48" w:rsidRPr="00264E55" w:rsidTr="00D94B8D">
        <w:tc>
          <w:tcPr>
            <w:tcW w:type="dxa" w:w="2835"/>
          </w:tcPr>
          <w:p w:rsidR="00750D48" w:rsidRDefault="00750D48" w:rsidRPr="00232B03">
            <w:pPr>
              <w:adjustRightInd w:val="0"/>
              <w:spacing w:before="29" w:line="360" w:lineRule="auto"/>
              <w:ind w:left="17"/>
              <w:jc w:val="left"/>
              <w:rPr>
                <w:kern w:val="0"/>
                <w:sz w:val="24"/>
                <w:szCs w:val="24"/>
              </w:rPr>
            </w:pPr>
            <w:r w:rsidRPr="00232B03">
              <w:rPr>
                <w:kern w:val="0"/>
                <w:sz w:val="24"/>
                <w:szCs w:val="24"/>
              </w:rPr>
              <w:t>基金主代码</w:t>
            </w:r>
          </w:p>
        </w:tc>
        <w:tc>
          <w:tcPr>
            <w:tcW w:type="dxa" w:w="5479"/>
            <w:gridSpan w:val="2"/>
          </w:tcPr>
          <w:p w:rsidR="00750D48" w:rsidRDefault="00750D48" w:rsidRPr="00232B03">
            <w:pPr>
              <w:adjustRightInd w:val="0"/>
              <w:spacing w:before="29" w:line="360" w:lineRule="auto"/>
              <w:ind w:left="17"/>
              <w:jc w:val="lef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112002</w:t>
            </w:r>
          </w:p>
        </w:tc>
      </w:tr>
      <w:tr w:rsidR="00750D48" w:rsidRPr="00264E55" w:rsidTr="00D94B8D">
        <w:tc>
          <w:tcPr>
            <w:tcW w:type="dxa" w:w="2835"/>
          </w:tcPr>
          <w:p w:rsidP="00895A8A" w:rsidR="00750D48" w:rsidRDefault="00750D48" w:rsidRPr="00232B03">
            <w:pPr>
              <w:adjustRightInd w:val="0"/>
              <w:spacing w:before="29" w:line="360" w:lineRule="auto"/>
              <w:ind w:left="17"/>
              <w:jc w:val="left"/>
              <w:rPr>
                <w:kern w:val="0"/>
                <w:sz w:val="24"/>
                <w:szCs w:val="24"/>
              </w:rPr>
            </w:pPr>
            <w:r w:rsidRPr="00232B03">
              <w:rPr>
                <w:kern w:val="0"/>
                <w:sz w:val="24"/>
                <w:szCs w:val="24"/>
              </w:rPr>
              <w:t>交易代码</w:t>
            </w:r>
          </w:p>
        </w:tc>
        <w:tc>
          <w:tcPr>
            <w:tcW w:type="dxa" w:w="5479"/>
            <w:gridSpan w:val="2"/>
          </w:tcPr>
          <w:p w:rsidP="00895A8A" w:rsidR="00750D48" w:rsidRDefault="00750D48" w:rsidRPr="00232B03">
            <w:pPr>
              <w:adjustRightInd w:val="0"/>
              <w:spacing w:before="29" w:line="360" w:lineRule="auto"/>
              <w:ind w:left="17"/>
              <w:jc w:val="left"/>
              <w:rPr>
                <w:color w:val="000000"/>
                <w:kern w:val="0"/>
                <w:sz w:val="24"/>
                <w:szCs w:val="24"/>
              </w:rPr>
            </w:pPr>
            <w:r w:rsidRPr="00232B03">
              <w:rPr>
                <w:kern w:val="0"/>
                <w:sz w:val="24"/>
              </w:rPr>
              <w:t/>
            </w:r>
            <w:proofErr w:type="spellStart"/>
            <w:r w:rsidRPr="00232B03">
              <w:rPr>
                <w:kern w:val="0"/>
                <w:sz w:val="24"/>
              </w:rPr>
              <w:t/>
            </w:r>
            <w:proofErr w:type="spellEnd"/>
            <w:r w:rsidRPr="00232B03">
              <w:rPr>
                <w:kern w:val="0"/>
                <w:sz w:val="24"/>
              </w:rPr>
              <w:t/>
            </w:r>
            <w:proofErr w:type="spellStart"/>
            <w:r w:rsidRPr="00232B03">
              <w:rPr>
                <w:kern w:val="0"/>
                <w:sz w:val="24"/>
              </w:rPr>
              <w:t/>
            </w:r>
            <w:proofErr w:type="spellEnd"/>
            <w:r w:rsidRPr="00232B03">
              <w:rPr>
                <w:kern w:val="0"/>
                <w:sz w:val="24"/>
              </w:rPr>
              <w:t/>
            </w:r>
            <w:proofErr w:type="spellStart"/>
            <w:r w:rsidRPr="00232B03">
              <w:rPr>
                <w:kern w:val="0"/>
                <w:sz w:val="24"/>
              </w:rPr>
              <w:t/>
            </w:r>
            <w:proofErr w:type="spellEnd"/>
            <w:r w:rsidRPr="00232B03">
              <w:rPr>
                <w:kern w:val="0"/>
                <w:sz w:val="24"/>
              </w:rPr>
              <w:t>112002</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基金运作方式</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契约型开放式</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基金合同生效日</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2006年8月16日</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报告期末基金份额总额</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899,234,492.09</w:t>
            </w:r>
            <w:r w:rsidRPr="00232B03">
              <w:rPr>
                <w:color w:val="000000"/>
                <w:kern w:val="0"/>
                <w:sz w:val="24"/>
                <w:szCs w:val="24"/>
              </w:rPr>
              <w:t>份</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投资目标</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本基金通过投资兼具较高内在价值和良好成长性的股票，积极把握股票市场波动所带来的获利机会，努力为基金份额持有人追求较高的中长期资本增值。</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投资策略</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本基金投资的总体原则是在价值区域内把握波动，在波动中实现研究的“溢价”。基金采取相对稳定的资产配置策略，避免因过于主动的仓位调整带来额外的风险。同时，以雄厚的研究力量为依托，通过以价值成长比率（PEG）为核心的系统方法筛选出兼具较高内在价值及良好成长性的股票，并通过对相关行业和上市公司成长率变化的动态预测，积极把握行业/板块、个股的市场波动所带来的获利机会，为基金持有人追求较高的当期收益及长期资本增值。</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业绩比较基准</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上证A指收益率×75％+上证国债指数收益率×25％</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风险收益特征</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本基金为混合型基金，理论上其风险收益水平低于股票型基金，高于债券型基金及货币市场基金。</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基金管理人</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易方达基金管理有限公司</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基金托管人</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中国银行股份有限公司</w:t>
            </w:r>
          </w:p>
        </w:tc>
      </w:tr>
    </w:tbl>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3  </w:t>
      </w:r>
      <w:r w:rsidRPr="00264E55">
        <w:rPr>
          <w:rFonts w:ascii="宋体" w:hAnsi="宋体" w:hint="eastAsia"/>
          <w:color w:val="000000"/>
          <w:kern w:val="0"/>
          <w:sz w:val="24"/>
          <w:szCs w:val="24"/>
        </w:rPr>
        <w:t>主要财务指标和基金净值表现</w:t>
      </w:r>
    </w:p>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3.1 </w:t>
      </w:r>
      <w:r w:rsidRPr="00264E55">
        <w:rPr>
          <w:rFonts w:ascii="宋体" w:hAnsi="宋体" w:hint="eastAsia"/>
          <w:b/>
          <w:bCs/>
          <w:color w:val="000000"/>
          <w:kern w:val="0"/>
          <w:sz w:val="24"/>
          <w:szCs w:val="24"/>
        </w:rPr>
        <w:t>主要财务指标</w:t>
      </w:r>
    </w:p>
    <w:p w:rsidP="00392044" w:rsidR="00392044" w:rsidRDefault="00392044" w:rsidRPr="006506EF">
      <w:pPr>
        <w:autoSpaceDE w:val="0"/>
        <w:autoSpaceDN w:val="0"/>
        <w:adjustRightInd w:val="0"/>
        <w:spacing w:before="29" w:line="360" w:lineRule="auto"/>
        <w:ind w:left="15"/>
        <w:jc w:val="right"/>
        <w:rPr>
          <w:color w:val="000000"/>
          <w:kern w:val="0"/>
          <w:sz w:val="24"/>
        </w:rPr>
      </w:pPr>
      <w:r w:rsidRPr="006506EF">
        <w:rPr>
          <w:color w:val="000000"/>
          <w:kern w:val="0"/>
          <w:sz w:val="24"/>
        </w:rPr>
        <w:t>单位：人民币元</w:t>
      </w:r>
    </w:p>
    <w:tbl>
      <w:tblPr>
        <w:tblW w:type="dxa" w:w="836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402"/>
        <w:gridCol w:w="2552"/>
        <w:gridCol w:w="2410"/>
      </w:tblGrid>
      <w:tr w:rsidR="00392044" w:rsidRPr="006506EF" w:rsidTr="00C3442A">
        <w:tc>
          <w:tcPr>
            <w:tcW w:type="dxa" w:w="3402"/>
            <w:vAlign w:val="center"/>
          </w:tcPr>
          <w:p w:rsidP="00C3442A" w:rsidR="00392044" w:rsidRDefault="00392044" w:rsidRPr="006506EF">
            <w:pPr>
              <w:adjustRightInd w:val="0"/>
              <w:spacing w:before="29" w:line="360" w:lineRule="auto"/>
              <w:ind w:left="17"/>
              <w:jc w:val="center"/>
              <w:rPr>
                <w:kern w:val="0"/>
                <w:sz w:val="24"/>
              </w:rPr>
            </w:pPr>
            <w:r w:rsidRPr="006506EF">
              <w:rPr>
                <w:kern w:val="0"/>
                <w:sz w:val="24"/>
              </w:rPr>
              <w:t>主要财务指标</w:t>
            </w:r>
            <w:r w:rsidRPr="006506EF">
              <w:rPr>
                <w:kern w:val="0"/>
                <w:sz w:val="24"/>
              </w:rPr>
              <w:t/>
            </w:r>
            <w:proofErr w:type="spellStart"/>
            <w:r w:rsidRPr="006506EF">
              <w:rPr>
                <w:kern w:val="0"/>
                <w:sz w:val="24"/>
              </w:rPr>
              <w:t/>
            </w:r>
            <w:proofErr w:type="spellEnd"/>
            <w:r w:rsidRPr="006506EF">
              <w:rPr>
                <w:kern w:val="0"/>
                <w:sz w:val="24"/>
              </w:rPr>
              <w:t/>
            </w:r>
          </w:p>
        </w:tc>
        <w:tc>
          <w:tcPr>
            <w:tcW w:type="dxa" w:w="4962"/>
            <w:hMerge w:val="restart"/>
            <w:vAlign w:val="center"/>
          </w:tcPr>
          <w:p w:rsidP="00C3442A" w:rsidR="00392044" w:rsidRDefault="00392044" w:rsidRPr="006506EF">
            <w:pPr>
              <w:adjustRightInd w:val="0"/>
              <w:spacing w:before="29" w:line="360" w:lineRule="auto"/>
              <w:ind w:left="17"/>
              <w:jc w:val="center"/>
              <w:rPr>
                <w:color w:val="000000"/>
                <w:sz w:val="24"/>
              </w:rPr>
            </w:pPr>
            <w:r w:rsidRPr="006506EF">
              <w:rPr>
                <w:color w:val="000000"/>
                <w:sz w:val="24"/>
              </w:rPr>
              <w:t>报告期</w:t>
            </w:r>
          </w:p>
          <w:p w:rsidP="00C3442A" w:rsidR="00392044" w:rsidRDefault="00392044" w:rsidRPr="006506EF">
            <w:pPr>
              <w:adjustRightInd w:val="0"/>
              <w:spacing w:before="29" w:line="360" w:lineRule="auto"/>
              <w:ind w:left="17"/>
              <w:jc w:val="center"/>
              <w:rPr>
                <w:color w:val="000000"/>
                <w:sz w:val="24"/>
              </w:rPr>
            </w:pPr>
            <w:r w:rsidRPr="006506EF">
              <w:rPr>
                <w:color w:val="000000"/>
                <w:sz w:val="24"/>
              </w:rPr>
              <w:t>(</w:t>
            </w:r>
            <w:proofErr w:type="spellStart"/>
            <w:r w:rsidRPr="006506EF">
              <w:rPr>
                <w:color w:val="000000"/>
                <w:sz w:val="24"/>
              </w:rPr>
              <w:t/>
            </w:r>
            <w:proofErr w:type="spellEnd"/>
            <w:r w:rsidRPr="006506EF">
              <w:rPr>
                <w:color w:val="000000"/>
                <w:sz w:val="24"/>
              </w:rPr>
              <w:t>2020年7月1日-</w:t>
            </w:r>
            <w:proofErr w:type="spellStart"/>
            <w:r w:rsidRPr="006506EF">
              <w:rPr>
                <w:color w:val="000000"/>
                <w:sz w:val="24"/>
              </w:rPr>
              <w:t/>
            </w:r>
            <w:proofErr w:type="spellEnd"/>
            <w:r w:rsidRPr="006506EF">
              <w:rPr>
                <w:color w:val="000000"/>
                <w:sz w:val="24"/>
              </w:rPr>
              <w:t>2020年9月30日)</w:t>
            </w:r>
          </w:p>
        </w:tc>
        <w:tc>
          <w:tcPr>
            <w:tcW w:type="dxa" w:w="2410"/>
            <w:hMerge/>
          </w:tcPr>
          <w:p w:rsidP="00C3442A" w:rsidR="00392044" w:rsidRDefault="00392044" w:rsidRPr="006506EF">
            <w:pPr>
              <w:adjustRightInd w:val="0"/>
              <w:spacing w:before="29" w:line="360" w:lineRule="auto"/>
              <w:ind w:left="17"/>
              <w:jc w:val="center"/>
              <w:rPr>
                <w:color w:val="000000"/>
                <w:sz w:val="24"/>
              </w:rPr>
            </w:pPr>
            <w:r w:rsidRPr="006506EF">
              <w:rPr>
                <w:color w:val="000000"/>
                <w:sz w:val="24"/>
              </w:rPr>
              <w:t>上期金额</w:t>
            </w:r>
            <w:r w:rsidRPr="006506EF">
              <w:rPr>
                <w:color w:val="000000"/>
                <w:sz w:val="24"/>
              </w:rPr>
              <w:t/>
            </w:r>
            <w:proofErr w:type="spellStart"/>
            <w:r w:rsidRPr="006506EF">
              <w:rPr>
                <w:color w:val="000000"/>
                <w:sz w:val="24"/>
              </w:rPr>
              <w:t/>
            </w:r>
            <w:proofErr w:type="spellEnd"/>
            <w:r w:rsidRPr="006506EF">
              <w:rPr>
                <w:color w:val="000000"/>
                <w:sz w:val="24"/>
              </w:rPr>
              <w:t/>
            </w:r>
          </w:p>
        </w:tc>
      </w:tr>
      <w:tr w:rsidR="00392044" w:rsidRPr="006506EF" w:rsidTr="00C3442A">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1.</w:t>
            </w:r>
            <w:r w:rsidRPr="006506EF">
              <w:rPr>
                <w:kern w:val="0"/>
                <w:sz w:val="24"/>
              </w:rPr>
              <w:t>本期已实现收益</w:t>
            </w:r>
          </w:p>
        </w:tc>
        <w:tc>
          <w:tcPr>
            <w:tcW w:type="dxa" w:w="4962"/>
            <w:hMerge w:val="restart"/>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122,136,697.58</w:t>
            </w:r>
          </w:p>
        </w:tc>
        <w:tc>
          <w:tcPr>
            <w:tcW w:type="dxa" w:w="2410"/>
            <w:hMerge/>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2.</w:t>
            </w:r>
            <w:r w:rsidRPr="006506EF">
              <w:rPr>
                <w:kern w:val="0"/>
                <w:sz w:val="24"/>
              </w:rPr>
              <w:t>本期利润</w:t>
            </w:r>
          </w:p>
        </w:tc>
        <w:tc>
          <w:tcPr>
            <w:tcW w:type="dxa" w:w="4962"/>
            <w:hMerge w:val="restart"/>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36,877,567.86</w:t>
            </w:r>
          </w:p>
        </w:tc>
        <w:tc>
          <w:tcPr>
            <w:tcW w:type="dxa" w:w="2410"/>
            <w:hMerge/>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3.</w:t>
            </w:r>
            <w:r w:rsidRPr="006506EF">
              <w:rPr>
                <w:kern w:val="0"/>
                <w:sz w:val="24"/>
              </w:rPr>
              <w:t>加权平均基金份额本期利润</w:t>
            </w:r>
          </w:p>
        </w:tc>
        <w:tc>
          <w:tcPr>
            <w:tcW w:type="dxa" w:w="4962"/>
            <w:hMerge w:val="restart"/>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0.0398</w:t>
            </w:r>
          </w:p>
        </w:tc>
        <w:tc>
          <w:tcPr>
            <w:tcW w:type="dxa" w:w="2410"/>
            <w:hMerge/>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4.</w:t>
            </w:r>
            <w:r w:rsidRPr="006506EF">
              <w:rPr>
                <w:kern w:val="0"/>
                <w:sz w:val="24"/>
              </w:rPr>
              <w:t>期末基金资产净值</w:t>
            </w:r>
          </w:p>
        </w:tc>
        <w:tc>
          <w:tcPr>
            <w:tcW w:type="dxa" w:w="4962"/>
            <w:hMerge w:val="restart"/>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1,115,253,476.96</w:t>
            </w:r>
          </w:p>
        </w:tc>
        <w:tc>
          <w:tcPr>
            <w:tcW w:type="dxa" w:w="2410"/>
            <w:hMerge/>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r w:rsidR="00392044" w:rsidRPr="006506EF" w:rsidTr="00C3442A">
        <w:trPr>
          <w:trHeight w:val="158"/>
        </w:trPr>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5.</w:t>
            </w:r>
            <w:r w:rsidRPr="006506EF">
              <w:rPr>
                <w:kern w:val="0"/>
                <w:sz w:val="24"/>
              </w:rPr>
              <w:t>期末基金份额净值</w:t>
            </w:r>
          </w:p>
        </w:tc>
        <w:tc>
          <w:tcPr>
            <w:tcW w:type="dxa" w:w="4962"/>
            <w:hMerge w:val="restart"/>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1.240</w:t>
            </w:r>
          </w:p>
        </w:tc>
        <w:tc>
          <w:tcPr>
            <w:tcW w:type="dxa" w:w="2410"/>
            <w:hMerge/>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bl>
    <w:p>
      <w:pPr>
        <w:spacing w:line="360" w:lineRule="auto"/>
        <w:ind w:firstLine="480" w:firstLineChars="200"/>
        <w:rPr>
          <w:color w:val="000000"/>
          <w:sz w:val="24"/>
          <w:szCs w:val="24"/>
        </w:rPr>
      </w:pPr>
      <w:r>
        <w:rPr>
          <w:color w:val="000000"/>
          <w:sz w:val="24"/>
        </w:rPr>
        <w:t>注：1.所述基金业绩指标不包括持有人认购或交易基金的各项费用，计入费用后实际收益水平要低于所列数字。</w:t>
      </w:r>
    </w:p>
    <w:p w:rsidP="00232B03" w:rsidR="00750D48" w:rsidRDefault="00392044" w:rsidRPr="00232B03">
      <w:pPr>
        <w:spacing w:line="360" w:lineRule="auto"/>
        <w:ind w:firstLine="480" w:firstLineChars="200"/>
        <w:rPr>
          <w:color w:val="000000"/>
          <w:sz w:val="24"/>
          <w:szCs w:val="24"/>
        </w:rPr>
      </w:pPr>
      <w:r w:rsidRPr="006506EF">
        <w:rPr>
          <w:color w:val="000000"/>
          <w:sz w:val="24"/>
        </w:rPr>
        <w:t/>
      </w:r>
      <w:proofErr w:type="spellStart"/>
      <w:r w:rsidRPr="006506EF">
        <w:rPr>
          <w:color w:val="000000"/>
          <w:sz w:val="24"/>
        </w:rPr>
        <w:t/>
      </w:r>
      <w:proofErr w:type="spellEnd"/>
      <w:r w:rsidRPr="006506EF">
        <w:rPr>
          <w:color w:val="000000"/>
          <w:sz w:val="24"/>
        </w:rPr>
        <w:t/>
      </w:r>
      <w:proofErr w:type="spellStart"/>
      <w:proofErr w:type="gramStart"/>
      <w:r w:rsidRPr="006506EF">
        <w:rPr>
          <w:color w:val="000000"/>
          <w:sz w:val="24"/>
        </w:rPr>
        <w:t/>
      </w:r>
      <w:proofErr w:type="spellEnd"/>
      <w:proofErr w:type="gramEnd"/>
      <w:r w:rsidRPr="006506EF">
        <w:rPr>
          <w:color w:val="000000"/>
          <w:sz w:val="24"/>
        </w:rPr>
        <w:t>2.本期已实现收益指基金本期利息收入、投资收益、其他收入（不含公允价值变动收益）扣除相关费用后的余额，本期利润为本期已实现收益加上本期公允价值变动收益。</w:t>
      </w:r>
    </w:p>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3.2 </w:t>
      </w:r>
      <w:r w:rsidRPr="00264E55">
        <w:rPr>
          <w:rFonts w:ascii="宋体" w:hAnsi="宋体" w:hint="eastAsia"/>
          <w:b/>
          <w:bCs/>
          <w:color w:val="000000"/>
          <w:kern w:val="0"/>
          <w:sz w:val="24"/>
          <w:szCs w:val="24"/>
        </w:rPr>
        <w:t>基金净值表现</w:t>
      </w:r>
    </w:p>
    <w:p w:rsidP="009E7C6A" w:rsidR="00750D48" w:rsidRDefault="00750D48" w:rsidRPr="00264E55">
      <w:pPr>
        <w:autoSpaceDE w:val="0"/>
        <w:autoSpaceDN w:val="0"/>
        <w:adjustRightInd w:val="0"/>
        <w:spacing w:line="360" w:lineRule="auto"/>
        <w:jc w:val="left"/>
        <w:rPr>
          <w:rFonts w:ascii="宋体" w:cs="宋体"/>
          <w:b/>
          <w:bCs/>
          <w:color w:val="000000"/>
          <w:kern w:val="0"/>
          <w:sz w:val="24"/>
          <w:szCs w:val="24"/>
        </w:rPr>
      </w:pPr>
      <w:smartTag w:element="chsdate" w:uri="urn:schemas-microsoft-com:office:smarttags">
        <w:smartTagPr>
          <w:attr w:name="IsROCDate" w:val="False"/>
          <w:attr w:name="IsLunarDate" w:val="False"/>
          <w:attr w:name="Day" w:val="30"/>
          <w:attr w:name="Month" w:val="12"/>
          <w:attr w:name="Year" w:val="1899"/>
        </w:smartTagPr>
        <w:r w:rsidRPr="00264E55">
          <w:rPr>
            <w:rFonts w:ascii="宋体" w:hAnsi="宋体"/>
            <w:b/>
            <w:bCs/>
            <w:color w:val="000000"/>
            <w:kern w:val="0"/>
            <w:sz w:val="24"/>
            <w:szCs w:val="24"/>
          </w:rPr>
          <w:t>3.2.1</w:t>
        </w:r>
      </w:smartTag>
      <w:r w:rsidRPr="00264E55">
        <w:rPr>
          <w:rFonts w:ascii="宋体" w:cs="宋体" w:hAnsi="宋体" w:hint="eastAsia"/>
          <w:b/>
          <w:bCs/>
          <w:color w:val="000000"/>
          <w:kern w:val="0"/>
          <w:sz w:val="24"/>
          <w:szCs w:val="24"/>
        </w:rPr>
        <w:t>本报告</w:t>
      </w:r>
      <w:proofErr w:type="gramStart"/>
      <w:r w:rsidRPr="00264E55">
        <w:rPr>
          <w:rFonts w:ascii="宋体" w:cs="宋体" w:hAnsi="宋体" w:hint="eastAsia"/>
          <w:b/>
          <w:bCs/>
          <w:color w:val="000000"/>
          <w:kern w:val="0"/>
          <w:sz w:val="24"/>
          <w:szCs w:val="24"/>
        </w:rPr>
        <w:t>期基金</w:t>
      </w:r>
      <w:proofErr w:type="gramEnd"/>
      <w:r w:rsidRPr="00264E55">
        <w:rPr>
          <w:rFonts w:ascii="宋体" w:cs="宋体" w:hAnsi="宋体" w:hint="eastAsia"/>
          <w:b/>
          <w:bCs/>
          <w:color w:val="000000"/>
          <w:kern w:val="0"/>
          <w:sz w:val="24"/>
          <w:szCs w:val="24"/>
        </w:rPr>
        <w:t>份额净值增长率及其与同期业绩比较基准收益率的比较</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1395"/>
        <w:gridCol w:w="1092"/>
        <w:gridCol w:w="1161"/>
        <w:gridCol w:w="1181"/>
        <w:gridCol w:w="1188"/>
        <w:gridCol w:w="1199"/>
        <w:gridCol w:w="1204"/>
      </w:tblGrid>
      <w:tr w:rsidR="00750D48" w:rsidRPr="00264E55" w:rsidTr="00B05049">
        <w:tc>
          <w:tcPr>
            <w:tcW w:type="dxa" w:w="1395"/>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阶段</w:t>
            </w: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
            </w:r>
          </w:p>
        </w:tc>
        <w:tc>
          <w:tcPr>
            <w:tcW w:type="dxa" w:w="1092"/>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w:t>
            </w:r>
            <w:r w:rsidRPr="00232B03">
              <w:rPr>
                <w:rFonts w:ascii="宋体" w:cs="宋体" w:hAnsi="宋体" w:hint="eastAsia"/>
                <w:color w:val="000000"/>
                <w:kern w:val="0"/>
                <w:sz w:val="24"/>
                <w:szCs w:val="24"/>
              </w:rPr>
              <w:t>①</w:t>
            </w:r>
          </w:p>
        </w:tc>
        <w:tc>
          <w:tcPr>
            <w:tcW w:type="dxa" w:w="1161"/>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净值增长率标准差</w:t>
            </w:r>
            <w:r w:rsidRPr="00232B03">
              <w:rPr>
                <w:rFonts w:ascii="宋体" w:cs="宋体" w:hAnsi="宋体" w:hint="eastAsia"/>
                <w:color w:val="000000"/>
                <w:kern w:val="0"/>
                <w:sz w:val="24"/>
                <w:szCs w:val="24"/>
              </w:rPr>
              <w:t>②</w:t>
            </w:r>
          </w:p>
        </w:tc>
        <w:tc>
          <w:tcPr>
            <w:tcW w:type="dxa" w:w="1181"/>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w:t>
            </w:r>
            <w:r w:rsidRPr="00232B03">
              <w:rPr>
                <w:rFonts w:ascii="宋体" w:cs="宋体" w:hAnsi="宋体" w:hint="eastAsia"/>
                <w:color w:val="000000"/>
                <w:kern w:val="0"/>
                <w:sz w:val="24"/>
                <w:szCs w:val="24"/>
              </w:rPr>
              <w:lastRenderedPageBreak/>
              <w:t>③</w:t>
            </w:r>
          </w:p>
        </w:tc>
        <w:tc>
          <w:tcPr>
            <w:tcW w:type="dxa" w:w="1188"/>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lastRenderedPageBreak/>
              <w:t>业绩比较基准收益率</w:t>
            </w:r>
            <w:r w:rsidRPr="00232B03">
              <w:rPr>
                <w:color w:val="000000"/>
                <w:kern w:val="0"/>
                <w:sz w:val="24"/>
                <w:szCs w:val="24"/>
              </w:rPr>
              <w:lastRenderedPageBreak/>
              <w:t>标准差</w:t>
            </w:r>
            <w:r w:rsidRPr="00232B03">
              <w:rPr>
                <w:rFonts w:ascii="宋体" w:cs="宋体" w:hAnsi="宋体" w:hint="eastAsia"/>
                <w:color w:val="000000"/>
                <w:kern w:val="0"/>
                <w:sz w:val="24"/>
                <w:szCs w:val="24"/>
              </w:rPr>
              <w:t>④</w:t>
            </w:r>
          </w:p>
        </w:tc>
        <w:tc>
          <w:tcPr>
            <w:tcW w:type="dxa" w:w="1199"/>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rFonts w:ascii="宋体" w:cs="宋体" w:hAnsi="宋体" w:hint="eastAsia"/>
                <w:color w:val="000000"/>
                <w:kern w:val="0"/>
                <w:sz w:val="24"/>
                <w:szCs w:val="24"/>
              </w:rPr>
              <w:lastRenderedPageBreak/>
              <w:t>①</w:t>
            </w:r>
            <w:r w:rsidRPr="00232B03">
              <w:rPr>
                <w:color w:val="000000"/>
                <w:kern w:val="0"/>
                <w:sz w:val="24"/>
                <w:szCs w:val="24"/>
              </w:rPr>
              <w:t>-</w:t>
            </w:r>
            <w:r w:rsidRPr="00232B03">
              <w:rPr>
                <w:rFonts w:ascii="宋体" w:cs="宋体" w:hAnsi="宋体" w:hint="eastAsia"/>
                <w:color w:val="000000"/>
                <w:kern w:val="0"/>
                <w:sz w:val="24"/>
                <w:szCs w:val="24"/>
              </w:rPr>
              <w:t>③</w:t>
            </w:r>
          </w:p>
        </w:tc>
        <w:tc>
          <w:tcPr>
            <w:tcW w:type="dxa" w:w="1204"/>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rFonts w:ascii="宋体" w:cs="宋体" w:hAnsi="宋体" w:hint="eastAsia"/>
                <w:color w:val="000000"/>
                <w:kern w:val="0"/>
                <w:sz w:val="24"/>
                <w:szCs w:val="24"/>
              </w:rPr>
              <w:t>②</w:t>
            </w:r>
            <w:r w:rsidRPr="00232B03">
              <w:rPr>
                <w:color w:val="000000"/>
                <w:kern w:val="0"/>
                <w:sz w:val="24"/>
                <w:szCs w:val="24"/>
              </w:rPr>
              <w:t>-</w:t>
            </w:r>
            <w:r w:rsidRPr="00232B03">
              <w:rPr>
                <w:rFonts w:ascii="宋体" w:cs="宋体" w:hAnsi="宋体" w:hint="eastAsia"/>
                <w:color w:val="000000"/>
                <w:kern w:val="0"/>
                <w:sz w:val="24"/>
                <w:szCs w:val="24"/>
              </w:rPr>
              <w:t>④</w:t>
            </w:r>
          </w:p>
        </w:tc>
      </w:tr>
      <w:tr>
        <w:tc>
          <w:tcPr>
            <w:vAlign w:val="center"/>
          </w:tcPr>
          <w:p>
            <w:pPr>
              <w:jc w:val="left"/>
            </w:pPr>
            <w:r>
              <w:rPr>
                <w:color w:val="000000"/>
                <w:kern w:val="0"/>
                <w:sz w:val="24"/>
                <w:szCs w:val="24"/>
              </w:rPr>
              <w:t>过去三个月</w:t>
            </w:r>
          </w:p>
        </w:tc>
        <w:tc>
          <w:tcPr>
            <w:vAlign w:val="center"/>
          </w:tcPr>
          <w:p>
            <w:pPr>
              <w:jc w:val="center"/>
            </w:pPr>
            <w:r>
              <w:rPr>
                <w:color w:val="000000"/>
                <w:kern w:val="0"/>
                <w:sz w:val="24"/>
                <w:szCs w:val="24"/>
              </w:rPr>
              <w:t>2.72%</w:t>
            </w:r>
          </w:p>
        </w:tc>
        <w:tc>
          <w:tcPr>
            <w:vAlign w:val="center"/>
          </w:tcPr>
          <w:p>
            <w:pPr>
              <w:jc w:val="center"/>
            </w:pPr>
            <w:r>
              <w:rPr>
                <w:color w:val="000000"/>
                <w:kern w:val="0"/>
                <w:sz w:val="24"/>
                <w:szCs w:val="24"/>
              </w:rPr>
              <w:t>1.89%</w:t>
            </w:r>
          </w:p>
        </w:tc>
        <w:tc>
          <w:tcPr>
            <w:vAlign w:val="center"/>
          </w:tcPr>
          <w:p>
            <w:pPr>
              <w:jc w:val="center"/>
            </w:pPr>
            <w:r>
              <w:rPr>
                <w:color w:val="000000"/>
                <w:kern w:val="0"/>
                <w:sz w:val="24"/>
                <w:szCs w:val="24"/>
              </w:rPr>
              <w:t>5.94%</w:t>
            </w:r>
          </w:p>
        </w:tc>
        <w:tc>
          <w:tcPr>
            <w:vAlign w:val="center"/>
          </w:tcPr>
          <w:p>
            <w:pPr>
              <w:jc w:val="center"/>
            </w:pPr>
            <w:r>
              <w:rPr>
                <w:color w:val="000000"/>
                <w:kern w:val="0"/>
                <w:sz w:val="24"/>
                <w:szCs w:val="24"/>
              </w:rPr>
              <w:t>1.14%</w:t>
            </w:r>
          </w:p>
        </w:tc>
        <w:tc>
          <w:tcPr>
            <w:vAlign w:val="center"/>
          </w:tcPr>
          <w:p>
            <w:pPr>
              <w:jc w:val="center"/>
            </w:pPr>
            <w:r>
              <w:rPr>
                <w:color w:val="000000"/>
                <w:kern w:val="0"/>
                <w:sz w:val="24"/>
                <w:szCs w:val="24"/>
              </w:rPr>
              <w:t>-3.22%</w:t>
            </w:r>
          </w:p>
        </w:tc>
        <w:tc>
          <w:tcPr>
            <w:vAlign w:val="center"/>
          </w:tcPr>
          <w:p>
            <w:pPr>
              <w:jc w:val="center"/>
            </w:pPr>
            <w:r>
              <w:rPr>
                <w:color w:val="000000"/>
                <w:kern w:val="0"/>
                <w:sz w:val="24"/>
                <w:szCs w:val="24"/>
              </w:rPr>
              <w:t>0.75%</w:t>
            </w:r>
          </w:p>
        </w:tc>
      </w:tr>
      <w:tr>
        <w:tc>
          <w:tcPr>
            <w:vAlign w:val="center"/>
          </w:tcPr>
          <w:p>
            <w:pPr>
              <w:jc w:val="left"/>
            </w:pPr>
            <w:r>
              <w:rPr>
                <w:color w:val="000000"/>
                <w:kern w:val="0"/>
                <w:sz w:val="24"/>
                <w:szCs w:val="24"/>
              </w:rPr>
              <w:t>过去六个月</w:t>
            </w:r>
          </w:p>
        </w:tc>
        <w:tc>
          <w:tcPr>
            <w:vAlign w:val="center"/>
          </w:tcPr>
          <w:p>
            <w:pPr>
              <w:jc w:val="center"/>
            </w:pPr>
            <w:r>
              <w:rPr>
                <w:color w:val="000000"/>
                <w:kern w:val="0"/>
                <w:sz w:val="24"/>
                <w:szCs w:val="24"/>
              </w:rPr>
              <w:t>28.82%</w:t>
            </w:r>
          </w:p>
        </w:tc>
        <w:tc>
          <w:tcPr>
            <w:vAlign w:val="center"/>
          </w:tcPr>
          <w:p>
            <w:pPr>
              <w:jc w:val="center"/>
            </w:pPr>
            <w:r>
              <w:rPr>
                <w:color w:val="000000"/>
                <w:kern w:val="0"/>
                <w:sz w:val="24"/>
                <w:szCs w:val="24"/>
              </w:rPr>
              <w:t>1.63%</w:t>
            </w:r>
          </w:p>
        </w:tc>
        <w:tc>
          <w:tcPr>
            <w:vAlign w:val="center"/>
          </w:tcPr>
          <w:p>
            <w:pPr>
              <w:jc w:val="center"/>
            </w:pPr>
            <w:r>
              <w:rPr>
                <w:color w:val="000000"/>
                <w:kern w:val="0"/>
                <w:sz w:val="24"/>
                <w:szCs w:val="24"/>
              </w:rPr>
              <w:t>12.99%</w:t>
            </w:r>
          </w:p>
        </w:tc>
        <w:tc>
          <w:tcPr>
            <w:vAlign w:val="center"/>
          </w:tcPr>
          <w:p>
            <w:pPr>
              <w:jc w:val="center"/>
            </w:pPr>
            <w:r>
              <w:rPr>
                <w:color w:val="000000"/>
                <w:kern w:val="0"/>
                <w:sz w:val="24"/>
                <w:szCs w:val="24"/>
              </w:rPr>
              <w:t>0.92%</w:t>
            </w:r>
          </w:p>
        </w:tc>
        <w:tc>
          <w:tcPr>
            <w:vAlign w:val="center"/>
          </w:tcPr>
          <w:p>
            <w:pPr>
              <w:jc w:val="center"/>
            </w:pPr>
            <w:r>
              <w:rPr>
                <w:color w:val="000000"/>
                <w:kern w:val="0"/>
                <w:sz w:val="24"/>
                <w:szCs w:val="24"/>
              </w:rPr>
              <w:t>15.83%</w:t>
            </w:r>
          </w:p>
        </w:tc>
        <w:tc>
          <w:tcPr>
            <w:vAlign w:val="center"/>
          </w:tcPr>
          <w:p>
            <w:pPr>
              <w:jc w:val="center"/>
            </w:pPr>
            <w:r>
              <w:rPr>
                <w:color w:val="000000"/>
                <w:kern w:val="0"/>
                <w:sz w:val="24"/>
                <w:szCs w:val="24"/>
              </w:rPr>
              <w:t>0.71%</w:t>
            </w:r>
          </w:p>
        </w:tc>
      </w:tr>
      <w:tr>
        <w:tc>
          <w:tcPr>
            <w:vAlign w:val="center"/>
          </w:tcPr>
          <w:p>
            <w:pPr>
              <w:jc w:val="left"/>
            </w:pPr>
            <w:r>
              <w:rPr>
                <w:color w:val="000000"/>
                <w:kern w:val="0"/>
                <w:sz w:val="24"/>
                <w:szCs w:val="24"/>
              </w:rPr>
              <w:t>过去一年</w:t>
            </w:r>
          </w:p>
        </w:tc>
        <w:tc>
          <w:tcPr>
            <w:vAlign w:val="center"/>
          </w:tcPr>
          <w:p>
            <w:pPr>
              <w:jc w:val="center"/>
            </w:pPr>
            <w:r>
              <w:rPr>
                <w:color w:val="000000"/>
                <w:kern w:val="0"/>
                <w:sz w:val="24"/>
                <w:szCs w:val="24"/>
              </w:rPr>
              <w:t>28.19%</w:t>
            </w:r>
          </w:p>
        </w:tc>
        <w:tc>
          <w:tcPr>
            <w:vAlign w:val="center"/>
          </w:tcPr>
          <w:p>
            <w:pPr>
              <w:jc w:val="center"/>
            </w:pPr>
            <w:r>
              <w:rPr>
                <w:color w:val="000000"/>
                <w:kern w:val="0"/>
                <w:sz w:val="24"/>
                <w:szCs w:val="24"/>
              </w:rPr>
              <w:t>1.63%</w:t>
            </w:r>
          </w:p>
        </w:tc>
        <w:tc>
          <w:tcPr>
            <w:vAlign w:val="center"/>
          </w:tcPr>
          <w:p>
            <w:pPr>
              <w:jc w:val="center"/>
            </w:pPr>
            <w:r>
              <w:rPr>
                <w:color w:val="000000"/>
                <w:kern w:val="0"/>
                <w:sz w:val="24"/>
                <w:szCs w:val="24"/>
              </w:rPr>
              <w:t>9.18%</w:t>
            </w:r>
          </w:p>
        </w:tc>
        <w:tc>
          <w:tcPr>
            <w:vAlign w:val="center"/>
          </w:tcPr>
          <w:p>
            <w:pPr>
              <w:jc w:val="center"/>
            </w:pPr>
            <w:r>
              <w:rPr>
                <w:color w:val="000000"/>
                <w:kern w:val="0"/>
                <w:sz w:val="24"/>
                <w:szCs w:val="24"/>
              </w:rPr>
              <w:t>0.95%</w:t>
            </w:r>
          </w:p>
        </w:tc>
        <w:tc>
          <w:tcPr>
            <w:vAlign w:val="center"/>
          </w:tcPr>
          <w:p>
            <w:pPr>
              <w:jc w:val="center"/>
            </w:pPr>
            <w:r>
              <w:rPr>
                <w:color w:val="000000"/>
                <w:kern w:val="0"/>
                <w:sz w:val="24"/>
                <w:szCs w:val="24"/>
              </w:rPr>
              <w:t>19.01%</w:t>
            </w:r>
          </w:p>
        </w:tc>
        <w:tc>
          <w:tcPr>
            <w:vAlign w:val="center"/>
          </w:tcPr>
          <w:p>
            <w:pPr>
              <w:jc w:val="center"/>
            </w:pPr>
            <w:r>
              <w:rPr>
                <w:color w:val="000000"/>
                <w:kern w:val="0"/>
                <w:sz w:val="24"/>
                <w:szCs w:val="24"/>
              </w:rPr>
              <w:t>0.68%</w:t>
            </w:r>
          </w:p>
        </w:tc>
      </w:tr>
      <w:tr>
        <w:tc>
          <w:tcPr>
            <w:vAlign w:val="center"/>
          </w:tcPr>
          <w:p>
            <w:pPr>
              <w:jc w:val="left"/>
            </w:pPr>
            <w:r>
              <w:rPr>
                <w:color w:val="000000"/>
                <w:kern w:val="0"/>
                <w:sz w:val="24"/>
                <w:szCs w:val="24"/>
              </w:rPr>
              <w:t>过去三年</w:t>
            </w:r>
          </w:p>
        </w:tc>
        <w:tc>
          <w:tcPr>
            <w:vAlign w:val="center"/>
          </w:tcPr>
          <w:p>
            <w:pPr>
              <w:jc w:val="center"/>
            </w:pPr>
            <w:r>
              <w:rPr>
                <w:color w:val="000000"/>
                <w:kern w:val="0"/>
                <w:sz w:val="24"/>
                <w:szCs w:val="24"/>
              </w:rPr>
              <w:t>22.52%</w:t>
            </w:r>
          </w:p>
        </w:tc>
        <w:tc>
          <w:tcPr>
            <w:vAlign w:val="center"/>
          </w:tcPr>
          <w:p>
            <w:pPr>
              <w:jc w:val="center"/>
            </w:pPr>
            <w:r>
              <w:rPr>
                <w:color w:val="000000"/>
                <w:kern w:val="0"/>
                <w:sz w:val="24"/>
                <w:szCs w:val="24"/>
              </w:rPr>
              <w:t>1.51%</w:t>
            </w:r>
          </w:p>
        </w:tc>
        <w:tc>
          <w:tcPr>
            <w:vAlign w:val="center"/>
          </w:tcPr>
          <w:p>
            <w:pPr>
              <w:jc w:val="center"/>
            </w:pPr>
            <w:r>
              <w:rPr>
                <w:color w:val="000000"/>
                <w:kern w:val="0"/>
                <w:sz w:val="24"/>
                <w:szCs w:val="24"/>
              </w:rPr>
              <w:t>0.61%</w:t>
            </w:r>
          </w:p>
        </w:tc>
        <w:tc>
          <w:tcPr>
            <w:vAlign w:val="center"/>
          </w:tcPr>
          <w:p>
            <w:pPr>
              <w:jc w:val="center"/>
            </w:pPr>
            <w:r>
              <w:rPr>
                <w:color w:val="000000"/>
                <w:kern w:val="0"/>
                <w:sz w:val="24"/>
                <w:szCs w:val="24"/>
              </w:rPr>
              <w:t>0.91%</w:t>
            </w:r>
          </w:p>
        </w:tc>
        <w:tc>
          <w:tcPr>
            <w:vAlign w:val="center"/>
          </w:tcPr>
          <w:p>
            <w:pPr>
              <w:jc w:val="center"/>
            </w:pPr>
            <w:r>
              <w:rPr>
                <w:color w:val="000000"/>
                <w:kern w:val="0"/>
                <w:sz w:val="24"/>
                <w:szCs w:val="24"/>
              </w:rPr>
              <w:t>21.91%</w:t>
            </w:r>
          </w:p>
        </w:tc>
        <w:tc>
          <w:tcPr>
            <w:vAlign w:val="center"/>
          </w:tcPr>
          <w:p>
            <w:pPr>
              <w:jc w:val="center"/>
            </w:pPr>
            <w:r>
              <w:rPr>
                <w:color w:val="000000"/>
                <w:kern w:val="0"/>
                <w:sz w:val="24"/>
                <w:szCs w:val="24"/>
              </w:rPr>
              <w:t>0.60%</w:t>
            </w:r>
          </w:p>
        </w:tc>
      </w:tr>
      <w:tr>
        <w:tc>
          <w:tcPr>
            <w:vAlign w:val="center"/>
          </w:tcPr>
          <w:p>
            <w:pPr>
              <w:jc w:val="left"/>
            </w:pPr>
            <w:r>
              <w:rPr>
                <w:color w:val="000000"/>
                <w:kern w:val="0"/>
                <w:sz w:val="24"/>
                <w:szCs w:val="24"/>
              </w:rPr>
              <w:t>过去五年</w:t>
            </w:r>
          </w:p>
        </w:tc>
        <w:tc>
          <w:tcPr>
            <w:vAlign w:val="center"/>
          </w:tcPr>
          <w:p>
            <w:pPr>
              <w:jc w:val="center"/>
            </w:pPr>
            <w:r>
              <w:rPr>
                <w:color w:val="000000"/>
                <w:kern w:val="0"/>
                <w:sz w:val="24"/>
                <w:szCs w:val="24"/>
              </w:rPr>
              <w:t>19.18%</w:t>
            </w:r>
          </w:p>
        </w:tc>
        <w:tc>
          <w:tcPr>
            <w:vAlign w:val="center"/>
          </w:tcPr>
          <w:p>
            <w:pPr>
              <w:jc w:val="center"/>
            </w:pPr>
            <w:r>
              <w:rPr>
                <w:color w:val="000000"/>
                <w:kern w:val="0"/>
                <w:sz w:val="24"/>
                <w:szCs w:val="24"/>
              </w:rPr>
              <w:t>1.56%</w:t>
            </w:r>
          </w:p>
        </w:tc>
        <w:tc>
          <w:tcPr>
            <w:vAlign w:val="center"/>
          </w:tcPr>
          <w:p>
            <w:pPr>
              <w:jc w:val="center"/>
            </w:pPr>
            <w:r>
              <w:rPr>
                <w:color w:val="000000"/>
                <w:kern w:val="0"/>
                <w:sz w:val="24"/>
                <w:szCs w:val="24"/>
              </w:rPr>
              <w:t>9.29%</w:t>
            </w:r>
          </w:p>
        </w:tc>
        <w:tc>
          <w:tcPr>
            <w:vAlign w:val="center"/>
          </w:tcPr>
          <w:p>
            <w:pPr>
              <w:jc w:val="center"/>
            </w:pPr>
            <w:r>
              <w:rPr>
                <w:color w:val="000000"/>
                <w:kern w:val="0"/>
                <w:sz w:val="24"/>
                <w:szCs w:val="24"/>
              </w:rPr>
              <w:t>0.91%</w:t>
            </w:r>
          </w:p>
        </w:tc>
        <w:tc>
          <w:tcPr>
            <w:vAlign w:val="center"/>
          </w:tcPr>
          <w:p>
            <w:pPr>
              <w:jc w:val="center"/>
            </w:pPr>
            <w:r>
              <w:rPr>
                <w:color w:val="000000"/>
                <w:kern w:val="0"/>
                <w:sz w:val="24"/>
                <w:szCs w:val="24"/>
              </w:rPr>
              <w:t>9.89%</w:t>
            </w:r>
          </w:p>
        </w:tc>
        <w:tc>
          <w:tcPr>
            <w:vAlign w:val="center"/>
          </w:tcPr>
          <w:p>
            <w:pPr>
              <w:jc w:val="center"/>
            </w:pPr>
            <w:r>
              <w:rPr>
                <w:color w:val="000000"/>
                <w:kern w:val="0"/>
                <w:sz w:val="24"/>
                <w:szCs w:val="24"/>
              </w:rPr>
              <w:t>0.65%</w:t>
            </w:r>
          </w:p>
        </w:tc>
      </w:tr>
      <w:tr>
        <w:tc>
          <w:tcPr>
            <w:vAlign w:val="center"/>
          </w:tcPr>
          <w:p>
            <w:pPr>
              <w:jc w:val="left"/>
            </w:pPr>
            <w:r>
              <w:rPr>
                <w:color w:val="000000"/>
                <w:kern w:val="0"/>
                <w:sz w:val="24"/>
                <w:szCs w:val="24"/>
              </w:rPr>
              <w:t>自基金合同生效起至今</w:t>
            </w:r>
          </w:p>
        </w:tc>
        <w:tc>
          <w:tcPr>
            <w:vAlign w:val="center"/>
          </w:tcPr>
          <w:p>
            <w:pPr>
              <w:jc w:val="center"/>
            </w:pPr>
            <w:r>
              <w:rPr>
                <w:color w:val="000000"/>
                <w:kern w:val="0"/>
                <w:sz w:val="24"/>
                <w:szCs w:val="24"/>
              </w:rPr>
              <w:t>300.21%</w:t>
            </w:r>
          </w:p>
        </w:tc>
        <w:tc>
          <w:tcPr>
            <w:vAlign w:val="center"/>
          </w:tcPr>
          <w:p>
            <w:pPr>
              <w:jc w:val="center"/>
            </w:pPr>
            <w:r>
              <w:rPr>
                <w:color w:val="000000"/>
                <w:kern w:val="0"/>
                <w:sz w:val="24"/>
                <w:szCs w:val="24"/>
              </w:rPr>
              <w:t>1.59%</w:t>
            </w:r>
          </w:p>
        </w:tc>
        <w:tc>
          <w:tcPr>
            <w:vAlign w:val="center"/>
          </w:tcPr>
          <w:p>
            <w:pPr>
              <w:jc w:val="center"/>
            </w:pPr>
            <w:r>
              <w:rPr>
                <w:color w:val="000000"/>
                <w:kern w:val="0"/>
                <w:sz w:val="24"/>
                <w:szCs w:val="24"/>
              </w:rPr>
              <w:t>92.43%</w:t>
            </w:r>
          </w:p>
        </w:tc>
        <w:tc>
          <w:tcPr>
            <w:vAlign w:val="center"/>
          </w:tcPr>
          <w:p>
            <w:pPr>
              <w:jc w:val="center"/>
            </w:pPr>
            <w:r>
              <w:rPr>
                <w:color w:val="000000"/>
                <w:kern w:val="0"/>
                <w:sz w:val="24"/>
                <w:szCs w:val="24"/>
              </w:rPr>
              <w:t>1.22%</w:t>
            </w:r>
          </w:p>
        </w:tc>
        <w:tc>
          <w:tcPr>
            <w:vAlign w:val="center"/>
          </w:tcPr>
          <w:p>
            <w:pPr>
              <w:jc w:val="center"/>
            </w:pPr>
            <w:r>
              <w:rPr>
                <w:color w:val="000000"/>
                <w:kern w:val="0"/>
                <w:sz w:val="24"/>
                <w:szCs w:val="24"/>
              </w:rPr>
              <w:t>207.78%</w:t>
            </w:r>
          </w:p>
        </w:tc>
        <w:tc>
          <w:tcPr>
            <w:vAlign w:val="center"/>
          </w:tcPr>
          <w:p>
            <w:pPr>
              <w:jc w:val="center"/>
            </w:pPr>
            <w:r>
              <w:rPr>
                <w:color w:val="000000"/>
                <w:kern w:val="0"/>
                <w:sz w:val="24"/>
                <w:szCs w:val="24"/>
              </w:rPr>
              <w:t>0.37%</w:t>
            </w:r>
          </w:p>
        </w:tc>
      </w:tr>
    </w:tbl>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smartTag w:element="chsdate" w:uri="urn:schemas-microsoft-com:office:smarttags">
        <w:smartTagPr>
          <w:attr w:name="IsROCDate" w:val="False"/>
          <w:attr w:name="IsLunarDate" w:val="False"/>
          <w:attr w:name="Day" w:val="30"/>
          <w:attr w:name="Month" w:val="12"/>
          <w:attr w:name="Year" w:val="1899"/>
        </w:smartTagPr>
        <w:r w:rsidRPr="00264E55">
          <w:rPr>
            <w:rFonts w:ascii="宋体" w:hAnsi="宋体"/>
            <w:b/>
            <w:bCs/>
            <w:color w:val="000000"/>
            <w:kern w:val="0"/>
            <w:sz w:val="24"/>
            <w:szCs w:val="24"/>
          </w:rPr>
          <w:t>3.2.2</w:t>
        </w:r>
        <w:r w:rsidR="00D87469" w:rsidRPr="00370BEA">
          <w:rPr>
            <w:rStyle w:val="afb"/>
            <w:rFonts w:hint="eastAsia"/>
            <w:color w:val="000000"/>
            <w:sz w:val="24"/>
            <w:shd w:color="auto" w:fill="FFFFFF" w:val="clear"/>
          </w:rPr>
          <w:t/>
        </w:r>
        <w:proofErr w:type="spellStart"/>
        <w:r w:rsidR="00D87469" w:rsidRPr="00370BEA">
          <w:rPr>
            <w:rStyle w:val="afb"/>
            <w:rFonts w:hint="eastAsia"/>
            <w:color w:val="000000"/>
            <w:sz w:val="24"/>
            <w:shd w:color="auto" w:fill="FFFFFF" w:val="clear"/>
          </w:rPr>
          <w:t/>
        </w:r>
        <w:proofErr w:type="spellEnd"/>
        <w:r w:rsidR="00D87469" w:rsidRPr="00370BEA">
          <w:rPr>
            <w:rStyle w:val="afb"/>
            <w:rFonts w:hint="eastAsia"/>
            <w:color w:val="000000"/>
            <w:sz w:val="24"/>
            <w:shd w:color="auto" w:fill="FFFFFF" w:val="clear"/>
          </w:rPr>
          <w:t>自基金合同生效以来</w:t>
        </w:r>
      </w:smartTag>
      <w:r w:rsidRPr="00264E55">
        <w:rPr>
          <w:rFonts w:ascii="宋体" w:hAnsi="宋体" w:hint="eastAsia"/>
          <w:b/>
          <w:bCs/>
          <w:color w:val="000000"/>
          <w:kern w:val="0"/>
          <w:sz w:val="24"/>
          <w:szCs w:val="24"/>
        </w:rPr>
        <w:t>基金累计净值增长率变动及其与同期业绩比较基准收益率变动的比较</w:t>
      </w:r>
    </w:p>
    <w:p w:rsidP="009E7C6A" w:rsidR="00750D48" w:rsidRDefault="00750D48" w:rsidRPr="0074694E">
      <w:pPr>
        <w:spacing w:line="360" w:lineRule="auto"/>
        <w:jc w:val="center"/>
        <w:rPr>
          <w:color w:val="000000"/>
          <w:sz w:val="24"/>
          <w:szCs w:val="24"/>
        </w:rPr>
      </w:pPr>
      <w:r w:rsidRPr="0074694E">
        <w:rPr>
          <w:color w:val="000000"/>
          <w:sz w:val="24"/>
          <w:szCs w:val="24"/>
        </w:rPr>
        <w:t/>
      </w:r>
      <w:proofErr w:type="spellStart"/>
      <w:r w:rsidRPr="0074694E">
        <w:rPr>
          <w:color w:val="000000"/>
          <w:sz w:val="24"/>
          <w:szCs w:val="24"/>
        </w:rPr>
        <w:t/>
      </w:r>
      <w:proofErr w:type="spellEnd"/>
      <w:r w:rsidRPr="0074694E">
        <w:rPr>
          <w:color w:val="000000"/>
          <w:sz w:val="24"/>
          <w:szCs w:val="24"/>
        </w:rPr>
        <w:t>易方达策略成长二号混合型证券投资基金</w:t>
      </w:r>
    </w:p>
    <w:p w:rsidP="009E7C6A" w:rsidR="00750D48" w:rsidRDefault="00750D48" w:rsidRPr="0074694E">
      <w:pPr>
        <w:pStyle w:val="a5"/>
        <w:snapToGrid w:val="0"/>
        <w:spacing w:line="360" w:lineRule="auto"/>
        <w:jc w:val="center"/>
        <w:rPr>
          <w:rFonts w:ascii="Times New Roman" w:hAnsi="Times New Roman"/>
          <w:color w:val="000000"/>
          <w:sz w:val="24"/>
          <w:szCs w:val="24"/>
        </w:rPr>
      </w:pPr>
      <w:r w:rsidRPr="0074694E">
        <w:rPr>
          <w:rFonts w:ascii="Times New Roman" w:hAnsi="Times New Roman"/>
          <w:color w:val="000000"/>
          <w:sz w:val="24"/>
          <w:szCs w:val="24"/>
        </w:rPr>
        <w:t>累计净值增长率与业绩比较基准收益率的历史走势对比图</w:t>
      </w:r>
    </w:p>
    <w:p w:rsidP="009E7C6A" w:rsidR="00750D48" w:rsidRDefault="005F7917" w:rsidRPr="0074694E">
      <w:pPr>
        <w:pStyle w:val="a5"/>
        <w:snapToGrid w:val="0"/>
        <w:spacing w:line="360" w:lineRule="auto"/>
        <w:ind w:firstLine="480"/>
        <w:jc w:val="center"/>
        <w:rPr>
          <w:rFonts w:ascii="Times New Roman" w:hAnsi="Times New Roman"/>
          <w:sz w:val="24"/>
          <w:szCs w:val="24"/>
        </w:rPr>
      </w:pPr>
      <w:r w:rsidRPr="0074694E">
        <w:rPr>
          <w:rFonts w:ascii="Times New Roman" w:hAnsi="Times New Roman"/>
          <w:sz w:val="24"/>
          <w:szCs w:val="24"/>
        </w:rPr>
        <w:t>（</w:t>
      </w:r>
      <w:r w:rsidRPr="0074694E">
        <w:rPr>
          <w:rFonts w:ascii="Times New Roman" w:hAnsi="Times New Roman"/>
          <w:sz w:val="24"/>
          <w:szCs w:val="24"/>
        </w:rPr>
        <w:t/>
      </w:r>
      <w:proofErr w:type="spellStart"/>
      <w:r w:rsidRPr="0074694E">
        <w:rPr>
          <w:rFonts w:ascii="Times New Roman" w:hAnsi="Times New Roman"/>
          <w:sz w:val="24"/>
          <w:szCs w:val="24"/>
        </w:rPr>
        <w:t/>
      </w:r>
      <w:proofErr w:type="spellEnd"/>
      <w:r w:rsidRPr="0074694E">
        <w:rPr>
          <w:rFonts w:ascii="Times New Roman" w:hAnsi="Times New Roman"/>
          <w:sz w:val="24"/>
          <w:szCs w:val="24"/>
        </w:rPr>
        <w:t>2006年8月16日</w:t>
      </w:r>
      <w:r w:rsidRPr="0074694E">
        <w:rPr>
          <w:rFonts w:ascii="Times New Roman" w:hAnsi="Times New Roman"/>
          <w:sz w:val="24"/>
          <w:szCs w:val="24"/>
        </w:rPr>
        <w:t>至</w:t>
      </w:r>
      <w:r w:rsidRPr="0074694E">
        <w:rPr>
          <w:rFonts w:ascii="Times New Roman" w:hAnsi="Times New Roman"/>
          <w:sz w:val="24"/>
          <w:szCs w:val="24"/>
        </w:rPr>
        <w:t/>
      </w:r>
      <w:proofErr w:type="spellStart"/>
      <w:r w:rsidRPr="0074694E">
        <w:rPr>
          <w:rFonts w:ascii="Times New Roman" w:hAnsi="Times New Roman"/>
          <w:sz w:val="24"/>
          <w:szCs w:val="24"/>
        </w:rPr>
        <w:t/>
      </w:r>
      <w:proofErr w:type="spellEnd"/>
      <w:r w:rsidRPr="0074694E">
        <w:rPr>
          <w:rFonts w:ascii="Times New Roman" w:hAnsi="Times New Roman"/>
          <w:sz w:val="24"/>
          <w:szCs w:val="24"/>
        </w:rPr>
        <w:t>2020年9月30日</w:t>
      </w:r>
      <w:r w:rsidRPr="0074694E">
        <w:rPr>
          <w:rFonts w:ascii="Times New Roman" w:hAnsi="Times New Roman"/>
          <w:sz w:val="24"/>
          <w:szCs w:val="24"/>
        </w:rPr>
        <w:t>）</w:t>
      </w:r>
    </w:p>
    <w:p w:rsidP="004061AC" w:rsidR="00750D48" w:rsidRDefault="000D33A8" w:rsidRPr="00264E55">
      <w:pPr>
        <w:pStyle w:val="a5"/>
        <w:snapToGrid w:val="0"/>
        <w:spacing w:before="120" w:line="360" w:lineRule="auto"/>
        <w:jc w:val="center"/>
        <w:rPr>
          <w:rFonts w:hAnsi="宋体"/>
          <w:color w:val="000000"/>
          <w:sz w:val="24"/>
          <w:szCs w:val="24"/>
        </w:rPr>
      </w:pPr>
      <w:r>
        <w:rPr>
          <w:rFonts w:hAnsi="宋体"/>
          <w:noProof/>
          <w:color w:val="000000"/>
          <w:sz w:val="24"/>
          <w:szCs w:val="24"/>
        </w:rPr>
        <w:pi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图片 1" o:spid="_x0000_i1025" style="width:412.5pt;height:241.5pt;visibility:visible" type="#_x0000_t75">
            <v:imagedata o:title="" r:id="rId11"/>
          </v:shape>
        </w:pic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注：自基金合同生效至报告期末，基金份额净值增长率为300.21%，同期业绩比较基准收益率为92.43%。</w:t>
      </w:r>
    </w:p>
    <w:p w:rsidP="00693843" w:rsidR="00750D48" w:rsidRDefault="00750D48" w:rsidRPr="00232B03">
      <w:pPr>
        <w:tabs>
          <w:tab w:pos="1800" w:val="left"/>
        </w:tabs>
        <w:spacing w:line="288" w:lineRule="auto"/>
        <w:rPr>
          <w:color w:val="000000"/>
          <w:sz w:val="24"/>
          <w:szCs w:val="24"/>
        </w:rPr>
      </w:pP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4  </w:t>
      </w:r>
      <w:r w:rsidRPr="00264E55">
        <w:rPr>
          <w:rFonts w:ascii="宋体" w:hAnsi="宋体" w:hint="eastAsia"/>
          <w:color w:val="000000"/>
          <w:kern w:val="0"/>
          <w:sz w:val="24"/>
          <w:szCs w:val="24"/>
        </w:rPr>
        <w:t>管理人报告</w:t>
      </w:r>
    </w:p>
    <w:p w:rsidP="004D28A3" w:rsidR="004D28A3" w:rsidRDefault="00750D48" w:rsidRPr="0078105B">
      <w:pPr>
        <w:autoSpaceDE w:val="0"/>
        <w:autoSpaceDN w:val="0"/>
        <w:adjustRightInd w:val="0"/>
        <w:spacing w:line="360" w:lineRule="auto"/>
        <w:jc w:val="left"/>
        <w:rPr>
          <w:rFonts w:ascii="宋体" w:cs="Arial"/>
          <w:b/>
          <w:color w:val="000000"/>
          <w:kern w:val="0"/>
          <w:sz w:val="24"/>
        </w:rPr>
      </w:pPr>
      <w:r w:rsidRPr="00264E55">
        <w:rPr>
          <w:rFonts w:ascii="宋体" w:hAnsi="宋体"/>
          <w:b/>
          <w:bCs/>
          <w:color w:val="000000"/>
          <w:kern w:val="0"/>
          <w:sz w:val="24"/>
          <w:szCs w:val="24"/>
        </w:rPr>
        <w:t xml:space="preserve">4.1 </w:t>
      </w:r>
      <w:r w:rsidRPr="00264E55">
        <w:rPr>
          <w:rFonts w:ascii="宋体" w:hAnsi="宋体" w:hint="eastAsia"/>
          <w:b/>
          <w:bCs/>
          <w:color w:val="000000"/>
          <w:kern w:val="0"/>
          <w:sz w:val="24"/>
          <w:szCs w:val="24"/>
        </w:rPr>
        <w:t>基金经理</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或基金经理小组</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简介</w:t>
      </w:r>
    </w:p>
    <w:tbl>
      <w:tblPr>
        <w:tblW w:type="dxa" w:w="8931"/>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567"/>
        <w:gridCol w:w="2835"/>
        <w:gridCol w:w="851"/>
        <w:gridCol w:w="850"/>
        <w:gridCol w:w="851"/>
        <w:gridCol w:w="2977"/>
      </w:tblGrid>
      <w:tr w:rsidR="004D28A3" w:rsidRPr="0078105B" w:rsidTr="003328D9">
        <w:trPr>
          <w:cantSplit/>
        </w:trPr>
        <w:tc>
          <w:tcPr>
            <w:tcW w:type="dxa" w:w="567"/>
            <w:vMerge w:val="restart"/>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type="dxa" w:w="2835"/>
            <w:vMerge w:val="restart"/>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type="dxa" w:w="1701"/>
            <w:gridSpan w:val="2"/>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type="dxa" w:w="851"/>
            <w:vMerge w:val="restart"/>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type="dxa" w:w="2977"/>
            <w:vMerge w:val="restart"/>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4D28A3" w:rsidRPr="0078105B" w:rsidTr="003328D9">
        <w:trPr>
          <w:cantSplit/>
        </w:trPr>
        <w:tc>
          <w:tcPr>
            <w:tcW w:type="dxa" w:w="567"/>
            <w:vMerge/>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p>
        </w:tc>
        <w:tc>
          <w:tcPr>
            <w:tcW w:type="dxa" w:w="2835"/>
            <w:vMerge/>
          </w:tcPr>
          <w:p w:rsidP="003328D9" w:rsidR="004D28A3" w:rsidRDefault="004D28A3" w:rsidRPr="00FA472B">
            <w:pPr>
              <w:autoSpaceDE w:val="0"/>
              <w:autoSpaceDN w:val="0"/>
              <w:adjustRightInd w:val="0"/>
              <w:spacing w:before="29" w:line="288" w:lineRule="auto"/>
              <w:ind w:left="15"/>
              <w:jc w:val="center"/>
              <w:rPr>
                <w:color w:val="000000"/>
                <w:kern w:val="0"/>
                <w:sz w:val="24"/>
              </w:rPr>
            </w:pPr>
          </w:p>
        </w:tc>
        <w:tc>
          <w:tcPr>
            <w:tcW w:type="dxa" w:w="851"/>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type="dxa" w:w="850"/>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type="dxa" w:w="851"/>
            <w:vMerge/>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p>
        </w:tc>
        <w:tc>
          <w:tcPr>
            <w:tcW w:type="dxa" w:w="2977"/>
            <w:vMerge/>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蔡荣成</w:t>
            </w:r>
          </w:p>
        </w:tc>
        <w:tc>
          <w:tcPr>
            <w:vAlign w:val="center"/>
          </w:tcPr>
          <w:p>
            <w:pPr>
              <w:jc w:val="left"/>
            </w:pPr>
            <w:r>
              <w:rPr>
                <w:color w:val="000000"/>
                <w:sz w:val="24"/>
              </w:rPr>
              <w:t>本基金的基金经理、易方达策略成长证券投资基金的基金经理、行业研究员</w:t>
            </w:r>
          </w:p>
        </w:tc>
        <w:tc>
          <w:tcPr>
            <w:vAlign w:val="center"/>
          </w:tcPr>
          <w:p>
            <w:pPr>
              <w:jc w:val="center"/>
            </w:pPr>
            <w:r>
              <w:rPr>
                <w:color w:val="000000"/>
                <w:sz w:val="24"/>
              </w:rPr>
              <w:t>2020-06-06</w:t>
            </w:r>
          </w:p>
        </w:tc>
        <w:tc>
          <w:tcPr>
            <w:vAlign w:val="center"/>
          </w:tcPr>
          <w:p>
            <w:pPr>
              <w:jc w:val="center"/>
            </w:pPr>
            <w:r>
              <w:rPr>
                <w:color w:val="000000"/>
                <w:sz w:val="24"/>
              </w:rPr>
              <w:t>-</w:t>
            </w:r>
          </w:p>
        </w:tc>
        <w:tc>
          <w:tcPr>
            <w:vAlign w:val="center"/>
          </w:tcPr>
          <w:p>
            <w:pPr>
              <w:jc w:val="center"/>
            </w:pPr>
            <w:r>
              <w:rPr>
                <w:color w:val="000000"/>
                <w:sz w:val="24"/>
              </w:rPr>
              <w:t>5年</w:t>
            </w:r>
          </w:p>
        </w:tc>
        <w:tc>
          <w:tcPr>
            <w:vAlign w:val="center"/>
          </w:tcPr>
          <w:p>
            <w:pPr>
              <w:jc w:val="both"/>
            </w:pPr>
            <w:r>
              <w:rPr>
                <w:color w:val="000000"/>
                <w:sz w:val="24"/>
              </w:rPr>
              <w:t>硕士研究生，具有基金从业资格。曾任易方达基金管理有限公司易方达科技创新混合型证券投资基金基金经理、基金经理助理。</w:t>
            </w:r>
          </w:p>
        </w:tc>
      </w:tr>
    </w:tbl>
    <w:p>
      <w:pPr>
        <w:tabs>
          <w:tab w:pos="426" w:val="left"/>
        </w:tabs>
        <w:spacing w:line="360" w:lineRule="auto"/>
        <w:ind w:firstLine="480" w:firstLineChars="200"/>
        <w:rPr>
          <w:kern w:val="0"/>
        </w:rPr>
      </w:pPr>
      <w:r>
        <w:rPr>
          <w:color w:val="000000"/>
          <w:sz w:val="24"/>
          <w:szCs w:val="24"/>
        </w:rPr>
        <w:t>注：1.对基金的首任基金经理，其“任职日期”为基金合同生效日，“离任日期”为根据公司决定确定的解聘日期；对此后的非首任基金经理，“任职日期”和“离任日期”分别指根据公司决定确定的聘任日期和解聘日期。</w:t>
      </w:r>
    </w:p>
    <w:p w:rsidP="00C71BA1" w:rsidR="00C71BA1" w:rsidRDefault="004D28A3" w:rsidRPr="00AF5C11">
      <w:pPr>
        <w:tabs>
          <w:tab w:pos="426" w:val="left"/>
        </w:tabs>
        <w:spacing w:line="360" w:lineRule="auto"/>
        <w:ind w:firstLine="480" w:firstLineChars="200"/>
        <w:rPr>
          <w:kern w:val="0"/>
        </w:rPr>
      </w:pPr>
      <w:r w:rsidRPr="004D28A3">
        <w:rPr>
          <w:color w:val="000000"/>
          <w:sz w:val="24"/>
          <w:szCs w:val="24"/>
        </w:rPr>
        <w:t/>
      </w:r>
      <w:proofErr w:type="gramStart"/>
      <w:r w:rsidRPr="004D28A3">
        <w:rPr>
          <w:color w:val="000000"/>
          <w:sz w:val="24"/>
          <w:szCs w:val="24"/>
        </w:rPr>
        <w:t/>
      </w:r>
      <w:proofErr w:type="gramEnd"/>
      <w:r w:rsidRPr="004D28A3">
        <w:rPr>
          <w:color w:val="000000"/>
          <w:sz w:val="24"/>
          <w:szCs w:val="24"/>
        </w:rPr>
        <w:t>2.证券从业的含义遵从《证券业从业人员资格管理办法》的相关规定。</w:t>
      </w:r>
    </w:p>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4.2 </w:t>
      </w:r>
      <w:r w:rsidRPr="00264E55">
        <w:rPr>
          <w:rFonts w:ascii="宋体" w:hAnsi="宋体" w:hint="eastAsia"/>
          <w:b/>
          <w:bCs/>
          <w:color w:val="000000"/>
          <w:kern w:val="0"/>
          <w:sz w:val="24"/>
          <w:szCs w:val="24"/>
        </w:rPr>
        <w:t>管理人对报告期内本基金运作遵规守信情况的说明</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4.3 </w:t>
      </w:r>
      <w:r w:rsidRPr="00264E55">
        <w:rPr>
          <w:rFonts w:ascii="宋体" w:hAnsi="宋体" w:hint="eastAsia"/>
          <w:b/>
          <w:bCs/>
          <w:color w:val="000000"/>
          <w:kern w:val="0"/>
          <w:sz w:val="24"/>
          <w:szCs w:val="24"/>
        </w:rPr>
        <w:t>公平交易专项说明</w:t>
      </w:r>
    </w:p>
    <w:p w:rsidP="009E7C6A" w:rsidR="00750D48" w:rsidRDefault="00750D48" w:rsidRPr="008768CB">
      <w:pPr>
        <w:spacing w:line="360" w:lineRule="auto"/>
        <w:rPr>
          <w:b/>
          <w:color w:val="000000"/>
          <w:sz w:val="24"/>
          <w:szCs w:val="24"/>
        </w:rPr>
      </w:pPr>
      <w:smartTag w:element="chsdate" w:uri="urn:schemas-microsoft-com:office:smarttags">
        <w:smartTagPr>
          <w:attr w:name="Year" w:val="1899"/>
          <w:attr w:name="Month" w:val="12"/>
          <w:attr w:name="Day" w:val="30"/>
          <w:attr w:name="IsLunarDate" w:val="False"/>
          <w:attr w:name="IsROCDate" w:val="False"/>
        </w:smartTagPr>
        <w:r w:rsidRPr="008768CB">
          <w:rPr>
            <w:b/>
            <w:color w:val="000000"/>
            <w:sz w:val="24"/>
            <w:szCs w:val="24"/>
          </w:rPr>
          <w:t>4.3.1</w:t>
        </w:r>
      </w:smartTag>
      <w:r w:rsidRPr="008768CB">
        <w:rPr>
          <w:b/>
          <w:color w:val="000000"/>
          <w:sz w:val="24"/>
          <w:szCs w:val="24"/>
        </w:rPr>
        <w:t>公平交易制度的执行情况</w:t>
      </w:r>
    </w:p>
    <w:p w:rsidP="00EB572F" w:rsidR="00750D48" w:rsidRDefault="00750D48" w:rsidRPr="000018BC">
      <w:pPr>
        <w:spacing w:line="360" w:lineRule="auto"/>
        <w:ind w:firstLine="480" w:firstLineChars="200"/>
        <w:rPr>
          <w:color w:val="000000"/>
          <w:sz w:val="24"/>
          <w:szCs w:val="24"/>
        </w:rPr>
      </w:pPr>
      <w:r w:rsidRPr="000018BC">
        <w:rPr>
          <w:color w:val="000000"/>
          <w:sz w:val="24"/>
          <w:szCs w:val="24"/>
        </w:rPr>
        <w:t/>
      </w:r>
      <w:proofErr w:type="spellStart"/>
      <w:proofErr w:type="gramStart"/>
      <w:r w:rsidRPr="000018BC">
        <w:rPr>
          <w:color w:val="000000"/>
          <w:sz w:val="24"/>
          <w:szCs w:val="24"/>
        </w:rPr>
        <w:t/>
      </w:r>
      <w:proofErr w:type="spellEnd"/>
      <w:proofErr w:type="gramEnd"/>
      <w:r w:rsidRPr="000018BC">
        <w:rPr>
          <w:color w:val="000000"/>
          <w:sz w:val="24"/>
          <w:szCs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时间优先、价格优先”作为执行指令的基本原则，通过投资交易系统中的公平交易模块，以尽可能确保公平对待各投资组合。本报告期内，公平交易制度总体执行情况良好。</w:t>
      </w:r>
    </w:p>
    <w:p w:rsidP="009E7C6A" w:rsidR="00750D48" w:rsidRDefault="00750D48" w:rsidRPr="008768CB">
      <w:pPr>
        <w:spacing w:line="360" w:lineRule="auto"/>
        <w:rPr>
          <w:b/>
          <w:color w:val="000000"/>
          <w:sz w:val="24"/>
          <w:szCs w:val="24"/>
        </w:rPr>
      </w:pPr>
      <w:smartTag w:element="chsdate" w:uri="urn:schemas-microsoft-com:office:smarttags">
        <w:smartTagPr>
          <w:attr w:name="Year" w:val="1899"/>
          <w:attr w:name="Month" w:val="12"/>
          <w:attr w:name="Day" w:val="30"/>
          <w:attr w:name="IsLunarDate" w:val="False"/>
          <w:attr w:name="IsROCDate" w:val="False"/>
        </w:smartTagPr>
        <w:r w:rsidRPr="008768CB">
          <w:rPr>
            <w:b/>
            <w:color w:val="000000"/>
            <w:sz w:val="24"/>
            <w:szCs w:val="24"/>
          </w:rPr>
          <w:t>4.3.2</w:t>
        </w:r>
      </w:smartTag>
      <w:r w:rsidRPr="008768CB">
        <w:rPr>
          <w:b/>
          <w:color w:val="000000"/>
          <w:sz w:val="24"/>
          <w:szCs w:val="24"/>
        </w:rPr>
        <w:t>异常交易行为的专项说明</w:t>
      </w:r>
    </w:p>
    <w:p>
      <w:pPr>
        <w:spacing w:line="360" w:lineRule="auto"/>
        <w:ind w:firstLine="480" w:firstLineChars="200"/>
        <w:rPr>
          <w:rFonts w:ascii="宋体"/>
          <w:b/>
          <w:bCs/>
          <w:color w:val="000000"/>
          <w:kern w:val="0"/>
          <w:sz w:val="24"/>
          <w:szCs w:val="24"/>
        </w:rPr>
      </w:pPr>
      <w:r>
        <w:rPr>
          <w:color w:val="000000"/>
          <w:sz w:val="24"/>
          <w:szCs w:val="24"/>
        </w:rPr>
        <w:t>本报告期内，公司旗下所有投资组合参与的交易所公开竞价交易中，同日反向交易成交较少的单边交易量超过该证券当日成交量的5%的交易共8次，均为指数量化投资组合因投资策略需要和其他组合发生的反向交易。</w:t>
      </w:r>
    </w:p>
    <w:p w:rsidP="00306390" w:rsidR="00750D48" w:rsidRDefault="00750D48" w:rsidRPr="00264E55">
      <w:pPr>
        <w:spacing w:line="360" w:lineRule="auto"/>
        <w:ind w:firstLine="480" w:firstLineChars="200"/>
        <w:rPr>
          <w:rFonts w:ascii="宋体"/>
          <w:b/>
          <w:bCs/>
          <w:color w:val="000000"/>
          <w:kern w:val="0"/>
          <w:sz w:val="24"/>
          <w:szCs w:val="24"/>
        </w:rPr>
      </w:pPr>
      <w:r w:rsidRPr="000018BC">
        <w:rPr>
          <w:color w:val="000000"/>
          <w:sz w:val="24"/>
          <w:szCs w:val="24"/>
        </w:rPr>
        <w:t/>
      </w:r>
      <w:proofErr w:type="spellStart"/>
      <w:r w:rsidRPr="000018BC">
        <w:rPr>
          <w:color w:val="000000"/>
          <w:sz w:val="24"/>
          <w:szCs w:val="24"/>
        </w:rPr>
        <w:t/>
      </w:r>
      <w:proofErr w:type="spellEnd"/>
      <w:r w:rsidRPr="000018BC">
        <w:rPr>
          <w:color w:val="000000"/>
          <w:sz w:val="24"/>
          <w:szCs w:val="24"/>
        </w:rPr>
        <w:t>本报告期内，未发现本基金有可能导致不公平交易和利益输送的异常交易。</w:t>
      </w:r>
      <w:r w:rsidR="00306390" w:rsidRPr="00264E55">
        <w:rPr>
          <w:rFonts w:ascii="宋体"/>
          <w:b/>
          <w:bCs/>
          <w:color w:val="000000"/>
          <w:kern w:val="0"/>
          <w:sz w:val="24"/>
          <w:szCs w:val="24"/>
        </w:rPr>
        <w:t xml:space="preserve"> </w:t>
      </w:r>
    </w:p>
    <w:p w:rsidP="00306390" w:rsidR="00750D48" w:rsidRDefault="00306390" w:rsidRPr="00306390">
      <w:pPr>
        <w:autoSpaceDE w:val="0"/>
        <w:autoSpaceDN w:val="0"/>
        <w:adjustRightInd w:val="0"/>
        <w:spacing w:line="360" w:lineRule="auto"/>
        <w:jc w:val="left"/>
        <w:rPr>
          <w:rFonts w:ascii="宋体" w:hAnsi="宋体"/>
          <w:b/>
          <w:bCs/>
          <w:color w:val="000000"/>
          <w:kern w:val="0"/>
          <w:sz w:val="24"/>
          <w:szCs w:val="24"/>
        </w:rPr>
      </w:pPr>
      <w:r w:rsidRPr="00264E55">
        <w:rPr>
          <w:rFonts w:ascii="宋体" w:hAnsi="宋体"/>
          <w:b/>
          <w:bCs/>
          <w:color w:val="000000"/>
          <w:kern w:val="0"/>
          <w:sz w:val="24"/>
          <w:szCs w:val="24"/>
        </w:rPr>
        <w:t>4.4</w:t>
      </w:r>
      <w:r>
        <w:rPr>
          <w:rFonts w:ascii="宋体" w:hAnsi="宋体" w:hint="eastAsia"/>
          <w:b/>
          <w:bCs/>
          <w:color w:val="000000"/>
          <w:kern w:val="0"/>
          <w:sz w:val="24"/>
          <w:szCs w:val="24"/>
        </w:rPr>
        <w:t xml:space="preserve"> </w:t>
      </w:r>
      <w:r w:rsidR="00750D48" w:rsidRPr="00306390">
        <w:rPr>
          <w:rFonts w:ascii="宋体" w:hAnsi="宋体"/>
          <w:b/>
          <w:bCs/>
          <w:color w:val="000000"/>
          <w:kern w:val="0"/>
          <w:sz w:val="24"/>
          <w:szCs w:val="24"/>
        </w:rPr>
        <w:t>报告期内基金投资策略和运作分析</w:t>
      </w:r>
    </w:p>
    <w:p>
      <w:pPr>
        <w:spacing w:line="360" w:lineRule="auto"/>
        <w:ind w:firstLine="480" w:firstLineChars="200"/>
        <w:rPr>
          <w:color w:val="000000"/>
          <w:sz w:val="24"/>
          <w:szCs w:val="24"/>
        </w:rPr>
      </w:pPr>
      <w:r>
        <w:rPr>
          <w:color w:val="000000"/>
          <w:sz w:val="24"/>
          <w:szCs w:val="24"/>
        </w:rPr>
        <w:t xml:space="preserve">2020年三季度，A股经过7月初的较快上涨后，逐步进入震荡期。全球疫情反复，地缘政治环境不确定性加大，贸易摩擦加剧。在外围环境变化之时，中国经济体现出很好的韧性，率先从疫情中恢复。一批逐步进入成熟期的技术和应用已经形成很好的商业模式，产生持续和稳定的现金流。同时，在精密制造、软件、互联网等领域，优秀公司的龙头效应正在逐步彰显。在这种环境下，市场结构上出现分化，优秀的制造业龙头表现强劲，而科技行业则受外部环境影响，表现相对较差。 </w:t>
      </w:r>
    </w:p>
    <w:p w:rsidP="00EB572F" w:rsidR="00750D48" w:rsidRDefault="00750D48" w:rsidRPr="000018BC">
      <w:pPr>
        <w:spacing w:line="360" w:lineRule="auto"/>
        <w:ind w:firstLine="480" w:firstLineChars="200"/>
        <w:rPr>
          <w:color w:val="000000"/>
          <w:sz w:val="24"/>
          <w:szCs w:val="24"/>
        </w:rPr>
      </w:pPr>
      <w:r w:rsidRPr="000018BC">
        <w:rPr>
          <w:color w:val="000000"/>
          <w:sz w:val="24"/>
          <w:szCs w:val="24"/>
        </w:rPr>
        <w:t/>
      </w:r>
      <w:proofErr w:type="spellStart"/>
      <w:proofErr w:type="gramStart"/>
      <w:r w:rsidRPr="000018BC">
        <w:rPr>
          <w:color w:val="000000"/>
          <w:sz w:val="24"/>
          <w:szCs w:val="24"/>
        </w:rPr>
        <w:t/>
      </w:r>
      <w:proofErr w:type="spellEnd"/>
      <w:proofErr w:type="gramEnd"/>
      <w:r w:rsidRPr="000018BC">
        <w:rPr>
          <w:color w:val="000000"/>
          <w:sz w:val="24"/>
          <w:szCs w:val="24"/>
        </w:rPr>
        <w:t>操作上，本基金继续坚持成长股投资，持仓往优秀的龙头公司集中。此外，本基金也逆向投资了一些长期竞争力持续增强但短期受外围环境影响较大的公司。这些成长的机会并不会消失，而只是被延迟，逆境中的好公司反而拥有更好的投资机会。本基金将致力于持续挖掘创新成长周期里的好赛道和好公司，基于深度研究，挑选成长确定性高、竞争壁垒高、价格合理的优秀公司进行重点持仓，用优质的成长来对抗经济周期的波动。</w:t>
      </w:r>
    </w:p>
    <w:p w:rsidP="00306390" w:rsidR="00750D48" w:rsidRDefault="00306390" w:rsidRPr="00306390">
      <w:pPr>
        <w:autoSpaceDE w:val="0"/>
        <w:autoSpaceDN w:val="0"/>
        <w:adjustRightInd w:val="0"/>
        <w:spacing w:line="360" w:lineRule="auto"/>
        <w:jc w:val="left"/>
        <w:rPr>
          <w:rFonts w:ascii="宋体" w:hAnsi="宋体"/>
          <w:b/>
          <w:bCs/>
          <w:color w:val="000000"/>
          <w:kern w:val="0"/>
          <w:sz w:val="24"/>
          <w:szCs w:val="24"/>
        </w:rPr>
      </w:pPr>
      <w:r w:rsidRPr="00264E55">
        <w:rPr>
          <w:rFonts w:ascii="宋体" w:hAnsi="宋体"/>
          <w:b/>
          <w:bCs/>
          <w:color w:val="000000"/>
          <w:kern w:val="0"/>
          <w:sz w:val="24"/>
          <w:szCs w:val="24"/>
        </w:rPr>
        <w:t>4.</w:t>
      </w:r>
      <w:r>
        <w:rPr>
          <w:rFonts w:ascii="宋体" w:hAnsi="宋体"/>
          <w:b/>
          <w:bCs/>
          <w:color w:val="000000"/>
          <w:kern w:val="0"/>
          <w:sz w:val="24"/>
          <w:szCs w:val="24"/>
        </w:rPr>
        <w:t>5</w:t>
      </w:r>
      <w:r>
        <w:rPr>
          <w:rFonts w:ascii="宋体" w:hAnsi="宋体" w:hint="eastAsia"/>
          <w:b/>
          <w:bCs/>
          <w:color w:val="000000"/>
          <w:kern w:val="0"/>
          <w:sz w:val="24"/>
          <w:szCs w:val="24"/>
        </w:rPr>
        <w:t xml:space="preserve"> </w:t>
      </w:r>
      <w:r w:rsidR="00750D48" w:rsidRPr="00306390">
        <w:rPr>
          <w:rFonts w:ascii="宋体" w:hAnsi="宋体"/>
          <w:b/>
          <w:bCs/>
          <w:color w:val="000000"/>
          <w:kern w:val="0"/>
          <w:sz w:val="24"/>
          <w:szCs w:val="24"/>
        </w:rPr>
        <w:t>报告期内基金的业绩表现</w:t>
      </w:r>
    </w:p>
    <w:p w:rsidP="00306390" w:rsidR="00750D48" w:rsidRDefault="00750D48">
      <w:pPr>
        <w:spacing w:line="360" w:lineRule="auto"/>
        <w:ind w:firstLine="480" w:firstLineChars="200"/>
        <w:rPr>
          <w:color w:val="000000"/>
          <w:sz w:val="24"/>
          <w:szCs w:val="24"/>
        </w:rPr>
      </w:pPr>
      <w:r w:rsidRPr="000018BC">
        <w:rPr>
          <w:color w:val="000000"/>
          <w:sz w:val="24"/>
          <w:szCs w:val="24"/>
        </w:rPr>
        <w:t/>
      </w:r>
      <w:proofErr w:type="spellStart"/>
      <w:proofErr w:type="gramStart"/>
      <w:r w:rsidRPr="000018BC">
        <w:rPr>
          <w:color w:val="000000"/>
          <w:sz w:val="24"/>
          <w:szCs w:val="24"/>
        </w:rPr>
        <w:t/>
      </w:r>
      <w:proofErr w:type="spellEnd"/>
      <w:proofErr w:type="gramEnd"/>
      <w:r w:rsidRPr="000018BC">
        <w:rPr>
          <w:color w:val="000000"/>
          <w:sz w:val="24"/>
          <w:szCs w:val="24"/>
        </w:rPr>
        <w:t>截至报告期末，本基金份额净值为1.240元，本报告期份额净值增长率为2.72%，同期业绩比较基准收益率为5.94%。</w:t>
      </w: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5  </w:t>
      </w:r>
      <w:r w:rsidRPr="00264E55">
        <w:rPr>
          <w:rFonts w:ascii="宋体" w:hAnsi="宋体" w:hint="eastAsia"/>
          <w:color w:val="000000"/>
          <w:kern w:val="0"/>
          <w:sz w:val="24"/>
          <w:szCs w:val="24"/>
        </w:rPr>
        <w:t>投资组合报告</w:t>
      </w:r>
    </w:p>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 </w:t>
      </w:r>
      <w:r w:rsidRPr="00264E55">
        <w:rPr>
          <w:rFonts w:ascii="宋体" w:hAnsi="宋体" w:hint="eastAsia"/>
          <w:b/>
          <w:bCs/>
          <w:color w:val="000000"/>
          <w:kern w:val="0"/>
          <w:sz w:val="24"/>
          <w:szCs w:val="24"/>
        </w:rPr>
        <w:t>报告期末基金资产组合情况</w:t>
      </w:r>
    </w:p>
    <w:tbl>
      <w:tblPr>
        <w:tblW w:type="dxa" w:w="8897"/>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720"/>
        <w:gridCol w:w="3357"/>
        <w:gridCol w:w="2977"/>
        <w:gridCol w:w="1843"/>
      </w:tblGrid>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lastRenderedPageBreak/>
              <w:t>序号</w:t>
            </w:r>
          </w:p>
        </w:tc>
        <w:tc>
          <w:tcPr>
            <w:tcW w:type="dxa" w:w="3357"/>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项目</w:t>
            </w:r>
          </w:p>
        </w:tc>
        <w:tc>
          <w:tcPr>
            <w:tcW w:type="dxa" w:w="2977"/>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金额</w:t>
            </w:r>
            <w:r w:rsidR="005F7917" w:rsidRPr="00232B03">
              <w:rPr>
                <w:color w:val="000000"/>
                <w:kern w:val="0"/>
                <w:sz w:val="24"/>
                <w:szCs w:val="24"/>
              </w:rPr>
              <w:t>（元）</w:t>
            </w:r>
          </w:p>
        </w:tc>
        <w:tc>
          <w:tcPr>
            <w:tcW w:type="dxa" w:w="1843"/>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占基金总资产的比例</w:t>
            </w:r>
            <w:r w:rsidR="005F7917" w:rsidRPr="00232B03">
              <w:rPr>
                <w:color w:val="000000"/>
                <w:kern w:val="0"/>
                <w:sz w:val="24"/>
                <w:szCs w:val="24"/>
              </w:rPr>
              <w:t>（</w:t>
            </w:r>
            <w:r w:rsidR="005F7917" w:rsidRPr="00232B03">
              <w:rPr>
                <w:color w:val="000000"/>
                <w:kern w:val="0"/>
                <w:sz w:val="24"/>
                <w:szCs w:val="24"/>
              </w:rPr>
              <w:t>%</w:t>
            </w:r>
            <w:r w:rsidR="005F7917"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1</w:t>
            </w: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权益投资</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976,725,705.67</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87.07</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其中：股票</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976,725,705.67</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87.07</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2</w:t>
            </w: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固定收益投资</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562,212.00</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0.05</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其中：债券</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562,212.00</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0.05</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p>
        </w:tc>
        <w:tc>
          <w:tcPr>
            <w:tcW w:type="dxa" w:w="3357"/>
            <w:vAlign w:val="center"/>
          </w:tcPr>
          <w:p w:rsidP="00B05049" w:rsidR="00750D48" w:rsidRDefault="00750D48" w:rsidRPr="00232B03">
            <w:pPr>
              <w:autoSpaceDE w:val="0"/>
              <w:autoSpaceDN w:val="0"/>
              <w:adjustRightInd w:val="0"/>
              <w:spacing w:before="29" w:line="360" w:lineRule="auto"/>
              <w:ind w:left="17"/>
              <w:jc w:val="left"/>
              <w:rPr>
                <w:color w:val="000000"/>
                <w:kern w:val="0"/>
                <w:sz w:val="24"/>
                <w:szCs w:val="24"/>
              </w:rPr>
            </w:pPr>
            <w:r w:rsidRPr="00232B03">
              <w:rPr>
                <w:color w:val="000000"/>
                <w:kern w:val="0"/>
                <w:sz w:val="24"/>
                <w:szCs w:val="24"/>
              </w:rPr>
              <w:t>资产支持证券</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r w:rsidRPr="00232B03">
              <w:rPr>
                <w:color w:val="000000"/>
                <w:kern w:val="0"/>
                <w:sz w:val="24"/>
                <w:szCs w:val="24"/>
              </w:rPr>
              <w:lastRenderedPageBreak/>
              <w:t>-</w:t>
            </w:r>
          </w:p>
        </w:tc>
      </w:tr>
      <w:tr w:rsidR="00750D48" w:rsidRPr="00264E55" w:rsidTr="00B05049">
        <w:trPr>
          <w:jc w:val="center"/>
        </w:trPr>
        <w:tc>
          <w:tcPr>
            <w:tcW w:type="dxa" w:w="720"/>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lastRenderedPageBreak/>
              <w:t>3</w:t>
            </w:r>
          </w:p>
        </w:tc>
        <w:tc>
          <w:tcPr>
            <w:tcW w:type="dxa" w:w="3357"/>
          </w:tcPr>
          <w:p w:rsidP="00EB572F" w:rsidR="00750D48" w:rsidRDefault="00750D48" w:rsidRPr="00232B03">
            <w:pPr>
              <w:spacing w:before="29" w:line="360" w:lineRule="auto"/>
              <w:ind w:left="105" w:leftChars="50"/>
              <w:rPr>
                <w:color w:val="000000"/>
                <w:kern w:val="0"/>
                <w:sz w:val="24"/>
                <w:szCs w:val="24"/>
              </w:rPr>
            </w:pPr>
            <w:r w:rsidRPr="00232B03">
              <w:rPr>
                <w:color w:val="000000"/>
                <w:kern w:val="0"/>
                <w:sz w:val="24"/>
                <w:szCs w:val="24"/>
              </w:rPr>
              <w:t>贵金属投资</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4</w:t>
            </w:r>
          </w:p>
        </w:tc>
        <w:tc>
          <w:tcPr>
            <w:tcW w:type="dxa" w:w="3357"/>
            <w:vAlign w:val="center"/>
          </w:tcPr>
          <w:p w:rsidP="00B05049" w:rsidR="00750D48" w:rsidRDefault="00750D48" w:rsidRPr="00232B03">
            <w:pPr>
              <w:spacing w:before="29" w:line="360" w:lineRule="auto"/>
              <w:ind w:left="17"/>
              <w:jc w:val="left"/>
              <w:rPr>
                <w:color w:val="000000"/>
                <w:kern w:val="0"/>
                <w:sz w:val="24"/>
                <w:szCs w:val="24"/>
              </w:rPr>
            </w:pPr>
            <w:r w:rsidRPr="00232B03">
              <w:rPr>
                <w:color w:val="000000"/>
                <w:kern w:val="0"/>
                <w:sz w:val="24"/>
                <w:szCs w:val="24"/>
              </w:rPr>
              <w:t>金融衍生品投资</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5</w:t>
            </w: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买入返售金融资产</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其中：买断式回购的买入返售金融资产</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6</w:t>
            </w: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银行存款和结算备付金合计</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143,673,714.54</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r w:rsidRPr="00232B03">
              <w:rPr>
                <w:color w:val="000000"/>
                <w:kern w:val="0"/>
                <w:sz w:val="24"/>
                <w:szCs w:val="24"/>
              </w:rPr>
              <w:lastRenderedPageBreak/>
              <w:t>12.81</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7</w:t>
            </w:r>
          </w:p>
        </w:tc>
        <w:tc>
          <w:tcPr>
            <w:tcW w:type="dxa" w:w="3357"/>
            <w:vAlign w:val="center"/>
          </w:tcPr>
          <w:p w:rsidP="00B05049" w:rsidR="00750D48" w:rsidRDefault="00750D48" w:rsidRPr="00232B03">
            <w:pPr>
              <w:jc w:val="left"/>
              <w:rPr>
                <w:kern w:val="0"/>
                <w:sz w:val="24"/>
                <w:szCs w:val="24"/>
              </w:rPr>
            </w:pPr>
            <w:r w:rsidRPr="00232B03">
              <w:rPr>
                <w:color w:val="000000"/>
                <w:kern w:val="0"/>
                <w:sz w:val="24"/>
                <w:szCs w:val="24"/>
              </w:rPr>
              <w:t>其他资产</w:t>
            </w:r>
          </w:p>
        </w:tc>
        <w:tc>
          <w:tcPr>
            <w:tcW w:type="dxa" w:w="2977"/>
            <w:vAlign w:val="center"/>
          </w:tcPr>
          <w:p w:rsidP="00B05049" w:rsidR="00750D48" w:rsidRDefault="00750D48" w:rsidRPr="00232B03">
            <w:pPr>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746,256.44</w:t>
            </w:r>
          </w:p>
        </w:tc>
        <w:tc>
          <w:tcPr>
            <w:tcW w:type="dxa" w:w="1843"/>
            <w:vAlign w:val="center"/>
          </w:tcPr>
          <w:p w:rsidP="00B05049" w:rsidR="00750D48" w:rsidRDefault="00750D48" w:rsidRPr="00232B03">
            <w:pPr>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0.07</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8</w:t>
            </w:r>
          </w:p>
        </w:tc>
        <w:tc>
          <w:tcPr>
            <w:tcW w:type="dxa" w:w="3357"/>
            <w:vAlign w:val="center"/>
          </w:tcPr>
          <w:p w:rsidP="00B05049" w:rsidR="00750D48" w:rsidRDefault="00750D48" w:rsidRPr="00232B03">
            <w:pPr>
              <w:jc w:val="left"/>
              <w:rPr>
                <w:kern w:val="0"/>
                <w:sz w:val="24"/>
                <w:szCs w:val="24"/>
              </w:rPr>
            </w:pPr>
            <w:r w:rsidRPr="00232B03">
              <w:rPr>
                <w:color w:val="000000"/>
                <w:kern w:val="0"/>
                <w:sz w:val="24"/>
                <w:szCs w:val="24"/>
              </w:rPr>
              <w:t>合计</w:t>
            </w:r>
          </w:p>
        </w:tc>
        <w:tc>
          <w:tcPr>
            <w:tcW w:type="dxa" w:w="2977"/>
            <w:vAlign w:val="center"/>
          </w:tcPr>
          <w:p w:rsidP="00B05049" w:rsidR="00750D48" w:rsidRDefault="00750D48" w:rsidRPr="00232B03">
            <w:pPr>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1,121,707,888.65</w:t>
            </w:r>
          </w:p>
        </w:tc>
        <w:tc>
          <w:tcPr>
            <w:tcW w:type="dxa" w:w="1843"/>
            <w:vAlign w:val="center"/>
          </w:tcPr>
          <w:p w:rsidP="00B05049" w:rsidR="00750D48" w:rsidRDefault="00750D48" w:rsidRPr="00232B03">
            <w:pPr>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100.00</w:t>
            </w:r>
          </w:p>
        </w:tc>
      </w:tr>
    </w:tbl>
    <w:p w:rsidP="008C2A4F" w:rsidR="008C2A4F" w:rsidRDefault="008C2A4F" w:rsidRPr="00220C32">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sidRPr="00220C32">
        <w:rPr>
          <w:rFonts w:asciiTheme="minorEastAsia" w:eastAsiaTheme="minorEastAsia" w:hAnsiTheme="minorEastAsia"/>
          <w:b/>
          <w:bCs/>
          <w:color w:themeColor="text1" w:val="000000"/>
          <w:kern w:val="0"/>
          <w:sz w:val="24"/>
          <w:szCs w:val="24"/>
        </w:rPr>
        <w:t xml:space="preserve">5.2 </w:t>
      </w:r>
      <w:r w:rsidRPr="00220C32">
        <w:rPr>
          <w:rFonts w:asciiTheme="minorEastAsia" w:eastAsiaTheme="minorEastAsia" w:hAnsiTheme="minorEastAsia" w:hint="eastAsia"/>
          <w:b/>
          <w:bCs/>
          <w:color w:themeColor="text1" w:val="000000"/>
          <w:kern w:val="0"/>
          <w:sz w:val="24"/>
          <w:szCs w:val="24"/>
        </w:rPr>
        <w:t>报告期末按行业分类的股票投资组合</w:t>
      </w:r>
    </w:p>
    <w:p w:rsidP="008C2A4F" w:rsidR="008C2A4F" w:rsidRDefault="008C2A4F" w:rsidRPr="000D7474">
      <w:pPr>
        <w:rPr>
          <w:rFonts w:asciiTheme="minorEastAsia" w:eastAsiaTheme="minorEastAsia" w:hAnsiTheme="minorEastAsia"/>
          <w:b/>
          <w:bCs/>
          <w:color w:themeColor="text1" w:val="000000"/>
          <w:kern w:val="0"/>
          <w:sz w:val="24"/>
          <w:szCs w:val="24"/>
        </w:rPr>
      </w:pPr>
      <w:r w:rsidRPr="000D7474">
        <w:rPr>
          <w:rFonts w:asciiTheme="minorEastAsia" w:eastAsiaTheme="minorEastAsia" w:hAnsiTheme="minorEastAsia"/>
          <w:b/>
          <w:bCs/>
          <w:color w:themeColor="text1" w:val="000000"/>
          <w:kern w:val="0"/>
          <w:sz w:val="24"/>
          <w:szCs w:val="24"/>
        </w:rPr>
        <w:t/>
      </w:r>
      <w:proofErr w:type="spellStart"/>
      <w:r w:rsidRPr="000D7474">
        <w:rPr>
          <w:rFonts w:asciiTheme="minorEastAsia" w:eastAsiaTheme="minorEastAsia" w:hAnsiTheme="minorEastAsia"/>
          <w:b/>
          <w:bCs/>
          <w:color w:themeColor="text1" w:val="000000"/>
          <w:kern w:val="0"/>
          <w:sz w:val="24"/>
          <w:szCs w:val="24"/>
        </w:rPr>
        <w:t/>
      </w:r>
      <w:proofErr w:type="spellEnd"/>
      <w:r w:rsidRPr="000D7474">
        <w:rPr>
          <w:rFonts w:asciiTheme="minorEastAsia" w:eastAsiaTheme="minorEastAsia" w:hAnsiTheme="minorEastAsia"/>
          <w:b/>
          <w:bCs/>
          <w:color w:themeColor="text1" w:val="000000"/>
          <w:kern w:val="0"/>
          <w:sz w:val="24"/>
          <w:szCs w:val="24"/>
        </w:rPr>
        <w:t/>
      </w:r>
      <w:r w:rsidRPr="000D7474">
        <w:rPr>
          <w:rFonts w:asciiTheme="minorEastAsia" w:eastAsiaTheme="minorEastAsia" w:hAnsiTheme="minorEastAsia" w:hint="eastAsia"/>
          <w:b/>
          <w:bCs/>
          <w:color w:themeColor="text1" w:val="000000"/>
          <w:kern w:val="0"/>
          <w:sz w:val="24"/>
          <w:szCs w:val="24"/>
        </w:rPr>
        <w:t>5.2.1报告期末按行业分类的境内股票投资组合</w:t>
      </w:r>
    </w:p>
    <w:tbl>
      <w:tblPr>
        <w:tblW w:type="dxa" w:w="8789"/>
        <w:tblInd w:type="dxa" w:w="-137"/>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0"/>
          <w:right w:type="dxa" w:w="0"/>
        </w:tblCellMar>
        <w:tblLook w:firstColumn="0" w:firstRow="0" w:lastColumn="0" w:lastRow="0" w:noHBand="0" w:noVBand="0" w:val="0000"/>
      </w:tblPr>
      <w:tblGrid>
        <w:gridCol w:w="709"/>
        <w:gridCol w:w="3544"/>
        <w:gridCol w:w="2977"/>
        <w:gridCol w:w="1559"/>
      </w:tblGrid>
      <w:tr w:rsidR="008C2A4F" w:rsidRPr="008C2A4F" w:rsidTr="003B5535">
        <w:trPr>
          <w:trHeight w:val="390"/>
        </w:trPr>
        <w:tc>
          <w:tcPr>
            <w:tcW w:type="dxa" w:w="709"/>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代码</w:t>
            </w: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行业类别</w:t>
            </w:r>
          </w:p>
        </w:tc>
        <w:tc>
          <w:tcPr>
            <w:tcW w:type="dxa" w:w="2977"/>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公允价值（元）</w:t>
            </w:r>
          </w:p>
        </w:tc>
        <w:tc>
          <w:tcPr>
            <w:tcW w:type="dxa" w:w="155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占基金资产净值比例（％）</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A</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农、林、牧、渔业</w:t>
            </w:r>
          </w:p>
        </w:tc>
        <w:tc>
          <w:tcPr>
            <w:tcW w:type="dxa" w:w="2977"/>
            <w:vAlign w:val="center"/>
          </w:tcPr>
          <w:p w:rsidP="003328D9" w:rsidR="008C2A4F" w:rsidRDefault="008C2A4F" w:rsidRPr="008C2A4F">
            <w:pPr>
              <w:autoSpaceDE w:val="0"/>
              <w:autoSpaceDN w:val="0"/>
              <w:adjustRightInd w:val="0"/>
              <w:spacing w:before="29" w:line="360" w:lineRule="auto"/>
              <w:ind w:left="15"/>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autoSpaceDE w:val="0"/>
              <w:autoSpaceDN w:val="0"/>
              <w:adjustRightInd w:val="0"/>
              <w:spacing w:before="29" w:line="360" w:lineRule="auto"/>
              <w:ind w:left="15"/>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B</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采矿业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76,419.90</w:t>
            </w:r>
          </w:p>
          <w:p w:rsidP="003328D9" w:rsidR="008C2A4F" w:rsidRDefault="008C2A4F" w:rsidRPr="008C2A4F">
            <w:pPr>
              <w:jc w:val="right"/>
              <w:rPr>
                <w:rFonts w:eastAsiaTheme="minorEastAsia"/>
                <w:color w:themeColor="text1" w:val="000000"/>
                <w:kern w:val="0"/>
                <w:sz w:val="24"/>
                <w:szCs w:val="24"/>
              </w:rPr>
            </w:pP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0.01</w:t>
            </w:r>
          </w:p>
          <w:p w:rsidP="003328D9" w:rsidR="008C2A4F" w:rsidRDefault="008C2A4F" w:rsidRPr="008C2A4F">
            <w:pPr>
              <w:jc w:val="right"/>
              <w:rPr>
                <w:rFonts w:eastAsiaTheme="minorEastAsia"/>
                <w:color w:themeColor="text1" w:val="000000"/>
                <w:kern w:val="0"/>
                <w:sz w:val="24"/>
                <w:szCs w:val="24"/>
              </w:rPr>
            </w:pP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C</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制造业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r w:rsidRPr="008C2A4F">
              <w:rPr>
                <w:rFonts w:eastAsiaTheme="minorEastAsia"/>
                <w:color w:themeColor="text1" w:val="000000"/>
                <w:kern w:val="0"/>
                <w:sz w:val="24"/>
                <w:szCs w:val="24"/>
              </w:rPr>
              <w:lastRenderedPageBreak/>
              <w:t/>
            </w:r>
            <w:proofErr w:type="spellEnd"/>
            <w:r w:rsidRPr="008C2A4F">
              <w:rPr>
                <w:rFonts w:eastAsiaTheme="minorEastAsia"/>
                <w:color w:themeColor="text1" w:val="000000"/>
                <w:kern w:val="0"/>
                <w:sz w:val="24"/>
                <w:szCs w:val="24"/>
              </w:rPr>
              <w:t>607,977,084.18</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lastRenderedPageBreak/>
              <w:t/>
            </w:r>
            <w:proofErr w:type="spellStart"/>
            <w:r w:rsidRPr="008C2A4F">
              <w:rPr>
                <w:rFonts w:eastAsiaTheme="minorEastAsia"/>
                <w:color w:themeColor="text1" w:val="000000"/>
                <w:kern w:val="0"/>
                <w:sz w:val="24"/>
                <w:szCs w:val="24"/>
              </w:rPr>
              <w:t/>
            </w:r>
            <w:r w:rsidRPr="008C2A4F">
              <w:rPr>
                <w:rFonts w:eastAsiaTheme="minorEastAsia"/>
                <w:color w:themeColor="text1" w:val="000000"/>
                <w:kern w:val="0"/>
                <w:sz w:val="24"/>
                <w:szCs w:val="24"/>
              </w:rPr>
              <w:lastRenderedPageBreak/>
              <w:t/>
            </w:r>
            <w:proofErr w:type="spellEnd"/>
            <w:r w:rsidRPr="008C2A4F">
              <w:rPr>
                <w:rFonts w:eastAsiaTheme="minorEastAsia"/>
                <w:color w:themeColor="text1" w:val="000000"/>
                <w:kern w:val="0"/>
                <w:sz w:val="24"/>
                <w:szCs w:val="24"/>
              </w:rPr>
              <w:t>54.51</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lastRenderedPageBreak/>
              <w:t>D</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电力、热力、燃气及水生产和供应业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E</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建筑业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13,029.12</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F</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批发和零售业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11,470.24</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G</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交通运输、仓储和邮政业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49,465.86</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H</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住宿和餐饮业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I</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信息传输、软件和信息技术服务业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299,678,723.51</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26.87</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J</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金融业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30,071,547.00</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2.70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K</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房地产业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18,340.00</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L</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租赁和商务服务业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r w:rsidRPr="008C2A4F">
              <w:rPr>
                <w:rFonts w:eastAsiaTheme="minorEastAsia"/>
                <w:color w:themeColor="text1" w:val="000000"/>
                <w:kern w:val="0"/>
                <w:sz w:val="24"/>
                <w:szCs w:val="24"/>
              </w:rPr>
              <w:lastRenderedPageBreak/>
              <w:t/>
            </w:r>
            <w:proofErr w:type="spellEnd"/>
            <w:r w:rsidRPr="008C2A4F">
              <w:rPr>
                <w:rFonts w:eastAsiaTheme="minorEastAsia"/>
                <w:color w:themeColor="text1" w:val="000000"/>
                <w:kern w:val="0"/>
                <w:sz w:val="24"/>
                <w:szCs w:val="24"/>
              </w:rPr>
              <w:t>26,275,113.00</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lastRenderedPageBreak/>
              <w:t/>
            </w:r>
            <w:proofErr w:type="spellStart"/>
            <w:r w:rsidRPr="008C2A4F">
              <w:rPr>
                <w:rFonts w:eastAsiaTheme="minorEastAsia"/>
                <w:color w:themeColor="text1" w:val="000000"/>
                <w:kern w:val="0"/>
                <w:sz w:val="24"/>
                <w:szCs w:val="24"/>
              </w:rPr>
              <w:t/>
            </w:r>
            <w:r w:rsidRPr="008C2A4F">
              <w:rPr>
                <w:rFonts w:eastAsiaTheme="minorEastAsia"/>
                <w:color w:themeColor="text1" w:val="000000"/>
                <w:kern w:val="0"/>
                <w:sz w:val="24"/>
                <w:szCs w:val="24"/>
              </w:rPr>
              <w:lastRenderedPageBreak/>
              <w:t/>
            </w:r>
            <w:proofErr w:type="spellEnd"/>
            <w:r w:rsidRPr="008C2A4F">
              <w:rPr>
                <w:rFonts w:eastAsiaTheme="minorEastAsia"/>
                <w:color w:themeColor="text1" w:val="000000"/>
                <w:kern w:val="0"/>
                <w:sz w:val="24"/>
                <w:szCs w:val="24"/>
              </w:rPr>
              <w:t>2.36</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lastRenderedPageBreak/>
              <w:t>M</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科学研究和技术服务业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12,278,043.41</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1.10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N</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水利、环境和公共设施管理业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225,736.19</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0.02</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O</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居民服务、修理和其他服务业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P</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教育</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Q</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卫生和社会工作</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R</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文化、体育和娱乐业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45,133.26</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S</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综合</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5,600.00</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合计</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976,725,705.67</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87.58</w:t>
            </w:r>
          </w:p>
        </w:tc>
      </w:tr>
    </w:tbl>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5.3 </w:t>
      </w:r>
      <w:r w:rsidRPr="00264E55">
        <w:rPr>
          <w:rFonts w:ascii="宋体" w:hAnsi="宋体" w:hint="eastAsia"/>
          <w:b/>
          <w:bCs/>
          <w:color w:val="000000"/>
          <w:kern w:val="0"/>
          <w:sz w:val="24"/>
          <w:szCs w:val="24"/>
        </w:rPr>
        <w:t>报告期末按公允价值占基金资产净值比例大小排序的前十名股票投资明细</w:t>
      </w:r>
    </w:p>
    <w:tbl>
      <w:tblPr>
        <w:tblW w:type="dxa" w:w="8789"/>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51"/>
        <w:gridCol w:w="1276"/>
        <w:gridCol w:w="1418"/>
        <w:gridCol w:w="1701"/>
        <w:gridCol w:w="1984"/>
        <w:gridCol w:w="1559"/>
      </w:tblGrid>
      <w:tr w:rsidR="00750D48" w:rsidRPr="00264E55" w:rsidTr="00191BDE">
        <w:tc>
          <w:tcPr>
            <w:tcW w:type="dxa" w:w="851"/>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序号</w:t>
            </w:r>
          </w:p>
        </w:tc>
        <w:tc>
          <w:tcPr>
            <w:tcW w:type="dxa" w:w="1276"/>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股票代码</w:t>
            </w:r>
          </w:p>
        </w:tc>
        <w:tc>
          <w:tcPr>
            <w:tcW w:type="dxa" w:w="1418"/>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股票名称</w:t>
            </w:r>
          </w:p>
        </w:tc>
        <w:tc>
          <w:tcPr>
            <w:tcW w:type="dxa" w:w="1701"/>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（股）</w:t>
            </w:r>
          </w:p>
        </w:tc>
        <w:tc>
          <w:tcPr>
            <w:tcW w:type="dxa" w:w="1984"/>
            <w:vAlign w:val="center"/>
          </w:tcPr>
          <w:p w:rsidP="005F7917"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type="dxa" w:w="1559"/>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tc>
          <w:tcPr>
            <w:vAlign w:val="center"/>
          </w:tcPr>
          <w:p>
            <w:pPr>
              <w:jc w:val="center"/>
            </w:pPr>
            <w:r>
              <w:rPr>
                <w:color w:val="000000"/>
                <w:kern w:val="0"/>
                <w:sz w:val="24"/>
                <w:szCs w:val="24"/>
              </w:rPr>
              <w:t>1</w:t>
            </w:r>
          </w:p>
        </w:tc>
        <w:tc>
          <w:tcPr>
            <w:vAlign w:val="center"/>
          </w:tcPr>
          <w:p>
            <w:pPr>
              <w:jc w:val="center"/>
            </w:pPr>
            <w:r>
              <w:rPr>
                <w:color w:val="000000"/>
                <w:kern w:val="0"/>
                <w:sz w:val="24"/>
                <w:szCs w:val="24"/>
              </w:rPr>
              <w:t>300628</w:t>
            </w:r>
          </w:p>
        </w:tc>
        <w:tc>
          <w:tcPr>
            <w:vAlign w:val="center"/>
          </w:tcPr>
          <w:p>
            <w:pPr>
              <w:jc w:val="center"/>
            </w:pPr>
            <w:r>
              <w:rPr>
                <w:color w:val="000000"/>
                <w:kern w:val="0"/>
                <w:sz w:val="24"/>
                <w:szCs w:val="24"/>
              </w:rPr>
              <w:t>亿联网络</w:t>
            </w:r>
          </w:p>
        </w:tc>
        <w:tc>
          <w:tcPr>
            <w:vAlign w:val="center"/>
          </w:tcPr>
          <w:p>
            <w:pPr>
              <w:jc w:val="right"/>
            </w:pPr>
            <w:r>
              <w:rPr>
                <w:color w:val="000000"/>
                <w:kern w:val="0"/>
                <w:sz w:val="24"/>
                <w:szCs w:val="24"/>
              </w:rPr>
              <w:t>949,842</w:t>
            </w:r>
          </w:p>
        </w:tc>
        <w:tc>
          <w:tcPr>
            <w:vAlign w:val="center"/>
          </w:tcPr>
          <w:p>
            <w:pPr>
              <w:jc w:val="right"/>
            </w:pPr>
            <w:r>
              <w:rPr>
                <w:color w:val="000000"/>
                <w:kern w:val="0"/>
                <w:sz w:val="24"/>
                <w:szCs w:val="24"/>
              </w:rPr>
              <w:t>57,284,971.02</w:t>
            </w:r>
          </w:p>
        </w:tc>
        <w:tc>
          <w:tcPr>
            <w:vAlign w:val="center"/>
          </w:tcPr>
          <w:p>
            <w:pPr>
              <w:jc w:val="right"/>
            </w:pPr>
            <w:r>
              <w:rPr>
                <w:color w:val="000000"/>
                <w:kern w:val="0"/>
                <w:sz w:val="24"/>
                <w:szCs w:val="24"/>
              </w:rPr>
              <w:t>5.14</w:t>
            </w:r>
          </w:p>
        </w:tc>
      </w:tr>
      <w:tr>
        <w:tc>
          <w:tcPr>
            <w:vAlign w:val="center"/>
          </w:tcPr>
          <w:p>
            <w:pPr>
              <w:jc w:val="center"/>
            </w:pPr>
            <w:r>
              <w:rPr>
                <w:color w:val="000000"/>
                <w:kern w:val="0"/>
                <w:sz w:val="24"/>
                <w:szCs w:val="24"/>
              </w:rPr>
              <w:t>2</w:t>
            </w:r>
          </w:p>
        </w:tc>
        <w:tc>
          <w:tcPr>
            <w:vAlign w:val="center"/>
          </w:tcPr>
          <w:p>
            <w:pPr>
              <w:jc w:val="center"/>
            </w:pPr>
            <w:r>
              <w:rPr>
                <w:color w:val="000000"/>
                <w:kern w:val="0"/>
                <w:sz w:val="24"/>
                <w:szCs w:val="24"/>
              </w:rPr>
              <w:t>002402</w:t>
            </w:r>
          </w:p>
        </w:tc>
        <w:tc>
          <w:tcPr>
            <w:vAlign w:val="center"/>
          </w:tcPr>
          <w:p>
            <w:pPr>
              <w:jc w:val="center"/>
            </w:pPr>
            <w:r>
              <w:rPr>
                <w:color w:val="000000"/>
                <w:kern w:val="0"/>
                <w:sz w:val="24"/>
                <w:szCs w:val="24"/>
              </w:rPr>
              <w:t>和而泰</w:t>
            </w:r>
          </w:p>
        </w:tc>
        <w:tc>
          <w:tcPr>
            <w:vAlign w:val="center"/>
          </w:tcPr>
          <w:p>
            <w:pPr>
              <w:jc w:val="right"/>
            </w:pPr>
            <w:r>
              <w:rPr>
                <w:color w:val="000000"/>
                <w:kern w:val="0"/>
                <w:sz w:val="24"/>
                <w:szCs w:val="24"/>
              </w:rPr>
              <w:t>3,461,300</w:t>
            </w:r>
          </w:p>
        </w:tc>
        <w:tc>
          <w:tcPr>
            <w:vAlign w:val="center"/>
          </w:tcPr>
          <w:p>
            <w:pPr>
              <w:jc w:val="right"/>
            </w:pPr>
            <w:r>
              <w:rPr>
                <w:color w:val="000000"/>
                <w:kern w:val="0"/>
                <w:sz w:val="24"/>
                <w:szCs w:val="24"/>
              </w:rPr>
              <w:t>55,484,639.00</w:t>
            </w:r>
          </w:p>
        </w:tc>
        <w:tc>
          <w:tcPr>
            <w:vAlign w:val="center"/>
          </w:tcPr>
          <w:p>
            <w:pPr>
              <w:jc w:val="right"/>
            </w:pPr>
            <w:r>
              <w:rPr>
                <w:color w:val="000000"/>
                <w:kern w:val="0"/>
                <w:sz w:val="24"/>
                <w:szCs w:val="24"/>
              </w:rPr>
              <w:t>4.98</w:t>
            </w:r>
          </w:p>
        </w:tc>
      </w:tr>
      <w:tr>
        <w:tc>
          <w:tcPr>
            <w:vAlign w:val="center"/>
          </w:tcPr>
          <w:p>
            <w:pPr>
              <w:jc w:val="center"/>
            </w:pPr>
            <w:r>
              <w:rPr>
                <w:color w:val="000000"/>
                <w:kern w:val="0"/>
                <w:sz w:val="24"/>
                <w:szCs w:val="24"/>
              </w:rPr>
              <w:t>3</w:t>
            </w:r>
          </w:p>
        </w:tc>
        <w:tc>
          <w:tcPr>
            <w:vAlign w:val="center"/>
          </w:tcPr>
          <w:p>
            <w:pPr>
              <w:jc w:val="center"/>
            </w:pPr>
            <w:r>
              <w:rPr>
                <w:color w:val="000000"/>
                <w:kern w:val="0"/>
                <w:sz w:val="24"/>
                <w:szCs w:val="24"/>
              </w:rPr>
              <w:t>002475</w:t>
            </w:r>
          </w:p>
        </w:tc>
        <w:tc>
          <w:tcPr>
            <w:vAlign w:val="center"/>
          </w:tcPr>
          <w:p>
            <w:pPr>
              <w:jc w:val="center"/>
            </w:pPr>
            <w:r>
              <w:rPr>
                <w:color w:val="000000"/>
                <w:kern w:val="0"/>
                <w:sz w:val="24"/>
                <w:szCs w:val="24"/>
              </w:rPr>
              <w:t>立讯精密</w:t>
            </w:r>
          </w:p>
        </w:tc>
        <w:tc>
          <w:tcPr>
            <w:vAlign w:val="center"/>
          </w:tcPr>
          <w:p>
            <w:pPr>
              <w:jc w:val="right"/>
            </w:pPr>
            <w:r>
              <w:rPr>
                <w:color w:val="000000"/>
                <w:kern w:val="0"/>
                <w:sz w:val="24"/>
                <w:szCs w:val="24"/>
              </w:rPr>
              <w:t>945,973</w:t>
            </w:r>
          </w:p>
        </w:tc>
        <w:tc>
          <w:tcPr>
            <w:vAlign w:val="center"/>
          </w:tcPr>
          <w:p>
            <w:pPr>
              <w:jc w:val="right"/>
            </w:pPr>
            <w:r>
              <w:rPr>
                <w:color w:val="000000"/>
                <w:kern w:val="0"/>
                <w:sz w:val="24"/>
                <w:szCs w:val="24"/>
              </w:rPr>
              <w:t>54,043,437.49</w:t>
            </w:r>
          </w:p>
        </w:tc>
        <w:tc>
          <w:tcPr>
            <w:vAlign w:val="center"/>
          </w:tcPr>
          <w:p>
            <w:pPr>
              <w:jc w:val="right"/>
            </w:pPr>
            <w:r>
              <w:rPr>
                <w:color w:val="000000"/>
                <w:kern w:val="0"/>
                <w:sz w:val="24"/>
                <w:szCs w:val="24"/>
              </w:rPr>
              <w:t>4.85</w:t>
            </w:r>
          </w:p>
        </w:tc>
      </w:tr>
      <w:tr>
        <w:tc>
          <w:tcPr>
            <w:vAlign w:val="center"/>
          </w:tcPr>
          <w:p>
            <w:pPr>
              <w:jc w:val="center"/>
            </w:pPr>
            <w:r>
              <w:rPr>
                <w:color w:val="000000"/>
                <w:kern w:val="0"/>
                <w:sz w:val="24"/>
                <w:szCs w:val="24"/>
              </w:rPr>
              <w:t>4</w:t>
            </w:r>
          </w:p>
        </w:tc>
        <w:tc>
          <w:tcPr>
            <w:vAlign w:val="center"/>
          </w:tcPr>
          <w:p>
            <w:pPr>
              <w:jc w:val="center"/>
            </w:pPr>
            <w:r>
              <w:rPr>
                <w:color w:val="000000"/>
                <w:kern w:val="0"/>
                <w:sz w:val="24"/>
                <w:szCs w:val="24"/>
              </w:rPr>
              <w:t>600570</w:t>
            </w:r>
          </w:p>
        </w:tc>
        <w:tc>
          <w:tcPr>
            <w:vAlign w:val="center"/>
          </w:tcPr>
          <w:p>
            <w:pPr>
              <w:jc w:val="center"/>
            </w:pPr>
            <w:r>
              <w:rPr>
                <w:color w:val="000000"/>
                <w:kern w:val="0"/>
                <w:sz w:val="24"/>
                <w:szCs w:val="24"/>
              </w:rPr>
              <w:t>恒生电子</w:t>
            </w:r>
          </w:p>
        </w:tc>
        <w:tc>
          <w:tcPr>
            <w:vAlign w:val="center"/>
          </w:tcPr>
          <w:p>
            <w:pPr>
              <w:jc w:val="right"/>
            </w:pPr>
            <w:r>
              <w:rPr>
                <w:color w:val="000000"/>
                <w:kern w:val="0"/>
                <w:sz w:val="24"/>
                <w:szCs w:val="24"/>
              </w:rPr>
              <w:t>383,633</w:t>
            </w:r>
          </w:p>
        </w:tc>
        <w:tc>
          <w:tcPr>
            <w:vAlign w:val="center"/>
          </w:tcPr>
          <w:p>
            <w:pPr>
              <w:jc w:val="right"/>
            </w:pPr>
            <w:r>
              <w:rPr>
                <w:color w:val="000000"/>
                <w:kern w:val="0"/>
                <w:sz w:val="24"/>
                <w:szCs w:val="24"/>
              </w:rPr>
              <w:t>37,822,377.47</w:t>
            </w:r>
          </w:p>
        </w:tc>
        <w:tc>
          <w:tcPr>
            <w:vAlign w:val="center"/>
          </w:tcPr>
          <w:p>
            <w:pPr>
              <w:jc w:val="right"/>
            </w:pPr>
            <w:r>
              <w:rPr>
                <w:color w:val="000000"/>
                <w:kern w:val="0"/>
                <w:sz w:val="24"/>
                <w:szCs w:val="24"/>
              </w:rPr>
              <w:t>3.39</w:t>
            </w:r>
          </w:p>
        </w:tc>
      </w:tr>
      <w:tr>
        <w:tc>
          <w:tcPr>
            <w:vAlign w:val="center"/>
          </w:tcPr>
          <w:p>
            <w:pPr>
              <w:jc w:val="center"/>
            </w:pPr>
            <w:r>
              <w:rPr>
                <w:color w:val="000000"/>
                <w:kern w:val="0"/>
                <w:sz w:val="24"/>
                <w:szCs w:val="24"/>
              </w:rPr>
              <w:t>5</w:t>
            </w:r>
          </w:p>
        </w:tc>
        <w:tc>
          <w:tcPr>
            <w:vAlign w:val="center"/>
          </w:tcPr>
          <w:p>
            <w:pPr>
              <w:jc w:val="center"/>
            </w:pPr>
            <w:r>
              <w:rPr>
                <w:color w:val="000000"/>
                <w:kern w:val="0"/>
                <w:sz w:val="24"/>
                <w:szCs w:val="24"/>
              </w:rPr>
              <w:t>688369</w:t>
            </w:r>
          </w:p>
        </w:tc>
        <w:tc>
          <w:tcPr>
            <w:vAlign w:val="center"/>
          </w:tcPr>
          <w:p>
            <w:pPr>
              <w:jc w:val="center"/>
            </w:pPr>
            <w:r>
              <w:rPr>
                <w:color w:val="000000"/>
                <w:kern w:val="0"/>
                <w:sz w:val="24"/>
                <w:szCs w:val="24"/>
              </w:rPr>
              <w:t>致远互联</w:t>
            </w:r>
          </w:p>
        </w:tc>
        <w:tc>
          <w:tcPr>
            <w:vAlign w:val="center"/>
          </w:tcPr>
          <w:p>
            <w:pPr>
              <w:jc w:val="right"/>
            </w:pPr>
            <w:r>
              <w:rPr>
                <w:color w:val="000000"/>
                <w:kern w:val="0"/>
                <w:sz w:val="24"/>
                <w:szCs w:val="24"/>
              </w:rPr>
              <w:t>425,135</w:t>
            </w:r>
          </w:p>
        </w:tc>
        <w:tc>
          <w:tcPr>
            <w:vAlign w:val="center"/>
          </w:tcPr>
          <w:p>
            <w:pPr>
              <w:jc w:val="right"/>
            </w:pPr>
            <w:r>
              <w:rPr>
                <w:color w:val="000000"/>
                <w:kern w:val="0"/>
                <w:sz w:val="24"/>
                <w:szCs w:val="24"/>
              </w:rPr>
              <w:t>34,805,802.45</w:t>
            </w:r>
          </w:p>
        </w:tc>
        <w:tc>
          <w:tcPr>
            <w:vAlign w:val="center"/>
          </w:tcPr>
          <w:p>
            <w:pPr>
              <w:jc w:val="right"/>
            </w:pPr>
            <w:r>
              <w:rPr>
                <w:color w:val="000000"/>
                <w:kern w:val="0"/>
                <w:sz w:val="24"/>
                <w:szCs w:val="24"/>
              </w:rPr>
              <w:t>3.12</w:t>
            </w:r>
          </w:p>
        </w:tc>
      </w:tr>
      <w:tr>
        <w:tc>
          <w:tcPr>
            <w:vAlign w:val="center"/>
          </w:tcPr>
          <w:p>
            <w:pPr>
              <w:jc w:val="center"/>
            </w:pPr>
            <w:r>
              <w:rPr>
                <w:color w:val="000000"/>
                <w:kern w:val="0"/>
                <w:sz w:val="24"/>
                <w:szCs w:val="24"/>
              </w:rPr>
              <w:t>6</w:t>
            </w:r>
          </w:p>
        </w:tc>
        <w:tc>
          <w:tcPr>
            <w:vAlign w:val="center"/>
          </w:tcPr>
          <w:p>
            <w:pPr>
              <w:jc w:val="center"/>
            </w:pPr>
            <w:r>
              <w:rPr>
                <w:color w:val="000000"/>
                <w:kern w:val="0"/>
                <w:sz w:val="24"/>
                <w:szCs w:val="24"/>
              </w:rPr>
              <w:t>002384</w:t>
            </w:r>
          </w:p>
        </w:tc>
        <w:tc>
          <w:tcPr>
            <w:vAlign w:val="center"/>
          </w:tcPr>
          <w:p>
            <w:pPr>
              <w:jc w:val="center"/>
            </w:pPr>
            <w:r>
              <w:rPr>
                <w:color w:val="000000"/>
                <w:kern w:val="0"/>
                <w:sz w:val="24"/>
                <w:szCs w:val="24"/>
              </w:rPr>
              <w:t>东山精密</w:t>
            </w:r>
          </w:p>
        </w:tc>
        <w:tc>
          <w:tcPr>
            <w:vAlign w:val="center"/>
          </w:tcPr>
          <w:p>
            <w:pPr>
              <w:jc w:val="right"/>
            </w:pPr>
            <w:r>
              <w:rPr>
                <w:color w:val="000000"/>
                <w:kern w:val="0"/>
                <w:sz w:val="24"/>
                <w:szCs w:val="24"/>
              </w:rPr>
              <w:t>1,289,910</w:t>
            </w:r>
          </w:p>
        </w:tc>
        <w:tc>
          <w:tcPr>
            <w:vAlign w:val="center"/>
          </w:tcPr>
          <w:p>
            <w:pPr>
              <w:jc w:val="right"/>
            </w:pPr>
            <w:r>
              <w:rPr>
                <w:color w:val="000000"/>
                <w:kern w:val="0"/>
                <w:sz w:val="24"/>
                <w:szCs w:val="24"/>
              </w:rPr>
              <w:t>34,053,624.00</w:t>
            </w:r>
          </w:p>
        </w:tc>
        <w:tc>
          <w:tcPr>
            <w:vAlign w:val="center"/>
          </w:tcPr>
          <w:p>
            <w:pPr>
              <w:jc w:val="right"/>
            </w:pPr>
            <w:r>
              <w:rPr>
                <w:color w:val="000000"/>
                <w:kern w:val="0"/>
                <w:sz w:val="24"/>
                <w:szCs w:val="24"/>
              </w:rPr>
              <w:t>3.05</w:t>
            </w:r>
          </w:p>
        </w:tc>
      </w:tr>
      <w:tr>
        <w:tc>
          <w:tcPr>
            <w:vAlign w:val="center"/>
          </w:tcPr>
          <w:p>
            <w:pPr>
              <w:jc w:val="center"/>
            </w:pPr>
            <w:r>
              <w:rPr>
                <w:color w:val="000000"/>
                <w:kern w:val="0"/>
                <w:sz w:val="24"/>
                <w:szCs w:val="24"/>
              </w:rPr>
              <w:t>7</w:t>
            </w:r>
          </w:p>
        </w:tc>
        <w:tc>
          <w:tcPr>
            <w:vAlign w:val="center"/>
          </w:tcPr>
          <w:p>
            <w:pPr>
              <w:jc w:val="center"/>
            </w:pPr>
            <w:r>
              <w:rPr>
                <w:color w:val="000000"/>
                <w:kern w:val="0"/>
                <w:sz w:val="24"/>
                <w:szCs w:val="24"/>
              </w:rPr>
              <w:t>300502</w:t>
            </w:r>
          </w:p>
        </w:tc>
        <w:tc>
          <w:tcPr>
            <w:vAlign w:val="center"/>
          </w:tcPr>
          <w:p>
            <w:pPr>
              <w:jc w:val="center"/>
            </w:pPr>
            <w:r>
              <w:rPr>
                <w:color w:val="000000"/>
                <w:kern w:val="0"/>
                <w:sz w:val="24"/>
                <w:szCs w:val="24"/>
              </w:rPr>
              <w:t>新易盛</w:t>
            </w:r>
          </w:p>
        </w:tc>
        <w:tc>
          <w:tcPr>
            <w:vAlign w:val="center"/>
          </w:tcPr>
          <w:p>
            <w:pPr>
              <w:jc w:val="right"/>
            </w:pPr>
            <w:r>
              <w:rPr>
                <w:color w:val="000000"/>
                <w:kern w:val="0"/>
                <w:sz w:val="24"/>
                <w:szCs w:val="24"/>
              </w:rPr>
              <w:t>523,000</w:t>
            </w:r>
          </w:p>
        </w:tc>
        <w:tc>
          <w:tcPr>
            <w:vAlign w:val="center"/>
          </w:tcPr>
          <w:p>
            <w:pPr>
              <w:jc w:val="right"/>
            </w:pPr>
            <w:r>
              <w:rPr>
                <w:color w:val="000000"/>
                <w:kern w:val="0"/>
                <w:sz w:val="24"/>
                <w:szCs w:val="24"/>
              </w:rPr>
              <w:t>33,602,750.00</w:t>
            </w:r>
          </w:p>
        </w:tc>
        <w:tc>
          <w:tcPr>
            <w:vAlign w:val="center"/>
          </w:tcPr>
          <w:p>
            <w:pPr>
              <w:jc w:val="right"/>
            </w:pPr>
            <w:r>
              <w:rPr>
                <w:color w:val="000000"/>
                <w:kern w:val="0"/>
                <w:sz w:val="24"/>
                <w:szCs w:val="24"/>
              </w:rPr>
              <w:t>3.01</w:t>
            </w:r>
          </w:p>
        </w:tc>
      </w:tr>
      <w:tr>
        <w:tc>
          <w:tcPr>
            <w:vAlign w:val="center"/>
          </w:tcPr>
          <w:p>
            <w:pPr>
              <w:jc w:val="center"/>
            </w:pPr>
            <w:r>
              <w:rPr>
                <w:color w:val="000000"/>
                <w:kern w:val="0"/>
                <w:sz w:val="24"/>
                <w:szCs w:val="24"/>
              </w:rPr>
              <w:t>8</w:t>
            </w:r>
          </w:p>
        </w:tc>
        <w:tc>
          <w:tcPr>
            <w:vAlign w:val="center"/>
          </w:tcPr>
          <w:p>
            <w:pPr>
              <w:jc w:val="center"/>
            </w:pPr>
            <w:r>
              <w:rPr>
                <w:color w:val="000000"/>
                <w:kern w:val="0"/>
                <w:sz w:val="24"/>
                <w:szCs w:val="24"/>
              </w:rPr>
              <w:t>002410</w:t>
            </w:r>
          </w:p>
        </w:tc>
        <w:tc>
          <w:tcPr>
            <w:vAlign w:val="center"/>
          </w:tcPr>
          <w:p>
            <w:pPr>
              <w:jc w:val="center"/>
            </w:pPr>
            <w:r>
              <w:rPr>
                <w:color w:val="000000"/>
                <w:kern w:val="0"/>
                <w:sz w:val="24"/>
                <w:szCs w:val="24"/>
              </w:rPr>
              <w:t>广联达</w:t>
            </w:r>
          </w:p>
        </w:tc>
        <w:tc>
          <w:tcPr>
            <w:vAlign w:val="center"/>
          </w:tcPr>
          <w:p>
            <w:pPr>
              <w:jc w:val="right"/>
            </w:pPr>
            <w:r>
              <w:rPr>
                <w:color w:val="000000"/>
                <w:kern w:val="0"/>
                <w:sz w:val="24"/>
                <w:szCs w:val="24"/>
              </w:rPr>
              <w:t>423,600</w:t>
            </w:r>
          </w:p>
        </w:tc>
        <w:tc>
          <w:tcPr>
            <w:vAlign w:val="center"/>
          </w:tcPr>
          <w:p>
            <w:pPr>
              <w:jc w:val="right"/>
            </w:pPr>
            <w:r>
              <w:rPr>
                <w:color w:val="000000"/>
                <w:kern w:val="0"/>
                <w:sz w:val="24"/>
                <w:szCs w:val="24"/>
              </w:rPr>
              <w:t>30,901,620.00</w:t>
            </w:r>
          </w:p>
        </w:tc>
        <w:tc>
          <w:tcPr>
            <w:vAlign w:val="center"/>
          </w:tcPr>
          <w:p>
            <w:pPr>
              <w:jc w:val="right"/>
            </w:pPr>
            <w:r>
              <w:rPr>
                <w:color w:val="000000"/>
                <w:kern w:val="0"/>
                <w:sz w:val="24"/>
                <w:szCs w:val="24"/>
              </w:rPr>
              <w:t>2.77</w:t>
            </w:r>
          </w:p>
        </w:tc>
      </w:tr>
      <w:tr>
        <w:tc>
          <w:tcPr>
            <w:vAlign w:val="center"/>
          </w:tcPr>
          <w:p>
            <w:pPr>
              <w:jc w:val="center"/>
            </w:pPr>
            <w:r>
              <w:rPr>
                <w:color w:val="000000"/>
                <w:kern w:val="0"/>
                <w:sz w:val="24"/>
                <w:szCs w:val="24"/>
              </w:rPr>
              <w:t>9</w:t>
            </w:r>
          </w:p>
        </w:tc>
        <w:tc>
          <w:tcPr>
            <w:vAlign w:val="center"/>
          </w:tcPr>
          <w:p>
            <w:pPr>
              <w:jc w:val="center"/>
            </w:pPr>
            <w:r>
              <w:rPr>
                <w:color w:val="000000"/>
                <w:kern w:val="0"/>
                <w:sz w:val="24"/>
                <w:szCs w:val="24"/>
              </w:rPr>
              <w:t>002938</w:t>
            </w:r>
          </w:p>
        </w:tc>
        <w:tc>
          <w:tcPr>
            <w:vAlign w:val="center"/>
          </w:tcPr>
          <w:p>
            <w:pPr>
              <w:jc w:val="center"/>
            </w:pPr>
            <w:r>
              <w:rPr>
                <w:color w:val="000000"/>
                <w:kern w:val="0"/>
                <w:sz w:val="24"/>
                <w:szCs w:val="24"/>
              </w:rPr>
              <w:t>鹏鼎控股</w:t>
            </w:r>
          </w:p>
        </w:tc>
        <w:tc>
          <w:tcPr>
            <w:vAlign w:val="center"/>
          </w:tcPr>
          <w:p>
            <w:pPr>
              <w:jc w:val="right"/>
            </w:pPr>
            <w:r>
              <w:rPr>
                <w:color w:val="000000"/>
                <w:kern w:val="0"/>
                <w:sz w:val="24"/>
                <w:szCs w:val="24"/>
              </w:rPr>
              <w:t>547,616</w:t>
            </w:r>
          </w:p>
        </w:tc>
        <w:tc>
          <w:tcPr>
            <w:vAlign w:val="center"/>
          </w:tcPr>
          <w:p>
            <w:pPr>
              <w:jc w:val="right"/>
            </w:pPr>
            <w:r>
              <w:rPr>
                <w:color w:val="000000"/>
                <w:kern w:val="0"/>
                <w:sz w:val="24"/>
                <w:szCs w:val="24"/>
              </w:rPr>
              <w:t>30,671,959.04</w:t>
            </w:r>
          </w:p>
        </w:tc>
        <w:tc>
          <w:tcPr>
            <w:vAlign w:val="center"/>
          </w:tcPr>
          <w:p>
            <w:pPr>
              <w:jc w:val="right"/>
            </w:pPr>
            <w:r>
              <w:rPr>
                <w:color w:val="000000"/>
                <w:kern w:val="0"/>
                <w:sz w:val="24"/>
                <w:szCs w:val="24"/>
              </w:rPr>
              <w:t>2.75</w:t>
            </w:r>
          </w:p>
        </w:tc>
      </w:tr>
      <w:tr>
        <w:tc>
          <w:tcPr>
            <w:vAlign w:val="center"/>
          </w:tcPr>
          <w:p>
            <w:pPr>
              <w:jc w:val="center"/>
            </w:pPr>
            <w:r>
              <w:rPr>
                <w:color w:val="000000"/>
                <w:kern w:val="0"/>
                <w:sz w:val="24"/>
                <w:szCs w:val="24"/>
              </w:rPr>
              <w:t>10</w:t>
            </w:r>
          </w:p>
        </w:tc>
        <w:tc>
          <w:tcPr>
            <w:vAlign w:val="center"/>
          </w:tcPr>
          <w:p>
            <w:pPr>
              <w:jc w:val="center"/>
            </w:pPr>
            <w:r>
              <w:rPr>
                <w:color w:val="000000"/>
                <w:kern w:val="0"/>
                <w:sz w:val="24"/>
                <w:szCs w:val="24"/>
              </w:rPr>
              <w:t>300033</w:t>
            </w:r>
          </w:p>
        </w:tc>
        <w:tc>
          <w:tcPr>
            <w:vAlign w:val="center"/>
          </w:tcPr>
          <w:p>
            <w:pPr>
              <w:jc w:val="center"/>
            </w:pPr>
            <w:r>
              <w:rPr>
                <w:color w:val="000000"/>
                <w:kern w:val="0"/>
                <w:sz w:val="24"/>
                <w:szCs w:val="24"/>
              </w:rPr>
              <w:t>同花顺</w:t>
            </w:r>
          </w:p>
        </w:tc>
        <w:tc>
          <w:tcPr>
            <w:vAlign w:val="center"/>
          </w:tcPr>
          <w:p>
            <w:pPr>
              <w:jc w:val="right"/>
            </w:pPr>
            <w:r>
              <w:rPr>
                <w:color w:val="000000"/>
                <w:kern w:val="0"/>
                <w:sz w:val="24"/>
                <w:szCs w:val="24"/>
              </w:rPr>
              <w:t>188,100</w:t>
            </w:r>
          </w:p>
        </w:tc>
        <w:tc>
          <w:tcPr>
            <w:vAlign w:val="center"/>
          </w:tcPr>
          <w:p>
            <w:pPr>
              <w:jc w:val="right"/>
            </w:pPr>
            <w:r>
              <w:rPr>
                <w:color w:val="000000"/>
                <w:kern w:val="0"/>
                <w:sz w:val="24"/>
                <w:szCs w:val="24"/>
              </w:rPr>
              <w:t>30,071,547.00</w:t>
            </w:r>
          </w:p>
        </w:tc>
        <w:tc>
          <w:tcPr>
            <w:vAlign w:val="center"/>
          </w:tcPr>
          <w:p>
            <w:pPr>
              <w:jc w:val="right"/>
            </w:pPr>
            <w:r>
              <w:rPr>
                <w:color w:val="000000"/>
                <w:kern w:val="0"/>
                <w:sz w:val="24"/>
                <w:szCs w:val="24"/>
              </w:rPr>
              <w:t>2.70</w:t>
            </w:r>
          </w:p>
        </w:tc>
      </w:tr>
    </w:tbl>
    <w:p w:rsidP="00CA4677" w:rsidR="00CA4677" w:rsidRDefault="00750D48" w:rsidRPr="00283CAD">
      <w:pPr>
        <w:autoSpaceDE w:val="0"/>
        <w:autoSpaceDN w:val="0"/>
        <w:adjustRightInd w:val="0"/>
        <w:spacing w:line="360" w:lineRule="auto"/>
        <w:jc w:val="left"/>
        <w:rPr>
          <w:rFonts w:eastAsiaTheme="minorEastAsia"/>
          <w:b/>
          <w:bCs/>
          <w:color w:themeColor="text1" w:val="000000"/>
          <w:kern w:val="0"/>
          <w:sz w:val="24"/>
          <w:szCs w:val="24"/>
        </w:rPr>
      </w:pPr>
      <w:r w:rsidRPr="00264E55">
        <w:rPr>
          <w:rFonts w:ascii="宋体" w:hAnsi="宋体"/>
          <w:b/>
          <w:bCs/>
          <w:color w:val="000000"/>
          <w:kern w:val="0"/>
          <w:sz w:val="24"/>
          <w:szCs w:val="24"/>
        </w:rPr>
        <w:t xml:space="preserve">5.4 </w:t>
      </w:r>
      <w:r w:rsidRPr="00264E55">
        <w:rPr>
          <w:rFonts w:ascii="宋体" w:hAnsi="宋体" w:hint="eastAsia"/>
          <w:b/>
          <w:bCs/>
          <w:color w:val="000000"/>
          <w:kern w:val="0"/>
          <w:sz w:val="24"/>
          <w:szCs w:val="24"/>
        </w:rPr>
        <w:t>报告期末按债券品种分类的债券投资组合</w:t>
      </w:r>
    </w:p>
    <w:tbl>
      <w:tblPr>
        <w:tblStyle w:val="af7"/>
        <w:tblW w:type="dxa" w:w="8755"/>
        <w:jc w:val="center"/>
        <w:tblLayout w:type="fixed"/>
        <w:tblLook w:firstColumn="1" w:firstRow="1" w:lastColumn="0" w:lastRow="0" w:noHBand="0" w:noVBand="1" w:val="04A0"/>
      </w:tblPr>
      <w:tblGrid>
        <w:gridCol w:w="817"/>
        <w:gridCol w:w="3260"/>
        <w:gridCol w:w="2949"/>
        <w:gridCol w:w="1729"/>
      </w:tblGrid>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序号</w:t>
            </w:r>
          </w:p>
        </w:tc>
        <w:tc>
          <w:tcPr>
            <w:tcW w:type="dxa" w:w="3260"/>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债券品种</w:t>
            </w: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
            </w:r>
          </w:p>
        </w:tc>
        <w:tc>
          <w:tcPr>
            <w:tcW w:type="dxa" w:w="2949"/>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公允价值</w:t>
            </w:r>
            <w:r w:rsidRPr="00283CAD">
              <w:rPr>
                <w:rFonts w:eastAsiaTheme="minorEastAsia"/>
                <w:color w:themeColor="text1" w:val="000000"/>
                <w:sz w:val="24"/>
                <w:szCs w:val="24"/>
              </w:rPr>
              <w:t>(</w:t>
            </w:r>
            <w:r w:rsidRPr="00283CAD">
              <w:rPr>
                <w:rFonts w:eastAsiaTheme="minorEastAsia"/>
                <w:color w:themeColor="text1" w:val="000000"/>
                <w:sz w:val="24"/>
                <w:szCs w:val="24"/>
              </w:rPr>
              <w:t>元</w:t>
            </w:r>
            <w:r w:rsidRPr="00283CAD">
              <w:rPr>
                <w:rFonts w:eastAsiaTheme="minorEastAsia"/>
                <w:color w:themeColor="text1" w:val="000000"/>
                <w:sz w:val="24"/>
                <w:szCs w:val="24"/>
              </w:rPr>
              <w:t>)</w:t>
            </w:r>
          </w:p>
        </w:tc>
        <w:tc>
          <w:tcPr>
            <w:tcW w:type="dxa" w:w="1729"/>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占基金资产净值比例</w:t>
            </w:r>
            <w:r w:rsidRPr="00283CAD">
              <w:rPr>
                <w:rFonts w:eastAsiaTheme="minorEastAsia"/>
                <w:color w:themeColor="text1" w:val="000000"/>
                <w:sz w:val="24"/>
                <w:szCs w:val="24"/>
              </w:rPr>
              <w:t>(</w:t>
            </w:r>
            <w:r w:rsidRPr="00283CAD">
              <w:rPr>
                <w:rFonts w:eastAsiaTheme="minorEastAsia"/>
                <w:color w:themeColor="text1" w:val="000000"/>
                <w:sz w:val="24"/>
                <w:szCs w:val="24"/>
              </w:rPr>
              <w:t>％</w:t>
            </w:r>
            <w:r w:rsidRPr="00283CAD">
              <w:rPr>
                <w:rFonts w:eastAsiaTheme="minorEastAsia"/>
                <w:color w:themeColor="text1" w:val="000000"/>
                <w:sz w:val="24"/>
                <w:szCs w:val="24"/>
              </w:rPr>
              <w:t>)</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lastRenderedPageBreak/>
              <w:t>1</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国家债券</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2</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央行票据</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3</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金融债券</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其中：政策性金融债</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4</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企业债券</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r w:rsidRPr="00283CAD">
              <w:rPr>
                <w:rFonts w:eastAsiaTheme="minorEastAsia"/>
                <w:color w:themeColor="text1" w:val="000000"/>
                <w:sz w:val="24"/>
                <w:szCs w:val="24"/>
              </w:rPr>
              <w:lastRenderedPageBreak/>
              <w:t/>
            </w:r>
            <w:proofErr w:type="spellEnd"/>
            <w:r w:rsidRPr="00283CAD">
              <w:rPr>
                <w:rFonts w:eastAsiaTheme="minorEastAsia"/>
                <w:color w:themeColor="text1" w:val="000000"/>
                <w:sz w:val="24"/>
                <w:szCs w:val="24"/>
              </w:rPr>
              <w:t>-</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lastRenderedPageBreak/>
              <w:t>5</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企业短期融资券</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6</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中期票据</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7</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可转债</w:t>
            </w:r>
            <w:r w:rsidR="004B5343" w:rsidRPr="004B5343">
              <w:rPr>
                <w:rFonts w:eastAsiaTheme="minorEastAsia" w:hint="eastAsia"/>
                <w:color w:themeColor="text1" w:val="000000"/>
                <w:sz w:val="24"/>
                <w:szCs w:val="24"/>
              </w:rPr>
              <w:t>（可交换债）</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562,212.00</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0.05</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8</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同业存单</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lastRenderedPageBreak/>
              <w:t>9</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其他</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10</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合计</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562,212.00</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0.05</w:t>
            </w:r>
          </w:p>
        </w:tc>
      </w:tr>
    </w:tbl>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5.5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的前五名债券投资明细</w:t>
      </w:r>
    </w:p>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959"/>
        <w:gridCol w:w="1276"/>
        <w:gridCol w:w="1275"/>
        <w:gridCol w:w="1560"/>
        <w:gridCol w:w="1984"/>
        <w:gridCol w:w="1474"/>
      </w:tblGrid>
      <w:tr w:rsidR="00750D48" w:rsidRPr="00264E55" w:rsidTr="005602F3">
        <w:tc>
          <w:tcPr>
            <w:tcW w:type="dxa" w:w="959"/>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序号</w:t>
            </w:r>
          </w:p>
        </w:tc>
        <w:tc>
          <w:tcPr>
            <w:tcW w:type="dxa" w:w="1276"/>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债券代码</w:t>
            </w:r>
          </w:p>
        </w:tc>
        <w:tc>
          <w:tcPr>
            <w:tcW w:type="dxa" w:w="1275"/>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债券名称</w:t>
            </w:r>
          </w:p>
        </w:tc>
        <w:tc>
          <w:tcPr>
            <w:tcW w:type="dxa" w:w="1560"/>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（张）</w:t>
            </w:r>
          </w:p>
        </w:tc>
        <w:tc>
          <w:tcPr>
            <w:tcW w:type="dxa" w:w="1984"/>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type="dxa" w:w="1474"/>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tc>
          <w:tcPr>
            <w:vAlign w:val="center"/>
          </w:tcPr>
          <w:p>
            <w:pPr>
              <w:jc w:val="center"/>
            </w:pPr>
            <w:r>
              <w:rPr>
                <w:color w:val="000000"/>
                <w:kern w:val="0"/>
                <w:sz w:val="24"/>
                <w:szCs w:val="24"/>
              </w:rPr>
              <w:t>1</w:t>
            </w:r>
          </w:p>
        </w:tc>
        <w:tc>
          <w:tcPr>
            <w:vAlign w:val="center"/>
          </w:tcPr>
          <w:p>
            <w:pPr>
              <w:jc w:val="center"/>
            </w:pPr>
            <w:r>
              <w:rPr>
                <w:color w:val="000000"/>
                <w:kern w:val="0"/>
                <w:sz w:val="24"/>
                <w:szCs w:val="24"/>
              </w:rPr>
              <w:t>113553</w:t>
            </w:r>
          </w:p>
        </w:tc>
        <w:tc>
          <w:tcPr>
            <w:vAlign w:val="center"/>
          </w:tcPr>
          <w:p>
            <w:pPr>
              <w:jc w:val="center"/>
            </w:pPr>
            <w:r>
              <w:rPr>
                <w:color w:val="000000"/>
                <w:kern w:val="0"/>
                <w:sz w:val="24"/>
                <w:szCs w:val="24"/>
              </w:rPr>
              <w:t>金牌转债</w:t>
            </w:r>
          </w:p>
        </w:tc>
        <w:tc>
          <w:tcPr>
            <w:vAlign w:val="center"/>
          </w:tcPr>
          <w:p>
            <w:pPr>
              <w:jc w:val="right"/>
            </w:pPr>
            <w:r>
              <w:rPr>
                <w:color w:val="000000"/>
                <w:kern w:val="0"/>
                <w:sz w:val="24"/>
                <w:szCs w:val="24"/>
              </w:rPr>
              <w:t>4,200</w:t>
            </w:r>
          </w:p>
        </w:tc>
        <w:tc>
          <w:tcPr>
            <w:vAlign w:val="center"/>
          </w:tcPr>
          <w:p>
            <w:pPr>
              <w:jc w:val="right"/>
            </w:pPr>
            <w:r>
              <w:rPr>
                <w:color w:val="000000"/>
                <w:kern w:val="0"/>
                <w:sz w:val="24"/>
                <w:szCs w:val="24"/>
              </w:rPr>
              <w:t>562,212.00</w:t>
            </w:r>
          </w:p>
        </w:tc>
        <w:tc>
          <w:tcPr>
            <w:vAlign w:val="center"/>
          </w:tcPr>
          <w:p>
            <w:pPr>
              <w:jc w:val="right"/>
            </w:pPr>
            <w:r>
              <w:rPr>
                <w:color w:val="000000"/>
                <w:kern w:val="0"/>
                <w:sz w:val="24"/>
                <w:szCs w:val="24"/>
              </w:rPr>
              <w:t>0.05</w:t>
            </w:r>
          </w:p>
        </w:tc>
      </w:tr>
    </w:tbl>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5.6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的前十名资产支持证券</w:t>
      </w:r>
      <w:r w:rsidRPr="00264E55">
        <w:rPr>
          <w:rFonts w:ascii="宋体" w:hAnsi="宋体" w:hint="eastAsia"/>
          <w:b/>
          <w:bCs/>
          <w:color w:val="000000"/>
          <w:kern w:val="0"/>
          <w:sz w:val="24"/>
          <w:szCs w:val="24"/>
        </w:rPr>
        <w:lastRenderedPageBreak/>
        <w:t>投资明细</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本基金本报告期末未持有资产支持证券。</w:t>
      </w:r>
    </w:p>
    <w:p w:rsidP="001D63BB" w:rsidR="00750D48" w:rsidRDefault="00750D48" w:rsidRPr="001D63BB">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
      </w:r>
      <w:r w:rsidRPr="001B0A62">
        <w:rPr>
          <w:rFonts w:ascii="宋体" w:hAnsi="宋体"/>
          <w:b/>
          <w:bCs/>
          <w:color w:val="000000"/>
          <w:kern w:val="0"/>
          <w:sz w:val="24"/>
          <w:szCs w:val="24"/>
        </w:rPr>
        <w:t>5</w:t>
      </w:r>
      <w:proofErr w:type="gramStart"/>
      <w:r w:rsidRPr="001B0A62">
        <w:rPr>
          <w:rFonts w:ascii="宋体" w:hAnsi="宋体"/>
          <w:b/>
          <w:bCs/>
          <w:color w:val="000000"/>
          <w:kern w:val="0"/>
          <w:sz w:val="24"/>
          <w:szCs w:val="24"/>
        </w:rPr>
        <w:t>.</w:t>
      </w:r>
      <w:proofErr w:type="gramEnd"/>
      <w:r w:rsidRPr="001B0A62">
        <w:rPr>
          <w:rFonts w:ascii="宋体" w:hAnsi="宋体"/>
          <w:b/>
          <w:bCs/>
          <w:color w:val="000000"/>
          <w:kern w:val="0"/>
          <w:sz w:val="24"/>
          <w:szCs w:val="24"/>
        </w:rPr>
        <w:t/>
      </w:r>
      <w:r>
        <w:rPr>
          <w:rFonts w:ascii="宋体" w:hAnsi="宋体"/>
          <w:b/>
          <w:bCs/>
          <w:color w:val="000000"/>
          <w:kern w:val="0"/>
          <w:sz w:val="24"/>
          <w:szCs w:val="24"/>
        </w:rPr>
        <w:t/>
      </w:r>
      <w:r w:rsidRPr="001B0A62">
        <w:rPr>
          <w:rFonts w:ascii="宋体"/>
          <w:b/>
          <w:bCs/>
          <w:color w:val="000000"/>
          <w:kern w:val="0"/>
          <w:sz w:val="24"/>
          <w:szCs w:val="24"/>
        </w:rPr>
        <w:t>7</w:t>
      </w:r>
      <w:r w:rsidR="00C84CB0">
        <w:rPr>
          <w:rFonts w:ascii="宋体" w:hint="eastAsia"/>
          <w:b/>
          <w:bCs/>
          <w:color w:val="000000"/>
          <w:kern w:val="0"/>
          <w:sz w:val="24"/>
          <w:szCs w:val="24"/>
        </w:rPr>
        <w:t xml:space="preserve"> </w:t>
      </w:r>
      <w:r w:rsidRPr="001D63BB">
        <w:rPr>
          <w:rFonts w:ascii="宋体" w:hAnsi="宋体" w:hint="eastAsia"/>
          <w:b/>
          <w:bCs/>
          <w:color w:val="000000"/>
          <w:kern w:val="0"/>
          <w:sz w:val="24"/>
          <w:szCs w:val="24"/>
        </w:rPr>
        <w:t>报告期末按公允价值占基金资产净值比例大小排序的前五名贵金属投资明细</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本基金本报告期末未持有贵金属。</w:t>
      </w:r>
    </w:p>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Pr>
          <w:rFonts w:ascii="宋体"/>
          <w:b/>
          <w:bCs/>
          <w:color w:val="000000"/>
          <w:kern w:val="0"/>
          <w:sz w:val="24"/>
          <w:szCs w:val="24"/>
        </w:rPr>
        <w:t/>
      </w:r>
      <w:proofErr w:type="gramStart"/>
      <w:r>
        <w:rPr>
          <w:rFonts w:ascii="宋体" w:hAnsi="宋体"/>
          <w:b/>
          <w:bCs/>
          <w:color w:val="000000"/>
          <w:kern w:val="0"/>
          <w:sz w:val="24"/>
          <w:szCs w:val="24"/>
        </w:rPr>
        <w:t/>
      </w:r>
      <w:proofErr w:type="gramEnd"/>
      <w:r w:rsidRPr="001B0A62">
        <w:rPr>
          <w:rFonts w:ascii="宋体"/>
          <w:b/>
          <w:bCs/>
          <w:color w:val="000000"/>
          <w:kern w:val="0"/>
          <w:sz w:val="24"/>
          <w:szCs w:val="24"/>
        </w:rPr>
        <w:t>5.</w:t>
      </w:r>
      <w:r w:rsidRPr="001B0A62">
        <w:rPr>
          <w:rFonts w:ascii="宋体" w:hAnsi="宋体"/>
          <w:b/>
          <w:bCs/>
          <w:color w:val="000000"/>
          <w:kern w:val="0"/>
          <w:sz w:val="24"/>
          <w:szCs w:val="24"/>
        </w:rPr>
        <w:t/>
      </w:r>
      <w:r>
        <w:rPr>
          <w:rFonts w:ascii="宋体" w:hAnsi="宋体"/>
          <w:b/>
          <w:bCs/>
          <w:color w:val="000000"/>
          <w:kern w:val="0"/>
          <w:sz w:val="24"/>
          <w:szCs w:val="24"/>
        </w:rPr>
        <w:t/>
      </w:r>
      <w:r w:rsidRPr="001B0A62">
        <w:rPr>
          <w:rFonts w:ascii="宋体"/>
          <w:b/>
          <w:bCs/>
          <w:color w:val="000000"/>
          <w:kern w:val="0"/>
          <w:sz w:val="24"/>
          <w:szCs w:val="24"/>
        </w:rPr>
        <w:t>8</w:t>
      </w:r>
      <w:r w:rsidR="00C84CB0">
        <w:rPr>
          <w:rFonts w:ascii="宋体" w:hint="eastAsia"/>
          <w:b/>
          <w:bCs/>
          <w:color w:val="000000"/>
          <w:kern w:val="0"/>
          <w:sz w:val="24"/>
          <w:szCs w:val="24"/>
        </w:rPr>
        <w:t xml:space="preserve">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的前五名权证投</w:t>
      </w:r>
      <w:r w:rsidRPr="00264E55">
        <w:rPr>
          <w:rFonts w:ascii="宋体" w:hAnsi="宋体" w:hint="eastAsia"/>
          <w:b/>
          <w:bCs/>
          <w:color w:val="000000"/>
          <w:kern w:val="0"/>
          <w:sz w:val="24"/>
          <w:szCs w:val="24"/>
        </w:rPr>
        <w:lastRenderedPageBreak/>
        <w:t>资明细</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本基金本报告期末未持有权证。</w:t>
      </w:r>
    </w:p>
    <w:p w:rsidP="001B0A62" w:rsidR="00750D48" w:rsidRDefault="00750D48" w:rsidRPr="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
      </w:r>
      <w:proofErr w:type="spellStart"/>
      <w:r w:rsidRPr="001B0A62">
        <w:rPr>
          <w:rFonts w:ascii="宋体" w:hAnsi="宋体"/>
          <w:b/>
          <w:bCs/>
          <w:color w:val="000000"/>
          <w:kern w:val="0"/>
          <w:sz w:val="24"/>
          <w:szCs w:val="24"/>
        </w:rPr>
        <w:t/>
      </w:r>
      <w:proofErr w:type="spellEnd"/>
      <w:r w:rsidRPr="001B0A62">
        <w:rPr>
          <w:rFonts w:ascii="宋体" w:hAnsi="宋体"/>
          <w:b/>
          <w:bCs/>
          <w:color w:val="000000"/>
          <w:kern w:val="0"/>
          <w:sz w:val="24"/>
          <w:szCs w:val="24"/>
        </w:rPr>
        <w:t/>
      </w:r>
      <w:proofErr w:type="gramStart"/>
      <w:r w:rsidRPr="001B0A62">
        <w:rPr>
          <w:rFonts w:ascii="宋体" w:hAnsi="宋体"/>
          <w:b/>
          <w:bCs/>
          <w:color w:val="000000"/>
          <w:kern w:val="0"/>
          <w:sz w:val="24"/>
          <w:szCs w:val="24"/>
        </w:rPr>
        <w:t/>
      </w:r>
      <w:proofErr w:type="gramEnd"/>
      <w:r w:rsidRPr="001B0A62">
        <w:rPr>
          <w:rFonts w:ascii="宋体" w:hAnsi="宋体"/>
          <w:b/>
          <w:bCs/>
          <w:color w:val="000000"/>
          <w:kern w:val="0"/>
          <w:sz w:val="24"/>
          <w:szCs w:val="24"/>
        </w:rPr>
        <w:t>5</w:t>
      </w:r>
      <w:r>
        <w:rPr>
          <w:rFonts w:ascii="宋体"/>
          <w:b/>
          <w:bCs/>
          <w:color w:val="000000"/>
          <w:kern w:val="0"/>
          <w:sz w:val="24"/>
          <w:szCs w:val="24"/>
        </w:rPr>
        <w:t>.</w:t>
      </w:r>
      <w:r>
        <w:rPr>
          <w:rFonts w:ascii="宋体" w:hAnsi="宋体"/>
          <w:b/>
          <w:bCs/>
          <w:color w:val="000000"/>
          <w:kern w:val="0"/>
          <w:sz w:val="24"/>
          <w:szCs w:val="24"/>
        </w:rPr>
        <w:t/>
      </w:r>
      <w:r w:rsidRPr="001B0A62">
        <w:rPr>
          <w:rFonts w:ascii="宋体"/>
          <w:b/>
          <w:bCs/>
          <w:color w:val="000000"/>
          <w:kern w:val="0"/>
          <w:sz w:val="24"/>
          <w:szCs w:val="24"/>
        </w:rPr>
        <w:t>9</w:t>
      </w:r>
      <w:r w:rsidR="00C84CB0">
        <w:rPr>
          <w:rFonts w:ascii="宋体" w:hint="eastAsia"/>
          <w:b/>
          <w:bCs/>
          <w:color w:val="000000"/>
          <w:kern w:val="0"/>
          <w:sz w:val="24"/>
          <w:szCs w:val="24"/>
        </w:rPr>
        <w:t xml:space="preserve"> </w:t>
      </w:r>
      <w:r w:rsidRPr="001B0A62">
        <w:rPr>
          <w:rFonts w:ascii="宋体" w:hAnsi="宋体" w:hint="eastAsia"/>
          <w:b/>
          <w:bCs/>
          <w:color w:val="000000"/>
          <w:kern w:val="0"/>
          <w:sz w:val="24"/>
          <w:szCs w:val="24"/>
        </w:rPr>
        <w:t>报告期末本基金投资的股指期货交易情况说明</w:t>
      </w:r>
    </w:p>
    <w:p w:rsidP="00277FAE" w:rsidR="00277FAE" w:rsidRDefault="00277FAE">
      <w:pPr>
        <w:spacing w:line="360" w:lineRule="auto"/>
        <w:ind w:firstLine="480" w:firstLineChars="200"/>
        <w:rPr>
          <w:rFonts w:eastAsiaTheme="minorEastAsia"/>
          <w:color w:themeColor="text1" w:val="000000"/>
          <w:sz w:val="24"/>
        </w:rPr>
      </w:pPr>
      <w:r>
        <w:rPr>
          <w:color w:val="000000"/>
          <w:sz w:val="24"/>
        </w:rPr>
        <w:t/>
      </w:r>
      <w:proofErr w:type="spellStart"/>
      <w:r>
        <w:rPr>
          <w:color w:val="000000"/>
          <w:sz w:val="24"/>
        </w:rPr>
        <w:t/>
      </w:r>
      <w:proofErr w:type="spellEnd"/>
      <w:r>
        <w:rPr>
          <w:color w:val="000000"/>
          <w:sz w:val="24"/>
        </w:rPr>
        <w:t/>
      </w:r>
      <w:proofErr w:type="spellStart"/>
      <w:r>
        <w:rPr>
          <w:color w:val="000000"/>
          <w:sz w:val="24"/>
        </w:rPr>
        <w:t/>
      </w:r>
      <w:r>
        <w:rPr>
          <w:rFonts w:eastAsiaTheme="minorEastAsia"/>
          <w:color w:themeColor="text1" w:val="000000"/>
          <w:sz w:val="24"/>
        </w:rPr>
        <w:t/>
      </w:r>
      <w:proofErr w:type="spellEnd"/>
      <w:r>
        <w:rPr>
          <w:rFonts w:eastAsiaTheme="minorEastAsia"/>
          <w:color w:themeColor="text1" w:val="000000"/>
          <w:sz w:val="24"/>
        </w:rPr>
        <w:t>本基金本报告期末未投资股指期货。</w:t>
      </w:r>
    </w:p>
    <w:p w:rsidP="001B0A62" w:rsidR="00750D48" w:rsidRDefault="00750D48" w:rsidRPr="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
      </w:r>
      <w:proofErr w:type="spellStart"/>
      <w:r w:rsidRPr="001B0A62">
        <w:rPr>
          <w:rFonts w:ascii="宋体" w:hAnsi="宋体"/>
          <w:b/>
          <w:bCs/>
          <w:color w:val="000000"/>
          <w:kern w:val="0"/>
          <w:sz w:val="24"/>
          <w:szCs w:val="24"/>
        </w:rPr>
        <w:t/>
      </w:r>
      <w:proofErr w:type="spellEnd"/>
      <w:r w:rsidRPr="001B0A62">
        <w:rPr>
          <w:rFonts w:ascii="宋体" w:hAnsi="宋体"/>
          <w:b/>
          <w:bCs/>
          <w:color w:val="000000"/>
          <w:kern w:val="0"/>
          <w:sz w:val="24"/>
          <w:szCs w:val="24"/>
        </w:rPr>
        <w:t/>
      </w:r>
      <w:proofErr w:type="gramStart"/>
      <w:r w:rsidRPr="001B0A62">
        <w:rPr>
          <w:rFonts w:ascii="宋体" w:hAnsi="宋体"/>
          <w:b/>
          <w:bCs/>
          <w:color w:val="000000"/>
          <w:kern w:val="0"/>
          <w:sz w:val="24"/>
          <w:szCs w:val="24"/>
        </w:rPr>
        <w:t/>
      </w:r>
      <w:proofErr w:type="gramEnd"/>
      <w:r w:rsidRPr="001B0A62">
        <w:rPr>
          <w:rFonts w:ascii="宋体" w:hAnsi="宋体"/>
          <w:b/>
          <w:bCs/>
          <w:color w:val="000000"/>
          <w:kern w:val="0"/>
          <w:sz w:val="24"/>
          <w:szCs w:val="24"/>
        </w:rPr>
        <w:t>5.10</w:t>
      </w:r>
      <w:r w:rsidR="00C84CB0">
        <w:rPr>
          <w:rFonts w:ascii="宋体" w:hAnsi="宋体" w:hint="eastAsia"/>
          <w:b/>
          <w:bCs/>
          <w:color w:val="000000"/>
          <w:kern w:val="0"/>
          <w:sz w:val="24"/>
          <w:szCs w:val="24"/>
        </w:rPr>
        <w:t xml:space="preserve"> </w:t>
      </w:r>
      <w:r w:rsidRPr="001B0A62">
        <w:rPr>
          <w:rFonts w:ascii="宋体" w:hAnsi="宋体" w:hint="eastAsia"/>
          <w:b/>
          <w:bCs/>
          <w:color w:val="000000"/>
          <w:kern w:val="0"/>
          <w:sz w:val="24"/>
          <w:szCs w:val="24"/>
        </w:rPr>
        <w:t>报告期末本基金投资的国债期货交易情况说明</w:t>
      </w:r>
    </w:p>
    <w:p w:rsidP="00277FAE" w:rsidR="00277FAE" w:rsidRDefault="00277FAE">
      <w:pPr>
        <w:spacing w:line="360" w:lineRule="auto"/>
        <w:ind w:firstLine="480" w:firstLineChars="200"/>
      </w:pPr>
      <w:r>
        <w:rPr>
          <w:color w:val="000000"/>
          <w:sz w:val="24"/>
        </w:rPr>
        <w:t/>
      </w:r>
      <w:proofErr w:type="spellStart"/>
      <w:r>
        <w:rPr>
          <w:color w:val="000000"/>
          <w:sz w:val="24"/>
        </w:rPr>
        <w:t/>
      </w:r>
      <w:proofErr w:type="spellEnd"/>
      <w:r>
        <w:rPr>
          <w:color w:val="000000"/>
          <w:sz w:val="24"/>
        </w:rPr>
        <w:t/>
      </w:r>
      <w:proofErr w:type="spellStart"/>
      <w:r>
        <w:rPr>
          <w:color w:val="000000"/>
          <w:sz w:val="24"/>
        </w:rPr>
        <w:t/>
      </w:r>
      <w:proofErr w:type="spellEnd"/>
      <w:r>
        <w:rPr>
          <w:color w:val="000000"/>
          <w:sz w:val="24"/>
        </w:rPr>
        <w:t>本基金本报告期末未投资国债期货。</w:t>
      </w:r>
    </w:p>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b/>
          <w:bCs/>
          <w:color w:val="000000"/>
          <w:kern w:val="0"/>
          <w:sz w:val="24"/>
          <w:szCs w:val="24"/>
        </w:rPr>
        <w:t/>
      </w:r>
      <w:proofErr w:type="gramStart"/>
      <w:r w:rsidRPr="00264E55">
        <w:rPr>
          <w:rFonts w:ascii="宋体" w:hAnsi="宋体"/>
          <w:b/>
          <w:bCs/>
          <w:color w:val="000000"/>
          <w:kern w:val="0"/>
          <w:sz w:val="24"/>
          <w:szCs w:val="24"/>
        </w:rPr>
        <w:t/>
      </w:r>
      <w:proofErr w:type="gramEnd"/>
      <w:r w:rsidRPr="00264E55">
        <w:rPr>
          <w:rFonts w:ascii="宋体" w:hAnsi="宋体"/>
          <w:b/>
          <w:bCs/>
          <w:color w:val="000000"/>
          <w:kern w:val="0"/>
          <w:sz w:val="24"/>
          <w:szCs w:val="24"/>
        </w:rPr>
        <w:t xml:space="preserve">5.11 </w:t>
      </w:r>
      <w:r w:rsidRPr="00264E55">
        <w:rPr>
          <w:rFonts w:ascii="宋体" w:hAnsi="宋体" w:hint="eastAsia"/>
          <w:b/>
          <w:bCs/>
          <w:color w:val="000000"/>
          <w:kern w:val="0"/>
          <w:sz w:val="24"/>
          <w:szCs w:val="24"/>
        </w:rPr>
        <w:t>投资组合报告附注</w:t>
      </w:r>
    </w:p>
    <w:p w:rsidP="001B0A62" w:rsidR="00750D48" w:rsidRDefault="002C5960" w:rsidRPr="00264E55">
      <w:pPr>
        <w:spacing w:line="360" w:lineRule="auto"/>
        <w:rPr>
          <w:rFonts w:ascii="宋体" w:hAnsi="宋体"/>
          <w:color w:val="000000"/>
          <w:sz w:val="24"/>
          <w:szCs w:val="24"/>
        </w:rPr>
      </w:pPr>
      <w:r>
        <w:rPr>
          <w:rFonts w:hint="eastAsia"/>
          <w:color w:val="000000"/>
          <w:sz w:val="24"/>
        </w:rPr>
        <w:t/>
      </w:r>
      <w:r w:rsidR="00750D48" w:rsidRPr="00264E55">
        <w:rPr>
          <w:rFonts w:ascii="宋体"/>
          <w:color w:val="000000"/>
          <w:sz w:val="24"/>
          <w:szCs w:val="24"/>
        </w:rPr>
        <w:t/>
      </w:r>
      <w:r w:rsidR="00750D48" w:rsidRPr="00264E55">
        <w:rPr>
          <w:rFonts w:ascii="宋体" w:hAnsi="宋体"/>
          <w:color w:val="000000"/>
          <w:sz w:val="24"/>
          <w:szCs w:val="24"/>
        </w:rPr>
        <w:t>5.11.1</w:t>
      </w:r>
      <w:r w:rsidR="00065E3C">
        <w:rPr>
          <w:rFonts w:ascii="宋体" w:hAnsi="宋体" w:hint="eastAsia"/>
          <w:color w:val="000000"/>
          <w:sz w:val="24"/>
          <w:szCs w:val="24"/>
        </w:rPr>
        <w:t xml:space="preserve"> </w:t>
      </w:r>
      <w:r w:rsidR="00750D48" w:rsidRPr="00264E55">
        <w:rPr>
          <w:rFonts w:ascii="宋体" w:hAnsi="宋体"/>
          <w:color w:val="000000"/>
          <w:sz w:val="24"/>
          <w:szCs w:val="24"/>
        </w:rPr>
        <w:t>2019年11月18日，国家税务总局北京市海淀区税务局针对北京致远互联软件股份有限公司丢失发票的违法违规行为，处以罚款400元。</w:t>
      </w:r>
    </w:p>
    <w:p>
      <w:pPr>
        <w:spacing w:line="360" w:lineRule="auto"/>
        <w:rPr>
          <w:rFonts w:ascii="宋体" w:hAnsi="宋体"/>
          <w:color w:val="000000"/>
          <w:sz w:val="24"/>
          <w:szCs w:val="24"/>
        </w:rPr>
      </w:pPr>
      <w:r>
        <w:rPr>
          <w:rFonts w:ascii="宋体" w:hAnsi="宋体"/>
          <w:color w:val="000000"/>
          <w:sz w:val="24"/>
          <w:szCs w:val="24"/>
        </w:rPr>
        <w:t>2020年07月20日，中华人民共和国皇岗海关针对鹏鼎控股（深圳）股份有限公司货物申报与实际不符的违法违规行为，科处罚款人民币2.5万元整。</w:t>
      </w:r>
    </w:p>
    <w:p>
      <w:pPr>
        <w:spacing w:line="360" w:lineRule="auto"/>
        <w:rPr>
          <w:rFonts w:ascii="宋体" w:hAnsi="宋体"/>
          <w:color w:val="000000"/>
          <w:sz w:val="24"/>
          <w:szCs w:val="24"/>
        </w:rPr>
      </w:pPr>
      <w:r>
        <w:rPr>
          <w:rFonts w:ascii="宋体" w:hAnsi="宋体"/>
          <w:color w:val="000000"/>
          <w:sz w:val="24"/>
          <w:szCs w:val="24"/>
        </w:rPr>
        <w:t>本基金投资致远互联、鹏鼎控股的投资决策程序符合公司投资制度的规定。</w:t>
      </w:r>
    </w:p>
    <w:p>
      <w:pPr>
        <w:spacing w:line="360" w:lineRule="auto"/>
        <w:rPr>
          <w:rFonts w:ascii="宋体" w:hAnsi="宋体"/>
          <w:color w:val="000000"/>
          <w:sz w:val="24"/>
          <w:szCs w:val="24"/>
        </w:rPr>
      </w:pPr>
      <w:r>
        <w:rPr>
          <w:rFonts w:ascii="宋体" w:hAnsi="宋体"/>
          <w:color w:val="000000"/>
          <w:sz w:val="24"/>
          <w:szCs w:val="24"/>
        </w:rPr>
        <w:t>除致远互联、鹏鼎控股外，本基金投资的前十名证券的发行主体本期没有出现被监管部门立案调查，或在报告编制日前一年内受到公开谴责、处罚的情形。</w:t>
      </w:r>
    </w:p>
    <w:p w:rsidP="001B0A62" w:rsidR="00750D48" w:rsidRDefault="002C5960" w:rsidRPr="00264E55">
      <w:pPr>
        <w:spacing w:line="360" w:lineRule="auto"/>
        <w:rPr>
          <w:rFonts w:ascii="宋体" w:hAnsi="宋体"/>
          <w:color w:val="000000"/>
          <w:sz w:val="24"/>
          <w:szCs w:val="24"/>
        </w:rPr>
      </w:pPr>
      <w:r w:rsidRPr="00773B02">
        <w:rPr>
          <w:rFonts w:asciiTheme="majorEastAsia" w:eastAsiaTheme="majorEastAsia" w:hAnsiTheme="majorEastAsia" w:hint="eastAsia"/>
          <w:color w:val="000000"/>
          <w:sz w:val="24"/>
        </w:rPr>
        <w:t/>
      </w:r>
      <w:proofErr w:type="spellStart"/>
      <w:r w:rsidRPr="00773B02">
        <w:rPr>
          <w:rFonts w:asciiTheme="majorEastAsia" w:eastAsiaTheme="majorEastAsia" w:hAnsiTheme="majorEastAsia" w:hint="eastAsia"/>
          <w:color w:val="000000"/>
          <w:sz w:val="24"/>
        </w:rPr>
        <w:t/>
      </w:r>
      <w:proofErr w:type="spellEnd"/>
      <w:r w:rsidRPr="00773B02">
        <w:rPr>
          <w:rFonts w:asciiTheme="majorEastAsia" w:eastAsiaTheme="majorEastAsia" w:hAnsiTheme="majorEastAsia" w:hint="eastAsia"/>
          <w:color w:val="000000"/>
          <w:sz w:val="24"/>
        </w:rPr>
        <w:t/>
      </w:r>
      <w:r w:rsidR="00750D48" w:rsidRPr="00773B02">
        <w:rPr>
          <w:rFonts w:asciiTheme="majorEastAsia" w:eastAsiaTheme="majorEastAsia" w:hAnsiTheme="majorEastAsia"/>
          <w:color w:val="000000"/>
          <w:sz w:val="24"/>
          <w:szCs w:val="24"/>
        </w:rPr>
        <w:t/>
      </w:r>
      <w:proofErr w:type="gramStart"/>
      <w:r w:rsidR="00750D48" w:rsidRPr="00773B02">
        <w:rPr>
          <w:rFonts w:asciiTheme="majorEastAsia" w:eastAsiaTheme="majorEastAsia" w:hAnsiTheme="majorEastAsia"/>
          <w:color w:val="000000"/>
          <w:sz w:val="24"/>
          <w:szCs w:val="24"/>
        </w:rPr>
        <w:t/>
      </w:r>
      <w:proofErr w:type="gramEnd"/>
      <w:r w:rsidR="00750D48" w:rsidRPr="00773B02">
        <w:rPr>
          <w:rFonts w:asciiTheme="majorEastAsia" w:eastAsiaTheme="majorEastAsia" w:hAnsiTheme="majorEastAsia"/>
          <w:color w:val="000000"/>
          <w:sz w:val="24"/>
          <w:szCs w:val="24"/>
        </w:rPr>
        <w:t>5.11.2</w:t>
      </w:r>
      <w:r w:rsidR="00065E3C" w:rsidRPr="00773B02">
        <w:rPr>
          <w:rFonts w:asciiTheme="majorEastAsia" w:eastAsiaTheme="majorEastAsia" w:hAnsiTheme="majorEastAsia" w:hint="eastAsia"/>
          <w:color w:val="000000"/>
          <w:sz w:val="24"/>
          <w:szCs w:val="24"/>
        </w:rPr>
        <w:t xml:space="preserve"> </w:t>
      </w:r>
      <w:r w:rsidR="00750D48" w:rsidRPr="00264E55">
        <w:rPr>
          <w:rFonts w:ascii="宋体" w:hAnsi="宋体"/>
          <w:color w:val="000000"/>
          <w:sz w:val="24"/>
          <w:szCs w:val="24"/>
        </w:rPr>
        <w:lastRenderedPageBreak/>
        <w:t>本基金投资的前十名股票没有超出基金合同规定的备选股票库。</w:t>
      </w:r>
    </w:p>
    <w:p w:rsidP="001B0A62" w:rsidR="00750D48" w:rsidRDefault="00750D48" w:rsidRPr="001C7E00">
      <w:pPr>
        <w:autoSpaceDE w:val="0"/>
        <w:autoSpaceDN w:val="0"/>
        <w:adjustRightInd w:val="0"/>
        <w:spacing w:line="360" w:lineRule="auto"/>
        <w:jc w:val="left"/>
        <w:rPr>
          <w:rFonts w:ascii="宋体"/>
          <w:bCs/>
          <w:color w:val="000000"/>
          <w:kern w:val="0"/>
          <w:sz w:val="24"/>
          <w:szCs w:val="24"/>
        </w:rPr>
      </w:pPr>
      <w:r w:rsidRPr="001C7E00">
        <w:rPr>
          <w:rFonts w:ascii="宋体"/>
          <w:bCs/>
          <w:color w:val="000000"/>
          <w:kern w:val="0"/>
          <w:sz w:val="24"/>
          <w:szCs w:val="24"/>
        </w:rPr>
        <w:t/>
      </w:r>
      <w:r w:rsidRPr="001C7E00">
        <w:rPr>
          <w:rFonts w:ascii="宋体" w:hAnsi="宋体"/>
          <w:bCs/>
          <w:color w:val="000000"/>
          <w:kern w:val="0"/>
          <w:sz w:val="24"/>
          <w:szCs w:val="24"/>
        </w:rPr>
        <w:t xml:space="preserve">5.11.3 </w:t>
      </w:r>
      <w:r w:rsidR="00B371D4">
        <w:rPr>
          <w:rFonts w:ascii="宋体" w:hAnsi="宋体" w:hint="eastAsia"/>
          <w:bCs/>
          <w:color w:val="000000"/>
          <w:kern w:val="0"/>
          <w:sz w:val="24"/>
          <w:szCs w:val="24"/>
        </w:rPr>
        <w:t>其他</w:t>
      </w:r>
      <w:r w:rsidRPr="001C7E00">
        <w:rPr>
          <w:rFonts w:ascii="宋体" w:hAnsi="宋体" w:hint="eastAsia"/>
          <w:bCs/>
          <w:color w:val="000000"/>
          <w:kern w:val="0"/>
          <w:sz w:val="24"/>
          <w:szCs w:val="24"/>
        </w:rPr>
        <w:t>资产构成</w:t>
      </w:r>
    </w:p>
    <w:tbl>
      <w:tblPr>
        <w:tblW w:type="auto" w:w="0"/>
        <w:tblInd w:type="dxa" w:w="1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0" w:val="00A0"/>
      </w:tblPr>
      <w:tblGrid>
        <w:gridCol w:w="1235"/>
        <w:gridCol w:w="2470"/>
        <w:gridCol w:w="4808"/>
      </w:tblGrid>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序号</w:t>
            </w:r>
          </w:p>
        </w:tc>
        <w:tc>
          <w:tcPr>
            <w:tcW w:type="dxa" w:w="2470"/>
            <w:vAlign w:val="center"/>
          </w:tcPr>
          <w:p w:rsidP="00B05049" w:rsidR="00750D48" w:rsidRDefault="00750D48" w:rsidRPr="00B227EA">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名称</w:t>
            </w:r>
          </w:p>
        </w:tc>
        <w:tc>
          <w:tcPr>
            <w:tcW w:type="dxa" w:w="4808"/>
            <w:vAlign w:val="center"/>
          </w:tcPr>
          <w:p w:rsidP="005F7917" w:rsidR="00750D48" w:rsidRDefault="00750D48" w:rsidRPr="00B227EA">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金额</w:t>
            </w:r>
            <w:r w:rsidR="005F7917" w:rsidRPr="00B227EA">
              <w:rPr>
                <w:color w:val="000000"/>
                <w:kern w:val="0"/>
                <w:sz w:val="24"/>
                <w:szCs w:val="24"/>
              </w:rPr>
              <w:t>（元）</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1</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存出保证金</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293,907.15</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2</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应收证券清算款</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3</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应收股利</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4</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应收利息</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12,425.03</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5</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应收申购款</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439,924.26</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6</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其他应收款</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7</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待摊费用</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8</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9</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合计</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746,256.44</w:t>
            </w:r>
          </w:p>
        </w:tc>
      </w:tr>
    </w:tbl>
    <w:p w:rsidP="001B0A62" w:rsidR="00750D48" w:rsidRDefault="00750D48" w:rsidRPr="001C7E00">
      <w:pPr>
        <w:autoSpaceDE w:val="0"/>
        <w:autoSpaceDN w:val="0"/>
        <w:adjustRightInd w:val="0"/>
        <w:spacing w:line="360" w:lineRule="auto"/>
        <w:jc w:val="left"/>
        <w:rPr>
          <w:rFonts w:ascii="宋体"/>
          <w:bCs/>
          <w:color w:val="000000"/>
          <w:kern w:val="0"/>
          <w:sz w:val="24"/>
          <w:szCs w:val="24"/>
        </w:rPr>
      </w:pPr>
      <w:r w:rsidRPr="001C7E00">
        <w:rPr>
          <w:rFonts w:ascii="宋体"/>
          <w:bCs/>
          <w:color w:val="000000"/>
          <w:kern w:val="0"/>
          <w:sz w:val="24"/>
          <w:szCs w:val="24"/>
        </w:rPr>
        <w:t/>
      </w:r>
      <w:r w:rsidRPr="001C7E00">
        <w:rPr>
          <w:rFonts w:ascii="宋体" w:hAnsi="宋体"/>
          <w:bCs/>
          <w:color w:val="000000"/>
          <w:kern w:val="0"/>
          <w:sz w:val="24"/>
          <w:szCs w:val="24"/>
        </w:rPr>
        <w:t>5.11.4</w:t>
      </w:r>
      <w:r w:rsidRPr="001C7E00">
        <w:rPr>
          <w:rFonts w:ascii="宋体" w:hAnsi="宋体" w:hint="eastAsia"/>
          <w:bCs/>
          <w:color w:val="000000"/>
          <w:kern w:val="0"/>
          <w:sz w:val="24"/>
          <w:szCs w:val="24"/>
        </w:rPr>
        <w:t>报告期末持有的处于转股期的可转换债券明细</w:t>
      </w:r>
    </w:p>
    <w:tbl>
      <w:tblPr>
        <w:tblW w:type="auto" w:w="0"/>
        <w:tblInd w:type="dxa" w:w="1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1808"/>
        <w:gridCol w:w="1729"/>
        <w:gridCol w:w="1658"/>
        <w:gridCol w:w="1697"/>
        <w:gridCol w:w="1621"/>
      </w:tblGrid>
      <w:tr w:rsidR="00750D48" w:rsidRPr="00264E55" w:rsidTr="00B05049">
        <w:tc>
          <w:tcPr>
            <w:tcW w:type="dxa" w:w="1808"/>
            <w:vAlign w:val="center"/>
          </w:tcPr>
          <w:p w:rsidP="00B05049" w:rsidR="00750D48" w:rsidRDefault="00750D48" w:rsidRPr="00B227EA">
            <w:pPr>
              <w:spacing w:before="29" w:line="360" w:lineRule="auto"/>
              <w:ind w:left="17"/>
              <w:jc w:val="center"/>
              <w:rPr>
                <w:color w:val="000000"/>
                <w:kern w:val="0"/>
                <w:sz w:val="24"/>
                <w:szCs w:val="24"/>
              </w:rPr>
            </w:pPr>
            <w:r w:rsidRPr="00B227EA">
              <w:rPr>
                <w:color w:val="000000"/>
                <w:kern w:val="0"/>
                <w:sz w:val="24"/>
                <w:szCs w:val="24"/>
              </w:rPr>
              <w:t>序号</w:t>
            </w:r>
          </w:p>
        </w:tc>
        <w:tc>
          <w:tcPr>
            <w:tcW w:type="dxa" w:w="1729"/>
            <w:vAlign w:val="center"/>
          </w:tcPr>
          <w:p w:rsidP="00B05049" w:rsidR="00750D48" w:rsidRDefault="00750D48" w:rsidRPr="00B227EA">
            <w:pPr>
              <w:spacing w:before="29" w:line="360" w:lineRule="auto"/>
              <w:ind w:left="17"/>
              <w:jc w:val="center"/>
              <w:rPr>
                <w:color w:val="000000"/>
                <w:kern w:val="0"/>
                <w:sz w:val="24"/>
                <w:szCs w:val="24"/>
              </w:rPr>
            </w:pPr>
            <w:r w:rsidRPr="00B227EA">
              <w:rPr>
                <w:color w:val="000000"/>
                <w:kern w:val="0"/>
                <w:sz w:val="24"/>
                <w:szCs w:val="24"/>
              </w:rPr>
              <w:t>债券代码</w:t>
            </w:r>
          </w:p>
        </w:tc>
        <w:tc>
          <w:tcPr>
            <w:tcW w:type="dxa" w:w="1658"/>
            <w:vAlign w:val="center"/>
          </w:tcPr>
          <w:p w:rsidP="00B05049" w:rsidR="00750D48" w:rsidRDefault="00750D48" w:rsidRPr="00B227EA">
            <w:pPr>
              <w:spacing w:before="29" w:line="360" w:lineRule="auto"/>
              <w:ind w:left="17"/>
              <w:jc w:val="center"/>
              <w:rPr>
                <w:color w:val="000000"/>
                <w:kern w:val="0"/>
                <w:sz w:val="24"/>
                <w:szCs w:val="24"/>
              </w:rPr>
            </w:pPr>
            <w:r w:rsidRPr="00B227EA">
              <w:rPr>
                <w:color w:val="000000"/>
                <w:kern w:val="0"/>
                <w:sz w:val="24"/>
                <w:szCs w:val="24"/>
              </w:rPr>
              <w:t>债券名称</w:t>
            </w:r>
          </w:p>
        </w:tc>
        <w:tc>
          <w:tcPr>
            <w:tcW w:type="dxa" w:w="1697"/>
            <w:vAlign w:val="center"/>
          </w:tcPr>
          <w:p w:rsidP="005F7917" w:rsidR="00750D48" w:rsidRDefault="00750D48" w:rsidRPr="00B227EA">
            <w:pPr>
              <w:spacing w:before="29" w:line="360" w:lineRule="auto"/>
              <w:ind w:left="17"/>
              <w:jc w:val="center"/>
              <w:rPr>
                <w:color w:val="000000"/>
                <w:kern w:val="0"/>
                <w:sz w:val="24"/>
                <w:szCs w:val="24"/>
              </w:rPr>
            </w:pPr>
            <w:r w:rsidRPr="00B227EA">
              <w:rPr>
                <w:color w:val="000000"/>
                <w:kern w:val="0"/>
                <w:sz w:val="24"/>
                <w:szCs w:val="24"/>
              </w:rPr>
              <w:t>公允价值</w:t>
            </w:r>
            <w:r w:rsidR="005F7917" w:rsidRPr="00B227EA">
              <w:rPr>
                <w:color w:val="000000"/>
                <w:kern w:val="0"/>
                <w:sz w:val="24"/>
                <w:szCs w:val="24"/>
              </w:rPr>
              <w:t>（元）</w:t>
            </w:r>
          </w:p>
        </w:tc>
        <w:tc>
          <w:tcPr>
            <w:tcW w:type="dxa" w:w="1621"/>
            <w:vAlign w:val="center"/>
          </w:tcPr>
          <w:p w:rsidP="005F7917" w:rsidR="00750D48" w:rsidRDefault="00750D48" w:rsidRPr="00B227EA">
            <w:pPr>
              <w:spacing w:before="29" w:line="360" w:lineRule="auto"/>
              <w:ind w:left="17"/>
              <w:jc w:val="center"/>
              <w:rPr>
                <w:color w:val="000000"/>
                <w:kern w:val="0"/>
                <w:sz w:val="24"/>
                <w:szCs w:val="24"/>
              </w:rPr>
            </w:pPr>
            <w:r w:rsidRPr="00B227EA">
              <w:rPr>
                <w:color w:val="000000"/>
                <w:kern w:val="0"/>
                <w:sz w:val="24"/>
                <w:szCs w:val="24"/>
              </w:rPr>
              <w:t>占基金资产净值比例</w:t>
            </w:r>
            <w:r w:rsidR="005F7917" w:rsidRPr="00B227EA">
              <w:rPr>
                <w:color w:val="000000"/>
                <w:kern w:val="0"/>
                <w:sz w:val="24"/>
                <w:szCs w:val="24"/>
              </w:rPr>
              <w:t>（</w:t>
            </w:r>
            <w:r w:rsidR="005F7917" w:rsidRPr="00B227EA">
              <w:rPr>
                <w:color w:val="000000"/>
                <w:kern w:val="0"/>
                <w:sz w:val="24"/>
                <w:szCs w:val="24"/>
              </w:rPr>
              <w:t>%</w:t>
            </w:r>
            <w:r w:rsidR="005F7917" w:rsidRPr="00B227EA">
              <w:rPr>
                <w:color w:val="000000"/>
                <w:kern w:val="0"/>
                <w:sz w:val="24"/>
                <w:szCs w:val="24"/>
              </w:rPr>
              <w:t>）</w:t>
            </w:r>
          </w:p>
        </w:tc>
      </w:tr>
      <w:tr>
        <w:tc>
          <w:tcPr>
            <w:vAlign w:val="center"/>
          </w:tcPr>
          <w:p>
            <w:pPr>
              <w:jc w:val="center"/>
            </w:pPr>
            <w:r>
              <w:rPr>
                <w:color w:val="000000"/>
                <w:kern w:val="0"/>
                <w:sz w:val="24"/>
                <w:szCs w:val="24"/>
              </w:rPr>
              <w:t>1</w:t>
            </w:r>
          </w:p>
        </w:tc>
        <w:tc>
          <w:tcPr>
            <w:vAlign w:val="center"/>
          </w:tcPr>
          <w:p>
            <w:pPr>
              <w:jc w:val="center"/>
            </w:pPr>
            <w:r>
              <w:rPr>
                <w:color w:val="000000"/>
                <w:kern w:val="0"/>
                <w:sz w:val="24"/>
                <w:szCs w:val="24"/>
              </w:rPr>
              <w:t>113553</w:t>
            </w:r>
          </w:p>
        </w:tc>
        <w:tc>
          <w:tcPr>
            <w:vAlign w:val="center"/>
          </w:tcPr>
          <w:p>
            <w:pPr>
              <w:jc w:val="center"/>
            </w:pPr>
            <w:r>
              <w:rPr>
                <w:color w:val="000000"/>
                <w:kern w:val="0"/>
                <w:sz w:val="24"/>
                <w:szCs w:val="24"/>
              </w:rPr>
              <w:t>金牌转债</w:t>
            </w:r>
          </w:p>
        </w:tc>
        <w:tc>
          <w:tcPr>
            <w:vAlign w:val="center"/>
          </w:tcPr>
          <w:p>
            <w:pPr>
              <w:jc w:val="right"/>
            </w:pPr>
            <w:r>
              <w:rPr>
                <w:color w:val="000000"/>
                <w:kern w:val="0"/>
                <w:sz w:val="24"/>
                <w:szCs w:val="24"/>
              </w:rPr>
              <w:t>562,212.00</w:t>
            </w:r>
          </w:p>
        </w:tc>
        <w:tc>
          <w:tcPr>
            <w:vAlign w:val="center"/>
          </w:tcPr>
          <w:p>
            <w:pPr>
              <w:jc w:val="right"/>
            </w:pPr>
            <w:r>
              <w:rPr>
                <w:color w:val="000000"/>
                <w:kern w:val="0"/>
                <w:sz w:val="24"/>
                <w:szCs w:val="24"/>
              </w:rPr>
              <w:t>0.05</w:t>
            </w:r>
          </w:p>
        </w:tc>
      </w:tr>
    </w:tbl>
    <w:p w:rsidP="001B0A62" w:rsidR="00750D48" w:rsidRDefault="00750D48" w:rsidRPr="001C7E00">
      <w:pPr>
        <w:autoSpaceDE w:val="0"/>
        <w:autoSpaceDN w:val="0"/>
        <w:adjustRightInd w:val="0"/>
        <w:spacing w:line="360" w:lineRule="auto"/>
        <w:jc w:val="left"/>
        <w:rPr>
          <w:rFonts w:ascii="宋体"/>
          <w:bCs/>
          <w:color w:val="000000"/>
          <w:kern w:val="0"/>
          <w:sz w:val="24"/>
          <w:szCs w:val="24"/>
        </w:rPr>
      </w:pPr>
      <w:r w:rsidRPr="001C7E00">
        <w:rPr>
          <w:rFonts w:ascii="宋体"/>
          <w:bCs/>
          <w:color w:val="000000"/>
          <w:kern w:val="0"/>
          <w:sz w:val="24"/>
          <w:szCs w:val="24"/>
        </w:rPr>
        <w:t/>
      </w:r>
      <w:r w:rsidRPr="001C7E00">
        <w:rPr>
          <w:rFonts w:ascii="宋体" w:hAnsi="宋体"/>
          <w:bCs/>
          <w:color w:val="000000"/>
          <w:kern w:val="0"/>
          <w:sz w:val="24"/>
          <w:szCs w:val="24"/>
        </w:rPr>
        <w:t>5.11.5</w:t>
      </w:r>
      <w:r w:rsidRPr="001C7E00">
        <w:rPr>
          <w:rFonts w:ascii="宋体" w:hAnsi="宋体" w:hint="eastAsia"/>
          <w:bCs/>
          <w:color w:val="000000"/>
          <w:kern w:val="0"/>
          <w:sz w:val="24"/>
          <w:szCs w:val="24"/>
        </w:rPr>
        <w:t>报告期末前十名股票中存在流通受限情况的说明</w:t>
      </w:r>
    </w:p>
    <w:tbl>
      <w:tblPr>
        <w:tblW w:type="auto" w:w="0"/>
        <w:tblInd w:type="dxa" w:w="1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1083"/>
        <w:gridCol w:w="1302"/>
        <w:gridCol w:w="1301"/>
        <w:gridCol w:w="1805"/>
        <w:gridCol w:w="1655"/>
        <w:gridCol w:w="1367"/>
      </w:tblGrid>
      <w:tr w:rsidR="00750D48" w:rsidRPr="00264E55" w:rsidTr="00B05049">
        <w:tc>
          <w:tcPr>
            <w:tcW w:type="dxa" w:w="1083"/>
            <w:vAlign w:val="center"/>
          </w:tcPr>
          <w:p w:rsidP="00B05049" w:rsidR="00750D48" w:rsidRDefault="00750D48" w:rsidRPr="00B227EA">
            <w:pPr>
              <w:spacing w:before="29" w:line="360" w:lineRule="auto"/>
              <w:ind w:left="17"/>
              <w:jc w:val="center"/>
              <w:rPr>
                <w:color w:val="000000"/>
                <w:kern w:val="0"/>
                <w:sz w:val="24"/>
                <w:szCs w:val="24"/>
              </w:rPr>
            </w:pPr>
            <w:r w:rsidRPr="00B227EA">
              <w:rPr>
                <w:color w:val="000000"/>
                <w:kern w:val="0"/>
                <w:sz w:val="24"/>
                <w:szCs w:val="24"/>
              </w:rPr>
              <w:t>序号</w:t>
            </w:r>
          </w:p>
        </w:tc>
        <w:tc>
          <w:tcPr>
            <w:tcW w:type="dxa" w:w="1302"/>
            <w:vAlign w:val="center"/>
          </w:tcPr>
          <w:p w:rsidP="00B05049" w:rsidR="00750D48" w:rsidRDefault="00750D48" w:rsidRPr="00B227EA">
            <w:pPr>
              <w:spacing w:before="29" w:line="360" w:lineRule="auto"/>
              <w:ind w:left="17"/>
              <w:jc w:val="center"/>
              <w:rPr>
                <w:color w:val="000000"/>
                <w:kern w:val="0"/>
                <w:sz w:val="24"/>
                <w:szCs w:val="24"/>
              </w:rPr>
            </w:pPr>
            <w:r w:rsidRPr="00B227EA">
              <w:rPr>
                <w:color w:val="000000"/>
                <w:kern w:val="0"/>
                <w:sz w:val="24"/>
                <w:szCs w:val="24"/>
              </w:rPr>
              <w:t>股票代码</w:t>
            </w:r>
          </w:p>
        </w:tc>
        <w:tc>
          <w:tcPr>
            <w:tcW w:type="dxa" w:w="1301"/>
            <w:vAlign w:val="center"/>
          </w:tcPr>
          <w:p w:rsidP="00B05049" w:rsidR="00750D48" w:rsidRDefault="00750D48" w:rsidRPr="00B227EA">
            <w:pPr>
              <w:spacing w:before="29" w:line="360" w:lineRule="auto"/>
              <w:ind w:left="17"/>
              <w:jc w:val="center"/>
              <w:rPr>
                <w:color w:val="000000"/>
                <w:kern w:val="0"/>
                <w:sz w:val="24"/>
                <w:szCs w:val="24"/>
              </w:rPr>
            </w:pPr>
            <w:r w:rsidRPr="00B227EA">
              <w:rPr>
                <w:color w:val="000000"/>
                <w:kern w:val="0"/>
                <w:sz w:val="24"/>
                <w:szCs w:val="24"/>
              </w:rPr>
              <w:t>股票名称</w:t>
            </w:r>
          </w:p>
        </w:tc>
        <w:tc>
          <w:tcPr>
            <w:tcW w:type="dxa" w:w="1805"/>
            <w:vAlign w:val="center"/>
          </w:tcPr>
          <w:p w:rsidP="005F7917" w:rsidR="00750D48" w:rsidRDefault="00750D48" w:rsidRPr="00B227EA">
            <w:pPr>
              <w:spacing w:before="29" w:line="360" w:lineRule="auto"/>
              <w:ind w:left="17"/>
              <w:jc w:val="center"/>
              <w:rPr>
                <w:color w:val="000000"/>
                <w:kern w:val="0"/>
                <w:sz w:val="24"/>
                <w:szCs w:val="24"/>
              </w:rPr>
            </w:pPr>
            <w:r w:rsidRPr="00B227EA">
              <w:rPr>
                <w:color w:val="000000"/>
                <w:kern w:val="0"/>
                <w:sz w:val="24"/>
                <w:szCs w:val="24"/>
              </w:rPr>
              <w:t>流通受限部分</w:t>
            </w:r>
            <w:r w:rsidRPr="00B227EA">
              <w:rPr>
                <w:color w:val="000000"/>
                <w:kern w:val="0"/>
                <w:sz w:val="24"/>
                <w:szCs w:val="24"/>
              </w:rPr>
              <w:lastRenderedPageBreak/>
              <w:t>的公允价值</w:t>
            </w:r>
            <w:r w:rsidR="005F7917" w:rsidRPr="00B227EA">
              <w:rPr>
                <w:color w:val="000000"/>
                <w:kern w:val="0"/>
                <w:sz w:val="24"/>
                <w:szCs w:val="24"/>
              </w:rPr>
              <w:t>（元）</w:t>
            </w:r>
          </w:p>
        </w:tc>
        <w:tc>
          <w:tcPr>
            <w:tcW w:type="dxa" w:w="1655"/>
            <w:vAlign w:val="center"/>
          </w:tcPr>
          <w:p w:rsidP="005F7917" w:rsidR="00750D48" w:rsidRDefault="00750D48" w:rsidRPr="00B227EA">
            <w:pPr>
              <w:spacing w:before="29" w:line="360" w:lineRule="auto"/>
              <w:ind w:left="17"/>
              <w:jc w:val="center"/>
              <w:rPr>
                <w:color w:val="000000"/>
                <w:kern w:val="0"/>
                <w:sz w:val="24"/>
                <w:szCs w:val="24"/>
              </w:rPr>
            </w:pPr>
            <w:r w:rsidRPr="00B227EA">
              <w:rPr>
                <w:color w:val="000000"/>
                <w:kern w:val="0"/>
                <w:sz w:val="24"/>
                <w:szCs w:val="24"/>
              </w:rPr>
              <w:lastRenderedPageBreak/>
              <w:t>占基金资产</w:t>
            </w:r>
            <w:r w:rsidRPr="00B227EA">
              <w:rPr>
                <w:color w:val="000000"/>
                <w:kern w:val="0"/>
                <w:sz w:val="24"/>
                <w:szCs w:val="24"/>
              </w:rPr>
              <w:lastRenderedPageBreak/>
              <w:t>净值比例</w:t>
            </w:r>
            <w:r w:rsidR="005F7917" w:rsidRPr="00B227EA">
              <w:rPr>
                <w:color w:val="000000"/>
                <w:kern w:val="0"/>
                <w:sz w:val="24"/>
                <w:szCs w:val="24"/>
              </w:rPr>
              <w:t>（</w:t>
            </w:r>
            <w:r w:rsidR="005F7917" w:rsidRPr="00B227EA">
              <w:rPr>
                <w:color w:val="000000"/>
                <w:kern w:val="0"/>
                <w:sz w:val="24"/>
                <w:szCs w:val="24"/>
              </w:rPr>
              <w:t>%</w:t>
            </w:r>
            <w:r w:rsidR="005F7917" w:rsidRPr="00B227EA">
              <w:rPr>
                <w:color w:val="000000"/>
                <w:kern w:val="0"/>
                <w:sz w:val="24"/>
                <w:szCs w:val="24"/>
              </w:rPr>
              <w:t>）</w:t>
            </w:r>
          </w:p>
        </w:tc>
        <w:tc>
          <w:tcPr>
            <w:tcW w:type="dxa" w:w="1367"/>
            <w:vAlign w:val="center"/>
          </w:tcPr>
          <w:p w:rsidP="00B05049" w:rsidR="00750D48" w:rsidRDefault="00750D48" w:rsidRPr="00B227EA">
            <w:pPr>
              <w:spacing w:before="29" w:line="360" w:lineRule="auto"/>
              <w:ind w:left="17"/>
              <w:jc w:val="center"/>
              <w:rPr>
                <w:color w:val="000000"/>
                <w:kern w:val="0"/>
                <w:sz w:val="24"/>
                <w:szCs w:val="24"/>
              </w:rPr>
            </w:pPr>
            <w:r w:rsidRPr="00B227EA">
              <w:rPr>
                <w:color w:val="000000"/>
                <w:kern w:val="0"/>
                <w:sz w:val="24"/>
                <w:szCs w:val="24"/>
              </w:rPr>
              <w:lastRenderedPageBreak/>
              <w:t>流通受限</w:t>
            </w:r>
            <w:r w:rsidRPr="00B227EA">
              <w:rPr>
                <w:color w:val="000000"/>
                <w:kern w:val="0"/>
                <w:sz w:val="24"/>
                <w:szCs w:val="24"/>
              </w:rPr>
              <w:lastRenderedPageBreak/>
              <w:t>情况说明</w:t>
            </w:r>
          </w:p>
        </w:tc>
      </w:tr>
      <w:tr>
        <w:tc>
          <w:tcPr>
            <w:vAlign w:val="center"/>
          </w:tcPr>
          <w:p>
            <w:pPr>
              <w:jc w:val="center"/>
            </w:pPr>
            <w:r>
              <w:rPr>
                <w:color w:val="000000"/>
                <w:kern w:val="0"/>
                <w:sz w:val="24"/>
                <w:szCs w:val="24"/>
              </w:rPr>
              <w:t>1</w:t>
            </w:r>
          </w:p>
        </w:tc>
        <w:tc>
          <w:tcPr>
            <w:vAlign w:val="center"/>
          </w:tcPr>
          <w:p>
            <w:pPr>
              <w:jc w:val="center"/>
            </w:pPr>
            <w:r>
              <w:rPr>
                <w:color w:val="000000"/>
                <w:kern w:val="0"/>
                <w:sz w:val="24"/>
                <w:szCs w:val="24"/>
              </w:rPr>
              <w:t>002938</w:t>
            </w:r>
          </w:p>
        </w:tc>
        <w:tc>
          <w:tcPr>
            <w:vAlign w:val="center"/>
          </w:tcPr>
          <w:p>
            <w:pPr>
              <w:jc w:val="center"/>
            </w:pPr>
            <w:r>
              <w:rPr>
                <w:color w:val="000000"/>
                <w:kern w:val="0"/>
                <w:sz w:val="24"/>
                <w:szCs w:val="24"/>
              </w:rPr>
              <w:t>鹏鼎控股</w:t>
            </w:r>
          </w:p>
        </w:tc>
        <w:tc>
          <w:tcPr>
            <w:vAlign w:val="center"/>
          </w:tcPr>
          <w:p>
            <w:pPr>
              <w:jc w:val="right"/>
            </w:pPr>
            <w:r>
              <w:rPr>
                <w:color w:val="000000"/>
                <w:kern w:val="0"/>
                <w:sz w:val="24"/>
                <w:szCs w:val="24"/>
              </w:rPr>
              <w:t>9,648,000.00</w:t>
            </w:r>
          </w:p>
        </w:tc>
        <w:tc>
          <w:tcPr>
            <w:vAlign w:val="center"/>
          </w:tcPr>
          <w:p>
            <w:pPr>
              <w:jc w:val="right"/>
            </w:pPr>
            <w:r>
              <w:rPr>
                <w:color w:val="000000"/>
                <w:kern w:val="0"/>
                <w:sz w:val="24"/>
                <w:szCs w:val="24"/>
              </w:rPr>
              <w:t>0.87</w:t>
            </w:r>
          </w:p>
        </w:tc>
        <w:tc>
          <w:tcPr>
            <w:vAlign w:val="center"/>
          </w:tcPr>
          <w:p>
            <w:pPr>
              <w:jc w:val="right"/>
            </w:pPr>
            <w:r>
              <w:rPr>
                <w:color w:val="000000"/>
                <w:kern w:val="0"/>
                <w:sz w:val="24"/>
                <w:szCs w:val="24"/>
              </w:rPr>
              <w:t>大宗交易流通受限</w:t>
            </w:r>
          </w:p>
        </w:tc>
      </w:tr>
    </w:tbl>
    <w:p w:rsidP="00232B03" w:rsidR="00750D48" w:rsidRDefault="00750D48" w:rsidRPr="00232B03">
      <w:pPr>
        <w:spacing w:line="360" w:lineRule="auto"/>
        <w:ind w:firstLine="480" w:firstLineChars="200"/>
        <w:rPr>
          <w:color w:val="000000"/>
          <w:sz w:val="24"/>
          <w:szCs w:val="24"/>
        </w:rPr>
      </w:pPr>
      <w:r w:rsidRPr="006C56AA">
        <w:rPr>
          <w:color w:val="000000"/>
          <w:sz w:val="24"/>
          <w:szCs w:val="24"/>
        </w:rPr>
        <w:t>注：根据《深圳/上海证券交易所上市公司股东及董事、监事、高级管理人员减持股份实施细则》，大股东减持或者特定股东减持，采取大宗交易方式的，在任意连续90日内，减持股份的总数不得超过公司股份总数的2%；前款交易的受让方在受让后6个月内，不得转让所受让的股份。</w:t>
      </w: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6  </w:t>
      </w:r>
      <w:r w:rsidRPr="00264E55">
        <w:rPr>
          <w:rFonts w:ascii="宋体" w:hAnsi="宋体" w:hint="eastAsia"/>
          <w:color w:val="000000"/>
          <w:kern w:val="0"/>
          <w:sz w:val="24"/>
          <w:szCs w:val="24"/>
        </w:rPr>
        <w:t>开放式基金份额变动</w:t>
      </w:r>
    </w:p>
    <w:p w:rsidP="004061AC" w:rsidR="00750D48" w:rsidRDefault="00750D48" w:rsidRPr="00264E55">
      <w:pPr>
        <w:autoSpaceDE w:val="0"/>
        <w:autoSpaceDN w:val="0"/>
        <w:adjustRightInd w:val="0"/>
        <w:spacing w:before="29" w:line="360" w:lineRule="auto"/>
        <w:ind w:left="15"/>
        <w:jc w:val="right"/>
        <w:rPr>
          <w:rFonts w:ascii="宋体"/>
          <w:color w:val="000000"/>
          <w:kern w:val="0"/>
          <w:sz w:val="24"/>
          <w:szCs w:val="24"/>
        </w:rPr>
      </w:pPr>
      <w:r w:rsidRPr="00264E55">
        <w:rPr>
          <w:rFonts w:ascii="宋体" w:cs="宋体" w:hAnsi="宋体" w:hint="eastAsia"/>
          <w:color w:val="000000"/>
          <w:kern w:val="0"/>
          <w:sz w:val="24"/>
          <w:szCs w:val="24"/>
        </w:rPr>
        <w:t>单位：份</w:t>
      </w:r>
    </w:p>
    <w:tbl>
      <w:tblPr>
        <w:tblW w:type="auto" w:w="0"/>
        <w:tblInd w:type="dxa" w:w="-106"/>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0" w:firstRow="0" w:lastColumn="0" w:lastRow="0" w:noHBand="0" w:noVBand="0" w:val="0000"/>
      </w:tblPr>
      <w:tblGrid>
        <w:gridCol w:w="4609"/>
        <w:gridCol w:w="4025"/>
      </w:tblGrid>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报告期期初基金份额总额</w:t>
            </w:r>
          </w:p>
        </w:tc>
        <w:tc>
          <w:tcPr>
            <w:tcW w:type="dxa" w:w="4025"/>
            <w:vAlign w:val="center"/>
          </w:tcPr>
          <w:p w:rsidP="00924582"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973,571,462.61</w:t>
            </w:r>
          </w:p>
        </w:tc>
      </w:tr>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报告期</w:t>
            </w:r>
            <w:r w:rsidRPr="00B227EA">
              <w:rPr>
                <w:color w:val="000000"/>
                <w:kern w:val="0"/>
                <w:sz w:val="24"/>
                <w:szCs w:val="24"/>
              </w:rPr>
              <w:t>基金总申购份额</w:t>
            </w:r>
          </w:p>
        </w:tc>
        <w:tc>
          <w:tcPr>
            <w:tcW w:type="dxa" w:w="4025"/>
            <w:vAlign w:val="center"/>
          </w:tcPr>
          <w:p w:rsidP="00924582"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44,504,572.21</w:t>
            </w:r>
          </w:p>
        </w:tc>
      </w:tr>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减：</w:t>
            </w: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报告期</w:t>
            </w:r>
            <w:r w:rsidRPr="00B227EA">
              <w:rPr>
                <w:color w:val="000000"/>
                <w:kern w:val="0"/>
                <w:sz w:val="24"/>
                <w:szCs w:val="24"/>
              </w:rPr>
              <w:t>基金总赎回份额</w:t>
            </w:r>
          </w:p>
        </w:tc>
        <w:tc>
          <w:tcPr>
            <w:tcW w:type="dxa" w:w="4025"/>
            <w:vAlign w:val="center"/>
          </w:tcPr>
          <w:p w:rsidP="00924582"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118,841,542.73</w:t>
            </w:r>
          </w:p>
        </w:tc>
      </w:tr>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报告期</w:t>
            </w:r>
            <w:r w:rsidRPr="00B227EA">
              <w:rPr>
                <w:color w:val="000000"/>
                <w:kern w:val="0"/>
                <w:sz w:val="24"/>
                <w:szCs w:val="24"/>
              </w:rPr>
              <w:t>基金拆分变动份额</w:t>
            </w:r>
            <w:r w:rsidR="00921BFA" w:rsidRPr="00921BFA">
              <w:rPr>
                <w:rFonts w:hint="eastAsia"/>
                <w:color w:val="000000"/>
                <w:kern w:val="0"/>
                <w:sz w:val="24"/>
                <w:szCs w:val="24"/>
              </w:rPr>
              <w:t>（份额减少以“</w:t>
            </w:r>
            <w:r w:rsidR="00921BFA" w:rsidRPr="00921BFA">
              <w:rPr>
                <w:rFonts w:hint="eastAsia"/>
                <w:color w:val="000000"/>
                <w:kern w:val="0"/>
                <w:sz w:val="24"/>
                <w:szCs w:val="24"/>
              </w:rPr>
              <w:t>-</w:t>
            </w:r>
            <w:r w:rsidR="00921BFA" w:rsidRPr="00921BFA">
              <w:rPr>
                <w:rFonts w:hint="eastAsia"/>
                <w:color w:val="000000"/>
                <w:kern w:val="0"/>
                <w:sz w:val="24"/>
                <w:szCs w:val="24"/>
              </w:rPr>
              <w:t>”填列）</w:t>
            </w:r>
          </w:p>
        </w:tc>
        <w:tc>
          <w:tcPr>
            <w:tcW w:type="dxa" w:w="4025"/>
            <w:vAlign w:val="center"/>
          </w:tcPr>
          <w:p w:rsidP="00924582"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w:t>
            </w:r>
          </w:p>
        </w:tc>
      </w:tr>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lastRenderedPageBreak/>
              <w:t>报告期期末基金份额总额</w:t>
            </w:r>
          </w:p>
        </w:tc>
        <w:tc>
          <w:tcPr>
            <w:tcW w:type="dxa" w:w="4025"/>
            <w:vAlign w:val="center"/>
          </w:tcPr>
          <w:p w:rsidP="000A2B53"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899,234,492.09</w:t>
            </w:r>
          </w:p>
        </w:tc>
      </w:tr>
    </w:tbl>
    <w:p w:rsidP="004D28A3" w:rsidR="00750D48" w:rsidRDefault="00750D48">
      <w:pPr>
        <w:pStyle w:val="1"/>
        <w:tabs>
          <w:tab w:pos="4156" w:val="center"/>
          <w:tab w:pos="8312" w:val="right"/>
        </w:tabs>
        <w:spacing w:after="312" w:afterLines="100" w:before="312" w:beforeLines="100" w:line="360" w:lineRule="auto"/>
        <w:jc w:val="center"/>
        <w:rPr>
          <w:rFonts w:ascii="方正仿宋简体"/>
          <w:sz w:val="24"/>
          <w:szCs w:val="24"/>
        </w:rPr>
      </w:pPr>
      <w:r>
        <w:rPr>
          <w:rFonts w:ascii="宋体" w:cs="Arial" w:hAnsi="宋体" w:hint="eastAsia"/>
          <w:color w:val="000000"/>
          <w:kern w:val="0"/>
          <w:sz w:val="24"/>
          <w:szCs w:val="24"/>
        </w:rPr>
        <w:t>§</w:t>
      </w:r>
      <w:r>
        <w:rPr>
          <w:rFonts w:ascii="宋体" w:cs="Arial"/>
          <w:color w:val="000000"/>
          <w:kern w:val="0"/>
          <w:sz w:val="24"/>
          <w:szCs w:val="24"/>
        </w:rPr>
        <w:t/>
      </w:r>
      <w:r>
        <w:rPr>
          <w:rFonts w:ascii="宋体" w:cs="Arial" w:hAnsi="宋体"/>
          <w:color w:val="000000"/>
          <w:kern w:val="0"/>
          <w:sz w:val="24"/>
          <w:szCs w:val="24"/>
        </w:rPr>
        <w:t xml:space="preserve">7  </w:t>
      </w:r>
      <w:r>
        <w:rPr>
          <w:rFonts w:ascii="方正仿宋简体" w:hint="eastAsia"/>
          <w:sz w:val="24"/>
          <w:szCs w:val="24"/>
        </w:rPr>
        <w:t>基金管理人运用固有资金投资本基金情况</w:t>
      </w:r>
    </w:p>
    <w:p w:rsidP="00EB374A" w:rsidR="00750D48" w:rsidRDefault="00750D48">
      <w:pPr>
        <w:spacing w:line="360" w:lineRule="auto"/>
        <w:jc w:val="left"/>
        <w:rPr>
          <w:sz w:val="24"/>
          <w:szCs w:val="24"/>
        </w:rPr>
      </w:pPr>
      <w:r>
        <w:rPr>
          <w:b/>
          <w:sz w:val="24"/>
        </w:rPr>
        <w:t/>
      </w:r>
      <w:proofErr w:type="spellStart"/>
      <w:r>
        <w:rPr>
          <w:b/>
          <w:sz w:val="24"/>
        </w:rPr>
        <w:t/>
      </w:r>
      <w:proofErr w:type="spellEnd"/>
      <w:r>
        <w:rPr>
          <w:b/>
          <w:sz w:val="24"/>
        </w:rPr>
        <w:t xml:space="preserve">7.1 </w:t>
      </w:r>
      <w:r>
        <w:rPr>
          <w:rFonts w:hint="eastAsia"/>
          <w:b/>
          <w:sz w:val="24"/>
        </w:rPr>
        <w:t>基金管理人持有本基金份额变动情况</w:t>
      </w:r>
    </w:p>
    <w:p w:rsidP="00232B03" w:rsidR="00750D48" w:rsidRDefault="00AC11B0" w:rsidRPr="00232B03">
      <w:pPr>
        <w:spacing w:line="360" w:lineRule="auto"/>
        <w:ind w:firstLine="480" w:firstLineChars="200"/>
        <w:rPr>
          <w:color w:val="000000"/>
          <w:sz w:val="24"/>
          <w:szCs w:val="24"/>
        </w:rPr>
      </w:pPr>
      <w:r w:rsidRPr="00403A06">
        <w:rPr>
          <w:color w:val="000000"/>
          <w:sz w:val="24"/>
          <w:szCs w:val="24"/>
        </w:rPr>
        <w:t/>
      </w:r>
      <w:proofErr w:type="spellStart"/>
      <w:r w:rsidRPr="00403A06">
        <w:rPr>
          <w:color w:val="000000"/>
          <w:sz w:val="24"/>
          <w:szCs w:val="24"/>
        </w:rPr>
        <w:t/>
      </w:r>
      <w:proofErr w:type="spellEnd"/>
      <w:r w:rsidRPr="00403A06">
        <w:rPr>
          <w:color w:val="000000"/>
          <w:sz w:val="24"/>
          <w:szCs w:val="24"/>
        </w:rPr>
        <w:t>本报告期内基金管理人未持有本基金份额。</w:t>
      </w:r>
    </w:p>
    <w:p w:rsidP="00EB374A" w:rsidR="00750D48" w:rsidRDefault="00750D48">
      <w:pPr>
        <w:spacing w:line="360" w:lineRule="auto"/>
        <w:jc w:val="left"/>
        <w:rPr>
          <w:sz w:val="24"/>
        </w:rPr>
      </w:pPr>
      <w:r>
        <w:rPr>
          <w:b/>
          <w:sz w:val="24"/>
        </w:rPr>
        <w:t/>
      </w:r>
      <w:proofErr w:type="spellStart"/>
      <w:r>
        <w:rPr>
          <w:b/>
          <w:sz w:val="24"/>
        </w:rPr>
        <w:t/>
      </w:r>
      <w:proofErr w:type="spellEnd"/>
      <w:r>
        <w:rPr>
          <w:b/>
          <w:sz w:val="24"/>
        </w:rPr>
        <w:t xml:space="preserve">7.2 </w:t>
      </w:r>
      <w:r>
        <w:rPr>
          <w:rFonts w:hint="eastAsia"/>
          <w:b/>
          <w:sz w:val="24"/>
        </w:rPr>
        <w:t>基金管理人运用固有资金投资本基金交易明细</w:t>
      </w:r>
    </w:p>
    <w:p w:rsidP="006C56AA" w:rsidR="00750D48" w:rsidRDefault="00750D48" w:rsidRPr="006C56AA">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本报告期内基金管理人未运用固有资金申购、赎回、买卖本基金份额。</w:t>
      </w: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color w:val="000000"/>
          <w:kern w:val="0"/>
          <w:sz w:val="24"/>
          <w:szCs w:val="24"/>
        </w:rPr>
        <w:t/>
      </w:r>
      <w:r w:rsidRPr="00264E55">
        <w:rPr>
          <w:rFonts w:ascii="宋体" w:hAnsi="宋体"/>
          <w:color w:val="000000"/>
          <w:kern w:val="0"/>
          <w:sz w:val="24"/>
          <w:szCs w:val="24"/>
        </w:rPr>
        <w:t xml:space="preserve">8  </w:t>
      </w:r>
      <w:r w:rsidRPr="00264E55">
        <w:rPr>
          <w:rFonts w:ascii="宋体" w:hAnsi="宋体" w:hint="eastAsia"/>
          <w:color w:val="000000"/>
          <w:kern w:val="0"/>
          <w:sz w:val="24"/>
          <w:szCs w:val="24"/>
        </w:rPr>
        <w:t>备查文件目录</w:t>
      </w:r>
    </w:p>
    <w:p w:rsidP="00C71497"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b/>
          <w:bCs/>
          <w:color w:val="000000"/>
          <w:kern w:val="0"/>
          <w:sz w:val="24"/>
          <w:szCs w:val="24"/>
        </w:rPr>
        <w:t/>
      </w:r>
      <w:r w:rsidRPr="00264E55">
        <w:rPr>
          <w:rFonts w:ascii="宋体" w:hAnsi="宋体"/>
          <w:b/>
          <w:bCs/>
          <w:color w:val="000000"/>
          <w:kern w:val="0"/>
          <w:sz w:val="24"/>
          <w:szCs w:val="24"/>
        </w:rPr>
        <w:t xml:space="preserve">8.1 </w:t>
      </w:r>
      <w:r w:rsidRPr="00264E55">
        <w:rPr>
          <w:rFonts w:ascii="宋体" w:hAnsi="宋体" w:hint="eastAsia"/>
          <w:b/>
          <w:bCs/>
          <w:color w:val="000000"/>
          <w:kern w:val="0"/>
          <w:sz w:val="24"/>
          <w:szCs w:val="24"/>
        </w:rPr>
        <w:t>备查文件目录</w:t>
      </w:r>
    </w:p>
    <w:p>
      <w:pPr>
        <w:spacing w:line="360" w:lineRule="auto"/>
        <w:ind w:firstLine="480" w:firstLineChars="200"/>
        <w:rPr>
          <w:color w:val="000000"/>
          <w:sz w:val="24"/>
          <w:szCs w:val="24"/>
        </w:rPr>
      </w:pPr>
      <w:r>
        <w:rPr>
          <w:color w:val="000000"/>
          <w:sz w:val="24"/>
          <w:szCs w:val="24"/>
        </w:rPr>
        <w:t>1.中国证监会核准易方达策略成长二号混合型证券投资基金募集的文件；</w:t>
      </w:r>
    </w:p>
    <w:p>
      <w:pPr>
        <w:spacing w:line="360" w:lineRule="auto"/>
        <w:ind w:firstLine="480" w:firstLineChars="200"/>
        <w:rPr>
          <w:color w:val="000000"/>
          <w:sz w:val="24"/>
          <w:szCs w:val="24"/>
        </w:rPr>
      </w:pPr>
      <w:r>
        <w:rPr>
          <w:color w:val="000000"/>
          <w:sz w:val="24"/>
          <w:szCs w:val="24"/>
        </w:rPr>
        <w:t>2.《易方达策略成长二号混合型证券投资基金基金合同》；</w:t>
      </w:r>
    </w:p>
    <w:p>
      <w:pPr>
        <w:spacing w:line="360" w:lineRule="auto"/>
        <w:ind w:firstLine="480" w:firstLineChars="200"/>
        <w:rPr>
          <w:color w:val="000000"/>
          <w:sz w:val="24"/>
          <w:szCs w:val="24"/>
        </w:rPr>
      </w:pPr>
      <w:r>
        <w:rPr>
          <w:color w:val="000000"/>
          <w:sz w:val="24"/>
          <w:szCs w:val="24"/>
        </w:rPr>
        <w:t>3.《易方达策略成长二号混合型证券投资基金托管协议》；</w:t>
      </w:r>
    </w:p>
    <w:p>
      <w:pPr>
        <w:spacing w:line="360" w:lineRule="auto"/>
        <w:ind w:firstLine="480" w:firstLineChars="200"/>
        <w:rPr>
          <w:color w:val="000000"/>
          <w:sz w:val="24"/>
          <w:szCs w:val="24"/>
        </w:rPr>
      </w:pPr>
      <w:r>
        <w:rPr>
          <w:color w:val="000000"/>
          <w:sz w:val="24"/>
          <w:szCs w:val="24"/>
        </w:rPr>
        <w:t>4.《易方达基金管理有限公司开放式基金业务规则》；</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5.基金管理人业务资格批件和营业执照。</w:t>
      </w:r>
    </w:p>
    <w:p w:rsidP="00C71497"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b/>
          <w:bCs/>
          <w:color w:val="000000"/>
          <w:kern w:val="0"/>
          <w:sz w:val="24"/>
          <w:szCs w:val="24"/>
        </w:rPr>
        <w:t/>
      </w:r>
      <w:r w:rsidRPr="00264E55">
        <w:rPr>
          <w:rFonts w:ascii="宋体" w:hAnsi="宋体"/>
          <w:b/>
          <w:bCs/>
          <w:color w:val="000000"/>
          <w:kern w:val="0"/>
          <w:sz w:val="24"/>
          <w:szCs w:val="24"/>
        </w:rPr>
        <w:t xml:space="preserve">8.2 </w:t>
      </w:r>
      <w:r w:rsidRPr="00264E55">
        <w:rPr>
          <w:rFonts w:ascii="宋体" w:hAnsi="宋体" w:hint="eastAsia"/>
          <w:b/>
          <w:bCs/>
          <w:color w:val="000000"/>
          <w:kern w:val="0"/>
          <w:sz w:val="24"/>
          <w:szCs w:val="24"/>
        </w:rPr>
        <w:t>存放地点</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lastRenderedPageBreak/>
        <w:t/>
      </w:r>
      <w:proofErr w:type="spellStart"/>
      <w:r w:rsidRPr="006C56AA">
        <w:rPr>
          <w:color w:val="000000"/>
          <w:sz w:val="24"/>
          <w:szCs w:val="24"/>
        </w:rPr>
        <w:t/>
      </w:r>
      <w:proofErr w:type="spellEnd"/>
      <w:r w:rsidRPr="006C56AA">
        <w:rPr>
          <w:color w:val="000000"/>
          <w:sz w:val="24"/>
          <w:szCs w:val="24"/>
        </w:rPr>
        <w:t>广州市天河区珠江新城珠江东路30号广州银行大厦40-43楼。</w:t>
      </w:r>
    </w:p>
    <w:p w:rsidP="00C71497"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b/>
          <w:bCs/>
          <w:color w:val="000000"/>
          <w:kern w:val="0"/>
          <w:sz w:val="24"/>
          <w:szCs w:val="24"/>
        </w:rPr>
        <w:t/>
      </w:r>
      <w:r w:rsidRPr="00264E55">
        <w:rPr>
          <w:rFonts w:ascii="宋体" w:hAnsi="宋体"/>
          <w:b/>
          <w:bCs/>
          <w:color w:val="000000"/>
          <w:kern w:val="0"/>
          <w:sz w:val="24"/>
          <w:szCs w:val="24"/>
        </w:rPr>
        <w:t xml:space="preserve">8.3 </w:t>
      </w:r>
      <w:r w:rsidRPr="00264E55">
        <w:rPr>
          <w:rFonts w:ascii="宋体" w:hAnsi="宋体" w:hint="eastAsia"/>
          <w:b/>
          <w:bCs/>
          <w:color w:val="000000"/>
          <w:kern w:val="0"/>
          <w:sz w:val="24"/>
          <w:szCs w:val="24"/>
        </w:rPr>
        <w:t>查阅方式</w:t>
      </w:r>
    </w:p>
    <w:p w:rsidP="00EB572F" w:rsidR="00750D48" w:rsidRDefault="00750D48" w:rsidRPr="006C56AA">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投资者可在营业时间免费查阅，也可按工本费购买复印件。</w:t>
      </w:r>
    </w:p>
    <w:p w:rsidP="004061AC" w:rsidR="00750D48" w:rsidRDefault="00750D48">
      <w:pPr>
        <w:spacing w:line="360" w:lineRule="auto"/>
        <w:ind w:left="840"/>
        <w:jc w:val="right"/>
        <w:rPr>
          <w:rFonts w:ascii="宋体"/>
          <w:color w:val="000000"/>
          <w:sz w:val="24"/>
          <w:szCs w:val="24"/>
        </w:rPr>
      </w:pPr>
    </w:p>
    <w:p w:rsidP="004061AC" w:rsidR="00750D48" w:rsidRDefault="00750D48">
      <w:pPr>
        <w:spacing w:line="360" w:lineRule="auto"/>
        <w:ind w:left="840"/>
        <w:jc w:val="right"/>
        <w:rPr>
          <w:rFonts w:ascii="宋体"/>
          <w:color w:val="000000"/>
          <w:sz w:val="24"/>
          <w:szCs w:val="24"/>
        </w:rPr>
      </w:pPr>
    </w:p>
    <w:p w:rsidP="004061AC" w:rsidR="00750D48" w:rsidRDefault="00750D48">
      <w:pPr>
        <w:spacing w:line="360" w:lineRule="auto"/>
        <w:ind w:left="840"/>
        <w:jc w:val="right"/>
        <w:rPr>
          <w:rFonts w:ascii="宋体"/>
          <w:color w:val="000000"/>
          <w:sz w:val="24"/>
          <w:szCs w:val="24"/>
        </w:rPr>
      </w:pPr>
    </w:p>
    <w:p w:rsidP="004061AC" w:rsidR="00750D48" w:rsidRDefault="00750D48">
      <w:pPr>
        <w:spacing w:line="360" w:lineRule="auto"/>
        <w:ind w:left="840"/>
        <w:jc w:val="right"/>
        <w:rPr>
          <w:rFonts w:ascii="宋体"/>
          <w:color w:val="000000"/>
          <w:sz w:val="24"/>
          <w:szCs w:val="24"/>
        </w:rPr>
      </w:pPr>
    </w:p>
    <w:p w:rsidP="004061AC" w:rsidR="00750D48" w:rsidRDefault="00750D48">
      <w:pPr>
        <w:spacing w:line="360" w:lineRule="auto"/>
        <w:ind w:left="840"/>
        <w:jc w:val="right"/>
        <w:rPr>
          <w:rFonts w:ascii="宋体"/>
          <w:color w:val="000000"/>
          <w:sz w:val="24"/>
          <w:szCs w:val="24"/>
        </w:rPr>
      </w:pPr>
    </w:p>
    <w:p w:rsidP="004061AC" w:rsidR="00750D48" w:rsidRDefault="00750D48" w:rsidRPr="00264E55">
      <w:pPr>
        <w:spacing w:line="360" w:lineRule="auto"/>
        <w:ind w:left="840"/>
        <w:jc w:val="right"/>
        <w:rPr>
          <w:rFonts w:ascii="宋体"/>
          <w:color w:val="000000"/>
          <w:sz w:val="24"/>
          <w:szCs w:val="24"/>
        </w:rPr>
      </w:pPr>
    </w:p>
    <w:p w:rsidP="004061AC" w:rsidR="00750D48" w:rsidRDefault="00750D48" w:rsidRPr="00264E55">
      <w:pPr>
        <w:spacing w:line="360" w:lineRule="auto"/>
        <w:ind w:left="840"/>
        <w:jc w:val="right"/>
        <w:rPr>
          <w:rFonts w:ascii="宋体"/>
          <w:color w:val="000000"/>
          <w:sz w:val="24"/>
          <w:szCs w:val="24"/>
        </w:rPr>
      </w:pPr>
    </w:p>
    <w:p w:rsidP="004061AC" w:rsidR="00750D48" w:rsidRDefault="00750D48" w:rsidRPr="00264E55">
      <w:pPr>
        <w:spacing w:line="360" w:lineRule="auto"/>
        <w:ind w:left="840"/>
        <w:jc w:val="right"/>
        <w:rPr>
          <w:rFonts w:ascii="宋体"/>
          <w:color w:val="000000"/>
          <w:sz w:val="24"/>
          <w:szCs w:val="24"/>
        </w:rPr>
      </w:pPr>
    </w:p>
    <w:p w:rsidP="00C71497" w:rsidR="00750D48" w:rsidRDefault="00750D48" w:rsidRPr="00264E55">
      <w:pPr>
        <w:spacing w:line="360" w:lineRule="auto"/>
        <w:jc w:val="right"/>
        <w:rPr>
          <w:rFonts w:ascii="宋体" w:hAnsi="宋体"/>
          <w:b/>
          <w:bCs/>
          <w:sz w:val="24"/>
          <w:szCs w:val="24"/>
        </w:rPr>
      </w:pPr>
      <w:r w:rsidRPr="00264E55">
        <w:rPr>
          <w:rFonts w:ascii="宋体"/>
          <w:b/>
          <w:bCs/>
          <w:sz w:val="24"/>
          <w:szCs w:val="24"/>
        </w:rPr>
        <w:t/>
      </w:r>
      <w:proofErr w:type="spellStart"/>
      <w:r w:rsidRPr="00264E55">
        <w:rPr>
          <w:rFonts w:ascii="宋体" w:hAnsi="宋体"/>
          <w:b/>
          <w:bCs/>
          <w:sz w:val="24"/>
          <w:szCs w:val="24"/>
        </w:rPr>
        <w:t/>
      </w:r>
      <w:proofErr w:type="spellEnd"/>
      <w:r w:rsidRPr="00264E55">
        <w:rPr>
          <w:rFonts w:ascii="宋体" w:hAnsi="宋体"/>
          <w:b/>
          <w:bCs/>
          <w:sz w:val="24"/>
          <w:szCs w:val="24"/>
        </w:rPr>
        <w:t>易方达基金管理有限公司</w:t>
      </w:r>
    </w:p>
    <w:p w:rsidP="00191817" w:rsidR="00750D48" w:rsidRDefault="00750D48" w:rsidRPr="00191817">
      <w:pPr>
        <w:spacing w:line="360" w:lineRule="auto"/>
        <w:jc w:val="right"/>
        <w:rPr>
          <w:rFonts w:ascii="宋体" w:hAnsi="宋体"/>
          <w:b/>
          <w:bCs/>
          <w:sz w:val="24"/>
          <w:szCs w:val="24"/>
        </w:rPr>
      </w:pPr>
      <w:r w:rsidRPr="00264E55">
        <w:rPr>
          <w:rFonts w:ascii="宋体" w:hAnsi="宋体"/>
          <w:b/>
          <w:bCs/>
          <w:sz w:val="24"/>
          <w:szCs w:val="24"/>
        </w:rPr>
        <w:t/>
      </w:r>
      <w:proofErr w:type="spellStart"/>
      <w:r w:rsidRPr="00264E55">
        <w:rPr>
          <w:rFonts w:ascii="宋体" w:hAnsi="宋体"/>
          <w:b/>
          <w:bCs/>
          <w:sz w:val="24"/>
          <w:szCs w:val="24"/>
        </w:rPr>
        <w:t/>
      </w:r>
      <w:proofErr w:type="spellEnd"/>
      <w:r w:rsidRPr="00264E55">
        <w:rPr>
          <w:rFonts w:ascii="宋体" w:hAnsi="宋体"/>
          <w:b/>
          <w:bCs/>
          <w:sz w:val="24"/>
          <w:szCs w:val="24"/>
        </w:rPr>
        <w:t>二〇二〇年十月二十八日</w:t>
      </w:r>
    </w:p>
    <w:sectPr w:rsidR="00750D48" w:rsidRPr="00191817" w:rsidSect="00304A12">
      <w:footerReference r:id="rId12" w:type="default"/>
      <w:pgSz w:code="9" w:h="16838" w:w="11906"/>
      <w:pgMar w:bottom="1440" w:footer="992" w:gutter="0" w:header="851" w:left="1797" w:right="1797"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E00" w:rsidRDefault="008E0E00" w:rsidP="00876D65">
      <w:r>
        <w:separator/>
      </w:r>
    </w:p>
  </w:endnote>
  <w:endnote w:type="continuationSeparator" w:id="0">
    <w:p w:rsidR="008E0E00" w:rsidRDefault="008E0E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EF56B5" w:rsidR="003328D9" w:rsidRDefault="003328D9">
    <w:pPr>
      <w:pStyle w:val="a6"/>
      <w:framePr w:hAnchor="margin" w:vAnchor="text" w:wrap="auto"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0D33A8">
      <w:rPr>
        <w:rStyle w:val="a7"/>
        <w:noProof/>
      </w:rPr>
      <w:t>1</w:t>
    </w:r>
    <w:r>
      <w:rPr>
        <w:rStyle w:val="a7"/>
      </w:rPr>
      <w:fldChar w:fldCharType="end"/>
    </w:r>
    <w:proofErr w:type="gramStart"/>
    <w:r>
      <w:rPr>
        <w:rStyle w:val="a7"/>
        <w:rFonts w:hint="eastAsia"/>
      </w:rPr>
      <w:t>页共</w:t>
    </w:r>
    <w:proofErr w:type="gramEnd"/>
    <w:r w:rsidR="00764C38">
      <w:fldChar w:fldCharType="begin"/>
    </w:r>
    <w:r w:rsidR="00764C38">
      <w:instrText xml:space="preserve"> NUMPAGES  \* Arabic  \* MERGEFORMAT </w:instrText>
    </w:r>
    <w:r w:rsidR="00764C38">
      <w:fldChar w:fldCharType="separate"/>
    </w:r>
    <w:r w:rsidR="000D33A8" w:rsidRPr="000D33A8">
      <w:rPr>
        <w:rStyle w:val="a7"/>
        <w:noProof/>
      </w:rPr>
      <w:t>28</w:t>
    </w:r>
    <w:r w:rsidR="00764C38">
      <w:rPr>
        <w:rStyle w:val="a7"/>
        <w:noProof/>
      </w:rPr>
      <w:fldChar w:fldCharType="end"/>
    </w:r>
    <w:r>
      <w:rPr>
        <w:rStyle w:val="a7"/>
        <w:rFonts w:hint="eastAsia"/>
      </w:rPr>
      <w:t>页</w:t>
    </w:r>
  </w:p>
  <w:p w:rsidP="00EF56B5" w:rsidR="003328D9" w:rsidRDefault="003328D9" w:rsidRPr="00EF56B5">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3328D9" w:rsidRDefault="003328D9">
    <w:pPr>
      <w:pStyle w:val="a6"/>
      <w:framePr w:hAnchor="margin" w:vAnchor="text" w:wrap="auto"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0D33A8">
      <w:rPr>
        <w:rStyle w:val="a7"/>
        <w:noProof/>
      </w:rPr>
      <w:t>6</w:t>
    </w:r>
    <w:r>
      <w:rPr>
        <w:rStyle w:val="a7"/>
      </w:rPr>
      <w:fldChar w:fldCharType="end"/>
    </w:r>
    <w:proofErr w:type="gramStart"/>
    <w:r>
      <w:rPr>
        <w:rStyle w:val="a7"/>
        <w:rFonts w:hint="eastAsia"/>
      </w:rPr>
      <w:t>页共</w:t>
    </w:r>
    <w:proofErr w:type="gramEnd"/>
    <w:fldSimple w:instr=" NUMPAGES  \* Arabic  \* MERGEFORMAT ">
      <w:r w:rsidR="000D33A8" w:rsidRPr="000D33A8">
        <w:rPr>
          <w:rStyle w:val="a7"/>
          <w:noProof/>
        </w:rPr>
        <w:t>28</w:t>
      </w:r>
    </w:fldSimple>
    <w:r>
      <w:rPr>
        <w:rStyle w:val="a7"/>
        <w:rFonts w:hint="eastAsia"/>
      </w:rPr>
      <w:t>页</w:t>
    </w:r>
  </w:p>
  <w:p w:rsidR="003328D9" w:rsidRDefault="003328D9">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otnote w:id="-1" w:type="separator">
    <w:p w:rsidP="00876D65" w:rsidR="008E0E00" w:rsidRDefault="008E0E00">
      <w:r>
        <w:separator/>
      </w:r>
    </w:p>
  </w:footnote>
  <w:footnote w:id="0" w:type="continuationSeparator">
    <w:p w:rsidP="00876D65" w:rsidR="008E0E00" w:rsidRDefault="008E0E0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090A26" w:rsidR="003328D9" w:rsidRDefault="003328D9" w:rsidRPr="00093704">
    <w:pPr>
      <w:pStyle w:val="a9"/>
      <w:pBdr>
        <w:bottom w:color="auto" w:space="0" w:sz="6" w:val="single"/>
      </w:pBdr>
      <w:jc w:val="right"/>
    </w:pPr>
    <w:r w:rsidRPr="00093704">
      <w:t/>
    </w:r>
    <w:proofErr w:type="spellStart"/>
    <w:proofErr w:type="gramStart"/>
    <w:r w:rsidRPr="00093704">
      <w:t/>
    </w:r>
    <w:proofErr w:type="spellEnd"/>
    <w:proofErr w:type="gramEnd"/>
    <w:r w:rsidRPr="00093704">
      <w:t>易方达策略成长二号混合型证券投资基金</w:t>
    </w:r>
    <w:proofErr w:type="spellStart"/>
    <w:r w:rsidRPr="00093704">
      <w:t/>
    </w:r>
    <w:proofErr w:type="spellEnd"/>
    <w:r w:rsidRPr="00093704">
      <w:t>2020年第3季度报告</w:t>
    </w: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hAnsi="Wingdings" w:hint="default"/>
      </w:rPr>
    </w:lvl>
    <w:lvl w:ilvl="2" w:tplc="04090005">
      <w:start w:val="1"/>
      <w:numFmt w:val="bullet"/>
      <w:lvlText w:val=""/>
      <w:lvlJc w:val="left"/>
      <w:pPr>
        <w:tabs>
          <w:tab w:pos="1680" w:val="num"/>
        </w:tabs>
        <w:ind w:hanging="420" w:left="1680"/>
      </w:pPr>
      <w:rPr>
        <w:rFonts w:ascii="Wingdings" w:hAnsi="Wingdings" w:hint="default"/>
      </w:rPr>
    </w:lvl>
    <w:lvl w:ilvl="3" w:tplc="04090001">
      <w:start w:val="1"/>
      <w:numFmt w:val="bullet"/>
      <w:lvlText w:val=""/>
      <w:lvlJc w:val="left"/>
      <w:pPr>
        <w:tabs>
          <w:tab w:pos="2100" w:val="num"/>
        </w:tabs>
        <w:ind w:hanging="420" w:left="2100"/>
      </w:pPr>
      <w:rPr>
        <w:rFonts w:ascii="Wingdings" w:hAnsi="Wingdings" w:hint="default"/>
      </w:rPr>
    </w:lvl>
    <w:lvl w:ilvl="4" w:tplc="04090003">
      <w:start w:val="1"/>
      <w:numFmt w:val="bullet"/>
      <w:lvlText w:val=""/>
      <w:lvlJc w:val="left"/>
      <w:pPr>
        <w:tabs>
          <w:tab w:pos="2520" w:val="num"/>
        </w:tabs>
        <w:ind w:hanging="420" w:left="2520"/>
      </w:pPr>
      <w:rPr>
        <w:rFonts w:ascii="Wingdings" w:hAnsi="Wingdings" w:hint="default"/>
      </w:rPr>
    </w:lvl>
    <w:lvl w:ilvl="5" w:tplc="04090005">
      <w:start w:val="1"/>
      <w:numFmt w:val="bullet"/>
      <w:lvlText w:val=""/>
      <w:lvlJc w:val="left"/>
      <w:pPr>
        <w:tabs>
          <w:tab w:pos="2940" w:val="num"/>
        </w:tabs>
        <w:ind w:hanging="420" w:left="2940"/>
      </w:pPr>
      <w:rPr>
        <w:rFonts w:ascii="Wingdings" w:hAnsi="Wingdings" w:hint="default"/>
      </w:rPr>
    </w:lvl>
    <w:lvl w:ilvl="6" w:tplc="04090001">
      <w:start w:val="1"/>
      <w:numFmt w:val="bullet"/>
      <w:lvlText w:val=""/>
      <w:lvlJc w:val="left"/>
      <w:pPr>
        <w:tabs>
          <w:tab w:pos="3360" w:val="num"/>
        </w:tabs>
        <w:ind w:hanging="420" w:left="3360"/>
      </w:pPr>
      <w:rPr>
        <w:rFonts w:ascii="Wingdings" w:hAnsi="Wingdings" w:hint="default"/>
      </w:rPr>
    </w:lvl>
    <w:lvl w:ilvl="7" w:tplc="04090003">
      <w:start w:val="1"/>
      <w:numFmt w:val="bullet"/>
      <w:lvlText w:val=""/>
      <w:lvlJc w:val="left"/>
      <w:pPr>
        <w:tabs>
          <w:tab w:pos="3780" w:val="num"/>
        </w:tabs>
        <w:ind w:hanging="420" w:left="3780"/>
      </w:pPr>
      <w:rPr>
        <w:rFonts w:ascii="Wingdings" w:hAnsi="Wingdings" w:hint="default"/>
      </w:rPr>
    </w:lvl>
    <w:lvl w:ilvl="8" w:tplc="04090005">
      <w:start w:val="1"/>
      <w:numFmt w:val="bullet"/>
      <w:lvlText w:val=""/>
      <w:lvlJc w:val="left"/>
      <w:pPr>
        <w:tabs>
          <w:tab w:pos="4200" w:val="num"/>
        </w:tabs>
        <w:ind w:hanging="420" w:left="420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pos="1200" w:val="num"/>
        </w:tabs>
        <w:ind w:hanging="720" w:left="1200"/>
      </w:pPr>
      <w:rPr>
        <w:rFonts w:cs="Times New Roman" w:hint="eastAsia"/>
        <w:sz w:val="24"/>
        <w:szCs w:val="24"/>
      </w:rPr>
    </w:lvl>
    <w:lvl w:ilvl="1" w:tplc="04090019">
      <w:start w:val="1"/>
      <w:numFmt w:val="lowerLetter"/>
      <w:lvlText w:val="%2)"/>
      <w:lvlJc w:val="left"/>
      <w:pPr>
        <w:tabs>
          <w:tab w:pos="1320" w:val="num"/>
        </w:tabs>
        <w:ind w:hanging="420" w:left="1320"/>
      </w:pPr>
      <w:rPr>
        <w:rFonts w:cs="Times New Roman"/>
      </w:rPr>
    </w:lvl>
    <w:lvl w:ilvl="2" w:tplc="0409001B">
      <w:start w:val="1"/>
      <w:numFmt w:val="lowerRoman"/>
      <w:lvlText w:val="%3."/>
      <w:lvlJc w:val="right"/>
      <w:pPr>
        <w:tabs>
          <w:tab w:pos="1740" w:val="num"/>
        </w:tabs>
        <w:ind w:hanging="420" w:left="1740"/>
      </w:pPr>
      <w:rPr>
        <w:rFonts w:cs="Times New Roman"/>
      </w:rPr>
    </w:lvl>
    <w:lvl w:ilvl="3" w:tplc="0409000F">
      <w:start w:val="1"/>
      <w:numFmt w:val="decimal"/>
      <w:lvlText w:val="%4."/>
      <w:lvlJc w:val="left"/>
      <w:pPr>
        <w:tabs>
          <w:tab w:pos="2160" w:val="num"/>
        </w:tabs>
        <w:ind w:hanging="420" w:left="2160"/>
      </w:pPr>
      <w:rPr>
        <w:rFonts w:cs="Times New Roman"/>
      </w:rPr>
    </w:lvl>
    <w:lvl w:ilvl="4" w:tplc="04090019">
      <w:start w:val="1"/>
      <w:numFmt w:val="lowerLetter"/>
      <w:lvlText w:val="%5)"/>
      <w:lvlJc w:val="left"/>
      <w:pPr>
        <w:tabs>
          <w:tab w:pos="2580" w:val="num"/>
        </w:tabs>
        <w:ind w:hanging="420" w:left="2580"/>
      </w:pPr>
      <w:rPr>
        <w:rFonts w:cs="Times New Roman"/>
      </w:rPr>
    </w:lvl>
    <w:lvl w:ilvl="5" w:tplc="0409001B">
      <w:start w:val="1"/>
      <w:numFmt w:val="lowerRoman"/>
      <w:lvlText w:val="%6."/>
      <w:lvlJc w:val="right"/>
      <w:pPr>
        <w:tabs>
          <w:tab w:pos="3000" w:val="num"/>
        </w:tabs>
        <w:ind w:hanging="420" w:left="3000"/>
      </w:pPr>
      <w:rPr>
        <w:rFonts w:cs="Times New Roman"/>
      </w:rPr>
    </w:lvl>
    <w:lvl w:ilvl="6" w:tplc="0409000F">
      <w:start w:val="1"/>
      <w:numFmt w:val="decimal"/>
      <w:lvlText w:val="%7."/>
      <w:lvlJc w:val="left"/>
      <w:pPr>
        <w:tabs>
          <w:tab w:pos="3420" w:val="num"/>
        </w:tabs>
        <w:ind w:hanging="420" w:left="3420"/>
      </w:pPr>
      <w:rPr>
        <w:rFonts w:cs="Times New Roman"/>
      </w:rPr>
    </w:lvl>
    <w:lvl w:ilvl="7" w:tplc="04090019">
      <w:start w:val="1"/>
      <w:numFmt w:val="lowerLetter"/>
      <w:lvlText w:val="%8)"/>
      <w:lvlJc w:val="left"/>
      <w:pPr>
        <w:tabs>
          <w:tab w:pos="3840" w:val="num"/>
        </w:tabs>
        <w:ind w:hanging="420" w:left="3840"/>
      </w:pPr>
      <w:rPr>
        <w:rFonts w:cs="Times New Roman"/>
      </w:rPr>
    </w:lvl>
    <w:lvl w:ilvl="8" w:tplc="0409001B">
      <w:start w:val="1"/>
      <w:numFmt w:val="lowerRoman"/>
      <w:lvlText w:val="%9."/>
      <w:lvlJc w:val="right"/>
      <w:pPr>
        <w:tabs>
          <w:tab w:pos="4260" w:val="num"/>
        </w:tabs>
        <w:ind w:hanging="420" w:left="4260"/>
      </w:pPr>
      <w:rPr>
        <w:rFonts w:cs="Times New Roman"/>
      </w:rPr>
    </w:lvl>
  </w:abstractNum>
  <w:abstractNum w:abstractNumId="2">
    <w:nsid w:val="7EC34207"/>
    <w:multiLevelType w:val="hybridMultilevel"/>
    <w:tmpl w:val="58FC50DE"/>
    <w:lvl w:ilvl="0" w:tplc="788C0680">
      <w:start w:val="1"/>
      <w:numFmt w:val="japaneseCounting"/>
      <w:lvlText w:val="%1、"/>
      <w:lvlJc w:val="left"/>
      <w:pPr>
        <w:tabs>
          <w:tab w:pos="480" w:val="num"/>
        </w:tabs>
        <w:ind w:hanging="480" w:left="480"/>
      </w:pPr>
      <w:rPr>
        <w:rFonts w:cs="Times New Roman" w:eastAsia="宋体" w:hint="eastAsia"/>
        <w:color w:val="auto"/>
      </w:rPr>
    </w:lvl>
    <w:lvl w:ilvl="1" w:tplc="D5ACC954">
      <w:start w:val="1"/>
      <w:numFmt w:val="japaneseCounting"/>
      <w:lvlText w:val="(%2)"/>
      <w:lvlJc w:val="left"/>
      <w:pPr>
        <w:tabs>
          <w:tab w:pos="810" w:val="num"/>
        </w:tabs>
        <w:ind w:hanging="390" w:left="810"/>
      </w:pPr>
      <w:rPr>
        <w:rFonts w:cs="Times New Roman" w:hint="eastAsia"/>
      </w:rPr>
    </w:lvl>
    <w:lvl w:ilvl="2" w:tplc="E2F6B948">
      <w:start w:val="1"/>
      <w:numFmt w:val="decimal"/>
      <w:lvlText w:val="%3、"/>
      <w:lvlJc w:val="left"/>
      <w:pPr>
        <w:tabs>
          <w:tab w:pos="1200" w:val="num"/>
        </w:tabs>
        <w:ind w:hanging="360" w:left="1200"/>
      </w:pPr>
      <w:rPr>
        <w:rFonts w:cs="Times New Roman" w:hint="eastAsia"/>
      </w:rPr>
    </w:lvl>
    <w:lvl w:ilvl="3" w:tplc="0409000F">
      <w:start w:val="1"/>
      <w:numFmt w:val="decimal"/>
      <w:lvlText w:val="%4."/>
      <w:lvlJc w:val="left"/>
      <w:pPr>
        <w:tabs>
          <w:tab w:pos="1680" w:val="num"/>
        </w:tabs>
        <w:ind w:hanging="420" w:left="1680"/>
      </w:pPr>
      <w:rPr>
        <w:rFonts w:cs="Times New Roman"/>
      </w:rPr>
    </w:lvl>
    <w:lvl w:ilvl="4" w:tplc="04090019">
      <w:start w:val="1"/>
      <w:numFmt w:val="lowerLetter"/>
      <w:lvlText w:val="%5)"/>
      <w:lvlJc w:val="left"/>
      <w:pPr>
        <w:tabs>
          <w:tab w:pos="2100" w:val="num"/>
        </w:tabs>
        <w:ind w:hanging="420" w:left="2100"/>
      </w:pPr>
      <w:rPr>
        <w:rFonts w:cs="Times New Roman"/>
      </w:rPr>
    </w:lvl>
    <w:lvl w:ilvl="5" w:tplc="0409001B">
      <w:start w:val="1"/>
      <w:numFmt w:val="lowerRoman"/>
      <w:lvlText w:val="%6."/>
      <w:lvlJc w:val="right"/>
      <w:pPr>
        <w:tabs>
          <w:tab w:pos="2520" w:val="num"/>
        </w:tabs>
        <w:ind w:hanging="420" w:left="2520"/>
      </w:pPr>
      <w:rPr>
        <w:rFonts w:cs="Times New Roman"/>
      </w:rPr>
    </w:lvl>
    <w:lvl w:ilvl="6" w:tplc="0409000F">
      <w:start w:val="1"/>
      <w:numFmt w:val="decimal"/>
      <w:lvlText w:val="%7."/>
      <w:lvlJc w:val="left"/>
      <w:pPr>
        <w:tabs>
          <w:tab w:pos="2940" w:val="num"/>
        </w:tabs>
        <w:ind w:hanging="420" w:left="2940"/>
      </w:pPr>
      <w:rPr>
        <w:rFonts w:cs="Times New Roman"/>
      </w:rPr>
    </w:lvl>
    <w:lvl w:ilvl="7" w:tplc="04090019">
      <w:start w:val="1"/>
      <w:numFmt w:val="lowerLetter"/>
      <w:lvlText w:val="%8)"/>
      <w:lvlJc w:val="left"/>
      <w:pPr>
        <w:tabs>
          <w:tab w:pos="3360" w:val="num"/>
        </w:tabs>
        <w:ind w:hanging="420" w:left="3360"/>
      </w:pPr>
      <w:rPr>
        <w:rFonts w:cs="Times New Roman"/>
      </w:rPr>
    </w:lvl>
    <w:lvl w:ilvl="8" w:tplc="0409001B">
      <w:start w:val="1"/>
      <w:numFmt w:val="lowerRoman"/>
      <w:lvlText w:val="%9."/>
      <w:lvlJc w:val="right"/>
      <w:pPr>
        <w:tabs>
          <w:tab w:pos="3780" w:val="num"/>
        </w:tabs>
        <w:ind w:hanging="420" w:left="378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mc:Ignorable="w14">
  <w:zoom w:percent="100"/>
  <w:bordersDoNotSurroundHeader/>
  <w:bordersDoNotSurroundFooter/>
  <w:proofState w:grammar="clean"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061AC"/>
    <w:rsid w:val="000018BC"/>
    <w:rsid w:val="00007D64"/>
    <w:rsid w:val="00013E6E"/>
    <w:rsid w:val="00014099"/>
    <w:rsid w:val="000160C5"/>
    <w:rsid w:val="000210E7"/>
    <w:rsid w:val="000212F7"/>
    <w:rsid w:val="00031EBB"/>
    <w:rsid w:val="00033B8D"/>
    <w:rsid w:val="00043852"/>
    <w:rsid w:val="000450DD"/>
    <w:rsid w:val="000463DE"/>
    <w:rsid w:val="000553BD"/>
    <w:rsid w:val="00065E3C"/>
    <w:rsid w:val="0008313A"/>
    <w:rsid w:val="000875EA"/>
    <w:rsid w:val="000907D2"/>
    <w:rsid w:val="00090A26"/>
    <w:rsid w:val="00093704"/>
    <w:rsid w:val="00095F2A"/>
    <w:rsid w:val="000A2B53"/>
    <w:rsid w:val="000A438A"/>
    <w:rsid w:val="000B5257"/>
    <w:rsid w:val="000B624F"/>
    <w:rsid w:val="000B73C6"/>
    <w:rsid w:val="000C190B"/>
    <w:rsid w:val="000C1E17"/>
    <w:rsid w:val="000C493C"/>
    <w:rsid w:val="000C5216"/>
    <w:rsid w:val="000D0E6C"/>
    <w:rsid w:val="000D33A8"/>
    <w:rsid w:val="000D3ED4"/>
    <w:rsid w:val="000F2DE1"/>
    <w:rsid w:val="000F6CC8"/>
    <w:rsid w:val="00111261"/>
    <w:rsid w:val="00133843"/>
    <w:rsid w:val="00137452"/>
    <w:rsid w:val="00142CAF"/>
    <w:rsid w:val="00144F93"/>
    <w:rsid w:val="00147376"/>
    <w:rsid w:val="00150E7E"/>
    <w:rsid w:val="00154BE1"/>
    <w:rsid w:val="00154C17"/>
    <w:rsid w:val="00160EDC"/>
    <w:rsid w:val="0016180A"/>
    <w:rsid w:val="001675CD"/>
    <w:rsid w:val="00170435"/>
    <w:rsid w:val="00171EF0"/>
    <w:rsid w:val="001761D2"/>
    <w:rsid w:val="001830D7"/>
    <w:rsid w:val="00185A34"/>
    <w:rsid w:val="001878B0"/>
    <w:rsid w:val="0019049E"/>
    <w:rsid w:val="00191817"/>
    <w:rsid w:val="00191BDE"/>
    <w:rsid w:val="00196E6C"/>
    <w:rsid w:val="001A73E8"/>
    <w:rsid w:val="001B0A62"/>
    <w:rsid w:val="001B2F35"/>
    <w:rsid w:val="001B3C1C"/>
    <w:rsid w:val="001B6E7E"/>
    <w:rsid w:val="001C0993"/>
    <w:rsid w:val="001C79F2"/>
    <w:rsid w:val="001C7E00"/>
    <w:rsid w:val="001D0DB0"/>
    <w:rsid w:val="001D5B8F"/>
    <w:rsid w:val="001D63BB"/>
    <w:rsid w:val="001D6A4B"/>
    <w:rsid w:val="001D74DB"/>
    <w:rsid w:val="001E4630"/>
    <w:rsid w:val="001F0964"/>
    <w:rsid w:val="001F0EB2"/>
    <w:rsid w:val="001F30DA"/>
    <w:rsid w:val="001F5DC5"/>
    <w:rsid w:val="001F5F5D"/>
    <w:rsid w:val="00200FAB"/>
    <w:rsid w:val="002111CB"/>
    <w:rsid w:val="00213821"/>
    <w:rsid w:val="00215133"/>
    <w:rsid w:val="00217B92"/>
    <w:rsid w:val="002279D3"/>
    <w:rsid w:val="00232B03"/>
    <w:rsid w:val="00240248"/>
    <w:rsid w:val="0024363B"/>
    <w:rsid w:val="00261111"/>
    <w:rsid w:val="00264E55"/>
    <w:rsid w:val="002661ED"/>
    <w:rsid w:val="00266337"/>
    <w:rsid w:val="00275745"/>
    <w:rsid w:val="0027688F"/>
    <w:rsid w:val="00276E44"/>
    <w:rsid w:val="00277FAE"/>
    <w:rsid w:val="00280C9F"/>
    <w:rsid w:val="00286BEF"/>
    <w:rsid w:val="00286FA2"/>
    <w:rsid w:val="002918E3"/>
    <w:rsid w:val="002973A9"/>
    <w:rsid w:val="002B1D1A"/>
    <w:rsid w:val="002C28F2"/>
    <w:rsid w:val="002C5960"/>
    <w:rsid w:val="002D6FB6"/>
    <w:rsid w:val="002E2255"/>
    <w:rsid w:val="002E3B09"/>
    <w:rsid w:val="002E4594"/>
    <w:rsid w:val="002E52B3"/>
    <w:rsid w:val="00303679"/>
    <w:rsid w:val="00304A12"/>
    <w:rsid w:val="00305636"/>
    <w:rsid w:val="00306390"/>
    <w:rsid w:val="00311662"/>
    <w:rsid w:val="00312A9F"/>
    <w:rsid w:val="00312F1C"/>
    <w:rsid w:val="00312F30"/>
    <w:rsid w:val="00315D5D"/>
    <w:rsid w:val="00316484"/>
    <w:rsid w:val="00316E01"/>
    <w:rsid w:val="00317067"/>
    <w:rsid w:val="00320300"/>
    <w:rsid w:val="00324508"/>
    <w:rsid w:val="003259C8"/>
    <w:rsid w:val="0032741D"/>
    <w:rsid w:val="003307FE"/>
    <w:rsid w:val="003328D9"/>
    <w:rsid w:val="003350A8"/>
    <w:rsid w:val="003376B7"/>
    <w:rsid w:val="00342369"/>
    <w:rsid w:val="003470E2"/>
    <w:rsid w:val="00352719"/>
    <w:rsid w:val="00354432"/>
    <w:rsid w:val="00355364"/>
    <w:rsid w:val="00364A60"/>
    <w:rsid w:val="00364CCB"/>
    <w:rsid w:val="0039085F"/>
    <w:rsid w:val="00392044"/>
    <w:rsid w:val="00394069"/>
    <w:rsid w:val="003A6061"/>
    <w:rsid w:val="003B5535"/>
    <w:rsid w:val="003B6FBC"/>
    <w:rsid w:val="003D7406"/>
    <w:rsid w:val="003D7FAF"/>
    <w:rsid w:val="003E62FB"/>
    <w:rsid w:val="003F39DF"/>
    <w:rsid w:val="003F63BE"/>
    <w:rsid w:val="00403A06"/>
    <w:rsid w:val="004061AC"/>
    <w:rsid w:val="00407DBB"/>
    <w:rsid w:val="004149AC"/>
    <w:rsid w:val="00415AEF"/>
    <w:rsid w:val="0042009D"/>
    <w:rsid w:val="00427F58"/>
    <w:rsid w:val="0043199A"/>
    <w:rsid w:val="00433805"/>
    <w:rsid w:val="0046668C"/>
    <w:rsid w:val="00466850"/>
    <w:rsid w:val="00467048"/>
    <w:rsid w:val="00471408"/>
    <w:rsid w:val="004858E0"/>
    <w:rsid w:val="004934E9"/>
    <w:rsid w:val="004943C2"/>
    <w:rsid w:val="004A11A7"/>
    <w:rsid w:val="004A4D5B"/>
    <w:rsid w:val="004B5343"/>
    <w:rsid w:val="004B7A92"/>
    <w:rsid w:val="004C0259"/>
    <w:rsid w:val="004C702F"/>
    <w:rsid w:val="004D28A3"/>
    <w:rsid w:val="004D495A"/>
    <w:rsid w:val="004D75CD"/>
    <w:rsid w:val="004E5975"/>
    <w:rsid w:val="004E790A"/>
    <w:rsid w:val="004F04C1"/>
    <w:rsid w:val="004F50FD"/>
    <w:rsid w:val="004F6891"/>
    <w:rsid w:val="00500A03"/>
    <w:rsid w:val="00501495"/>
    <w:rsid w:val="00507F99"/>
    <w:rsid w:val="00512200"/>
    <w:rsid w:val="005143CD"/>
    <w:rsid w:val="005144F2"/>
    <w:rsid w:val="005242A5"/>
    <w:rsid w:val="005249DD"/>
    <w:rsid w:val="00531BA5"/>
    <w:rsid w:val="00531F10"/>
    <w:rsid w:val="00532E86"/>
    <w:rsid w:val="00540B13"/>
    <w:rsid w:val="00542434"/>
    <w:rsid w:val="00542470"/>
    <w:rsid w:val="00542546"/>
    <w:rsid w:val="005425BA"/>
    <w:rsid w:val="005454FB"/>
    <w:rsid w:val="005602F3"/>
    <w:rsid w:val="005659E4"/>
    <w:rsid w:val="005761EE"/>
    <w:rsid w:val="00582D99"/>
    <w:rsid w:val="0058551C"/>
    <w:rsid w:val="00590656"/>
    <w:rsid w:val="0059076B"/>
    <w:rsid w:val="005973CB"/>
    <w:rsid w:val="00597E49"/>
    <w:rsid w:val="005A0F1F"/>
    <w:rsid w:val="005A2B83"/>
    <w:rsid w:val="005A478E"/>
    <w:rsid w:val="005A6675"/>
    <w:rsid w:val="005B2E9C"/>
    <w:rsid w:val="005B4F93"/>
    <w:rsid w:val="005B73D2"/>
    <w:rsid w:val="005C5E5B"/>
    <w:rsid w:val="005D2B36"/>
    <w:rsid w:val="005E1093"/>
    <w:rsid w:val="005E475E"/>
    <w:rsid w:val="005E78C0"/>
    <w:rsid w:val="005F3996"/>
    <w:rsid w:val="005F6AF6"/>
    <w:rsid w:val="005F7730"/>
    <w:rsid w:val="005F7917"/>
    <w:rsid w:val="005F7E00"/>
    <w:rsid w:val="00604C26"/>
    <w:rsid w:val="006066D2"/>
    <w:rsid w:val="0061286A"/>
    <w:rsid w:val="00613D7A"/>
    <w:rsid w:val="00614CC4"/>
    <w:rsid w:val="0062025E"/>
    <w:rsid w:val="00626998"/>
    <w:rsid w:val="006269FB"/>
    <w:rsid w:val="00631ED8"/>
    <w:rsid w:val="00635B05"/>
    <w:rsid w:val="00636DB7"/>
    <w:rsid w:val="0063783A"/>
    <w:rsid w:val="006423B9"/>
    <w:rsid w:val="00654B0D"/>
    <w:rsid w:val="00655CD8"/>
    <w:rsid w:val="006571DC"/>
    <w:rsid w:val="00660D4B"/>
    <w:rsid w:val="00664ECC"/>
    <w:rsid w:val="00670989"/>
    <w:rsid w:val="006757DC"/>
    <w:rsid w:val="00676095"/>
    <w:rsid w:val="006926A7"/>
    <w:rsid w:val="00693843"/>
    <w:rsid w:val="0069426C"/>
    <w:rsid w:val="00694DFB"/>
    <w:rsid w:val="006A1C62"/>
    <w:rsid w:val="006A48FD"/>
    <w:rsid w:val="006A67F8"/>
    <w:rsid w:val="006A7AF1"/>
    <w:rsid w:val="006B11BB"/>
    <w:rsid w:val="006B4C11"/>
    <w:rsid w:val="006C12B8"/>
    <w:rsid w:val="006C37FC"/>
    <w:rsid w:val="006C56AA"/>
    <w:rsid w:val="006C7EA3"/>
    <w:rsid w:val="006D07F3"/>
    <w:rsid w:val="006D39E9"/>
    <w:rsid w:val="006D3BE3"/>
    <w:rsid w:val="006D7004"/>
    <w:rsid w:val="006D789D"/>
    <w:rsid w:val="006D7FF8"/>
    <w:rsid w:val="006E042A"/>
    <w:rsid w:val="006E322B"/>
    <w:rsid w:val="006F49EE"/>
    <w:rsid w:val="006F5E68"/>
    <w:rsid w:val="00706D60"/>
    <w:rsid w:val="007075E3"/>
    <w:rsid w:val="00707F66"/>
    <w:rsid w:val="00710AB6"/>
    <w:rsid w:val="007125DB"/>
    <w:rsid w:val="00717B71"/>
    <w:rsid w:val="00720D28"/>
    <w:rsid w:val="00722333"/>
    <w:rsid w:val="00722509"/>
    <w:rsid w:val="00727FCD"/>
    <w:rsid w:val="00733DDD"/>
    <w:rsid w:val="00744628"/>
    <w:rsid w:val="0074694E"/>
    <w:rsid w:val="00750CDF"/>
    <w:rsid w:val="00750D48"/>
    <w:rsid w:val="00752BA5"/>
    <w:rsid w:val="00755D86"/>
    <w:rsid w:val="00764C38"/>
    <w:rsid w:val="00767C98"/>
    <w:rsid w:val="00770971"/>
    <w:rsid w:val="00773B02"/>
    <w:rsid w:val="00780186"/>
    <w:rsid w:val="0078089C"/>
    <w:rsid w:val="00787D16"/>
    <w:rsid w:val="00796CA8"/>
    <w:rsid w:val="00797305"/>
    <w:rsid w:val="007B035B"/>
    <w:rsid w:val="007B4C04"/>
    <w:rsid w:val="007B5AFB"/>
    <w:rsid w:val="007C1B9B"/>
    <w:rsid w:val="007C54B1"/>
    <w:rsid w:val="007C5862"/>
    <w:rsid w:val="007C7EC8"/>
    <w:rsid w:val="007F31E6"/>
    <w:rsid w:val="008014F9"/>
    <w:rsid w:val="0080358B"/>
    <w:rsid w:val="008059BD"/>
    <w:rsid w:val="00812D46"/>
    <w:rsid w:val="00815999"/>
    <w:rsid w:val="00815A38"/>
    <w:rsid w:val="00815D8D"/>
    <w:rsid w:val="0082103F"/>
    <w:rsid w:val="008279FE"/>
    <w:rsid w:val="00831259"/>
    <w:rsid w:val="0083208A"/>
    <w:rsid w:val="0083218A"/>
    <w:rsid w:val="00832A00"/>
    <w:rsid w:val="00837845"/>
    <w:rsid w:val="008442C4"/>
    <w:rsid w:val="00846739"/>
    <w:rsid w:val="00853140"/>
    <w:rsid w:val="00854537"/>
    <w:rsid w:val="008606B6"/>
    <w:rsid w:val="008635E6"/>
    <w:rsid w:val="00866CF2"/>
    <w:rsid w:val="008700EC"/>
    <w:rsid w:val="008768CB"/>
    <w:rsid w:val="00876D65"/>
    <w:rsid w:val="00891261"/>
    <w:rsid w:val="00895A8A"/>
    <w:rsid w:val="008A09E5"/>
    <w:rsid w:val="008A21B2"/>
    <w:rsid w:val="008B2FDD"/>
    <w:rsid w:val="008C2A4F"/>
    <w:rsid w:val="008C75E7"/>
    <w:rsid w:val="008C7CA8"/>
    <w:rsid w:val="008D09EC"/>
    <w:rsid w:val="008D799F"/>
    <w:rsid w:val="008E07EB"/>
    <w:rsid w:val="008E0E00"/>
    <w:rsid w:val="008E2DCB"/>
    <w:rsid w:val="008E326D"/>
    <w:rsid w:val="008F5A8D"/>
    <w:rsid w:val="008F5F67"/>
    <w:rsid w:val="008F60F2"/>
    <w:rsid w:val="0090217D"/>
    <w:rsid w:val="00904749"/>
    <w:rsid w:val="00905C5E"/>
    <w:rsid w:val="009078DC"/>
    <w:rsid w:val="00907B61"/>
    <w:rsid w:val="00910586"/>
    <w:rsid w:val="009161AF"/>
    <w:rsid w:val="00921AC7"/>
    <w:rsid w:val="00921BFA"/>
    <w:rsid w:val="00922880"/>
    <w:rsid w:val="00924582"/>
    <w:rsid w:val="00931291"/>
    <w:rsid w:val="00932DC0"/>
    <w:rsid w:val="0093367D"/>
    <w:rsid w:val="00933B24"/>
    <w:rsid w:val="009431FA"/>
    <w:rsid w:val="00943BB5"/>
    <w:rsid w:val="00945AF6"/>
    <w:rsid w:val="009510DE"/>
    <w:rsid w:val="00951C43"/>
    <w:rsid w:val="0095204B"/>
    <w:rsid w:val="0095280A"/>
    <w:rsid w:val="00954A4B"/>
    <w:rsid w:val="009550BE"/>
    <w:rsid w:val="00955531"/>
    <w:rsid w:val="00955BE8"/>
    <w:rsid w:val="00957594"/>
    <w:rsid w:val="009577D9"/>
    <w:rsid w:val="00963F40"/>
    <w:rsid w:val="00965CFB"/>
    <w:rsid w:val="0098122D"/>
    <w:rsid w:val="00986596"/>
    <w:rsid w:val="00990685"/>
    <w:rsid w:val="00991411"/>
    <w:rsid w:val="00992238"/>
    <w:rsid w:val="009A0ABE"/>
    <w:rsid w:val="009B2D4B"/>
    <w:rsid w:val="009B3243"/>
    <w:rsid w:val="009C4E99"/>
    <w:rsid w:val="009C5186"/>
    <w:rsid w:val="009C60F7"/>
    <w:rsid w:val="009D0952"/>
    <w:rsid w:val="009D54EA"/>
    <w:rsid w:val="009E285B"/>
    <w:rsid w:val="009E31DA"/>
    <w:rsid w:val="009E402C"/>
    <w:rsid w:val="009E7C6A"/>
    <w:rsid w:val="009F7ED4"/>
    <w:rsid w:val="00A03AAC"/>
    <w:rsid w:val="00A047D1"/>
    <w:rsid w:val="00A22AD0"/>
    <w:rsid w:val="00A22DA8"/>
    <w:rsid w:val="00A234BE"/>
    <w:rsid w:val="00A31671"/>
    <w:rsid w:val="00A45320"/>
    <w:rsid w:val="00A52C6D"/>
    <w:rsid w:val="00A5612C"/>
    <w:rsid w:val="00A5689C"/>
    <w:rsid w:val="00A57AE4"/>
    <w:rsid w:val="00A63F19"/>
    <w:rsid w:val="00A66F3F"/>
    <w:rsid w:val="00A66F42"/>
    <w:rsid w:val="00A727C1"/>
    <w:rsid w:val="00A746EB"/>
    <w:rsid w:val="00A76625"/>
    <w:rsid w:val="00A82CBA"/>
    <w:rsid w:val="00A83500"/>
    <w:rsid w:val="00A90049"/>
    <w:rsid w:val="00A917BF"/>
    <w:rsid w:val="00A96A94"/>
    <w:rsid w:val="00AA257D"/>
    <w:rsid w:val="00AA3A38"/>
    <w:rsid w:val="00AA4F94"/>
    <w:rsid w:val="00AB047E"/>
    <w:rsid w:val="00AC11B0"/>
    <w:rsid w:val="00AC592E"/>
    <w:rsid w:val="00AC6C10"/>
    <w:rsid w:val="00AC7BC6"/>
    <w:rsid w:val="00AD24AA"/>
    <w:rsid w:val="00AE7962"/>
    <w:rsid w:val="00AF5BA0"/>
    <w:rsid w:val="00B014D7"/>
    <w:rsid w:val="00B05049"/>
    <w:rsid w:val="00B12B7D"/>
    <w:rsid w:val="00B16985"/>
    <w:rsid w:val="00B221B8"/>
    <w:rsid w:val="00B227EA"/>
    <w:rsid w:val="00B27206"/>
    <w:rsid w:val="00B32AA7"/>
    <w:rsid w:val="00B3392B"/>
    <w:rsid w:val="00B371D4"/>
    <w:rsid w:val="00B4012D"/>
    <w:rsid w:val="00B40F64"/>
    <w:rsid w:val="00B42A76"/>
    <w:rsid w:val="00B53067"/>
    <w:rsid w:val="00B66B7D"/>
    <w:rsid w:val="00B7378D"/>
    <w:rsid w:val="00B82413"/>
    <w:rsid w:val="00B85352"/>
    <w:rsid w:val="00B87214"/>
    <w:rsid w:val="00B912D0"/>
    <w:rsid w:val="00B92FF5"/>
    <w:rsid w:val="00B959E6"/>
    <w:rsid w:val="00BA0A6A"/>
    <w:rsid w:val="00BA40BB"/>
    <w:rsid w:val="00BA4338"/>
    <w:rsid w:val="00BA604D"/>
    <w:rsid w:val="00BB6813"/>
    <w:rsid w:val="00BC4585"/>
    <w:rsid w:val="00BC50F1"/>
    <w:rsid w:val="00BC73E5"/>
    <w:rsid w:val="00BD7473"/>
    <w:rsid w:val="00BD7703"/>
    <w:rsid w:val="00BE12B4"/>
    <w:rsid w:val="00BE3D2D"/>
    <w:rsid w:val="00BE420D"/>
    <w:rsid w:val="00BE5A26"/>
    <w:rsid w:val="00C11A5E"/>
    <w:rsid w:val="00C21520"/>
    <w:rsid w:val="00C222B2"/>
    <w:rsid w:val="00C225FB"/>
    <w:rsid w:val="00C41870"/>
    <w:rsid w:val="00C46B88"/>
    <w:rsid w:val="00C5218C"/>
    <w:rsid w:val="00C52191"/>
    <w:rsid w:val="00C5642F"/>
    <w:rsid w:val="00C57A3E"/>
    <w:rsid w:val="00C63554"/>
    <w:rsid w:val="00C71497"/>
    <w:rsid w:val="00C71BA1"/>
    <w:rsid w:val="00C72F5B"/>
    <w:rsid w:val="00C73619"/>
    <w:rsid w:val="00C73BCD"/>
    <w:rsid w:val="00C77AEF"/>
    <w:rsid w:val="00C77E37"/>
    <w:rsid w:val="00C84CB0"/>
    <w:rsid w:val="00C86EB7"/>
    <w:rsid w:val="00C87129"/>
    <w:rsid w:val="00C91E1B"/>
    <w:rsid w:val="00CA2BD3"/>
    <w:rsid w:val="00CA4677"/>
    <w:rsid w:val="00CA5FD5"/>
    <w:rsid w:val="00CA7703"/>
    <w:rsid w:val="00CB0F92"/>
    <w:rsid w:val="00CD4E6D"/>
    <w:rsid w:val="00CD5707"/>
    <w:rsid w:val="00CD7702"/>
    <w:rsid w:val="00CD7FC9"/>
    <w:rsid w:val="00CE06DF"/>
    <w:rsid w:val="00CE0716"/>
    <w:rsid w:val="00CE075A"/>
    <w:rsid w:val="00CE29EA"/>
    <w:rsid w:val="00CF47EB"/>
    <w:rsid w:val="00CF6572"/>
    <w:rsid w:val="00CF7885"/>
    <w:rsid w:val="00D02347"/>
    <w:rsid w:val="00D04755"/>
    <w:rsid w:val="00D13737"/>
    <w:rsid w:val="00D15D27"/>
    <w:rsid w:val="00D1638E"/>
    <w:rsid w:val="00D21D10"/>
    <w:rsid w:val="00D21FFF"/>
    <w:rsid w:val="00D272A5"/>
    <w:rsid w:val="00D34206"/>
    <w:rsid w:val="00D43AFB"/>
    <w:rsid w:val="00D5071D"/>
    <w:rsid w:val="00D564C7"/>
    <w:rsid w:val="00D57B7C"/>
    <w:rsid w:val="00D62BEE"/>
    <w:rsid w:val="00D65B44"/>
    <w:rsid w:val="00D8099B"/>
    <w:rsid w:val="00D866A8"/>
    <w:rsid w:val="00D87469"/>
    <w:rsid w:val="00D90B03"/>
    <w:rsid w:val="00D92F47"/>
    <w:rsid w:val="00D94B8D"/>
    <w:rsid w:val="00D96C8D"/>
    <w:rsid w:val="00DA2876"/>
    <w:rsid w:val="00DA718D"/>
    <w:rsid w:val="00DB0A8D"/>
    <w:rsid w:val="00DB348F"/>
    <w:rsid w:val="00DC0B51"/>
    <w:rsid w:val="00DD03DC"/>
    <w:rsid w:val="00DD5919"/>
    <w:rsid w:val="00DE27F7"/>
    <w:rsid w:val="00DE38CC"/>
    <w:rsid w:val="00E06069"/>
    <w:rsid w:val="00E115C0"/>
    <w:rsid w:val="00E168D7"/>
    <w:rsid w:val="00E44E18"/>
    <w:rsid w:val="00E54301"/>
    <w:rsid w:val="00E5483F"/>
    <w:rsid w:val="00E55ABD"/>
    <w:rsid w:val="00E60817"/>
    <w:rsid w:val="00E6412C"/>
    <w:rsid w:val="00E645C0"/>
    <w:rsid w:val="00E8246B"/>
    <w:rsid w:val="00E90C35"/>
    <w:rsid w:val="00EA70F1"/>
    <w:rsid w:val="00EB2516"/>
    <w:rsid w:val="00EB2C07"/>
    <w:rsid w:val="00EB374A"/>
    <w:rsid w:val="00EB3CE7"/>
    <w:rsid w:val="00EB572F"/>
    <w:rsid w:val="00EC1B4D"/>
    <w:rsid w:val="00ED040B"/>
    <w:rsid w:val="00ED62BE"/>
    <w:rsid w:val="00EF17AB"/>
    <w:rsid w:val="00EF56B5"/>
    <w:rsid w:val="00EF6FA5"/>
    <w:rsid w:val="00F078B5"/>
    <w:rsid w:val="00F11104"/>
    <w:rsid w:val="00F126C4"/>
    <w:rsid w:val="00F13122"/>
    <w:rsid w:val="00F16E3F"/>
    <w:rsid w:val="00F171C5"/>
    <w:rsid w:val="00F22499"/>
    <w:rsid w:val="00F22B0F"/>
    <w:rsid w:val="00F234A0"/>
    <w:rsid w:val="00F24B42"/>
    <w:rsid w:val="00F24F73"/>
    <w:rsid w:val="00F27299"/>
    <w:rsid w:val="00F31F6E"/>
    <w:rsid w:val="00F3389C"/>
    <w:rsid w:val="00F375F2"/>
    <w:rsid w:val="00F40868"/>
    <w:rsid w:val="00F54EAE"/>
    <w:rsid w:val="00F66A51"/>
    <w:rsid w:val="00F71057"/>
    <w:rsid w:val="00F71A4B"/>
    <w:rsid w:val="00F728CF"/>
    <w:rsid w:val="00F743D4"/>
    <w:rsid w:val="00F83B17"/>
    <w:rsid w:val="00F87EDA"/>
    <w:rsid w:val="00F932F8"/>
    <w:rsid w:val="00F970EE"/>
    <w:rsid w:val="00FB0BC9"/>
    <w:rsid w:val="00FB0F9B"/>
    <w:rsid w:val="00FB41D3"/>
    <w:rsid w:val="00FB4F70"/>
    <w:rsid w:val="00FB5EFC"/>
    <w:rsid w:val="00FB77BB"/>
    <w:rsid w:val="00FC15AA"/>
    <w:rsid w:val="00FD1375"/>
    <w:rsid w:val="00FD359E"/>
    <w:rsid w:val="00FD5F37"/>
    <w:rsid w:val="00FE0A17"/>
    <w:rsid w:val="00FE179F"/>
    <w:rsid w:val="00FF0244"/>
    <w:rsid w:val="00FF213A"/>
    <w:rsid w:val="00FF3C2E"/>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doNotAutoCompressPictures/>
  <w:smartTagType w:name="chsdate" w:namespaceuri="urn:schemas-microsoft-com:office:smarttags"/>
  <w:shapeDefaults>
    <o:shapedefaults spidmax="2049"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cs="Times New Roman" w:eastAsia="宋体" w:hAnsi="Calibri"/>
        <w:lang w:bidi="ar-SA" w:eastAsia="zh-CN" w:val="en-US"/>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nhideWhenUsed="0"/>
    <w:lsdException w:locked="1" w:name="heading 2" w:qFormat="1" w:semiHidden="0" w:uiPriority="0" w:unhideWhenUsed="0"/>
    <w:lsdException w:locked="1" w:name="heading 3" w:qFormat="1" w:semiHidden="0" w:uiPriority="0" w:unhideWhenUsed="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locked="1" w:name="toc 1" w:semiHidden="0" w:uiPriority="0" w:unhideWhenUsed="0"/>
    <w:lsdException w:locked="1" w:name="toc 2" w:semiHidden="0" w:uiPriority="0" w:unhideWhenUsed="0"/>
    <w:lsdException w:locked="1" w:name="toc 3" w:semiHidden="0" w:uiPriority="0" w:unhideWhenUsed="0"/>
    <w:lsdException w:locked="1" w:name="toc 4" w:semiHidden="0" w:uiPriority="0" w:unhideWhenUsed="0"/>
    <w:lsdException w:locked="1" w:name="toc 5" w:semiHidden="0" w:uiPriority="0" w:unhideWhenUsed="0"/>
    <w:lsdException w:locked="1" w:name="toc 6" w:semiHidden="0" w:uiPriority="0" w:unhideWhenUsed="0"/>
    <w:lsdException w:locked="1" w:name="toc 7" w:semiHidden="0" w:uiPriority="0" w:unhideWhenUsed="0"/>
    <w:lsdException w:locked="1" w:name="toc 8" w:semiHidden="0" w:uiPriority="0" w:unhideWhenUsed="0"/>
    <w:lsdException w:locked="1" w:name="toc 9" w:semiHidden="0" w:uiPriority="0" w:unhideWhenUsed="0"/>
    <w:lsdException w:locked="1" w:name="footnote text" w:semiHidden="0" w:uiPriority="0" w:unhideWhenUsed="0"/>
    <w:lsdException w:locked="1" w:name="caption" w:qFormat="1" w:uiPriority="0"/>
    <w:lsdException w:locked="1" w:name="footnote reference" w:semiHidden="0" w:uiPriority="0" w:unhideWhenUsed="0"/>
    <w:lsdException w:locked="1" w:name="Title" w:qFormat="1" w:semiHidden="0" w:uiPriority="0" w:unhideWhenUsed="0"/>
    <w:lsdException w:locked="1" w:name="Default Paragraph Font" w:semiHidden="0" w:uiPriority="0" w:unhideWhenUsed="0"/>
    <w:lsdException w:locked="1" w:name="Subtitle" w:qFormat="1" w:semiHidden="0" w:uiPriority="0" w:unhideWhenUsed="0"/>
    <w:lsdException w:locked="1" w:name="Date" w:semiHidden="0" w:uiPriority="0" w:unhideWhenUsed="0"/>
    <w:lsdException w:locked="1" w:name="Strong" w:qFormat="1" w:semiHidden="0" w:uiPriority="22" w:unhideWhenUsed="0"/>
    <w:lsdException w:locked="1" w:name="Emphasis" w:qFormat="1" w:semiHidden="0" w:uiPriority="0" w:unhideWhenUsed="0"/>
    <w:lsdException w:locked="1"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4061AC"/>
    <w:pPr>
      <w:widowControl w:val="0"/>
      <w:jc w:val="both"/>
    </w:pPr>
    <w:rPr>
      <w:rFonts w:ascii="Times New Roman" w:hAnsi="Times New Roman"/>
      <w:kern w:val="2"/>
      <w:sz w:val="21"/>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hAnsi="Arial"/>
      <w:b/>
      <w:bCs/>
      <w:kern w:val="0"/>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kern w:val="0"/>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link w:val="1"/>
    <w:uiPriority w:val="99"/>
    <w:locked/>
    <w:rsid w:val="004061AC"/>
    <w:rPr>
      <w:rFonts w:ascii="Times New Roman" w:cs="Times New Roman" w:eastAsia="宋体" w:hAnsi="Times New Roman"/>
      <w:b/>
      <w:bCs/>
      <w:kern w:val="44"/>
      <w:sz w:val="44"/>
      <w:szCs w:val="44"/>
    </w:rPr>
  </w:style>
  <w:style w:customStyle="1" w:styleId="2Char" w:type="character">
    <w:name w:val="标题 2 Char"/>
    <w:link w:val="2"/>
    <w:uiPriority w:val="99"/>
    <w:locked/>
    <w:rsid w:val="004061AC"/>
    <w:rPr>
      <w:rFonts w:ascii="Arial" w:cs="Arial" w:eastAsia="宋体" w:hAnsi="Arial"/>
      <w:b/>
      <w:bCs/>
      <w:sz w:val="24"/>
      <w:szCs w:val="24"/>
    </w:rPr>
  </w:style>
  <w:style w:customStyle="1" w:styleId="3Char" w:type="character">
    <w:name w:val="标题 3 Char"/>
    <w:link w:val="3"/>
    <w:uiPriority w:val="99"/>
    <w:locked/>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eastAsia="Arial Unicode MS" w:hAnsi="Arial Unicode MS"/>
      <w:kern w:val="0"/>
      <w:sz w:val="24"/>
      <w:szCs w:val="24"/>
    </w:rPr>
  </w:style>
  <w:style w:customStyle="1" w:styleId="Char" w:type="character">
    <w:name w:val="正文文本缩进 Char"/>
    <w:link w:val="a4"/>
    <w:uiPriority w:val="99"/>
    <w:locked/>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hAnsi="Courier New"/>
      <w:kern w:val="0"/>
    </w:rPr>
  </w:style>
  <w:style w:customStyle="1" w:styleId="Char0" w:type="character">
    <w:name w:val="纯文本 Char"/>
    <w:link w:val="a5"/>
    <w:uiPriority w:val="99"/>
    <w:locked/>
    <w:rsid w:val="004061AC"/>
    <w:rPr>
      <w:rFonts w:ascii="宋体" w:cs="宋体" w:eastAsia="宋体" w:hAnsi="Courier New"/>
      <w:sz w:val="21"/>
      <w:szCs w:val="21"/>
    </w:rPr>
  </w:style>
  <w:style w:styleId="20" w:type="paragraph">
    <w:name w:val="Body Text Indent 2"/>
    <w:basedOn w:val="a"/>
    <w:link w:val="2Char0"/>
    <w:uiPriority w:val="99"/>
    <w:rsid w:val="004061AC"/>
    <w:pPr>
      <w:spacing w:line="560" w:lineRule="exact"/>
      <w:ind w:firstLine="480" w:firstLineChars="200"/>
    </w:pPr>
    <w:rPr>
      <w:rFonts w:ascii="宋体" w:hAnsi="宋体"/>
      <w:color w:val="FF0000"/>
      <w:kern w:val="0"/>
      <w:sz w:val="24"/>
      <w:szCs w:val="24"/>
    </w:rPr>
  </w:style>
  <w:style w:customStyle="1" w:styleId="2Char0" w:type="character">
    <w:name w:val="正文文本缩进 2 Char"/>
    <w:link w:val="20"/>
    <w:uiPriority w:val="99"/>
    <w:locked/>
    <w:rsid w:val="004061AC"/>
    <w:rPr>
      <w:rFonts w:ascii="宋体" w:cs="宋体" w:eastAsia="宋体" w:hAnsi="宋体"/>
      <w:color w:val="FF0000"/>
      <w:sz w:val="24"/>
      <w:szCs w:val="24"/>
    </w:rPr>
  </w:style>
  <w:style w:styleId="a6" w:type="paragraph">
    <w:name w:val="footer"/>
    <w:basedOn w:val="a"/>
    <w:link w:val="Char1"/>
    <w:uiPriority w:val="99"/>
    <w:rsid w:val="004061AC"/>
    <w:pPr>
      <w:tabs>
        <w:tab w:pos="4153" w:val="center"/>
        <w:tab w:pos="8306" w:val="right"/>
      </w:tabs>
      <w:snapToGrid w:val="0"/>
      <w:jc w:val="left"/>
    </w:pPr>
    <w:rPr>
      <w:kern w:val="0"/>
      <w:sz w:val="18"/>
      <w:szCs w:val="18"/>
    </w:rPr>
  </w:style>
  <w:style w:customStyle="1" w:styleId="Char1" w:type="character">
    <w:name w:val="页脚 Char"/>
    <w:link w:val="a6"/>
    <w:uiPriority w:val="99"/>
    <w:locked/>
    <w:rsid w:val="004061AC"/>
    <w:rPr>
      <w:rFonts w:ascii="Times New Roman" w:cs="Times New Roman" w:eastAsia="宋体" w:hAnsi="Times New Roman"/>
      <w:sz w:val="18"/>
      <w:szCs w:val="18"/>
    </w:rPr>
  </w:style>
  <w:style w:styleId="a7" w:type="character">
    <w:name w:val="page number"/>
    <w:uiPriority w:val="99"/>
    <w:rsid w:val="004061AC"/>
    <w:rPr>
      <w:rFonts w:cs="Times New Roman"/>
    </w:rPr>
  </w:style>
  <w:style w:styleId="a8" w:type="character">
    <w:name w:val="Hyperlink"/>
    <w:uiPriority w:val="99"/>
    <w:rsid w:val="004061AC"/>
    <w:rPr>
      <w:rFonts w:cs="Times New Roman"/>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hAnsi="Arial"/>
      <w:color w:val="FF0000"/>
      <w:kern w:val="0"/>
    </w:rPr>
  </w:style>
  <w:style w:customStyle="1" w:styleId="3Char0" w:type="character">
    <w:name w:val="正文文本缩进 3 Char"/>
    <w:link w:val="30"/>
    <w:uiPriority w:val="99"/>
    <w:locked/>
    <w:rsid w:val="004061AC"/>
    <w:rPr>
      <w:rFonts w:ascii="Arial" w:cs="Arial" w:eastAsia="宋体" w:hAnsi="Arial"/>
      <w:color w:val="FF0000"/>
      <w:sz w:val="21"/>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kern w:val="0"/>
      <w:sz w:val="18"/>
      <w:szCs w:val="18"/>
    </w:rPr>
  </w:style>
  <w:style w:customStyle="1" w:styleId="Char2" w:type="character">
    <w:name w:val="页眉 Char"/>
    <w:link w:val="a9"/>
    <w:uiPriority w:val="99"/>
    <w:locked/>
    <w:rsid w:val="004061AC"/>
    <w:rPr>
      <w:rFonts w:ascii="Times New Roman" w:cs="Times New Roman" w:eastAsia="宋体" w:hAnsi="Times New Roman"/>
      <w:sz w:val="18"/>
      <w:szCs w:val="18"/>
    </w:rPr>
  </w:style>
  <w:style w:styleId="aa" w:type="character">
    <w:name w:val="FollowedHyperlink"/>
    <w:uiPriority w:val="99"/>
    <w:rsid w:val="004061AC"/>
    <w:rPr>
      <w:rFonts w:cs="Times New Roman"/>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rPr>
      <w:kern w:val="0"/>
    </w:rPr>
  </w:style>
  <w:style w:customStyle="1" w:styleId="Char3" w:type="character">
    <w:name w:val="正文文本 Char"/>
    <w:link w:val="ac"/>
    <w:uiPriority w:val="99"/>
    <w:locked/>
    <w:rsid w:val="004061AC"/>
    <w:rPr>
      <w:rFonts w:ascii="Times New Roman" w:cs="Times New Roman" w:eastAsia="宋体" w:hAnsi="Times New Roman"/>
      <w:sz w:val="21"/>
      <w:szCs w:val="21"/>
    </w:rPr>
  </w:style>
  <w:style w:styleId="ad" w:type="paragraph">
    <w:name w:val="Date"/>
    <w:basedOn w:val="a"/>
    <w:next w:val="a"/>
    <w:link w:val="Char4"/>
    <w:uiPriority w:val="99"/>
    <w:rsid w:val="004061AC"/>
    <w:rPr>
      <w:kern w:val="0"/>
      <w:sz w:val="24"/>
      <w:szCs w:val="24"/>
    </w:rPr>
  </w:style>
  <w:style w:customStyle="1" w:styleId="Char4" w:type="character">
    <w:name w:val="日期 Char"/>
    <w:link w:val="ad"/>
    <w:uiPriority w:val="99"/>
    <w:locked/>
    <w:rsid w:val="004061AC"/>
    <w:rPr>
      <w:rFonts w:ascii="Times New Roman" w:cs="Times New Roman" w:eastAsia="宋体" w:hAnsi="Times New Roman"/>
      <w:sz w:val="24"/>
      <w:szCs w:val="24"/>
    </w:rPr>
  </w:style>
  <w:style w:customStyle="1" w:styleId="c1" w:type="character">
    <w:name w:val="c1"/>
    <w:uiPriority w:val="99"/>
    <w:rsid w:val="004061AC"/>
    <w:rPr>
      <w:rFonts w:cs="Times New Roman"/>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kern w:val="0"/>
      <w:sz w:val="18"/>
      <w:szCs w:val="18"/>
    </w:rPr>
  </w:style>
  <w:style w:customStyle="1" w:styleId="Char5" w:type="character">
    <w:name w:val="批注框文本 Char"/>
    <w:link w:val="ae"/>
    <w:uiPriority w:val="99"/>
    <w:semiHidden/>
    <w:locked/>
    <w:rsid w:val="004061AC"/>
    <w:rPr>
      <w:rFonts w:ascii="Times New Roman" w:cs="Times New Roman" w:eastAsia="宋体" w:hAnsi="Times New Roman"/>
      <w:sz w:val="18"/>
      <w:szCs w:val="18"/>
    </w:rPr>
  </w:style>
  <w:style w:styleId="af" w:type="character">
    <w:name w:val="annotation reference"/>
    <w:uiPriority w:val="99"/>
    <w:semiHidden/>
    <w:rsid w:val="004061AC"/>
    <w:rPr>
      <w:rFonts w:cs="Times New Roman"/>
      <w:sz w:val="21"/>
      <w:szCs w:val="21"/>
    </w:rPr>
  </w:style>
  <w:style w:styleId="af0" w:type="paragraph">
    <w:name w:val="annotation text"/>
    <w:basedOn w:val="a"/>
    <w:link w:val="Char6"/>
    <w:uiPriority w:val="99"/>
    <w:semiHidden/>
    <w:rsid w:val="004061AC"/>
    <w:pPr>
      <w:jc w:val="left"/>
    </w:pPr>
    <w:rPr>
      <w:kern w:val="0"/>
    </w:rPr>
  </w:style>
  <w:style w:customStyle="1" w:styleId="Char6" w:type="character">
    <w:name w:val="批注文字 Char"/>
    <w:link w:val="af0"/>
    <w:uiPriority w:val="99"/>
    <w:semiHidden/>
    <w:locked/>
    <w:rsid w:val="004061AC"/>
    <w:rPr>
      <w:rFonts w:ascii="Times New Roman" w:cs="Times New Roman" w:eastAsia="宋体" w:hAnsi="Times New Roman"/>
      <w:sz w:val="21"/>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link w:val="af1"/>
    <w:uiPriority w:val="99"/>
    <w:semiHidden/>
    <w:locked/>
    <w:rsid w:val="004061AC"/>
    <w:rPr>
      <w:rFonts w:ascii="Times New Roman" w:cs="Times New Roman" w:eastAsia="宋体" w:hAnsi="Times New Roman"/>
      <w:b/>
      <w:bCs/>
      <w:sz w:val="21"/>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rPr>
      <w:kern w:val="0"/>
    </w:rPr>
  </w:style>
  <w:style w:customStyle="1" w:styleId="Char9" w:type="character">
    <w:name w:val="文档结构图 Char"/>
    <w:link w:val="af2"/>
    <w:uiPriority w:val="99"/>
    <w:semiHidden/>
    <w:locked/>
    <w:rsid w:val="004061AC"/>
    <w:rPr>
      <w:rFonts w:ascii="Times New Roman" w:cs="Times New Roman" w:eastAsia="宋体" w:hAnsi="Times New Roman"/>
      <w:sz w:val="21"/>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uiPriority w:val="99"/>
    <w:rsid w:val="004061AC"/>
    <w:pPr>
      <w:snapToGrid w:val="0"/>
      <w:jc w:val="left"/>
    </w:pPr>
    <w:rPr>
      <w:kern w:val="0"/>
      <w:sz w:val="18"/>
      <w:szCs w:val="18"/>
    </w:rPr>
  </w:style>
  <w:style w:customStyle="1" w:styleId="Chara" w:type="character">
    <w:name w:val="脚注文本 Char"/>
    <w:link w:val="af4"/>
    <w:uiPriority w:val="99"/>
    <w:locked/>
    <w:rsid w:val="004061AC"/>
    <w:rPr>
      <w:rFonts w:ascii="Times New Roman" w:cs="Times New Roman" w:eastAsia="宋体" w:hAnsi="Times New Roman"/>
      <w:sz w:val="18"/>
      <w:szCs w:val="18"/>
    </w:rPr>
  </w:style>
  <w:style w:styleId="af5" w:type="character">
    <w:name w:val="footnote reference"/>
    <w:uiPriority w:val="99"/>
    <w:rsid w:val="004061AC"/>
    <w:rPr>
      <w:rFonts w:cs="Times New Roman"/>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hAnsi="Times New Roman"/>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hAnsi="Cambria"/>
      <w:b/>
      <w:bCs/>
      <w:kern w:val="0"/>
      <w:sz w:val="32"/>
      <w:szCs w:val="32"/>
    </w:rPr>
  </w:style>
  <w:style w:customStyle="1" w:styleId="Charb" w:type="character">
    <w:name w:val="标题 Char"/>
    <w:link w:val="af8"/>
    <w:uiPriority w:val="99"/>
    <w:locked/>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99"/>
    <w:qFormat/>
    <w:rsid w:val="004061AC"/>
    <w:rPr>
      <w:rFonts w:cs="Calibri"/>
      <w:sz w:val="22"/>
      <w:szCs w:val="22"/>
    </w:rPr>
  </w:style>
  <w:style w:customStyle="1" w:styleId="Charc" w:type="character">
    <w:name w:val="无间隔 Char"/>
    <w:link w:val="af9"/>
    <w:uiPriority w:val="99"/>
    <w:locked/>
    <w:rsid w:val="004061AC"/>
    <w:rPr>
      <w:rFonts w:cs="Calibri"/>
      <w:sz w:val="22"/>
      <w:szCs w:val="22"/>
      <w:lang w:bidi="ar-SA" w:eastAsia="zh-CN" w:val="en-US"/>
    </w:rPr>
  </w:style>
  <w:style w:customStyle="1" w:styleId="t1" w:type="character">
    <w:name w:val="t1"/>
    <w:uiPriority w:val="99"/>
    <w:rsid w:val="004061AC"/>
    <w:rPr>
      <w:rFonts w:cs="Times New Roman"/>
      <w:color w:val="auto"/>
    </w:rPr>
  </w:style>
  <w:style w:styleId="afa" w:type="paragraph">
    <w:name w:val="List Paragraph"/>
    <w:basedOn w:val="a"/>
    <w:uiPriority w:val="99"/>
    <w:qFormat/>
    <w:rsid w:val="00154BE1"/>
    <w:pPr>
      <w:ind w:firstLine="420" w:firstLineChars="200"/>
    </w:pPr>
  </w:style>
  <w:style w:customStyle="1" w:styleId="Default" w:type="paragraph">
    <w:name w:val="Default"/>
    <w:uiPriority w:val="99"/>
    <w:rsid w:val="00275745"/>
    <w:pPr>
      <w:widowControl w:val="0"/>
      <w:autoSpaceDE w:val="0"/>
      <w:autoSpaceDN w:val="0"/>
      <w:adjustRightInd w:val="0"/>
    </w:pPr>
    <w:rPr>
      <w:rFonts w:ascii="FangSong" w:cs="FangSong" w:hAnsi="FangSong"/>
      <w:color w:val="000000"/>
      <w:sz w:val="24"/>
      <w:szCs w:val="24"/>
    </w:rPr>
  </w:style>
  <w:style w:styleId="afb" w:type="character">
    <w:name w:val="Strong"/>
    <w:uiPriority w:val="22"/>
    <w:qFormat/>
    <w:locked/>
    <w:rsid w:val="00D874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8932">
      <w:bodyDiv w:val="1"/>
      <w:marLeft w:val="0"/>
      <w:marRight w:val="0"/>
      <w:marTop w:val="0"/>
      <w:marBottom w:val="0"/>
      <w:divBdr>
        <w:top w:val="none" w:sz="0" w:space="0" w:color="auto"/>
        <w:left w:val="none" w:sz="0" w:space="0" w:color="auto"/>
        <w:bottom w:val="none" w:sz="0" w:space="0" w:color="auto"/>
        <w:right w:val="none" w:sz="0" w:space="0" w:color="auto"/>
      </w:divBdr>
    </w:div>
    <w:div w:id="105783393">
      <w:bodyDiv w:val="1"/>
      <w:marLeft w:val="0"/>
      <w:marRight w:val="0"/>
      <w:marTop w:val="0"/>
      <w:marBottom w:val="0"/>
      <w:divBdr>
        <w:top w:val="none" w:sz="0" w:space="0" w:color="auto"/>
        <w:left w:val="none" w:sz="0" w:space="0" w:color="auto"/>
        <w:bottom w:val="none" w:sz="0" w:space="0" w:color="auto"/>
        <w:right w:val="none" w:sz="0" w:space="0" w:color="auto"/>
      </w:divBdr>
    </w:div>
    <w:div w:id="1494878767">
      <w:marLeft w:val="0"/>
      <w:marRight w:val="0"/>
      <w:marTop w:val="0"/>
      <w:marBottom w:val="0"/>
      <w:divBdr>
        <w:top w:val="none" w:sz="0" w:space="0" w:color="auto"/>
        <w:left w:val="none" w:sz="0" w:space="0" w:color="auto"/>
        <w:bottom w:val="none" w:sz="0" w:space="0" w:color="auto"/>
        <w:right w:val="none" w:sz="0" w:space="0" w:color="auto"/>
      </w:divBdr>
    </w:div>
    <w:div w:id="1494878768">
      <w:marLeft w:val="0"/>
      <w:marRight w:val="0"/>
      <w:marTop w:val="0"/>
      <w:marBottom w:val="0"/>
      <w:divBdr>
        <w:top w:val="none" w:sz="0" w:space="0" w:color="auto"/>
        <w:left w:val="none" w:sz="0" w:space="0" w:color="auto"/>
        <w:bottom w:val="none" w:sz="0" w:space="0" w:color="auto"/>
        <w:right w:val="none" w:sz="0" w:space="0" w:color="auto"/>
      </w:divBdr>
    </w:div>
    <w:div w:id="1830948889">
      <w:bodyDiv w:val="1"/>
      <w:marLeft w:val="0"/>
      <w:marRight w:val="0"/>
      <w:marTop w:val="0"/>
      <w:marBottom w:val="0"/>
      <w:divBdr>
        <w:top w:val="none" w:sz="0" w:space="0" w:color="auto"/>
        <w:left w:val="none" w:sz="0" w:space="0" w:color="auto"/>
        <w:bottom w:val="none" w:sz="0" w:space="0" w:color="auto"/>
        <w:right w:val="none" w:sz="0" w:space="0" w:color="auto"/>
      </w:divBdr>
    </w:div>
    <w:div w:id="201792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media/image1.jpeg" Type="http://schemas.openxmlformats.org/officeDocument/2006/relationships/image"/>
<Relationship Id="rId12" Target="footer2.xml" Type="http://schemas.openxmlformats.org/officeDocument/2006/relationships/footer"/>
<Relationship Id="rId13" Target="fontTable.xml" Type="http://schemas.openxmlformats.org/officeDocument/2006/relationships/fontTable"/>
<Relationship Id="rId14"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tylesWithEffects.xml" Type="http://schemas.microsoft.com/office/2007/relationships/stylesWithEffects"/>
<Relationship Id="rId5" Target="settings.xml" Type="http://schemas.openxmlformats.org/officeDocument/2006/relationships/settings"/>
<Relationship Id="rId6" Target="webSettings.xml" Type="http://schemas.openxmlformats.org/officeDocument/2006/relationships/webSettings"/>
<Relationship Id="rId7" Target="footnotes.xml" Type="http://schemas.openxmlformats.org/officeDocument/2006/relationships/footnotes"/>
<Relationship Id="rId8" Target="endnotes.xml" Type="http://schemas.openxmlformats.org/officeDocument/2006/relationships/endnotes"/>
<Relationship Id="rId9" Target="header1.xml" Type="http://schemas.openxmlformats.org/officeDocument/2006/relationships/head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428B9-6F43-4DF9-B921-60ACE4E4D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1857</TotalTime>
  <Pages>28</Pages>
  <Words>4055</Words>
  <Characters>23118</Characters>
  <Application>Microsoft Office Word</Application>
  <DocSecurity>0</DocSecurity>
  <Lines>192</Lines>
  <Paragraphs>54</Paragraphs>
  <ScaleCrop>false</ScaleCrop>
  <Company/>
  <LinksUpToDate>false</LinksUpToDate>
  <CharactersWithSpaces>27119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sirong han</cp:lastModifiedBy>
  <dcterms:modified xsi:type="dcterms:W3CDTF">2020-10-20T06:18:00Z</dcterms:modified>
  <cp:revision>357</cp:revision>
</cp:coreProperties>
</file>