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542546" w:rsidR="00750D48" w:rsidRDefault="00750D48" w:rsidRPr="00264E55">
      <w:pPr>
        <w:spacing w:line="360" w:lineRule="auto"/>
        <w:jc w:val="center"/>
        <w:rPr>
          <w:rFonts w:ascii="宋体" w:hAnsi="宋体"/>
          <w:b/>
          <w:sz w:val="36"/>
          <w:szCs w:val="36"/>
        </w:rPr>
      </w:pPr>
      <w:r w:rsidRPr="00264E55">
        <w:rPr>
          <w:rFonts w:ascii="宋体"/>
          <w:b/>
          <w:sz w:val="36"/>
          <w:szCs w:val="36"/>
        </w:rPr>
        <w:t/>
      </w:r>
      <w:proofErr w:type="spellStart"/>
      <w:proofErr w:type="gramStart"/>
      <w:r w:rsidRPr="00264E55">
        <w:rPr>
          <w:rFonts w:ascii="宋体" w:hAnsi="宋体"/>
          <w:b/>
          <w:sz w:val="36"/>
          <w:szCs w:val="36"/>
        </w:rPr>
        <w:t/>
      </w:r>
      <w:proofErr w:type="spellEnd"/>
      <w:proofErr w:type="gramEnd"/>
      <w:r w:rsidRPr="00264E55">
        <w:rPr>
          <w:rFonts w:ascii="宋体" w:hAnsi="宋体"/>
          <w:b/>
          <w:sz w:val="36"/>
          <w:szCs w:val="36"/>
        </w:rPr>
        <w:t>易方达科讯混合型证券投资基金</w:t>
      </w:r>
    </w:p>
    <w:p w:rsidP="00542546" w:rsidR="00750D48" w:rsidRDefault="00750D48" w:rsidRPr="00264E55">
      <w:pPr>
        <w:spacing w:line="360" w:lineRule="auto"/>
        <w:jc w:val="center"/>
        <w:rPr>
          <w:rFonts w:ascii="宋体" w:hAnsi="宋体"/>
          <w:b/>
          <w:sz w:val="36"/>
          <w:szCs w:val="36"/>
        </w:rPr>
      </w:pPr>
      <w:r w:rsidRPr="00264E55">
        <w:rPr>
          <w:rFonts w:ascii="宋体" w:hAnsi="宋体"/>
          <w:b/>
          <w:sz w:val="36"/>
          <w:szCs w:val="36"/>
        </w:rPr>
        <w:t/>
      </w:r>
      <w:proofErr w:type="spellStart"/>
      <w:r w:rsidRPr="00264E55">
        <w:rPr>
          <w:rFonts w:ascii="宋体" w:hAnsi="宋体"/>
          <w:b/>
          <w:sz w:val="36"/>
          <w:szCs w:val="36"/>
        </w:rPr>
        <w:t/>
      </w:r>
      <w:proofErr w:type="spellEnd"/>
      <w:r w:rsidRPr="00264E55">
        <w:rPr>
          <w:rFonts w:ascii="宋体" w:hAnsi="宋体"/>
          <w:b/>
          <w:sz w:val="36"/>
          <w:szCs w:val="36"/>
        </w:rPr>
        <w:t>2020年第3季度报告</w:t>
      </w:r>
    </w:p>
    <w:p w:rsidP="00542546" w:rsidR="00750D48" w:rsidRDefault="00750D48" w:rsidRPr="00093704">
      <w:pPr>
        <w:spacing w:line="360" w:lineRule="auto"/>
        <w:jc w:val="center"/>
        <w:rPr>
          <w:rFonts w:ascii="宋体" w:hAnsi="宋体"/>
          <w:b/>
          <w:sz w:val="24"/>
          <w:szCs w:val="24"/>
        </w:rPr>
      </w:pPr>
      <w:r w:rsidRPr="00093704">
        <w:rPr>
          <w:rFonts w:ascii="宋体"/>
          <w:b/>
          <w:sz w:val="24"/>
          <w:szCs w:val="24"/>
        </w:rPr>
        <w:t/>
      </w:r>
      <w:proofErr w:type="spellStart"/>
      <w:proofErr w:type="gramStart"/>
      <w:r w:rsidRPr="00093704">
        <w:rPr>
          <w:rFonts w:ascii="宋体" w:hAnsi="宋体"/>
          <w:b/>
          <w:sz w:val="24"/>
          <w:szCs w:val="24"/>
        </w:rPr>
        <w:t/>
      </w:r>
      <w:proofErr w:type="spellEnd"/>
      <w:proofErr w:type="gramEnd"/>
      <w:r w:rsidRPr="00093704">
        <w:rPr>
          <w:rFonts w:ascii="宋体" w:hAnsi="宋体"/>
          <w:b/>
          <w:sz w:val="24"/>
          <w:szCs w:val="24"/>
        </w:rPr>
        <w:t>2020年9月30日</w:t>
      </w: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rPr>
          <w:rFonts w:ascii="宋体"/>
          <w:b/>
          <w:bCs/>
          <w:color w:val="000000"/>
          <w:sz w:val="24"/>
          <w:szCs w:val="24"/>
        </w:rPr>
      </w:pPr>
    </w:p>
    <w:p w:rsidP="00EB572F" w:rsidR="00750D48" w:rsidRDefault="00750D48" w:rsidRPr="00264E55">
      <w:pPr>
        <w:spacing w:line="360" w:lineRule="auto"/>
        <w:ind w:firstLine="2168" w:firstLineChars="900"/>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易方达基金管理有限公司</w:t>
      </w:r>
    </w:p>
    <w:p w:rsidP="00EB572F" w:rsidR="00750D48" w:rsidRDefault="00750D48" w:rsidRPr="00264E55">
      <w:pPr>
        <w:spacing w:line="360" w:lineRule="auto"/>
        <w:ind w:firstLine="2168" w:firstLineChars="900"/>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交通银行股份有限公司</w:t>
      </w:r>
    </w:p>
    <w:p w:rsidP="00EB572F" w:rsidR="00750D48" w:rsidRDefault="00750D48" w:rsidRPr="00264E55">
      <w:pPr>
        <w:spacing w:line="360" w:lineRule="auto"/>
        <w:ind w:firstLine="2168" w:firstLineChars="900"/>
        <w:rPr>
          <w:rFonts w:ascii="宋体" w:hAnsi="宋体"/>
          <w:b/>
          <w:color w:val="000000"/>
          <w:sz w:val="24"/>
          <w:szCs w:val="24"/>
        </w:rPr>
        <w:sectPr w:rsidR="00750D48" w:rsidRPr="00264E55" w:rsidSect="00304A12">
          <w:headerReference r:id="rId9" w:type="default"/>
          <w:footerReference r:id="rId10" w:type="default"/>
          <w:pgSz w:h="15840" w:w="11926"/>
          <w:pgMar w:bottom="851" w:footer="992" w:gutter="0" w:header="851" w:left="1418" w:right="1418" w:top="1418"/>
          <w:cols w:space="720"/>
          <w:noEndnote/>
        </w:sectPr>
      </w:pPr>
      <w:r w:rsidRPr="00264E55">
        <w:rPr>
          <w:rFonts w:ascii="宋体" w:hAnsi="宋体" w:hint="eastAsia"/>
          <w:b/>
          <w:color w:val="000000"/>
          <w:sz w:val="24"/>
          <w:szCs w:val="24"/>
        </w:rPr>
        <w:t>报告送出日期：</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二〇二〇年十月二十八日</w:t>
      </w:r>
    </w:p>
    <w:p w:rsidP="004D28A3" w:rsidR="00750D48" w:rsidRDefault="00750D48" w:rsidRPr="00264E55">
      <w:pPr>
        <w:pStyle w:val="1"/>
        <w:spacing w:after="312" w:afterLines="100" w:before="312" w:beforeLines="100"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pPr>
        <w:spacing w:line="360"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80" w:firstLineChars="200"/>
        <w:rPr>
          <w:color w:val="000000"/>
          <w:sz w:val="24"/>
          <w:szCs w:val="24"/>
        </w:rPr>
      </w:pPr>
      <w:r>
        <w:rPr>
          <w:color w:val="000000"/>
          <w:sz w:val="24"/>
          <w:szCs w:val="24"/>
        </w:rPr>
        <w:t xml:space="preserve">基金托管人交通银行股份有限公司根据本基金合同规定，于2020年10月26日复核了本报告中的财务指标、净值表现和投资组合报告等内容，保证复核内容不存在虚假记载、误导性陈述或者重大遗漏。 </w:t>
      </w:r>
    </w:p>
    <w:p>
      <w:pPr>
        <w:spacing w:line="360"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line="360"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line="360" w:lineRule="auto"/>
        <w:ind w:firstLine="480" w:firstLineChars="200"/>
        <w:rPr>
          <w:color w:val="000000"/>
          <w:sz w:val="24"/>
          <w:szCs w:val="24"/>
        </w:rPr>
      </w:pPr>
      <w:r>
        <w:rPr>
          <w:color w:val="000000"/>
          <w:sz w:val="24"/>
          <w:szCs w:val="24"/>
        </w:rPr>
        <w:t>本报告中财务资料未经审计。</w:t>
      </w:r>
    </w:p>
    <w:p w:rsidP="00EB572F"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proofErr w:type="gramStart"/>
      <w:r w:rsidRPr="006C56AA">
        <w:rPr>
          <w:color w:val="000000"/>
          <w:sz w:val="24"/>
          <w:szCs w:val="24"/>
        </w:rPr>
        <w:t/>
      </w:r>
      <w:proofErr w:type="spellEnd"/>
      <w:proofErr w:type="gramEnd"/>
      <w:r w:rsidRPr="006C56AA">
        <w:rPr>
          <w:color w:val="000000"/>
          <w:sz w:val="24"/>
          <w:szCs w:val="24"/>
        </w:rPr>
        <w:t>本报告期自2020年7月1日起至9月30日止。</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835"/>
        <w:gridCol w:w="2739"/>
        <w:gridCol w:w="2740"/>
      </w:tblGrid>
      <w:tr w:rsidR="00750D48" w:rsidRPr="00264E55" w:rsidTr="00500A03">
        <w:tc>
          <w:tcPr>
            <w:tcW w:type="dxa" w:w="2835"/>
          </w:tcPr>
          <w:p w:rsidP="007B5AFB" w:rsidR="00750D48" w:rsidRDefault="00750D48" w:rsidRPr="00232B03">
            <w:pPr>
              <w:adjustRightInd w:val="0"/>
              <w:spacing w:before="29" w:line="360" w:lineRule="auto"/>
              <w:ind w:left="17"/>
              <w:jc w:val="left"/>
              <w:rPr>
                <w:kern w:val="0"/>
                <w:sz w:val="24"/>
                <w:szCs w:val="24"/>
              </w:rPr>
            </w:pPr>
            <w:r w:rsidRPr="00232B03">
              <w:rPr>
                <w:kern w:val="0"/>
                <w:sz w:val="24"/>
                <w:szCs w:val="24"/>
              </w:rPr>
              <w:t>基金简称</w:t>
            </w:r>
          </w:p>
        </w:tc>
        <w:tc>
          <w:tcPr>
            <w:tcW w:type="dxa" w:w="5479"/>
            <w:gridSpan w:val="2"/>
          </w:tcPr>
          <w:p w:rsidP="007B5AFB" w:rsidR="00750D48" w:rsidRDefault="00750D48" w:rsidRPr="00232B03">
            <w:pPr>
              <w:adjustRightInd w:val="0"/>
              <w:spacing w:before="29" w:line="360" w:lineRule="auto"/>
              <w:ind w:left="17"/>
              <w:jc w:val="lef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易方达科讯混合</w:t>
            </w:r>
          </w:p>
        </w:tc>
      </w:tr>
      <w:tr w:rsidR="00750D48" w:rsidRPr="00264E55" w:rsidTr="00D94B8D">
        <w:tc>
          <w:tcPr>
            <w:tcW w:type="dxa" w:w="2835"/>
          </w:tcPr>
          <w:p w:rsidR="00750D48" w:rsidRDefault="00750D48" w:rsidRPr="00232B03">
            <w:pPr>
              <w:adjustRightInd w:val="0"/>
              <w:spacing w:before="29" w:line="360" w:lineRule="auto"/>
              <w:ind w:left="17"/>
              <w:jc w:val="left"/>
              <w:rPr>
                <w:kern w:val="0"/>
                <w:sz w:val="24"/>
                <w:szCs w:val="24"/>
              </w:rPr>
            </w:pPr>
            <w:r w:rsidRPr="00232B03">
              <w:rPr>
                <w:kern w:val="0"/>
                <w:sz w:val="24"/>
                <w:szCs w:val="24"/>
              </w:rPr>
              <w:t>基金主代码</w:t>
            </w:r>
          </w:p>
        </w:tc>
        <w:tc>
          <w:tcPr>
            <w:tcW w:type="dxa" w:w="5479"/>
            <w:gridSpan w:val="2"/>
          </w:tcPr>
          <w:p w:rsidR="00750D48" w:rsidRDefault="00750D48" w:rsidRPr="00232B03">
            <w:pPr>
              <w:adjustRightInd w:val="0"/>
              <w:spacing w:before="29" w:line="360" w:lineRule="auto"/>
              <w:ind w:left="17"/>
              <w:jc w:val="lef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110029</w:t>
            </w:r>
          </w:p>
        </w:tc>
      </w:tr>
      <w:tr w:rsidR="00750D48" w:rsidRPr="00264E55" w:rsidTr="00D94B8D">
        <w:tc>
          <w:tcPr>
            <w:tcW w:type="dxa" w:w="2835"/>
          </w:tcPr>
          <w:p w:rsidP="00895A8A" w:rsidR="00750D48" w:rsidRDefault="00750D48" w:rsidRPr="00232B03">
            <w:pPr>
              <w:adjustRightInd w:val="0"/>
              <w:spacing w:before="29" w:line="360" w:lineRule="auto"/>
              <w:ind w:left="17"/>
              <w:jc w:val="left"/>
              <w:rPr>
                <w:kern w:val="0"/>
                <w:sz w:val="24"/>
                <w:szCs w:val="24"/>
              </w:rPr>
            </w:pPr>
            <w:r w:rsidRPr="00232B03">
              <w:rPr>
                <w:kern w:val="0"/>
                <w:sz w:val="24"/>
                <w:szCs w:val="24"/>
              </w:rPr>
              <w:t>交易代码</w:t>
            </w:r>
          </w:p>
        </w:tc>
        <w:tc>
          <w:tcPr>
            <w:tcW w:type="dxa" w:w="5479"/>
            <w:gridSpan w:val="2"/>
          </w:tcPr>
          <w:p w:rsidP="00895A8A" w:rsidR="00750D48" w:rsidRDefault="00750D48" w:rsidRPr="00232B03">
            <w:pPr>
              <w:adjustRightInd w:val="0"/>
              <w:spacing w:before="29" w:line="360" w:lineRule="auto"/>
              <w:ind w:left="17"/>
              <w:jc w:val="left"/>
              <w:rPr>
                <w:color w:val="000000"/>
                <w:kern w:val="0"/>
                <w:sz w:val="24"/>
                <w:szCs w:val="24"/>
              </w:rPr>
            </w:pPr>
            <w:r w:rsidRPr="00232B03">
              <w:rPr>
                <w:kern w:val="0"/>
                <w:sz w:val="24"/>
              </w:rPr>
              <w:t/>
            </w:r>
            <w:proofErr w:type="spellStart"/>
            <w:r w:rsidRPr="00232B03">
              <w:rPr>
                <w:kern w:val="0"/>
                <w:sz w:val="24"/>
              </w:rPr>
              <w:t/>
            </w:r>
            <w:proofErr w:type="spellEnd"/>
            <w:r w:rsidRPr="00232B03">
              <w:rPr>
                <w:kern w:val="0"/>
                <w:sz w:val="24"/>
              </w:rPr>
              <w:t/>
            </w:r>
            <w:proofErr w:type="spellStart"/>
            <w:r w:rsidRPr="00232B03">
              <w:rPr>
                <w:kern w:val="0"/>
                <w:sz w:val="24"/>
              </w:rPr>
              <w:t/>
            </w:r>
            <w:proofErr w:type="spellEnd"/>
            <w:r w:rsidRPr="00232B03">
              <w:rPr>
                <w:kern w:val="0"/>
                <w:sz w:val="24"/>
              </w:rPr>
              <w:t/>
            </w:r>
            <w:proofErr w:type="spellStart"/>
            <w:r w:rsidRPr="00232B03">
              <w:rPr>
                <w:kern w:val="0"/>
                <w:sz w:val="24"/>
              </w:rPr>
              <w:t/>
            </w:r>
            <w:proofErr w:type="spellEnd"/>
            <w:r w:rsidRPr="00232B03">
              <w:rPr>
                <w:kern w:val="0"/>
                <w:sz w:val="24"/>
              </w:rPr>
              <w:t>110029</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基金运作方式</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契约型开放式</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基金合同生效日</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2007年12月18日</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报告期末基金份额总额</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2,978,454,264.85</w:t>
            </w:r>
            <w:r w:rsidRPr="00232B03">
              <w:rPr>
                <w:color w:val="000000"/>
                <w:kern w:val="0"/>
                <w:sz w:val="24"/>
                <w:szCs w:val="24"/>
              </w:rPr>
              <w:t>份</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投资目标</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根据市场环境变化，综合运用多种投资策略，追求基金资产的长期稳健增值。</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投资策略</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综合运用多种投资策略，把握多种投资机会。股票投资策略方面，一般情况下以优势企业策略和成长策略为主，辅以行业周期策略、绝对价值策略、突发事件/收购兼并策略以及新兴技术策略。在特定的市场情况下，后四种策略中一种或多种的资金容量较大、不确定性较小、收益预期较高时，也可成为主策略。</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业绩比较基准</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沪深300指数收益率×80%+中债总指数收益率×20%</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风险收益特征</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本基金是混合基金，理论上其风险收益水平高于债券基金和货币市场基金，低于股票基金。</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基金管理人</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易方达基金管理有限公司</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基金托管人</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交通银行股份有限公司</w:t>
            </w:r>
          </w:p>
        </w:tc>
      </w:tr>
    </w:tbl>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P="00392044" w:rsidR="00392044" w:rsidRDefault="00392044" w:rsidRPr="006506EF">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552"/>
        <w:gridCol w:w="2410"/>
      </w:tblGrid>
      <w:tr w:rsidR="00392044" w:rsidRPr="006506EF" w:rsidTr="00C3442A">
        <w:tc>
          <w:tcPr>
            <w:tcW w:type="dxa" w:w="3402"/>
            <w:vAlign w:val="center"/>
          </w:tcPr>
          <w:p w:rsidP="00C3442A" w:rsidR="00392044" w:rsidRDefault="00392044" w:rsidRPr="006506EF">
            <w:pPr>
              <w:adjustRightInd w:val="0"/>
              <w:spacing w:before="29" w:line="360" w:lineRule="auto"/>
              <w:ind w:left="17"/>
              <w:jc w:val="center"/>
              <w:rPr>
                <w:kern w:val="0"/>
                <w:sz w:val="24"/>
              </w:rPr>
            </w:pPr>
            <w:r w:rsidRPr="006506EF">
              <w:rPr>
                <w:kern w:val="0"/>
                <w:sz w:val="24"/>
              </w:rPr>
              <w:t>主要财务指标</w:t>
            </w:r>
            <w:r w:rsidRPr="006506EF">
              <w:rPr>
                <w:kern w:val="0"/>
                <w:sz w:val="24"/>
              </w:rPr>
              <w:t/>
            </w:r>
            <w:proofErr w:type="spellStart"/>
            <w:r w:rsidRPr="006506EF">
              <w:rPr>
                <w:kern w:val="0"/>
                <w:sz w:val="24"/>
              </w:rPr>
              <w:t/>
            </w:r>
            <w:proofErr w:type="spellEnd"/>
            <w:r w:rsidRPr="006506EF">
              <w:rPr>
                <w:kern w:val="0"/>
                <w:sz w:val="24"/>
              </w:rPr>
              <w:t/>
            </w:r>
          </w:p>
        </w:tc>
        <w:tc>
          <w:tcPr>
            <w:tcW w:type="dxa" w:w="4962"/>
            <w:hMerge w:val="restart"/>
            <w:vAlign w:val="center"/>
          </w:tcPr>
          <w:p w:rsidP="00C3442A" w:rsidR="00392044" w:rsidRDefault="00392044" w:rsidRPr="006506EF">
            <w:pPr>
              <w:adjustRightInd w:val="0"/>
              <w:spacing w:before="29" w:line="360" w:lineRule="auto"/>
              <w:ind w:left="17"/>
              <w:jc w:val="center"/>
              <w:rPr>
                <w:color w:val="000000"/>
                <w:sz w:val="24"/>
              </w:rPr>
            </w:pPr>
            <w:r w:rsidRPr="006506EF">
              <w:rPr>
                <w:color w:val="000000"/>
                <w:sz w:val="24"/>
              </w:rPr>
              <w:t>报告期</w:t>
            </w:r>
          </w:p>
          <w:p w:rsidP="00C3442A" w:rsidR="00392044" w:rsidRDefault="00392044" w:rsidRPr="006506EF">
            <w:pPr>
              <w:adjustRightInd w:val="0"/>
              <w:spacing w:before="29" w:line="360" w:lineRule="auto"/>
              <w:ind w:left="17"/>
              <w:jc w:val="center"/>
              <w:rPr>
                <w:color w:val="000000"/>
                <w:sz w:val="24"/>
              </w:rPr>
            </w:pPr>
            <w:r w:rsidRPr="006506EF">
              <w:rPr>
                <w:color w:val="000000"/>
                <w:sz w:val="24"/>
              </w:rPr>
              <w:t>(</w:t>
            </w:r>
            <w:proofErr w:type="spellStart"/>
            <w:r w:rsidRPr="006506EF">
              <w:rPr>
                <w:color w:val="000000"/>
                <w:sz w:val="24"/>
              </w:rPr>
              <w:t/>
            </w:r>
            <w:proofErr w:type="spellEnd"/>
            <w:r w:rsidRPr="006506EF">
              <w:rPr>
                <w:color w:val="000000"/>
                <w:sz w:val="24"/>
              </w:rPr>
              <w:t>2020年7月1日-</w:t>
            </w:r>
            <w:proofErr w:type="spellStart"/>
            <w:r w:rsidRPr="006506EF">
              <w:rPr>
                <w:color w:val="000000"/>
                <w:sz w:val="24"/>
              </w:rPr>
              <w:t/>
            </w:r>
            <w:proofErr w:type="spellEnd"/>
            <w:r w:rsidRPr="006506EF">
              <w:rPr>
                <w:color w:val="000000"/>
                <w:sz w:val="24"/>
              </w:rPr>
              <w:t>2020年9月30日)</w:t>
            </w:r>
          </w:p>
        </w:tc>
        <w:tc>
          <w:tcPr>
            <w:tcW w:type="dxa" w:w="2410"/>
            <w:hMerge/>
          </w:tcPr>
          <w:p w:rsidP="00C3442A" w:rsidR="00392044" w:rsidRDefault="00392044" w:rsidRPr="006506EF">
            <w:pPr>
              <w:adjustRightInd w:val="0"/>
              <w:spacing w:before="29" w:line="360" w:lineRule="auto"/>
              <w:ind w:left="17"/>
              <w:jc w:val="center"/>
              <w:rPr>
                <w:color w:val="000000"/>
                <w:sz w:val="24"/>
              </w:rPr>
            </w:pPr>
            <w:r w:rsidRPr="006506EF">
              <w:rPr>
                <w:color w:val="000000"/>
                <w:sz w:val="24"/>
              </w:rPr>
              <w:t>上期金额</w:t>
            </w:r>
            <w:r w:rsidRPr="006506EF">
              <w:rPr>
                <w:color w:val="000000"/>
                <w:sz w:val="24"/>
              </w:rPr>
              <w:t/>
            </w:r>
            <w:proofErr w:type="spellStart"/>
            <w:r w:rsidRPr="006506EF">
              <w:rPr>
                <w:color w:val="000000"/>
                <w:sz w:val="24"/>
              </w:rPr>
              <w:t/>
            </w:r>
            <w:proofErr w:type="spellEnd"/>
            <w:r w:rsidRPr="006506EF">
              <w:rPr>
                <w:color w:val="000000"/>
                <w:sz w:val="24"/>
              </w:rPr>
              <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542,587,232.50</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2.</w:t>
            </w:r>
            <w:r w:rsidRPr="006506EF">
              <w:rPr>
                <w:kern w:val="0"/>
                <w:sz w:val="24"/>
              </w:rPr>
              <w:t>本期利润</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71,740,097.45</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0.0229</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type="dxa" w:w="4962"/>
            <w:hMerge w:val="restart"/>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4,861,747,775.22</w:t>
            </w:r>
          </w:p>
        </w:tc>
        <w:tc>
          <w:tcPr>
            <w:tcW w:type="dxa" w:w="2410"/>
            <w:hMerge/>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type="dxa" w:w="4962"/>
            <w:hMerge w:val="restart"/>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1.6323</w:t>
            </w:r>
          </w:p>
        </w:tc>
        <w:tc>
          <w:tcPr>
            <w:tcW w:type="dxa" w:w="2410"/>
            <w:hMerge/>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bl>
    <w:p>
      <w:pPr>
        <w:spacing w:line="360" w:lineRule="auto"/>
        <w:ind w:firstLine="480" w:firstLineChars="200"/>
        <w:rPr>
          <w:color w:val="000000"/>
          <w:sz w:val="24"/>
          <w:szCs w:val="24"/>
        </w:rPr>
      </w:pPr>
      <w:r>
        <w:rPr>
          <w:color w:val="000000"/>
          <w:sz w:val="24"/>
        </w:rPr>
        <w:t>注：1.所述基金业绩指标不包括持有人交易基金的各项费用，计入费用后实际收益水平要低于所列数字。</w:t>
      </w:r>
    </w:p>
    <w:p>
      <w:pPr>
        <w:spacing w:line="360" w:lineRule="auto"/>
        <w:ind w:firstLine="480" w:firstLineChars="200"/>
        <w:rPr>
          <w:color w:val="000000"/>
          <w:sz w:val="24"/>
          <w:szCs w:val="24"/>
        </w:rPr>
      </w:pPr>
      <w:r>
        <w:rPr>
          <w:color w:val="000000"/>
          <w:sz w:val="24"/>
        </w:rPr>
        <w:t>2.本期已实现收益指基金本期利息收入、投资收益、其他收入（不含公允价值变动收益）扣除相关费用后的余额，本期利润为本期已实现收益加上本期公允价值变动收益。</w:t>
      </w:r>
    </w:p>
    <w:p w:rsidP="00232B03" w:rsidR="00750D48" w:rsidRDefault="00392044" w:rsidRPr="00232B03">
      <w:pPr>
        <w:spacing w:line="360" w:lineRule="auto"/>
        <w:ind w:firstLine="480" w:firstLineChars="200"/>
        <w:rPr>
          <w:color w:val="000000"/>
          <w:sz w:val="24"/>
          <w:szCs w:val="24"/>
        </w:rPr>
      </w:pPr>
      <w:r w:rsidRPr="006506EF">
        <w:rPr>
          <w:color w:val="000000"/>
          <w:sz w:val="24"/>
        </w:rPr>
        <w:t/>
      </w:r>
      <w:proofErr w:type="spellStart"/>
      <w:r w:rsidRPr="006506EF">
        <w:rPr>
          <w:color w:val="000000"/>
          <w:sz w:val="24"/>
        </w:rPr>
        <w:t/>
      </w:r>
      <w:proofErr w:type="spellEnd"/>
      <w:r w:rsidRPr="006506EF">
        <w:rPr>
          <w:color w:val="000000"/>
          <w:sz w:val="24"/>
        </w:rPr>
        <w:t/>
      </w:r>
      <w:proofErr w:type="spellStart"/>
      <w:proofErr w:type="gramStart"/>
      <w:r w:rsidRPr="006506EF">
        <w:rPr>
          <w:color w:val="000000"/>
          <w:sz w:val="24"/>
        </w:rPr>
        <w:t/>
      </w:r>
      <w:proofErr w:type="spellEnd"/>
      <w:proofErr w:type="gramEnd"/>
      <w:r w:rsidRPr="006506EF">
        <w:rPr>
          <w:color w:val="000000"/>
          <w:sz w:val="24"/>
        </w:rPr>
        <w:t>3.本基金已于2008年1月4日对原基金科讯退市时的基金份额进行了拆分，基金拆分比例为1：2.825206742。</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P="009E7C6A" w:rsidR="00750D48" w:rsidRDefault="00750D48" w:rsidRPr="00264E55">
      <w:pPr>
        <w:autoSpaceDE w:val="0"/>
        <w:autoSpaceDN w:val="0"/>
        <w:adjustRightInd w:val="0"/>
        <w:spacing w:line="360" w:lineRule="auto"/>
        <w:jc w:val="left"/>
        <w:rPr>
          <w:rFonts w:ascii="宋体" w:cs="宋体"/>
          <w:b/>
          <w:bCs/>
          <w:color w:val="000000"/>
          <w:kern w:val="0"/>
          <w:sz w:val="24"/>
          <w:szCs w:val="24"/>
        </w:rPr>
      </w:pPr>
      <w:smartTag w:element="chsdate" w:uri="urn:schemas-microsoft-com:office:smarttags">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3.2.1</w:t>
        </w:r>
      </w:smartTag>
      <w:r w:rsidRPr="00264E55">
        <w:rPr>
          <w:rFonts w:ascii="宋体" w:cs="宋体" w:hAnsi="宋体" w:hint="eastAsia"/>
          <w:b/>
          <w:bCs/>
          <w:color w:val="000000"/>
          <w:kern w:val="0"/>
          <w:sz w:val="24"/>
          <w:szCs w:val="24"/>
        </w:rPr>
        <w:t>本报告</w:t>
      </w:r>
      <w:proofErr w:type="gramStart"/>
      <w:r w:rsidRPr="00264E55">
        <w:rPr>
          <w:rFonts w:ascii="宋体" w:cs="宋体" w:hAnsi="宋体" w:hint="eastAsia"/>
          <w:b/>
          <w:bCs/>
          <w:color w:val="000000"/>
          <w:kern w:val="0"/>
          <w:sz w:val="24"/>
          <w:szCs w:val="24"/>
        </w:rPr>
        <w:t>期基金</w:t>
      </w:r>
      <w:proofErr w:type="gramEnd"/>
      <w:r w:rsidRPr="00264E55">
        <w:rPr>
          <w:rFonts w:ascii="宋体" w:cs="宋体" w:hAnsi="宋体" w:hint="eastAsia"/>
          <w:b/>
          <w:bCs/>
          <w:color w:val="000000"/>
          <w:kern w:val="0"/>
          <w:sz w:val="24"/>
          <w:szCs w:val="24"/>
        </w:rPr>
        <w:t>份额净值增长率及其与同期业绩比较基准收益率的比较</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395"/>
        <w:gridCol w:w="1092"/>
        <w:gridCol w:w="1161"/>
        <w:gridCol w:w="1181"/>
        <w:gridCol w:w="1188"/>
        <w:gridCol w:w="1199"/>
        <w:gridCol w:w="1204"/>
      </w:tblGrid>
      <w:tr w:rsidR="00750D48" w:rsidRPr="00264E55" w:rsidTr="00B05049">
        <w:tc>
          <w:tcPr>
            <w:tcW w:type="dxa" w:w="1395"/>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
            </w:r>
          </w:p>
        </w:tc>
        <w:tc>
          <w:tcPr>
            <w:tcW w:type="dxa" w:w="1092"/>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cs="宋体" w:hAnsi="宋体" w:hint="eastAsia"/>
                <w:color w:val="000000"/>
                <w:kern w:val="0"/>
                <w:sz w:val="24"/>
                <w:szCs w:val="24"/>
              </w:rPr>
              <w:t>①</w:t>
            </w:r>
          </w:p>
        </w:tc>
        <w:tc>
          <w:tcPr>
            <w:tcW w:type="dxa" w:w="1161"/>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cs="宋体" w:hAnsi="宋体" w:hint="eastAsia"/>
                <w:color w:val="000000"/>
                <w:kern w:val="0"/>
                <w:sz w:val="24"/>
                <w:szCs w:val="24"/>
              </w:rPr>
              <w:t>②</w:t>
            </w:r>
          </w:p>
        </w:tc>
        <w:tc>
          <w:tcPr>
            <w:tcW w:type="dxa" w:w="1181"/>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cs="宋体" w:hAnsi="宋体" w:hint="eastAsia"/>
                <w:color w:val="000000"/>
                <w:kern w:val="0"/>
                <w:sz w:val="24"/>
                <w:szCs w:val="24"/>
              </w:rPr>
              <w:lastRenderedPageBreak/>
              <w:t>③</w:t>
            </w:r>
          </w:p>
        </w:tc>
        <w:tc>
          <w:tcPr>
            <w:tcW w:type="dxa" w:w="1188"/>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lastRenderedPageBreak/>
              <w:t>业绩比较基准收益率</w:t>
            </w:r>
            <w:r w:rsidRPr="00232B03">
              <w:rPr>
                <w:color w:val="000000"/>
                <w:kern w:val="0"/>
                <w:sz w:val="24"/>
                <w:szCs w:val="24"/>
              </w:rPr>
              <w:lastRenderedPageBreak/>
              <w:t>标准差</w:t>
            </w:r>
            <w:r w:rsidRPr="00232B03">
              <w:rPr>
                <w:rFonts w:ascii="宋体" w:cs="宋体" w:hAnsi="宋体" w:hint="eastAsia"/>
                <w:color w:val="000000"/>
                <w:kern w:val="0"/>
                <w:sz w:val="24"/>
                <w:szCs w:val="24"/>
              </w:rPr>
              <w:t>④</w:t>
            </w:r>
          </w:p>
        </w:tc>
        <w:tc>
          <w:tcPr>
            <w:tcW w:type="dxa" w:w="1199"/>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rFonts w:ascii="宋体" w:cs="宋体" w:hAnsi="宋体" w:hint="eastAsia"/>
                <w:color w:val="000000"/>
                <w:kern w:val="0"/>
                <w:sz w:val="24"/>
                <w:szCs w:val="24"/>
              </w:rPr>
              <w:lastRenderedPageBreak/>
              <w:t>①</w:t>
            </w:r>
            <w:r w:rsidRPr="00232B03">
              <w:rPr>
                <w:color w:val="000000"/>
                <w:kern w:val="0"/>
                <w:sz w:val="24"/>
                <w:szCs w:val="24"/>
              </w:rPr>
              <w:t>-</w:t>
            </w:r>
            <w:r w:rsidRPr="00232B03">
              <w:rPr>
                <w:rFonts w:ascii="宋体" w:cs="宋体" w:hAnsi="宋体" w:hint="eastAsia"/>
                <w:color w:val="000000"/>
                <w:kern w:val="0"/>
                <w:sz w:val="24"/>
                <w:szCs w:val="24"/>
              </w:rPr>
              <w:t>③</w:t>
            </w:r>
          </w:p>
        </w:tc>
        <w:tc>
          <w:tcPr>
            <w:tcW w:type="dxa" w:w="1204"/>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rFonts w:ascii="宋体" w:cs="宋体" w:hAnsi="宋体" w:hint="eastAsia"/>
                <w:color w:val="000000"/>
                <w:kern w:val="0"/>
                <w:sz w:val="24"/>
                <w:szCs w:val="24"/>
              </w:rPr>
              <w:t>②</w:t>
            </w:r>
            <w:r w:rsidRPr="00232B03">
              <w:rPr>
                <w:color w:val="000000"/>
                <w:kern w:val="0"/>
                <w:sz w:val="24"/>
                <w:szCs w:val="24"/>
              </w:rPr>
              <w:t>-</w:t>
            </w:r>
            <w:r w:rsidRPr="00232B03">
              <w:rPr>
                <w:rFonts w:ascii="宋体" w:cs="宋体" w:hAnsi="宋体" w:hint="eastAsia"/>
                <w:color w:val="000000"/>
                <w:kern w:val="0"/>
                <w:sz w:val="24"/>
                <w:szCs w:val="24"/>
              </w:rPr>
              <w:t>④</w:t>
            </w:r>
          </w:p>
        </w:tc>
      </w:tr>
      <w:tr>
        <w:tc>
          <w:tcPr>
            <w:vAlign w:val="center"/>
          </w:tcPr>
          <w:p>
            <w:pPr>
              <w:jc w:val="left"/>
            </w:pPr>
            <w:r>
              <w:rPr>
                <w:color w:val="000000"/>
                <w:kern w:val="0"/>
                <w:sz w:val="24"/>
                <w:szCs w:val="24"/>
              </w:rPr>
              <w:t>过去三个月</w:t>
            </w:r>
          </w:p>
        </w:tc>
        <w:tc>
          <w:tcPr>
            <w:vAlign w:val="center"/>
          </w:tcPr>
          <w:p>
            <w:pPr>
              <w:jc w:val="center"/>
            </w:pPr>
            <w:r>
              <w:rPr>
                <w:color w:val="000000"/>
                <w:kern w:val="0"/>
                <w:sz w:val="24"/>
                <w:szCs w:val="24"/>
              </w:rPr>
              <w:t>0.62%</w:t>
            </w:r>
          </w:p>
        </w:tc>
        <w:tc>
          <w:tcPr>
            <w:vAlign w:val="center"/>
          </w:tcPr>
          <w:p>
            <w:pPr>
              <w:jc w:val="center"/>
            </w:pPr>
            <w:r>
              <w:rPr>
                <w:color w:val="000000"/>
                <w:kern w:val="0"/>
                <w:sz w:val="24"/>
                <w:szCs w:val="24"/>
              </w:rPr>
              <w:t>1.61%</w:t>
            </w:r>
          </w:p>
        </w:tc>
        <w:tc>
          <w:tcPr>
            <w:vAlign w:val="center"/>
          </w:tcPr>
          <w:p>
            <w:pPr>
              <w:jc w:val="center"/>
            </w:pPr>
            <w:r>
              <w:rPr>
                <w:color w:val="000000"/>
                <w:kern w:val="0"/>
                <w:sz w:val="24"/>
                <w:szCs w:val="24"/>
              </w:rPr>
              <w:t>7.73%</w:t>
            </w:r>
          </w:p>
        </w:tc>
        <w:tc>
          <w:tcPr>
            <w:vAlign w:val="center"/>
          </w:tcPr>
          <w:p>
            <w:pPr>
              <w:jc w:val="center"/>
            </w:pPr>
            <w:r>
              <w:rPr>
                <w:color w:val="000000"/>
                <w:kern w:val="0"/>
                <w:sz w:val="24"/>
                <w:szCs w:val="24"/>
              </w:rPr>
              <w:t>1.28%</w:t>
            </w:r>
          </w:p>
        </w:tc>
        <w:tc>
          <w:tcPr>
            <w:vAlign w:val="center"/>
          </w:tcPr>
          <w:p>
            <w:pPr>
              <w:jc w:val="center"/>
            </w:pPr>
            <w:r>
              <w:rPr>
                <w:color w:val="000000"/>
                <w:kern w:val="0"/>
                <w:sz w:val="24"/>
                <w:szCs w:val="24"/>
              </w:rPr>
              <w:t>-7.11%</w:t>
            </w:r>
          </w:p>
        </w:tc>
        <w:tc>
          <w:tcPr>
            <w:vAlign w:val="center"/>
          </w:tcPr>
          <w:p>
            <w:pPr>
              <w:jc w:val="center"/>
            </w:pPr>
            <w:r>
              <w:rPr>
                <w:color w:val="000000"/>
                <w:kern w:val="0"/>
                <w:sz w:val="24"/>
                <w:szCs w:val="24"/>
              </w:rPr>
              <w:t>0.33%</w:t>
            </w:r>
          </w:p>
        </w:tc>
      </w:tr>
      <w:tr>
        <w:tc>
          <w:tcPr>
            <w:vAlign w:val="center"/>
          </w:tcPr>
          <w:p>
            <w:pPr>
              <w:jc w:val="left"/>
            </w:pPr>
            <w:r>
              <w:rPr>
                <w:color w:val="000000"/>
                <w:kern w:val="0"/>
                <w:sz w:val="24"/>
                <w:szCs w:val="24"/>
              </w:rPr>
              <w:t>过去六个月</w:t>
            </w:r>
          </w:p>
        </w:tc>
        <w:tc>
          <w:tcPr>
            <w:vAlign w:val="center"/>
          </w:tcPr>
          <w:p>
            <w:pPr>
              <w:jc w:val="center"/>
            </w:pPr>
            <w:r>
              <w:rPr>
                <w:color w:val="000000"/>
                <w:kern w:val="0"/>
                <w:sz w:val="24"/>
                <w:szCs w:val="24"/>
              </w:rPr>
              <w:t>34.60%</w:t>
            </w:r>
          </w:p>
        </w:tc>
        <w:tc>
          <w:tcPr>
            <w:vAlign w:val="center"/>
          </w:tcPr>
          <w:p>
            <w:pPr>
              <w:jc w:val="center"/>
            </w:pPr>
            <w:r>
              <w:rPr>
                <w:color w:val="000000"/>
                <w:kern w:val="0"/>
                <w:sz w:val="24"/>
                <w:szCs w:val="24"/>
              </w:rPr>
              <w:t>1.44%</w:t>
            </w:r>
          </w:p>
        </w:tc>
        <w:tc>
          <w:tcPr>
            <w:vAlign w:val="center"/>
          </w:tcPr>
          <w:p>
            <w:pPr>
              <w:jc w:val="center"/>
            </w:pPr>
            <w:r>
              <w:rPr>
                <w:color w:val="000000"/>
                <w:kern w:val="0"/>
                <w:sz w:val="24"/>
                <w:szCs w:val="24"/>
              </w:rPr>
              <w:t>18.82%</w:t>
            </w:r>
          </w:p>
        </w:tc>
        <w:tc>
          <w:tcPr>
            <w:vAlign w:val="center"/>
          </w:tcPr>
          <w:p>
            <w:pPr>
              <w:jc w:val="center"/>
            </w:pPr>
            <w:r>
              <w:rPr>
                <w:color w:val="000000"/>
                <w:kern w:val="0"/>
                <w:sz w:val="24"/>
                <w:szCs w:val="24"/>
              </w:rPr>
              <w:t>1.05%</w:t>
            </w:r>
          </w:p>
        </w:tc>
        <w:tc>
          <w:tcPr>
            <w:vAlign w:val="center"/>
          </w:tcPr>
          <w:p>
            <w:pPr>
              <w:jc w:val="center"/>
            </w:pPr>
            <w:r>
              <w:rPr>
                <w:color w:val="000000"/>
                <w:kern w:val="0"/>
                <w:sz w:val="24"/>
                <w:szCs w:val="24"/>
              </w:rPr>
              <w:t>15.78%</w:t>
            </w:r>
          </w:p>
        </w:tc>
        <w:tc>
          <w:tcPr>
            <w:vAlign w:val="center"/>
          </w:tcPr>
          <w:p>
            <w:pPr>
              <w:jc w:val="center"/>
            </w:pPr>
            <w:r>
              <w:rPr>
                <w:color w:val="000000"/>
                <w:kern w:val="0"/>
                <w:sz w:val="24"/>
                <w:szCs w:val="24"/>
              </w:rPr>
              <w:t>0.39%</w:t>
            </w:r>
          </w:p>
        </w:tc>
      </w:tr>
      <w:tr>
        <w:tc>
          <w:tcPr>
            <w:vAlign w:val="center"/>
          </w:tcPr>
          <w:p>
            <w:pPr>
              <w:jc w:val="left"/>
            </w:pPr>
            <w:r>
              <w:rPr>
                <w:color w:val="000000"/>
                <w:kern w:val="0"/>
                <w:sz w:val="24"/>
                <w:szCs w:val="24"/>
              </w:rPr>
              <w:t>过去一年</w:t>
            </w:r>
          </w:p>
        </w:tc>
        <w:tc>
          <w:tcPr>
            <w:vAlign w:val="center"/>
          </w:tcPr>
          <w:p>
            <w:pPr>
              <w:jc w:val="center"/>
            </w:pPr>
            <w:r>
              <w:rPr>
                <w:color w:val="000000"/>
                <w:kern w:val="0"/>
                <w:sz w:val="24"/>
                <w:szCs w:val="24"/>
              </w:rPr>
              <w:t>51.96%</w:t>
            </w:r>
          </w:p>
        </w:tc>
        <w:tc>
          <w:tcPr>
            <w:vAlign w:val="center"/>
          </w:tcPr>
          <w:p>
            <w:pPr>
              <w:jc w:val="center"/>
            </w:pPr>
            <w:r>
              <w:rPr>
                <w:color w:val="000000"/>
                <w:kern w:val="0"/>
                <w:sz w:val="24"/>
                <w:szCs w:val="24"/>
              </w:rPr>
              <w:t>1.55%</w:t>
            </w:r>
          </w:p>
        </w:tc>
        <w:tc>
          <w:tcPr>
            <w:vAlign w:val="center"/>
          </w:tcPr>
          <w:p>
            <w:pPr>
              <w:jc w:val="center"/>
            </w:pPr>
            <w:r>
              <w:rPr>
                <w:color w:val="000000"/>
                <w:kern w:val="0"/>
                <w:sz w:val="24"/>
                <w:szCs w:val="24"/>
              </w:rPr>
              <w:t>16.14%</w:t>
            </w:r>
          </w:p>
        </w:tc>
        <w:tc>
          <w:tcPr>
            <w:vAlign w:val="center"/>
          </w:tcPr>
          <w:p>
            <w:pPr>
              <w:jc w:val="center"/>
            </w:pPr>
            <w:r>
              <w:rPr>
                <w:color w:val="000000"/>
                <w:kern w:val="0"/>
                <w:sz w:val="24"/>
                <w:szCs w:val="24"/>
              </w:rPr>
              <w:t>1.10%</w:t>
            </w:r>
          </w:p>
        </w:tc>
        <w:tc>
          <w:tcPr>
            <w:vAlign w:val="center"/>
          </w:tcPr>
          <w:p>
            <w:pPr>
              <w:jc w:val="center"/>
            </w:pPr>
            <w:r>
              <w:rPr>
                <w:color w:val="000000"/>
                <w:kern w:val="0"/>
                <w:sz w:val="24"/>
                <w:szCs w:val="24"/>
              </w:rPr>
              <w:t>35.82%</w:t>
            </w:r>
          </w:p>
        </w:tc>
        <w:tc>
          <w:tcPr>
            <w:vAlign w:val="center"/>
          </w:tcPr>
          <w:p>
            <w:pPr>
              <w:jc w:val="center"/>
            </w:pPr>
            <w:r>
              <w:rPr>
                <w:color w:val="000000"/>
                <w:kern w:val="0"/>
                <w:sz w:val="24"/>
                <w:szCs w:val="24"/>
              </w:rPr>
              <w:t>0.45%</w:t>
            </w:r>
          </w:p>
        </w:tc>
      </w:tr>
      <w:tr>
        <w:tc>
          <w:tcPr>
            <w:vAlign w:val="center"/>
          </w:tcPr>
          <w:p>
            <w:pPr>
              <w:jc w:val="left"/>
            </w:pPr>
            <w:r>
              <w:rPr>
                <w:color w:val="000000"/>
                <w:kern w:val="0"/>
                <w:sz w:val="24"/>
                <w:szCs w:val="24"/>
              </w:rPr>
              <w:t>过去三年</w:t>
            </w:r>
          </w:p>
        </w:tc>
        <w:tc>
          <w:tcPr>
            <w:vAlign w:val="center"/>
          </w:tcPr>
          <w:p>
            <w:pPr>
              <w:jc w:val="center"/>
            </w:pPr>
            <w:r>
              <w:rPr>
                <w:color w:val="000000"/>
                <w:kern w:val="0"/>
                <w:sz w:val="24"/>
                <w:szCs w:val="24"/>
              </w:rPr>
              <w:t>45.23%</w:t>
            </w:r>
          </w:p>
        </w:tc>
        <w:tc>
          <w:tcPr>
            <w:vAlign w:val="center"/>
          </w:tcPr>
          <w:p>
            <w:pPr>
              <w:jc w:val="center"/>
            </w:pPr>
            <w:r>
              <w:rPr>
                <w:color w:val="000000"/>
                <w:kern w:val="0"/>
                <w:sz w:val="24"/>
                <w:szCs w:val="24"/>
              </w:rPr>
              <w:t>1.62%</w:t>
            </w:r>
          </w:p>
        </w:tc>
        <w:tc>
          <w:tcPr>
            <w:vAlign w:val="center"/>
          </w:tcPr>
          <w:p>
            <w:pPr>
              <w:jc w:val="center"/>
            </w:pPr>
            <w:r>
              <w:rPr>
                <w:color w:val="000000"/>
                <w:kern w:val="0"/>
                <w:sz w:val="24"/>
                <w:szCs w:val="24"/>
              </w:rPr>
              <w:t>16.57%</w:t>
            </w:r>
          </w:p>
        </w:tc>
        <w:tc>
          <w:tcPr>
            <w:vAlign w:val="center"/>
          </w:tcPr>
          <w:p>
            <w:pPr>
              <w:jc w:val="center"/>
            </w:pPr>
            <w:r>
              <w:rPr>
                <w:color w:val="000000"/>
                <w:kern w:val="0"/>
                <w:sz w:val="24"/>
                <w:szCs w:val="24"/>
              </w:rPr>
              <w:t>1.06%</w:t>
            </w:r>
          </w:p>
        </w:tc>
        <w:tc>
          <w:tcPr>
            <w:vAlign w:val="center"/>
          </w:tcPr>
          <w:p>
            <w:pPr>
              <w:jc w:val="center"/>
            </w:pPr>
            <w:r>
              <w:rPr>
                <w:color w:val="000000"/>
                <w:kern w:val="0"/>
                <w:sz w:val="24"/>
                <w:szCs w:val="24"/>
              </w:rPr>
              <w:t>28.66%</w:t>
            </w:r>
          </w:p>
        </w:tc>
        <w:tc>
          <w:tcPr>
            <w:vAlign w:val="center"/>
          </w:tcPr>
          <w:p>
            <w:pPr>
              <w:jc w:val="center"/>
            </w:pPr>
            <w:r>
              <w:rPr>
                <w:color w:val="000000"/>
                <w:kern w:val="0"/>
                <w:sz w:val="24"/>
                <w:szCs w:val="24"/>
              </w:rPr>
              <w:t>0.56%</w:t>
            </w:r>
          </w:p>
        </w:tc>
      </w:tr>
      <w:tr>
        <w:tc>
          <w:tcPr>
            <w:vAlign w:val="center"/>
          </w:tcPr>
          <w:p>
            <w:pPr>
              <w:jc w:val="left"/>
            </w:pPr>
            <w:r>
              <w:rPr>
                <w:color w:val="000000"/>
                <w:kern w:val="0"/>
                <w:sz w:val="24"/>
                <w:szCs w:val="24"/>
              </w:rPr>
              <w:t>过去五年</w:t>
            </w:r>
          </w:p>
        </w:tc>
        <w:tc>
          <w:tcPr>
            <w:vAlign w:val="center"/>
          </w:tcPr>
          <w:p>
            <w:pPr>
              <w:jc w:val="center"/>
            </w:pPr>
            <w:r>
              <w:rPr>
                <w:color w:val="000000"/>
                <w:kern w:val="0"/>
                <w:sz w:val="24"/>
                <w:szCs w:val="24"/>
              </w:rPr>
              <w:t>41.40%</w:t>
            </w:r>
          </w:p>
        </w:tc>
        <w:tc>
          <w:tcPr>
            <w:vAlign w:val="center"/>
          </w:tcPr>
          <w:p>
            <w:pPr>
              <w:jc w:val="center"/>
            </w:pPr>
            <w:r>
              <w:rPr>
                <w:color w:val="000000"/>
                <w:kern w:val="0"/>
                <w:sz w:val="24"/>
                <w:szCs w:val="24"/>
              </w:rPr>
              <w:t>1.75%</w:t>
            </w:r>
          </w:p>
        </w:tc>
        <w:tc>
          <w:tcPr>
            <w:vAlign w:val="center"/>
          </w:tcPr>
          <w:p>
            <w:pPr>
              <w:jc w:val="center"/>
            </w:pPr>
            <w:r>
              <w:rPr>
                <w:color w:val="000000"/>
                <w:kern w:val="0"/>
                <w:sz w:val="24"/>
                <w:szCs w:val="24"/>
              </w:rPr>
              <w:t>35.00%</w:t>
            </w:r>
          </w:p>
        </w:tc>
        <w:tc>
          <w:tcPr>
            <w:vAlign w:val="center"/>
          </w:tcPr>
          <w:p>
            <w:pPr>
              <w:jc w:val="center"/>
            </w:pPr>
            <w:r>
              <w:rPr>
                <w:color w:val="000000"/>
                <w:kern w:val="0"/>
                <w:sz w:val="24"/>
                <w:szCs w:val="24"/>
              </w:rPr>
              <w:t>1.02%</w:t>
            </w:r>
          </w:p>
        </w:tc>
        <w:tc>
          <w:tcPr>
            <w:vAlign w:val="center"/>
          </w:tcPr>
          <w:p>
            <w:pPr>
              <w:jc w:val="center"/>
            </w:pPr>
            <w:r>
              <w:rPr>
                <w:color w:val="000000"/>
                <w:kern w:val="0"/>
                <w:sz w:val="24"/>
                <w:szCs w:val="24"/>
              </w:rPr>
              <w:t>6.40%</w:t>
            </w:r>
          </w:p>
        </w:tc>
        <w:tc>
          <w:tcPr>
            <w:vAlign w:val="center"/>
          </w:tcPr>
          <w:p>
            <w:pPr>
              <w:jc w:val="center"/>
            </w:pPr>
            <w:r>
              <w:rPr>
                <w:color w:val="000000"/>
                <w:kern w:val="0"/>
                <w:sz w:val="24"/>
                <w:szCs w:val="24"/>
              </w:rPr>
              <w:t>0.73%</w:t>
            </w:r>
          </w:p>
        </w:tc>
      </w:tr>
      <w:tr>
        <w:tc>
          <w:tcPr>
            <w:vAlign w:val="center"/>
          </w:tcPr>
          <w:p>
            <w:pPr>
              <w:jc w:val="left"/>
            </w:pPr>
            <w:r>
              <w:rPr>
                <w:color w:val="000000"/>
                <w:kern w:val="0"/>
                <w:sz w:val="24"/>
                <w:szCs w:val="24"/>
              </w:rPr>
              <w:t>自基金合同生效起至今</w:t>
            </w:r>
          </w:p>
        </w:tc>
        <w:tc>
          <w:tcPr>
            <w:vAlign w:val="center"/>
          </w:tcPr>
          <w:p>
            <w:pPr>
              <w:jc w:val="center"/>
            </w:pPr>
            <w:r>
              <w:rPr>
                <w:color w:val="000000"/>
                <w:kern w:val="0"/>
                <w:sz w:val="24"/>
                <w:szCs w:val="24"/>
              </w:rPr>
              <w:t>121.22%</w:t>
            </w:r>
          </w:p>
        </w:tc>
        <w:tc>
          <w:tcPr>
            <w:vAlign w:val="center"/>
          </w:tcPr>
          <w:p>
            <w:pPr>
              <w:jc w:val="center"/>
            </w:pPr>
            <w:r>
              <w:rPr>
                <w:color w:val="000000"/>
                <w:kern w:val="0"/>
                <w:sz w:val="24"/>
                <w:szCs w:val="24"/>
              </w:rPr>
              <w:t>1.78%</w:t>
            </w:r>
          </w:p>
        </w:tc>
        <w:tc>
          <w:tcPr>
            <w:vAlign w:val="center"/>
          </w:tcPr>
          <w:p>
            <w:pPr>
              <w:jc w:val="center"/>
            </w:pPr>
            <w:r>
              <w:rPr>
                <w:color w:val="000000"/>
                <w:kern w:val="0"/>
                <w:sz w:val="24"/>
                <w:szCs w:val="24"/>
              </w:rPr>
              <w:t>-1.68%</w:t>
            </w:r>
          </w:p>
        </w:tc>
        <w:tc>
          <w:tcPr>
            <w:vAlign w:val="center"/>
          </w:tcPr>
          <w:p>
            <w:pPr>
              <w:jc w:val="center"/>
            </w:pPr>
            <w:r>
              <w:rPr>
                <w:color w:val="000000"/>
                <w:kern w:val="0"/>
                <w:sz w:val="24"/>
                <w:szCs w:val="24"/>
              </w:rPr>
              <w:t>1.35%</w:t>
            </w:r>
          </w:p>
        </w:tc>
        <w:tc>
          <w:tcPr>
            <w:vAlign w:val="center"/>
          </w:tcPr>
          <w:p>
            <w:pPr>
              <w:jc w:val="center"/>
            </w:pPr>
            <w:r>
              <w:rPr>
                <w:color w:val="000000"/>
                <w:kern w:val="0"/>
                <w:sz w:val="24"/>
                <w:szCs w:val="24"/>
              </w:rPr>
              <w:t>122.90%</w:t>
            </w:r>
          </w:p>
        </w:tc>
        <w:tc>
          <w:tcPr>
            <w:vAlign w:val="center"/>
          </w:tcPr>
          <w:p>
            <w:pPr>
              <w:jc w:val="center"/>
            </w:pPr>
            <w:r>
              <w:rPr>
                <w:color w:val="000000"/>
                <w:kern w:val="0"/>
                <w:sz w:val="24"/>
                <w:szCs w:val="24"/>
              </w:rPr>
              <w:t>0.43%</w:t>
            </w:r>
          </w:p>
        </w:tc>
      </w:tr>
    </w:tbl>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smartTag w:element="chsdate" w:uri="urn:schemas-microsoft-com:office:smarttags">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3.2.2</w:t>
        </w:r>
        <w:r w:rsidR="00D87469" w:rsidRPr="00370BEA">
          <w:rPr>
            <w:rStyle w:val="afb"/>
            <w:rFonts w:hint="eastAsia"/>
            <w:color w:val="000000"/>
            <w:sz w:val="24"/>
            <w:shd w:color="auto" w:fill="FFFFFF" w:val="clear"/>
          </w:rPr>
          <w:t/>
        </w:r>
        <w:proofErr w:type="spellStart"/>
        <w:r w:rsidR="00D87469" w:rsidRPr="00370BEA">
          <w:rPr>
            <w:rStyle w:val="afb"/>
            <w:rFonts w:hint="eastAsia"/>
            <w:color w:val="000000"/>
            <w:sz w:val="24"/>
            <w:shd w:color="auto" w:fill="FFFFFF" w:val="clear"/>
          </w:rPr>
          <w:t/>
        </w:r>
        <w:proofErr w:type="spellEnd"/>
        <w:r w:rsidR="00D87469" w:rsidRPr="00370BEA">
          <w:rPr>
            <w:rStyle w:val="afb"/>
            <w:rFonts w:hint="eastAsia"/>
            <w:color w:val="000000"/>
            <w:sz w:val="24"/>
            <w:shd w:color="auto" w:fill="FFFFFF" w:val="clear"/>
          </w:rPr>
          <w:t>自基金转型以来</w:t>
        </w:r>
      </w:smartTag>
      <w:r w:rsidRPr="00264E55">
        <w:rPr>
          <w:rFonts w:ascii="宋体" w:hAnsi="宋体" w:hint="eastAsia"/>
          <w:b/>
          <w:bCs/>
          <w:color w:val="000000"/>
          <w:kern w:val="0"/>
          <w:sz w:val="24"/>
          <w:szCs w:val="24"/>
        </w:rPr>
        <w:t>基金累计净值增长率变动及其与同期业绩比较基准收益率变动的比较</w:t>
      </w:r>
    </w:p>
    <w:p w:rsidP="009E7C6A" w:rsidR="00750D48" w:rsidRDefault="00750D48" w:rsidRPr="0074694E">
      <w:pPr>
        <w:spacing w:line="360" w:lineRule="auto"/>
        <w:jc w:val="center"/>
        <w:rPr>
          <w:color w:val="000000"/>
          <w:sz w:val="24"/>
          <w:szCs w:val="24"/>
        </w:rPr>
      </w:pPr>
      <w:r w:rsidRPr="0074694E">
        <w:rPr>
          <w:color w:val="000000"/>
          <w:sz w:val="24"/>
          <w:szCs w:val="24"/>
        </w:rPr>
        <w:t/>
      </w:r>
      <w:proofErr w:type="spellStart"/>
      <w:r w:rsidRPr="0074694E">
        <w:rPr>
          <w:color w:val="000000"/>
          <w:sz w:val="24"/>
          <w:szCs w:val="24"/>
        </w:rPr>
        <w:t/>
      </w:r>
      <w:proofErr w:type="spellEnd"/>
      <w:r w:rsidRPr="0074694E">
        <w:rPr>
          <w:color w:val="000000"/>
          <w:sz w:val="24"/>
          <w:szCs w:val="24"/>
        </w:rPr>
        <w:t>易方达科讯混合型证券投资基金</w:t>
      </w:r>
    </w:p>
    <w:p w:rsidP="009E7C6A" w:rsidR="00750D48" w:rsidRDefault="00750D48" w:rsidRPr="0074694E">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P="009E7C6A" w:rsidR="00750D48" w:rsidRDefault="005F7917" w:rsidRPr="0074694E">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
      </w:r>
      <w:proofErr w:type="spellStart"/>
      <w:r w:rsidRPr="0074694E">
        <w:rPr>
          <w:rFonts w:ascii="Times New Roman" w:hAnsi="Times New Roman"/>
          <w:sz w:val="24"/>
          <w:szCs w:val="24"/>
        </w:rPr>
        <w:t/>
      </w:r>
      <w:proofErr w:type="spellEnd"/>
      <w:r w:rsidRPr="0074694E">
        <w:rPr>
          <w:rFonts w:ascii="Times New Roman" w:hAnsi="Times New Roman"/>
          <w:sz w:val="24"/>
          <w:szCs w:val="24"/>
        </w:rPr>
        <w:t>2007年12月18日</w:t>
      </w:r>
      <w:r w:rsidRPr="0074694E">
        <w:rPr>
          <w:rFonts w:ascii="Times New Roman" w:hAnsi="Times New Roman"/>
          <w:sz w:val="24"/>
          <w:szCs w:val="24"/>
        </w:rPr>
        <w:t>至</w:t>
      </w:r>
      <w:r w:rsidRPr="0074694E">
        <w:rPr>
          <w:rFonts w:ascii="Times New Roman" w:hAnsi="Times New Roman"/>
          <w:sz w:val="24"/>
          <w:szCs w:val="24"/>
        </w:rPr>
        <w:t/>
      </w:r>
      <w:proofErr w:type="spellStart"/>
      <w:r w:rsidRPr="0074694E">
        <w:rPr>
          <w:rFonts w:ascii="Times New Roman" w:hAnsi="Times New Roman"/>
          <w:sz w:val="24"/>
          <w:szCs w:val="24"/>
        </w:rPr>
        <w:t/>
      </w:r>
      <w:proofErr w:type="spellEnd"/>
      <w:r w:rsidRPr="0074694E">
        <w:rPr>
          <w:rFonts w:ascii="Times New Roman" w:hAnsi="Times New Roman"/>
          <w:sz w:val="24"/>
          <w:szCs w:val="24"/>
        </w:rPr>
        <w:t>2020年9月30日</w:t>
      </w:r>
      <w:r w:rsidRPr="0074694E">
        <w:rPr>
          <w:rFonts w:ascii="Times New Roman" w:hAnsi="Times New Roman"/>
          <w:sz w:val="24"/>
          <w:szCs w:val="24"/>
        </w:rPr>
        <w:t>）</w:t>
      </w:r>
    </w:p>
    <w:p w:rsidP="004061AC" w:rsidR="00750D48" w:rsidRDefault="000D33A8" w:rsidRPr="00264E55">
      <w:pPr>
        <w:pStyle w:val="a5"/>
        <w:snapToGrid w:val="0"/>
        <w:spacing w:before="120" w:line="360" w:lineRule="auto"/>
        <w:jc w:val="center"/>
        <w:rPr>
          <w:rFonts w:hAnsi="宋体"/>
          <w:color w:val="000000"/>
          <w:sz w:val="24"/>
          <w:szCs w:val="24"/>
        </w:rPr>
      </w:pPr>
      <w:r>
        <w:rPr>
          <w:rFonts w:hAnsi="宋体"/>
          <w:noProof/>
          <w:color w:val="000000"/>
          <w:sz w:val="24"/>
          <w:szCs w:val="24"/>
        </w:rP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图片 1" o:spid="_x0000_i1025" style="width:412.5pt;height:241.5pt;visibility:visible" type="#_x0000_t75">
            <v:imagedata o:title="" r:id="rId11"/>
          </v:shape>
        </w:pict>
      </w:r>
    </w:p>
    <w:p>
      <w:pPr>
        <w:spacing w:line="360" w:lineRule="auto"/>
        <w:ind w:firstLine="480" w:firstLineChars="200"/>
        <w:rPr>
          <w:color w:val="000000"/>
          <w:sz w:val="24"/>
          <w:szCs w:val="24"/>
        </w:rPr>
      </w:pPr>
      <w:r>
        <w:rPr>
          <w:color w:val="000000"/>
          <w:sz w:val="24"/>
          <w:szCs w:val="24"/>
        </w:rPr>
        <w:t>注：1.本基金由原基金科讯于2007年12月18日转型而来。</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2.自基金转型至报告期末，基金份额净值增长率为121.22%，同期业绩比较基准收益率为-1.68%。</w:t>
      </w:r>
    </w:p>
    <w:p w:rsidP="00693843" w:rsidR="00750D48" w:rsidRDefault="00750D48" w:rsidRPr="00232B03">
      <w:pPr>
        <w:tabs>
          <w:tab w:pos="1800" w:val="left"/>
        </w:tabs>
        <w:spacing w:line="288" w:lineRule="auto"/>
        <w:rPr>
          <w:color w:val="000000"/>
          <w:sz w:val="24"/>
          <w:szCs w:val="24"/>
        </w:rPr>
      </w:pP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P="004D28A3" w:rsidR="004D28A3" w:rsidRDefault="00750D48" w:rsidRPr="0078105B">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7"/>
        <w:gridCol w:w="2835"/>
        <w:gridCol w:w="851"/>
        <w:gridCol w:w="850"/>
        <w:gridCol w:w="851"/>
        <w:gridCol w:w="2977"/>
      </w:tblGrid>
      <w:tr w:rsidR="004D28A3" w:rsidRPr="0078105B" w:rsidTr="003328D9">
        <w:trPr>
          <w:cantSplit/>
        </w:trPr>
        <w:tc>
          <w:tcPr>
            <w:tcW w:type="dxa" w:w="567"/>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type="dxa" w:w="2835"/>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type="dxa" w:w="1701"/>
            <w:gridSpan w:val="2"/>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type="dxa" w:w="851"/>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type="dxa" w:w="2977"/>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type="dxa" w:w="567"/>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2835"/>
            <w:vMerge/>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851"/>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type="dxa" w:w="850"/>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type="dxa" w:w="851"/>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2977"/>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陈皓</w:t>
            </w:r>
          </w:p>
        </w:tc>
        <w:tc>
          <w:tcPr>
            <w:vAlign w:val="center"/>
          </w:tcPr>
          <w:p>
            <w:pPr>
              <w:jc w:val="left"/>
            </w:pPr>
            <w:r>
              <w:rPr>
                <w:color w:val="000000"/>
                <w:sz w:val="24"/>
              </w:rPr>
              <w:t>本基金的基金经理、易方达平稳增长证券投资基金的基金经理、易方达科翔混合型证券投资基金的基金经理、易方达新经济灵活配置混合型证券投资基金的基金经理、易方达科融混合型证券投资基金的基金经理（自2019年03月26日至2020年07月31日）、易方达均衡成长股票型证券投资基金的基金经理、易方达创新未来18个月封闭运作混合型证券投资基金的基金经理、副总经理级高级管理人员、投资一部总经理、权益投资决策委员会委员</w:t>
            </w:r>
          </w:p>
        </w:tc>
        <w:tc>
          <w:tcPr>
            <w:vAlign w:val="center"/>
          </w:tcPr>
          <w:p>
            <w:pPr>
              <w:jc w:val="center"/>
            </w:pPr>
            <w:r>
              <w:rPr>
                <w:color w:val="000000"/>
                <w:sz w:val="24"/>
              </w:rPr>
              <w:t>2018-12-11</w:t>
            </w:r>
          </w:p>
        </w:tc>
        <w:tc>
          <w:tcPr>
            <w:vAlign w:val="center"/>
          </w:tcPr>
          <w:p>
            <w:pPr>
              <w:jc w:val="center"/>
            </w:pPr>
            <w:r>
              <w:rPr>
                <w:color w:val="000000"/>
                <w:sz w:val="24"/>
              </w:rPr>
              <w:t>-</w:t>
            </w:r>
          </w:p>
        </w:tc>
        <w:tc>
          <w:tcPr>
            <w:vAlign w:val="center"/>
          </w:tcPr>
          <w:p>
            <w:pPr>
              <w:jc w:val="center"/>
            </w:pPr>
            <w:r>
              <w:rPr>
                <w:color w:val="000000"/>
                <w:sz w:val="24"/>
              </w:rPr>
              <w:t>13年</w:t>
            </w:r>
          </w:p>
        </w:tc>
        <w:tc>
          <w:tcPr>
            <w:vAlign w:val="center"/>
          </w:tcPr>
          <w:p>
            <w:pPr>
              <w:jc w:val="both"/>
            </w:pPr>
            <w:r>
              <w:rPr>
                <w:color w:val="000000"/>
                <w:sz w:val="24"/>
              </w:rPr>
              <w:t>硕士研究生，具有基金从业资格。曾任易方达基金管理有限公司行业研究员、基金经理助理、投资一部总经理助理、投资一部副总经理、投资经理、易方达价值精选混合型证券投资基金基金经理、易方达供给改革灵活配置混合型证券投资基金基金经理、易方达国防军工混合型证券投资基金基金经理。</w:t>
            </w:r>
          </w:p>
        </w:tc>
      </w:tr>
      <w:tr>
        <w:tc>
          <w:tcPr>
            <w:vAlign w:val="center"/>
          </w:tcPr>
          <w:p>
            <w:pPr>
              <w:jc w:val="center"/>
            </w:pPr>
            <w:r>
              <w:rPr>
                <w:color w:val="000000"/>
                <w:sz w:val="24"/>
              </w:rPr>
              <w:t>刘健维</w:t>
            </w:r>
          </w:p>
        </w:tc>
        <w:tc>
          <w:tcPr>
            <w:vAlign w:val="center"/>
          </w:tcPr>
          <w:p>
            <w:pPr>
              <w:jc w:val="left"/>
            </w:pPr>
            <w:r>
              <w:rPr>
                <w:color w:val="000000"/>
                <w:sz w:val="24"/>
              </w:rPr>
              <w:t>本基金的基金经理、易方达科融混合型证券投资基金的基金经理</w:t>
            </w:r>
          </w:p>
        </w:tc>
        <w:tc>
          <w:tcPr>
            <w:vAlign w:val="center"/>
          </w:tcPr>
          <w:p>
            <w:pPr>
              <w:jc w:val="center"/>
            </w:pPr>
            <w:r>
              <w:rPr>
                <w:color w:val="000000"/>
                <w:sz w:val="24"/>
              </w:rPr>
              <w:t>2019-07-12</w:t>
            </w:r>
          </w:p>
        </w:tc>
        <w:tc>
          <w:tcPr>
            <w:vAlign w:val="center"/>
          </w:tcPr>
          <w:p>
            <w:pPr>
              <w:jc w:val="center"/>
            </w:pPr>
            <w:r>
              <w:rPr>
                <w:color w:val="000000"/>
                <w:sz w:val="24"/>
              </w:rPr>
              <w:t>-</w:t>
            </w:r>
          </w:p>
        </w:tc>
        <w:tc>
          <w:tcPr>
            <w:vAlign w:val="center"/>
          </w:tcPr>
          <w:p>
            <w:pPr>
              <w:jc w:val="center"/>
            </w:pPr>
            <w:r>
              <w:rPr>
                <w:color w:val="000000"/>
                <w:sz w:val="24"/>
              </w:rPr>
              <w:t>6年</w:t>
            </w:r>
          </w:p>
        </w:tc>
        <w:tc>
          <w:tcPr>
            <w:vAlign w:val="center"/>
          </w:tcPr>
          <w:p>
            <w:pPr>
              <w:jc w:val="both"/>
            </w:pPr>
            <w:r>
              <w:rPr>
                <w:color w:val="000000"/>
                <w:sz w:val="24"/>
              </w:rPr>
              <w:t>硕士研究生，具有基金从业资格。曾任广发基金管理有限公司研究部研究员，国泰基金管理有限公司研究部研究员，易方达基金管理有限公司行业研究员、基金经理助理。</w:t>
            </w:r>
          </w:p>
        </w:tc>
      </w:tr>
    </w:tbl>
    <w:p>
      <w:pPr>
        <w:tabs>
          <w:tab w:pos="426" w:val="left"/>
        </w:tabs>
        <w:spacing w:line="360" w:lineRule="auto"/>
        <w:ind w:firstLine="480" w:firstLineChars="200"/>
        <w:rPr>
          <w:kern w:val="0"/>
        </w:rPr>
      </w:pPr>
      <w:r>
        <w:rPr>
          <w:color w:val="000000"/>
          <w:sz w:val="24"/>
          <w:szCs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C71BA1" w:rsidR="00C71BA1" w:rsidRDefault="004D28A3" w:rsidRPr="00AF5C11">
      <w:pPr>
        <w:tabs>
          <w:tab w:pos="426" w:val="left"/>
        </w:tabs>
        <w:spacing w:line="360" w:lineRule="auto"/>
        <w:ind w:firstLine="480" w:firstLineChars="200"/>
        <w:rPr>
          <w:kern w:val="0"/>
        </w:rPr>
      </w:pPr>
      <w:r w:rsidRPr="004D28A3">
        <w:rPr>
          <w:color w:val="000000"/>
          <w:sz w:val="24"/>
          <w:szCs w:val="24"/>
        </w:rPr>
        <w:t/>
      </w:r>
      <w:proofErr w:type="gramStart"/>
      <w:r w:rsidRPr="004D28A3">
        <w:rPr>
          <w:color w:val="000000"/>
          <w:sz w:val="24"/>
          <w:szCs w:val="24"/>
        </w:rPr>
        <w:t/>
      </w:r>
      <w:proofErr w:type="gramEnd"/>
      <w:r w:rsidRPr="004D28A3">
        <w:rPr>
          <w:color w:val="000000"/>
          <w:sz w:val="24"/>
          <w:szCs w:val="24"/>
        </w:rPr>
        <w:t>2.证券从业的含义遵从《证券业从业人员资格管理办法》的相关规定。</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P="009E7C6A" w:rsidR="00750D48" w:rsidRDefault="00750D48" w:rsidRPr="008768CB">
      <w:pPr>
        <w:spacing w:line="360" w:lineRule="auto"/>
        <w:rPr>
          <w:b/>
          <w:color w:val="000000"/>
          <w:sz w:val="24"/>
          <w:szCs w:val="24"/>
        </w:rPr>
      </w:pPr>
      <w:smartTag w:element="chsdate" w:uri="urn:schemas-microsoft-com:office:smarttags">
        <w:smartTagPr>
          <w:attr w:name="Year" w:val="1899"/>
          <w:attr w:name="Month" w:val="12"/>
          <w:attr w:name="Day" w:val="30"/>
          <w:attr w:name="IsLunarDate" w:val="False"/>
          <w:attr w:name="IsROCDate" w:val="False"/>
        </w:smartTagPr>
        <w:r w:rsidRPr="008768CB">
          <w:rPr>
            <w:b/>
            <w:color w:val="000000"/>
            <w:sz w:val="24"/>
            <w:szCs w:val="24"/>
          </w:rPr>
          <w:t>4.3.1</w:t>
        </w:r>
      </w:smartTag>
      <w:r w:rsidRPr="008768CB">
        <w:rPr>
          <w:b/>
          <w:color w:val="000000"/>
          <w:sz w:val="24"/>
          <w:szCs w:val="24"/>
        </w:rPr>
        <w:t>公平交易制度的执行情况</w:t>
      </w:r>
    </w:p>
    <w:p w:rsidP="00EB572F" w:rsidR="00750D48" w:rsidRDefault="00750D48" w:rsidRPr="000018BC">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9E7C6A" w:rsidR="00750D48" w:rsidRDefault="00750D48" w:rsidRPr="008768CB">
      <w:pPr>
        <w:spacing w:line="360" w:lineRule="auto"/>
        <w:rPr>
          <w:b/>
          <w:color w:val="000000"/>
          <w:sz w:val="24"/>
          <w:szCs w:val="24"/>
        </w:rPr>
      </w:pPr>
      <w:smartTag w:element="chsdate" w:uri="urn:schemas-microsoft-com:office:smarttags">
        <w:smartTagPr>
          <w:attr w:name="Year" w:val="1899"/>
          <w:attr w:name="Month" w:val="12"/>
          <w:attr w:name="Day" w:val="30"/>
          <w:attr w:name="IsLunarDate" w:val="False"/>
          <w:attr w:name="IsROCDate" w:val="False"/>
        </w:smartTagPr>
        <w:r w:rsidRPr="008768CB">
          <w:rPr>
            <w:b/>
            <w:color w:val="000000"/>
            <w:sz w:val="24"/>
            <w:szCs w:val="24"/>
          </w:rPr>
          <w:t>4.3.2</w:t>
        </w:r>
      </w:smartTag>
      <w:r w:rsidRPr="008768CB">
        <w:rPr>
          <w:b/>
          <w:color w:val="000000"/>
          <w:sz w:val="24"/>
          <w:szCs w:val="24"/>
        </w:rPr>
        <w:t>异常交易行为的专项说明</w:t>
      </w:r>
    </w:p>
    <w:p>
      <w:pPr>
        <w:spacing w:line="360" w:lineRule="auto"/>
        <w:ind w:firstLine="480" w:firstLineChars="200"/>
        <w:rPr>
          <w:rFonts w:ascii="宋体"/>
          <w:b/>
          <w:bCs/>
          <w:color w:val="000000"/>
          <w:kern w:val="0"/>
          <w:sz w:val="24"/>
          <w:szCs w:val="24"/>
        </w:rPr>
      </w:pPr>
      <w:r>
        <w:rPr>
          <w:color w:val="000000"/>
          <w:sz w:val="24"/>
          <w:szCs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306390" w:rsidR="00750D48" w:rsidRDefault="00750D48" w:rsidRPr="00264E55">
      <w:pPr>
        <w:spacing w:line="360" w:lineRule="auto"/>
        <w:ind w:firstLine="480" w:firstLineChars="200"/>
        <w:rPr>
          <w:rFonts w:ascii="宋体"/>
          <w:b/>
          <w:bCs/>
          <w:color w:val="000000"/>
          <w:kern w:val="0"/>
          <w:sz w:val="24"/>
          <w:szCs w:val="24"/>
        </w:rPr>
      </w:pPr>
      <w:r w:rsidRPr="000018BC">
        <w:rPr>
          <w:color w:val="000000"/>
          <w:sz w:val="24"/>
          <w:szCs w:val="24"/>
        </w:rPr>
        <w:t/>
      </w:r>
      <w:proofErr w:type="spellStart"/>
      <w:r w:rsidRPr="000018BC">
        <w:rPr>
          <w:color w:val="000000"/>
          <w:sz w:val="24"/>
          <w:szCs w:val="24"/>
        </w:rPr>
        <w:t/>
      </w:r>
      <w:proofErr w:type="spellEnd"/>
      <w:r w:rsidRPr="000018BC">
        <w:rPr>
          <w:color w:val="000000"/>
          <w:sz w:val="24"/>
          <w:szCs w:val="24"/>
        </w:rPr>
        <w:t>本报告期内，未发现本基金有可能导致不公平交易和利益输送的异常交易。</w:t>
      </w:r>
      <w:r w:rsidR="00306390" w:rsidRPr="00264E55">
        <w:rPr>
          <w:rFonts w:ascii="宋体"/>
          <w:b/>
          <w:bCs/>
          <w:color w:val="000000"/>
          <w:kern w:val="0"/>
          <w:sz w:val="24"/>
          <w:szCs w:val="24"/>
        </w:rPr>
        <w:t xml:space="preserve"> </w:t>
      </w:r>
    </w:p>
    <w:p w:rsidP="00306390" w:rsidR="00750D48" w:rsidRDefault="00306390" w:rsidRPr="00306390">
      <w:pPr>
        <w:autoSpaceDE w:val="0"/>
        <w:autoSpaceDN w:val="0"/>
        <w:adjustRightInd w:val="0"/>
        <w:spacing w:line="360" w:lineRule="auto"/>
        <w:jc w:val="left"/>
        <w:rPr>
          <w:rFonts w:ascii="宋体" w:hAnsi="宋体"/>
          <w:b/>
          <w:bCs/>
          <w:color w:val="000000"/>
          <w:kern w:val="0"/>
          <w:sz w:val="24"/>
          <w:szCs w:val="24"/>
        </w:rPr>
      </w:pPr>
      <w:r w:rsidRPr="00264E55">
        <w:rPr>
          <w:rFonts w:ascii="宋体" w:hAnsi="宋体"/>
          <w:b/>
          <w:bCs/>
          <w:color w:val="000000"/>
          <w:kern w:val="0"/>
          <w:sz w:val="24"/>
          <w:szCs w:val="24"/>
        </w:rPr>
        <w:t>4.4</w:t>
      </w:r>
      <w:r>
        <w:rPr>
          <w:rFonts w:ascii="宋体" w:hAnsi="宋体" w:hint="eastAsia"/>
          <w:b/>
          <w:bCs/>
          <w:color w:val="000000"/>
          <w:kern w:val="0"/>
          <w:sz w:val="24"/>
          <w:szCs w:val="24"/>
        </w:rPr>
        <w:t xml:space="preserve"> </w:t>
      </w:r>
      <w:r w:rsidR="00750D48" w:rsidRPr="00306390">
        <w:rPr>
          <w:rFonts w:ascii="宋体" w:hAnsi="宋体"/>
          <w:b/>
          <w:bCs/>
          <w:color w:val="000000"/>
          <w:kern w:val="0"/>
          <w:sz w:val="24"/>
          <w:szCs w:val="24"/>
        </w:rPr>
        <w:t>报告期内基金投资策略和运作分析</w:t>
      </w:r>
    </w:p>
    <w:p>
      <w:pPr>
        <w:spacing w:line="360" w:lineRule="auto"/>
        <w:ind w:firstLine="480" w:firstLineChars="200"/>
        <w:rPr>
          <w:color w:val="000000"/>
          <w:sz w:val="24"/>
          <w:szCs w:val="24"/>
        </w:rPr>
      </w:pPr>
      <w:r>
        <w:rPr>
          <w:color w:val="000000"/>
          <w:sz w:val="24"/>
          <w:szCs w:val="24"/>
        </w:rPr>
        <w:t>2020年三季度上证指数上涨7.82%，创业板指数上涨5.60%，市场整体表现较好，大盘蓝筹整体走势强于中小盘成长板块。细分领域中，以食品饮料为代表的消费板块三季度涨幅较大，偏成长的领域中军工、光伏表现较强，而以信息技术为代表的科技板块受流动性以及中美关系等因素影响表现较弱。</w:t>
      </w:r>
    </w:p>
    <w:p w:rsidP="00EB572F" w:rsidR="00750D48" w:rsidRDefault="00750D48" w:rsidRPr="000018BC">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本基金三季度采取了相对稳健的投资策略，虽然我们看好新兴成长特别是科技领域的长期表现，但基于短期涨幅、估值水平以及流动性角度考虑，我们判断新兴成长板块需要一定时间盘整和消化，于是我们适当降低了对这类资产的配置比例，增配了部分消费类个股以及安全边际较强的大盘蓝筹个股。对组合的调整让我们在科技板块整体回调幅度较大的情况下控制了净值波动水平，但三季度我们对光伏、免税、疫苗等偏成长领域的投资机会把握不足，使得组合在成长板块整体风格不占优的情况下表现弱于市场平均。我们对此有深刻的总结和思考，希望通过我们的勤勉尽责和投资体系的持续进化提升，为投资人贡献持续优异的回报。</w:t>
      </w:r>
    </w:p>
    <w:p w:rsidP="00306390" w:rsidR="00750D48" w:rsidRDefault="00306390" w:rsidRPr="00306390">
      <w:pPr>
        <w:autoSpaceDE w:val="0"/>
        <w:autoSpaceDN w:val="0"/>
        <w:adjustRightInd w:val="0"/>
        <w:spacing w:line="360" w:lineRule="auto"/>
        <w:jc w:val="left"/>
        <w:rPr>
          <w:rFonts w:ascii="宋体" w:hAnsi="宋体"/>
          <w:b/>
          <w:bCs/>
          <w:color w:val="000000"/>
          <w:kern w:val="0"/>
          <w:sz w:val="24"/>
          <w:szCs w:val="24"/>
        </w:rPr>
      </w:pPr>
      <w:r w:rsidRPr="00264E55">
        <w:rPr>
          <w:rFonts w:ascii="宋体" w:hAnsi="宋体"/>
          <w:b/>
          <w:bCs/>
          <w:color w:val="000000"/>
          <w:kern w:val="0"/>
          <w:sz w:val="24"/>
          <w:szCs w:val="24"/>
        </w:rPr>
        <w:t>4.</w:t>
      </w:r>
      <w:r>
        <w:rPr>
          <w:rFonts w:ascii="宋体" w:hAnsi="宋体"/>
          <w:b/>
          <w:bCs/>
          <w:color w:val="000000"/>
          <w:kern w:val="0"/>
          <w:sz w:val="24"/>
          <w:szCs w:val="24"/>
        </w:rPr>
        <w:t>5</w:t>
      </w:r>
      <w:r>
        <w:rPr>
          <w:rFonts w:ascii="宋体" w:hAnsi="宋体" w:hint="eastAsia"/>
          <w:b/>
          <w:bCs/>
          <w:color w:val="000000"/>
          <w:kern w:val="0"/>
          <w:sz w:val="24"/>
          <w:szCs w:val="24"/>
        </w:rPr>
        <w:t xml:space="preserve"> </w:t>
      </w:r>
      <w:r w:rsidR="00750D48" w:rsidRPr="00306390">
        <w:rPr>
          <w:rFonts w:ascii="宋体" w:hAnsi="宋体"/>
          <w:b/>
          <w:bCs/>
          <w:color w:val="000000"/>
          <w:kern w:val="0"/>
          <w:sz w:val="24"/>
          <w:szCs w:val="24"/>
        </w:rPr>
        <w:t>报告期内基金的业绩表现</w:t>
      </w:r>
    </w:p>
    <w:p w:rsidP="00306390" w:rsidR="00750D48" w:rsidRDefault="00750D48">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截至报告期末，本基金份额净值为1.6323元，本报告期份额净值增长率为0.62%，同期业绩比较基准收益率为7.73%。</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type="dxa" w:w="8897"/>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720"/>
        <w:gridCol w:w="3357"/>
        <w:gridCol w:w="2977"/>
        <w:gridCol w:w="1843"/>
      </w:tblGrid>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lastRenderedPageBreak/>
              <w:t>序号</w:t>
            </w:r>
          </w:p>
        </w:tc>
        <w:tc>
          <w:tcPr>
            <w:tcW w:type="dxa" w:w="3357"/>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项目</w:t>
            </w:r>
          </w:p>
        </w:tc>
        <w:tc>
          <w:tcPr>
            <w:tcW w:type="dxa" w:w="2977"/>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type="dxa" w:w="1843"/>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1</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权益投资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4,081,632,643.03</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83.20</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其中：股票</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4,081,632,643.03</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83.20</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2</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固定收益投资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其中：债券</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r w:rsidRPr="00232B03">
              <w:rPr>
                <w:color w:val="000000"/>
                <w:kern w:val="0"/>
                <w:sz w:val="24"/>
                <w:szCs w:val="24"/>
              </w:rPr>
              <w:lastRenderedPageBreak/>
              <w:t>-</w:t>
            </w:r>
          </w:p>
        </w:tc>
      </w:tr>
      <w:tr w:rsidR="00750D48" w:rsidRPr="00264E55" w:rsidTr="00B05049">
        <w:trPr>
          <w:jc w:val="center"/>
        </w:trPr>
        <w:tc>
          <w:tcPr>
            <w:tcW w:type="dxa" w:w="720"/>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lastRenderedPageBreak/>
              <w:t>3</w:t>
            </w:r>
          </w:p>
        </w:tc>
        <w:tc>
          <w:tcPr>
            <w:tcW w:type="dxa" w:w="3357"/>
          </w:tcPr>
          <w:p w:rsidP="00EB572F" w:rsidR="00750D48" w:rsidRDefault="00750D48" w:rsidRPr="00232B03">
            <w:pPr>
              <w:spacing w:before="29" w:line="360" w:lineRule="auto"/>
              <w:ind w:left="105" w:leftChars="50"/>
              <w:rPr>
                <w:color w:val="000000"/>
                <w:kern w:val="0"/>
                <w:sz w:val="24"/>
                <w:szCs w:val="24"/>
              </w:rPr>
            </w:pPr>
            <w:r w:rsidRPr="00232B03">
              <w:rPr>
                <w:color w:val="000000"/>
                <w:kern w:val="0"/>
                <w:sz w:val="24"/>
                <w:szCs w:val="24"/>
              </w:rPr>
              <w:t>贵金属投资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4</w:t>
            </w:r>
          </w:p>
        </w:tc>
        <w:tc>
          <w:tcPr>
            <w:tcW w:type="dxa" w:w="3357"/>
            <w:vAlign w:val="center"/>
          </w:tcPr>
          <w:p w:rsidP="00B05049" w:rsidR="00750D48" w:rsidRDefault="00750D48" w:rsidRPr="00232B03">
            <w:pPr>
              <w:spacing w:before="29" w:line="360" w:lineRule="auto"/>
              <w:ind w:left="17"/>
              <w:jc w:val="left"/>
              <w:rPr>
                <w:color w:val="000000"/>
                <w:kern w:val="0"/>
                <w:sz w:val="24"/>
                <w:szCs w:val="24"/>
              </w:rPr>
            </w:pPr>
            <w:r w:rsidRPr="00232B03">
              <w:rPr>
                <w:color w:val="000000"/>
                <w:kern w:val="0"/>
                <w:sz w:val="24"/>
                <w:szCs w:val="24"/>
              </w:rPr>
              <w:t>金融衍生品投资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5</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买入返售金融资产</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6</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银行存款和结算备付金合计</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821,146,077.60</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r w:rsidRPr="00232B03">
              <w:rPr>
                <w:color w:val="000000"/>
                <w:kern w:val="0"/>
                <w:sz w:val="24"/>
                <w:szCs w:val="24"/>
              </w:rPr>
              <w:lastRenderedPageBreak/>
              <w:t>16.74</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7</w:t>
            </w:r>
          </w:p>
        </w:tc>
        <w:tc>
          <w:tcPr>
            <w:tcW w:type="dxa" w:w="3357"/>
            <w:vAlign w:val="center"/>
          </w:tcPr>
          <w:p w:rsidP="00B05049" w:rsidR="00750D48" w:rsidRDefault="00750D48" w:rsidRPr="00232B03">
            <w:pPr>
              <w:jc w:val="left"/>
              <w:rPr>
                <w:kern w:val="0"/>
                <w:sz w:val="24"/>
                <w:szCs w:val="24"/>
              </w:rPr>
            </w:pPr>
            <w:r w:rsidRPr="00232B03">
              <w:rPr>
                <w:color w:val="000000"/>
                <w:kern w:val="0"/>
                <w:sz w:val="24"/>
                <w:szCs w:val="24"/>
              </w:rPr>
              <w:t>其他资产</w:t>
            </w:r>
          </w:p>
        </w:tc>
        <w:tc>
          <w:tcPr>
            <w:tcW w:type="dxa" w:w="2977"/>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3,115,858.40</w:t>
            </w:r>
          </w:p>
        </w:tc>
        <w:tc>
          <w:tcPr>
            <w:tcW w:type="dxa" w:w="1843"/>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0.06</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8</w:t>
            </w:r>
          </w:p>
        </w:tc>
        <w:tc>
          <w:tcPr>
            <w:tcW w:type="dxa" w:w="3357"/>
            <w:vAlign w:val="center"/>
          </w:tcPr>
          <w:p w:rsidP="00B05049" w:rsidR="00750D48" w:rsidRDefault="00750D48" w:rsidRPr="00232B03">
            <w:pPr>
              <w:jc w:val="left"/>
              <w:rPr>
                <w:kern w:val="0"/>
                <w:sz w:val="24"/>
                <w:szCs w:val="24"/>
              </w:rPr>
            </w:pPr>
            <w:r w:rsidRPr="00232B03">
              <w:rPr>
                <w:color w:val="000000"/>
                <w:kern w:val="0"/>
                <w:sz w:val="24"/>
                <w:szCs w:val="24"/>
              </w:rPr>
              <w:t>合计</w:t>
            </w:r>
          </w:p>
        </w:tc>
        <w:tc>
          <w:tcPr>
            <w:tcW w:type="dxa" w:w="2977"/>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4,905,894,579.03</w:t>
            </w:r>
          </w:p>
        </w:tc>
        <w:tc>
          <w:tcPr>
            <w:tcW w:type="dxa" w:w="1843"/>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100.00</w:t>
            </w:r>
          </w:p>
        </w:tc>
      </w:tr>
    </w:tbl>
    <w:p w:rsidP="008C2A4F" w:rsidR="008C2A4F" w:rsidRDefault="008C2A4F"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b/>
          <w:bCs/>
          <w:color w:themeColor="text1" w:val="000000"/>
          <w:kern w:val="0"/>
          <w:sz w:val="24"/>
          <w:szCs w:val="24"/>
        </w:rPr>
        <w:t xml:space="preserve">5.2 </w:t>
      </w:r>
      <w:r w:rsidRPr="00220C32">
        <w:rPr>
          <w:rFonts w:asciiTheme="minorEastAsia" w:eastAsiaTheme="minorEastAsia" w:hAnsiTheme="minorEastAsia" w:hint="eastAsia"/>
          <w:b/>
          <w:bCs/>
          <w:color w:themeColor="text1" w:val="000000"/>
          <w:kern w:val="0"/>
          <w:sz w:val="24"/>
          <w:szCs w:val="24"/>
        </w:rPr>
        <w:t>报告期末按行业分类的股票投资组合</w:t>
      </w:r>
    </w:p>
    <w:p w:rsidP="008C2A4F" w:rsidR="008C2A4F" w:rsidRDefault="008C2A4F" w:rsidRPr="000D7474">
      <w:pPr>
        <w:rPr>
          <w:rFonts w:asciiTheme="minorEastAsia" w:eastAsiaTheme="minorEastAsia" w:hAnsiTheme="minorEastAsia"/>
          <w:b/>
          <w:bCs/>
          <w:color w:themeColor="text1" w:val="000000"/>
          <w:kern w:val="0"/>
          <w:sz w:val="24"/>
          <w:szCs w:val="24"/>
        </w:rPr>
      </w:pPr>
      <w:r w:rsidRPr="000D7474">
        <w:rPr>
          <w:rFonts w:asciiTheme="minorEastAsia" w:eastAsiaTheme="minorEastAsia" w:hAnsiTheme="minorEastAsia"/>
          <w:b/>
          <w:bCs/>
          <w:color w:themeColor="text1" w:val="000000"/>
          <w:kern w:val="0"/>
          <w:sz w:val="24"/>
          <w:szCs w:val="24"/>
        </w:rPr>
        <w:t/>
      </w:r>
      <w:proofErr w:type="spellStart"/>
      <w:r w:rsidRPr="000D7474">
        <w:rPr>
          <w:rFonts w:asciiTheme="minorEastAsia" w:eastAsiaTheme="minorEastAsia" w:hAnsiTheme="minorEastAsia"/>
          <w:b/>
          <w:bCs/>
          <w:color w:themeColor="text1" w:val="000000"/>
          <w:kern w:val="0"/>
          <w:sz w:val="24"/>
          <w:szCs w:val="24"/>
        </w:rPr>
        <w:t/>
      </w:r>
      <w:proofErr w:type="spellEnd"/>
      <w:r w:rsidRPr="000D7474">
        <w:rPr>
          <w:rFonts w:asciiTheme="minorEastAsia" w:eastAsiaTheme="minorEastAsia" w:hAnsiTheme="minorEastAsia"/>
          <w:b/>
          <w:bCs/>
          <w:color w:themeColor="text1" w:val="000000"/>
          <w:kern w:val="0"/>
          <w:sz w:val="24"/>
          <w:szCs w:val="24"/>
        </w:rPr>
        <w:t/>
      </w:r>
      <w:r w:rsidRPr="000D7474">
        <w:rPr>
          <w:rFonts w:asciiTheme="minorEastAsia" w:eastAsiaTheme="minorEastAsia" w:hAnsiTheme="minorEastAsia" w:hint="eastAsia"/>
          <w:b/>
          <w:bCs/>
          <w:color w:themeColor="text1" w:val="000000"/>
          <w:kern w:val="0"/>
          <w:sz w:val="24"/>
          <w:szCs w:val="24"/>
        </w:rPr>
        <w:t>5.2.1报告期末按行业分类的境内股票投资组合</w:t>
      </w:r>
    </w:p>
    <w:tbl>
      <w:tblPr>
        <w:tblW w:type="dxa" w:w="8789"/>
        <w:tblInd w:type="dxa" w:w="-137"/>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0" w:firstRow="0" w:lastColumn="0" w:lastRow="0" w:noHBand="0" w:noVBand="0" w:val="0000"/>
      </w:tblPr>
      <w:tblGrid>
        <w:gridCol w:w="709"/>
        <w:gridCol w:w="3544"/>
        <w:gridCol w:w="2977"/>
        <w:gridCol w:w="1559"/>
      </w:tblGrid>
      <w:tr w:rsidR="008C2A4F" w:rsidRPr="008C2A4F" w:rsidTr="003B5535">
        <w:trPr>
          <w:trHeight w:val="390"/>
        </w:trPr>
        <w:tc>
          <w:tcPr>
            <w:tcW w:type="dxa" w:w="709"/>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代码</w:t>
            </w: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行业类别</w:t>
            </w:r>
          </w:p>
        </w:tc>
        <w:tc>
          <w:tcPr>
            <w:tcW w:type="dxa" w:w="2977"/>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公允价值（元）</w:t>
            </w:r>
          </w:p>
        </w:tc>
        <w:tc>
          <w:tcPr>
            <w:tcW w:type="dxa" w:w="155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占基金资产净值比例（％）</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A</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农、林、牧、渔业</w:t>
            </w:r>
          </w:p>
        </w:tc>
        <w:tc>
          <w:tcPr>
            <w:tcW w:type="dxa" w:w="2977"/>
            <w:vAlign w:val="center"/>
          </w:tcPr>
          <w:p w:rsidP="003328D9" w:rsidR="008C2A4F" w:rsidRDefault="008C2A4F" w:rsidRPr="008C2A4F">
            <w:pPr>
              <w:autoSpaceDE w:val="0"/>
              <w:autoSpaceDN w:val="0"/>
              <w:adjustRightInd w:val="0"/>
              <w:spacing w:before="29" w:line="360" w:lineRule="auto"/>
              <w:ind w:left="15"/>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autoSpaceDE w:val="0"/>
              <w:autoSpaceDN w:val="0"/>
              <w:adjustRightInd w:val="0"/>
              <w:spacing w:before="29" w:line="360" w:lineRule="auto"/>
              <w:ind w:left="15"/>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B</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采矿业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p w:rsidP="003328D9" w:rsidR="008C2A4F" w:rsidRDefault="008C2A4F" w:rsidRPr="008C2A4F">
            <w:pPr>
              <w:jc w:val="right"/>
              <w:rPr>
                <w:rFonts w:eastAsiaTheme="minorEastAsia"/>
                <w:color w:themeColor="text1" w:val="000000"/>
                <w:kern w:val="0"/>
                <w:sz w:val="24"/>
                <w:szCs w:val="24"/>
              </w:rPr>
            </w:pP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p w:rsidP="003328D9" w:rsidR="008C2A4F" w:rsidRDefault="008C2A4F" w:rsidRPr="008C2A4F">
            <w:pPr>
              <w:jc w:val="right"/>
              <w:rPr>
                <w:rFonts w:eastAsiaTheme="minorEastAsia"/>
                <w:color w:themeColor="text1" w:val="000000"/>
                <w:kern w:val="0"/>
                <w:sz w:val="24"/>
                <w:szCs w:val="24"/>
              </w:rPr>
            </w:pP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C</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制造业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2,753,023,428.74</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56.63</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D</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电力、热力、燃气及水生产和供应业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18,062,459.80</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0.37</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E</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建筑业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13,029.12</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F</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批发和零售业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11,470.24</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G</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交通运输、仓储和邮政业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18,653.36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H</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住宿和餐饮业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I</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信息传输、软件和信息技术服务业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564,910,879.39</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11.62</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J</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金融业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243,556,627.84</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5.01</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K</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房地产业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60,685,963.00</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1.25</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L</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租赁和商务服务业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254,853,633.98</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5.24</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M</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科学研究和技术服务业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186,354,425.06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3.83</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N</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水利、环境和公共设施管理业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96,939.24</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O</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居民服务、修理和其他服务业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P</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教育</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Q</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卫生和社会工作</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R</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文化、体育和娱乐业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45,133.26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S</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综合</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合计</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4,081,632,643.03</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83.95</w:t>
            </w:r>
          </w:p>
        </w:tc>
      </w:tr>
    </w:tbl>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type="dxa" w:w="8789"/>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51"/>
        <w:gridCol w:w="1276"/>
        <w:gridCol w:w="1418"/>
        <w:gridCol w:w="1701"/>
        <w:gridCol w:w="1984"/>
        <w:gridCol w:w="1559"/>
      </w:tblGrid>
      <w:tr w:rsidR="00750D48" w:rsidRPr="00264E55" w:rsidTr="00191BDE">
        <w:tc>
          <w:tcPr>
            <w:tcW w:type="dxa" w:w="851"/>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序号</w:t>
            </w:r>
          </w:p>
        </w:tc>
        <w:tc>
          <w:tcPr>
            <w:tcW w:type="dxa" w:w="1276"/>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股票代码</w:t>
            </w:r>
          </w:p>
        </w:tc>
        <w:tc>
          <w:tcPr>
            <w:tcW w:type="dxa" w:w="1418"/>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股票名称</w:t>
            </w:r>
          </w:p>
        </w:tc>
        <w:tc>
          <w:tcPr>
            <w:tcW w:type="dxa" w:w="1701"/>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type="dxa" w:w="1984"/>
            <w:vAlign w:val="center"/>
          </w:tcPr>
          <w:p w:rsidP="005F7917"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type="dxa" w:w="1559"/>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300476</w:t>
            </w:r>
          </w:p>
        </w:tc>
        <w:tc>
          <w:tcPr>
            <w:vAlign w:val="center"/>
          </w:tcPr>
          <w:p>
            <w:pPr>
              <w:jc w:val="center"/>
            </w:pPr>
            <w:r>
              <w:rPr>
                <w:color w:val="000000"/>
                <w:kern w:val="0"/>
                <w:sz w:val="24"/>
                <w:szCs w:val="24"/>
              </w:rPr>
              <w:t>胜宏科技</w:t>
            </w:r>
          </w:p>
        </w:tc>
        <w:tc>
          <w:tcPr>
            <w:vAlign w:val="center"/>
          </w:tcPr>
          <w:p>
            <w:pPr>
              <w:jc w:val="right"/>
            </w:pPr>
            <w:r>
              <w:rPr>
                <w:color w:val="000000"/>
                <w:kern w:val="0"/>
                <w:sz w:val="24"/>
                <w:szCs w:val="24"/>
              </w:rPr>
              <w:t>17,900,000</w:t>
            </w:r>
          </w:p>
        </w:tc>
        <w:tc>
          <w:tcPr>
            <w:vAlign w:val="center"/>
          </w:tcPr>
          <w:p>
            <w:pPr>
              <w:jc w:val="right"/>
            </w:pPr>
            <w:r>
              <w:rPr>
                <w:color w:val="000000"/>
                <w:kern w:val="0"/>
                <w:sz w:val="24"/>
                <w:szCs w:val="24"/>
              </w:rPr>
              <w:t>363,549,000.00</w:t>
            </w:r>
          </w:p>
        </w:tc>
        <w:tc>
          <w:tcPr>
            <w:vAlign w:val="center"/>
          </w:tcPr>
          <w:p>
            <w:pPr>
              <w:jc w:val="right"/>
            </w:pPr>
            <w:r>
              <w:rPr>
                <w:color w:val="000000"/>
                <w:kern w:val="0"/>
                <w:sz w:val="24"/>
                <w:szCs w:val="24"/>
              </w:rPr>
              <w:t>7.48</w:t>
            </w:r>
          </w:p>
        </w:tc>
      </w:tr>
      <w:tr>
        <w:tc>
          <w:tcPr>
            <w:vAlign w:val="center"/>
          </w:tcPr>
          <w:p>
            <w:pPr>
              <w:jc w:val="center"/>
            </w:pPr>
            <w:r>
              <w:rPr>
                <w:color w:val="000000"/>
                <w:kern w:val="0"/>
                <w:sz w:val="24"/>
                <w:szCs w:val="24"/>
              </w:rPr>
              <w:t>2</w:t>
            </w:r>
          </w:p>
        </w:tc>
        <w:tc>
          <w:tcPr>
            <w:vAlign w:val="center"/>
          </w:tcPr>
          <w:p>
            <w:pPr>
              <w:jc w:val="center"/>
            </w:pPr>
            <w:r>
              <w:rPr>
                <w:color w:val="000000"/>
                <w:kern w:val="0"/>
                <w:sz w:val="24"/>
                <w:szCs w:val="24"/>
              </w:rPr>
              <w:t>000858</w:t>
            </w:r>
          </w:p>
        </w:tc>
        <w:tc>
          <w:tcPr>
            <w:vAlign w:val="center"/>
          </w:tcPr>
          <w:p>
            <w:pPr>
              <w:jc w:val="center"/>
            </w:pPr>
            <w:r>
              <w:rPr>
                <w:color w:val="000000"/>
                <w:kern w:val="0"/>
                <w:sz w:val="24"/>
                <w:szCs w:val="24"/>
              </w:rPr>
              <w:t>五粮液</w:t>
            </w:r>
          </w:p>
        </w:tc>
        <w:tc>
          <w:tcPr>
            <w:vAlign w:val="center"/>
          </w:tcPr>
          <w:p>
            <w:pPr>
              <w:jc w:val="right"/>
            </w:pPr>
            <w:r>
              <w:rPr>
                <w:color w:val="000000"/>
                <w:kern w:val="0"/>
                <w:sz w:val="24"/>
                <w:szCs w:val="24"/>
              </w:rPr>
              <w:t>1,143,625</w:t>
            </w:r>
          </w:p>
        </w:tc>
        <w:tc>
          <w:tcPr>
            <w:vAlign w:val="center"/>
          </w:tcPr>
          <w:p>
            <w:pPr>
              <w:jc w:val="right"/>
            </w:pPr>
            <w:r>
              <w:rPr>
                <w:color w:val="000000"/>
                <w:kern w:val="0"/>
                <w:sz w:val="24"/>
                <w:szCs w:val="24"/>
              </w:rPr>
              <w:t>252,741,125.00</w:t>
            </w:r>
          </w:p>
        </w:tc>
        <w:tc>
          <w:tcPr>
            <w:vAlign w:val="center"/>
          </w:tcPr>
          <w:p>
            <w:pPr>
              <w:jc w:val="right"/>
            </w:pPr>
            <w:r>
              <w:rPr>
                <w:color w:val="000000"/>
                <w:kern w:val="0"/>
                <w:sz w:val="24"/>
                <w:szCs w:val="24"/>
              </w:rPr>
              <w:t>5.20</w:t>
            </w:r>
          </w:p>
        </w:tc>
      </w:tr>
      <w:tr>
        <w:tc>
          <w:tcPr>
            <w:vAlign w:val="center"/>
          </w:tcPr>
          <w:p>
            <w:pPr>
              <w:jc w:val="center"/>
            </w:pPr>
            <w:r>
              <w:rPr>
                <w:color w:val="000000"/>
                <w:kern w:val="0"/>
                <w:sz w:val="24"/>
                <w:szCs w:val="24"/>
              </w:rPr>
              <w:t>3</w:t>
            </w:r>
          </w:p>
        </w:tc>
        <w:tc>
          <w:tcPr>
            <w:vAlign w:val="center"/>
          </w:tcPr>
          <w:p>
            <w:pPr>
              <w:jc w:val="center"/>
            </w:pPr>
            <w:r>
              <w:rPr>
                <w:color w:val="000000"/>
                <w:kern w:val="0"/>
                <w:sz w:val="24"/>
                <w:szCs w:val="24"/>
              </w:rPr>
              <w:t>600519</w:t>
            </w:r>
          </w:p>
        </w:tc>
        <w:tc>
          <w:tcPr>
            <w:vAlign w:val="center"/>
          </w:tcPr>
          <w:p>
            <w:pPr>
              <w:jc w:val="center"/>
            </w:pPr>
            <w:r>
              <w:rPr>
                <w:color w:val="000000"/>
                <w:kern w:val="0"/>
                <w:sz w:val="24"/>
                <w:szCs w:val="24"/>
              </w:rPr>
              <w:t>贵州茅台</w:t>
            </w:r>
          </w:p>
        </w:tc>
        <w:tc>
          <w:tcPr>
            <w:vAlign w:val="center"/>
          </w:tcPr>
          <w:p>
            <w:pPr>
              <w:jc w:val="right"/>
            </w:pPr>
            <w:r>
              <w:rPr>
                <w:color w:val="000000"/>
                <w:kern w:val="0"/>
                <w:sz w:val="24"/>
                <w:szCs w:val="24"/>
              </w:rPr>
              <w:t>116,992</w:t>
            </w:r>
          </w:p>
        </w:tc>
        <w:tc>
          <w:tcPr>
            <w:vAlign w:val="center"/>
          </w:tcPr>
          <w:p>
            <w:pPr>
              <w:jc w:val="right"/>
            </w:pPr>
            <w:r>
              <w:rPr>
                <w:color w:val="000000"/>
                <w:kern w:val="0"/>
                <w:sz w:val="24"/>
                <w:szCs w:val="24"/>
              </w:rPr>
              <w:t>195,201,152.00</w:t>
            </w:r>
          </w:p>
        </w:tc>
        <w:tc>
          <w:tcPr>
            <w:vAlign w:val="center"/>
          </w:tcPr>
          <w:p>
            <w:pPr>
              <w:jc w:val="right"/>
            </w:pPr>
            <w:r>
              <w:rPr>
                <w:color w:val="000000"/>
                <w:kern w:val="0"/>
                <w:sz w:val="24"/>
                <w:szCs w:val="24"/>
              </w:rPr>
              <w:t>4.02</w:t>
            </w:r>
          </w:p>
        </w:tc>
      </w:tr>
      <w:tr>
        <w:tc>
          <w:tcPr>
            <w:vAlign w:val="center"/>
          </w:tcPr>
          <w:p>
            <w:pPr>
              <w:jc w:val="center"/>
            </w:pPr>
            <w:r>
              <w:rPr>
                <w:color w:val="000000"/>
                <w:kern w:val="0"/>
                <w:sz w:val="24"/>
                <w:szCs w:val="24"/>
              </w:rPr>
              <w:t>4</w:t>
            </w:r>
          </w:p>
        </w:tc>
        <w:tc>
          <w:tcPr>
            <w:vAlign w:val="center"/>
          </w:tcPr>
          <w:p>
            <w:pPr>
              <w:jc w:val="center"/>
            </w:pPr>
            <w:r>
              <w:rPr>
                <w:color w:val="000000"/>
                <w:kern w:val="0"/>
                <w:sz w:val="24"/>
                <w:szCs w:val="24"/>
              </w:rPr>
              <w:t>300014</w:t>
            </w:r>
          </w:p>
        </w:tc>
        <w:tc>
          <w:tcPr>
            <w:vAlign w:val="center"/>
          </w:tcPr>
          <w:p>
            <w:pPr>
              <w:jc w:val="center"/>
            </w:pPr>
            <w:r>
              <w:rPr>
                <w:color w:val="000000"/>
                <w:kern w:val="0"/>
                <w:sz w:val="24"/>
                <w:szCs w:val="24"/>
              </w:rPr>
              <w:t>亿纬锂能</w:t>
            </w:r>
          </w:p>
        </w:tc>
        <w:tc>
          <w:tcPr>
            <w:vAlign w:val="center"/>
          </w:tcPr>
          <w:p>
            <w:pPr>
              <w:jc w:val="right"/>
            </w:pPr>
            <w:r>
              <w:rPr>
                <w:color w:val="000000"/>
                <w:kern w:val="0"/>
                <w:sz w:val="24"/>
                <w:szCs w:val="24"/>
              </w:rPr>
              <w:t>3,823,245</w:t>
            </w:r>
          </w:p>
        </w:tc>
        <w:tc>
          <w:tcPr>
            <w:vAlign w:val="center"/>
          </w:tcPr>
          <w:p>
            <w:pPr>
              <w:jc w:val="right"/>
            </w:pPr>
            <w:r>
              <w:rPr>
                <w:color w:val="000000"/>
                <w:kern w:val="0"/>
                <w:sz w:val="24"/>
                <w:szCs w:val="24"/>
              </w:rPr>
              <w:t>188,343,148.69</w:t>
            </w:r>
          </w:p>
        </w:tc>
        <w:tc>
          <w:tcPr>
            <w:vAlign w:val="center"/>
          </w:tcPr>
          <w:p>
            <w:pPr>
              <w:jc w:val="right"/>
            </w:pPr>
            <w:r>
              <w:rPr>
                <w:color w:val="000000"/>
                <w:kern w:val="0"/>
                <w:sz w:val="24"/>
                <w:szCs w:val="24"/>
              </w:rPr>
              <w:t>3.87</w:t>
            </w:r>
          </w:p>
        </w:tc>
      </w:tr>
      <w:tr>
        <w:tc>
          <w:tcPr>
            <w:vAlign w:val="center"/>
          </w:tcPr>
          <w:p>
            <w:pPr>
              <w:jc w:val="center"/>
            </w:pPr>
            <w:r>
              <w:rPr>
                <w:color w:val="000000"/>
                <w:kern w:val="0"/>
                <w:sz w:val="24"/>
                <w:szCs w:val="24"/>
              </w:rPr>
              <w:t>5</w:t>
            </w:r>
          </w:p>
        </w:tc>
        <w:tc>
          <w:tcPr>
            <w:vAlign w:val="center"/>
          </w:tcPr>
          <w:p>
            <w:pPr>
              <w:jc w:val="center"/>
            </w:pPr>
            <w:r>
              <w:rPr>
                <w:color w:val="000000"/>
                <w:kern w:val="0"/>
                <w:sz w:val="24"/>
                <w:szCs w:val="24"/>
              </w:rPr>
              <w:t>601888</w:t>
            </w:r>
          </w:p>
        </w:tc>
        <w:tc>
          <w:tcPr>
            <w:vAlign w:val="center"/>
          </w:tcPr>
          <w:p>
            <w:pPr>
              <w:jc w:val="center"/>
            </w:pPr>
            <w:r>
              <w:rPr>
                <w:color w:val="000000"/>
                <w:kern w:val="0"/>
                <w:sz w:val="24"/>
                <w:szCs w:val="24"/>
              </w:rPr>
              <w:t>中国中免</w:t>
            </w:r>
          </w:p>
        </w:tc>
        <w:tc>
          <w:tcPr>
            <w:vAlign w:val="center"/>
          </w:tcPr>
          <w:p>
            <w:pPr>
              <w:jc w:val="right"/>
            </w:pPr>
            <w:r>
              <w:rPr>
                <w:color w:val="000000"/>
                <w:kern w:val="0"/>
                <w:sz w:val="24"/>
                <w:szCs w:val="24"/>
              </w:rPr>
              <w:t>758,973</w:t>
            </w:r>
          </w:p>
        </w:tc>
        <w:tc>
          <w:tcPr>
            <w:vAlign w:val="center"/>
          </w:tcPr>
          <w:p>
            <w:pPr>
              <w:jc w:val="right"/>
            </w:pPr>
            <w:r>
              <w:rPr>
                <w:color w:val="000000"/>
                <w:kern w:val="0"/>
                <w:sz w:val="24"/>
                <w:szCs w:val="24"/>
              </w:rPr>
              <w:t>169,205,440.62</w:t>
            </w:r>
          </w:p>
        </w:tc>
        <w:tc>
          <w:tcPr>
            <w:vAlign w:val="center"/>
          </w:tcPr>
          <w:p>
            <w:pPr>
              <w:jc w:val="right"/>
            </w:pPr>
            <w:r>
              <w:rPr>
                <w:color w:val="000000"/>
                <w:kern w:val="0"/>
                <w:sz w:val="24"/>
                <w:szCs w:val="24"/>
              </w:rPr>
              <w:t>3.48</w:t>
            </w:r>
          </w:p>
        </w:tc>
      </w:tr>
      <w:tr>
        <w:tc>
          <w:tcPr>
            <w:vAlign w:val="center"/>
          </w:tcPr>
          <w:p>
            <w:pPr>
              <w:jc w:val="center"/>
            </w:pPr>
            <w:r>
              <w:rPr>
                <w:color w:val="000000"/>
                <w:kern w:val="0"/>
                <w:sz w:val="24"/>
                <w:szCs w:val="24"/>
              </w:rPr>
              <w:t>6</w:t>
            </w:r>
          </w:p>
        </w:tc>
        <w:tc>
          <w:tcPr>
            <w:vAlign w:val="center"/>
          </w:tcPr>
          <w:p>
            <w:pPr>
              <w:jc w:val="center"/>
            </w:pPr>
            <w:r>
              <w:rPr>
                <w:color w:val="000000"/>
                <w:kern w:val="0"/>
                <w:sz w:val="24"/>
                <w:szCs w:val="24"/>
              </w:rPr>
              <w:t>000403</w:t>
            </w:r>
          </w:p>
        </w:tc>
        <w:tc>
          <w:tcPr>
            <w:vAlign w:val="center"/>
          </w:tcPr>
          <w:p>
            <w:pPr>
              <w:jc w:val="center"/>
            </w:pPr>
            <w:r>
              <w:rPr>
                <w:color w:val="000000"/>
                <w:kern w:val="0"/>
                <w:sz w:val="24"/>
                <w:szCs w:val="24"/>
              </w:rPr>
              <w:t>双林生物</w:t>
            </w:r>
          </w:p>
        </w:tc>
        <w:tc>
          <w:tcPr>
            <w:vAlign w:val="center"/>
          </w:tcPr>
          <w:p>
            <w:pPr>
              <w:jc w:val="right"/>
            </w:pPr>
            <w:r>
              <w:rPr>
                <w:color w:val="000000"/>
                <w:kern w:val="0"/>
                <w:sz w:val="24"/>
                <w:szCs w:val="24"/>
              </w:rPr>
              <w:t>4,866,415</w:t>
            </w:r>
          </w:p>
        </w:tc>
        <w:tc>
          <w:tcPr>
            <w:vAlign w:val="center"/>
          </w:tcPr>
          <w:p>
            <w:pPr>
              <w:jc w:val="right"/>
            </w:pPr>
            <w:r>
              <w:rPr>
                <w:color w:val="000000"/>
                <w:kern w:val="0"/>
                <w:sz w:val="24"/>
                <w:szCs w:val="24"/>
              </w:rPr>
              <w:t>168,037,309.95</w:t>
            </w:r>
          </w:p>
        </w:tc>
        <w:tc>
          <w:tcPr>
            <w:vAlign w:val="center"/>
          </w:tcPr>
          <w:p>
            <w:pPr>
              <w:jc w:val="right"/>
            </w:pPr>
            <w:r>
              <w:rPr>
                <w:color w:val="000000"/>
                <w:kern w:val="0"/>
                <w:sz w:val="24"/>
                <w:szCs w:val="24"/>
              </w:rPr>
              <w:t>3.46</w:t>
            </w:r>
          </w:p>
        </w:tc>
      </w:tr>
      <w:tr>
        <w:tc>
          <w:tcPr>
            <w:vAlign w:val="center"/>
          </w:tcPr>
          <w:p>
            <w:pPr>
              <w:jc w:val="center"/>
            </w:pPr>
            <w:r>
              <w:rPr>
                <w:color w:val="000000"/>
                <w:kern w:val="0"/>
                <w:sz w:val="24"/>
                <w:szCs w:val="24"/>
              </w:rPr>
              <w:t>7</w:t>
            </w:r>
          </w:p>
        </w:tc>
        <w:tc>
          <w:tcPr>
            <w:vAlign w:val="center"/>
          </w:tcPr>
          <w:p>
            <w:pPr>
              <w:jc w:val="center"/>
            </w:pPr>
            <w:r>
              <w:rPr>
                <w:color w:val="000000"/>
                <w:kern w:val="0"/>
                <w:sz w:val="24"/>
                <w:szCs w:val="24"/>
              </w:rPr>
              <w:t>603520</w:t>
            </w:r>
          </w:p>
        </w:tc>
        <w:tc>
          <w:tcPr>
            <w:vAlign w:val="center"/>
          </w:tcPr>
          <w:p>
            <w:pPr>
              <w:jc w:val="center"/>
            </w:pPr>
            <w:r>
              <w:rPr>
                <w:color w:val="000000"/>
                <w:kern w:val="0"/>
                <w:sz w:val="24"/>
                <w:szCs w:val="24"/>
              </w:rPr>
              <w:t>司太立</w:t>
            </w:r>
          </w:p>
        </w:tc>
        <w:tc>
          <w:tcPr>
            <w:vAlign w:val="center"/>
          </w:tcPr>
          <w:p>
            <w:pPr>
              <w:jc w:val="right"/>
            </w:pPr>
            <w:r>
              <w:rPr>
                <w:color w:val="000000"/>
                <w:kern w:val="0"/>
                <w:sz w:val="24"/>
                <w:szCs w:val="24"/>
              </w:rPr>
              <w:t>2,020,114</w:t>
            </w:r>
          </w:p>
        </w:tc>
        <w:tc>
          <w:tcPr>
            <w:vAlign w:val="center"/>
          </w:tcPr>
          <w:p>
            <w:pPr>
              <w:jc w:val="right"/>
            </w:pPr>
            <w:r>
              <w:rPr>
                <w:color w:val="000000"/>
                <w:kern w:val="0"/>
                <w:sz w:val="24"/>
                <w:szCs w:val="24"/>
              </w:rPr>
              <w:t>159,811,218.54</w:t>
            </w:r>
          </w:p>
        </w:tc>
        <w:tc>
          <w:tcPr>
            <w:vAlign w:val="center"/>
          </w:tcPr>
          <w:p>
            <w:pPr>
              <w:jc w:val="right"/>
            </w:pPr>
            <w:r>
              <w:rPr>
                <w:color w:val="000000"/>
                <w:kern w:val="0"/>
                <w:sz w:val="24"/>
                <w:szCs w:val="24"/>
              </w:rPr>
              <w:t>3.29</w:t>
            </w:r>
          </w:p>
        </w:tc>
      </w:tr>
      <w:tr>
        <w:tc>
          <w:tcPr>
            <w:vAlign w:val="center"/>
          </w:tcPr>
          <w:p>
            <w:pPr>
              <w:jc w:val="center"/>
            </w:pPr>
            <w:r>
              <w:rPr>
                <w:color w:val="000000"/>
                <w:kern w:val="0"/>
                <w:sz w:val="24"/>
                <w:szCs w:val="24"/>
              </w:rPr>
              <w:t>8</w:t>
            </w:r>
          </w:p>
        </w:tc>
        <w:tc>
          <w:tcPr>
            <w:vAlign w:val="center"/>
          </w:tcPr>
          <w:p>
            <w:pPr>
              <w:jc w:val="center"/>
            </w:pPr>
            <w:r>
              <w:rPr>
                <w:color w:val="000000"/>
                <w:kern w:val="0"/>
                <w:sz w:val="24"/>
                <w:szCs w:val="24"/>
              </w:rPr>
              <w:t>600416</w:t>
            </w:r>
          </w:p>
        </w:tc>
        <w:tc>
          <w:tcPr>
            <w:vAlign w:val="center"/>
          </w:tcPr>
          <w:p>
            <w:pPr>
              <w:jc w:val="center"/>
            </w:pPr>
            <w:r>
              <w:rPr>
                <w:color w:val="000000"/>
                <w:kern w:val="0"/>
                <w:sz w:val="24"/>
                <w:szCs w:val="24"/>
              </w:rPr>
              <w:t>*ST湘电</w:t>
            </w:r>
          </w:p>
        </w:tc>
        <w:tc>
          <w:tcPr>
            <w:vAlign w:val="center"/>
          </w:tcPr>
          <w:p>
            <w:pPr>
              <w:jc w:val="right"/>
            </w:pPr>
            <w:r>
              <w:rPr>
                <w:color w:val="000000"/>
                <w:kern w:val="0"/>
                <w:sz w:val="24"/>
                <w:szCs w:val="24"/>
              </w:rPr>
              <w:t>8,541,039</w:t>
            </w:r>
          </w:p>
        </w:tc>
        <w:tc>
          <w:tcPr>
            <w:vAlign w:val="center"/>
          </w:tcPr>
          <w:p>
            <w:pPr>
              <w:jc w:val="right"/>
            </w:pPr>
            <w:r>
              <w:rPr>
                <w:color w:val="000000"/>
                <w:kern w:val="0"/>
                <w:sz w:val="24"/>
                <w:szCs w:val="24"/>
              </w:rPr>
              <w:t>152,115,904.59</w:t>
            </w:r>
          </w:p>
        </w:tc>
        <w:tc>
          <w:tcPr>
            <w:vAlign w:val="center"/>
          </w:tcPr>
          <w:p>
            <w:pPr>
              <w:jc w:val="right"/>
            </w:pPr>
            <w:r>
              <w:rPr>
                <w:color w:val="000000"/>
                <w:kern w:val="0"/>
                <w:sz w:val="24"/>
                <w:szCs w:val="24"/>
              </w:rPr>
              <w:t>3.13</w:t>
            </w:r>
          </w:p>
        </w:tc>
      </w:tr>
      <w:tr>
        <w:tc>
          <w:tcPr>
            <w:vAlign w:val="center"/>
          </w:tcPr>
          <w:p>
            <w:pPr>
              <w:jc w:val="center"/>
            </w:pPr>
            <w:r>
              <w:rPr>
                <w:color w:val="000000"/>
                <w:kern w:val="0"/>
                <w:sz w:val="24"/>
                <w:szCs w:val="24"/>
              </w:rPr>
              <w:t>9</w:t>
            </w:r>
          </w:p>
        </w:tc>
        <w:tc>
          <w:tcPr>
            <w:vAlign w:val="center"/>
          </w:tcPr>
          <w:p>
            <w:pPr>
              <w:jc w:val="center"/>
            </w:pPr>
            <w:r>
              <w:rPr>
                <w:color w:val="000000"/>
                <w:kern w:val="0"/>
                <w:sz w:val="24"/>
                <w:szCs w:val="24"/>
              </w:rPr>
              <w:t>600570</w:t>
            </w:r>
          </w:p>
        </w:tc>
        <w:tc>
          <w:tcPr>
            <w:vAlign w:val="center"/>
          </w:tcPr>
          <w:p>
            <w:pPr>
              <w:jc w:val="center"/>
            </w:pPr>
            <w:r>
              <w:rPr>
                <w:color w:val="000000"/>
                <w:kern w:val="0"/>
                <w:sz w:val="24"/>
                <w:szCs w:val="24"/>
              </w:rPr>
              <w:t>恒生电子</w:t>
            </w:r>
          </w:p>
        </w:tc>
        <w:tc>
          <w:tcPr>
            <w:vAlign w:val="center"/>
          </w:tcPr>
          <w:p>
            <w:pPr>
              <w:jc w:val="right"/>
            </w:pPr>
            <w:r>
              <w:rPr>
                <w:color w:val="000000"/>
                <w:kern w:val="0"/>
                <w:sz w:val="24"/>
                <w:szCs w:val="24"/>
              </w:rPr>
              <w:t>1,531,100</w:t>
            </w:r>
          </w:p>
        </w:tc>
        <w:tc>
          <w:tcPr>
            <w:vAlign w:val="center"/>
          </w:tcPr>
          <w:p>
            <w:pPr>
              <w:jc w:val="right"/>
            </w:pPr>
            <w:r>
              <w:rPr>
                <w:color w:val="000000"/>
                <w:kern w:val="0"/>
                <w:sz w:val="24"/>
                <w:szCs w:val="24"/>
              </w:rPr>
              <w:t>150,951,149.00</w:t>
            </w:r>
          </w:p>
        </w:tc>
        <w:tc>
          <w:tcPr>
            <w:vAlign w:val="center"/>
          </w:tcPr>
          <w:p>
            <w:pPr>
              <w:jc w:val="right"/>
            </w:pPr>
            <w:r>
              <w:rPr>
                <w:color w:val="000000"/>
                <w:kern w:val="0"/>
                <w:sz w:val="24"/>
                <w:szCs w:val="24"/>
              </w:rPr>
              <w:t>3.10</w:t>
            </w:r>
          </w:p>
        </w:tc>
      </w:tr>
      <w:tr>
        <w:tc>
          <w:tcPr>
            <w:vAlign w:val="center"/>
          </w:tcPr>
          <w:p>
            <w:pPr>
              <w:jc w:val="center"/>
            </w:pPr>
            <w:r>
              <w:rPr>
                <w:color w:val="000000"/>
                <w:kern w:val="0"/>
                <w:sz w:val="24"/>
                <w:szCs w:val="24"/>
              </w:rPr>
              <w:t>10</w:t>
            </w:r>
          </w:p>
        </w:tc>
        <w:tc>
          <w:tcPr>
            <w:vAlign w:val="center"/>
          </w:tcPr>
          <w:p>
            <w:pPr>
              <w:jc w:val="center"/>
            </w:pPr>
            <w:r>
              <w:rPr>
                <w:color w:val="000000"/>
                <w:kern w:val="0"/>
                <w:sz w:val="24"/>
                <w:szCs w:val="24"/>
              </w:rPr>
              <w:t>002013</w:t>
            </w:r>
          </w:p>
        </w:tc>
        <w:tc>
          <w:tcPr>
            <w:vAlign w:val="center"/>
          </w:tcPr>
          <w:p>
            <w:pPr>
              <w:jc w:val="center"/>
            </w:pPr>
            <w:r>
              <w:rPr>
                <w:color w:val="000000"/>
                <w:kern w:val="0"/>
                <w:sz w:val="24"/>
                <w:szCs w:val="24"/>
              </w:rPr>
              <w:t>中航机电</w:t>
            </w:r>
          </w:p>
        </w:tc>
        <w:tc>
          <w:tcPr>
            <w:vAlign w:val="center"/>
          </w:tcPr>
          <w:p>
            <w:pPr>
              <w:jc w:val="right"/>
            </w:pPr>
            <w:r>
              <w:rPr>
                <w:color w:val="000000"/>
                <w:kern w:val="0"/>
                <w:sz w:val="24"/>
                <w:szCs w:val="24"/>
              </w:rPr>
              <w:t>12,559,699</w:t>
            </w:r>
          </w:p>
        </w:tc>
        <w:tc>
          <w:tcPr>
            <w:vAlign w:val="center"/>
          </w:tcPr>
          <w:p>
            <w:pPr>
              <w:jc w:val="right"/>
            </w:pPr>
            <w:r>
              <w:rPr>
                <w:color w:val="000000"/>
                <w:kern w:val="0"/>
                <w:sz w:val="24"/>
                <w:szCs w:val="24"/>
              </w:rPr>
              <w:t>144,059,747.53</w:t>
            </w:r>
          </w:p>
        </w:tc>
        <w:tc>
          <w:tcPr>
            <w:vAlign w:val="center"/>
          </w:tcPr>
          <w:p>
            <w:pPr>
              <w:jc w:val="right"/>
            </w:pPr>
            <w:r>
              <w:rPr>
                <w:color w:val="000000"/>
                <w:kern w:val="0"/>
                <w:sz w:val="24"/>
                <w:szCs w:val="24"/>
              </w:rPr>
              <w:t>2.96</w:t>
            </w:r>
          </w:p>
        </w:tc>
      </w:tr>
    </w:tbl>
    <w:p w:rsidP="00CA4677" w:rsidR="00CA4677" w:rsidRDefault="00750D48" w:rsidRPr="00283CAD">
      <w:pPr>
        <w:autoSpaceDE w:val="0"/>
        <w:autoSpaceDN w:val="0"/>
        <w:adjustRightInd w:val="0"/>
        <w:spacing w:line="360" w:lineRule="auto"/>
        <w:jc w:val="left"/>
        <w:rPr>
          <w:rFonts w:eastAsiaTheme="minorEastAsia"/>
          <w:b/>
          <w:bCs/>
          <w:color w:themeColor="text1" w:val="000000"/>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p w:rsidP="00403A06" w:rsidR="00750D48" w:rsidRDefault="00CA4677" w:rsidRPr="00232B03">
      <w:pPr>
        <w:spacing w:line="360" w:lineRule="auto"/>
        <w:ind w:firstLine="480" w:firstLineChars="200"/>
        <w:rPr>
          <w:color w:val="000000"/>
          <w:sz w:val="24"/>
          <w:szCs w:val="24"/>
        </w:rPr>
      </w:pPr>
      <w:r w:rsidRPr="00403A06">
        <w:rPr>
          <w:color w:val="000000"/>
          <w:sz w:val="24"/>
          <w:szCs w:val="24"/>
        </w:rPr>
        <w:t/>
      </w:r>
      <w:proofErr w:type="spellStart"/>
      <w:r w:rsidRPr="00403A06">
        <w:rPr>
          <w:color w:val="000000"/>
          <w:sz w:val="24"/>
          <w:szCs w:val="24"/>
        </w:rPr>
        <w:t/>
      </w:r>
      <w:proofErr w:type="spellEnd"/>
      <w:r w:rsidRPr="00403A06">
        <w:rPr>
          <w:color w:val="000000"/>
          <w:sz w:val="24"/>
          <w:szCs w:val="24"/>
        </w:rPr>
        <w:t/>
      </w:r>
      <w:proofErr w:type="spellStart"/>
      <w:r w:rsidRPr="00403A06">
        <w:rPr>
          <w:color w:val="000000"/>
          <w:sz w:val="24"/>
          <w:szCs w:val="24"/>
        </w:rPr>
        <w:t/>
      </w:r>
      <w:proofErr w:type="spellEnd"/>
      <w:r w:rsidRPr="00403A06">
        <w:rPr>
          <w:color w:val="000000"/>
          <w:sz w:val="24"/>
          <w:szCs w:val="24"/>
        </w:rPr>
        <w:t>本基金本报告期末未持有债券。</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本基金本报告期末未持有债券。</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w:t>
      </w:r>
      <w:r w:rsidRPr="00264E55">
        <w:rPr>
          <w:rFonts w:ascii="宋体" w:hAnsi="宋体" w:hint="eastAsia"/>
          <w:b/>
          <w:bCs/>
          <w:color w:val="000000"/>
          <w:kern w:val="0"/>
          <w:sz w:val="24"/>
          <w:szCs w:val="24"/>
        </w:rPr>
        <w:lastRenderedPageBreak/>
        <w:t>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本基金本报告期末未持有资产支持证券。</w:t>
      </w:r>
    </w:p>
    <w:p w:rsidP="001D63BB" w:rsidR="00750D48" w:rsidRDefault="00750D48" w:rsidRPr="001D63BB">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r w:rsidRPr="001B0A62">
        <w:rPr>
          <w:rFonts w:ascii="宋体" w:hAnsi="宋体"/>
          <w:b/>
          <w:bCs/>
          <w:color w:val="000000"/>
          <w:kern w:val="0"/>
          <w:sz w:val="24"/>
          <w:szCs w:val="24"/>
        </w:rPr>
        <w:t>5</w:t>
      </w:r>
      <w:proofErr w:type="gramStart"/>
      <w:r w:rsidRPr="001B0A62">
        <w:rPr>
          <w:rFonts w:ascii="宋体" w:hAnsi="宋体"/>
          <w:b/>
          <w:bCs/>
          <w:color w:val="000000"/>
          <w:kern w:val="0"/>
          <w:sz w:val="24"/>
          <w:szCs w:val="24"/>
        </w:rPr>
        <w:t>.</w:t>
      </w:r>
      <w:proofErr w:type="gramEnd"/>
      <w:r w:rsidRPr="001B0A62">
        <w:rPr>
          <w:rFonts w:ascii="宋体" w:hAnsi="宋体"/>
          <w:b/>
          <w:bCs/>
          <w:color w:val="000000"/>
          <w:kern w:val="0"/>
          <w:sz w:val="24"/>
          <w:szCs w:val="24"/>
        </w:rPr>
        <w:t/>
      </w:r>
      <w:r>
        <w:rPr>
          <w:rFonts w:ascii="宋体" w:hAnsi="宋体"/>
          <w:b/>
          <w:bCs/>
          <w:color w:val="000000"/>
          <w:kern w:val="0"/>
          <w:sz w:val="24"/>
          <w:szCs w:val="24"/>
        </w:rPr>
        <w:t/>
      </w:r>
      <w:r w:rsidRPr="001B0A62">
        <w:rPr>
          <w:rFonts w:ascii="宋体"/>
          <w:b/>
          <w:bCs/>
          <w:color w:val="000000"/>
          <w:kern w:val="0"/>
          <w:sz w:val="24"/>
          <w:szCs w:val="24"/>
        </w:rPr>
        <w:t>7</w:t>
      </w:r>
      <w:r w:rsidR="00C84CB0">
        <w:rPr>
          <w:rFonts w:ascii="宋体" w:hint="eastAsia"/>
          <w:b/>
          <w:bCs/>
          <w:color w:val="000000"/>
          <w:kern w:val="0"/>
          <w:sz w:val="24"/>
          <w:szCs w:val="24"/>
        </w:rPr>
        <w:t xml:space="preserve"> </w:t>
      </w:r>
      <w:r w:rsidRPr="001D63BB">
        <w:rPr>
          <w:rFonts w:ascii="宋体" w:hAnsi="宋体" w:hint="eastAsia"/>
          <w:b/>
          <w:bCs/>
          <w:color w:val="000000"/>
          <w:kern w:val="0"/>
          <w:sz w:val="24"/>
          <w:szCs w:val="24"/>
        </w:rPr>
        <w:t>报告期末按公允价值占基金资产净值比例大小排序的前五名贵金属投资明细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本基金本报告期末未持有贵金属。</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Pr>
          <w:rFonts w:ascii="宋体"/>
          <w:b/>
          <w:bCs/>
          <w:color w:val="000000"/>
          <w:kern w:val="0"/>
          <w:sz w:val="24"/>
          <w:szCs w:val="24"/>
        </w:rPr>
        <w:t/>
      </w:r>
      <w:proofErr w:type="gramStart"/>
      <w:r>
        <w:rPr>
          <w:rFonts w:ascii="宋体" w:hAnsi="宋体"/>
          <w:b/>
          <w:bCs/>
          <w:color w:val="000000"/>
          <w:kern w:val="0"/>
          <w:sz w:val="24"/>
          <w:szCs w:val="24"/>
        </w:rPr>
        <w:t/>
      </w:r>
      <w:proofErr w:type="gramEnd"/>
      <w:r w:rsidRPr="001B0A62">
        <w:rPr>
          <w:rFonts w:ascii="宋体"/>
          <w:b/>
          <w:bCs/>
          <w:color w:val="000000"/>
          <w:kern w:val="0"/>
          <w:sz w:val="24"/>
          <w:szCs w:val="24"/>
        </w:rPr>
        <w:t>5.</w:t>
      </w:r>
      <w:r w:rsidRPr="001B0A62">
        <w:rPr>
          <w:rFonts w:ascii="宋体" w:hAnsi="宋体"/>
          <w:b/>
          <w:bCs/>
          <w:color w:val="000000"/>
          <w:kern w:val="0"/>
          <w:sz w:val="24"/>
          <w:szCs w:val="24"/>
        </w:rPr>
        <w:t/>
      </w:r>
      <w:r>
        <w:rPr>
          <w:rFonts w:ascii="宋体" w:hAnsi="宋体"/>
          <w:b/>
          <w:bCs/>
          <w:color w:val="000000"/>
          <w:kern w:val="0"/>
          <w:sz w:val="24"/>
          <w:szCs w:val="24"/>
        </w:rPr>
        <w:t/>
      </w:r>
      <w:r w:rsidRPr="001B0A62">
        <w:rPr>
          <w:rFonts w:ascii="宋体"/>
          <w:b/>
          <w:bCs/>
          <w:color w:val="000000"/>
          <w:kern w:val="0"/>
          <w:sz w:val="24"/>
          <w:szCs w:val="24"/>
        </w:rPr>
        <w:t>8</w:t>
      </w:r>
      <w:r w:rsidR="00C84CB0">
        <w:rPr>
          <w:rFonts w:ascii="宋体" w:hint="eastAsia"/>
          <w:b/>
          <w:bCs/>
          <w:color w:val="000000"/>
          <w:kern w:val="0"/>
          <w:sz w:val="24"/>
          <w:szCs w:val="24"/>
        </w:rPr>
        <w:t xml:space="preserve">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w:t>
      </w:r>
      <w:r w:rsidRPr="00264E55">
        <w:rPr>
          <w:rFonts w:ascii="宋体" w:hAnsi="宋体" w:hint="eastAsia"/>
          <w:b/>
          <w:bCs/>
          <w:color w:val="000000"/>
          <w:kern w:val="0"/>
          <w:sz w:val="24"/>
          <w:szCs w:val="24"/>
        </w:rPr>
        <w:lastRenderedPageBreak/>
        <w:t>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本基金本报告期末未持有权证。</w:t>
      </w:r>
    </w:p>
    <w:p w:rsidP="001B0A62" w:rsidR="00750D48" w:rsidRDefault="00750D48" w:rsidRPr="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w:r>
      <w:proofErr w:type="gramStart"/>
      <w:r w:rsidRPr="001B0A62">
        <w:rPr>
          <w:rFonts w:ascii="宋体" w:hAnsi="宋体"/>
          <w:b/>
          <w:bCs/>
          <w:color w:val="000000"/>
          <w:kern w:val="0"/>
          <w:sz w:val="24"/>
          <w:szCs w:val="24"/>
        </w:rPr>
        <w:t/>
      </w:r>
      <w:proofErr w:type="gramEnd"/>
      <w:r w:rsidRPr="001B0A62">
        <w:rPr>
          <w:rFonts w:ascii="宋体" w:hAnsi="宋体"/>
          <w:b/>
          <w:bCs/>
          <w:color w:val="000000"/>
          <w:kern w:val="0"/>
          <w:sz w:val="24"/>
          <w:szCs w:val="24"/>
        </w:rPr>
        <w:t>5</w:t>
      </w:r>
      <w:r>
        <w:rPr>
          <w:rFonts w:ascii="宋体"/>
          <w:b/>
          <w:bCs/>
          <w:color w:val="000000"/>
          <w:kern w:val="0"/>
          <w:sz w:val="24"/>
          <w:szCs w:val="24"/>
        </w:rPr>
        <w:t>.</w:t>
      </w:r>
      <w:r>
        <w:rPr>
          <w:rFonts w:ascii="宋体" w:hAnsi="宋体"/>
          <w:b/>
          <w:bCs/>
          <w:color w:val="000000"/>
          <w:kern w:val="0"/>
          <w:sz w:val="24"/>
          <w:szCs w:val="24"/>
        </w:rPr>
        <w:t/>
      </w:r>
      <w:r w:rsidRPr="001B0A62">
        <w:rPr>
          <w:rFonts w:ascii="宋体"/>
          <w:b/>
          <w:bCs/>
          <w:color w:val="000000"/>
          <w:kern w:val="0"/>
          <w:sz w:val="24"/>
          <w:szCs w:val="24"/>
        </w:rPr>
        <w:t>9</w:t>
      </w:r>
      <w:r w:rsidR="00C84CB0">
        <w:rPr>
          <w:rFonts w:ascii="宋体" w:hint="eastAsia"/>
          <w:b/>
          <w:bCs/>
          <w:color w:val="000000"/>
          <w:kern w:val="0"/>
          <w:sz w:val="24"/>
          <w:szCs w:val="24"/>
        </w:rPr>
        <w:t xml:space="preserve"> </w:t>
      </w:r>
      <w:r w:rsidRPr="001B0A62">
        <w:rPr>
          <w:rFonts w:ascii="宋体" w:hAnsi="宋体" w:hint="eastAsia"/>
          <w:b/>
          <w:bCs/>
          <w:color w:val="000000"/>
          <w:kern w:val="0"/>
          <w:sz w:val="24"/>
          <w:szCs w:val="24"/>
        </w:rPr>
        <w:t>报告期末本基金投资的股指期货交易情况说明</w:t>
      </w:r>
    </w:p>
    <w:p w:rsidP="00277FAE" w:rsidR="00277FAE" w:rsidRDefault="00277FAE">
      <w:pPr>
        <w:spacing w:line="360" w:lineRule="auto"/>
        <w:ind w:firstLine="480" w:firstLineChars="200"/>
        <w:rPr>
          <w:rFonts w:eastAsiaTheme="minorEastAsia"/>
          <w:color w:themeColor="text1" w:val="000000"/>
          <w:sz w:val="24"/>
        </w:rPr>
      </w:pPr>
      <w:r>
        <w:rPr>
          <w:color w:val="000000"/>
          <w:sz w:val="24"/>
        </w:rPr>
        <w:t/>
      </w:r>
      <w:proofErr w:type="spellStart"/>
      <w:r>
        <w:rPr>
          <w:color w:val="000000"/>
          <w:sz w:val="24"/>
        </w:rPr>
        <w:t/>
      </w:r>
      <w:proofErr w:type="spellEnd"/>
      <w:r>
        <w:rPr>
          <w:color w:val="000000"/>
          <w:sz w:val="24"/>
        </w:rPr>
        <w:t/>
      </w:r>
      <w:proofErr w:type="spellStart"/>
      <w:r>
        <w:rPr>
          <w:color w:val="000000"/>
          <w:sz w:val="24"/>
        </w:rPr>
        <w:t/>
      </w:r>
      <w:r>
        <w:rPr>
          <w:rFonts w:eastAsiaTheme="minorEastAsia"/>
          <w:color w:themeColor="text1" w:val="000000"/>
          <w:sz w:val="24"/>
        </w:rPr>
        <w:t/>
      </w:r>
      <w:proofErr w:type="spellEnd"/>
      <w:r>
        <w:rPr>
          <w:rFonts w:eastAsiaTheme="minorEastAsia"/>
          <w:color w:themeColor="text1" w:val="000000"/>
          <w:sz w:val="24"/>
        </w:rPr>
        <w:t>本基金本报告期末未投资股指期货。</w:t>
      </w:r>
    </w:p>
    <w:p w:rsidP="001B0A62" w:rsidR="00750D48" w:rsidRDefault="00750D48" w:rsidRPr="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w:r>
      <w:proofErr w:type="gramStart"/>
      <w:r w:rsidRPr="001B0A62">
        <w:rPr>
          <w:rFonts w:ascii="宋体" w:hAnsi="宋体"/>
          <w:b/>
          <w:bCs/>
          <w:color w:val="000000"/>
          <w:kern w:val="0"/>
          <w:sz w:val="24"/>
          <w:szCs w:val="24"/>
        </w:rPr>
        <w:t/>
      </w:r>
      <w:proofErr w:type="gramEnd"/>
      <w:r w:rsidRPr="001B0A62">
        <w:rPr>
          <w:rFonts w:ascii="宋体" w:hAnsi="宋体"/>
          <w:b/>
          <w:bCs/>
          <w:color w:val="000000"/>
          <w:kern w:val="0"/>
          <w:sz w:val="24"/>
          <w:szCs w:val="24"/>
        </w:rPr>
        <w:t>5.10</w:t>
      </w:r>
      <w:r w:rsidR="00C84CB0">
        <w:rPr>
          <w:rFonts w:ascii="宋体" w:hAnsi="宋体" w:hint="eastAsia"/>
          <w:b/>
          <w:bCs/>
          <w:color w:val="000000"/>
          <w:kern w:val="0"/>
          <w:sz w:val="24"/>
          <w:szCs w:val="24"/>
        </w:rPr>
        <w:t xml:space="preserve"> </w:t>
      </w:r>
      <w:r w:rsidRPr="001B0A62">
        <w:rPr>
          <w:rFonts w:ascii="宋体" w:hAnsi="宋体" w:hint="eastAsia"/>
          <w:b/>
          <w:bCs/>
          <w:color w:val="000000"/>
          <w:kern w:val="0"/>
          <w:sz w:val="24"/>
          <w:szCs w:val="24"/>
        </w:rPr>
        <w:t>报告期末本基金投资的国债期货交易情况说明</w:t>
      </w:r>
    </w:p>
    <w:p w:rsidP="00277FAE" w:rsidR="00277FAE" w:rsidRDefault="00277FAE">
      <w:pPr>
        <w:spacing w:line="360" w:lineRule="auto"/>
        <w:ind w:firstLine="480" w:firstLineChars="200"/>
      </w:pPr>
      <w:r>
        <w:rPr>
          <w:color w:val="000000"/>
          <w:sz w:val="24"/>
        </w:rPr>
        <w:t/>
      </w:r>
      <w:proofErr w:type="spellStart"/>
      <w:r>
        <w:rPr>
          <w:color w:val="000000"/>
          <w:sz w:val="24"/>
        </w:rPr>
        <w:t/>
      </w:r>
      <w:proofErr w:type="spellEnd"/>
      <w:r>
        <w:rPr>
          <w:color w:val="000000"/>
          <w:sz w:val="24"/>
        </w:rPr>
        <w:t/>
      </w:r>
      <w:proofErr w:type="spellStart"/>
      <w:r>
        <w:rPr>
          <w:color w:val="000000"/>
          <w:sz w:val="24"/>
        </w:rPr>
        <w:t/>
      </w:r>
      <w:proofErr w:type="spellEnd"/>
      <w:r>
        <w:rPr>
          <w:color w:val="000000"/>
          <w:sz w:val="24"/>
        </w:rPr>
        <w:t>本基金本报告期末未投资国债期货。</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proofErr w:type="gramStart"/>
      <w:r w:rsidRPr="00264E55">
        <w:rPr>
          <w:rFonts w:ascii="宋体" w:hAnsi="宋体"/>
          <w:b/>
          <w:bCs/>
          <w:color w:val="000000"/>
          <w:kern w:val="0"/>
          <w:sz w:val="24"/>
          <w:szCs w:val="24"/>
        </w:rPr>
        <w:t/>
      </w:r>
      <w:proofErr w:type="gramEnd"/>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P="001B0A62" w:rsidR="00750D48" w:rsidRDefault="002C5960" w:rsidRPr="00264E55">
      <w:pPr>
        <w:spacing w:line="360" w:lineRule="auto"/>
        <w:rPr>
          <w:rFonts w:ascii="宋体" w:hAnsi="宋体"/>
          <w:color w:val="000000"/>
          <w:sz w:val="24"/>
          <w:szCs w:val="24"/>
        </w:rPr>
      </w:pPr>
      <w:r>
        <w:rPr>
          <w:rFonts w:hint="eastAsia"/>
          <w:color w:val="000000"/>
          <w:sz w:val="24"/>
        </w:rPr>
        <w:t/>
      </w:r>
      <w:r w:rsidR="00750D48" w:rsidRPr="00264E55">
        <w:rPr>
          <w:rFonts w:ascii="宋体"/>
          <w:color w:val="000000"/>
          <w:sz w:val="24"/>
          <w:szCs w:val="24"/>
        </w:rPr>
        <w:t/>
      </w:r>
      <w:r w:rsidR="00750D48" w:rsidRPr="00264E55">
        <w:rPr>
          <w:rFonts w:ascii="宋体" w:hAnsi="宋体"/>
          <w:color w:val="000000"/>
          <w:sz w:val="24"/>
          <w:szCs w:val="24"/>
        </w:rPr>
        <w:t>5.11.1</w:t>
      </w:r>
      <w:r w:rsidR="00065E3C">
        <w:rPr>
          <w:rFonts w:ascii="宋体" w:hAnsi="宋体" w:hint="eastAsia"/>
          <w:color w:val="000000"/>
          <w:sz w:val="24"/>
          <w:szCs w:val="24"/>
        </w:rPr>
        <w:t xml:space="preserve"> </w:t>
      </w:r>
      <w:r w:rsidR="00750D48" w:rsidRPr="00264E55">
        <w:rPr>
          <w:rFonts w:ascii="宋体" w:hAnsi="宋体"/>
          <w:color w:val="000000"/>
          <w:sz w:val="24"/>
          <w:szCs w:val="24"/>
        </w:rPr>
        <w:t>本基金投资的前十名证券的发行主体本期没有出现被监管部门立案调查，或在报告编制日前一年内受到公开谴责、处罚的情形。</w:t>
      </w:r>
    </w:p>
    <w:p w:rsidP="001B0A62" w:rsidR="00750D48" w:rsidRDefault="002C5960" w:rsidRPr="00264E55">
      <w:pPr>
        <w:spacing w:line="360" w:lineRule="auto"/>
        <w:rPr>
          <w:rFonts w:ascii="宋体" w:hAnsi="宋体"/>
          <w:color w:val="000000"/>
          <w:sz w:val="24"/>
          <w:szCs w:val="24"/>
        </w:rPr>
      </w:pPr>
      <w:r w:rsidRPr="00773B02">
        <w:rPr>
          <w:rFonts w:asciiTheme="majorEastAsia" w:eastAsiaTheme="majorEastAsia" w:hAnsiTheme="majorEastAsia" w:hint="eastAsia"/>
          <w:color w:val="000000"/>
          <w:sz w:val="24"/>
        </w:rPr>
        <w:t/>
      </w:r>
      <w:proofErr w:type="spellStart"/>
      <w:r w:rsidRPr="00773B02">
        <w:rPr>
          <w:rFonts w:asciiTheme="majorEastAsia" w:eastAsiaTheme="majorEastAsia" w:hAnsiTheme="majorEastAsia" w:hint="eastAsia"/>
          <w:color w:val="000000"/>
          <w:sz w:val="24"/>
        </w:rPr>
        <w:t/>
      </w:r>
      <w:proofErr w:type="spellEnd"/>
      <w:r w:rsidRPr="00773B02">
        <w:rPr>
          <w:rFonts w:asciiTheme="majorEastAsia" w:eastAsiaTheme="majorEastAsia" w:hAnsiTheme="majorEastAsia" w:hint="eastAsia"/>
          <w:color w:val="000000"/>
          <w:sz w:val="24"/>
        </w:rPr>
        <w:t/>
      </w:r>
      <w:r w:rsidR="00750D48" w:rsidRPr="00773B02">
        <w:rPr>
          <w:rFonts w:asciiTheme="majorEastAsia" w:eastAsiaTheme="majorEastAsia" w:hAnsiTheme="majorEastAsia"/>
          <w:color w:val="000000"/>
          <w:sz w:val="24"/>
          <w:szCs w:val="24"/>
        </w:rPr>
        <w:t/>
      </w:r>
      <w:proofErr w:type="gramStart"/>
      <w:r w:rsidR="00750D48" w:rsidRPr="00773B02">
        <w:rPr>
          <w:rFonts w:asciiTheme="majorEastAsia" w:eastAsiaTheme="majorEastAsia" w:hAnsiTheme="majorEastAsia"/>
          <w:color w:val="000000"/>
          <w:sz w:val="24"/>
          <w:szCs w:val="24"/>
        </w:rPr>
        <w:t/>
      </w:r>
      <w:proofErr w:type="gramEnd"/>
      <w:r w:rsidR="00750D48" w:rsidRPr="00773B02">
        <w:rPr>
          <w:rFonts w:asciiTheme="majorEastAsia" w:eastAsiaTheme="majorEastAsia" w:hAnsiTheme="majorEastAsia"/>
          <w:color w:val="000000"/>
          <w:sz w:val="24"/>
          <w:szCs w:val="24"/>
        </w:rPr>
        <w:t>5.11.2</w:t>
      </w:r>
      <w:r w:rsidR="00065E3C" w:rsidRPr="00773B02">
        <w:rPr>
          <w:rFonts w:asciiTheme="majorEastAsia" w:eastAsiaTheme="majorEastAsia" w:hAnsiTheme="majorEastAsia" w:hint="eastAsia"/>
          <w:color w:val="000000"/>
          <w:sz w:val="24"/>
          <w:szCs w:val="24"/>
        </w:rPr>
        <w:t xml:space="preserve"> </w:t>
      </w:r>
      <w:r w:rsidR="00750D48" w:rsidRPr="00264E55">
        <w:rPr>
          <w:rFonts w:ascii="宋体" w:hAnsi="宋体"/>
          <w:color w:val="000000"/>
          <w:sz w:val="24"/>
          <w:szCs w:val="24"/>
        </w:rPr>
        <w:lastRenderedPageBreak/>
        <w:t>本基金投资的前十名股票没有超出基金合同规定的备选股票库。</w:t>
      </w:r>
    </w:p>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 xml:space="preserve">5.11.3 </w:t>
      </w:r>
      <w:r w:rsidR="00B371D4">
        <w:rPr>
          <w:rFonts w:ascii="宋体" w:hAnsi="宋体" w:hint="eastAsia"/>
          <w:bCs/>
          <w:color w:val="000000"/>
          <w:kern w:val="0"/>
          <w:sz w:val="24"/>
          <w:szCs w:val="24"/>
        </w:rPr>
        <w:t>其他</w:t>
      </w:r>
      <w:r w:rsidRPr="001C7E00">
        <w:rPr>
          <w:rFonts w:ascii="宋体" w:hAnsi="宋体" w:hint="eastAsia"/>
          <w:bCs/>
          <w:color w:val="000000"/>
          <w:kern w:val="0"/>
          <w:sz w:val="24"/>
          <w:szCs w:val="24"/>
        </w:rPr>
        <w:t>资产构成</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235"/>
        <w:gridCol w:w="2470"/>
        <w:gridCol w:w="4808"/>
      </w:tblGrid>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type="dxa" w:w="2470"/>
            <w:vAlign w:val="center"/>
          </w:tcPr>
          <w:p w:rsidP="00B05049"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type="dxa" w:w="4808"/>
            <w:vAlign w:val="center"/>
          </w:tcPr>
          <w:p w:rsidP="005F7917"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1,403,186.62</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154,029.42</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1,558,642.36</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3,115,858.40</w:t>
            </w:r>
          </w:p>
        </w:tc>
      </w:tr>
    </w:tbl>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本基金本报告期末未持有处于转股期的可转换债券。</w:t>
      </w:r>
    </w:p>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083"/>
        <w:gridCol w:w="1302"/>
        <w:gridCol w:w="1301"/>
        <w:gridCol w:w="1805"/>
        <w:gridCol w:w="1655"/>
        <w:gridCol w:w="1367"/>
      </w:tblGrid>
      <w:tr w:rsidR="00750D48" w:rsidRPr="00264E55" w:rsidTr="00B05049">
        <w:tc>
          <w:tcPr>
            <w:tcW w:type="dxa" w:w="1083"/>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序号</w:t>
            </w:r>
          </w:p>
        </w:tc>
        <w:tc>
          <w:tcPr>
            <w:tcW w:type="dxa" w:w="1302"/>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股票代码</w:t>
            </w:r>
          </w:p>
        </w:tc>
        <w:tc>
          <w:tcPr>
            <w:tcW w:type="dxa" w:w="1301"/>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股票名称</w:t>
            </w:r>
          </w:p>
        </w:tc>
        <w:tc>
          <w:tcPr>
            <w:tcW w:type="dxa" w:w="1805"/>
            <w:vAlign w:val="center"/>
          </w:tcPr>
          <w:p w:rsidP="005F7917"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流通受限部分</w:t>
            </w:r>
            <w:r w:rsidRPr="00B227EA">
              <w:rPr>
                <w:color w:val="000000"/>
                <w:kern w:val="0"/>
                <w:sz w:val="24"/>
                <w:szCs w:val="24"/>
              </w:rPr>
              <w:lastRenderedPageBreak/>
              <w:t>的公允价值</w:t>
            </w:r>
            <w:r w:rsidR="005F7917" w:rsidRPr="00B227EA">
              <w:rPr>
                <w:color w:val="000000"/>
                <w:kern w:val="0"/>
                <w:sz w:val="24"/>
                <w:szCs w:val="24"/>
              </w:rPr>
              <w:t>（元）</w:t>
            </w:r>
          </w:p>
        </w:tc>
        <w:tc>
          <w:tcPr>
            <w:tcW w:type="dxa" w:w="1655"/>
            <w:vAlign w:val="center"/>
          </w:tcPr>
          <w:p w:rsidP="005F7917"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lastRenderedPageBreak/>
              <w:t>占基金资产</w:t>
            </w:r>
            <w:r w:rsidRPr="00B227EA">
              <w:rPr>
                <w:color w:val="000000"/>
                <w:kern w:val="0"/>
                <w:sz w:val="24"/>
                <w:szCs w:val="24"/>
              </w:rPr>
              <w:lastRenderedPageBreak/>
              <w:t>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c>
          <w:tcPr>
            <w:tcW w:type="dxa" w:w="1367"/>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lastRenderedPageBreak/>
              <w:t>流通受限</w:t>
            </w:r>
            <w:r w:rsidRPr="00B227EA">
              <w:rPr>
                <w:color w:val="000000"/>
                <w:kern w:val="0"/>
                <w:sz w:val="24"/>
                <w:szCs w:val="24"/>
              </w:rPr>
              <w:lastRenderedPageBreak/>
              <w:t>情况说明</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300014</w:t>
            </w:r>
          </w:p>
        </w:tc>
        <w:tc>
          <w:tcPr>
            <w:vAlign w:val="center"/>
          </w:tcPr>
          <w:p>
            <w:pPr>
              <w:jc w:val="center"/>
            </w:pPr>
            <w:r>
              <w:rPr>
                <w:color w:val="000000"/>
                <w:kern w:val="0"/>
                <w:sz w:val="24"/>
                <w:szCs w:val="24"/>
              </w:rPr>
              <w:t>亿纬锂能</w:t>
            </w:r>
          </w:p>
        </w:tc>
        <w:tc>
          <w:tcPr>
            <w:vAlign w:val="center"/>
          </w:tcPr>
          <w:p>
            <w:pPr>
              <w:jc w:val="right"/>
            </w:pPr>
            <w:r>
              <w:rPr>
                <w:color w:val="000000"/>
                <w:kern w:val="0"/>
                <w:sz w:val="24"/>
                <w:szCs w:val="24"/>
              </w:rPr>
              <w:t>19,793,074.69</w:t>
            </w:r>
          </w:p>
        </w:tc>
        <w:tc>
          <w:tcPr>
            <w:vAlign w:val="center"/>
          </w:tcPr>
          <w:p>
            <w:pPr>
              <w:jc w:val="right"/>
            </w:pPr>
            <w:r>
              <w:rPr>
                <w:color w:val="000000"/>
                <w:kern w:val="0"/>
                <w:sz w:val="24"/>
                <w:szCs w:val="24"/>
              </w:rPr>
              <w:t>0.41</w:t>
            </w:r>
          </w:p>
        </w:tc>
        <w:tc>
          <w:tcPr>
            <w:vAlign w:val="center"/>
          </w:tcPr>
          <w:p>
            <w:pPr>
              <w:jc w:val="right"/>
            </w:pPr>
            <w:r>
              <w:rPr>
                <w:color w:val="000000"/>
                <w:kern w:val="0"/>
                <w:sz w:val="24"/>
                <w:szCs w:val="24"/>
              </w:rPr>
              <w:t>大宗交易流通受限</w:t>
            </w:r>
          </w:p>
        </w:tc>
      </w:tr>
    </w:tbl>
    <w:p w:rsidP="00232B03" w:rsidR="00750D48" w:rsidRDefault="00750D48" w:rsidRPr="00232B03">
      <w:pPr>
        <w:spacing w:line="360" w:lineRule="auto"/>
        <w:ind w:firstLine="480" w:firstLineChars="200"/>
        <w:rPr>
          <w:color w:val="000000"/>
          <w:sz w:val="24"/>
          <w:szCs w:val="24"/>
        </w:rPr>
      </w:pPr>
      <w:r w:rsidRPr="006C56AA">
        <w:rPr>
          <w:color w:val="000000"/>
          <w:sz w:val="24"/>
          <w:szCs w:val="24"/>
        </w:rPr>
        <w:t>注：根据《深圳/上海证券交易所上市公司股东及董事、监事、高级管理人员减持股份实施细则》，大股东减持或者特定股东减持，采取大宗交易方式的，在任意连续90日内，减持股份的总数不得超过公司股份总数的2%；前款交易的受让方在受让后6个月内，不得转让所受让的股份。</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P="004061AC" w:rsidR="00750D48" w:rsidRDefault="00750D48" w:rsidRPr="00264E55">
      <w:pPr>
        <w:autoSpaceDE w:val="0"/>
        <w:autoSpaceDN w:val="0"/>
        <w:adjustRightInd w:val="0"/>
        <w:spacing w:before="29" w:line="360" w:lineRule="auto"/>
        <w:ind w:left="15"/>
        <w:jc w:val="right"/>
        <w:rPr>
          <w:rFonts w:ascii="宋体"/>
          <w:color w:val="000000"/>
          <w:kern w:val="0"/>
          <w:sz w:val="24"/>
          <w:szCs w:val="24"/>
        </w:rPr>
      </w:pPr>
      <w:r w:rsidRPr="00264E55">
        <w:rPr>
          <w:rFonts w:ascii="宋体" w:cs="宋体" w:hAnsi="宋体" w:hint="eastAsia"/>
          <w:color w:val="000000"/>
          <w:kern w:val="0"/>
          <w:sz w:val="24"/>
          <w:szCs w:val="24"/>
        </w:rPr>
        <w:t>单位：份</w:t>
      </w:r>
    </w:p>
    <w:tbl>
      <w:tblPr>
        <w:tblW w:type="auto" w:w="0"/>
        <w:tblInd w:type="dxa" w:w="-106"/>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4609"/>
        <w:gridCol w:w="4025"/>
      </w:tblGrid>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3,382,076,358.11</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基金总申购份额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301,365,093.67</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w:t>
            </w: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基金总赎回份额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704,987,186.93</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lastRenderedPageBreak/>
              <w:t>报告期期末基金份额总额</w:t>
            </w:r>
          </w:p>
        </w:tc>
        <w:tc>
          <w:tcPr>
            <w:tcW w:type="dxa" w:w="4025"/>
            <w:vAlign w:val="center"/>
          </w:tcPr>
          <w:p w:rsidP="000A2B53"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2,978,454,264.85</w:t>
            </w:r>
          </w:p>
        </w:tc>
      </w:tr>
    </w:tbl>
    <w:p w:rsidP="004D28A3" w:rsidR="00750D48" w:rsidRDefault="00750D48">
      <w:pPr>
        <w:pStyle w:val="1"/>
        <w:tabs>
          <w:tab w:pos="4156" w:val="center"/>
          <w:tab w:pos="8312" w:val="right"/>
        </w:tabs>
        <w:spacing w:after="312" w:afterLines="100" w:before="312" w:beforeLines="100" w:line="360" w:lineRule="auto"/>
        <w:jc w:val="center"/>
        <w:rPr>
          <w:rFonts w:ascii="方正仿宋简体"/>
          <w:sz w:val="24"/>
          <w:szCs w:val="24"/>
        </w:rPr>
      </w:pPr>
      <w:r>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 xml:space="preserve">7  </w:t>
      </w:r>
      <w:r>
        <w:rPr>
          <w:rFonts w:ascii="方正仿宋简体" w:hint="eastAsia"/>
          <w:sz w:val="24"/>
          <w:szCs w:val="24"/>
        </w:rPr>
        <w:t>基金管理人运用固有资金投资本基金情况</w:t>
      </w:r>
    </w:p>
    <w:p w:rsidP="00EB374A" w:rsidR="00750D48" w:rsidRDefault="00750D48">
      <w:pPr>
        <w:spacing w:line="360" w:lineRule="auto"/>
        <w:jc w:val="left"/>
        <w:rPr>
          <w:sz w:val="24"/>
          <w:szCs w:val="24"/>
        </w:rPr>
      </w:pPr>
      <w:r>
        <w:rPr>
          <w:b/>
          <w:sz w:val="24"/>
        </w:rPr>
        <w:t/>
      </w:r>
      <w:proofErr w:type="spellStart"/>
      <w:r>
        <w:rPr>
          <w:b/>
          <w:sz w:val="24"/>
        </w:rPr>
        <w:t/>
      </w:r>
      <w:proofErr w:type="spellEnd"/>
      <w:r>
        <w:rPr>
          <w:b/>
          <w:sz w:val="24"/>
        </w:rPr>
        <w:t xml:space="preserve">7.1 </w:t>
      </w:r>
      <w:r>
        <w:rPr>
          <w:rFonts w:hint="eastAsia"/>
          <w:b/>
          <w:sz w:val="24"/>
        </w:rPr>
        <w:t>基金管理人持有本基金份额变动情况</w:t>
      </w:r>
    </w:p>
    <w:p w:rsidP="00232B03" w:rsidR="00750D48" w:rsidRDefault="00AC11B0" w:rsidRPr="00232B03">
      <w:pPr>
        <w:spacing w:line="360" w:lineRule="auto"/>
        <w:ind w:firstLine="480" w:firstLineChars="200"/>
        <w:rPr>
          <w:color w:val="000000"/>
          <w:sz w:val="24"/>
          <w:szCs w:val="24"/>
        </w:rPr>
      </w:pPr>
      <w:r w:rsidRPr="00403A06">
        <w:rPr>
          <w:color w:val="000000"/>
          <w:sz w:val="24"/>
          <w:szCs w:val="24"/>
        </w:rPr>
        <w:t/>
      </w:r>
      <w:proofErr w:type="spellStart"/>
      <w:r w:rsidRPr="00403A06">
        <w:rPr>
          <w:color w:val="000000"/>
          <w:sz w:val="24"/>
          <w:szCs w:val="24"/>
        </w:rPr>
        <w:t/>
      </w:r>
      <w:proofErr w:type="spellEnd"/>
      <w:r w:rsidRPr="00403A06">
        <w:rPr>
          <w:color w:val="000000"/>
          <w:sz w:val="24"/>
          <w:szCs w:val="24"/>
        </w:rPr>
        <w:t>本报告期内基金管理人未持有本基金份额。</w:t>
      </w:r>
    </w:p>
    <w:p w:rsidP="00EB374A" w:rsidR="00750D48" w:rsidRDefault="00750D48">
      <w:pPr>
        <w:spacing w:line="360" w:lineRule="auto"/>
        <w:jc w:val="left"/>
        <w:rPr>
          <w:sz w:val="24"/>
        </w:rPr>
      </w:pPr>
      <w:r>
        <w:rPr>
          <w:b/>
          <w:sz w:val="24"/>
        </w:rPr>
        <w:t/>
      </w:r>
      <w:proofErr w:type="spellStart"/>
      <w:r>
        <w:rPr>
          <w:b/>
          <w:sz w:val="24"/>
        </w:rPr>
        <w:t/>
      </w:r>
      <w:proofErr w:type="spellEnd"/>
      <w:r>
        <w:rPr>
          <w:b/>
          <w:sz w:val="24"/>
        </w:rPr>
        <w:t xml:space="preserve">7.2 </w:t>
      </w:r>
      <w:r>
        <w:rPr>
          <w:rFonts w:hint="eastAsia"/>
          <w:b/>
          <w:sz w:val="24"/>
        </w:rPr>
        <w:t>基金管理人运用固有资金投资本基金交易明细</w:t>
      </w:r>
    </w:p>
    <w:p w:rsidP="006C56AA"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本报告期内基金管理人未运用固有资金申购、赎回、买卖本基金份额。</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color w:val="000000"/>
          <w:kern w:val="0"/>
          <w:sz w:val="24"/>
          <w:szCs w:val="24"/>
        </w:rPr>
        <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pPr>
        <w:spacing w:line="360" w:lineRule="auto"/>
        <w:ind w:firstLine="480" w:firstLineChars="200"/>
        <w:rPr>
          <w:color w:val="000000"/>
          <w:sz w:val="24"/>
          <w:szCs w:val="24"/>
        </w:rPr>
      </w:pPr>
      <w:r>
        <w:rPr>
          <w:color w:val="000000"/>
          <w:sz w:val="24"/>
          <w:szCs w:val="24"/>
        </w:rPr>
        <w:t>1.中国证监会《关于核准科讯证券投资基金基金份额持有人大会决议的批复》（证监基金字[2007]330号）；</w:t>
      </w:r>
    </w:p>
    <w:p>
      <w:pPr>
        <w:spacing w:line="360" w:lineRule="auto"/>
        <w:ind w:firstLine="480" w:firstLineChars="200"/>
        <w:rPr>
          <w:color w:val="000000"/>
          <w:sz w:val="24"/>
          <w:szCs w:val="24"/>
        </w:rPr>
      </w:pPr>
      <w:r>
        <w:rPr>
          <w:color w:val="000000"/>
          <w:sz w:val="24"/>
          <w:szCs w:val="24"/>
        </w:rPr>
        <w:t>2.《易方达科讯混合型证券投资基金基金合同》；</w:t>
      </w:r>
    </w:p>
    <w:p>
      <w:pPr>
        <w:spacing w:line="360" w:lineRule="auto"/>
        <w:ind w:firstLine="480" w:firstLineChars="200"/>
        <w:rPr>
          <w:color w:val="000000"/>
          <w:sz w:val="24"/>
          <w:szCs w:val="24"/>
        </w:rPr>
      </w:pPr>
      <w:r>
        <w:rPr>
          <w:color w:val="000000"/>
          <w:sz w:val="24"/>
          <w:szCs w:val="24"/>
        </w:rPr>
        <w:t>3.《易方达科讯混合型证券投资基金托管协议》；</w:t>
      </w:r>
    </w:p>
    <w:p>
      <w:pPr>
        <w:spacing w:line="360" w:lineRule="auto"/>
        <w:ind w:firstLine="480" w:firstLineChars="200"/>
        <w:rPr>
          <w:color w:val="000000"/>
          <w:sz w:val="24"/>
          <w:szCs w:val="24"/>
        </w:rPr>
      </w:pPr>
      <w:r>
        <w:rPr>
          <w:color w:val="000000"/>
          <w:sz w:val="24"/>
          <w:szCs w:val="24"/>
        </w:rPr>
        <w:t>4.《易方达基金管理有限公司开放式基金业务规则》；</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5.基金管理人业务资格批件和营业执照。</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lastRenderedPageBreak/>
        <w:t/>
      </w:r>
      <w:proofErr w:type="spellStart"/>
      <w:r w:rsidRPr="006C56AA">
        <w:rPr>
          <w:color w:val="000000"/>
          <w:sz w:val="24"/>
          <w:szCs w:val="24"/>
        </w:rPr>
        <w:t/>
      </w:r>
      <w:proofErr w:type="spellEnd"/>
      <w:r w:rsidRPr="006C56AA">
        <w:rPr>
          <w:color w:val="000000"/>
          <w:sz w:val="24"/>
          <w:szCs w:val="24"/>
        </w:rPr>
        <w:t>广州市天河区珠江新城珠江东路30号广州银行大厦40-43楼。</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P="00EB572F"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投资者可在营业时间免费查阅，也可按工本费购买复印件。</w:t>
      </w: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C71497" w:rsidR="00750D48" w:rsidRDefault="00750D48" w:rsidRPr="00264E55">
      <w:pPr>
        <w:spacing w:line="360" w:lineRule="auto"/>
        <w:jc w:val="right"/>
        <w:rPr>
          <w:rFonts w:ascii="宋体" w:hAnsi="宋体"/>
          <w:b/>
          <w:bCs/>
          <w:sz w:val="24"/>
          <w:szCs w:val="24"/>
        </w:rPr>
      </w:pPr>
      <w:r w:rsidRPr="00264E55">
        <w:rPr>
          <w:rFonts w:ascii="宋体"/>
          <w:b/>
          <w:bCs/>
          <w:sz w:val="24"/>
          <w:szCs w:val="24"/>
        </w:rPr>
        <w:t/>
      </w:r>
      <w:proofErr w:type="spellStart"/>
      <w:r w:rsidRPr="00264E55">
        <w:rPr>
          <w:rFonts w:ascii="宋体" w:hAnsi="宋体"/>
          <w:b/>
          <w:bCs/>
          <w:sz w:val="24"/>
          <w:szCs w:val="24"/>
        </w:rPr>
        <w:t/>
      </w:r>
      <w:proofErr w:type="spellEnd"/>
      <w:r w:rsidRPr="00264E55">
        <w:rPr>
          <w:rFonts w:ascii="宋体" w:hAnsi="宋体"/>
          <w:b/>
          <w:bCs/>
          <w:sz w:val="24"/>
          <w:szCs w:val="24"/>
        </w:rPr>
        <w:t>易方达基金管理有限公司</w:t>
      </w:r>
    </w:p>
    <w:p w:rsidP="00191817" w:rsidR="00750D48" w:rsidRDefault="00750D48" w:rsidRPr="00191817">
      <w:pPr>
        <w:spacing w:line="360" w:lineRule="auto"/>
        <w:jc w:val="right"/>
        <w:rPr>
          <w:rFonts w:ascii="宋体" w:hAnsi="宋体"/>
          <w:b/>
          <w:bCs/>
          <w:sz w:val="24"/>
          <w:szCs w:val="24"/>
        </w:rPr>
      </w:pPr>
      <w:r w:rsidRPr="00264E55">
        <w:rPr>
          <w:rFonts w:ascii="宋体" w:hAnsi="宋体"/>
          <w:b/>
          <w:bCs/>
          <w:sz w:val="24"/>
          <w:szCs w:val="24"/>
        </w:rPr>
        <w:t/>
      </w:r>
      <w:proofErr w:type="spellStart"/>
      <w:r w:rsidRPr="00264E55">
        <w:rPr>
          <w:rFonts w:ascii="宋体" w:hAnsi="宋体"/>
          <w:b/>
          <w:bCs/>
          <w:sz w:val="24"/>
          <w:szCs w:val="24"/>
        </w:rPr>
        <w:t/>
      </w:r>
      <w:proofErr w:type="spellEnd"/>
      <w:r w:rsidRPr="00264E55">
        <w:rPr>
          <w:rFonts w:ascii="宋体" w:hAnsi="宋体"/>
          <w:b/>
          <w:bCs/>
          <w:sz w:val="24"/>
          <w:szCs w:val="24"/>
        </w:rPr>
        <w:t>二〇二〇年十月二十八日</w:t>
      </w:r>
    </w:p>
    <w:sectPr w:rsidR="00750D48" w:rsidRPr="00191817" w:rsidSect="00304A12">
      <w:footerReference r:id="rId12" w:type="default"/>
      <w:pgSz w:code="9"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00" w:rsidRDefault="008E0E00" w:rsidP="00876D65">
      <w:r>
        <w:separator/>
      </w:r>
    </w:p>
  </w:endnote>
  <w:endnote w:type="continuationSeparator" w:id="0">
    <w:p w:rsidR="008E0E00" w:rsidRDefault="008E0E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EF56B5" w:rsidR="003328D9" w:rsidRDefault="003328D9">
    <w:pPr>
      <w:pStyle w:val="a6"/>
      <w:framePr w:hAnchor="margin" w:vAnchor="text" w:wrap="auto"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D33A8">
      <w:rPr>
        <w:rStyle w:val="a7"/>
        <w:noProof/>
      </w:rPr>
      <w:t>1</w:t>
    </w:r>
    <w:r>
      <w:rPr>
        <w:rStyle w:val="a7"/>
      </w:rPr>
      <w:fldChar w:fldCharType="end"/>
    </w:r>
    <w:proofErr w:type="gramStart"/>
    <w:r>
      <w:rPr>
        <w:rStyle w:val="a7"/>
        <w:rFonts w:hint="eastAsia"/>
      </w:rPr>
      <w:t>页共</w:t>
    </w:r>
    <w:proofErr w:type="gramEnd"/>
    <w:r w:rsidR="00764C38">
      <w:fldChar w:fldCharType="begin"/>
    </w:r>
    <w:r w:rsidR="00764C38">
      <w:instrText xml:space="preserve"> NUMPAGES  \* Arabic  \* MERGEFORMAT </w:instrText>
    </w:r>
    <w:r w:rsidR="00764C38">
      <w:fldChar w:fldCharType="separate"/>
    </w:r>
    <w:r w:rsidR="000D33A8" w:rsidRPr="000D33A8">
      <w:rPr>
        <w:rStyle w:val="a7"/>
        <w:noProof/>
      </w:rPr>
      <w:t>28</w:t>
    </w:r>
    <w:r w:rsidR="00764C38">
      <w:rPr>
        <w:rStyle w:val="a7"/>
        <w:noProof/>
      </w:rPr>
      <w:fldChar w:fldCharType="end"/>
    </w:r>
    <w:r>
      <w:rPr>
        <w:rStyle w:val="a7"/>
        <w:rFonts w:hint="eastAsia"/>
      </w:rPr>
      <w:t>页</w:t>
    </w:r>
  </w:p>
  <w:p w:rsidP="00EF56B5" w:rsidR="003328D9" w:rsidRDefault="003328D9" w:rsidRPr="00EF56B5">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3328D9" w:rsidRDefault="003328D9">
    <w:pPr>
      <w:pStyle w:val="a6"/>
      <w:framePr w:hAnchor="margin" w:vAnchor="text" w:wrap="auto"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D33A8">
      <w:rPr>
        <w:rStyle w:val="a7"/>
        <w:noProof/>
      </w:rPr>
      <w:t>6</w:t>
    </w:r>
    <w:r>
      <w:rPr>
        <w:rStyle w:val="a7"/>
      </w:rPr>
      <w:fldChar w:fldCharType="end"/>
    </w:r>
    <w:proofErr w:type="gramStart"/>
    <w:r>
      <w:rPr>
        <w:rStyle w:val="a7"/>
        <w:rFonts w:hint="eastAsia"/>
      </w:rPr>
      <w:t>页共</w:t>
    </w:r>
    <w:proofErr w:type="gramEnd"/>
    <w:fldSimple w:instr=" NUMPAGES  \* Arabic  \* MERGEFORMAT ">
      <w:r w:rsidR="000D33A8" w:rsidRPr="000D33A8">
        <w:rPr>
          <w:rStyle w:val="a7"/>
          <w:noProof/>
        </w:rPr>
        <w:t>28</w:t>
      </w:r>
    </w:fldSimple>
    <w:r>
      <w:rPr>
        <w:rStyle w:val="a7"/>
        <w:rFonts w:hint="eastAsia"/>
      </w:rPr>
      <w:t>页</w:t>
    </w:r>
  </w:p>
  <w:p w:rsidR="003328D9" w:rsidRDefault="003328D9">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P="00876D65" w:rsidR="008E0E00" w:rsidRDefault="008E0E00">
      <w:r>
        <w:separator/>
      </w:r>
    </w:p>
  </w:footnote>
  <w:footnote w:id="0" w:type="continuationSeparator">
    <w:p w:rsidP="00876D65" w:rsidR="008E0E00" w:rsidRDefault="008E0E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090A26" w:rsidR="003328D9" w:rsidRDefault="003328D9" w:rsidRPr="00093704">
    <w:pPr>
      <w:pStyle w:val="a9"/>
      <w:pBdr>
        <w:bottom w:color="auto" w:space="0" w:sz="6" w:val="single"/>
      </w:pBdr>
      <w:jc w:val="right"/>
    </w:pPr>
    <w:r w:rsidRPr="00093704">
      <w:t/>
    </w:r>
    <w:proofErr w:type="spellStart"/>
    <w:proofErr w:type="gramStart"/>
    <w:r w:rsidRPr="00093704">
      <w:t/>
    </w:r>
    <w:proofErr w:type="spellEnd"/>
    <w:proofErr w:type="gramEnd"/>
    <w:r w:rsidRPr="00093704">
      <w:t>易方达科讯混合型证券投资基金</w:t>
    </w:r>
    <w:proofErr w:type="spellStart"/>
    <w:r w:rsidRPr="00093704">
      <w:t/>
    </w:r>
    <w:proofErr w:type="spellEnd"/>
    <w:r w:rsidRPr="00093704">
      <w:t>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hAnsi="Wingdings" w:hint="default"/>
      </w:rPr>
    </w:lvl>
    <w:lvl w:ilvl="2" w:tplc="04090005">
      <w:start w:val="1"/>
      <w:numFmt w:val="bullet"/>
      <w:lvlText w:val=""/>
      <w:lvlJc w:val="left"/>
      <w:pPr>
        <w:tabs>
          <w:tab w:pos="1680" w:val="num"/>
        </w:tabs>
        <w:ind w:hanging="420" w:left="1680"/>
      </w:pPr>
      <w:rPr>
        <w:rFonts w:ascii="Wingdings" w:hAnsi="Wingdings" w:hint="default"/>
      </w:rPr>
    </w:lvl>
    <w:lvl w:ilvl="3" w:tplc="04090001">
      <w:start w:val="1"/>
      <w:numFmt w:val="bullet"/>
      <w:lvlText w:val=""/>
      <w:lvlJc w:val="left"/>
      <w:pPr>
        <w:tabs>
          <w:tab w:pos="2100" w:val="num"/>
        </w:tabs>
        <w:ind w:hanging="420" w:left="2100"/>
      </w:pPr>
      <w:rPr>
        <w:rFonts w:ascii="Wingdings" w:hAnsi="Wingdings" w:hint="default"/>
      </w:rPr>
    </w:lvl>
    <w:lvl w:ilvl="4" w:tplc="04090003">
      <w:start w:val="1"/>
      <w:numFmt w:val="bullet"/>
      <w:lvlText w:val=""/>
      <w:lvlJc w:val="left"/>
      <w:pPr>
        <w:tabs>
          <w:tab w:pos="2520" w:val="num"/>
        </w:tabs>
        <w:ind w:hanging="420" w:left="2520"/>
      </w:pPr>
      <w:rPr>
        <w:rFonts w:ascii="Wingdings" w:hAnsi="Wingdings" w:hint="default"/>
      </w:rPr>
    </w:lvl>
    <w:lvl w:ilvl="5" w:tplc="04090005">
      <w:start w:val="1"/>
      <w:numFmt w:val="bullet"/>
      <w:lvlText w:val=""/>
      <w:lvlJc w:val="left"/>
      <w:pPr>
        <w:tabs>
          <w:tab w:pos="2940" w:val="num"/>
        </w:tabs>
        <w:ind w:hanging="420" w:left="2940"/>
      </w:pPr>
      <w:rPr>
        <w:rFonts w:ascii="Wingdings" w:hAnsi="Wingdings" w:hint="default"/>
      </w:rPr>
    </w:lvl>
    <w:lvl w:ilvl="6" w:tplc="04090001">
      <w:start w:val="1"/>
      <w:numFmt w:val="bullet"/>
      <w:lvlText w:val=""/>
      <w:lvlJc w:val="left"/>
      <w:pPr>
        <w:tabs>
          <w:tab w:pos="3360" w:val="num"/>
        </w:tabs>
        <w:ind w:hanging="420" w:left="3360"/>
      </w:pPr>
      <w:rPr>
        <w:rFonts w:ascii="Wingdings" w:hAnsi="Wingdings" w:hint="default"/>
      </w:rPr>
    </w:lvl>
    <w:lvl w:ilvl="7" w:tplc="04090003">
      <w:start w:val="1"/>
      <w:numFmt w:val="bullet"/>
      <w:lvlText w:val=""/>
      <w:lvlJc w:val="left"/>
      <w:pPr>
        <w:tabs>
          <w:tab w:pos="3780" w:val="num"/>
        </w:tabs>
        <w:ind w:hanging="420" w:left="3780"/>
      </w:pPr>
      <w:rPr>
        <w:rFonts w:ascii="Wingdings" w:hAnsi="Wingdings" w:hint="default"/>
      </w:rPr>
    </w:lvl>
    <w:lvl w:ilvl="8" w:tplc="04090005">
      <w:start w:val="1"/>
      <w:numFmt w:val="bullet"/>
      <w:lvlText w:val=""/>
      <w:lvlJc w:val="left"/>
      <w:pPr>
        <w:tabs>
          <w:tab w:pos="4200" w:val="num"/>
        </w:tabs>
        <w:ind w:hanging="420" w:left="420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szCs w:val="24"/>
      </w:rPr>
    </w:lvl>
    <w:lvl w:ilvl="1" w:tplc="04090019">
      <w:start w:val="1"/>
      <w:numFmt w:val="lowerLetter"/>
      <w:lvlText w:val="%2)"/>
      <w:lvlJc w:val="left"/>
      <w:pPr>
        <w:tabs>
          <w:tab w:pos="1320" w:val="num"/>
        </w:tabs>
        <w:ind w:hanging="420" w:left="1320"/>
      </w:pPr>
      <w:rPr>
        <w:rFonts w:cs="Times New Roman"/>
      </w:rPr>
    </w:lvl>
    <w:lvl w:ilvl="2" w:tplc="0409001B">
      <w:start w:val="1"/>
      <w:numFmt w:val="lowerRoman"/>
      <w:lvlText w:val="%3."/>
      <w:lvlJc w:val="right"/>
      <w:pPr>
        <w:tabs>
          <w:tab w:pos="1740" w:val="num"/>
        </w:tabs>
        <w:ind w:hanging="420" w:left="1740"/>
      </w:pPr>
      <w:rPr>
        <w:rFonts w:cs="Times New Roman"/>
      </w:rPr>
    </w:lvl>
    <w:lvl w:ilvl="3" w:tplc="0409000F">
      <w:start w:val="1"/>
      <w:numFmt w:val="decimal"/>
      <w:lvlText w:val="%4."/>
      <w:lvlJc w:val="left"/>
      <w:pPr>
        <w:tabs>
          <w:tab w:pos="2160" w:val="num"/>
        </w:tabs>
        <w:ind w:hanging="420" w:left="2160"/>
      </w:pPr>
      <w:rPr>
        <w:rFonts w:cs="Times New Roman"/>
      </w:rPr>
    </w:lvl>
    <w:lvl w:ilvl="4" w:tplc="04090019">
      <w:start w:val="1"/>
      <w:numFmt w:val="lowerLetter"/>
      <w:lvlText w:val="%5)"/>
      <w:lvlJc w:val="left"/>
      <w:pPr>
        <w:tabs>
          <w:tab w:pos="2580" w:val="num"/>
        </w:tabs>
        <w:ind w:hanging="420" w:left="2580"/>
      </w:pPr>
      <w:rPr>
        <w:rFonts w:cs="Times New Roman"/>
      </w:rPr>
    </w:lvl>
    <w:lvl w:ilvl="5" w:tplc="0409001B">
      <w:start w:val="1"/>
      <w:numFmt w:val="lowerRoman"/>
      <w:lvlText w:val="%6."/>
      <w:lvlJc w:val="right"/>
      <w:pPr>
        <w:tabs>
          <w:tab w:pos="3000" w:val="num"/>
        </w:tabs>
        <w:ind w:hanging="420" w:left="3000"/>
      </w:pPr>
      <w:rPr>
        <w:rFonts w:cs="Times New Roman"/>
      </w:rPr>
    </w:lvl>
    <w:lvl w:ilvl="6" w:tplc="0409000F">
      <w:start w:val="1"/>
      <w:numFmt w:val="decimal"/>
      <w:lvlText w:val="%7."/>
      <w:lvlJc w:val="left"/>
      <w:pPr>
        <w:tabs>
          <w:tab w:pos="3420" w:val="num"/>
        </w:tabs>
        <w:ind w:hanging="420" w:left="3420"/>
      </w:pPr>
      <w:rPr>
        <w:rFonts w:cs="Times New Roman"/>
      </w:rPr>
    </w:lvl>
    <w:lvl w:ilvl="7" w:tplc="04090019">
      <w:start w:val="1"/>
      <w:numFmt w:val="lowerLetter"/>
      <w:lvlText w:val="%8)"/>
      <w:lvlJc w:val="left"/>
      <w:pPr>
        <w:tabs>
          <w:tab w:pos="3840" w:val="num"/>
        </w:tabs>
        <w:ind w:hanging="420" w:left="3840"/>
      </w:pPr>
      <w:rPr>
        <w:rFonts w:cs="Times New Roman"/>
      </w:rPr>
    </w:lvl>
    <w:lvl w:ilvl="8" w:tplc="0409001B">
      <w:start w:val="1"/>
      <w:numFmt w:val="lowerRoman"/>
      <w:lvlText w:val="%9."/>
      <w:lvlJc w:val="right"/>
      <w:pPr>
        <w:tabs>
          <w:tab w:pos="4260" w:val="num"/>
        </w:tabs>
        <w:ind w:hanging="420" w:left="426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plc="0409000F">
      <w:start w:val="1"/>
      <w:numFmt w:val="decimal"/>
      <w:lvlText w:val="%4."/>
      <w:lvlJc w:val="left"/>
      <w:pPr>
        <w:tabs>
          <w:tab w:pos="1680" w:val="num"/>
        </w:tabs>
        <w:ind w:hanging="420" w:left="1680"/>
      </w:pPr>
      <w:rPr>
        <w:rFonts w:cs="Times New Roman"/>
      </w:rPr>
    </w:lvl>
    <w:lvl w:ilvl="4" w:tplc="04090019">
      <w:start w:val="1"/>
      <w:numFmt w:val="lowerLetter"/>
      <w:lvlText w:val="%5)"/>
      <w:lvlJc w:val="left"/>
      <w:pPr>
        <w:tabs>
          <w:tab w:pos="2100" w:val="num"/>
        </w:tabs>
        <w:ind w:hanging="420" w:left="2100"/>
      </w:pPr>
      <w:rPr>
        <w:rFonts w:cs="Times New Roman"/>
      </w:rPr>
    </w:lvl>
    <w:lvl w:ilvl="5" w:tplc="0409001B">
      <w:start w:val="1"/>
      <w:numFmt w:val="lowerRoman"/>
      <w:lvlText w:val="%6."/>
      <w:lvlJc w:val="right"/>
      <w:pPr>
        <w:tabs>
          <w:tab w:pos="2520" w:val="num"/>
        </w:tabs>
        <w:ind w:hanging="420" w:left="2520"/>
      </w:pPr>
      <w:rPr>
        <w:rFonts w:cs="Times New Roman"/>
      </w:rPr>
    </w:lvl>
    <w:lvl w:ilvl="6" w:tplc="0409000F">
      <w:start w:val="1"/>
      <w:numFmt w:val="decimal"/>
      <w:lvlText w:val="%7."/>
      <w:lvlJc w:val="left"/>
      <w:pPr>
        <w:tabs>
          <w:tab w:pos="2940" w:val="num"/>
        </w:tabs>
        <w:ind w:hanging="420" w:left="2940"/>
      </w:pPr>
      <w:rPr>
        <w:rFonts w:cs="Times New Roman"/>
      </w:rPr>
    </w:lvl>
    <w:lvl w:ilvl="7" w:tplc="04090019">
      <w:start w:val="1"/>
      <w:numFmt w:val="lowerLetter"/>
      <w:lvlText w:val="%8)"/>
      <w:lvlJc w:val="left"/>
      <w:pPr>
        <w:tabs>
          <w:tab w:pos="3360" w:val="num"/>
        </w:tabs>
        <w:ind w:hanging="420" w:left="3360"/>
      </w:pPr>
      <w:rPr>
        <w:rFonts w:cs="Times New Roman"/>
      </w:rPr>
    </w:lvl>
    <w:lvl w:ilvl="8" w:tplc="0409001B">
      <w:start w:val="1"/>
      <w:numFmt w:val="lowerRoman"/>
      <w:lvlText w:val="%9."/>
      <w:lvlJc w:val="right"/>
      <w:pPr>
        <w:tabs>
          <w:tab w:pos="3780" w:val="num"/>
        </w:tabs>
        <w:ind w:hanging="420" w:left="378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bordersDoNotSurroundHeader/>
  <w:bordersDoNotSurroundFooter/>
  <w:proofState w:grammar="clean"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018BC"/>
    <w:rsid w:val="00007D64"/>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3A8"/>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11CB"/>
    <w:rsid w:val="00213821"/>
    <w:rsid w:val="00215133"/>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06390"/>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5535"/>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0AB6"/>
    <w:rsid w:val="007125DB"/>
    <w:rsid w:val="00717B71"/>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73B02"/>
    <w:rsid w:val="00780186"/>
    <w:rsid w:val="0078089C"/>
    <w:rsid w:val="00787D16"/>
    <w:rsid w:val="00796CA8"/>
    <w:rsid w:val="00797305"/>
    <w:rsid w:val="007B035B"/>
    <w:rsid w:val="007B4C04"/>
    <w:rsid w:val="007B5AFB"/>
    <w:rsid w:val="007C1B9B"/>
    <w:rsid w:val="007C54B1"/>
    <w:rsid w:val="007C5862"/>
    <w:rsid w:val="007C7EC8"/>
    <w:rsid w:val="007F31E6"/>
    <w:rsid w:val="008014F9"/>
    <w:rsid w:val="0080358B"/>
    <w:rsid w:val="008059BD"/>
    <w:rsid w:val="00812D46"/>
    <w:rsid w:val="00815999"/>
    <w:rsid w:val="00815A38"/>
    <w:rsid w:val="00815D8D"/>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8CB"/>
    <w:rsid w:val="00876D65"/>
    <w:rsid w:val="00891261"/>
    <w:rsid w:val="00895A8A"/>
    <w:rsid w:val="008A09E5"/>
    <w:rsid w:val="008A21B2"/>
    <w:rsid w:val="008B2FDD"/>
    <w:rsid w:val="008C2A4F"/>
    <w:rsid w:val="008C75E7"/>
    <w:rsid w:val="008C7CA8"/>
    <w:rsid w:val="008D09EC"/>
    <w:rsid w:val="008D799F"/>
    <w:rsid w:val="008E07EB"/>
    <w:rsid w:val="008E0E00"/>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577D9"/>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371D4"/>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BE5A26"/>
    <w:rsid w:val="00C11A5E"/>
    <w:rsid w:val="00C21520"/>
    <w:rsid w:val="00C222B2"/>
    <w:rsid w:val="00C225FB"/>
    <w:rsid w:val="00C41870"/>
    <w:rsid w:val="00C46B88"/>
    <w:rsid w:val="00C5218C"/>
    <w:rsid w:val="00C52191"/>
    <w:rsid w:val="00C5642F"/>
    <w:rsid w:val="00C57A3E"/>
    <w:rsid w:val="00C63554"/>
    <w:rsid w:val="00C71497"/>
    <w:rsid w:val="00C71BA1"/>
    <w:rsid w:val="00C72F5B"/>
    <w:rsid w:val="00C73619"/>
    <w:rsid w:val="00C73BCD"/>
    <w:rsid w:val="00C77AEF"/>
    <w:rsid w:val="00C77E37"/>
    <w:rsid w:val="00C84CB0"/>
    <w:rsid w:val="00C86EB7"/>
    <w:rsid w:val="00C87129"/>
    <w:rsid w:val="00C91E1B"/>
    <w:rsid w:val="00CA2BD3"/>
    <w:rsid w:val="00CA4677"/>
    <w:rsid w:val="00CA5FD5"/>
    <w:rsid w:val="00CA7703"/>
    <w:rsid w:val="00CB0F92"/>
    <w:rsid w:val="00CD4E6D"/>
    <w:rsid w:val="00CD5707"/>
    <w:rsid w:val="00CD7702"/>
    <w:rsid w:val="00CD7FC9"/>
    <w:rsid w:val="00CE06DF"/>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34206"/>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DE38CC"/>
    <w:rsid w:val="00E06069"/>
    <w:rsid w:val="00E115C0"/>
    <w:rsid w:val="00E168D7"/>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0244"/>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cs="Times New Roman" w:eastAsia="宋体" w:hAnsi="Calibri"/>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footnote text" w:semiHidden="0" w:uiPriority="0" w:unhideWhenUsed="0"/>
    <w:lsdException w:locked="1" w:name="caption" w:qFormat="1" w:uiPriority="0"/>
    <w:lsdException w:locked="1" w:name="footnote reference" w:semiHidden="0" w:uiPriority="0" w:unhideWhenUsed="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Date" w:semiHidden="0" w:uiPriority="0" w:unhideWhenUsed="0"/>
    <w:lsdException w:locked="1" w:name="Strong" w:qFormat="1" w:semiHidden="0" w:uiPriority="22" w:unhideWhenUsed="0"/>
    <w:lsdException w:locked="1" w:name="Emphasis" w:qFormat="1"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hAnsi="Times New Roman"/>
      <w:kern w:val="2"/>
      <w:sz w:val="21"/>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hAnsi="Arial"/>
      <w:b/>
      <w:bCs/>
      <w:kern w:val="0"/>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kern w:val="0"/>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4061AC"/>
    <w:rPr>
      <w:rFonts w:ascii="Times New Roman" w:cs="Times New Roman" w:eastAsia="宋体" w:hAnsi="Times New Roman"/>
      <w:b/>
      <w:bCs/>
      <w:kern w:val="44"/>
      <w:sz w:val="44"/>
      <w:szCs w:val="44"/>
    </w:rPr>
  </w:style>
  <w:style w:customStyle="1" w:styleId="2Char" w:type="character">
    <w:name w:val="标题 2 Char"/>
    <w:link w:val="2"/>
    <w:uiPriority w:val="99"/>
    <w:locked/>
    <w:rsid w:val="004061AC"/>
    <w:rPr>
      <w:rFonts w:ascii="Arial" w:cs="Arial" w:eastAsia="宋体" w:hAnsi="Arial"/>
      <w:b/>
      <w:bCs/>
      <w:sz w:val="24"/>
      <w:szCs w:val="24"/>
    </w:rPr>
  </w:style>
  <w:style w:customStyle="1" w:styleId="3Char" w:type="character">
    <w:name w:val="标题 3 Char"/>
    <w:link w:val="3"/>
    <w:uiPriority w:val="99"/>
    <w:locked/>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eastAsia="Arial Unicode MS" w:hAnsi="Arial Unicode MS"/>
      <w:kern w:val="0"/>
      <w:sz w:val="24"/>
      <w:szCs w:val="24"/>
    </w:rPr>
  </w:style>
  <w:style w:customStyle="1" w:styleId="Char" w:type="character">
    <w:name w:val="正文文本缩进 Char"/>
    <w:link w:val="a4"/>
    <w:uiPriority w:val="99"/>
    <w:locked/>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hAnsi="Courier New"/>
      <w:kern w:val="0"/>
    </w:rPr>
  </w:style>
  <w:style w:customStyle="1" w:styleId="Char0" w:type="character">
    <w:name w:val="纯文本 Char"/>
    <w:link w:val="a5"/>
    <w:uiPriority w:val="99"/>
    <w:locked/>
    <w:rsid w:val="004061AC"/>
    <w:rPr>
      <w:rFonts w:ascii="宋体" w:cs="宋体" w:eastAsia="宋体" w:hAnsi="Courier New"/>
      <w:sz w:val="21"/>
      <w:szCs w:val="21"/>
    </w:rPr>
  </w:style>
  <w:style w:styleId="20" w:type="paragraph">
    <w:name w:val="Body Text Indent 2"/>
    <w:basedOn w:val="a"/>
    <w:link w:val="2Char0"/>
    <w:uiPriority w:val="99"/>
    <w:rsid w:val="004061AC"/>
    <w:pPr>
      <w:spacing w:line="560" w:lineRule="exact"/>
      <w:ind w:firstLine="480" w:firstLineChars="200"/>
    </w:pPr>
    <w:rPr>
      <w:rFonts w:ascii="宋体" w:hAnsi="宋体"/>
      <w:color w:val="FF0000"/>
      <w:kern w:val="0"/>
      <w:sz w:val="24"/>
      <w:szCs w:val="24"/>
    </w:rPr>
  </w:style>
  <w:style w:customStyle="1" w:styleId="2Char0" w:type="character">
    <w:name w:val="正文文本缩进 2 Char"/>
    <w:link w:val="20"/>
    <w:uiPriority w:val="99"/>
    <w:locked/>
    <w:rsid w:val="004061AC"/>
    <w:rPr>
      <w:rFonts w:ascii="宋体" w:cs="宋体" w:eastAsia="宋体" w:hAnsi="宋体"/>
      <w:color w:val="FF0000"/>
      <w:sz w:val="24"/>
      <w:szCs w:val="24"/>
    </w:rPr>
  </w:style>
  <w:style w:styleId="a6" w:type="paragraph">
    <w:name w:val="footer"/>
    <w:basedOn w:val="a"/>
    <w:link w:val="Char1"/>
    <w:uiPriority w:val="99"/>
    <w:rsid w:val="004061AC"/>
    <w:pPr>
      <w:tabs>
        <w:tab w:pos="4153" w:val="center"/>
        <w:tab w:pos="8306" w:val="right"/>
      </w:tabs>
      <w:snapToGrid w:val="0"/>
      <w:jc w:val="left"/>
    </w:pPr>
    <w:rPr>
      <w:kern w:val="0"/>
      <w:sz w:val="18"/>
      <w:szCs w:val="18"/>
    </w:rPr>
  </w:style>
  <w:style w:customStyle="1" w:styleId="Char1" w:type="character">
    <w:name w:val="页脚 Char"/>
    <w:link w:val="a6"/>
    <w:uiPriority w:val="99"/>
    <w:locked/>
    <w:rsid w:val="004061AC"/>
    <w:rPr>
      <w:rFonts w:ascii="Times New Roman" w:cs="Times New Roman" w:eastAsia="宋体" w:hAnsi="Times New Roman"/>
      <w:sz w:val="18"/>
      <w:szCs w:val="18"/>
    </w:rPr>
  </w:style>
  <w:style w:styleId="a7" w:type="character">
    <w:name w:val="page number"/>
    <w:uiPriority w:val="99"/>
    <w:rsid w:val="004061AC"/>
    <w:rPr>
      <w:rFonts w:cs="Times New Roman"/>
    </w:rPr>
  </w:style>
  <w:style w:styleId="a8" w:type="character">
    <w:name w:val="Hyperlink"/>
    <w:uiPriority w:val="99"/>
    <w:rsid w:val="004061AC"/>
    <w:rPr>
      <w:rFonts w:cs="Times New Roman"/>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hAnsi="Arial"/>
      <w:color w:val="FF0000"/>
      <w:kern w:val="0"/>
    </w:rPr>
  </w:style>
  <w:style w:customStyle="1" w:styleId="3Char0" w:type="character">
    <w:name w:val="正文文本缩进 3 Char"/>
    <w:link w:val="30"/>
    <w:uiPriority w:val="99"/>
    <w:locked/>
    <w:rsid w:val="004061AC"/>
    <w:rPr>
      <w:rFonts w:ascii="Arial" w:cs="Arial" w:eastAsia="宋体" w:hAnsi="Arial"/>
      <w:color w:val="FF0000"/>
      <w:sz w:val="21"/>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kern w:val="0"/>
      <w:sz w:val="18"/>
      <w:szCs w:val="18"/>
    </w:rPr>
  </w:style>
  <w:style w:customStyle="1" w:styleId="Char2" w:type="character">
    <w:name w:val="页眉 Char"/>
    <w:link w:val="a9"/>
    <w:uiPriority w:val="99"/>
    <w:locked/>
    <w:rsid w:val="004061AC"/>
    <w:rPr>
      <w:rFonts w:ascii="Times New Roman" w:cs="Times New Roman" w:eastAsia="宋体" w:hAnsi="Times New Roman"/>
      <w:sz w:val="18"/>
      <w:szCs w:val="18"/>
    </w:rPr>
  </w:style>
  <w:style w:styleId="aa" w:type="character">
    <w:name w:val="FollowedHyperlink"/>
    <w:uiPriority w:val="99"/>
    <w:rsid w:val="004061AC"/>
    <w:rPr>
      <w:rFonts w:cs="Times New Roman"/>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rPr>
      <w:kern w:val="0"/>
    </w:rPr>
  </w:style>
  <w:style w:customStyle="1" w:styleId="Char3" w:type="character">
    <w:name w:val="正文文本 Char"/>
    <w:link w:val="ac"/>
    <w:uiPriority w:val="99"/>
    <w:locked/>
    <w:rsid w:val="004061AC"/>
    <w:rPr>
      <w:rFonts w:ascii="Times New Roman" w:cs="Times New Roman" w:eastAsia="宋体" w:hAnsi="Times New Roman"/>
      <w:sz w:val="21"/>
      <w:szCs w:val="21"/>
    </w:rPr>
  </w:style>
  <w:style w:styleId="ad" w:type="paragraph">
    <w:name w:val="Date"/>
    <w:basedOn w:val="a"/>
    <w:next w:val="a"/>
    <w:link w:val="Char4"/>
    <w:uiPriority w:val="99"/>
    <w:rsid w:val="004061AC"/>
    <w:rPr>
      <w:kern w:val="0"/>
      <w:sz w:val="24"/>
      <w:szCs w:val="24"/>
    </w:rPr>
  </w:style>
  <w:style w:customStyle="1" w:styleId="Char4" w:type="character">
    <w:name w:val="日期 Char"/>
    <w:link w:val="ad"/>
    <w:uiPriority w:val="99"/>
    <w:locked/>
    <w:rsid w:val="004061AC"/>
    <w:rPr>
      <w:rFonts w:ascii="Times New Roman" w:cs="Times New Roman" w:eastAsia="宋体" w:hAnsi="Times New Roman"/>
      <w:sz w:val="24"/>
      <w:szCs w:val="24"/>
    </w:rPr>
  </w:style>
  <w:style w:customStyle="1" w:styleId="c1" w:type="character">
    <w:name w:val="c1"/>
    <w:uiPriority w:val="99"/>
    <w:rsid w:val="004061AC"/>
    <w:rPr>
      <w:rFonts w:cs="Times New Roman"/>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kern w:val="0"/>
      <w:sz w:val="18"/>
      <w:szCs w:val="18"/>
    </w:rPr>
  </w:style>
  <w:style w:customStyle="1" w:styleId="Char5" w:type="character">
    <w:name w:val="批注框文本 Char"/>
    <w:link w:val="ae"/>
    <w:uiPriority w:val="99"/>
    <w:semiHidden/>
    <w:locked/>
    <w:rsid w:val="004061AC"/>
    <w:rPr>
      <w:rFonts w:ascii="Times New Roman" w:cs="Times New Roman" w:eastAsia="宋体" w:hAnsi="Times New Roman"/>
      <w:sz w:val="18"/>
      <w:szCs w:val="18"/>
    </w:rPr>
  </w:style>
  <w:style w:styleId="af" w:type="character">
    <w:name w:val="annotation reference"/>
    <w:uiPriority w:val="99"/>
    <w:semiHidden/>
    <w:rsid w:val="004061AC"/>
    <w:rPr>
      <w:rFonts w:cs="Times New Roman"/>
      <w:sz w:val="21"/>
      <w:szCs w:val="21"/>
    </w:rPr>
  </w:style>
  <w:style w:styleId="af0" w:type="paragraph">
    <w:name w:val="annotation text"/>
    <w:basedOn w:val="a"/>
    <w:link w:val="Char6"/>
    <w:uiPriority w:val="99"/>
    <w:semiHidden/>
    <w:rsid w:val="004061AC"/>
    <w:pPr>
      <w:jc w:val="left"/>
    </w:pPr>
    <w:rPr>
      <w:kern w:val="0"/>
    </w:rPr>
  </w:style>
  <w:style w:customStyle="1" w:styleId="Char6" w:type="character">
    <w:name w:val="批注文字 Char"/>
    <w:link w:val="af0"/>
    <w:uiPriority w:val="99"/>
    <w:semiHidden/>
    <w:locked/>
    <w:rsid w:val="004061AC"/>
    <w:rPr>
      <w:rFonts w:ascii="Times New Roman" w:cs="Times New Roman" w:eastAsia="宋体" w:hAnsi="Times New Roman"/>
      <w:sz w:val="21"/>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link w:val="af1"/>
    <w:uiPriority w:val="99"/>
    <w:semiHidden/>
    <w:locked/>
    <w:rsid w:val="004061AC"/>
    <w:rPr>
      <w:rFonts w:ascii="Times New Roman" w:cs="Times New Roman" w:eastAsia="宋体" w:hAnsi="Times New Roman"/>
      <w:b/>
      <w:bCs/>
      <w:sz w:val="21"/>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rPr>
      <w:kern w:val="0"/>
    </w:rPr>
  </w:style>
  <w:style w:customStyle="1" w:styleId="Char9" w:type="character">
    <w:name w:val="文档结构图 Char"/>
    <w:link w:val="af2"/>
    <w:uiPriority w:val="99"/>
    <w:semiHidden/>
    <w:locked/>
    <w:rsid w:val="004061AC"/>
    <w:rPr>
      <w:rFonts w:ascii="Times New Roman" w:cs="Times New Roman" w:eastAsia="宋体" w:hAnsi="Times New Roman"/>
      <w:sz w:val="21"/>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uiPriority w:val="99"/>
    <w:rsid w:val="004061AC"/>
    <w:pPr>
      <w:snapToGrid w:val="0"/>
      <w:jc w:val="left"/>
    </w:pPr>
    <w:rPr>
      <w:kern w:val="0"/>
      <w:sz w:val="18"/>
      <w:szCs w:val="18"/>
    </w:rPr>
  </w:style>
  <w:style w:customStyle="1" w:styleId="Chara" w:type="character">
    <w:name w:val="脚注文本 Char"/>
    <w:link w:val="af4"/>
    <w:uiPriority w:val="99"/>
    <w:locked/>
    <w:rsid w:val="004061AC"/>
    <w:rPr>
      <w:rFonts w:ascii="Times New Roman" w:cs="Times New Roman" w:eastAsia="宋体" w:hAnsi="Times New Roman"/>
      <w:sz w:val="18"/>
      <w:szCs w:val="18"/>
    </w:rPr>
  </w:style>
  <w:style w:styleId="af5" w:type="character">
    <w:name w:val="footnote reference"/>
    <w:uiPriority w:val="99"/>
    <w:rsid w:val="004061AC"/>
    <w:rPr>
      <w:rFonts w:cs="Times New Roman"/>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hAnsi="Times New Roman"/>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hAnsi="Cambria"/>
      <w:b/>
      <w:bCs/>
      <w:kern w:val="0"/>
      <w:sz w:val="32"/>
      <w:szCs w:val="32"/>
    </w:rPr>
  </w:style>
  <w:style w:customStyle="1" w:styleId="Charb" w:type="character">
    <w:name w:val="标题 Char"/>
    <w:link w:val="af8"/>
    <w:uiPriority w:val="99"/>
    <w:locked/>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99"/>
    <w:qFormat/>
    <w:rsid w:val="004061AC"/>
    <w:rPr>
      <w:rFonts w:cs="Calibri"/>
      <w:sz w:val="22"/>
      <w:szCs w:val="22"/>
    </w:rPr>
  </w:style>
  <w:style w:customStyle="1" w:styleId="Charc" w:type="character">
    <w:name w:val="无间隔 Char"/>
    <w:link w:val="af9"/>
    <w:uiPriority w:val="99"/>
    <w:locked/>
    <w:rsid w:val="004061AC"/>
    <w:rPr>
      <w:rFonts w:cs="Calibri"/>
      <w:sz w:val="22"/>
      <w:szCs w:val="22"/>
      <w:lang w:bidi="ar-SA" w:eastAsia="zh-CN" w:val="en-US"/>
    </w:rPr>
  </w:style>
  <w:style w:customStyle="1" w:styleId="t1" w:type="character">
    <w:name w:val="t1"/>
    <w:uiPriority w:val="99"/>
    <w:rsid w:val="004061AC"/>
    <w:rPr>
      <w:rFonts w:cs="Times New Roman"/>
      <w:color w:val="auto"/>
    </w:rPr>
  </w:style>
  <w:style w:styleId="afa" w:type="paragraph">
    <w:name w:val="List Paragraph"/>
    <w:basedOn w:val="a"/>
    <w:uiPriority w:val="99"/>
    <w:qFormat/>
    <w:rsid w:val="00154BE1"/>
    <w:pPr>
      <w:ind w:firstLine="420" w:firstLineChars="200"/>
    </w:pPr>
  </w:style>
  <w:style w:customStyle="1" w:styleId="Default" w:type="paragraph">
    <w:name w:val="Default"/>
    <w:uiPriority w:val="99"/>
    <w:rsid w:val="00275745"/>
    <w:pPr>
      <w:widowControl w:val="0"/>
      <w:autoSpaceDE w:val="0"/>
      <w:autoSpaceDN w:val="0"/>
      <w:adjustRightInd w:val="0"/>
    </w:pPr>
    <w:rPr>
      <w:rFonts w:ascii="FangSong" w:cs="FangSong" w:hAnsi="FangSong"/>
      <w:color w:val="000000"/>
      <w:sz w:val="24"/>
      <w:szCs w:val="24"/>
    </w:rPr>
  </w:style>
  <w:style w:styleId="afb" w:type="character">
    <w:name w:val="Strong"/>
    <w:uiPriority w:val="22"/>
    <w:qFormat/>
    <w:locked/>
    <w:rsid w:val="00D874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media/image1.jpeg" Type="http://schemas.openxmlformats.org/officeDocument/2006/relationships/image"/>
<Relationship Id="rId12" Target="footer2.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tylesWithEffects.xml" Type="http://schemas.microsoft.com/office/2007/relationships/stylesWithEffect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header1.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428B9-6F43-4DF9-B921-60ACE4E4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TotalTime>
  <Pages>28</Pages>
  <Words>4055</Words>
  <Characters>23118</Characters>
  <Application>Microsoft Office Word</Application>
  <DocSecurity>0</DocSecurity>
  <Lines>192</Lines>
  <Paragraphs>54</Paragraphs>
  <ScaleCrop>false</ScaleCrop>
  <Company/>
  <LinksUpToDate>false</LinksUpToDate>
  <CharactersWithSpaces>27119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sirong han</cp:lastModifiedBy>
  <dcterms:modified xsi:type="dcterms:W3CDTF">2020-10-20T06:18:00Z</dcterms:modified>
  <cp:revision>357</cp:revision>
</cp:coreProperties>
</file>