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易方达资源行业混合型证券投资基金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易方达资源行业混合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110025</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110025</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2011年8月16日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734,427,800.35</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本基金主要投资资源行业股票，在严格控制风险的前提下，追求超越业绩比较基准的投资回报。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将根据对资源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中证内地资源主题指数收益率×80%+中债总指数收益率×20%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本基金为混合基金，理论上其风险收益水平高于债券基金和货币市场基金，低于股票基金。同时，本基金为行业基金，在享受资源行业收益的同时，也必须承担影响资源行业的因素带来的风险。</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65,700,513.50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50,197,446.27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0.0690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673,834,997.42</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0.917</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11.56%</w:t>
            </w:r>
          </w:p>
        </w:tc>
        <w:tc>
          <w:tcPr>
            <w:vAlign w:val="center"/>
          </w:tcPr>
          <w:p>
            <w:pPr>
              <w:jc w:val="center"/>
            </w:pPr>
            <w:r>
              <w:rPr>
                <w:color w:val="000000"/>
                <w:kern w:val="0"/>
                <w:sz w:val="24"/>
                <w:szCs w:val="24"/>
              </w:rPr>
              <w:t>1.94%</w:t>
            </w:r>
          </w:p>
        </w:tc>
        <w:tc>
          <w:tcPr>
            <w:vAlign w:val="center"/>
          </w:tcPr>
          <w:p>
            <w:pPr>
              <w:jc w:val="center"/>
            </w:pPr>
            <w:r>
              <w:rPr>
                <w:color w:val="000000"/>
                <w:kern w:val="0"/>
                <w:sz w:val="24"/>
                <w:szCs w:val="24"/>
              </w:rPr>
              <w:t>5.62%</w:t>
            </w:r>
          </w:p>
        </w:tc>
        <w:tc>
          <w:tcPr>
            <w:vAlign w:val="center"/>
          </w:tcPr>
          <w:p>
            <w:pPr>
              <w:jc w:val="center"/>
            </w:pPr>
            <w:r>
              <w:rPr>
                <w:color w:val="000000"/>
                <w:kern w:val="0"/>
                <w:sz w:val="24"/>
                <w:szCs w:val="24"/>
              </w:rPr>
              <w:t>1.59%</w:t>
            </w:r>
          </w:p>
        </w:tc>
        <w:tc>
          <w:tcPr>
            <w:vAlign w:val="center"/>
          </w:tcPr>
          <w:p>
            <w:pPr>
              <w:jc w:val="center"/>
            </w:pPr>
            <w:r>
              <w:rPr>
                <w:color w:val="000000"/>
                <w:kern w:val="0"/>
                <w:sz w:val="24"/>
                <w:szCs w:val="24"/>
              </w:rPr>
              <w:t>5.94%</w:t>
            </w:r>
          </w:p>
        </w:tc>
        <w:tc>
          <w:tcPr>
            <w:vAlign w:val="center"/>
          </w:tcPr>
          <w:p>
            <w:pPr>
              <w:jc w:val="center"/>
            </w:pPr>
            <w:r>
              <w:rPr>
                <w:color w:val="000000"/>
                <w:kern w:val="0"/>
                <w:sz w:val="24"/>
                <w:szCs w:val="24"/>
              </w:rPr>
              <w:t>0.35%</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24.59%</w:t>
            </w:r>
          </w:p>
        </w:tc>
        <w:tc>
          <w:tcPr>
            <w:vAlign w:val="center"/>
          </w:tcPr>
          <w:p>
            <w:pPr>
              <w:jc w:val="center"/>
            </w:pPr>
            <w:r>
              <w:rPr>
                <w:color w:val="000000"/>
                <w:kern w:val="0"/>
                <w:sz w:val="24"/>
                <w:szCs w:val="24"/>
              </w:rPr>
              <w:t>1.63%</w:t>
            </w:r>
          </w:p>
        </w:tc>
        <w:tc>
          <w:tcPr>
            <w:vAlign w:val="center"/>
          </w:tcPr>
          <w:p>
            <w:pPr>
              <w:jc w:val="center"/>
            </w:pPr>
            <w:r>
              <w:rPr>
                <w:color w:val="000000"/>
                <w:kern w:val="0"/>
                <w:sz w:val="24"/>
                <w:szCs w:val="24"/>
              </w:rPr>
              <w:t>7.84%</w:t>
            </w:r>
          </w:p>
        </w:tc>
        <w:tc>
          <w:tcPr>
            <w:vAlign w:val="center"/>
          </w:tcPr>
          <w:p>
            <w:pPr>
              <w:jc w:val="center"/>
            </w:pPr>
            <w:r>
              <w:rPr>
                <w:color w:val="000000"/>
                <w:kern w:val="0"/>
                <w:sz w:val="24"/>
                <w:szCs w:val="24"/>
              </w:rPr>
              <w:t>1.30%</w:t>
            </w:r>
          </w:p>
        </w:tc>
        <w:tc>
          <w:tcPr>
            <w:vAlign w:val="center"/>
          </w:tcPr>
          <w:p>
            <w:pPr>
              <w:jc w:val="center"/>
            </w:pPr>
            <w:r>
              <w:rPr>
                <w:color w:val="000000"/>
                <w:kern w:val="0"/>
                <w:sz w:val="24"/>
                <w:szCs w:val="24"/>
              </w:rPr>
              <w:t>16.75%</w:t>
            </w:r>
          </w:p>
        </w:tc>
        <w:tc>
          <w:tcPr>
            <w:vAlign w:val="center"/>
          </w:tcPr>
          <w:p>
            <w:pPr>
              <w:jc w:val="center"/>
            </w:pPr>
            <w:r>
              <w:rPr>
                <w:color w:val="000000"/>
                <w:kern w:val="0"/>
                <w:sz w:val="24"/>
                <w:szCs w:val="24"/>
              </w:rPr>
              <w:t>0.33%</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16.67%</w:t>
            </w:r>
          </w:p>
        </w:tc>
        <w:tc>
          <w:tcPr>
            <w:vAlign w:val="center"/>
          </w:tcPr>
          <w:p>
            <w:pPr>
              <w:jc w:val="center"/>
            </w:pPr>
            <w:r>
              <w:rPr>
                <w:color w:val="000000"/>
                <w:kern w:val="0"/>
                <w:sz w:val="24"/>
                <w:szCs w:val="24"/>
              </w:rPr>
              <w:t>1.68%</w:t>
            </w:r>
          </w:p>
        </w:tc>
        <w:tc>
          <w:tcPr>
            <w:vAlign w:val="center"/>
          </w:tcPr>
          <w:p>
            <w:pPr>
              <w:jc w:val="center"/>
            </w:pPr>
            <w:r>
              <w:rPr>
                <w:color w:val="000000"/>
                <w:kern w:val="0"/>
                <w:sz w:val="24"/>
                <w:szCs w:val="24"/>
              </w:rPr>
              <w:t>0.22%</w:t>
            </w:r>
          </w:p>
        </w:tc>
        <w:tc>
          <w:tcPr>
            <w:vAlign w:val="center"/>
          </w:tcPr>
          <w:p>
            <w:pPr>
              <w:jc w:val="center"/>
            </w:pPr>
            <w:r>
              <w:rPr>
                <w:color w:val="000000"/>
                <w:kern w:val="0"/>
                <w:sz w:val="24"/>
                <w:szCs w:val="24"/>
              </w:rPr>
              <w:t>1.28%</w:t>
            </w:r>
          </w:p>
        </w:tc>
        <w:tc>
          <w:tcPr>
            <w:vAlign w:val="center"/>
          </w:tcPr>
          <w:p>
            <w:pPr>
              <w:jc w:val="center"/>
            </w:pPr>
            <w:r>
              <w:rPr>
                <w:color w:val="000000"/>
                <w:kern w:val="0"/>
                <w:sz w:val="24"/>
                <w:szCs w:val="24"/>
              </w:rPr>
              <w:t>16.45%</w:t>
            </w:r>
          </w:p>
        </w:tc>
        <w:tc>
          <w:tcPr>
            <w:vAlign w:val="center"/>
          </w:tcPr>
          <w:p>
            <w:pPr>
              <w:jc w:val="center"/>
            </w:pPr>
            <w:r>
              <w:rPr>
                <w:color w:val="000000"/>
                <w:kern w:val="0"/>
                <w:sz w:val="24"/>
                <w:szCs w:val="24"/>
              </w:rPr>
              <w:t>0.40%</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-20.05%</w:t>
            </w:r>
          </w:p>
        </w:tc>
        <w:tc>
          <w:tcPr>
            <w:vAlign w:val="center"/>
          </w:tcPr>
          <w:p>
            <w:pPr>
              <w:jc w:val="center"/>
            </w:pPr>
            <w:r>
              <w:rPr>
                <w:color w:val="000000"/>
                <w:kern w:val="0"/>
                <w:sz w:val="24"/>
                <w:szCs w:val="24"/>
              </w:rPr>
              <w:t>1.53%</w:t>
            </w:r>
          </w:p>
        </w:tc>
        <w:tc>
          <w:tcPr>
            <w:vAlign w:val="center"/>
          </w:tcPr>
          <w:p>
            <w:pPr>
              <w:jc w:val="center"/>
            </w:pPr>
            <w:r>
              <w:rPr>
                <w:color w:val="000000"/>
                <w:kern w:val="0"/>
                <w:sz w:val="24"/>
                <w:szCs w:val="24"/>
              </w:rPr>
              <w:t>-26.00%</w:t>
            </w:r>
          </w:p>
        </w:tc>
        <w:tc>
          <w:tcPr>
            <w:vAlign w:val="center"/>
          </w:tcPr>
          <w:p>
            <w:pPr>
              <w:jc w:val="center"/>
            </w:pPr>
            <w:r>
              <w:rPr>
                <w:color w:val="000000"/>
                <w:kern w:val="0"/>
                <w:sz w:val="24"/>
                <w:szCs w:val="24"/>
              </w:rPr>
              <w:t>1.18%</w:t>
            </w:r>
          </w:p>
        </w:tc>
        <w:tc>
          <w:tcPr>
            <w:vAlign w:val="center"/>
          </w:tcPr>
          <w:p>
            <w:pPr>
              <w:jc w:val="center"/>
            </w:pPr>
            <w:r>
              <w:rPr>
                <w:color w:val="000000"/>
                <w:kern w:val="0"/>
                <w:sz w:val="24"/>
                <w:szCs w:val="24"/>
              </w:rPr>
              <w:t>5.95%</w:t>
            </w:r>
          </w:p>
        </w:tc>
        <w:tc>
          <w:tcPr>
            <w:vAlign w:val="center"/>
          </w:tcPr>
          <w:p>
            <w:pPr>
              <w:jc w:val="center"/>
            </w:pPr>
            <w:r>
              <w:rPr>
                <w:color w:val="000000"/>
                <w:kern w:val="0"/>
                <w:sz w:val="24"/>
                <w:szCs w:val="24"/>
              </w:rPr>
              <w:t>0.35%</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27.72%</w:t>
            </w:r>
          </w:p>
        </w:tc>
        <w:tc>
          <w:tcPr>
            <w:vAlign w:val="center"/>
          </w:tcPr>
          <w:p>
            <w:pPr>
              <w:jc w:val="center"/>
            </w:pPr>
            <w:r>
              <w:rPr>
                <w:color w:val="000000"/>
                <w:kern w:val="0"/>
                <w:sz w:val="24"/>
                <w:szCs w:val="24"/>
              </w:rPr>
              <w:t>1.65%</w:t>
            </w:r>
          </w:p>
        </w:tc>
        <w:tc>
          <w:tcPr>
            <w:vAlign w:val="center"/>
          </w:tcPr>
          <w:p>
            <w:pPr>
              <w:jc w:val="center"/>
            </w:pPr>
            <w:r>
              <w:rPr>
                <w:color w:val="000000"/>
                <w:kern w:val="0"/>
                <w:sz w:val="24"/>
                <w:szCs w:val="24"/>
              </w:rPr>
              <w:t>-3.75%</w:t>
            </w:r>
          </w:p>
        </w:tc>
        <w:tc>
          <w:tcPr>
            <w:vAlign w:val="center"/>
          </w:tcPr>
          <w:p>
            <w:pPr>
              <w:jc w:val="center"/>
            </w:pPr>
            <w:r>
              <w:rPr>
                <w:color w:val="000000"/>
                <w:kern w:val="0"/>
                <w:sz w:val="24"/>
                <w:szCs w:val="24"/>
              </w:rPr>
              <w:t>1.25%</w:t>
            </w:r>
          </w:p>
        </w:tc>
        <w:tc>
          <w:tcPr>
            <w:vAlign w:val="center"/>
          </w:tcPr>
          <w:p>
            <w:pPr>
              <w:jc w:val="center"/>
            </w:pPr>
            <w:r>
              <w:rPr>
                <w:color w:val="000000"/>
                <w:kern w:val="0"/>
                <w:sz w:val="24"/>
                <w:szCs w:val="24"/>
              </w:rPr>
              <w:t>31.47%</w:t>
            </w:r>
          </w:p>
        </w:tc>
        <w:tc>
          <w:tcPr>
            <w:vAlign w:val="center"/>
          </w:tcPr>
          <w:p>
            <w:pPr>
              <w:jc w:val="center"/>
            </w:pPr>
            <w:r>
              <w:rPr>
                <w:color w:val="000000"/>
                <w:kern w:val="0"/>
                <w:sz w:val="24"/>
                <w:szCs w:val="24"/>
              </w:rPr>
              <w:t>0.40%</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-8.30%</w:t>
            </w:r>
          </w:p>
        </w:tc>
        <w:tc>
          <w:tcPr>
            <w:vAlign w:val="center"/>
          </w:tcPr>
          <w:p>
            <w:pPr>
              <w:jc w:val="center"/>
            </w:pPr>
            <w:r>
              <w:rPr>
                <w:color w:val="000000"/>
                <w:kern w:val="0"/>
                <w:sz w:val="24"/>
                <w:szCs w:val="24"/>
              </w:rPr>
              <w:t>1.66%</w:t>
            </w:r>
          </w:p>
        </w:tc>
        <w:tc>
          <w:tcPr>
            <w:vAlign w:val="center"/>
          </w:tcPr>
          <w:p>
            <w:pPr>
              <w:jc w:val="center"/>
            </w:pPr>
            <w:r>
              <w:rPr>
                <w:color w:val="000000"/>
                <w:kern w:val="0"/>
                <w:sz w:val="24"/>
                <w:szCs w:val="24"/>
              </w:rPr>
              <w:t>-44.55%</w:t>
            </w:r>
          </w:p>
        </w:tc>
        <w:tc>
          <w:tcPr>
            <w:vAlign w:val="center"/>
          </w:tcPr>
          <w:p>
            <w:pPr>
              <w:jc w:val="center"/>
            </w:pPr>
            <w:r>
              <w:rPr>
                <w:color w:val="000000"/>
                <w:kern w:val="0"/>
                <w:sz w:val="24"/>
                <w:szCs w:val="24"/>
              </w:rPr>
              <w:t>1.40%</w:t>
            </w:r>
          </w:p>
        </w:tc>
        <w:tc>
          <w:tcPr>
            <w:vAlign w:val="center"/>
          </w:tcPr>
          <w:p>
            <w:pPr>
              <w:jc w:val="center"/>
            </w:pPr>
            <w:r>
              <w:rPr>
                <w:color w:val="000000"/>
                <w:kern w:val="0"/>
                <w:sz w:val="24"/>
                <w:szCs w:val="24"/>
              </w:rPr>
              <w:t>36.25%</w:t>
            </w:r>
          </w:p>
        </w:tc>
        <w:tc>
          <w:tcPr>
            <w:vAlign w:val="center"/>
          </w:tcPr>
          <w:p>
            <w:pPr>
              <w:jc w:val="center"/>
            </w:pPr>
            <w:r>
              <w:rPr>
                <w:color w:val="000000"/>
                <w:kern w:val="0"/>
                <w:sz w:val="24"/>
                <w:szCs w:val="24"/>
              </w:rPr>
              <w:t>0.26%</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易方达资源行业混合型证券投资基金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2011年8月16日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注：自基金合同生效至报告期末，基金份额净值增长率为-8.30%，同期业绩比较基准收益率为-44.55%。</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兰传杰</w:t>
            </w:r>
          </w:p>
        </w:tc>
        <w:tc>
          <w:tcPr>
            <w:vAlign w:val="center"/>
          </w:tcPr>
          <w:p>
            <w:pPr>
              <w:jc w:val="left"/>
            </w:pPr>
            <w:r>
              <w:rPr>
                <w:color w:val="000000"/>
                <w:sz w:val="24"/>
              </w:rPr>
              <w:t>本基金的基金经理、易方达供给改革灵活配置混合型证券投资基金的基金经理（自2018年12月25日至2020年08月21日）、宏观策略研究员</w:t>
            </w:r>
          </w:p>
        </w:tc>
        <w:tc>
          <w:tcPr>
            <w:vAlign w:val="center"/>
          </w:tcPr>
          <w:p>
            <w:pPr>
              <w:jc w:val="center"/>
            </w:pPr>
            <w:r>
              <w:rPr>
                <w:color w:val="000000"/>
                <w:sz w:val="24"/>
              </w:rPr>
              <w:t>2018-12-26</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硕士研究生，具有基金从业资格。曾任北京市星石投资管理有限公司周期投资部研究员。</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市场继续反弹，上证指数上涨7.82%，深证成指上涨7.63%，中小板指上涨8.19%，创业板指上涨5.60%。三季度市场开局良好，7月份指数较大幅度上涨，主要受益于以下几个方面：第一，国内外经济数据恢复良好，特别是海外经济情况没有受到疫情二次爆发的影响，经济数据保持强劲且并未二次探底，这也使得国内出口数据持续超预期；第二，市场整体估值仍然较低，特别是周期股估值处于历史低位；第三，国内外流动性整体仍然保持宽松。8月中旬之后，市场有较大幅度回调，主要受以下几个方面影响：第一，市场对流动性的预期发生边际变化，这导致高估值板块回调较大；第二，受各种因素影响，国际冲突影响市场风险偏好。因经济仍然保持复苏态势，资源行业中顺周期板块在回调中相对坚挺。</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本基金坚持在控制基准偏离度的情况下，以精选估值合理、价值有增长潜力的个股为投资理念，三季度在继续持有受益于经济转型股票的同时，将黄金股的配置适当置换到工业金属股票上。</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截至报告期末，本基金份额净值为0.917元，本报告期份额净值增长率为11.56%，同期业绩比较基准收益率为5.62%。</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611,510,327.21</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90.17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611,510,327.21</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90.17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64,661,083.56</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9.53</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1,993,537.55</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0.29</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678,164,948.32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175,186,139.95</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26.00</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403,683,236.41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59.91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143,728.96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219,925.08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673,384.20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0.10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30,107,788.00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4.47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365,514.72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688,130.17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0.10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429,450.60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611,510,327.21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90.75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688122</w:t>
            </w:r>
          </w:p>
        </w:tc>
        <w:tc>
          <w:tcPr>
            <w:vAlign w:val="center"/>
          </w:tcPr>
          <w:p>
            <w:pPr>
              <w:jc w:val="center"/>
            </w:pPr>
            <w:r>
              <w:rPr>
                <w:color w:val="000000"/>
                <w:kern w:val="0"/>
                <w:sz w:val="24"/>
                <w:szCs w:val="24"/>
              </w:rPr>
              <w:t>西部超导</w:t>
            </w:r>
          </w:p>
        </w:tc>
        <w:tc>
          <w:tcPr>
            <w:vAlign w:val="center"/>
          </w:tcPr>
          <w:p>
            <w:pPr>
              <w:jc w:val="right"/>
            </w:pPr>
            <w:r>
              <w:rPr>
                <w:color w:val="000000"/>
                <w:kern w:val="0"/>
                <w:sz w:val="24"/>
                <w:szCs w:val="24"/>
              </w:rPr>
              <w:t>939,152</w:t>
            </w:r>
          </w:p>
        </w:tc>
        <w:tc>
          <w:tcPr>
            <w:vAlign w:val="center"/>
          </w:tcPr>
          <w:p>
            <w:pPr>
              <w:jc w:val="right"/>
            </w:pPr>
            <w:r>
              <w:rPr>
                <w:color w:val="000000"/>
                <w:kern w:val="0"/>
                <w:sz w:val="24"/>
                <w:szCs w:val="24"/>
              </w:rPr>
              <w:t>54,799,519.20</w:t>
            </w:r>
          </w:p>
        </w:tc>
        <w:tc>
          <w:tcPr>
            <w:vAlign w:val="center"/>
          </w:tcPr>
          <w:p>
            <w:pPr>
              <w:jc w:val="right"/>
            </w:pPr>
            <w:r>
              <w:rPr>
                <w:color w:val="000000"/>
                <w:kern w:val="0"/>
                <w:sz w:val="24"/>
                <w:szCs w:val="24"/>
              </w:rPr>
              <w:t>8.13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603993</w:t>
            </w:r>
          </w:p>
        </w:tc>
        <w:tc>
          <w:tcPr>
            <w:vAlign w:val="center"/>
          </w:tcPr>
          <w:p>
            <w:pPr>
              <w:jc w:val="center"/>
            </w:pPr>
            <w:r>
              <w:rPr>
                <w:color w:val="000000"/>
                <w:kern w:val="0"/>
                <w:sz w:val="24"/>
                <w:szCs w:val="24"/>
              </w:rPr>
              <w:t>洛阳钼业</w:t>
            </w:r>
          </w:p>
        </w:tc>
        <w:tc>
          <w:tcPr>
            <w:vAlign w:val="center"/>
          </w:tcPr>
          <w:p>
            <w:pPr>
              <w:jc w:val="right"/>
            </w:pPr>
            <w:r>
              <w:rPr>
                <w:color w:val="000000"/>
                <w:kern w:val="0"/>
                <w:sz w:val="24"/>
                <w:szCs w:val="24"/>
              </w:rPr>
              <w:t>11,277,400</w:t>
            </w:r>
          </w:p>
        </w:tc>
        <w:tc>
          <w:tcPr>
            <w:vAlign w:val="center"/>
          </w:tcPr>
          <w:p>
            <w:pPr>
              <w:jc w:val="right"/>
            </w:pPr>
            <w:r>
              <w:rPr>
                <w:color w:val="000000"/>
                <w:kern w:val="0"/>
                <w:sz w:val="24"/>
                <w:szCs w:val="24"/>
              </w:rPr>
              <w:t>41,951,928.00</w:t>
            </w:r>
          </w:p>
        </w:tc>
        <w:tc>
          <w:tcPr>
            <w:vAlign w:val="center"/>
          </w:tcPr>
          <w:p>
            <w:pPr>
              <w:jc w:val="right"/>
            </w:pPr>
            <w:r>
              <w:rPr>
                <w:color w:val="000000"/>
                <w:kern w:val="0"/>
                <w:sz w:val="24"/>
                <w:szCs w:val="24"/>
              </w:rPr>
              <w:t>6.23</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000878</w:t>
            </w:r>
          </w:p>
        </w:tc>
        <w:tc>
          <w:tcPr>
            <w:vAlign w:val="center"/>
          </w:tcPr>
          <w:p>
            <w:pPr>
              <w:jc w:val="center"/>
            </w:pPr>
            <w:r>
              <w:rPr>
                <w:color w:val="000000"/>
                <w:kern w:val="0"/>
                <w:sz w:val="24"/>
                <w:szCs w:val="24"/>
              </w:rPr>
              <w:t>云南铜业</w:t>
            </w:r>
          </w:p>
        </w:tc>
        <w:tc>
          <w:tcPr>
            <w:vAlign w:val="center"/>
          </w:tcPr>
          <w:p>
            <w:pPr>
              <w:jc w:val="right"/>
            </w:pPr>
            <w:r>
              <w:rPr>
                <w:color w:val="000000"/>
                <w:kern w:val="0"/>
                <w:sz w:val="24"/>
                <w:szCs w:val="24"/>
              </w:rPr>
              <w:t>3,028,865</w:t>
            </w:r>
          </w:p>
        </w:tc>
        <w:tc>
          <w:tcPr>
            <w:vAlign w:val="center"/>
          </w:tcPr>
          <w:p>
            <w:pPr>
              <w:jc w:val="right"/>
            </w:pPr>
            <w:r>
              <w:rPr>
                <w:color w:val="000000"/>
                <w:kern w:val="0"/>
                <w:sz w:val="24"/>
                <w:szCs w:val="24"/>
              </w:rPr>
              <w:t>41,374,295.90</w:t>
            </w:r>
          </w:p>
        </w:tc>
        <w:tc>
          <w:tcPr>
            <w:vAlign w:val="center"/>
          </w:tcPr>
          <w:p>
            <w:pPr>
              <w:jc w:val="right"/>
            </w:pPr>
            <w:r>
              <w:rPr>
                <w:color w:val="000000"/>
                <w:kern w:val="0"/>
                <w:sz w:val="24"/>
                <w:szCs w:val="24"/>
              </w:rPr>
              <w:t>6.14</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601088</w:t>
            </w:r>
          </w:p>
        </w:tc>
        <w:tc>
          <w:tcPr>
            <w:vAlign w:val="center"/>
          </w:tcPr>
          <w:p>
            <w:pPr>
              <w:jc w:val="center"/>
            </w:pPr>
            <w:r>
              <w:rPr>
                <w:color w:val="000000"/>
                <w:kern w:val="0"/>
                <w:sz w:val="24"/>
                <w:szCs w:val="24"/>
              </w:rPr>
              <w:t>中国神华</w:t>
            </w:r>
          </w:p>
        </w:tc>
        <w:tc>
          <w:tcPr>
            <w:vAlign w:val="center"/>
          </w:tcPr>
          <w:p>
            <w:pPr>
              <w:jc w:val="right"/>
            </w:pPr>
            <w:r>
              <w:rPr>
                <w:color w:val="000000"/>
                <w:kern w:val="0"/>
                <w:sz w:val="24"/>
                <w:szCs w:val="24"/>
              </w:rPr>
              <w:t>2,362,475</w:t>
            </w:r>
          </w:p>
        </w:tc>
        <w:tc>
          <w:tcPr>
            <w:vAlign w:val="center"/>
          </w:tcPr>
          <w:p>
            <w:pPr>
              <w:jc w:val="right"/>
            </w:pPr>
            <w:r>
              <w:rPr>
                <w:color w:val="000000"/>
                <w:kern w:val="0"/>
                <w:sz w:val="24"/>
                <w:szCs w:val="24"/>
              </w:rPr>
              <w:t>38,909,963.25</w:t>
            </w:r>
          </w:p>
        </w:tc>
        <w:tc>
          <w:tcPr>
            <w:vAlign w:val="center"/>
          </w:tcPr>
          <w:p>
            <w:pPr>
              <w:jc w:val="right"/>
            </w:pPr>
            <w:r>
              <w:rPr>
                <w:color w:val="000000"/>
                <w:kern w:val="0"/>
                <w:sz w:val="24"/>
                <w:szCs w:val="24"/>
              </w:rPr>
              <w:t>5.77</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601899</w:t>
            </w:r>
          </w:p>
        </w:tc>
        <w:tc>
          <w:tcPr>
            <w:vAlign w:val="center"/>
          </w:tcPr>
          <w:p>
            <w:pPr>
              <w:jc w:val="center"/>
            </w:pPr>
            <w:r>
              <w:rPr>
                <w:color w:val="000000"/>
                <w:kern w:val="0"/>
                <w:sz w:val="24"/>
                <w:szCs w:val="24"/>
              </w:rPr>
              <w:t>紫金矿业</w:t>
            </w:r>
          </w:p>
        </w:tc>
        <w:tc>
          <w:tcPr>
            <w:vAlign w:val="center"/>
          </w:tcPr>
          <w:p>
            <w:pPr>
              <w:jc w:val="right"/>
            </w:pPr>
            <w:r>
              <w:rPr>
                <w:color w:val="000000"/>
                <w:kern w:val="0"/>
                <w:sz w:val="24"/>
                <w:szCs w:val="24"/>
              </w:rPr>
              <w:t>5,909,146</w:t>
            </w:r>
          </w:p>
        </w:tc>
        <w:tc>
          <w:tcPr>
            <w:vAlign w:val="center"/>
          </w:tcPr>
          <w:p>
            <w:pPr>
              <w:jc w:val="right"/>
            </w:pPr>
            <w:r>
              <w:rPr>
                <w:color w:val="000000"/>
                <w:kern w:val="0"/>
                <w:sz w:val="24"/>
                <w:szCs w:val="24"/>
              </w:rPr>
              <w:t>36,341,247.90</w:t>
            </w:r>
          </w:p>
        </w:tc>
        <w:tc>
          <w:tcPr>
            <w:vAlign w:val="center"/>
          </w:tcPr>
          <w:p>
            <w:pPr>
              <w:jc w:val="right"/>
            </w:pPr>
            <w:r>
              <w:rPr>
                <w:color w:val="000000"/>
                <w:kern w:val="0"/>
                <w:sz w:val="24"/>
                <w:szCs w:val="24"/>
              </w:rPr>
              <w:t>5.39</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603260</w:t>
            </w:r>
          </w:p>
        </w:tc>
        <w:tc>
          <w:tcPr>
            <w:vAlign w:val="center"/>
          </w:tcPr>
          <w:p>
            <w:pPr>
              <w:jc w:val="center"/>
            </w:pPr>
            <w:r>
              <w:rPr>
                <w:color w:val="000000"/>
                <w:kern w:val="0"/>
                <w:sz w:val="24"/>
                <w:szCs w:val="24"/>
              </w:rPr>
              <w:t>合盛硅业</w:t>
            </w:r>
          </w:p>
        </w:tc>
        <w:tc>
          <w:tcPr>
            <w:vAlign w:val="center"/>
          </w:tcPr>
          <w:p>
            <w:pPr>
              <w:jc w:val="right"/>
            </w:pPr>
            <w:r>
              <w:rPr>
                <w:color w:val="000000"/>
                <w:kern w:val="0"/>
                <w:sz w:val="24"/>
                <w:szCs w:val="24"/>
              </w:rPr>
              <w:t>1,223,900</w:t>
            </w:r>
          </w:p>
        </w:tc>
        <w:tc>
          <w:tcPr>
            <w:vAlign w:val="center"/>
          </w:tcPr>
          <w:p>
            <w:pPr>
              <w:jc w:val="right"/>
            </w:pPr>
            <w:r>
              <w:rPr>
                <w:color w:val="000000"/>
                <w:kern w:val="0"/>
                <w:sz w:val="24"/>
                <w:szCs w:val="24"/>
              </w:rPr>
              <w:t>34,575,175.00</w:t>
            </w:r>
          </w:p>
        </w:tc>
        <w:tc>
          <w:tcPr>
            <w:vAlign w:val="center"/>
          </w:tcPr>
          <w:p>
            <w:pPr>
              <w:jc w:val="right"/>
            </w:pPr>
            <w:r>
              <w:rPr>
                <w:color w:val="000000"/>
                <w:kern w:val="0"/>
                <w:sz w:val="24"/>
                <w:szCs w:val="24"/>
              </w:rPr>
              <w:t>5.13</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601137</w:t>
            </w:r>
          </w:p>
        </w:tc>
        <w:tc>
          <w:tcPr>
            <w:vAlign w:val="center"/>
          </w:tcPr>
          <w:p>
            <w:pPr>
              <w:jc w:val="center"/>
            </w:pPr>
            <w:r>
              <w:rPr>
                <w:color w:val="000000"/>
                <w:kern w:val="0"/>
                <w:sz w:val="24"/>
                <w:szCs w:val="24"/>
              </w:rPr>
              <w:t>博威合金</w:t>
            </w:r>
          </w:p>
        </w:tc>
        <w:tc>
          <w:tcPr>
            <w:vAlign w:val="center"/>
          </w:tcPr>
          <w:p>
            <w:pPr>
              <w:jc w:val="right"/>
            </w:pPr>
            <w:r>
              <w:rPr>
                <w:color w:val="000000"/>
                <w:kern w:val="0"/>
                <w:sz w:val="24"/>
                <w:szCs w:val="24"/>
              </w:rPr>
              <w:t>2,546,382</w:t>
            </w:r>
          </w:p>
        </w:tc>
        <w:tc>
          <w:tcPr>
            <w:vAlign w:val="center"/>
          </w:tcPr>
          <w:p>
            <w:pPr>
              <w:jc w:val="right"/>
            </w:pPr>
            <w:r>
              <w:rPr>
                <w:color w:val="000000"/>
                <w:kern w:val="0"/>
                <w:sz w:val="24"/>
                <w:szCs w:val="24"/>
              </w:rPr>
              <w:t>34,401,620.82</w:t>
            </w:r>
          </w:p>
        </w:tc>
        <w:tc>
          <w:tcPr>
            <w:vAlign w:val="center"/>
          </w:tcPr>
          <w:p>
            <w:pPr>
              <w:jc w:val="right"/>
            </w:pPr>
            <w:r>
              <w:rPr>
                <w:color w:val="000000"/>
                <w:kern w:val="0"/>
                <w:sz w:val="24"/>
                <w:szCs w:val="24"/>
              </w:rPr>
              <w:t>5.11</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603799</w:t>
            </w:r>
          </w:p>
        </w:tc>
        <w:tc>
          <w:tcPr>
            <w:vAlign w:val="center"/>
          </w:tcPr>
          <w:p>
            <w:pPr>
              <w:jc w:val="center"/>
            </w:pPr>
            <w:r>
              <w:rPr>
                <w:color w:val="000000"/>
                <w:kern w:val="0"/>
                <w:sz w:val="24"/>
                <w:szCs w:val="24"/>
              </w:rPr>
              <w:t>华友钴业</w:t>
            </w:r>
          </w:p>
        </w:tc>
        <w:tc>
          <w:tcPr>
            <w:vAlign w:val="center"/>
          </w:tcPr>
          <w:p>
            <w:pPr>
              <w:jc w:val="right"/>
            </w:pPr>
            <w:r>
              <w:rPr>
                <w:color w:val="000000"/>
                <w:kern w:val="0"/>
                <w:sz w:val="24"/>
                <w:szCs w:val="24"/>
              </w:rPr>
              <w:t>863,932</w:t>
            </w:r>
          </w:p>
        </w:tc>
        <w:tc>
          <w:tcPr>
            <w:vAlign w:val="center"/>
          </w:tcPr>
          <w:p>
            <w:pPr>
              <w:jc w:val="right"/>
            </w:pPr>
            <w:r>
              <w:rPr>
                <w:color w:val="000000"/>
                <w:kern w:val="0"/>
                <w:sz w:val="24"/>
                <w:szCs w:val="24"/>
              </w:rPr>
              <w:t>29,969,801.08</w:t>
            </w:r>
          </w:p>
        </w:tc>
        <w:tc>
          <w:tcPr>
            <w:vAlign w:val="center"/>
          </w:tcPr>
          <w:p>
            <w:pPr>
              <w:jc w:val="right"/>
            </w:pPr>
            <w:r>
              <w:rPr>
                <w:color w:val="000000"/>
                <w:kern w:val="0"/>
                <w:sz w:val="24"/>
                <w:szCs w:val="24"/>
              </w:rPr>
              <w:t>4.45</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601225</w:t>
            </w:r>
          </w:p>
        </w:tc>
        <w:tc>
          <w:tcPr>
            <w:vAlign w:val="center"/>
          </w:tcPr>
          <w:p>
            <w:pPr>
              <w:jc w:val="center"/>
            </w:pPr>
            <w:r>
              <w:rPr>
                <w:color w:val="000000"/>
                <w:kern w:val="0"/>
                <w:sz w:val="24"/>
                <w:szCs w:val="24"/>
              </w:rPr>
              <w:t>陕西煤业</w:t>
            </w:r>
          </w:p>
        </w:tc>
        <w:tc>
          <w:tcPr>
            <w:vAlign w:val="center"/>
          </w:tcPr>
          <w:p>
            <w:pPr>
              <w:jc w:val="right"/>
            </w:pPr>
            <w:r>
              <w:rPr>
                <w:color w:val="000000"/>
                <w:kern w:val="0"/>
                <w:sz w:val="24"/>
                <w:szCs w:val="24"/>
              </w:rPr>
              <w:t>3,402,820</w:t>
            </w:r>
          </w:p>
        </w:tc>
        <w:tc>
          <w:tcPr>
            <w:vAlign w:val="center"/>
          </w:tcPr>
          <w:p>
            <w:pPr>
              <w:jc w:val="right"/>
            </w:pPr>
            <w:r>
              <w:rPr>
                <w:color w:val="000000"/>
                <w:kern w:val="0"/>
                <w:sz w:val="24"/>
                <w:szCs w:val="24"/>
              </w:rPr>
              <w:t>28,549,659.80</w:t>
            </w:r>
          </w:p>
        </w:tc>
        <w:tc>
          <w:tcPr>
            <w:vAlign w:val="center"/>
          </w:tcPr>
          <w:p>
            <w:pPr>
              <w:jc w:val="right"/>
            </w:pPr>
            <w:r>
              <w:rPr>
                <w:color w:val="000000"/>
                <w:kern w:val="0"/>
                <w:sz w:val="24"/>
                <w:szCs w:val="24"/>
              </w:rPr>
              <w:t>4.24</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002182</w:t>
            </w:r>
          </w:p>
        </w:tc>
        <w:tc>
          <w:tcPr>
            <w:vAlign w:val="center"/>
          </w:tcPr>
          <w:p>
            <w:pPr>
              <w:jc w:val="center"/>
            </w:pPr>
            <w:r>
              <w:rPr>
                <w:color w:val="000000"/>
                <w:kern w:val="0"/>
                <w:sz w:val="24"/>
                <w:szCs w:val="24"/>
              </w:rPr>
              <w:t>云海金属</w:t>
            </w:r>
          </w:p>
        </w:tc>
        <w:tc>
          <w:tcPr>
            <w:vAlign w:val="center"/>
          </w:tcPr>
          <w:p>
            <w:pPr>
              <w:jc w:val="right"/>
            </w:pPr>
            <w:r>
              <w:rPr>
                <w:color w:val="000000"/>
                <w:kern w:val="0"/>
                <w:sz w:val="24"/>
                <w:szCs w:val="24"/>
              </w:rPr>
              <w:t>2,942,509</w:t>
            </w:r>
          </w:p>
        </w:tc>
        <w:tc>
          <w:tcPr>
            <w:vAlign w:val="center"/>
          </w:tcPr>
          <w:p>
            <w:pPr>
              <w:jc w:val="right"/>
            </w:pPr>
            <w:r>
              <w:rPr>
                <w:color w:val="000000"/>
                <w:kern w:val="0"/>
                <w:sz w:val="24"/>
                <w:szCs w:val="24"/>
              </w:rPr>
              <w:t>27,277,058.43</w:t>
            </w:r>
          </w:p>
        </w:tc>
        <w:tc>
          <w:tcPr>
            <w:vAlign w:val="center"/>
          </w:tcPr>
          <w:p>
            <w:pPr>
              <w:jc w:val="right"/>
            </w:pPr>
            <w:r>
              <w:rPr>
                <w:color w:val="000000"/>
                <w:kern w:val="0"/>
                <w:sz w:val="24"/>
                <w:szCs w:val="24"/>
              </w:rPr>
              <w:t>4.05</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 年 10 月 29 日，因浙江华友钴业股份有限公司未对载运货物性质尽到注意义务，在货物载运进口时，未正确办理进口手续，嘉兴海事局出具《行政处罚决定书》，对华友钴业处以罚款 2.0736 万元的罚款。</w:t>
      </w:r>
    </w:p>
    <w:p>
      <w:pPr>
        <w:spacing w:line="360" w:lineRule="auto"/>
        <w:rPr>
          <w:rFonts w:ascii="宋体" w:hAnsi="宋体"/>
          <w:color w:val="000000"/>
          <w:sz w:val="24"/>
          <w:szCs w:val="24"/>
        </w:rPr>
      </w:pPr>
      <w:r>
        <w:rPr>
          <w:rFonts w:ascii="宋体" w:hAnsi="宋体"/>
          <w:color w:val="000000"/>
          <w:sz w:val="24"/>
          <w:szCs w:val="24"/>
        </w:rPr>
        <w:t>本基金投资华友钴业的投资决策程序符合公司投资制度的规定。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除华友钴业外，本基金投资的前十名证券的发行主体本期没有出现被监管部门立案调查，或在报告编制日前一年内受到公开谴责、处罚的情形。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149,076.88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4,970.80</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1,839,489.87</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1,993,537.55</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546,418,068.71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732,634,570.46</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544,624,838.82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734,427,800.35</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1.中国证监会核准易方达资源行业股票型证券投资基金募集的文件；</w:t>
      </w:r>
    </w:p>
    <w:p>
      <w:pPr>
        <w:spacing w:line="360" w:lineRule="auto"/>
        <w:ind w:firstLine="480" w:firstLineChars="200"/>
        <w:rPr>
          <w:color w:val="000000"/>
          <w:sz w:val="24"/>
          <w:szCs w:val="24"/>
        </w:rPr>
      </w:pPr>
      <w:r>
        <w:rPr>
          <w:color w:val="000000"/>
          <w:sz w:val="24"/>
          <w:szCs w:val="24"/>
        </w:rPr>
        <w:t>2.易方达基金管理有限公司关于旗下部分开放式基金更名及修改基金合同、托管协议的公告</w:t>
      </w:r>
    </w:p>
    <w:p>
      <w:pPr>
        <w:spacing w:line="360" w:lineRule="auto"/>
        <w:ind w:firstLine="480" w:firstLineChars="200"/>
        <w:rPr>
          <w:color w:val="000000"/>
          <w:sz w:val="24"/>
          <w:szCs w:val="24"/>
        </w:rPr>
      </w:pPr>
      <w:r>
        <w:rPr>
          <w:color w:val="000000"/>
          <w:sz w:val="24"/>
          <w:szCs w:val="24"/>
        </w:rPr>
        <w:t>3.《易方达资源行业混合型证券投资基金基金合同》；</w:t>
      </w:r>
    </w:p>
    <w:p>
      <w:pPr>
        <w:spacing w:line="360" w:lineRule="auto"/>
        <w:ind w:firstLine="480" w:firstLineChars="200"/>
        <w:rPr>
          <w:color w:val="000000"/>
          <w:sz w:val="24"/>
          <w:szCs w:val="24"/>
        </w:rPr>
      </w:pPr>
      <w:r>
        <w:rPr>
          <w:color w:val="000000"/>
          <w:sz w:val="24"/>
          <w:szCs w:val="24"/>
        </w:rPr>
        <w:t>4.《易方达资源行业混合型证券投资基金托管协议》；</w:t>
      </w:r>
    </w:p>
    <w:p>
      <w:pPr>
        <w:spacing w:line="360" w:lineRule="auto"/>
        <w:ind w:firstLine="480" w:firstLineChars="200"/>
        <w:rPr>
          <w:color w:val="000000"/>
          <w:sz w:val="24"/>
          <w:szCs w:val="24"/>
        </w:rPr>
      </w:pPr>
      <w:r>
        <w:rPr>
          <w:color w:val="000000"/>
          <w:sz w:val="24"/>
          <w:szCs w:val="24"/>
        </w:rPr>
        <w:t>5.《易方达基金管理有限公司开放式基金业务规则》；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6.基金管理人业务资格批件和营业执照。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易方达资源行业混合型证券投资基金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