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542546" w:rsidR="00750D48" w:rsidRDefault="00750D48" w:rsidRPr="00264E55">
      <w:pPr>
        <w:spacing w:line="360" w:lineRule="auto"/>
        <w:jc w:val="center"/>
        <w:rPr>
          <w:rFonts w:ascii="宋体" w:hAnsi="宋体"/>
          <w:b/>
          <w:sz w:val="36"/>
          <w:szCs w:val="36"/>
        </w:rPr>
      </w:pPr>
      <w:r w:rsidRPr="00264E55">
        <w:rPr>
          <w:rFonts w:ascii="宋体"/>
          <w:b/>
          <w:sz w:val="36"/>
          <w:szCs w:val="36"/>
        </w:rPr>
        <w:t/>
      </w:r>
      <w:proofErr w:type="spellStart"/>
      <w:proofErr w:type="gramStart"/>
      <w:r w:rsidRPr="00264E55">
        <w:rPr>
          <w:rFonts w:ascii="宋体" w:hAnsi="宋体"/>
          <w:b/>
          <w:sz w:val="36"/>
          <w:szCs w:val="36"/>
        </w:rPr>
        <w:t/>
      </w:r>
      <w:proofErr w:type="spellEnd"/>
      <w:proofErr w:type="gramEnd"/>
      <w:r w:rsidRPr="00264E55">
        <w:rPr>
          <w:rFonts w:ascii="宋体" w:hAnsi="宋体"/>
          <w:b/>
          <w:sz w:val="36"/>
          <w:szCs w:val="36"/>
        </w:rPr>
        <w:t>易方达消费行业股票型证券投资基金</w:t>
      </w:r>
    </w:p>
    <w:p w:rsidP="00542546" w:rsidR="00750D48" w:rsidRDefault="00750D48" w:rsidRPr="00264E55">
      <w:pPr>
        <w:spacing w:line="360" w:lineRule="auto"/>
        <w:jc w:val="center"/>
        <w:rPr>
          <w:rFonts w:ascii="宋体" w:hAnsi="宋体"/>
          <w:b/>
          <w:sz w:val="36"/>
          <w:szCs w:val="36"/>
        </w:rPr>
      </w:pPr>
      <w:r w:rsidRPr="00264E55">
        <w:rPr>
          <w:rFonts w:ascii="宋体" w:hAnsi="宋体"/>
          <w:b/>
          <w:sz w:val="36"/>
          <w:szCs w:val="36"/>
        </w:rPr>
        <w:t/>
      </w:r>
      <w:proofErr w:type="spellStart"/>
      <w:r w:rsidRPr="00264E55">
        <w:rPr>
          <w:rFonts w:ascii="宋体" w:hAnsi="宋体"/>
          <w:b/>
          <w:sz w:val="36"/>
          <w:szCs w:val="36"/>
        </w:rPr>
        <w:t/>
      </w:r>
      <w:proofErr w:type="spellEnd"/>
      <w:r w:rsidRPr="00264E55">
        <w:rPr>
          <w:rFonts w:ascii="宋体" w:hAnsi="宋体"/>
          <w:b/>
          <w:sz w:val="36"/>
          <w:szCs w:val="36"/>
        </w:rPr>
        <w:t>2020年第3季度报告</w:t>
      </w:r>
    </w:p>
    <w:p w:rsidP="00542546" w:rsidR="00750D48" w:rsidRDefault="00750D48" w:rsidRPr="00093704">
      <w:pPr>
        <w:spacing w:line="360" w:lineRule="auto"/>
        <w:jc w:val="center"/>
        <w:rPr>
          <w:rFonts w:ascii="宋体" w:hAnsi="宋体"/>
          <w:b/>
          <w:sz w:val="24"/>
          <w:szCs w:val="24"/>
        </w:rPr>
      </w:pPr>
      <w:r w:rsidRPr="00093704">
        <w:rPr>
          <w:rFonts w:ascii="宋体"/>
          <w:b/>
          <w:sz w:val="24"/>
          <w:szCs w:val="24"/>
        </w:rPr>
        <w:t/>
      </w:r>
      <w:proofErr w:type="spellStart"/>
      <w:proofErr w:type="gramStart"/>
      <w:r w:rsidRPr="00093704">
        <w:rPr>
          <w:rFonts w:ascii="宋体" w:hAnsi="宋体"/>
          <w:b/>
          <w:sz w:val="24"/>
          <w:szCs w:val="24"/>
        </w:rPr>
        <w:t/>
      </w:r>
      <w:proofErr w:type="spellEnd"/>
      <w:proofErr w:type="gramEnd"/>
      <w:r w:rsidRPr="00093704">
        <w:rPr>
          <w:rFonts w:ascii="宋体" w:hAnsi="宋体"/>
          <w:b/>
          <w:sz w:val="24"/>
          <w:szCs w:val="24"/>
        </w:rPr>
        <w:t>2020年9月30日</w:t>
      </w: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rPr>
          <w:rFonts w:ascii="宋体"/>
          <w:b/>
          <w:bCs/>
          <w:color w:val="000000"/>
          <w:sz w:val="24"/>
          <w:szCs w:val="24"/>
        </w:rPr>
      </w:pP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易方达基金管理有限公司</w:t>
      </w: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中国农业银行股份有限公司</w:t>
      </w:r>
    </w:p>
    <w:p w:rsidP="00EB572F" w:rsidR="00750D48" w:rsidRDefault="00750D48" w:rsidRPr="00264E55">
      <w:pPr>
        <w:spacing w:line="360" w:lineRule="auto"/>
        <w:ind w:firstLine="2168" w:firstLineChars="900"/>
        <w:rPr>
          <w:rFonts w:ascii="宋体" w:hAnsi="宋体"/>
          <w:b/>
          <w:color w:val="000000"/>
          <w:sz w:val="24"/>
          <w:szCs w:val="24"/>
        </w:rPr>
        <w:sectPr w:rsidR="00750D48" w:rsidRPr="00264E55" w:rsidSect="00304A12">
          <w:headerReference r:id="rId9" w:type="default"/>
          <w:footerReference r:id="rId10" w:type="default"/>
          <w:pgSz w:h="15840" w:w="11926"/>
          <w:pgMar w:bottom="851" w:footer="992" w:gutter="0" w:header="851" w:left="1418" w:right="1418" w:top="1418"/>
          <w:cols w:space="720"/>
          <w:noEndnote/>
        </w:sectPr>
      </w:pPr>
      <w:r w:rsidRPr="00264E55">
        <w:rPr>
          <w:rFonts w:ascii="宋体" w:hAnsi="宋体" w:hint="eastAsia"/>
          <w:b/>
          <w:color w:val="000000"/>
          <w:sz w:val="24"/>
          <w:szCs w:val="24"/>
        </w:rPr>
        <w:t>报告送出日期：</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二〇二〇年十月二十八日</w:t>
      </w:r>
    </w:p>
    <w:p w:rsidP="004D28A3" w:rsidR="00750D48" w:rsidRDefault="00750D48" w:rsidRPr="00264E55">
      <w:pPr>
        <w:pStyle w:val="1"/>
        <w:spacing w:after="312" w:afterLines="100" w:before="312" w:before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pPr>
        <w:spacing w:line="360"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szCs w:val="24"/>
        </w:rPr>
      </w:pPr>
      <w:r>
        <w:rPr>
          <w:color w:val="000000"/>
          <w:sz w:val="24"/>
          <w:szCs w:val="24"/>
        </w:rPr>
        <w:t xml:space="preserve">基金托管人中国农业银行股份有限公司根据本基金合同规定，于2020年10月26日复核了本报告中的财务指标、净值表现和投资组合报告等内容，保证复核内容不存在虚假记载、误导性陈述或者重大遗漏。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line="360"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szCs w:val="24"/>
        </w:rPr>
      </w:pPr>
      <w:r>
        <w:rPr>
          <w:color w:val="000000"/>
          <w:sz w:val="24"/>
          <w:szCs w:val="24"/>
        </w:rPr>
        <w:t>本报告中财务资料未经审计。</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proofErr w:type="gramStart"/>
      <w:r w:rsidRPr="006C56AA">
        <w:rPr>
          <w:color w:val="000000"/>
          <w:sz w:val="24"/>
          <w:szCs w:val="24"/>
        </w:rPr>
        <w:t/>
      </w:r>
      <w:proofErr w:type="spellEnd"/>
      <w:proofErr w:type="gramEnd"/>
      <w:r w:rsidRPr="006C56AA">
        <w:rPr>
          <w:color w:val="000000"/>
          <w:sz w:val="24"/>
          <w:szCs w:val="24"/>
        </w:rPr>
        <w:t>本报告期自2020年7月1日起至9月30日止。</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750D48" w:rsidRPr="00264E55" w:rsidTr="00500A03">
        <w:tc>
          <w:tcPr>
            <w:tcW w:type="dxa" w:w="2835"/>
          </w:tcPr>
          <w:p w:rsidP="007B5AFB" w:rsidR="00750D48" w:rsidRDefault="00750D48" w:rsidRPr="00232B03">
            <w:pPr>
              <w:adjustRightInd w:val="0"/>
              <w:spacing w:before="29" w:line="360" w:lineRule="auto"/>
              <w:ind w:left="17"/>
              <w:jc w:val="left"/>
              <w:rPr>
                <w:kern w:val="0"/>
                <w:sz w:val="24"/>
                <w:szCs w:val="24"/>
              </w:rPr>
            </w:pPr>
            <w:r w:rsidRPr="00232B03">
              <w:rPr>
                <w:kern w:val="0"/>
                <w:sz w:val="24"/>
                <w:szCs w:val="24"/>
              </w:rPr>
              <w:t>基金简称</w:t>
            </w:r>
          </w:p>
        </w:tc>
        <w:tc>
          <w:tcPr>
            <w:tcW w:type="dxa" w:w="5479"/>
            <w:gridSpan w:val="2"/>
          </w:tcPr>
          <w:p w:rsidP="007B5AFB"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易方达消费行业股票</w:t>
            </w:r>
          </w:p>
        </w:tc>
      </w:tr>
      <w:tr w:rsidR="00750D48" w:rsidRPr="00264E55" w:rsidTr="00D94B8D">
        <w:tc>
          <w:tcPr>
            <w:tcW w:type="dxa" w:w="2835"/>
          </w:tcPr>
          <w:p w:rsidR="00750D48" w:rsidRDefault="00750D48" w:rsidRPr="00232B03">
            <w:pPr>
              <w:adjustRightInd w:val="0"/>
              <w:spacing w:before="29" w:line="360" w:lineRule="auto"/>
              <w:ind w:left="17"/>
              <w:jc w:val="left"/>
              <w:rPr>
                <w:kern w:val="0"/>
                <w:sz w:val="24"/>
                <w:szCs w:val="24"/>
              </w:rPr>
            </w:pPr>
            <w:r w:rsidRPr="00232B03">
              <w:rPr>
                <w:kern w:val="0"/>
                <w:sz w:val="24"/>
                <w:szCs w:val="24"/>
              </w:rPr>
              <w:t>基金主代码</w:t>
            </w:r>
          </w:p>
        </w:tc>
        <w:tc>
          <w:tcPr>
            <w:tcW w:type="dxa" w:w="5479"/>
            <w:gridSpan w:val="2"/>
          </w:tcPr>
          <w:p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110022</w:t>
            </w:r>
          </w:p>
        </w:tc>
      </w:tr>
      <w:tr w:rsidR="00750D48" w:rsidRPr="00264E55" w:rsidTr="00D94B8D">
        <w:tc>
          <w:tcPr>
            <w:tcW w:type="dxa" w:w="2835"/>
          </w:tcPr>
          <w:p w:rsidP="00895A8A" w:rsidR="00750D48" w:rsidRDefault="00750D48" w:rsidRPr="00232B03">
            <w:pPr>
              <w:adjustRightInd w:val="0"/>
              <w:spacing w:before="29" w:line="360" w:lineRule="auto"/>
              <w:ind w:left="17"/>
              <w:jc w:val="left"/>
              <w:rPr>
                <w:kern w:val="0"/>
                <w:sz w:val="24"/>
                <w:szCs w:val="24"/>
              </w:rPr>
            </w:pPr>
            <w:r w:rsidRPr="00232B03">
              <w:rPr>
                <w:kern w:val="0"/>
                <w:sz w:val="24"/>
                <w:szCs w:val="24"/>
              </w:rPr>
              <w:t>交易代码</w:t>
            </w:r>
          </w:p>
        </w:tc>
        <w:tc>
          <w:tcPr>
            <w:tcW w:type="dxa" w:w="5479"/>
            <w:gridSpan w:val="2"/>
          </w:tcPr>
          <w:p w:rsidP="00895A8A" w:rsidR="00750D48" w:rsidRDefault="00750D48" w:rsidRPr="00232B03">
            <w:pPr>
              <w:adjustRightInd w:val="0"/>
              <w:spacing w:before="29" w:line="360" w:lineRule="auto"/>
              <w:ind w:left="17"/>
              <w:jc w:val="left"/>
              <w:rPr>
                <w:color w:val="000000"/>
                <w:kern w:val="0"/>
                <w:sz w:val="24"/>
                <w:szCs w:val="24"/>
              </w:rPr>
            </w:pPr>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110022</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基金运作方式</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契约型开放式</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基金合同生效日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2010年8月20日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报告期末基金份额总额</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5,923,415,816.10</w:t>
            </w:r>
            <w:r w:rsidRPr="00232B03">
              <w:rPr>
                <w:color w:val="000000"/>
                <w:kern w:val="0"/>
                <w:sz w:val="24"/>
                <w:szCs w:val="24"/>
              </w:rPr>
              <w:t>份</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投资目标</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主要投资消费行业股票，在严格控制风险的前提下，追求超越业绩比较基准的投资回报。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投资策略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本基金将根据对消费行业各子行业的综合分析，从中选择具有较强竞争优势且估值具有吸引力的上市公司进行投资，在努力控制风险的前提下追求更高回报。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业绩比较基准</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中证内地消费主题指数收益率×85%+中债总指数收益率×15%</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风险收益特征</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本基金为主动股票基金，理论上其风险收益水平高于混合基金和债券基金。同时，本基金为行业基金，在享受消费行业收益的同时，也必须承担单一行业带来的风险。</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基金管理人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易方达基金管理有限公司</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基金托管人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中国农业银行股份有限公司</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P="00392044" w:rsidR="00392044" w:rsidRDefault="00392044"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392044" w:rsidRPr="006506EF" w:rsidTr="00C3442A">
        <w:tc>
          <w:tcPr>
            <w:tcW w:type="dxa" w:w="3402"/>
            <w:vAlign w:val="center"/>
          </w:tcPr>
          <w:p w:rsidP="00C3442A" w:rsidR="00392044" w:rsidRDefault="00392044"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报告期</w:t>
            </w:r>
          </w:p>
          <w:p w:rsidP="00C3442A" w:rsidR="00392044" w:rsidRDefault="00392044"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1,923,451,826.63</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3,945,602,064.59</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0.6900</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24,184,237,848.63</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4.083</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szCs w:val="24"/>
        </w:rPr>
      </w:pPr>
      <w:r>
        <w:rPr>
          <w:color w:val="000000"/>
          <w:sz w:val="24"/>
        </w:rPr>
        <w:t>注：1.所述基金业绩指标不包括持有人认购或交易基金的各项费用，计入费用后实际收益水平要低于所列数字。</w:t>
      </w:r>
    </w:p>
    <w:p w:rsidP="00232B03" w:rsidR="00750D48" w:rsidRDefault="00392044" w:rsidRPr="00232B03">
      <w:pPr>
        <w:spacing w:line="360" w:lineRule="auto"/>
        <w:ind w:firstLine="480" w:firstLineChars="200"/>
        <w:rPr>
          <w:color w:val="000000"/>
          <w:sz w:val="24"/>
          <w:szCs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P="009E7C6A" w:rsidR="00750D48" w:rsidRDefault="00750D48" w:rsidRPr="00264E55">
      <w:pPr>
        <w:autoSpaceDE w:val="0"/>
        <w:autoSpaceDN w:val="0"/>
        <w:adjustRightInd w:val="0"/>
        <w:spacing w:line="360" w:lineRule="auto"/>
        <w:jc w:val="left"/>
        <w:rPr>
          <w:rFonts w:ascii="宋体" w:cs="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cs="宋体" w:hAnsi="宋体" w:hint="eastAsia"/>
          <w:b/>
          <w:bCs/>
          <w:color w:val="000000"/>
          <w:kern w:val="0"/>
          <w:sz w:val="24"/>
          <w:szCs w:val="24"/>
        </w:rPr>
        <w:t>本报告</w:t>
      </w:r>
      <w:proofErr w:type="gramStart"/>
      <w:r w:rsidRPr="00264E55">
        <w:rPr>
          <w:rFonts w:ascii="宋体" w:cs="宋体" w:hAnsi="宋体" w:hint="eastAsia"/>
          <w:b/>
          <w:bCs/>
          <w:color w:val="000000"/>
          <w:kern w:val="0"/>
          <w:sz w:val="24"/>
          <w:szCs w:val="24"/>
        </w:rPr>
        <w:t>期基金</w:t>
      </w:r>
      <w:proofErr w:type="gramEnd"/>
      <w:r w:rsidRPr="00264E55">
        <w:rPr>
          <w:rFonts w:ascii="宋体" w:cs="宋体" w:hAnsi="宋体" w:hint="eastAsia"/>
          <w:b/>
          <w:bCs/>
          <w:color w:val="000000"/>
          <w:kern w:val="0"/>
          <w:sz w:val="24"/>
          <w:szCs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750D48" w:rsidRPr="00264E55" w:rsidTr="00B05049">
        <w:tc>
          <w:tcPr>
            <w:tcW w:type="dxa" w:w="1395"/>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
            </w:r>
          </w:p>
        </w:tc>
        <w:tc>
          <w:tcPr>
            <w:tcW w:type="dxa" w:w="1092"/>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cs="宋体" w:hAnsi="宋体" w:hint="eastAsia"/>
                <w:color w:val="000000"/>
                <w:kern w:val="0"/>
                <w:sz w:val="24"/>
                <w:szCs w:val="24"/>
              </w:rPr>
              <w:t>①</w:t>
            </w:r>
          </w:p>
        </w:tc>
        <w:tc>
          <w:tcPr>
            <w:tcW w:type="dxa" w:w="116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cs="宋体" w:hAnsi="宋体" w:hint="eastAsia"/>
                <w:color w:val="000000"/>
                <w:kern w:val="0"/>
                <w:sz w:val="24"/>
                <w:szCs w:val="24"/>
              </w:rPr>
              <w:t>②</w:t>
            </w:r>
          </w:p>
        </w:tc>
        <w:tc>
          <w:tcPr>
            <w:tcW w:type="dxa" w:w="118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cs="宋体" w:hAnsi="宋体" w:hint="eastAsia"/>
                <w:color w:val="000000"/>
                <w:kern w:val="0"/>
                <w:sz w:val="24"/>
                <w:szCs w:val="24"/>
              </w:rPr>
              <w:lastRenderedPageBreak/>
              <w:t>③</w:t>
            </w:r>
          </w:p>
        </w:tc>
        <w:tc>
          <w:tcPr>
            <w:tcW w:type="dxa" w:w="1188"/>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cs="宋体" w:hAnsi="宋体" w:hint="eastAsia"/>
                <w:color w:val="000000"/>
                <w:kern w:val="0"/>
                <w:sz w:val="24"/>
                <w:szCs w:val="24"/>
              </w:rPr>
              <w:t>④</w:t>
            </w:r>
          </w:p>
        </w:tc>
        <w:tc>
          <w:tcPr>
            <w:tcW w:type="dxa" w:w="1199"/>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lastRenderedPageBreak/>
              <w:t>①</w:t>
            </w:r>
            <w:r w:rsidRPr="00232B03">
              <w:rPr>
                <w:color w:val="000000"/>
                <w:kern w:val="0"/>
                <w:sz w:val="24"/>
                <w:szCs w:val="24"/>
              </w:rPr>
              <w:t>-</w:t>
            </w:r>
            <w:r w:rsidRPr="00232B03">
              <w:rPr>
                <w:rFonts w:ascii="宋体" w:cs="宋体" w:hAnsi="宋体" w:hint="eastAsia"/>
                <w:color w:val="000000"/>
                <w:kern w:val="0"/>
                <w:sz w:val="24"/>
                <w:szCs w:val="24"/>
              </w:rPr>
              <w:t>③</w:t>
            </w:r>
          </w:p>
        </w:tc>
        <w:tc>
          <w:tcPr>
            <w:tcW w:type="dxa" w:w="1204"/>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t>②</w:t>
            </w:r>
            <w:r w:rsidRPr="00232B03">
              <w:rPr>
                <w:color w:val="000000"/>
                <w:kern w:val="0"/>
                <w:sz w:val="24"/>
                <w:szCs w:val="24"/>
              </w:rPr>
              <w:t>-</w:t>
            </w:r>
            <w:r w:rsidRPr="00232B03">
              <w:rPr>
                <w:rFonts w:ascii="宋体" w:cs="宋体" w:hAnsi="宋体" w:hint="eastAsia"/>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20.30%</w:t>
            </w:r>
          </w:p>
        </w:tc>
        <w:tc>
          <w:tcPr>
            <w:vAlign w:val="center"/>
          </w:tcPr>
          <w:p>
            <w:pPr>
              <w:jc w:val="center"/>
            </w:pPr>
            <w:r>
              <w:rPr>
                <w:color w:val="000000"/>
                <w:kern w:val="0"/>
                <w:sz w:val="24"/>
                <w:szCs w:val="24"/>
              </w:rPr>
              <w:t>1.79%</w:t>
            </w:r>
          </w:p>
        </w:tc>
        <w:tc>
          <w:tcPr>
            <w:vAlign w:val="center"/>
          </w:tcPr>
          <w:p>
            <w:pPr>
              <w:jc w:val="center"/>
            </w:pPr>
            <w:r>
              <w:rPr>
                <w:color w:val="000000"/>
                <w:kern w:val="0"/>
                <w:sz w:val="24"/>
                <w:szCs w:val="24"/>
              </w:rPr>
              <w:t>15.47%</w:t>
            </w:r>
          </w:p>
        </w:tc>
        <w:tc>
          <w:tcPr>
            <w:vAlign w:val="center"/>
          </w:tcPr>
          <w:p>
            <w:pPr>
              <w:jc w:val="center"/>
            </w:pPr>
            <w:r>
              <w:rPr>
                <w:color w:val="000000"/>
                <w:kern w:val="0"/>
                <w:sz w:val="24"/>
                <w:szCs w:val="24"/>
              </w:rPr>
              <w:t>1.47%</w:t>
            </w:r>
          </w:p>
        </w:tc>
        <w:tc>
          <w:tcPr>
            <w:vAlign w:val="center"/>
          </w:tcPr>
          <w:p>
            <w:pPr>
              <w:jc w:val="center"/>
            </w:pPr>
            <w:r>
              <w:rPr>
                <w:color w:val="000000"/>
                <w:kern w:val="0"/>
                <w:sz w:val="24"/>
                <w:szCs w:val="24"/>
              </w:rPr>
              <w:t>4.83%</w:t>
            </w:r>
          </w:p>
        </w:tc>
        <w:tc>
          <w:tcPr>
            <w:vAlign w:val="center"/>
          </w:tcPr>
          <w:p>
            <w:pPr>
              <w:jc w:val="center"/>
            </w:pPr>
            <w:r>
              <w:rPr>
                <w:color w:val="000000"/>
                <w:kern w:val="0"/>
                <w:sz w:val="24"/>
                <w:szCs w:val="24"/>
              </w:rPr>
              <w:t>0.32%</w:t>
            </w:r>
          </w:p>
        </w:tc>
      </w:tr>
      <w:tr>
        <w:tc>
          <w:tcPr>
            <w:vAlign w:val="center"/>
          </w:tcPr>
          <w:p>
            <w:pPr>
              <w:jc w:val="left"/>
            </w:pPr>
            <w:r>
              <w:rPr>
                <w:color w:val="000000"/>
                <w:kern w:val="0"/>
                <w:sz w:val="24"/>
                <w:szCs w:val="24"/>
              </w:rPr>
              <w:t>过去六个月</w:t>
            </w:r>
          </w:p>
        </w:tc>
        <w:tc>
          <w:tcPr>
            <w:vAlign w:val="center"/>
          </w:tcPr>
          <w:p>
            <w:pPr>
              <w:jc w:val="center"/>
            </w:pPr>
            <w:r>
              <w:rPr>
                <w:color w:val="000000"/>
                <w:kern w:val="0"/>
                <w:sz w:val="24"/>
                <w:szCs w:val="24"/>
              </w:rPr>
              <w:t>46.13%</w:t>
            </w:r>
          </w:p>
        </w:tc>
        <w:tc>
          <w:tcPr>
            <w:vAlign w:val="center"/>
          </w:tcPr>
          <w:p>
            <w:pPr>
              <w:jc w:val="center"/>
            </w:pPr>
            <w:r>
              <w:rPr>
                <w:color w:val="000000"/>
                <w:kern w:val="0"/>
                <w:sz w:val="24"/>
                <w:szCs w:val="24"/>
              </w:rPr>
              <w:t>1.50%</w:t>
            </w:r>
          </w:p>
        </w:tc>
        <w:tc>
          <w:tcPr>
            <w:vAlign w:val="center"/>
          </w:tcPr>
          <w:p>
            <w:pPr>
              <w:jc w:val="center"/>
            </w:pPr>
            <w:r>
              <w:rPr>
                <w:color w:val="000000"/>
                <w:kern w:val="0"/>
                <w:sz w:val="24"/>
                <w:szCs w:val="24"/>
              </w:rPr>
              <w:t>36.11%</w:t>
            </w:r>
          </w:p>
        </w:tc>
        <w:tc>
          <w:tcPr>
            <w:vAlign w:val="center"/>
          </w:tcPr>
          <w:p>
            <w:pPr>
              <w:jc w:val="center"/>
            </w:pPr>
            <w:r>
              <w:rPr>
                <w:color w:val="000000"/>
                <w:kern w:val="0"/>
                <w:sz w:val="24"/>
                <w:szCs w:val="24"/>
              </w:rPr>
              <w:t>1.23%</w:t>
            </w:r>
          </w:p>
        </w:tc>
        <w:tc>
          <w:tcPr>
            <w:vAlign w:val="center"/>
          </w:tcPr>
          <w:p>
            <w:pPr>
              <w:jc w:val="center"/>
            </w:pPr>
            <w:r>
              <w:rPr>
                <w:color w:val="000000"/>
                <w:kern w:val="0"/>
                <w:sz w:val="24"/>
                <w:szCs w:val="24"/>
              </w:rPr>
              <w:t>10.02%</w:t>
            </w:r>
          </w:p>
        </w:tc>
        <w:tc>
          <w:tcPr>
            <w:vAlign w:val="center"/>
          </w:tcPr>
          <w:p>
            <w:pPr>
              <w:jc w:val="center"/>
            </w:pPr>
            <w:r>
              <w:rPr>
                <w:color w:val="000000"/>
                <w:kern w:val="0"/>
                <w:sz w:val="24"/>
                <w:szCs w:val="24"/>
              </w:rPr>
              <w:t>0.27%</w:t>
            </w:r>
          </w:p>
        </w:tc>
      </w:tr>
      <w:tr>
        <w:tc>
          <w:tcPr>
            <w:vAlign w:val="center"/>
          </w:tcPr>
          <w:p>
            <w:pPr>
              <w:jc w:val="left"/>
            </w:pPr>
            <w:r>
              <w:rPr>
                <w:color w:val="000000"/>
                <w:kern w:val="0"/>
                <w:sz w:val="24"/>
                <w:szCs w:val="24"/>
              </w:rPr>
              <w:t>过去一年</w:t>
            </w:r>
          </w:p>
        </w:tc>
        <w:tc>
          <w:tcPr>
            <w:vAlign w:val="center"/>
          </w:tcPr>
          <w:p>
            <w:pPr>
              <w:jc w:val="center"/>
            </w:pPr>
            <w:r>
              <w:rPr>
                <w:color w:val="000000"/>
                <w:kern w:val="0"/>
                <w:sz w:val="24"/>
                <w:szCs w:val="24"/>
              </w:rPr>
              <w:t>41.48%</w:t>
            </w:r>
          </w:p>
        </w:tc>
        <w:tc>
          <w:tcPr>
            <w:vAlign w:val="center"/>
          </w:tcPr>
          <w:p>
            <w:pPr>
              <w:jc w:val="center"/>
            </w:pPr>
            <w:r>
              <w:rPr>
                <w:color w:val="000000"/>
                <w:kern w:val="0"/>
                <w:sz w:val="24"/>
                <w:szCs w:val="24"/>
              </w:rPr>
              <w:t>1.57%</w:t>
            </w:r>
          </w:p>
        </w:tc>
        <w:tc>
          <w:tcPr>
            <w:vAlign w:val="center"/>
          </w:tcPr>
          <w:p>
            <w:pPr>
              <w:jc w:val="center"/>
            </w:pPr>
            <w:r>
              <w:rPr>
                <w:color w:val="000000"/>
                <w:kern w:val="0"/>
                <w:sz w:val="24"/>
                <w:szCs w:val="24"/>
              </w:rPr>
              <w:t>35.31%</w:t>
            </w:r>
          </w:p>
        </w:tc>
        <w:tc>
          <w:tcPr>
            <w:vAlign w:val="center"/>
          </w:tcPr>
          <w:p>
            <w:pPr>
              <w:jc w:val="center"/>
            </w:pPr>
            <w:r>
              <w:rPr>
                <w:color w:val="000000"/>
                <w:kern w:val="0"/>
                <w:sz w:val="24"/>
                <w:szCs w:val="24"/>
              </w:rPr>
              <w:t>1.31%</w:t>
            </w:r>
          </w:p>
        </w:tc>
        <w:tc>
          <w:tcPr>
            <w:vAlign w:val="center"/>
          </w:tcPr>
          <w:p>
            <w:pPr>
              <w:jc w:val="center"/>
            </w:pPr>
            <w:r>
              <w:rPr>
                <w:color w:val="000000"/>
                <w:kern w:val="0"/>
                <w:sz w:val="24"/>
                <w:szCs w:val="24"/>
              </w:rPr>
              <w:t>6.17%</w:t>
            </w:r>
          </w:p>
        </w:tc>
        <w:tc>
          <w:tcPr>
            <w:vAlign w:val="center"/>
          </w:tcPr>
          <w:p>
            <w:pPr>
              <w:jc w:val="center"/>
            </w:pPr>
            <w:r>
              <w:rPr>
                <w:color w:val="000000"/>
                <w:kern w:val="0"/>
                <w:sz w:val="24"/>
                <w:szCs w:val="24"/>
              </w:rPr>
              <w:t>0.26%</w:t>
            </w:r>
          </w:p>
        </w:tc>
      </w:tr>
      <w:tr>
        <w:tc>
          <w:tcPr>
            <w:vAlign w:val="center"/>
          </w:tcPr>
          <w:p>
            <w:pPr>
              <w:jc w:val="left"/>
            </w:pPr>
            <w:r>
              <w:rPr>
                <w:color w:val="000000"/>
                <w:kern w:val="0"/>
                <w:sz w:val="24"/>
                <w:szCs w:val="24"/>
              </w:rPr>
              <w:t>过去三年</w:t>
            </w:r>
          </w:p>
        </w:tc>
        <w:tc>
          <w:tcPr>
            <w:vAlign w:val="center"/>
          </w:tcPr>
          <w:p>
            <w:pPr>
              <w:jc w:val="center"/>
            </w:pPr>
            <w:r>
              <w:rPr>
                <w:color w:val="000000"/>
                <w:kern w:val="0"/>
                <w:sz w:val="24"/>
                <w:szCs w:val="24"/>
              </w:rPr>
              <w:t>103.74%</w:t>
            </w:r>
          </w:p>
        </w:tc>
        <w:tc>
          <w:tcPr>
            <w:vAlign w:val="center"/>
          </w:tcPr>
          <w:p>
            <w:pPr>
              <w:jc w:val="center"/>
            </w:pPr>
            <w:r>
              <w:rPr>
                <w:color w:val="000000"/>
                <w:kern w:val="0"/>
                <w:sz w:val="24"/>
                <w:szCs w:val="24"/>
              </w:rPr>
              <w:t>1.61%</w:t>
            </w:r>
          </w:p>
        </w:tc>
        <w:tc>
          <w:tcPr>
            <w:vAlign w:val="center"/>
          </w:tcPr>
          <w:p>
            <w:pPr>
              <w:jc w:val="center"/>
            </w:pPr>
            <w:r>
              <w:rPr>
                <w:color w:val="000000"/>
                <w:kern w:val="0"/>
                <w:sz w:val="24"/>
                <w:szCs w:val="24"/>
              </w:rPr>
              <w:t>62.51%</w:t>
            </w:r>
          </w:p>
        </w:tc>
        <w:tc>
          <w:tcPr>
            <w:vAlign w:val="center"/>
          </w:tcPr>
          <w:p>
            <w:pPr>
              <w:jc w:val="center"/>
            </w:pPr>
            <w:r>
              <w:rPr>
                <w:color w:val="000000"/>
                <w:kern w:val="0"/>
                <w:sz w:val="24"/>
                <w:szCs w:val="24"/>
              </w:rPr>
              <w:t>1.35%</w:t>
            </w:r>
          </w:p>
        </w:tc>
        <w:tc>
          <w:tcPr>
            <w:vAlign w:val="center"/>
          </w:tcPr>
          <w:p>
            <w:pPr>
              <w:jc w:val="center"/>
            </w:pPr>
            <w:r>
              <w:rPr>
                <w:color w:val="000000"/>
                <w:kern w:val="0"/>
                <w:sz w:val="24"/>
                <w:szCs w:val="24"/>
              </w:rPr>
              <w:t>41.23%</w:t>
            </w:r>
          </w:p>
        </w:tc>
        <w:tc>
          <w:tcPr>
            <w:vAlign w:val="center"/>
          </w:tcPr>
          <w:p>
            <w:pPr>
              <w:jc w:val="center"/>
            </w:pPr>
            <w:r>
              <w:rPr>
                <w:color w:val="000000"/>
                <w:kern w:val="0"/>
                <w:sz w:val="24"/>
                <w:szCs w:val="24"/>
              </w:rPr>
              <w:t>0.26%</w:t>
            </w:r>
          </w:p>
        </w:tc>
      </w:tr>
      <w:tr>
        <w:tc>
          <w:tcPr>
            <w:vAlign w:val="center"/>
          </w:tcPr>
          <w:p>
            <w:pPr>
              <w:jc w:val="left"/>
            </w:pPr>
            <w:r>
              <w:rPr>
                <w:color w:val="000000"/>
                <w:kern w:val="0"/>
                <w:sz w:val="24"/>
                <w:szCs w:val="24"/>
              </w:rPr>
              <w:t>过去五年</w:t>
            </w:r>
          </w:p>
        </w:tc>
        <w:tc>
          <w:tcPr>
            <w:vAlign w:val="center"/>
          </w:tcPr>
          <w:p>
            <w:pPr>
              <w:jc w:val="center"/>
            </w:pPr>
            <w:r>
              <w:rPr>
                <w:color w:val="000000"/>
                <w:kern w:val="0"/>
                <w:sz w:val="24"/>
                <w:szCs w:val="24"/>
              </w:rPr>
              <w:t>261.97%</w:t>
            </w:r>
          </w:p>
        </w:tc>
        <w:tc>
          <w:tcPr>
            <w:vAlign w:val="center"/>
          </w:tcPr>
          <w:p>
            <w:pPr>
              <w:jc w:val="center"/>
            </w:pPr>
            <w:r>
              <w:rPr>
                <w:color w:val="000000"/>
                <w:kern w:val="0"/>
                <w:sz w:val="24"/>
                <w:szCs w:val="24"/>
              </w:rPr>
              <w:t>1.49%</w:t>
            </w:r>
          </w:p>
        </w:tc>
        <w:tc>
          <w:tcPr>
            <w:vAlign w:val="center"/>
          </w:tcPr>
          <w:p>
            <w:pPr>
              <w:jc w:val="center"/>
            </w:pPr>
            <w:r>
              <w:rPr>
                <w:color w:val="000000"/>
                <w:kern w:val="0"/>
                <w:sz w:val="24"/>
                <w:szCs w:val="24"/>
              </w:rPr>
              <w:t>122.87%</w:t>
            </w:r>
          </w:p>
        </w:tc>
        <w:tc>
          <w:tcPr>
            <w:vAlign w:val="center"/>
          </w:tcPr>
          <w:p>
            <w:pPr>
              <w:jc w:val="center"/>
            </w:pPr>
            <w:r>
              <w:rPr>
                <w:color w:val="000000"/>
                <w:kern w:val="0"/>
                <w:sz w:val="24"/>
                <w:szCs w:val="24"/>
              </w:rPr>
              <w:t>1.26%</w:t>
            </w:r>
          </w:p>
        </w:tc>
        <w:tc>
          <w:tcPr>
            <w:vAlign w:val="center"/>
          </w:tcPr>
          <w:p>
            <w:pPr>
              <w:jc w:val="center"/>
            </w:pPr>
            <w:r>
              <w:rPr>
                <w:color w:val="000000"/>
                <w:kern w:val="0"/>
                <w:sz w:val="24"/>
                <w:szCs w:val="24"/>
              </w:rPr>
              <w:t>139.10%</w:t>
            </w:r>
          </w:p>
        </w:tc>
        <w:tc>
          <w:tcPr>
            <w:vAlign w:val="center"/>
          </w:tcPr>
          <w:p>
            <w:pPr>
              <w:jc w:val="center"/>
            </w:pPr>
            <w:r>
              <w:rPr>
                <w:color w:val="000000"/>
                <w:kern w:val="0"/>
                <w:sz w:val="24"/>
                <w:szCs w:val="24"/>
              </w:rPr>
              <w:t>0.23%</w:t>
            </w:r>
          </w:p>
        </w:tc>
      </w:tr>
      <w:tr>
        <w:tc>
          <w:tcPr>
            <w:vAlign w:val="center"/>
          </w:tcPr>
          <w:p>
            <w:pPr>
              <w:jc w:val="left"/>
            </w:pPr>
            <w:r>
              <w:rPr>
                <w:color w:val="000000"/>
                <w:kern w:val="0"/>
                <w:sz w:val="24"/>
                <w:szCs w:val="24"/>
              </w:rPr>
              <w:t>自基金合同生效起至今</w:t>
            </w:r>
          </w:p>
        </w:tc>
        <w:tc>
          <w:tcPr>
            <w:vAlign w:val="center"/>
          </w:tcPr>
          <w:p>
            <w:pPr>
              <w:jc w:val="center"/>
            </w:pPr>
            <w:r>
              <w:rPr>
                <w:color w:val="000000"/>
                <w:kern w:val="0"/>
                <w:sz w:val="24"/>
                <w:szCs w:val="24"/>
              </w:rPr>
              <w:t>308.30%</w:t>
            </w:r>
          </w:p>
        </w:tc>
        <w:tc>
          <w:tcPr>
            <w:vAlign w:val="center"/>
          </w:tcPr>
          <w:p>
            <w:pPr>
              <w:jc w:val="center"/>
            </w:pPr>
            <w:r>
              <w:rPr>
                <w:color w:val="000000"/>
                <w:kern w:val="0"/>
                <w:sz w:val="24"/>
                <w:szCs w:val="24"/>
              </w:rPr>
              <w:t>1.44%</w:t>
            </w:r>
          </w:p>
        </w:tc>
        <w:tc>
          <w:tcPr>
            <w:vAlign w:val="center"/>
          </w:tcPr>
          <w:p>
            <w:pPr>
              <w:jc w:val="center"/>
            </w:pPr>
            <w:r>
              <w:rPr>
                <w:color w:val="000000"/>
                <w:kern w:val="0"/>
                <w:sz w:val="24"/>
                <w:szCs w:val="24"/>
              </w:rPr>
              <w:t>154.77%</w:t>
            </w:r>
          </w:p>
        </w:tc>
        <w:tc>
          <w:tcPr>
            <w:vAlign w:val="center"/>
          </w:tcPr>
          <w:p>
            <w:pPr>
              <w:jc w:val="center"/>
            </w:pPr>
            <w:r>
              <w:rPr>
                <w:color w:val="000000"/>
                <w:kern w:val="0"/>
                <w:sz w:val="24"/>
                <w:szCs w:val="24"/>
              </w:rPr>
              <w:t>1.29%</w:t>
            </w:r>
          </w:p>
        </w:tc>
        <w:tc>
          <w:tcPr>
            <w:vAlign w:val="center"/>
          </w:tcPr>
          <w:p>
            <w:pPr>
              <w:jc w:val="center"/>
            </w:pPr>
            <w:r>
              <w:rPr>
                <w:color w:val="000000"/>
                <w:kern w:val="0"/>
                <w:sz w:val="24"/>
                <w:szCs w:val="24"/>
              </w:rPr>
              <w:t>153.53%</w:t>
            </w:r>
          </w:p>
        </w:tc>
        <w:tc>
          <w:tcPr>
            <w:vAlign w:val="center"/>
          </w:tcPr>
          <w:p>
            <w:pPr>
              <w:jc w:val="center"/>
            </w:pPr>
            <w:r>
              <w:rPr>
                <w:color w:val="000000"/>
                <w:kern w:val="0"/>
                <w:sz w:val="24"/>
                <w:szCs w:val="24"/>
              </w:rPr>
              <w:t>0.15%</w:t>
            </w:r>
          </w:p>
        </w:tc>
      </w:tr>
    </w:tbl>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color="auto" w:fill="FFFFFF" w:val="clear"/>
          </w:rPr>
          <w:t/>
        </w:r>
        <w:proofErr w:type="spellStart"/>
        <w:r w:rsidR="00D87469" w:rsidRPr="00370BEA">
          <w:rPr>
            <w:rStyle w:val="afb"/>
            <w:rFonts w:hint="eastAsia"/>
            <w:color w:val="000000"/>
            <w:sz w:val="24"/>
            <w:shd w:color="auto" w:fill="FFFFFF" w:val="clear"/>
          </w:rPr>
          <w:t/>
        </w:r>
        <w:proofErr w:type="spellEnd"/>
        <w:r w:rsidR="00D87469" w:rsidRPr="00370BEA">
          <w:rPr>
            <w:rStyle w:val="afb"/>
            <w:rFonts w:hint="eastAsia"/>
            <w:color w:val="000000"/>
            <w:sz w:val="24"/>
            <w:shd w:color="auto" w:fill="FFFFFF" w:val="clear"/>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P="009E7C6A" w:rsidR="00750D48" w:rsidRDefault="00750D48" w:rsidRPr="0074694E">
      <w:pPr>
        <w:spacing w:line="360" w:lineRule="auto"/>
        <w:jc w:val="center"/>
        <w:rPr>
          <w:color w:val="000000"/>
          <w:sz w:val="24"/>
          <w:szCs w:val="24"/>
        </w:rPr>
      </w:pPr>
      <w:r w:rsidRPr="0074694E">
        <w:rPr>
          <w:color w:val="000000"/>
          <w:sz w:val="24"/>
          <w:szCs w:val="24"/>
        </w:rPr>
        <w:t/>
      </w:r>
      <w:proofErr w:type="spellStart"/>
      <w:r w:rsidRPr="0074694E">
        <w:rPr>
          <w:color w:val="000000"/>
          <w:sz w:val="24"/>
          <w:szCs w:val="24"/>
        </w:rPr>
        <w:t/>
      </w:r>
      <w:proofErr w:type="spellEnd"/>
      <w:r w:rsidRPr="0074694E">
        <w:rPr>
          <w:color w:val="000000"/>
          <w:sz w:val="24"/>
          <w:szCs w:val="24"/>
        </w:rPr>
        <w:t>易方达消费行业股票型证券投资基金</w:t>
      </w:r>
    </w:p>
    <w:p w:rsidP="009E7C6A" w:rsidR="00750D48" w:rsidRDefault="00750D48" w:rsidRPr="0074694E">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P="009E7C6A" w:rsidR="00750D48" w:rsidRDefault="005F7917" w:rsidRPr="0074694E">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2010年8月20日</w:t>
      </w:r>
      <w:r w:rsidRPr="0074694E">
        <w:rPr>
          <w:rFonts w:ascii="Times New Roman" w:hAnsi="Times New Roman"/>
          <w:sz w:val="24"/>
          <w:szCs w:val="24"/>
        </w:rPr>
        <w:t>至</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2020年9月30日</w:t>
      </w:r>
      <w:r w:rsidRPr="0074694E">
        <w:rPr>
          <w:rFonts w:ascii="Times New Roman" w:hAnsi="Times New Roman"/>
          <w:sz w:val="24"/>
          <w:szCs w:val="24"/>
        </w:rPr>
        <w:t>）</w:t>
      </w:r>
    </w:p>
    <w:p w:rsidP="004061AC" w:rsidR="00750D48" w:rsidRDefault="000D33A8" w:rsidRPr="00264E55">
      <w:pPr>
        <w:pStyle w:val="a5"/>
        <w:snapToGrid w:val="0"/>
        <w:spacing w:before="120" w:line="360" w:lineRule="auto"/>
        <w:jc w:val="center"/>
        <w:rPr>
          <w:rFonts w:hAnsi="宋体"/>
          <w:color w:val="000000"/>
          <w:sz w:val="24"/>
          <w:szCs w:val="24"/>
        </w:rPr>
      </w:pPr>
      <w:r>
        <w:rPr>
          <w:rFonts w:hAnsi="宋体"/>
          <w:noProof/>
          <w:color w:val="000000"/>
          <w:sz w:val="24"/>
          <w:szCs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2.5pt;height:241.5pt;visibility:visible" type="#_x0000_t75">
            <v:imagedata o:title="" r:id="rId11"/>
          </v:shape>
        </w:pic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注：自基金合同生效至报告期末，基金份额净值增长率为308.30%，同期业绩比较基准收益率为154.77%。</w:t>
      </w:r>
    </w:p>
    <w:p w:rsidP="00693843" w:rsidR="00750D48" w:rsidRDefault="00750D48" w:rsidRPr="00232B03">
      <w:pPr>
        <w:tabs>
          <w:tab w:pos="1800" w:val="left"/>
        </w:tabs>
        <w:spacing w:line="288" w:lineRule="auto"/>
        <w:rPr>
          <w:color w:val="000000"/>
          <w:sz w:val="24"/>
          <w:szCs w:val="24"/>
        </w:rPr>
      </w:pP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P="004D28A3" w:rsidR="004D28A3" w:rsidRDefault="00750D48" w:rsidRPr="0078105B">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4D28A3" w:rsidRPr="0078105B" w:rsidTr="003328D9">
        <w:trPr>
          <w:cantSplit/>
        </w:trPr>
        <w:tc>
          <w:tcPr>
            <w:tcW w:type="dxa" w:w="56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type="dxa" w:w="56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835"/>
            <w:vMerge/>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萧楠</w:t>
            </w:r>
          </w:p>
        </w:tc>
        <w:tc>
          <w:tcPr>
            <w:vAlign w:val="center"/>
          </w:tcPr>
          <w:p>
            <w:pPr>
              <w:jc w:val="left"/>
            </w:pPr>
            <w:r>
              <w:rPr>
                <w:color w:val="000000"/>
                <w:sz w:val="24"/>
              </w:rPr>
              <w:t>本基金的基金经理、易方达大健康主题灵活配置混合型证券投资基金的基金经理、易方达瑞恒灵活配置混合型证券投资基金的基金经理、易方达科顺定期开放灵活配置混合型证券投资基金的基金经理、易方达消费精选股票型证券投资基金的基金经理、投资三部总经理、研究部副总经理</w:t>
            </w:r>
          </w:p>
        </w:tc>
        <w:tc>
          <w:tcPr>
            <w:vAlign w:val="center"/>
          </w:tcPr>
          <w:p>
            <w:pPr>
              <w:jc w:val="center"/>
            </w:pPr>
            <w:r>
              <w:rPr>
                <w:color w:val="000000"/>
                <w:sz w:val="24"/>
              </w:rPr>
              <w:t>2012-09-28</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硕士研究生，具有基金从业资格。曾任易方达基金管理有限公司行业研究员、投资经理、易方达裕如灵活配置混合型证券投资基金基金经理、易方达新享灵活配置混合型证券投资基金基金经理、易方达瑞和灵活配置混合型证券投资基金基金经理、易方达现代服务业灵活配置混合型证券投资基金基金经理、基金经理助理。</w:t>
            </w:r>
          </w:p>
        </w:tc>
      </w:tr>
    </w:tbl>
    <w:p>
      <w:pPr>
        <w:tabs>
          <w:tab w:pos="426" w:val="left"/>
        </w:tabs>
        <w:spacing w:line="360" w:lineRule="auto"/>
        <w:ind w:firstLine="480" w:firstLineChars="200"/>
        <w:rPr>
          <w:kern w:val="0"/>
        </w:rPr>
      </w:pPr>
      <w:r>
        <w:rPr>
          <w:color w:val="000000"/>
          <w:sz w:val="24"/>
          <w:szCs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1BA1" w:rsidR="00C71BA1" w:rsidRDefault="004D28A3" w:rsidRPr="00AF5C11">
      <w:pPr>
        <w:tabs>
          <w:tab w:pos="426" w:val="left"/>
        </w:tabs>
        <w:spacing w:line="360" w:lineRule="auto"/>
        <w:ind w:firstLine="480" w:firstLineChars="200"/>
        <w:rPr>
          <w:kern w:val="0"/>
        </w:rPr>
      </w:pPr>
      <w:r w:rsidRPr="004D28A3">
        <w:rPr>
          <w:color w:val="000000"/>
          <w:sz w:val="24"/>
          <w:szCs w:val="24"/>
        </w:rPr>
        <w:t/>
      </w:r>
      <w:proofErr w:type="gramStart"/>
      <w:r w:rsidRPr="004D28A3">
        <w:rPr>
          <w:color w:val="000000"/>
          <w:sz w:val="24"/>
          <w:szCs w:val="24"/>
        </w:rPr>
        <w:t/>
      </w:r>
      <w:proofErr w:type="gramEnd"/>
      <w:r w:rsidRPr="004D28A3">
        <w:rPr>
          <w:color w:val="000000"/>
          <w:sz w:val="24"/>
          <w:szCs w:val="24"/>
        </w:rPr>
        <w:t>2.证券从业的含义遵从《证券业从业人员资格管理办法》的相关规定。</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4.3.1</w:t>
        </w:r>
      </w:smartTag>
      <w:r w:rsidRPr="008768CB">
        <w:rPr>
          <w:b/>
          <w:color w:val="000000"/>
          <w:sz w:val="24"/>
          <w:szCs w:val="24"/>
        </w:rPr>
        <w:t>公平交易制度的执行情况</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4.3.2</w:t>
        </w:r>
      </w:smartTag>
      <w:r w:rsidRPr="008768CB">
        <w:rPr>
          <w:b/>
          <w:color w:val="000000"/>
          <w:sz w:val="24"/>
          <w:szCs w:val="24"/>
        </w:rPr>
        <w:t>异常交易行为的专项说明</w:t>
      </w:r>
    </w:p>
    <w:p>
      <w:pPr>
        <w:spacing w:line="360" w:lineRule="auto"/>
        <w:ind w:firstLine="480" w:firstLineChars="200"/>
        <w:rPr>
          <w:rFonts w:ascii="宋体"/>
          <w:b/>
          <w:bCs/>
          <w:color w:val="000000"/>
          <w:kern w:val="0"/>
          <w:sz w:val="24"/>
          <w:szCs w:val="24"/>
        </w:rPr>
      </w:pPr>
      <w:r>
        <w:rPr>
          <w:color w:val="000000"/>
          <w:sz w:val="24"/>
          <w:szCs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306390" w:rsidR="00750D48" w:rsidRDefault="00750D48" w:rsidRPr="00264E55">
      <w:pPr>
        <w:spacing w:line="360" w:lineRule="auto"/>
        <w:ind w:firstLine="480" w:firstLineChars="200"/>
        <w:rPr>
          <w:rFonts w:ascii="宋体"/>
          <w:b/>
          <w:bCs/>
          <w:color w:val="000000"/>
          <w:kern w:val="0"/>
          <w:sz w:val="24"/>
          <w:szCs w:val="24"/>
        </w:rPr>
      </w:pPr>
      <w:r w:rsidRPr="000018BC">
        <w:rPr>
          <w:color w:val="000000"/>
          <w:sz w:val="24"/>
          <w:szCs w:val="24"/>
        </w:rPr>
        <w:t/>
      </w:r>
      <w:proofErr w:type="spellStart"/>
      <w:r w:rsidRPr="000018BC">
        <w:rPr>
          <w:color w:val="000000"/>
          <w:sz w:val="24"/>
          <w:szCs w:val="24"/>
        </w:rPr>
        <w:t/>
      </w:r>
      <w:proofErr w:type="spellEnd"/>
      <w:r w:rsidRPr="000018BC">
        <w:rPr>
          <w:color w:val="000000"/>
          <w:sz w:val="24"/>
          <w:szCs w:val="24"/>
        </w:rPr>
        <w:t>本报告期内，未发现本基金有可能导致不公平交易和利益输送的异常交易。</w:t>
      </w:r>
      <w:r w:rsidR="00306390" w:rsidRPr="00264E55">
        <w:rPr>
          <w:rFonts w:ascii="宋体"/>
          <w:b/>
          <w:bCs/>
          <w:color w:val="000000"/>
          <w:kern w:val="0"/>
          <w:sz w:val="24"/>
          <w:szCs w:val="24"/>
        </w:rPr>
        <w:t xml:space="preserve"> </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4.4</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报告期内基金投资策略和运作分析</w:t>
      </w:r>
    </w:p>
    <w:p>
      <w:pPr>
        <w:spacing w:line="360" w:lineRule="auto"/>
        <w:ind w:firstLine="480" w:firstLineChars="200"/>
        <w:rPr>
          <w:color w:val="000000"/>
          <w:sz w:val="24"/>
          <w:szCs w:val="24"/>
        </w:rPr>
      </w:pPr>
      <w:r>
        <w:rPr>
          <w:color w:val="000000"/>
          <w:sz w:val="24"/>
          <w:szCs w:val="24"/>
        </w:rPr>
        <w:t>2020年三季度，市场风险偏好继续上升，热点继续切换，上证综指上涨7.82%，代表大盘风格的上证50指数上涨9.87%，代表中小盘成长风格的创业板指上涨5.60%。消费、周期行业成为市场主线，尤其是消费板块的估值有所提升。中证内地消费指数上涨18.55%，其中免税销售、汽车整车、食品饮料等板块涨幅居前，零售、家纺等板块表现相对落后。</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我们在三季度重点调整了对家电板块的配置，降低了处于转型期但治理结构恶化的个股权重，增加了在新兴消费领域具备显著产品开发能力的品种。此外，我们增持了受益于消费升级和竞争格局改善的啤酒板块，以及汽车零部件板块。</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w:t>
      </w:r>
      <w:r>
        <w:rPr>
          <w:rFonts w:ascii="宋体" w:hAnsi="宋体"/>
          <w:b/>
          <w:bCs/>
          <w:color w:val="000000"/>
          <w:kern w:val="0"/>
          <w:sz w:val="24"/>
          <w:szCs w:val="24"/>
        </w:rPr>
        <w:t>5</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报告期内基金的业绩表现</w:t>
      </w:r>
    </w:p>
    <w:p w:rsidP="00306390" w:rsidR="00750D48" w:rsidRDefault="00750D48">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截至报告期末，本基金份额净值为4.083元，本报告期份额净值增长率为20.30%，同期业绩比较基准收益率为15.47%。</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序号</w:t>
            </w:r>
          </w:p>
        </w:tc>
        <w:tc>
          <w:tcPr>
            <w:tcW w:type="dxa" w:w="3357"/>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项目</w:t>
            </w:r>
          </w:p>
        </w:tc>
        <w:tc>
          <w:tcPr>
            <w:tcW w:type="dxa" w:w="2977"/>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type="dxa" w:w="1843"/>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1</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权益投资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20,681,368,596.26</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84.96</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其中：股票</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20,681,368,596.26</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84.96</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2</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固定收益投资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10,425,414.30</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0.04</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其中：债券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10,425,414.30</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0.04</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w:t>
            </w:r>
          </w:p>
        </w:tc>
      </w:tr>
      <w:tr w:rsidR="00750D48" w:rsidRPr="00264E55" w:rsidTr="00B05049">
        <w:trPr>
          <w:jc w:val="center"/>
        </w:trPr>
        <w:tc>
          <w:tcPr>
            <w:tcW w:type="dxa" w:w="720"/>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type="dxa" w:w="3357"/>
          </w:tcPr>
          <w:p w:rsidP="00EB572F" w:rsidR="00750D48" w:rsidRDefault="00750D48" w:rsidRPr="00232B03">
            <w:pPr>
              <w:spacing w:before="29" w:line="360" w:lineRule="auto"/>
              <w:ind w:left="105" w:leftChars="50"/>
              <w:rPr>
                <w:color w:val="000000"/>
                <w:kern w:val="0"/>
                <w:sz w:val="24"/>
                <w:szCs w:val="24"/>
              </w:rPr>
            </w:pPr>
            <w:r w:rsidRPr="00232B03">
              <w:rPr>
                <w:color w:val="000000"/>
                <w:kern w:val="0"/>
                <w:sz w:val="24"/>
                <w:szCs w:val="24"/>
              </w:rPr>
              <w:t>贵金属投资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4</w:t>
            </w:r>
          </w:p>
        </w:tc>
        <w:tc>
          <w:tcPr>
            <w:tcW w:type="dxa" w:w="3357"/>
            <w:vAlign w:val="center"/>
          </w:tcPr>
          <w:p w:rsidP="00B05049" w:rsidR="00750D48" w:rsidRDefault="00750D48" w:rsidRPr="00232B03">
            <w:pPr>
              <w:spacing w:before="29" w:line="360" w:lineRule="auto"/>
              <w:ind w:left="17"/>
              <w:jc w:val="left"/>
              <w:rPr>
                <w:color w:val="000000"/>
                <w:kern w:val="0"/>
                <w:sz w:val="24"/>
                <w:szCs w:val="24"/>
              </w:rPr>
            </w:pPr>
            <w:r w:rsidRPr="00232B03">
              <w:rPr>
                <w:color w:val="000000"/>
                <w:kern w:val="0"/>
                <w:sz w:val="24"/>
                <w:szCs w:val="24"/>
              </w:rPr>
              <w:t>金融衍生品投资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5</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500,000,450.00</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2.05</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6</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银行存款和结算备付金合计</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3,084,126,790.58</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12.67</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7</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其他资产</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65,632,919.79</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0.27</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8</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合计</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24,341,554,170.93</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100.00</w:t>
            </w:r>
          </w:p>
        </w:tc>
      </w:tr>
    </w:tbl>
    <w:p w:rsidP="008C2A4F" w:rsidR="008C2A4F" w:rsidRDefault="008C2A4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C2A4F" w:rsidR="008C2A4F" w:rsidRDefault="008C2A4F" w:rsidRPr="000D7474">
      <w:pPr>
        <w:rPr>
          <w:rFonts w:asciiTheme="minorEastAsia" w:eastAsiaTheme="minorEastAsia" w:hAnsiTheme="minorEastAsia"/>
          <w:b/>
          <w:bCs/>
          <w:color w:themeColor="text1" w:val="000000"/>
          <w:kern w:val="0"/>
          <w:sz w:val="24"/>
          <w:szCs w:val="24"/>
        </w:rPr>
      </w:pPr>
      <w:r w:rsidRPr="000D7474">
        <w:rPr>
          <w:rFonts w:asciiTheme="minorEastAsia" w:eastAsiaTheme="minorEastAsia" w:hAnsiTheme="minorEastAsia"/>
          <w:b/>
          <w:bCs/>
          <w:color w:themeColor="text1" w:val="000000"/>
          <w:kern w:val="0"/>
          <w:sz w:val="24"/>
          <w:szCs w:val="24"/>
        </w:rPr>
        <w:t/>
      </w:r>
      <w:proofErr w:type="spellStart"/>
      <w:r w:rsidRPr="000D7474">
        <w:rPr>
          <w:rFonts w:asciiTheme="minorEastAsia" w:eastAsiaTheme="minorEastAsia" w:hAnsiTheme="minorEastAsia"/>
          <w:b/>
          <w:bCs/>
          <w:color w:themeColor="text1" w:val="000000"/>
          <w:kern w:val="0"/>
          <w:sz w:val="24"/>
          <w:szCs w:val="24"/>
        </w:rPr>
        <w:t/>
      </w:r>
      <w:proofErr w:type="spellEnd"/>
      <w:r w:rsidRPr="000D7474">
        <w:rPr>
          <w:rFonts w:asciiTheme="minorEastAsia" w:eastAsiaTheme="minorEastAsia" w:hAnsiTheme="minorEastAsia"/>
          <w:b/>
          <w:bCs/>
          <w:color w:themeColor="text1" w:val="000000"/>
          <w:kern w:val="0"/>
          <w:sz w:val="24"/>
          <w:szCs w:val="24"/>
        </w:rPr>
        <w:t/>
      </w:r>
      <w:r w:rsidRPr="000D7474">
        <w:rPr>
          <w:rFonts w:asciiTheme="minorEastAsia" w:eastAsiaTheme="minorEastAsia" w:hAnsiTheme="minorEastAsia" w:hint="eastAsia"/>
          <w:b/>
          <w:bCs/>
          <w:color w:themeColor="text1" w:val="000000"/>
          <w:kern w:val="0"/>
          <w:sz w:val="24"/>
          <w:szCs w:val="24"/>
        </w:rPr>
        <w:t>5.2.1报告期末按行业分类的境内股票投资组合</w:t>
      </w:r>
    </w:p>
    <w:tbl>
      <w:tblPr>
        <w:tblW w:type="dxa" w:w="8789"/>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09"/>
        <w:gridCol w:w="3544"/>
        <w:gridCol w:w="2977"/>
        <w:gridCol w:w="1559"/>
      </w:tblGrid>
      <w:tr w:rsidR="008C2A4F" w:rsidRPr="008C2A4F" w:rsidTr="003B5535">
        <w:trPr>
          <w:trHeight w:val="390"/>
        </w:trPr>
        <w:tc>
          <w:tcPr>
            <w:tcW w:type="dxa" w:w="709"/>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代码</w:t>
            </w: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行业类别</w:t>
            </w:r>
          </w:p>
        </w:tc>
        <w:tc>
          <w:tcPr>
            <w:tcW w:type="dxa" w:w="2977"/>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公允价值（元）</w:t>
            </w:r>
          </w:p>
        </w:tc>
        <w:tc>
          <w:tcPr>
            <w:tcW w:type="dxa" w:w="155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占基金资产净值比例（％）</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A</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农、林、牧、渔业</w:t>
            </w:r>
          </w:p>
        </w:tc>
        <w:tc>
          <w:tcPr>
            <w:tcW w:type="dxa" w:w="2977"/>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244,680,778.00</w:t>
            </w:r>
          </w:p>
        </w:tc>
        <w:tc>
          <w:tcPr>
            <w:tcW w:type="dxa" w:w="1559"/>
            <w:tcMar>
              <w:top w:type="dxa" w:w="15"/>
              <w:left w:type="dxa" w:w="15"/>
              <w:bottom w:type="dxa" w:w="0"/>
              <w:right w:type="dxa" w:w="15"/>
            </w:tcMar>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1.01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B</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采矿业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C</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制造业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19,905,022,240.31</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82.31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D</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电力、热力、燃气及水生产和供应业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E</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建筑业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13,029.12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F</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批发和零售业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11,470.24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G</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交通运输、仓储和邮政业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18,653.36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H</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住宿和餐饮业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I</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信息传输、软件和信息技术服务业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199,690.85</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J</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金融业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K</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房地产业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L</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租赁和商务服务业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531,305,480.38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2.20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M</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科学研究和技术服务业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30,161.76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N</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水利、环境和公共设施管理业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41,958.98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O</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居民服务、修理和其他服务业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P</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教育</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Q</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卫生和社会工作</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R</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文化、体育和娱乐业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45,133.26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S</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综合</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合计</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20,681,368,596.26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85.52</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750D48" w:rsidRPr="00264E55" w:rsidTr="00191BDE">
        <w:tc>
          <w:tcPr>
            <w:tcW w:type="dxa" w:w="851"/>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股票代码</w:t>
            </w:r>
          </w:p>
        </w:tc>
        <w:tc>
          <w:tcPr>
            <w:tcW w:type="dxa" w:w="1418"/>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股票名称</w:t>
            </w:r>
          </w:p>
        </w:tc>
        <w:tc>
          <w:tcPr>
            <w:tcW w:type="dxa" w:w="1701"/>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type="dxa" w:w="1984"/>
            <w:vAlign w:val="center"/>
          </w:tcPr>
          <w:p w:rsidP="005F7917"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559"/>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600809</w:t>
            </w:r>
          </w:p>
        </w:tc>
        <w:tc>
          <w:tcPr>
            <w:vAlign w:val="center"/>
          </w:tcPr>
          <w:p>
            <w:pPr>
              <w:jc w:val="center"/>
            </w:pPr>
            <w:r>
              <w:rPr>
                <w:color w:val="000000"/>
                <w:kern w:val="0"/>
                <w:sz w:val="24"/>
                <w:szCs w:val="24"/>
              </w:rPr>
              <w:t>山西汾酒</w:t>
            </w:r>
          </w:p>
        </w:tc>
        <w:tc>
          <w:tcPr>
            <w:vAlign w:val="center"/>
          </w:tcPr>
          <w:p>
            <w:pPr>
              <w:jc w:val="right"/>
            </w:pPr>
            <w:r>
              <w:rPr>
                <w:color w:val="000000"/>
                <w:kern w:val="0"/>
                <w:sz w:val="24"/>
                <w:szCs w:val="24"/>
              </w:rPr>
              <w:t>11,542,853</w:t>
            </w:r>
          </w:p>
        </w:tc>
        <w:tc>
          <w:tcPr>
            <w:vAlign w:val="center"/>
          </w:tcPr>
          <w:p>
            <w:pPr>
              <w:jc w:val="right"/>
            </w:pPr>
            <w:r>
              <w:rPr>
                <w:color w:val="000000"/>
                <w:kern w:val="0"/>
                <w:sz w:val="24"/>
                <w:szCs w:val="24"/>
              </w:rPr>
              <w:t>2,257,156,736.07</w:t>
            </w:r>
          </w:p>
        </w:tc>
        <w:tc>
          <w:tcPr>
            <w:vAlign w:val="center"/>
          </w:tcPr>
          <w:p>
            <w:pPr>
              <w:jc w:val="right"/>
            </w:pPr>
            <w:r>
              <w:rPr>
                <w:color w:val="000000"/>
                <w:kern w:val="0"/>
                <w:sz w:val="24"/>
                <w:szCs w:val="24"/>
              </w:rPr>
              <w:t>9.33</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600519</w:t>
            </w:r>
          </w:p>
        </w:tc>
        <w:tc>
          <w:tcPr>
            <w:vAlign w:val="center"/>
          </w:tcPr>
          <w:p>
            <w:pPr>
              <w:jc w:val="center"/>
            </w:pPr>
            <w:r>
              <w:rPr>
                <w:color w:val="000000"/>
                <w:kern w:val="0"/>
                <w:sz w:val="24"/>
                <w:szCs w:val="24"/>
              </w:rPr>
              <w:t>贵州茅台</w:t>
            </w:r>
          </w:p>
        </w:tc>
        <w:tc>
          <w:tcPr>
            <w:vAlign w:val="center"/>
          </w:tcPr>
          <w:p>
            <w:pPr>
              <w:jc w:val="right"/>
            </w:pPr>
            <w:r>
              <w:rPr>
                <w:color w:val="000000"/>
                <w:kern w:val="0"/>
                <w:sz w:val="24"/>
                <w:szCs w:val="24"/>
              </w:rPr>
              <w:t>1,323,094</w:t>
            </w:r>
          </w:p>
        </w:tc>
        <w:tc>
          <w:tcPr>
            <w:vAlign w:val="center"/>
          </w:tcPr>
          <w:p>
            <w:pPr>
              <w:jc w:val="right"/>
            </w:pPr>
            <w:r>
              <w:rPr>
                <w:color w:val="000000"/>
                <w:kern w:val="0"/>
                <w:sz w:val="24"/>
                <w:szCs w:val="24"/>
              </w:rPr>
              <w:t>2,207,582,339.00</w:t>
            </w:r>
          </w:p>
        </w:tc>
        <w:tc>
          <w:tcPr>
            <w:vAlign w:val="center"/>
          </w:tcPr>
          <w:p>
            <w:pPr>
              <w:jc w:val="right"/>
            </w:pPr>
            <w:r>
              <w:rPr>
                <w:color w:val="000000"/>
                <w:kern w:val="0"/>
                <w:sz w:val="24"/>
                <w:szCs w:val="24"/>
              </w:rPr>
              <w:t>9.13</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000568</w:t>
            </w:r>
          </w:p>
        </w:tc>
        <w:tc>
          <w:tcPr>
            <w:vAlign w:val="center"/>
          </w:tcPr>
          <w:p>
            <w:pPr>
              <w:jc w:val="center"/>
            </w:pPr>
            <w:r>
              <w:rPr>
                <w:color w:val="000000"/>
                <w:kern w:val="0"/>
                <w:sz w:val="24"/>
                <w:szCs w:val="24"/>
              </w:rPr>
              <w:t>泸州老窖</w:t>
            </w:r>
          </w:p>
        </w:tc>
        <w:tc>
          <w:tcPr>
            <w:vAlign w:val="center"/>
          </w:tcPr>
          <w:p>
            <w:pPr>
              <w:jc w:val="right"/>
            </w:pPr>
            <w:r>
              <w:rPr>
                <w:color w:val="000000"/>
                <w:kern w:val="0"/>
                <w:sz w:val="24"/>
                <w:szCs w:val="24"/>
              </w:rPr>
              <w:t>15,133,020</w:t>
            </w:r>
          </w:p>
        </w:tc>
        <w:tc>
          <w:tcPr>
            <w:vAlign w:val="center"/>
          </w:tcPr>
          <w:p>
            <w:pPr>
              <w:jc w:val="right"/>
            </w:pPr>
            <w:r>
              <w:rPr>
                <w:color w:val="000000"/>
                <w:kern w:val="0"/>
                <w:sz w:val="24"/>
                <w:szCs w:val="24"/>
              </w:rPr>
              <w:t>2,172,345,021.00</w:t>
            </w:r>
          </w:p>
        </w:tc>
        <w:tc>
          <w:tcPr>
            <w:vAlign w:val="center"/>
          </w:tcPr>
          <w:p>
            <w:pPr>
              <w:jc w:val="right"/>
            </w:pPr>
            <w:r>
              <w:rPr>
                <w:color w:val="000000"/>
                <w:kern w:val="0"/>
                <w:sz w:val="24"/>
                <w:szCs w:val="24"/>
              </w:rPr>
              <w:t>8.98</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000858</w:t>
            </w:r>
          </w:p>
        </w:tc>
        <w:tc>
          <w:tcPr>
            <w:vAlign w:val="center"/>
          </w:tcPr>
          <w:p>
            <w:pPr>
              <w:jc w:val="center"/>
            </w:pPr>
            <w:r>
              <w:rPr>
                <w:color w:val="000000"/>
                <w:kern w:val="0"/>
                <w:sz w:val="24"/>
                <w:szCs w:val="24"/>
              </w:rPr>
              <w:t>五粮液</w:t>
            </w:r>
          </w:p>
        </w:tc>
        <w:tc>
          <w:tcPr>
            <w:vAlign w:val="center"/>
          </w:tcPr>
          <w:p>
            <w:pPr>
              <w:jc w:val="right"/>
            </w:pPr>
            <w:r>
              <w:rPr>
                <w:color w:val="000000"/>
                <w:kern w:val="0"/>
                <w:sz w:val="24"/>
                <w:szCs w:val="24"/>
              </w:rPr>
              <w:t>9,738,635</w:t>
            </w:r>
          </w:p>
        </w:tc>
        <w:tc>
          <w:tcPr>
            <w:vAlign w:val="center"/>
          </w:tcPr>
          <w:p>
            <w:pPr>
              <w:jc w:val="right"/>
            </w:pPr>
            <w:r>
              <w:rPr>
                <w:color w:val="000000"/>
                <w:kern w:val="0"/>
                <w:sz w:val="24"/>
                <w:szCs w:val="24"/>
              </w:rPr>
              <w:t>2,152,238,335.00</w:t>
            </w:r>
          </w:p>
        </w:tc>
        <w:tc>
          <w:tcPr>
            <w:vAlign w:val="center"/>
          </w:tcPr>
          <w:p>
            <w:pPr>
              <w:jc w:val="right"/>
            </w:pPr>
            <w:r>
              <w:rPr>
                <w:color w:val="000000"/>
                <w:kern w:val="0"/>
                <w:sz w:val="24"/>
                <w:szCs w:val="24"/>
              </w:rPr>
              <w:t>8.90</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000333</w:t>
            </w:r>
          </w:p>
        </w:tc>
        <w:tc>
          <w:tcPr>
            <w:vAlign w:val="center"/>
          </w:tcPr>
          <w:p>
            <w:pPr>
              <w:jc w:val="center"/>
            </w:pPr>
            <w:r>
              <w:rPr>
                <w:color w:val="000000"/>
                <w:kern w:val="0"/>
                <w:sz w:val="24"/>
                <w:szCs w:val="24"/>
              </w:rPr>
              <w:t>美的集团</w:t>
            </w:r>
          </w:p>
        </w:tc>
        <w:tc>
          <w:tcPr>
            <w:vAlign w:val="center"/>
          </w:tcPr>
          <w:p>
            <w:pPr>
              <w:jc w:val="right"/>
            </w:pPr>
            <w:r>
              <w:rPr>
                <w:color w:val="000000"/>
                <w:kern w:val="0"/>
                <w:sz w:val="24"/>
                <w:szCs w:val="24"/>
              </w:rPr>
              <w:t>28,084,906</w:t>
            </w:r>
          </w:p>
        </w:tc>
        <w:tc>
          <w:tcPr>
            <w:vAlign w:val="center"/>
          </w:tcPr>
          <w:p>
            <w:pPr>
              <w:jc w:val="right"/>
            </w:pPr>
            <w:r>
              <w:rPr>
                <w:color w:val="000000"/>
                <w:kern w:val="0"/>
                <w:sz w:val="24"/>
                <w:szCs w:val="24"/>
              </w:rPr>
              <w:t>2,038,964,175.60</w:t>
            </w:r>
          </w:p>
        </w:tc>
        <w:tc>
          <w:tcPr>
            <w:vAlign w:val="center"/>
          </w:tcPr>
          <w:p>
            <w:pPr>
              <w:jc w:val="right"/>
            </w:pPr>
            <w:r>
              <w:rPr>
                <w:color w:val="000000"/>
                <w:kern w:val="0"/>
                <w:sz w:val="24"/>
                <w:szCs w:val="24"/>
              </w:rPr>
              <w:t>8.43</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000596</w:t>
            </w:r>
          </w:p>
        </w:tc>
        <w:tc>
          <w:tcPr>
            <w:vAlign w:val="center"/>
          </w:tcPr>
          <w:p>
            <w:pPr>
              <w:jc w:val="center"/>
            </w:pPr>
            <w:r>
              <w:rPr>
                <w:color w:val="000000"/>
                <w:kern w:val="0"/>
                <w:sz w:val="24"/>
                <w:szCs w:val="24"/>
              </w:rPr>
              <w:t>古井贡酒</w:t>
            </w:r>
          </w:p>
        </w:tc>
        <w:tc>
          <w:tcPr>
            <w:vAlign w:val="center"/>
          </w:tcPr>
          <w:p>
            <w:pPr>
              <w:jc w:val="right"/>
            </w:pPr>
            <w:r>
              <w:rPr>
                <w:color w:val="000000"/>
                <w:kern w:val="0"/>
                <w:sz w:val="24"/>
                <w:szCs w:val="24"/>
              </w:rPr>
              <w:t>9,244,356</w:t>
            </w:r>
          </w:p>
        </w:tc>
        <w:tc>
          <w:tcPr>
            <w:vAlign w:val="center"/>
          </w:tcPr>
          <w:p>
            <w:pPr>
              <w:jc w:val="right"/>
            </w:pPr>
            <w:r>
              <w:rPr>
                <w:color w:val="000000"/>
                <w:kern w:val="0"/>
                <w:sz w:val="24"/>
                <w:szCs w:val="24"/>
              </w:rPr>
              <w:t>2,003,991,493.68</w:t>
            </w:r>
          </w:p>
        </w:tc>
        <w:tc>
          <w:tcPr>
            <w:vAlign w:val="center"/>
          </w:tcPr>
          <w:p>
            <w:pPr>
              <w:jc w:val="right"/>
            </w:pPr>
            <w:r>
              <w:rPr>
                <w:color w:val="000000"/>
                <w:kern w:val="0"/>
                <w:sz w:val="24"/>
                <w:szCs w:val="24"/>
              </w:rPr>
              <w:t>8.29</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000860</w:t>
            </w:r>
          </w:p>
        </w:tc>
        <w:tc>
          <w:tcPr>
            <w:vAlign w:val="center"/>
          </w:tcPr>
          <w:p>
            <w:pPr>
              <w:jc w:val="center"/>
            </w:pPr>
            <w:r>
              <w:rPr>
                <w:color w:val="000000"/>
                <w:kern w:val="0"/>
                <w:sz w:val="24"/>
                <w:szCs w:val="24"/>
              </w:rPr>
              <w:t>顺鑫农业</w:t>
            </w:r>
          </w:p>
        </w:tc>
        <w:tc>
          <w:tcPr>
            <w:vAlign w:val="center"/>
          </w:tcPr>
          <w:p>
            <w:pPr>
              <w:jc w:val="right"/>
            </w:pPr>
            <w:r>
              <w:rPr>
                <w:color w:val="000000"/>
                <w:kern w:val="0"/>
                <w:sz w:val="24"/>
                <w:szCs w:val="24"/>
              </w:rPr>
              <w:t>29,264,408</w:t>
            </w:r>
          </w:p>
        </w:tc>
        <w:tc>
          <w:tcPr>
            <w:vAlign w:val="center"/>
          </w:tcPr>
          <w:p>
            <w:pPr>
              <w:jc w:val="right"/>
            </w:pPr>
            <w:r>
              <w:rPr>
                <w:color w:val="000000"/>
                <w:kern w:val="0"/>
                <w:sz w:val="24"/>
                <w:szCs w:val="24"/>
              </w:rPr>
              <w:t>1,760,546,785.28</w:t>
            </w:r>
          </w:p>
        </w:tc>
        <w:tc>
          <w:tcPr>
            <w:vAlign w:val="center"/>
          </w:tcPr>
          <w:p>
            <w:pPr>
              <w:jc w:val="right"/>
            </w:pPr>
            <w:r>
              <w:rPr>
                <w:color w:val="000000"/>
                <w:kern w:val="0"/>
                <w:sz w:val="24"/>
                <w:szCs w:val="24"/>
              </w:rPr>
              <w:t>7.28</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600600</w:t>
            </w:r>
          </w:p>
        </w:tc>
        <w:tc>
          <w:tcPr>
            <w:vAlign w:val="center"/>
          </w:tcPr>
          <w:p>
            <w:pPr>
              <w:jc w:val="center"/>
            </w:pPr>
            <w:r>
              <w:rPr>
                <w:color w:val="000000"/>
                <w:kern w:val="0"/>
                <w:sz w:val="24"/>
                <w:szCs w:val="24"/>
              </w:rPr>
              <w:t>青岛啤酒</w:t>
            </w:r>
          </w:p>
        </w:tc>
        <w:tc>
          <w:tcPr>
            <w:vAlign w:val="center"/>
          </w:tcPr>
          <w:p>
            <w:pPr>
              <w:jc w:val="right"/>
            </w:pPr>
            <w:r>
              <w:rPr>
                <w:color w:val="000000"/>
                <w:kern w:val="0"/>
                <w:sz w:val="24"/>
                <w:szCs w:val="24"/>
              </w:rPr>
              <w:t>14,017,495</w:t>
            </w:r>
          </w:p>
        </w:tc>
        <w:tc>
          <w:tcPr>
            <w:vAlign w:val="center"/>
          </w:tcPr>
          <w:p>
            <w:pPr>
              <w:jc w:val="right"/>
            </w:pPr>
            <w:r>
              <w:rPr>
                <w:color w:val="000000"/>
                <w:kern w:val="0"/>
                <w:sz w:val="24"/>
                <w:szCs w:val="24"/>
              </w:rPr>
              <w:t>1,052,854,049.45</w:t>
            </w:r>
          </w:p>
        </w:tc>
        <w:tc>
          <w:tcPr>
            <w:vAlign w:val="center"/>
          </w:tcPr>
          <w:p>
            <w:pPr>
              <w:jc w:val="right"/>
            </w:pPr>
            <w:r>
              <w:rPr>
                <w:color w:val="000000"/>
                <w:kern w:val="0"/>
                <w:sz w:val="24"/>
                <w:szCs w:val="24"/>
              </w:rPr>
              <w:t>4.35</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000651</w:t>
            </w:r>
          </w:p>
        </w:tc>
        <w:tc>
          <w:tcPr>
            <w:vAlign w:val="center"/>
          </w:tcPr>
          <w:p>
            <w:pPr>
              <w:jc w:val="center"/>
            </w:pPr>
            <w:r>
              <w:rPr>
                <w:color w:val="000000"/>
                <w:kern w:val="0"/>
                <w:sz w:val="24"/>
                <w:szCs w:val="24"/>
              </w:rPr>
              <w:t>格力电器</w:t>
            </w:r>
          </w:p>
        </w:tc>
        <w:tc>
          <w:tcPr>
            <w:vAlign w:val="center"/>
          </w:tcPr>
          <w:p>
            <w:pPr>
              <w:jc w:val="right"/>
            </w:pPr>
            <w:r>
              <w:rPr>
                <w:color w:val="000000"/>
                <w:kern w:val="0"/>
                <w:sz w:val="24"/>
                <w:szCs w:val="24"/>
              </w:rPr>
              <w:t>18,996,765</w:t>
            </w:r>
          </w:p>
        </w:tc>
        <w:tc>
          <w:tcPr>
            <w:vAlign w:val="center"/>
          </w:tcPr>
          <w:p>
            <w:pPr>
              <w:jc w:val="right"/>
            </w:pPr>
            <w:r>
              <w:rPr>
                <w:color w:val="000000"/>
                <w:kern w:val="0"/>
                <w:sz w:val="24"/>
                <w:szCs w:val="24"/>
              </w:rPr>
              <w:t>1,012,527,574.50</w:t>
            </w:r>
          </w:p>
        </w:tc>
        <w:tc>
          <w:tcPr>
            <w:vAlign w:val="center"/>
          </w:tcPr>
          <w:p>
            <w:pPr>
              <w:jc w:val="right"/>
            </w:pPr>
            <w:r>
              <w:rPr>
                <w:color w:val="000000"/>
                <w:kern w:val="0"/>
                <w:sz w:val="24"/>
                <w:szCs w:val="24"/>
              </w:rPr>
              <w:t>4.19</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000423</w:t>
            </w:r>
          </w:p>
        </w:tc>
        <w:tc>
          <w:tcPr>
            <w:vAlign w:val="center"/>
          </w:tcPr>
          <w:p>
            <w:pPr>
              <w:jc w:val="center"/>
            </w:pPr>
            <w:r>
              <w:rPr>
                <w:color w:val="000000"/>
                <w:kern w:val="0"/>
                <w:sz w:val="24"/>
                <w:szCs w:val="24"/>
              </w:rPr>
              <w:t>东阿阿胶</w:t>
            </w:r>
          </w:p>
        </w:tc>
        <w:tc>
          <w:tcPr>
            <w:vAlign w:val="center"/>
          </w:tcPr>
          <w:p>
            <w:pPr>
              <w:jc w:val="right"/>
            </w:pPr>
            <w:r>
              <w:rPr>
                <w:color w:val="000000"/>
                <w:kern w:val="0"/>
                <w:sz w:val="24"/>
                <w:szCs w:val="24"/>
              </w:rPr>
              <w:t>19,609,490</w:t>
            </w:r>
          </w:p>
        </w:tc>
        <w:tc>
          <w:tcPr>
            <w:vAlign w:val="center"/>
          </w:tcPr>
          <w:p>
            <w:pPr>
              <w:jc w:val="right"/>
            </w:pPr>
            <w:r>
              <w:rPr>
                <w:color w:val="000000"/>
                <w:kern w:val="0"/>
                <w:sz w:val="24"/>
                <w:szCs w:val="24"/>
              </w:rPr>
              <w:t>778,692,847.90</w:t>
            </w:r>
          </w:p>
        </w:tc>
        <w:tc>
          <w:tcPr>
            <w:vAlign w:val="center"/>
          </w:tcPr>
          <w:p>
            <w:pPr>
              <w:jc w:val="right"/>
            </w:pPr>
            <w:r>
              <w:rPr>
                <w:color w:val="000000"/>
                <w:kern w:val="0"/>
                <w:sz w:val="24"/>
                <w:szCs w:val="24"/>
              </w:rPr>
              <w:t>3.22</w:t>
            </w:r>
          </w:p>
        </w:tc>
      </w:tr>
    </w:tbl>
    <w:p w:rsidP="00CA4677" w:rsidR="00CA4677" w:rsidRDefault="00750D48" w:rsidRPr="00283CAD">
      <w:pPr>
        <w:autoSpaceDE w:val="0"/>
        <w:autoSpaceDN w:val="0"/>
        <w:adjustRightInd w:val="0"/>
        <w:spacing w:line="360" w:lineRule="auto"/>
        <w:jc w:val="left"/>
        <w:rPr>
          <w:rFonts w:eastAsiaTheme="minorEastAsia"/>
          <w:b/>
          <w:bCs/>
          <w:color w:themeColor="text1"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type="dxa" w:w="8755"/>
        <w:jc w:val="center"/>
        <w:tblLayout w:type="fixed"/>
        <w:tblLook w:firstColumn="1" w:firstRow="1" w:lastColumn="0" w:lastRow="0" w:noHBand="0" w:noVBand="1" w:val="04A0"/>
      </w:tblPr>
      <w:tblGrid>
        <w:gridCol w:w="817"/>
        <w:gridCol w:w="3260"/>
        <w:gridCol w:w="2949"/>
        <w:gridCol w:w="1729"/>
      </w:tblGrid>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序号</w:t>
            </w:r>
          </w:p>
        </w:tc>
        <w:tc>
          <w:tcPr>
            <w:tcW w:type="dxa" w:w="3260"/>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债券品种</w:t>
            </w: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
            </w:r>
          </w:p>
        </w:tc>
        <w:tc>
          <w:tcPr>
            <w:tcW w:type="dxa" w:w="2949"/>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公允价值</w:t>
            </w:r>
            <w:r w:rsidRPr="00283CAD">
              <w:rPr>
                <w:rFonts w:eastAsiaTheme="minorEastAsia"/>
                <w:color w:themeColor="text1" w:val="000000"/>
                <w:sz w:val="24"/>
                <w:szCs w:val="24"/>
              </w:rPr>
              <w:t>(</w:t>
            </w:r>
            <w:r w:rsidRPr="00283CAD">
              <w:rPr>
                <w:rFonts w:eastAsiaTheme="minorEastAsia"/>
                <w:color w:themeColor="text1" w:val="000000"/>
                <w:sz w:val="24"/>
                <w:szCs w:val="24"/>
              </w:rPr>
              <w:t>元</w:t>
            </w:r>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占基金资产净值比例</w:t>
            </w:r>
            <w:r w:rsidRPr="00283CAD">
              <w:rPr>
                <w:rFonts w:eastAsiaTheme="minorEastAsia"/>
                <w:color w:themeColor="text1" w:val="000000"/>
                <w:sz w:val="24"/>
                <w:szCs w:val="24"/>
              </w:rPr>
              <w:t>(</w:t>
            </w:r>
            <w:r w:rsidRPr="00283CAD">
              <w:rPr>
                <w:rFonts w:eastAsiaTheme="minorEastAsia"/>
                <w:color w:themeColor="text1" w:val="000000"/>
                <w:sz w:val="24"/>
                <w:szCs w:val="24"/>
              </w:rPr>
              <w:t>％</w:t>
            </w: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1</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国家债券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2</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央行票据</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3</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金融债券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其中：政策性金融债</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4</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企业债券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r w:rsidRPr="00283CAD">
              <w:rPr>
                <w:rFonts w:eastAsiaTheme="minorEastAsia"/>
                <w:color w:themeColor="text1" w:val="000000"/>
                <w:sz w:val="24"/>
                <w:szCs w:val="24"/>
              </w:rPr>
              <w:lastRenderedPageBreak/>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5</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企业短期融资券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6</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中期票据</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7</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可转债</w:t>
            </w:r>
            <w:r w:rsidR="004B5343" w:rsidRPr="004B5343">
              <w:rPr>
                <w:rFonts w:eastAsiaTheme="minorEastAsia" w:hint="eastAsia"/>
                <w:color w:themeColor="text1" w:val="000000"/>
                <w:sz w:val="24"/>
                <w:szCs w:val="24"/>
              </w:rPr>
              <w:t>（可交换债）</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10,425,414.30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0.04</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8</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同业存单</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9</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其他</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10</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合计</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10,425,414.30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0.04</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959"/>
        <w:gridCol w:w="1276"/>
        <w:gridCol w:w="1275"/>
        <w:gridCol w:w="1560"/>
        <w:gridCol w:w="1984"/>
        <w:gridCol w:w="1474"/>
      </w:tblGrid>
      <w:tr w:rsidR="00750D48" w:rsidRPr="00264E55" w:rsidTr="005602F3">
        <w:tc>
          <w:tcPr>
            <w:tcW w:type="dxa" w:w="959"/>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债券代码</w:t>
            </w:r>
          </w:p>
        </w:tc>
        <w:tc>
          <w:tcPr>
            <w:tcW w:type="dxa" w:w="1275"/>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债券名称</w:t>
            </w:r>
          </w:p>
        </w:tc>
        <w:tc>
          <w:tcPr>
            <w:tcW w:type="dxa" w:w="1560"/>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type="dxa" w:w="1984"/>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474"/>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113543</w:t>
            </w:r>
          </w:p>
        </w:tc>
        <w:tc>
          <w:tcPr>
            <w:vAlign w:val="center"/>
          </w:tcPr>
          <w:p>
            <w:pPr>
              <w:jc w:val="center"/>
            </w:pPr>
            <w:r>
              <w:rPr>
                <w:color w:val="000000"/>
                <w:kern w:val="0"/>
                <w:sz w:val="24"/>
                <w:szCs w:val="24"/>
              </w:rPr>
              <w:t>欧派转债</w:t>
            </w:r>
          </w:p>
        </w:tc>
        <w:tc>
          <w:tcPr>
            <w:vAlign w:val="center"/>
          </w:tcPr>
          <w:p>
            <w:pPr>
              <w:jc w:val="right"/>
            </w:pPr>
            <w:r>
              <w:rPr>
                <w:color w:val="000000"/>
                <w:kern w:val="0"/>
                <w:sz w:val="24"/>
                <w:szCs w:val="24"/>
              </w:rPr>
              <w:t>59,390</w:t>
            </w:r>
          </w:p>
        </w:tc>
        <w:tc>
          <w:tcPr>
            <w:vAlign w:val="center"/>
          </w:tcPr>
          <w:p>
            <w:pPr>
              <w:jc w:val="right"/>
            </w:pPr>
            <w:r>
              <w:rPr>
                <w:color w:val="000000"/>
                <w:kern w:val="0"/>
                <w:sz w:val="24"/>
                <w:szCs w:val="24"/>
              </w:rPr>
              <w:t>8,897,809.80</w:t>
            </w:r>
          </w:p>
        </w:tc>
        <w:tc>
          <w:tcPr>
            <w:vAlign w:val="center"/>
          </w:tcPr>
          <w:p>
            <w:pPr>
              <w:jc w:val="right"/>
            </w:pPr>
            <w:r>
              <w:rPr>
                <w:color w:val="000000"/>
                <w:kern w:val="0"/>
                <w:sz w:val="24"/>
                <w:szCs w:val="24"/>
              </w:rPr>
              <w:t>0.04</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113021</w:t>
            </w:r>
          </w:p>
        </w:tc>
        <w:tc>
          <w:tcPr>
            <w:vAlign w:val="center"/>
          </w:tcPr>
          <w:p>
            <w:pPr>
              <w:jc w:val="center"/>
            </w:pPr>
            <w:r>
              <w:rPr>
                <w:color w:val="000000"/>
                <w:kern w:val="0"/>
                <w:sz w:val="24"/>
                <w:szCs w:val="24"/>
              </w:rPr>
              <w:t>中信转债</w:t>
            </w:r>
          </w:p>
        </w:tc>
        <w:tc>
          <w:tcPr>
            <w:vAlign w:val="center"/>
          </w:tcPr>
          <w:p>
            <w:pPr>
              <w:jc w:val="right"/>
            </w:pPr>
            <w:r>
              <w:rPr>
                <w:color w:val="000000"/>
                <w:kern w:val="0"/>
                <w:sz w:val="24"/>
                <w:szCs w:val="24"/>
              </w:rPr>
              <w:t>14,550</w:t>
            </w:r>
          </w:p>
        </w:tc>
        <w:tc>
          <w:tcPr>
            <w:vAlign w:val="center"/>
          </w:tcPr>
          <w:p>
            <w:pPr>
              <w:jc w:val="right"/>
            </w:pPr>
            <w:r>
              <w:rPr>
                <w:color w:val="000000"/>
                <w:kern w:val="0"/>
                <w:sz w:val="24"/>
                <w:szCs w:val="24"/>
              </w:rPr>
              <w:t>1,527,604.50</w:t>
            </w:r>
          </w:p>
        </w:tc>
        <w:tc>
          <w:tcPr>
            <w:vAlign w:val="center"/>
          </w:tcPr>
          <w:p>
            <w:pPr>
              <w:jc w:val="right"/>
            </w:pPr>
            <w:r>
              <w:rPr>
                <w:color w:val="000000"/>
                <w:kern w:val="0"/>
                <w:sz w:val="24"/>
                <w:szCs w:val="24"/>
              </w:rPr>
              <w:t>0.01</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w:t>
      </w:r>
      <w:r w:rsidRPr="00264E55">
        <w:rPr>
          <w:rFonts w:ascii="宋体" w:hAnsi="宋体" w:hint="eastAsia"/>
          <w:b/>
          <w:bCs/>
          <w:color w:val="000000"/>
          <w:kern w:val="0"/>
          <w:sz w:val="24"/>
          <w:szCs w:val="24"/>
        </w:rPr>
        <w:lastRenderedPageBreak/>
        <w:t>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本基金本报告期末未持有资产支持证券。</w:t>
      </w:r>
    </w:p>
    <w:p w:rsidP="001D63BB" w:rsidR="00750D48" w:rsidRDefault="00750D48" w:rsidRPr="001D63BB">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r w:rsidRPr="001B0A62">
        <w:rPr>
          <w:rFonts w:ascii="宋体" w:hAnsi="宋体"/>
          <w:b/>
          <w:bCs/>
          <w:color w:val="000000"/>
          <w:kern w:val="0"/>
          <w:sz w:val="24"/>
          <w:szCs w:val="24"/>
        </w:rPr>
        <w:t>5</w:t>
      </w:r>
      <w:proofErr w:type="gramStart"/>
      <w:r w:rsidRPr="001B0A62">
        <w:rPr>
          <w:rFonts w:ascii="宋体" w:hAnsi="宋体"/>
          <w:b/>
          <w:bCs/>
          <w:color w:val="000000"/>
          <w:kern w:val="0"/>
          <w:sz w:val="24"/>
          <w:szCs w:val="24"/>
        </w:rPr>
        <w:t>.</w:t>
      </w:r>
      <w:proofErr w:type="gramEnd"/>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7</w:t>
      </w:r>
      <w:r w:rsidR="00C84CB0">
        <w:rPr>
          <w:rFonts w:ascii="宋体" w:hint="eastAsia"/>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本基金本报告期末未持有贵金属。</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Pr>
          <w:rFonts w:ascii="宋体"/>
          <w:b/>
          <w:bCs/>
          <w:color w:val="000000"/>
          <w:kern w:val="0"/>
          <w:sz w:val="24"/>
          <w:szCs w:val="24"/>
        </w:rPr>
        <w:t/>
      </w:r>
      <w:proofErr w:type="gramStart"/>
      <w:r>
        <w:rPr>
          <w:rFonts w:ascii="宋体" w:hAnsi="宋体"/>
          <w:b/>
          <w:bCs/>
          <w:color w:val="000000"/>
          <w:kern w:val="0"/>
          <w:sz w:val="24"/>
          <w:szCs w:val="24"/>
        </w:rPr>
        <w:t/>
      </w:r>
      <w:proofErr w:type="gramEnd"/>
      <w:r w:rsidRPr="001B0A62">
        <w:rPr>
          <w:rFonts w:ascii="宋体"/>
          <w:b/>
          <w:bCs/>
          <w:color w:val="000000"/>
          <w:kern w:val="0"/>
          <w:sz w:val="24"/>
          <w:szCs w:val="24"/>
        </w:rPr>
        <w:t>5.</w:t>
      </w:r>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8</w:t>
      </w:r>
      <w:r w:rsidR="00C84CB0">
        <w:rPr>
          <w:rFonts w:ascii="宋体" w:hint="eastAsia"/>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w:t>
      </w:r>
      <w:r w:rsidRPr="00264E55">
        <w:rPr>
          <w:rFonts w:ascii="宋体" w:hAnsi="宋体" w:hint="eastAsia"/>
          <w:b/>
          <w:bCs/>
          <w:color w:val="000000"/>
          <w:kern w:val="0"/>
          <w:sz w:val="24"/>
          <w:szCs w:val="24"/>
        </w:rPr>
        <w:lastRenderedPageBreak/>
        <w:t>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本基金本报告期末未持有权证。</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w:t>
      </w:r>
      <w:r>
        <w:rPr>
          <w:rFonts w:ascii="宋体"/>
          <w:b/>
          <w:bCs/>
          <w:color w:val="000000"/>
          <w:kern w:val="0"/>
          <w:sz w:val="24"/>
          <w:szCs w:val="24"/>
        </w:rPr>
        <w:t>.</w:t>
      </w:r>
      <w:r>
        <w:rPr>
          <w:rFonts w:ascii="宋体" w:hAnsi="宋体"/>
          <w:b/>
          <w:bCs/>
          <w:color w:val="000000"/>
          <w:kern w:val="0"/>
          <w:sz w:val="24"/>
          <w:szCs w:val="24"/>
        </w:rPr>
        <w:t/>
      </w:r>
      <w:r w:rsidRPr="001B0A62">
        <w:rPr>
          <w:rFonts w:ascii="宋体"/>
          <w:b/>
          <w:bCs/>
          <w:color w:val="000000"/>
          <w:kern w:val="0"/>
          <w:sz w:val="24"/>
          <w:szCs w:val="24"/>
        </w:rPr>
        <w:t>9</w:t>
      </w:r>
      <w:r w:rsidR="00C84CB0">
        <w:rPr>
          <w:rFonts w:asci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P="00277FAE" w:rsidR="00277FAE" w:rsidRDefault="00277FAE">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5.10</w:t>
      </w:r>
      <w:r w:rsidR="00C84CB0">
        <w:rPr>
          <w:rFonts w:ascii="宋体" w:hAns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报告期末本基金投资的国债期货交易情况说明</w:t>
      </w:r>
    </w:p>
    <w:p w:rsidP="00277FAE" w:rsidR="00277FAE" w:rsidRDefault="00277FAE">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proofErr w:type="gramStart"/>
      <w:r w:rsidRPr="00264E55">
        <w:rPr>
          <w:rFonts w:ascii="宋体" w:hAnsi="宋体"/>
          <w:b/>
          <w:bCs/>
          <w:color w:val="000000"/>
          <w:kern w:val="0"/>
          <w:sz w:val="24"/>
          <w:szCs w:val="24"/>
        </w:rPr>
        <w:t/>
      </w:r>
      <w:proofErr w:type="gramEnd"/>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P="001B0A62" w:rsidR="00750D48" w:rsidRDefault="002C5960" w:rsidRPr="00264E55">
      <w:pPr>
        <w:spacing w:line="360" w:lineRule="auto"/>
        <w:rPr>
          <w:rFonts w:ascii="宋体" w:hAnsi="宋体"/>
          <w:color w:val="000000"/>
          <w:sz w:val="24"/>
          <w:szCs w:val="24"/>
        </w:rPr>
      </w:pPr>
      <w:r>
        <w:rPr>
          <w:rFonts w:hint="eastAsia"/>
          <w:color w:val="000000"/>
          <w:sz w:val="24"/>
        </w:rPr>
        <w:t/>
      </w:r>
      <w:r w:rsidR="00750D48" w:rsidRPr="00264E55">
        <w:rPr>
          <w:rFonts w:ascii="宋体"/>
          <w:color w:val="000000"/>
          <w:sz w:val="24"/>
          <w:szCs w:val="24"/>
        </w:rPr>
        <w:t/>
      </w:r>
      <w:r w:rsidR="00750D48" w:rsidRPr="00264E55">
        <w:rPr>
          <w:rFonts w:ascii="宋体" w:hAnsi="宋体"/>
          <w:color w:val="000000"/>
          <w:sz w:val="24"/>
          <w:szCs w:val="24"/>
        </w:rPr>
        <w:t>5.11.1</w:t>
      </w:r>
      <w:r w:rsidR="00065E3C">
        <w:rPr>
          <w:rFonts w:ascii="宋体" w:hAnsi="宋体" w:hint="eastAsia"/>
          <w:color w:val="000000"/>
          <w:sz w:val="24"/>
          <w:szCs w:val="24"/>
        </w:rPr>
        <w:t xml:space="preserve"> </w:t>
      </w:r>
      <w:r w:rsidR="00750D48" w:rsidRPr="00264E55">
        <w:rPr>
          <w:rFonts w:ascii="宋体" w:hAnsi="宋体"/>
          <w:color w:val="000000"/>
          <w:sz w:val="24"/>
          <w:szCs w:val="24"/>
        </w:rPr>
        <w:t>2019年11月18日，珠海市交通运输局对珠海格力电器股份有限公司违反《超限运输车辆行驶公路管理规定》第四十三条的行为作出“罚款4000元”的行政处罚决定。2019年12月4日，珠海市交通运输局对珠海格力电器股份有限公司违反《超限运输车辆行驶公路管理规定》第四十三条的行为作出“罚款4000元”的行政处罚决定。</w:t>
      </w:r>
    </w:p>
    <w:p>
      <w:pPr>
        <w:spacing w:line="360" w:lineRule="auto"/>
        <w:rPr>
          <w:rFonts w:ascii="宋体" w:hAnsi="宋体"/>
          <w:color w:val="000000"/>
          <w:sz w:val="24"/>
          <w:szCs w:val="24"/>
        </w:rPr>
      </w:pPr>
      <w:r>
        <w:rPr>
          <w:rFonts w:ascii="宋体" w:hAnsi="宋体"/>
          <w:color w:val="000000"/>
          <w:sz w:val="24"/>
          <w:szCs w:val="24"/>
        </w:rPr>
        <w:t>本基金投资格力电器的投资决策程序符合公司投资制度的规定。</w:t>
      </w:r>
    </w:p>
    <w:p>
      <w:pPr>
        <w:spacing w:line="360" w:lineRule="auto"/>
        <w:rPr>
          <w:rFonts w:ascii="宋体" w:hAnsi="宋体"/>
          <w:color w:val="000000"/>
          <w:sz w:val="24"/>
          <w:szCs w:val="24"/>
        </w:rPr>
      </w:pPr>
      <w:r>
        <w:rPr>
          <w:rFonts w:ascii="宋体" w:hAnsi="宋体"/>
          <w:color w:val="000000"/>
          <w:sz w:val="24"/>
          <w:szCs w:val="24"/>
        </w:rPr>
        <w:t>除格力电器外，本基金投资的前十名证券的发行主体本期没有出现被监管部门立案调查，或在报告编制日前一年内受到公开谴责、处罚的情形。</w:t>
      </w:r>
    </w:p>
    <w:p w:rsidP="001B0A62" w:rsidR="00750D48" w:rsidRDefault="002C5960" w:rsidRPr="00264E55">
      <w:pPr>
        <w:spacing w:line="360" w:lineRule="auto"/>
        <w:rPr>
          <w:rFonts w:ascii="宋体" w:hAnsi="宋体"/>
          <w:color w:val="000000"/>
          <w:sz w:val="24"/>
          <w:szCs w:val="24"/>
        </w:rPr>
      </w:pPr>
      <w:r w:rsidRPr="00773B02">
        <w:rPr>
          <w:rFonts w:asciiTheme="majorEastAsia" w:eastAsiaTheme="majorEastAsia" w:hAnsiTheme="majorEastAsia" w:hint="eastAsia"/>
          <w:color w:val="000000"/>
          <w:sz w:val="24"/>
        </w:rPr>
        <w:t/>
      </w:r>
      <w:proofErr w:type="spellStart"/>
      <w:r w:rsidRPr="00773B02">
        <w:rPr>
          <w:rFonts w:asciiTheme="majorEastAsia" w:eastAsiaTheme="majorEastAsia" w:hAnsiTheme="majorEastAsia" w:hint="eastAsia"/>
          <w:color w:val="000000"/>
          <w:sz w:val="24"/>
        </w:rPr>
        <w:t/>
      </w:r>
      <w:proofErr w:type="spellEnd"/>
      <w:r w:rsidRPr="00773B02">
        <w:rPr>
          <w:rFonts w:asciiTheme="majorEastAsia" w:eastAsiaTheme="majorEastAsia" w:hAnsiTheme="majorEastAsia" w:hint="eastAsia"/>
          <w:color w:val="000000"/>
          <w:sz w:val="24"/>
        </w:rPr>
        <w:t/>
      </w:r>
      <w:r w:rsidR="00750D48" w:rsidRPr="00773B02">
        <w:rPr>
          <w:rFonts w:asciiTheme="majorEastAsia" w:eastAsiaTheme="majorEastAsia" w:hAnsiTheme="majorEastAsia"/>
          <w:color w:val="000000"/>
          <w:sz w:val="24"/>
          <w:szCs w:val="24"/>
        </w:rPr>
        <w:t/>
      </w:r>
      <w:proofErr w:type="gramStart"/>
      <w:r w:rsidR="00750D48" w:rsidRPr="00773B02">
        <w:rPr>
          <w:rFonts w:asciiTheme="majorEastAsia" w:eastAsiaTheme="majorEastAsia" w:hAnsiTheme="majorEastAsia"/>
          <w:color w:val="000000"/>
          <w:sz w:val="24"/>
          <w:szCs w:val="24"/>
        </w:rPr>
        <w:t/>
      </w:r>
      <w:proofErr w:type="gramEnd"/>
      <w:r w:rsidR="00750D48" w:rsidRPr="00773B02">
        <w:rPr>
          <w:rFonts w:asciiTheme="majorEastAsia" w:eastAsiaTheme="majorEastAsia" w:hAnsiTheme="majorEastAsia"/>
          <w:color w:val="000000"/>
          <w:sz w:val="24"/>
          <w:szCs w:val="24"/>
        </w:rPr>
        <w:t>5.11.2</w:t>
      </w:r>
      <w:r w:rsidR="00065E3C" w:rsidRPr="00773B02">
        <w:rPr>
          <w:rFonts w:asciiTheme="majorEastAsia" w:eastAsiaTheme="majorEastAsia" w:hAnsiTheme="majorEastAsia" w:hint="eastAsia"/>
          <w:color w:val="000000"/>
          <w:sz w:val="24"/>
          <w:szCs w:val="24"/>
        </w:rPr>
        <w:t xml:space="preserve"> </w:t>
      </w:r>
      <w:r w:rsidR="00750D48" w:rsidRPr="00264E55">
        <w:rPr>
          <w:rFonts w:ascii="宋体" w:hAnsi="宋体"/>
          <w:color w:val="000000"/>
          <w:sz w:val="24"/>
          <w:szCs w:val="24"/>
        </w:rPr>
        <w:lastRenderedPageBreak/>
        <w:t>本基金投资的前十名股票没有超出基金合同规定的备选股票库。</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 xml:space="preserve">5.11.3 </w:t>
      </w:r>
      <w:r w:rsidR="00B371D4">
        <w:rPr>
          <w:rFonts w:ascii="宋体" w:hAnsi="宋体" w:hint="eastAsia"/>
          <w:bCs/>
          <w:color w:val="000000"/>
          <w:kern w:val="0"/>
          <w:sz w:val="24"/>
          <w:szCs w:val="24"/>
        </w:rPr>
        <w:t>其他</w:t>
      </w:r>
      <w:r w:rsidRPr="001C7E00">
        <w:rPr>
          <w:rFonts w:ascii="宋体" w:hAnsi="宋体" w:hint="eastAsia"/>
          <w:bCs/>
          <w:color w:val="000000"/>
          <w:kern w:val="0"/>
          <w:sz w:val="24"/>
          <w:szCs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470"/>
        <w:gridCol w:w="4808"/>
      </w:tblGrid>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type="dxa" w:w="2470"/>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type="dxa" w:w="4808"/>
            <w:vAlign w:val="center"/>
          </w:tcPr>
          <w:p w:rsidP="005F7917"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1,880,057.11</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807,088.29</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545,578.24</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62,400,196.15</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65,632,919.79</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808"/>
        <w:gridCol w:w="1729"/>
        <w:gridCol w:w="1658"/>
        <w:gridCol w:w="1697"/>
        <w:gridCol w:w="1621"/>
      </w:tblGrid>
      <w:tr w:rsidR="00750D48" w:rsidRPr="00264E55" w:rsidTr="00B05049">
        <w:tc>
          <w:tcPr>
            <w:tcW w:type="dxa" w:w="1808"/>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序号</w:t>
            </w:r>
          </w:p>
        </w:tc>
        <w:tc>
          <w:tcPr>
            <w:tcW w:type="dxa" w:w="1729"/>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债券代码</w:t>
            </w:r>
          </w:p>
        </w:tc>
        <w:tc>
          <w:tcPr>
            <w:tcW w:type="dxa" w:w="1658"/>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债券名称</w:t>
            </w:r>
          </w:p>
        </w:tc>
        <w:tc>
          <w:tcPr>
            <w:tcW w:type="dxa" w:w="1697"/>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type="dxa" w:w="1621"/>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113543</w:t>
            </w:r>
          </w:p>
        </w:tc>
        <w:tc>
          <w:tcPr>
            <w:vAlign w:val="center"/>
          </w:tcPr>
          <w:p>
            <w:pPr>
              <w:jc w:val="center"/>
            </w:pPr>
            <w:r>
              <w:rPr>
                <w:color w:val="000000"/>
                <w:kern w:val="0"/>
                <w:sz w:val="24"/>
                <w:szCs w:val="24"/>
              </w:rPr>
              <w:t>欧派转债</w:t>
            </w:r>
          </w:p>
        </w:tc>
        <w:tc>
          <w:tcPr>
            <w:vAlign w:val="center"/>
          </w:tcPr>
          <w:p>
            <w:pPr>
              <w:jc w:val="right"/>
            </w:pPr>
            <w:r>
              <w:rPr>
                <w:color w:val="000000"/>
                <w:kern w:val="0"/>
                <w:sz w:val="24"/>
                <w:szCs w:val="24"/>
              </w:rPr>
              <w:t>8,897,809.80</w:t>
            </w:r>
          </w:p>
        </w:tc>
        <w:tc>
          <w:tcPr>
            <w:vAlign w:val="center"/>
          </w:tcPr>
          <w:p>
            <w:pPr>
              <w:jc w:val="right"/>
            </w:pPr>
            <w:r>
              <w:rPr>
                <w:color w:val="000000"/>
                <w:kern w:val="0"/>
                <w:sz w:val="24"/>
                <w:szCs w:val="24"/>
              </w:rPr>
              <w:t>0.04</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113021</w:t>
            </w:r>
          </w:p>
        </w:tc>
        <w:tc>
          <w:tcPr>
            <w:vAlign w:val="center"/>
          </w:tcPr>
          <w:p>
            <w:pPr>
              <w:jc w:val="center"/>
            </w:pPr>
            <w:r>
              <w:rPr>
                <w:color w:val="000000"/>
                <w:kern w:val="0"/>
                <w:sz w:val="24"/>
                <w:szCs w:val="24"/>
              </w:rPr>
              <w:t>中信转债</w:t>
            </w:r>
          </w:p>
        </w:tc>
        <w:tc>
          <w:tcPr>
            <w:vAlign w:val="center"/>
          </w:tcPr>
          <w:p>
            <w:pPr>
              <w:jc w:val="right"/>
            </w:pPr>
            <w:r>
              <w:rPr>
                <w:color w:val="000000"/>
                <w:kern w:val="0"/>
                <w:sz w:val="24"/>
                <w:szCs w:val="24"/>
              </w:rPr>
              <w:t>1,527,604.50</w:t>
            </w:r>
          </w:p>
        </w:tc>
        <w:tc>
          <w:tcPr>
            <w:vAlign w:val="center"/>
          </w:tcPr>
          <w:p>
            <w:pPr>
              <w:jc w:val="right"/>
            </w:pPr>
            <w:r>
              <w:rPr>
                <w:color w:val="000000"/>
                <w:kern w:val="0"/>
                <w:sz w:val="24"/>
                <w:szCs w:val="24"/>
              </w:rPr>
              <w:t>0.01</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083"/>
        <w:gridCol w:w="1302"/>
        <w:gridCol w:w="1301"/>
        <w:gridCol w:w="1805"/>
        <w:gridCol w:w="1655"/>
        <w:gridCol w:w="1367"/>
      </w:tblGrid>
      <w:tr w:rsidR="00750D48" w:rsidRPr="00264E55" w:rsidTr="00B05049">
        <w:tc>
          <w:tcPr>
            <w:tcW w:type="dxa" w:w="1083"/>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序号</w:t>
            </w:r>
          </w:p>
        </w:tc>
        <w:tc>
          <w:tcPr>
            <w:tcW w:type="dxa" w:w="1302"/>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股票代码</w:t>
            </w:r>
          </w:p>
        </w:tc>
        <w:tc>
          <w:tcPr>
            <w:tcW w:type="dxa" w:w="1301"/>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股票名称</w:t>
            </w:r>
          </w:p>
        </w:tc>
        <w:tc>
          <w:tcPr>
            <w:tcW w:type="dxa" w:w="1805"/>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流通受限部分</w:t>
            </w:r>
            <w:r w:rsidRPr="00B227EA">
              <w:rPr>
                <w:color w:val="000000"/>
                <w:kern w:val="0"/>
                <w:sz w:val="24"/>
                <w:szCs w:val="24"/>
              </w:rPr>
              <w:lastRenderedPageBreak/>
              <w:t>的公允价值</w:t>
            </w:r>
            <w:r w:rsidR="005F7917" w:rsidRPr="00B227EA">
              <w:rPr>
                <w:color w:val="000000"/>
                <w:kern w:val="0"/>
                <w:sz w:val="24"/>
                <w:szCs w:val="24"/>
              </w:rPr>
              <w:t>（元）</w:t>
            </w:r>
          </w:p>
        </w:tc>
        <w:tc>
          <w:tcPr>
            <w:tcW w:type="dxa" w:w="1655"/>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lastRenderedPageBreak/>
              <w:t>占基金资产</w:t>
            </w:r>
            <w:r w:rsidRPr="00B227EA">
              <w:rPr>
                <w:color w:val="000000"/>
                <w:kern w:val="0"/>
                <w:sz w:val="24"/>
                <w:szCs w:val="24"/>
              </w:rPr>
              <w:lastRenderedPageBreak/>
              <w:t>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type="dxa" w:w="1367"/>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lastRenderedPageBreak/>
              <w:t>流通受限</w:t>
            </w:r>
            <w:r w:rsidRPr="00B227EA">
              <w:rPr>
                <w:color w:val="000000"/>
                <w:kern w:val="0"/>
                <w:sz w:val="24"/>
                <w:szCs w:val="24"/>
              </w:rPr>
              <w:lastRenderedPageBreak/>
              <w:t>情况说明</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600809</w:t>
            </w:r>
          </w:p>
        </w:tc>
        <w:tc>
          <w:tcPr>
            <w:vAlign w:val="center"/>
          </w:tcPr>
          <w:p>
            <w:pPr>
              <w:jc w:val="center"/>
            </w:pPr>
            <w:r>
              <w:rPr>
                <w:color w:val="000000"/>
                <w:kern w:val="0"/>
                <w:sz w:val="24"/>
                <w:szCs w:val="24"/>
              </w:rPr>
              <w:t>山西汾酒</w:t>
            </w:r>
          </w:p>
        </w:tc>
        <w:tc>
          <w:tcPr>
            <w:vAlign w:val="center"/>
          </w:tcPr>
          <w:p>
            <w:pPr>
              <w:jc w:val="right"/>
            </w:pPr>
            <w:r>
              <w:rPr>
                <w:color w:val="000000"/>
                <w:kern w:val="0"/>
                <w:sz w:val="24"/>
                <w:szCs w:val="24"/>
              </w:rPr>
              <w:t>470,899,400.00</w:t>
            </w:r>
          </w:p>
        </w:tc>
        <w:tc>
          <w:tcPr>
            <w:vAlign w:val="center"/>
          </w:tcPr>
          <w:p>
            <w:pPr>
              <w:jc w:val="right"/>
            </w:pPr>
            <w:r>
              <w:rPr>
                <w:color w:val="000000"/>
                <w:kern w:val="0"/>
                <w:sz w:val="24"/>
                <w:szCs w:val="24"/>
              </w:rPr>
              <w:t>1.95</w:t>
            </w:r>
          </w:p>
        </w:tc>
        <w:tc>
          <w:tcPr>
            <w:vAlign w:val="center"/>
          </w:tcPr>
          <w:p>
            <w:pPr>
              <w:jc w:val="right"/>
            </w:pPr>
            <w:r>
              <w:rPr>
                <w:color w:val="000000"/>
                <w:kern w:val="0"/>
                <w:sz w:val="24"/>
                <w:szCs w:val="24"/>
              </w:rPr>
              <w:t>大宗交易流通受限</w:t>
            </w:r>
          </w:p>
        </w:tc>
      </w:tr>
    </w:tbl>
    <w:p w:rsidP="00232B03" w:rsidR="00750D48" w:rsidRDefault="00750D48" w:rsidRPr="00232B03">
      <w:pPr>
        <w:spacing w:line="360" w:lineRule="auto"/>
        <w:ind w:firstLine="480" w:firstLineChars="200"/>
        <w:rPr>
          <w:color w:val="000000"/>
          <w:sz w:val="24"/>
          <w:szCs w:val="24"/>
        </w:rPr>
      </w:pPr>
      <w:r w:rsidRPr="006C56AA">
        <w:rPr>
          <w:color w:val="000000"/>
          <w:sz w:val="24"/>
          <w:szCs w:val="24"/>
        </w:rPr>
        <w:t>注：根据《深圳/上海证券交易所上市公司股东及董事、监事、高级管理人员减持股份实施细则》，大股东减持或者特定股东减持，采取大宗交易方式的，在任意连续90日内，减持股份的总数不得超过公司股份总数的2%；前款交易的受让方在受让后6个月内，不得转让所受让的股份。</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P="004061AC" w:rsidR="00750D48" w:rsidRDefault="00750D48" w:rsidRPr="00264E55">
      <w:pPr>
        <w:autoSpaceDE w:val="0"/>
        <w:autoSpaceDN w:val="0"/>
        <w:adjustRightInd w:val="0"/>
        <w:spacing w:before="29" w:line="360" w:lineRule="auto"/>
        <w:ind w:left="15"/>
        <w:jc w:val="right"/>
        <w:rPr>
          <w:rFonts w:ascii="宋体"/>
          <w:color w:val="000000"/>
          <w:kern w:val="0"/>
          <w:sz w:val="24"/>
          <w:szCs w:val="24"/>
        </w:rPr>
      </w:pPr>
      <w:r w:rsidRPr="00264E55">
        <w:rPr>
          <w:rFonts w:ascii="宋体" w:cs="宋体" w:hAnsi="宋体" w:hint="eastAsia"/>
          <w:color w:val="000000"/>
          <w:kern w:val="0"/>
          <w:sz w:val="24"/>
          <w:szCs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6,067,029,778.75</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基金总申购份额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2,617,493,032.27</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w:t>
            </w: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基金总赎回份额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2,761,106,994.92</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lastRenderedPageBreak/>
              <w:t>报告期期末基金份额总额</w:t>
            </w:r>
          </w:p>
        </w:tc>
        <w:tc>
          <w:tcPr>
            <w:tcW w:type="dxa" w:w="4025"/>
            <w:vAlign w:val="center"/>
          </w:tcPr>
          <w:p w:rsidP="000A2B53"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5,923,415,816.10</w:t>
            </w:r>
          </w:p>
        </w:tc>
      </w:tr>
    </w:tbl>
    <w:p w:rsidP="004D28A3" w:rsidR="00750D48" w:rsidRDefault="00750D4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EB374A" w:rsidR="00750D48" w:rsidRDefault="00750D48">
      <w:pPr>
        <w:spacing w:line="360" w:lineRule="auto"/>
        <w:jc w:val="left"/>
        <w:rPr>
          <w:sz w:val="24"/>
          <w:szCs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232B03" w:rsidR="00750D48" w:rsidRDefault="00AC11B0"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本报告期内基金管理人未持有本基金份额。</w:t>
      </w:r>
    </w:p>
    <w:p w:rsidP="00EB374A" w:rsidR="00750D48" w:rsidRDefault="00750D4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6C56AA"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本报告期内基金管理人未运用固有资金申购、赎回、买卖本基金份额。</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pPr>
        <w:spacing w:line="360" w:lineRule="auto"/>
        <w:ind w:firstLine="480" w:firstLineChars="200"/>
        <w:rPr>
          <w:color w:val="000000"/>
          <w:sz w:val="24"/>
          <w:szCs w:val="24"/>
        </w:rPr>
      </w:pPr>
      <w:r>
        <w:rPr>
          <w:color w:val="000000"/>
          <w:sz w:val="24"/>
          <w:szCs w:val="24"/>
        </w:rPr>
        <w:t>1.中国证监会核准易方达消费行业股票型证券投资基金募集的文件；</w:t>
      </w:r>
    </w:p>
    <w:p>
      <w:pPr>
        <w:spacing w:line="360" w:lineRule="auto"/>
        <w:ind w:firstLine="480" w:firstLineChars="200"/>
        <w:rPr>
          <w:color w:val="000000"/>
          <w:sz w:val="24"/>
          <w:szCs w:val="24"/>
        </w:rPr>
      </w:pPr>
      <w:r>
        <w:rPr>
          <w:color w:val="000000"/>
          <w:sz w:val="24"/>
          <w:szCs w:val="24"/>
        </w:rPr>
        <w:t>2.《易方达消费行业股票型证券投资基金基金合同》；</w:t>
      </w:r>
    </w:p>
    <w:p>
      <w:pPr>
        <w:spacing w:line="360" w:lineRule="auto"/>
        <w:ind w:firstLine="480" w:firstLineChars="200"/>
        <w:rPr>
          <w:color w:val="000000"/>
          <w:sz w:val="24"/>
          <w:szCs w:val="24"/>
        </w:rPr>
      </w:pPr>
      <w:r>
        <w:rPr>
          <w:color w:val="000000"/>
          <w:sz w:val="24"/>
          <w:szCs w:val="24"/>
        </w:rPr>
        <w:t>3.《易方达消费行业股票型证券投资基金托管协议》；</w:t>
      </w:r>
    </w:p>
    <w:p>
      <w:pPr>
        <w:spacing w:line="360" w:lineRule="auto"/>
        <w:ind w:firstLine="480" w:firstLineChars="200"/>
        <w:rPr>
          <w:color w:val="000000"/>
          <w:sz w:val="24"/>
          <w:szCs w:val="24"/>
        </w:rPr>
      </w:pPr>
      <w:r>
        <w:rPr>
          <w:color w:val="000000"/>
          <w:sz w:val="24"/>
          <w:szCs w:val="24"/>
        </w:rPr>
        <w:t>4.《易方达基金管理有限公司开放式基金业务规则》；</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5.基金管理人业务资格批件和营业执照。</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lastRenderedPageBreak/>
        <w:t/>
      </w:r>
      <w:proofErr w:type="spellStart"/>
      <w:r w:rsidRPr="006C56AA">
        <w:rPr>
          <w:color w:val="000000"/>
          <w:sz w:val="24"/>
          <w:szCs w:val="24"/>
        </w:rPr>
        <w:t/>
      </w:r>
      <w:proofErr w:type="spellEnd"/>
      <w:r w:rsidRPr="006C56AA">
        <w:rPr>
          <w:color w:val="000000"/>
          <w:sz w:val="24"/>
          <w:szCs w:val="24"/>
        </w:rPr>
        <w:t>广州市天河区珠江新城珠江东路30号广州银行大厦40-43楼。</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投资者可在营业时间免费查阅，也可按工本费购买复印件。</w:t>
      </w: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C71497" w:rsidR="00750D48" w:rsidRDefault="00750D48" w:rsidRPr="00264E55">
      <w:pPr>
        <w:spacing w:line="360" w:lineRule="auto"/>
        <w:jc w:val="right"/>
        <w:rPr>
          <w:rFonts w:ascii="宋体" w:hAnsi="宋体"/>
          <w:b/>
          <w:bCs/>
          <w:sz w:val="24"/>
          <w:szCs w:val="24"/>
        </w:rPr>
      </w:pPr>
      <w:r w:rsidRPr="00264E55">
        <w:rPr>
          <w:rFonts w:asci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易方达基金管理有限公司</w:t>
      </w:r>
    </w:p>
    <w:p w:rsidP="00191817" w:rsidR="00750D48" w:rsidRDefault="00750D48" w:rsidRPr="00191817">
      <w:pPr>
        <w:spacing w:line="360" w:lineRule="auto"/>
        <w:jc w:val="right"/>
        <w:rPr>
          <w:rFonts w:ascii="宋体" w:hAnsi="宋体"/>
          <w:b/>
          <w:bCs/>
          <w:sz w:val="24"/>
          <w:szCs w:val="24"/>
        </w:rPr>
      </w:pPr>
      <w:r w:rsidRPr="00264E55">
        <w:rPr>
          <w:rFonts w:ascii="宋体" w:hAns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二〇二〇年十月二十八日</w:t>
      </w:r>
    </w:p>
    <w:sectPr w:rsidR="00750D48" w:rsidRPr="00191817" w:rsidSect="00304A12">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00" w:rsidRDefault="008E0E00" w:rsidP="00876D65">
      <w:r>
        <w:separator/>
      </w:r>
    </w:p>
  </w:endnote>
  <w:endnote w:type="continuationSeparator" w:id="0">
    <w:p w:rsidR="008E0E00" w:rsidRDefault="008E0E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EF56B5"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1</w:t>
    </w:r>
    <w:r>
      <w:rPr>
        <w:rStyle w:val="a7"/>
      </w:rPr>
      <w:fldChar w:fldCharType="end"/>
    </w:r>
    <w:proofErr w:type="gramStart"/>
    <w:r>
      <w:rPr>
        <w:rStyle w:val="a7"/>
        <w:rFonts w:hint="eastAsia"/>
      </w:rPr>
      <w:t>页共</w:t>
    </w:r>
    <w:proofErr w:type="gramEnd"/>
    <w:r w:rsidR="00764C38">
      <w:fldChar w:fldCharType="begin"/>
    </w:r>
    <w:r w:rsidR="00764C38">
      <w:instrText xml:space="preserve"> NUMPAGES  \* Arabic  \* MERGEFORMAT </w:instrText>
    </w:r>
    <w:r w:rsidR="00764C38">
      <w:fldChar w:fldCharType="separate"/>
    </w:r>
    <w:r w:rsidR="000D33A8" w:rsidRPr="000D33A8">
      <w:rPr>
        <w:rStyle w:val="a7"/>
        <w:noProof/>
      </w:rPr>
      <w:t>28</w:t>
    </w:r>
    <w:r w:rsidR="00764C38">
      <w:rPr>
        <w:rStyle w:val="a7"/>
        <w:noProof/>
      </w:rPr>
      <w:fldChar w:fldCharType="end"/>
    </w:r>
    <w:r>
      <w:rPr>
        <w:rStyle w:val="a7"/>
        <w:rFonts w:hint="eastAsia"/>
      </w:rPr>
      <w:t>页</w:t>
    </w:r>
  </w:p>
  <w:p w:rsidP="00EF56B5" w:rsidR="003328D9" w:rsidRDefault="003328D9" w:rsidRPr="00EF56B5">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6</w:t>
    </w:r>
    <w:r>
      <w:rPr>
        <w:rStyle w:val="a7"/>
      </w:rPr>
      <w:fldChar w:fldCharType="end"/>
    </w:r>
    <w:proofErr w:type="gramStart"/>
    <w:r>
      <w:rPr>
        <w:rStyle w:val="a7"/>
        <w:rFonts w:hint="eastAsia"/>
      </w:rPr>
      <w:t>页共</w:t>
    </w:r>
    <w:proofErr w:type="gramEnd"/>
    <w:fldSimple w:instr=" NUMPAGES  \* Arabic  \* MERGEFORMAT ">
      <w:r w:rsidR="000D33A8" w:rsidRPr="000D33A8">
        <w:rPr>
          <w:rStyle w:val="a7"/>
          <w:noProof/>
        </w:rPr>
        <w:t>28</w:t>
      </w:r>
    </w:fldSimple>
    <w:r>
      <w:rPr>
        <w:rStyle w:val="a7"/>
        <w:rFonts w:hint="eastAsia"/>
      </w:rPr>
      <w:t>页</w:t>
    </w:r>
  </w:p>
  <w:p w:rsidR="003328D9" w:rsidRDefault="003328D9">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876D65" w:rsidR="008E0E00" w:rsidRDefault="008E0E00">
      <w:r>
        <w:separator/>
      </w:r>
    </w:p>
  </w:footnote>
  <w:footnote w:id="0" w:type="continuationSeparator">
    <w:p w:rsidP="00876D65" w:rsidR="008E0E00" w:rsidRDefault="008E0E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090A26" w:rsidR="003328D9" w:rsidRDefault="003328D9" w:rsidRPr="00093704">
    <w:pPr>
      <w:pStyle w:val="a9"/>
      <w:pBdr>
        <w:bottom w:color="auto" w:space="0" w:sz="6" w:val="single"/>
      </w:pBdr>
      <w:jc w:val="right"/>
    </w:pPr>
    <w:r w:rsidRPr="00093704">
      <w:t/>
    </w:r>
    <w:proofErr w:type="spellStart"/>
    <w:proofErr w:type="gramStart"/>
    <w:r w:rsidRPr="00093704">
      <w:t/>
    </w:r>
    <w:proofErr w:type="spellEnd"/>
    <w:proofErr w:type="gramEnd"/>
    <w:r w:rsidRPr="00093704">
      <w:t>易方达消费行业股票型证券投资基金</w:t>
    </w:r>
    <w:proofErr w:type="spellStart"/>
    <w:r w:rsidRPr="00093704">
      <w:t/>
    </w:r>
    <w:proofErr w:type="spellEnd"/>
    <w:r w:rsidRPr="0009370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hAnsi="Wingdings" w:hint="default"/>
      </w:rPr>
    </w:lvl>
    <w:lvl w:ilvl="2" w:tplc="04090005">
      <w:start w:val="1"/>
      <w:numFmt w:val="bullet"/>
      <w:lvlText w:val=""/>
      <w:lvlJc w:val="left"/>
      <w:pPr>
        <w:tabs>
          <w:tab w:pos="1680" w:val="num"/>
        </w:tabs>
        <w:ind w:hanging="420" w:left="1680"/>
      </w:pPr>
      <w:rPr>
        <w:rFonts w:ascii="Wingdings" w:hAnsi="Wingdings" w:hint="default"/>
      </w:rPr>
    </w:lvl>
    <w:lvl w:ilvl="3" w:tplc="04090001">
      <w:start w:val="1"/>
      <w:numFmt w:val="bullet"/>
      <w:lvlText w:val=""/>
      <w:lvlJc w:val="left"/>
      <w:pPr>
        <w:tabs>
          <w:tab w:pos="2100" w:val="num"/>
        </w:tabs>
        <w:ind w:hanging="420" w:left="2100"/>
      </w:pPr>
      <w:rPr>
        <w:rFonts w:ascii="Wingdings" w:hAnsi="Wingdings" w:hint="default"/>
      </w:rPr>
    </w:lvl>
    <w:lvl w:ilvl="4" w:tplc="04090003">
      <w:start w:val="1"/>
      <w:numFmt w:val="bullet"/>
      <w:lvlText w:val=""/>
      <w:lvlJc w:val="left"/>
      <w:pPr>
        <w:tabs>
          <w:tab w:pos="2520" w:val="num"/>
        </w:tabs>
        <w:ind w:hanging="420" w:left="2520"/>
      </w:pPr>
      <w:rPr>
        <w:rFonts w:ascii="Wingdings" w:hAnsi="Wingdings" w:hint="default"/>
      </w:rPr>
    </w:lvl>
    <w:lvl w:ilvl="5" w:tplc="04090005">
      <w:start w:val="1"/>
      <w:numFmt w:val="bullet"/>
      <w:lvlText w:val=""/>
      <w:lvlJc w:val="left"/>
      <w:pPr>
        <w:tabs>
          <w:tab w:pos="2940" w:val="num"/>
        </w:tabs>
        <w:ind w:hanging="420" w:left="2940"/>
      </w:pPr>
      <w:rPr>
        <w:rFonts w:ascii="Wingdings" w:hAnsi="Wingdings" w:hint="default"/>
      </w:rPr>
    </w:lvl>
    <w:lvl w:ilvl="6" w:tplc="04090001">
      <w:start w:val="1"/>
      <w:numFmt w:val="bullet"/>
      <w:lvlText w:val=""/>
      <w:lvlJc w:val="left"/>
      <w:pPr>
        <w:tabs>
          <w:tab w:pos="3360" w:val="num"/>
        </w:tabs>
        <w:ind w:hanging="420" w:left="3360"/>
      </w:pPr>
      <w:rPr>
        <w:rFonts w:ascii="Wingdings" w:hAnsi="Wingdings" w:hint="default"/>
      </w:rPr>
    </w:lvl>
    <w:lvl w:ilvl="7" w:tplc="04090003">
      <w:start w:val="1"/>
      <w:numFmt w:val="bullet"/>
      <w:lvlText w:val=""/>
      <w:lvlJc w:val="left"/>
      <w:pPr>
        <w:tabs>
          <w:tab w:pos="3780" w:val="num"/>
        </w:tabs>
        <w:ind w:hanging="420" w:left="3780"/>
      </w:pPr>
      <w:rPr>
        <w:rFonts w:ascii="Wingdings" w:hAnsi="Wingdings" w:hint="default"/>
      </w:rPr>
    </w:lvl>
    <w:lvl w:ilvl="8"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szCs w:val="24"/>
      </w:rPr>
    </w:lvl>
    <w:lvl w:ilvl="1" w:tplc="04090019">
      <w:start w:val="1"/>
      <w:numFmt w:val="lowerLetter"/>
      <w:lvlText w:val="%2)"/>
      <w:lvlJc w:val="left"/>
      <w:pPr>
        <w:tabs>
          <w:tab w:pos="1320" w:val="num"/>
        </w:tabs>
        <w:ind w:hanging="420" w:left="1320"/>
      </w:pPr>
      <w:rPr>
        <w:rFonts w:cs="Times New Roman"/>
      </w:rPr>
    </w:lvl>
    <w:lvl w:ilvl="2" w:tplc="0409001B">
      <w:start w:val="1"/>
      <w:numFmt w:val="lowerRoman"/>
      <w:lvlText w:val="%3."/>
      <w:lvlJc w:val="right"/>
      <w:pPr>
        <w:tabs>
          <w:tab w:pos="1740" w:val="num"/>
        </w:tabs>
        <w:ind w:hanging="420" w:left="1740"/>
      </w:pPr>
      <w:rPr>
        <w:rFonts w:cs="Times New Roman"/>
      </w:rPr>
    </w:lvl>
    <w:lvl w:ilvl="3" w:tplc="0409000F">
      <w:start w:val="1"/>
      <w:numFmt w:val="decimal"/>
      <w:lvlText w:val="%4."/>
      <w:lvlJc w:val="left"/>
      <w:pPr>
        <w:tabs>
          <w:tab w:pos="2160" w:val="num"/>
        </w:tabs>
        <w:ind w:hanging="420" w:left="2160"/>
      </w:pPr>
      <w:rPr>
        <w:rFonts w:cs="Times New Roman"/>
      </w:rPr>
    </w:lvl>
    <w:lvl w:ilvl="4" w:tplc="04090019">
      <w:start w:val="1"/>
      <w:numFmt w:val="lowerLetter"/>
      <w:lvlText w:val="%5)"/>
      <w:lvlJc w:val="left"/>
      <w:pPr>
        <w:tabs>
          <w:tab w:pos="2580" w:val="num"/>
        </w:tabs>
        <w:ind w:hanging="420" w:left="2580"/>
      </w:pPr>
      <w:rPr>
        <w:rFonts w:cs="Times New Roman"/>
      </w:rPr>
    </w:lvl>
    <w:lvl w:ilvl="5" w:tplc="0409001B">
      <w:start w:val="1"/>
      <w:numFmt w:val="lowerRoman"/>
      <w:lvlText w:val="%6."/>
      <w:lvlJc w:val="right"/>
      <w:pPr>
        <w:tabs>
          <w:tab w:pos="3000" w:val="num"/>
        </w:tabs>
        <w:ind w:hanging="420" w:left="3000"/>
      </w:pPr>
      <w:rPr>
        <w:rFonts w:cs="Times New Roman"/>
      </w:rPr>
    </w:lvl>
    <w:lvl w:ilvl="6" w:tplc="0409000F">
      <w:start w:val="1"/>
      <w:numFmt w:val="decimal"/>
      <w:lvlText w:val="%7."/>
      <w:lvlJc w:val="left"/>
      <w:pPr>
        <w:tabs>
          <w:tab w:pos="3420" w:val="num"/>
        </w:tabs>
        <w:ind w:hanging="420" w:left="3420"/>
      </w:pPr>
      <w:rPr>
        <w:rFonts w:cs="Times New Roman"/>
      </w:rPr>
    </w:lvl>
    <w:lvl w:ilvl="7" w:tplc="04090019">
      <w:start w:val="1"/>
      <w:numFmt w:val="lowerLetter"/>
      <w:lvlText w:val="%8)"/>
      <w:lvlJc w:val="left"/>
      <w:pPr>
        <w:tabs>
          <w:tab w:pos="3840" w:val="num"/>
        </w:tabs>
        <w:ind w:hanging="420" w:left="3840"/>
      </w:pPr>
      <w:rPr>
        <w:rFonts w:cs="Times New Roman"/>
      </w:rPr>
    </w:lvl>
    <w:lvl w:ilvl="8"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plc="0409000F">
      <w:start w:val="1"/>
      <w:numFmt w:val="decimal"/>
      <w:lvlText w:val="%4."/>
      <w:lvlJc w:val="left"/>
      <w:pPr>
        <w:tabs>
          <w:tab w:pos="1680" w:val="num"/>
        </w:tabs>
        <w:ind w:hanging="420" w:left="1680"/>
      </w:pPr>
      <w:rPr>
        <w:rFonts w:cs="Times New Roman"/>
      </w:rPr>
    </w:lvl>
    <w:lvl w:ilvl="4" w:tplc="04090019">
      <w:start w:val="1"/>
      <w:numFmt w:val="lowerLetter"/>
      <w:lvlText w:val="%5)"/>
      <w:lvlJc w:val="left"/>
      <w:pPr>
        <w:tabs>
          <w:tab w:pos="2100" w:val="num"/>
        </w:tabs>
        <w:ind w:hanging="420" w:left="2100"/>
      </w:pPr>
      <w:rPr>
        <w:rFonts w:cs="Times New Roman"/>
      </w:rPr>
    </w:lvl>
    <w:lvl w:ilvl="5" w:tplc="0409001B">
      <w:start w:val="1"/>
      <w:numFmt w:val="lowerRoman"/>
      <w:lvlText w:val="%6."/>
      <w:lvlJc w:val="right"/>
      <w:pPr>
        <w:tabs>
          <w:tab w:pos="2520" w:val="num"/>
        </w:tabs>
        <w:ind w:hanging="420" w:left="2520"/>
      </w:pPr>
      <w:rPr>
        <w:rFonts w:cs="Times New Roman"/>
      </w:rPr>
    </w:lvl>
    <w:lvl w:ilvl="6" w:tplc="0409000F">
      <w:start w:val="1"/>
      <w:numFmt w:val="decimal"/>
      <w:lvlText w:val="%7."/>
      <w:lvlJc w:val="left"/>
      <w:pPr>
        <w:tabs>
          <w:tab w:pos="2940" w:val="num"/>
        </w:tabs>
        <w:ind w:hanging="420" w:left="2940"/>
      </w:pPr>
      <w:rPr>
        <w:rFonts w:cs="Times New Roman"/>
      </w:rPr>
    </w:lvl>
    <w:lvl w:ilvl="7" w:tplc="04090019">
      <w:start w:val="1"/>
      <w:numFmt w:val="lowerLetter"/>
      <w:lvlText w:val="%8)"/>
      <w:lvlJc w:val="left"/>
      <w:pPr>
        <w:tabs>
          <w:tab w:pos="3360" w:val="num"/>
        </w:tabs>
        <w:ind w:hanging="420" w:left="3360"/>
      </w:pPr>
      <w:rPr>
        <w:rFonts w:cs="Times New Roman"/>
      </w:rPr>
    </w:lvl>
    <w:lvl w:ilvl="8"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bordersDoNotSurroundHeader/>
  <w:bordersDoNotSurroundFooter/>
  <w:proofState w:grammar="clean"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018BC"/>
    <w:rsid w:val="00007D64"/>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3A8"/>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11CB"/>
    <w:rsid w:val="00213821"/>
    <w:rsid w:val="00215133"/>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06390"/>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5535"/>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0AB6"/>
    <w:rsid w:val="007125DB"/>
    <w:rsid w:val="00717B71"/>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3B02"/>
    <w:rsid w:val="00780186"/>
    <w:rsid w:val="0078089C"/>
    <w:rsid w:val="00787D16"/>
    <w:rsid w:val="00796CA8"/>
    <w:rsid w:val="00797305"/>
    <w:rsid w:val="007B035B"/>
    <w:rsid w:val="007B4C04"/>
    <w:rsid w:val="007B5AFB"/>
    <w:rsid w:val="007C1B9B"/>
    <w:rsid w:val="007C54B1"/>
    <w:rsid w:val="007C5862"/>
    <w:rsid w:val="007C7EC8"/>
    <w:rsid w:val="007F31E6"/>
    <w:rsid w:val="008014F9"/>
    <w:rsid w:val="0080358B"/>
    <w:rsid w:val="008059BD"/>
    <w:rsid w:val="00812D46"/>
    <w:rsid w:val="00815999"/>
    <w:rsid w:val="00815A38"/>
    <w:rsid w:val="00815D8D"/>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8CB"/>
    <w:rsid w:val="00876D65"/>
    <w:rsid w:val="00891261"/>
    <w:rsid w:val="00895A8A"/>
    <w:rsid w:val="008A09E5"/>
    <w:rsid w:val="008A21B2"/>
    <w:rsid w:val="008B2FDD"/>
    <w:rsid w:val="008C2A4F"/>
    <w:rsid w:val="008C75E7"/>
    <w:rsid w:val="008C7CA8"/>
    <w:rsid w:val="008D09EC"/>
    <w:rsid w:val="008D799F"/>
    <w:rsid w:val="008E07EB"/>
    <w:rsid w:val="008E0E00"/>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577D9"/>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371D4"/>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E5A26"/>
    <w:rsid w:val="00C11A5E"/>
    <w:rsid w:val="00C21520"/>
    <w:rsid w:val="00C222B2"/>
    <w:rsid w:val="00C225FB"/>
    <w:rsid w:val="00C41870"/>
    <w:rsid w:val="00C46B88"/>
    <w:rsid w:val="00C5218C"/>
    <w:rsid w:val="00C52191"/>
    <w:rsid w:val="00C5642F"/>
    <w:rsid w:val="00C57A3E"/>
    <w:rsid w:val="00C63554"/>
    <w:rsid w:val="00C71497"/>
    <w:rsid w:val="00C71BA1"/>
    <w:rsid w:val="00C72F5B"/>
    <w:rsid w:val="00C73619"/>
    <w:rsid w:val="00C73BCD"/>
    <w:rsid w:val="00C77AEF"/>
    <w:rsid w:val="00C77E37"/>
    <w:rsid w:val="00C84CB0"/>
    <w:rsid w:val="00C86EB7"/>
    <w:rsid w:val="00C87129"/>
    <w:rsid w:val="00C91E1B"/>
    <w:rsid w:val="00CA2BD3"/>
    <w:rsid w:val="00CA4677"/>
    <w:rsid w:val="00CA5FD5"/>
    <w:rsid w:val="00CA7703"/>
    <w:rsid w:val="00CB0F92"/>
    <w:rsid w:val="00CD4E6D"/>
    <w:rsid w:val="00CD5707"/>
    <w:rsid w:val="00CD7702"/>
    <w:rsid w:val="00CD7FC9"/>
    <w:rsid w:val="00CE06DF"/>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34206"/>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E38CC"/>
    <w:rsid w:val="00E06069"/>
    <w:rsid w:val="00E115C0"/>
    <w:rsid w:val="00E168D7"/>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0244"/>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Times New Roman" w:eastAsia="宋体" w:hAnsi="Calibri"/>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note text" w:semiHidden="0" w:uiPriority="0" w:unhideWhenUsed="0"/>
    <w:lsdException w:locked="1" w:name="caption" w:qFormat="1" w:uiPriority="0"/>
    <w:lsdException w:locked="1" w:name="footnote reference"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Date" w:semiHidden="0" w:uiPriority="0" w:unhideWhenUsed="0"/>
    <w:lsdException w:locked="1" w:name="Strong" w:qFormat="1" w:semiHidden="0" w:uiPriority="22" w:unhideWhenUsed="0"/>
    <w:lsdException w:locked="1" w:name="Emphasis" w:qFormat="1"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hAnsi="Times New Roman"/>
      <w:kern w:val="2"/>
      <w:sz w:val="21"/>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hAnsi="Arial"/>
      <w:b/>
      <w:bCs/>
      <w:kern w:val="0"/>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061AC"/>
    <w:rPr>
      <w:rFonts w:ascii="Times New Roman" w:cs="Times New Roman" w:eastAsia="宋体" w:hAnsi="Times New Roman"/>
      <w:b/>
      <w:bCs/>
      <w:kern w:val="44"/>
      <w:sz w:val="44"/>
      <w:szCs w:val="44"/>
    </w:rPr>
  </w:style>
  <w:style w:customStyle="1" w:styleId="2Char" w:type="character">
    <w:name w:val="标题 2 Char"/>
    <w:link w:val="2"/>
    <w:uiPriority w:val="99"/>
    <w:locked/>
    <w:rsid w:val="004061AC"/>
    <w:rPr>
      <w:rFonts w:ascii="Arial" w:cs="Arial" w:eastAsia="宋体" w:hAnsi="Arial"/>
      <w:b/>
      <w:bCs/>
      <w:sz w:val="24"/>
      <w:szCs w:val="24"/>
    </w:rPr>
  </w:style>
  <w:style w:customStyle="1" w:styleId="3Char" w:type="character">
    <w:name w:val="标题 3 Char"/>
    <w:link w:val="3"/>
    <w:uiPriority w:val="99"/>
    <w:locked/>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eastAsia="Arial Unicode MS" w:hAnsi="Arial Unicode MS"/>
      <w:kern w:val="0"/>
      <w:sz w:val="24"/>
      <w:szCs w:val="24"/>
    </w:rPr>
  </w:style>
  <w:style w:customStyle="1" w:styleId="Char" w:type="character">
    <w:name w:val="正文文本缩进 Char"/>
    <w:link w:val="a4"/>
    <w:uiPriority w:val="99"/>
    <w:locked/>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hAnsi="Courier New"/>
      <w:kern w:val="0"/>
    </w:rPr>
  </w:style>
  <w:style w:customStyle="1" w:styleId="Char0" w:type="character">
    <w:name w:val="纯文本 Char"/>
    <w:link w:val="a5"/>
    <w:uiPriority w:val="99"/>
    <w:locked/>
    <w:rsid w:val="004061AC"/>
    <w:rPr>
      <w:rFonts w:ascii="宋体" w:cs="宋体" w:eastAsia="宋体" w:hAnsi="Courier New"/>
      <w:sz w:val="21"/>
      <w:szCs w:val="21"/>
    </w:rPr>
  </w:style>
  <w:style w:styleId="20" w:type="paragraph">
    <w:name w:val="Body Text Indent 2"/>
    <w:basedOn w:val="a"/>
    <w:link w:val="2Char0"/>
    <w:uiPriority w:val="99"/>
    <w:rsid w:val="004061AC"/>
    <w:pPr>
      <w:spacing w:line="560" w:lineRule="exact"/>
      <w:ind w:firstLine="480" w:firstLineChars="200"/>
    </w:pPr>
    <w:rPr>
      <w:rFonts w:ascii="宋体" w:hAnsi="宋体"/>
      <w:color w:val="FF0000"/>
      <w:kern w:val="0"/>
      <w:sz w:val="24"/>
      <w:szCs w:val="24"/>
    </w:rPr>
  </w:style>
  <w:style w:customStyle="1" w:styleId="2Char0" w:type="character">
    <w:name w:val="正文文本缩进 2 Char"/>
    <w:link w:val="20"/>
    <w:uiPriority w:val="99"/>
    <w:locked/>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kern w:val="0"/>
      <w:sz w:val="18"/>
      <w:szCs w:val="18"/>
    </w:rPr>
  </w:style>
  <w:style w:customStyle="1" w:styleId="Char1" w:type="character">
    <w:name w:val="页脚 Char"/>
    <w:link w:val="a6"/>
    <w:uiPriority w:val="99"/>
    <w:locked/>
    <w:rsid w:val="004061AC"/>
    <w:rPr>
      <w:rFonts w:ascii="Times New Roman" w:cs="Times New Roman" w:eastAsia="宋体" w:hAnsi="Times New Roman"/>
      <w:sz w:val="18"/>
      <w:szCs w:val="18"/>
    </w:rPr>
  </w:style>
  <w:style w:styleId="a7" w:type="character">
    <w:name w:val="page number"/>
    <w:uiPriority w:val="99"/>
    <w:rsid w:val="004061AC"/>
    <w:rPr>
      <w:rFonts w:cs="Times New Roman"/>
    </w:rPr>
  </w:style>
  <w:style w:styleId="a8" w:type="character">
    <w:name w:val="Hyperlink"/>
    <w:uiPriority w:val="99"/>
    <w:rsid w:val="004061AC"/>
    <w:rPr>
      <w:rFonts w:cs="Times New Roman"/>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hAnsi="Arial"/>
      <w:color w:val="FF0000"/>
      <w:kern w:val="0"/>
    </w:rPr>
  </w:style>
  <w:style w:customStyle="1" w:styleId="3Char0" w:type="character">
    <w:name w:val="正文文本缩进 3 Char"/>
    <w:link w:val="30"/>
    <w:uiPriority w:val="99"/>
    <w:locked/>
    <w:rsid w:val="004061AC"/>
    <w:rPr>
      <w:rFonts w:ascii="Arial" w:cs="Arial" w:eastAsia="宋体" w:hAnsi="Arial"/>
      <w:color w:val="FF0000"/>
      <w:sz w:val="21"/>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kern w:val="0"/>
      <w:sz w:val="18"/>
      <w:szCs w:val="18"/>
    </w:rPr>
  </w:style>
  <w:style w:customStyle="1" w:styleId="Char2" w:type="character">
    <w:name w:val="页眉 Char"/>
    <w:link w:val="a9"/>
    <w:uiPriority w:val="99"/>
    <w:locked/>
    <w:rsid w:val="004061AC"/>
    <w:rPr>
      <w:rFonts w:ascii="Times New Roman" w:cs="Times New Roman" w:eastAsia="宋体" w:hAnsi="Times New Roman"/>
      <w:sz w:val="18"/>
      <w:szCs w:val="18"/>
    </w:rPr>
  </w:style>
  <w:style w:styleId="aa" w:type="character">
    <w:name w:val="FollowedHyperlink"/>
    <w:uiPriority w:val="99"/>
    <w:rsid w:val="004061AC"/>
    <w:rPr>
      <w:rFonts w:cs="Times New Roman"/>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rPr>
      <w:kern w:val="0"/>
    </w:rPr>
  </w:style>
  <w:style w:customStyle="1" w:styleId="Char3" w:type="character">
    <w:name w:val="正文文本 Char"/>
    <w:link w:val="ac"/>
    <w:uiPriority w:val="99"/>
    <w:locked/>
    <w:rsid w:val="004061AC"/>
    <w:rPr>
      <w:rFonts w:ascii="Times New Roman" w:cs="Times New Roman" w:eastAsia="宋体" w:hAnsi="Times New Roman"/>
      <w:sz w:val="21"/>
      <w:szCs w:val="21"/>
    </w:rPr>
  </w:style>
  <w:style w:styleId="ad" w:type="paragraph">
    <w:name w:val="Date"/>
    <w:basedOn w:val="a"/>
    <w:next w:val="a"/>
    <w:link w:val="Char4"/>
    <w:uiPriority w:val="99"/>
    <w:rsid w:val="004061AC"/>
    <w:rPr>
      <w:kern w:val="0"/>
      <w:sz w:val="24"/>
      <w:szCs w:val="24"/>
    </w:rPr>
  </w:style>
  <w:style w:customStyle="1" w:styleId="Char4" w:type="character">
    <w:name w:val="日期 Char"/>
    <w:link w:val="ad"/>
    <w:uiPriority w:val="99"/>
    <w:locked/>
    <w:rsid w:val="004061AC"/>
    <w:rPr>
      <w:rFonts w:ascii="Times New Roman" w:cs="Times New Roman" w:eastAsia="宋体" w:hAnsi="Times New Roman"/>
      <w:sz w:val="24"/>
      <w:szCs w:val="24"/>
    </w:rPr>
  </w:style>
  <w:style w:customStyle="1" w:styleId="c1" w:type="character">
    <w:name w:val="c1"/>
    <w:uiPriority w:val="99"/>
    <w:rsid w:val="004061AC"/>
    <w:rPr>
      <w:rFonts w:cs="Times New Roman"/>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kern w:val="0"/>
      <w:sz w:val="18"/>
      <w:szCs w:val="18"/>
    </w:rPr>
  </w:style>
  <w:style w:customStyle="1" w:styleId="Char5" w:type="character">
    <w:name w:val="批注框文本 Char"/>
    <w:link w:val="ae"/>
    <w:uiPriority w:val="99"/>
    <w:semiHidden/>
    <w:locked/>
    <w:rsid w:val="004061AC"/>
    <w:rPr>
      <w:rFonts w:ascii="Times New Roman" w:cs="Times New Roman" w:eastAsia="宋体" w:hAnsi="Times New Roman"/>
      <w:sz w:val="18"/>
      <w:szCs w:val="18"/>
    </w:rPr>
  </w:style>
  <w:style w:styleId="af" w:type="character">
    <w:name w:val="annotation reference"/>
    <w:uiPriority w:val="99"/>
    <w:semiHidden/>
    <w:rsid w:val="004061AC"/>
    <w:rPr>
      <w:rFonts w:cs="Times New Roman"/>
      <w:sz w:val="21"/>
      <w:szCs w:val="21"/>
    </w:rPr>
  </w:style>
  <w:style w:styleId="af0" w:type="paragraph">
    <w:name w:val="annotation text"/>
    <w:basedOn w:val="a"/>
    <w:link w:val="Char6"/>
    <w:uiPriority w:val="99"/>
    <w:semiHidden/>
    <w:rsid w:val="004061AC"/>
    <w:pPr>
      <w:jc w:val="left"/>
    </w:pPr>
    <w:rPr>
      <w:kern w:val="0"/>
    </w:rPr>
  </w:style>
  <w:style w:customStyle="1" w:styleId="Char6" w:type="character">
    <w:name w:val="批注文字 Char"/>
    <w:link w:val="af0"/>
    <w:uiPriority w:val="99"/>
    <w:semiHidden/>
    <w:locked/>
    <w:rsid w:val="004061AC"/>
    <w:rPr>
      <w:rFonts w:ascii="Times New Roman" w:cs="Times New Roman" w:eastAsia="宋体" w:hAnsi="Times New Roman"/>
      <w:sz w:val="21"/>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link w:val="af1"/>
    <w:uiPriority w:val="99"/>
    <w:semiHidden/>
    <w:locked/>
    <w:rsid w:val="004061AC"/>
    <w:rPr>
      <w:rFonts w:ascii="Times New Roman" w:cs="Times New Roman" w:eastAsia="宋体" w:hAnsi="Times New Roman"/>
      <w:b/>
      <w:bCs/>
      <w:sz w:val="21"/>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rPr>
      <w:kern w:val="0"/>
    </w:rPr>
  </w:style>
  <w:style w:customStyle="1" w:styleId="Char9" w:type="character">
    <w:name w:val="文档结构图 Char"/>
    <w:link w:val="af2"/>
    <w:uiPriority w:val="99"/>
    <w:semiHidden/>
    <w:locked/>
    <w:rsid w:val="004061AC"/>
    <w:rPr>
      <w:rFonts w:ascii="Times New Roman" w:cs="Times New Roman" w:eastAsia="宋体" w:hAnsi="Times New Roman"/>
      <w:sz w:val="21"/>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uiPriority w:val="99"/>
    <w:rsid w:val="004061AC"/>
    <w:pPr>
      <w:snapToGrid w:val="0"/>
      <w:jc w:val="left"/>
    </w:pPr>
    <w:rPr>
      <w:kern w:val="0"/>
      <w:sz w:val="18"/>
      <w:szCs w:val="18"/>
    </w:rPr>
  </w:style>
  <w:style w:customStyle="1" w:styleId="Chara" w:type="character">
    <w:name w:val="脚注文本 Char"/>
    <w:link w:val="af4"/>
    <w:uiPriority w:val="99"/>
    <w:locked/>
    <w:rsid w:val="004061AC"/>
    <w:rPr>
      <w:rFonts w:ascii="Times New Roman" w:cs="Times New Roman" w:eastAsia="宋体" w:hAnsi="Times New Roman"/>
      <w:sz w:val="18"/>
      <w:szCs w:val="18"/>
    </w:rPr>
  </w:style>
  <w:style w:styleId="af5" w:type="character">
    <w:name w:val="footnote reference"/>
    <w:uiPriority w:val="99"/>
    <w:rsid w:val="004061AC"/>
    <w:rPr>
      <w:rFonts w:cs="Times New Roman"/>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hAnsi="Times New Roman"/>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hAnsi="Cambria"/>
      <w:b/>
      <w:bCs/>
      <w:kern w:val="0"/>
      <w:sz w:val="32"/>
      <w:szCs w:val="32"/>
    </w:rPr>
  </w:style>
  <w:style w:customStyle="1" w:styleId="Charb" w:type="character">
    <w:name w:val="标题 Char"/>
    <w:link w:val="af8"/>
    <w:uiPriority w:val="99"/>
    <w:locked/>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99"/>
    <w:qFormat/>
    <w:rsid w:val="004061AC"/>
    <w:rPr>
      <w:rFonts w:cs="Calibri"/>
      <w:sz w:val="22"/>
      <w:szCs w:val="22"/>
    </w:rPr>
  </w:style>
  <w:style w:customStyle="1" w:styleId="Charc" w:type="character">
    <w:name w:val="无间隔 Char"/>
    <w:link w:val="af9"/>
    <w:uiPriority w:val="99"/>
    <w:locked/>
    <w:rsid w:val="004061AC"/>
    <w:rPr>
      <w:rFonts w:cs="Calibri"/>
      <w:sz w:val="22"/>
      <w:szCs w:val="22"/>
      <w:lang w:bidi="ar-SA" w:eastAsia="zh-CN" w:val="en-US"/>
    </w:rPr>
  </w:style>
  <w:style w:customStyle="1" w:styleId="t1" w:type="character">
    <w:name w:val="t1"/>
    <w:uiPriority w:val="99"/>
    <w:rsid w:val="004061AC"/>
    <w:rPr>
      <w:rFonts w:cs="Times New Roman"/>
      <w:color w:val="auto"/>
    </w:rPr>
  </w:style>
  <w:style w:styleId="afa" w:type="paragraph">
    <w:name w:val="List Paragraph"/>
    <w:basedOn w:val="a"/>
    <w:uiPriority w:val="99"/>
    <w:qFormat/>
    <w:rsid w:val="00154BE1"/>
    <w:pPr>
      <w:ind w:firstLine="420" w:firstLineChars="200"/>
    </w:pPr>
  </w:style>
  <w:style w:customStyle="1" w:styleId="Default" w:type="paragraph">
    <w:name w:val="Default"/>
    <w:uiPriority w:val="99"/>
    <w:rsid w:val="00275745"/>
    <w:pPr>
      <w:widowControl w:val="0"/>
      <w:autoSpaceDE w:val="0"/>
      <w:autoSpaceDN w:val="0"/>
      <w:adjustRightInd w:val="0"/>
    </w:pPr>
    <w:rPr>
      <w:rFonts w:ascii="FangSong" w:cs="FangSong" w:hAnsi="FangSong"/>
      <w:color w:val="000000"/>
      <w:sz w:val="24"/>
      <w:szCs w:val="24"/>
    </w:rPr>
  </w:style>
  <w:style w:styleId="afb" w:type="character">
    <w:name w:val="Strong"/>
    <w:uiPriority w:val="22"/>
    <w:qFormat/>
    <w:locked/>
    <w:rsid w:val="00D8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8B9-6F43-4DF9-B921-60ACE4E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sirong han</cp:lastModifiedBy>
  <dcterms:modified xsi:type="dcterms:W3CDTF">2020-10-20T06:18:00Z</dcterms:modified>
  <cp:revision>357</cp:revision>
</cp:coreProperties>
</file>