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9A2283" w:rsidR="00F016DD" w:rsidRDefault="00F016DD" w:rsidRPr="0078105B">
      <w:pPr>
        <w:autoSpaceDE w:val="0"/>
        <w:autoSpaceDN w:val="0"/>
        <w:adjustRightInd w:val="0"/>
        <w:spacing w:line="360" w:lineRule="auto"/>
        <w:jc w:val="left"/>
        <w:rPr>
          <w:rFonts w:ascii="宋体" w:cs="Arial"/>
          <w:color w:val="000000"/>
          <w:kern w:val="0"/>
          <w:sz w:val="24"/>
        </w:rPr>
      </w:pPr>
    </w:p>
    <w:p w:rsidP="00FC13C8" w:rsidR="00F016DD" w:rsidRDefault="00F016DD" w:rsidRPr="0078105B">
      <w:pPr>
        <w:spacing w:line="360" w:lineRule="auto"/>
        <w:jc w:val="center"/>
        <w:rPr>
          <w:rFonts w:ascii="宋体" w:hAnsi="宋体"/>
          <w:b/>
          <w:sz w:val="36"/>
          <w:szCs w:val="36"/>
        </w:rPr>
      </w:pPr>
      <w:r w:rsidRPr="0078105B">
        <w:rPr>
          <w:rFonts w:ascii="宋体"/>
          <w:b/>
          <w:sz w:val="36"/>
          <w:szCs w:val="36"/>
        </w:rPr>
        <w:t/>
      </w:r>
      <w:proofErr w:type="spellStart"/>
      <w:proofErr w:type="gramStart"/>
      <w:r w:rsidRPr="0078105B">
        <w:rPr>
          <w:rFonts w:ascii="宋体" w:hAnsi="宋体"/>
          <w:b/>
          <w:sz w:val="36"/>
          <w:szCs w:val="36"/>
        </w:rPr>
        <w:t/>
      </w:r>
      <w:proofErr w:type="spellEnd"/>
      <w:proofErr w:type="gramEnd"/>
      <w:r w:rsidRPr="0078105B">
        <w:rPr>
          <w:rFonts w:ascii="宋体" w:hAnsi="宋体"/>
          <w:b/>
          <w:sz w:val="36"/>
          <w:szCs w:val="36"/>
        </w:rPr>
        <w:t>易方达增强回报债券型证券投资基金</w:t>
      </w:r>
    </w:p>
    <w:p w:rsidP="00FC13C8" w:rsidR="00F016DD" w:rsidRDefault="00F016DD" w:rsidRPr="0078105B">
      <w:pPr>
        <w:spacing w:line="360" w:lineRule="auto"/>
        <w:jc w:val="center"/>
        <w:rPr>
          <w:rFonts w:ascii="宋体" w:hAnsi="宋体"/>
          <w:b/>
          <w:sz w:val="36"/>
          <w:szCs w:val="36"/>
        </w:rPr>
      </w:pPr>
      <w:r w:rsidRPr="0078105B">
        <w:rPr>
          <w:rFonts w:ascii="宋体" w:hAnsi="宋体"/>
          <w:b/>
          <w:sz w:val="36"/>
          <w:szCs w:val="36"/>
        </w:rPr>
        <w:t/>
      </w:r>
      <w:proofErr w:type="spellStart"/>
      <w:r w:rsidRPr="0078105B">
        <w:rPr>
          <w:rFonts w:ascii="宋体" w:hAnsi="宋体"/>
          <w:b/>
          <w:sz w:val="36"/>
          <w:szCs w:val="36"/>
        </w:rPr>
        <w:t/>
      </w:r>
      <w:proofErr w:type="spellEnd"/>
      <w:r w:rsidRPr="0078105B">
        <w:rPr>
          <w:rFonts w:ascii="宋体" w:hAnsi="宋体"/>
          <w:b/>
          <w:sz w:val="36"/>
          <w:szCs w:val="36"/>
        </w:rPr>
        <w:t>2020年第3季度报告</w:t>
      </w:r>
    </w:p>
    <w:p w:rsidP="00FC13C8" w:rsidR="00F016DD" w:rsidRDefault="00F016DD" w:rsidRPr="00DA451D">
      <w:pPr>
        <w:spacing w:line="360" w:lineRule="auto"/>
        <w:jc w:val="center"/>
        <w:rPr>
          <w:rFonts w:ascii="宋体" w:hAnsi="宋体"/>
          <w:b/>
          <w:sz w:val="24"/>
        </w:rPr>
      </w:pPr>
      <w:r w:rsidRPr="00DA451D">
        <w:rPr>
          <w:rFonts w:ascii="宋体"/>
          <w:b/>
          <w:sz w:val="24"/>
        </w:rPr>
        <w:t/>
      </w:r>
      <w:proofErr w:type="spellStart"/>
      <w:proofErr w:type="gramStart"/>
      <w:r w:rsidRPr="00DA451D">
        <w:rPr>
          <w:rFonts w:ascii="宋体" w:hAnsi="宋体"/>
          <w:b/>
          <w:sz w:val="24"/>
        </w:rPr>
        <w:t/>
      </w:r>
      <w:proofErr w:type="spellEnd"/>
      <w:proofErr w:type="gramEnd"/>
      <w:r w:rsidRPr="00DA451D">
        <w:rPr>
          <w:rFonts w:ascii="宋体" w:hAnsi="宋体"/>
          <w:b/>
          <w:sz w:val="24"/>
        </w:rPr>
        <w:t>2020年9月30日</w:t>
      </w: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E27360"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jc w:val="center"/>
        <w:rPr>
          <w:rFonts w:ascii="宋体"/>
          <w:b/>
          <w:color w:val="000000"/>
          <w:sz w:val="24"/>
        </w:rPr>
      </w:pPr>
    </w:p>
    <w:p w:rsidP="009A2283" w:rsidR="00F016DD" w:rsidRDefault="00F016DD" w:rsidRPr="0078105B">
      <w:pPr>
        <w:spacing w:line="360" w:lineRule="auto"/>
        <w:rPr>
          <w:rFonts w:ascii="宋体"/>
          <w:b/>
          <w:color w:val="000000"/>
          <w:sz w:val="24"/>
        </w:rPr>
      </w:pP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基金管理人：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易方达基金管理有限公司</w:t>
      </w:r>
    </w:p>
    <w:p w:rsidP="00174038" w:rsidR="00F016DD" w:rsidRDefault="00F016DD" w:rsidRPr="0078105B">
      <w:pPr>
        <w:spacing w:line="360" w:lineRule="auto"/>
        <w:ind w:firstLine="2168" w:firstLineChars="900"/>
        <w:rPr>
          <w:rFonts w:ascii="宋体" w:hAnsi="宋体"/>
          <w:b/>
          <w:color w:val="000000"/>
          <w:sz w:val="24"/>
        </w:rPr>
      </w:pPr>
      <w:r w:rsidRPr="0078105B">
        <w:rPr>
          <w:rFonts w:ascii="宋体" w:hAnsi="宋体" w:hint="eastAsia"/>
          <w:b/>
          <w:color w:val="000000"/>
          <w:sz w:val="24"/>
        </w:rPr>
        <w:t>基金托管人：</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中国建设银行股份有限公司</w:t>
      </w:r>
    </w:p>
    <w:p w:rsidP="00174038" w:rsidR="00F016DD" w:rsidRDefault="00F016DD" w:rsidRPr="0078105B">
      <w:pPr>
        <w:spacing w:line="360" w:lineRule="auto"/>
        <w:ind w:firstLine="2168" w:firstLineChars="900"/>
        <w:rPr>
          <w:rFonts w:ascii="宋体"/>
          <w:sz w:val="24"/>
        </w:rPr>
        <w:sectPr w:rsidR="00F016DD" w:rsidRPr="0078105B" w:rsidSect="00F7094A">
          <w:headerReference r:id="rId8" w:type="default"/>
          <w:footerReference r:id="rId9" w:type="default"/>
          <w:pgSz w:h="15840" w:w="11926"/>
          <w:pgMar w:bottom="851" w:footer="992" w:gutter="0" w:header="851" w:left="1418" w:right="1418" w:top="1418"/>
          <w:cols w:space="720"/>
          <w:noEndnote/>
        </w:sectPr>
      </w:pPr>
      <w:r w:rsidRPr="0078105B">
        <w:rPr>
          <w:rFonts w:ascii="宋体" w:hAnsi="宋体" w:hint="eastAsia"/>
          <w:b/>
          <w:color w:val="000000"/>
          <w:sz w:val="24"/>
        </w:rPr>
        <w:t>报告送出日期：</w:t>
      </w:r>
      <w:r w:rsidRPr="0078105B">
        <w:rPr>
          <w:rFonts w:ascii="宋体"/>
          <w:b/>
          <w:color w:val="000000"/>
          <w:sz w:val="24"/>
        </w:rPr>
        <w:t/>
      </w:r>
      <w:proofErr w:type="spellStart"/>
      <w:proofErr w:type="gramStart"/>
      <w:r w:rsidRPr="0078105B">
        <w:rPr>
          <w:rFonts w:ascii="宋体" w:hAnsi="宋体"/>
          <w:b/>
          <w:color w:val="000000"/>
          <w:sz w:val="24"/>
        </w:rPr>
        <w:t/>
      </w:r>
      <w:proofErr w:type="spellEnd"/>
      <w:proofErr w:type="gramEnd"/>
      <w:r w:rsidRPr="0078105B">
        <w:rPr>
          <w:rFonts w:ascii="宋体" w:hAnsi="宋体"/>
          <w:b/>
          <w:color w:val="000000"/>
          <w:sz w:val="24"/>
        </w:rPr>
        <w:t>二〇二〇年十月二十八日</w:t>
      </w:r>
    </w:p>
    <w:p w:rsidP="00B54884" w:rsidR="00F016DD" w:rsidRDefault="00F016DD" w:rsidRPr="0078105B">
      <w:pPr>
        <w:pStyle w:val="1"/>
        <w:spacing w:after="312" w:afterLines="100" w:before="312" w:beforeLines="100" w:line="360" w:lineRule="auto"/>
        <w:jc w:val="center"/>
        <w:rPr>
          <w:rFonts w:ascii="宋体" w:cs="Arial"/>
          <w:b w:val="0"/>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1  </w:t>
      </w:r>
      <w:r w:rsidRPr="0078105B">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本报告期自2020年7月1日起至9月30日止。</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2  </w:t>
      </w:r>
      <w:r w:rsidRPr="0078105B">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90"/>
      </w:tblGrid>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基金简称</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易方达增强回报债券</w:t>
            </w:r>
          </w:p>
        </w:tc>
      </w:tr>
      <w:tr w:rsidR="00F016DD" w:rsidRPr="0078105B" w:rsidTr="00414367">
        <w:tc>
          <w:tcPr>
            <w:tcW w:type="dxa" w:w="2835"/>
          </w:tcPr>
          <w:p w:rsidP="00E205AA" w:rsidR="00F016DD" w:rsidRDefault="00F016DD" w:rsidRPr="00C30CFF">
            <w:pPr>
              <w:adjustRightInd w:val="0"/>
              <w:spacing w:before="29" w:line="360" w:lineRule="auto"/>
              <w:ind w:left="17"/>
              <w:jc w:val="left"/>
              <w:rPr>
                <w:kern w:val="0"/>
                <w:sz w:val="24"/>
              </w:rPr>
            </w:pPr>
            <w:r w:rsidRPr="00C30CFF">
              <w:rPr>
                <w:kern w:val="0"/>
                <w:sz w:val="24"/>
              </w:rPr>
              <w:t>基金主代码</w:t>
            </w:r>
          </w:p>
        </w:tc>
        <w:tc>
          <w:tcPr>
            <w:tcW w:type="dxa" w:w="5529"/>
            <w:gridSpan w:val="2"/>
          </w:tcPr>
          <w:p w:rsidP="00E205AA"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110017</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基金运作方式</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契约型开放式</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基金合同生效日</w:t>
            </w:r>
          </w:p>
        </w:tc>
        <w:tc>
          <w:tcPr>
            <w:tcW w:type="dxa" w:w="5529"/>
            <w:gridSpan w:val="2"/>
          </w:tcPr>
          <w:p w:rsidP="00121533" w:rsidR="00F016DD" w:rsidRDefault="00F016DD" w:rsidRPr="00C30CFF">
            <w:pPr>
              <w:adjustRightInd w:val="0"/>
              <w:spacing w:before="29" w:line="360" w:lineRule="auto"/>
              <w:ind w:left="17"/>
              <w:jc w:val="left"/>
              <w:rPr>
                <w:color w:val="000000"/>
                <w:kern w:val="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2008年3月19日</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报告期末基金份额总额</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5,419,076,792.88</w:t>
            </w:r>
            <w:r w:rsidRPr="00C30CFF">
              <w:rPr>
                <w:color w:val="000000"/>
                <w:kern w:val="0"/>
                <w:sz w:val="24"/>
              </w:rPr>
              <w:t>份</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投资目标</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通过主要投资于债券品种，力争为基金持有人创造较高的当期收益和总回报，实现基金资产的长期稳健增值。</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投资策略</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基于对以下因素的判断，进行基金资产在非信用类固定收益品种（国债、央行票据等）、信用类固定收益品种（含可转换债券）、新股（含增发）申购及套利性股票投资之间的配置：1）基于对利率走势、利率期限结构等因素的分析，预测固定收益品种的投资收益和风险；2）对宏观经济、行业前景以及公司财务进行严谨的分析，考察其对固定收益市场信用利差的影响；3）基于新股发行频率、中签率、上市后的平均涨幅等的分析，预测新股申购的收益率以及风险；4）套利性投资机会的投资期间及预期收益率；5）股票市场走势的预测；6）可转换债券发行公司的成长性和转债价值的判断。</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业绩比较基准</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中债总指数（全价）</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风险收益特征</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本基金为债券型基金，其长期平均风险和预期收益率低于混合型基金、股票型基金，高于货币市场基金。</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基金管理人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易方达基金管理有限公司</w:t>
            </w:r>
          </w:p>
        </w:tc>
      </w:tr>
      <w:tr w:rsidR="00F016DD" w:rsidRPr="0078105B" w:rsidTr="00414367">
        <w:tc>
          <w:tcPr>
            <w:tcW w:type="dxa" w:w="2835"/>
          </w:tcPr>
          <w:p w:rsidP="00E205AA" w:rsidR="00F016DD" w:rsidRDefault="00F016DD" w:rsidRPr="00C30CFF">
            <w:pPr>
              <w:adjustRightInd w:val="0"/>
              <w:spacing w:before="29" w:line="360" w:lineRule="auto"/>
              <w:ind w:left="17"/>
              <w:jc w:val="left"/>
              <w:rPr>
                <w:sz w:val="24"/>
              </w:rPr>
            </w:pPr>
            <w:r w:rsidRPr="00C30CFF">
              <w:rPr>
                <w:kern w:val="0"/>
                <w:sz w:val="24"/>
              </w:rPr>
              <w:t>基金托管人</w:t>
            </w:r>
          </w:p>
        </w:tc>
        <w:tc>
          <w:tcPr>
            <w:tcW w:type="dxa" w:w="5529"/>
            <w:gridSpan w:val="2"/>
          </w:tcPr>
          <w:p w:rsidP="00E205AA" w:rsidR="00F016DD" w:rsidRDefault="00F016DD" w:rsidRPr="00C30CFF">
            <w:pPr>
              <w:adjustRightInd w:val="0"/>
              <w:spacing w:before="29" w:line="360" w:lineRule="auto"/>
              <w:ind w:left="17"/>
              <w:jc w:val="left"/>
              <w:rPr>
                <w:color w:val="000000"/>
                <w:sz w:val="24"/>
              </w:rPr>
            </w:pPr>
            <w:r w:rsidRPr="00C30CFF">
              <w:rPr>
                <w:color w:val="000000"/>
                <w:kern w:val="0"/>
                <w:sz w:val="24"/>
              </w:rPr>
              <w:t/>
            </w:r>
            <w:proofErr w:type="spellStart"/>
            <w:r w:rsidRPr="00C30CFF">
              <w:rPr>
                <w:color w:val="000000"/>
                <w:kern w:val="0"/>
                <w:sz w:val="24"/>
              </w:rPr>
              <w:t/>
            </w:r>
            <w:proofErr w:type="spellEnd"/>
            <w:r w:rsidRPr="00C30CFF">
              <w:rPr>
                <w:color w:val="000000"/>
                <w:kern w:val="0"/>
                <w:sz w:val="24"/>
              </w:rPr>
              <w:t>中国建设银行股份有限公司</w:t>
            </w:r>
          </w:p>
        </w:tc>
      </w:tr>
      <w:tr w:rsidR="00F016DD" w:rsidRPr="0078105B" w:rsidTr="00414367">
        <w:tc>
          <w:tcPr>
            <w:tcW w:type="dxa" w:w="2835"/>
          </w:tcPr>
          <w:p w:rsidP="003F13CD" w:rsidR="00F016DD" w:rsidRDefault="00F016DD" w:rsidRPr="00C30CFF">
            <w:pPr>
              <w:adjustRightInd w:val="0"/>
              <w:spacing w:before="29" w:line="360" w:lineRule="auto"/>
              <w:ind w:left="17"/>
              <w:jc w:val="left"/>
              <w:rPr>
                <w:kern w:val="0"/>
                <w:sz w:val="24"/>
              </w:rPr>
            </w:pPr>
            <w:r w:rsidRPr="00C30CFF">
              <w:rPr>
                <w:color w:val="000000"/>
                <w:sz w:val="24"/>
              </w:rPr>
              <w:t>下属</w:t>
            </w:r>
            <w:r w:rsidR="003F13CD" w:rsidRPr="00C30CFF">
              <w:rPr>
                <w:color w:val="000000"/>
                <w:sz w:val="24"/>
              </w:rPr>
              <w:t>分</w:t>
            </w:r>
            <w:r w:rsidRPr="00C30CFF">
              <w:rPr>
                <w:color w:val="000000"/>
                <w:sz w:val="24"/>
              </w:rPr>
              <w:t>级基金的基金简称</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易方达增强回报债券A</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易方达增强回报债券B</w:t>
            </w:r>
          </w:p>
        </w:tc>
      </w:tr>
      <w:tr w:rsidR="00F016DD" w:rsidRPr="004D29A9" w:rsidTr="00414367">
        <w:tc>
          <w:tcPr>
            <w:tcW w:type="dxa" w:w="2835"/>
          </w:tcPr>
          <w:p w:rsidP="003F13CD" w:rsidR="00F016DD" w:rsidRDefault="00F016DD" w:rsidRPr="00C30CFF">
            <w:pPr>
              <w:adjustRightInd w:val="0"/>
              <w:spacing w:before="29" w:line="360" w:lineRule="auto"/>
              <w:ind w:left="17"/>
              <w:jc w:val="left"/>
              <w:rPr>
                <w:color w:val="000000"/>
                <w:sz w:val="24"/>
              </w:rPr>
            </w:pPr>
            <w:r w:rsidRPr="00C30CFF">
              <w:rPr>
                <w:color w:val="000000"/>
                <w:sz w:val="24"/>
              </w:rPr>
              <w:t>下属</w:t>
            </w:r>
            <w:r w:rsidR="003F13CD" w:rsidRPr="00C30CFF">
              <w:rPr>
                <w:color w:val="000000"/>
                <w:sz w:val="24"/>
              </w:rPr>
              <w:t>分</w:t>
            </w:r>
            <w:r w:rsidRPr="00C30CFF">
              <w:rPr>
                <w:color w:val="000000"/>
                <w:sz w:val="24"/>
              </w:rPr>
              <w:t>级基金的交易代</w:t>
            </w:r>
            <w:r w:rsidRPr="00C30CFF">
              <w:rPr>
                <w:color w:val="000000"/>
                <w:sz w:val="24"/>
              </w:rPr>
              <w:lastRenderedPageBreak/>
              <w:t>码</w:t>
            </w:r>
            <w:r w:rsidRPr="00C30CFF">
              <w:rPr>
                <w:color w:val="000000"/>
                <w:sz w:val="24"/>
              </w:rPr>
              <w:t/>
            </w:r>
            <w:proofErr w:type="spellStart"/>
            <w:r w:rsidRPr="00C30CFF">
              <w:rPr>
                <w:color w:val="000000"/>
              </w:rPr>
              <w:t/>
            </w:r>
            <w:proofErr w:type="spellEnd"/>
            <w:r w:rsidRPr="00C30CFF">
              <w:rPr>
                <w:color w:val="000000"/>
                <w:sz w:val="24"/>
              </w:rPr>
              <w:t/>
            </w:r>
          </w:p>
        </w:tc>
        <w:tc>
          <w:tcPr>
            <w:tcW w:type="dxa" w:w="2739"/>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proofErr w:type="spellStart"/>
            <w:r w:rsidRPr="00C30CFF">
              <w:rPr>
                <w:color w:val="000000"/>
                <w:sz w:val="24"/>
              </w:rPr>
              <w:t/>
            </w:r>
            <w:proofErr w:type="spellEnd"/>
            <w:r w:rsidRPr="00C30CFF">
              <w:rPr>
                <w:color w:val="000000"/>
                <w:sz w:val="24"/>
              </w:rPr>
              <w:t/>
            </w:r>
            <w:r w:rsidRPr="00C30CFF">
              <w:rPr>
                <w:color w:val="000000"/>
                <w:sz w:val="24"/>
              </w:rPr>
              <w:lastRenderedPageBreak/>
              <w:t>110017</w:t>
            </w:r>
          </w:p>
        </w:tc>
        <w:tc>
          <w:tcPr>
            <w:tcW w:type="dxa" w:w="2790"/>
            <w:vAlign w:val="center"/>
          </w:tcPr>
          <w:p w:rsidP="00950413" w:rsidR="00F016DD" w:rsidRDefault="00F016DD"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r w:rsidRPr="00C30CFF">
              <w:rPr>
                <w:color w:val="000000"/>
                <w:sz w:val="24"/>
              </w:rPr>
              <w:t>110018</w:t>
            </w:r>
          </w:p>
        </w:tc>
      </w:tr>
      <w:tr w:rsidR="00F016DD" w:rsidRPr="0078105B" w:rsidTr="00414367">
        <w:tc>
          <w:tcPr>
            <w:tcW w:type="dxa" w:w="2835"/>
          </w:tcPr>
          <w:p w:rsidP="00162D92" w:rsidR="00F016DD" w:rsidRDefault="00F016DD" w:rsidRPr="00C30CFF">
            <w:pPr>
              <w:adjustRightInd w:val="0"/>
              <w:spacing w:before="29" w:line="360" w:lineRule="auto"/>
              <w:ind w:left="17"/>
              <w:jc w:val="left"/>
              <w:rPr>
                <w:color w:val="000000"/>
                <w:sz w:val="24"/>
              </w:rPr>
            </w:pPr>
            <w:r w:rsidRPr="00C30CFF">
              <w:rPr>
                <w:color w:val="000000"/>
                <w:sz w:val="24"/>
              </w:rPr>
              <w:t>报告期末下属</w:t>
            </w:r>
            <w:r w:rsidR="00162D92" w:rsidRPr="00C30CFF">
              <w:rPr>
                <w:color w:val="000000"/>
                <w:sz w:val="24"/>
              </w:rPr>
              <w:t>分</w:t>
            </w:r>
            <w:r w:rsidRPr="00C30CFF">
              <w:rPr>
                <w:color w:val="000000"/>
                <w:sz w:val="24"/>
              </w:rPr>
              <w:t>级基金的份额总额</w:t>
            </w:r>
          </w:p>
        </w:tc>
        <w:tc>
          <w:tcPr>
            <w:tcW w:type="dxa" w:w="2739"/>
            <w:vAlign w:val="center"/>
          </w:tcPr>
          <w:p w:rsidP="00950413" w:rsidR="00F016DD" w:rsidRDefault="00F016DD"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4,156,758,486.80</w:t>
            </w:r>
            <w:r w:rsidRPr="00C30CFF">
              <w:rPr>
                <w:color w:val="000000"/>
                <w:kern w:val="0"/>
                <w:sz w:val="24"/>
              </w:rPr>
              <w:t>份</w:t>
            </w:r>
          </w:p>
        </w:tc>
        <w:tc>
          <w:tcPr>
            <w:tcW w:type="dxa" w:w="2790"/>
            <w:vAlign w:val="center"/>
          </w:tcPr>
          <w:p w:rsidP="00950413" w:rsidR="00F016DD" w:rsidRDefault="00F016DD" w:rsidRPr="00C30CFF">
            <w:pPr>
              <w:jc w:val="left"/>
              <w:rPr>
                <w:sz w:val="24"/>
              </w:rPr>
            </w:pPr>
            <w:r w:rsidRPr="00C30CFF">
              <w:rPr>
                <w:color w:val="000000"/>
                <w:kern w:val="0"/>
                <w:sz w:val="24"/>
              </w:rPr>
              <w:t/>
            </w:r>
            <w:r w:rsidRPr="00C30CFF">
              <w:rPr>
                <w:sz w:val="24"/>
              </w:rPr>
              <w:t>1,262,318,306.08</w:t>
            </w:r>
            <w:r w:rsidRPr="00C30CFF">
              <w:rPr>
                <w:color w:val="000000"/>
                <w:kern w:val="0"/>
                <w:sz w:val="24"/>
              </w:rPr>
              <w:t>份</w:t>
            </w:r>
          </w:p>
        </w:tc>
      </w:tr>
    </w:tbl>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3  </w:t>
      </w:r>
      <w:r w:rsidRPr="0078105B">
        <w:rPr>
          <w:rFonts w:ascii="宋体" w:cs="Arial" w:hAnsi="宋体" w:hint="eastAsia"/>
          <w:color w:val="000000"/>
          <w:kern w:val="0"/>
          <w:sz w:val="24"/>
          <w:szCs w:val="24"/>
        </w:rPr>
        <w:t>主要财务指标和基金净值表现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3.1 </w:t>
      </w:r>
      <w:r w:rsidRPr="0078105B">
        <w:rPr>
          <w:rFonts w:ascii="宋体" w:cs="Arial" w:hAnsi="宋体" w:hint="eastAsia"/>
          <w:b/>
          <w:color w:val="000000"/>
          <w:kern w:val="0"/>
          <w:sz w:val="24"/>
        </w:rPr>
        <w:t>主要财务指标</w:t>
      </w:r>
    </w:p>
    <w:p w:rsidP="00E27360"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F016DD" w:rsidRPr="00FA472B" w:rsidTr="008B5312">
        <w:tc>
          <w:tcPr>
            <w:tcW w:type="dxa" w:w="3402"/>
            <w:vMerge w:val="restart"/>
            <w:vAlign w:val="center"/>
          </w:tcPr>
          <w:p w:rsidP="00E205AA" w:rsidR="00F016DD" w:rsidRDefault="00F016DD" w:rsidRPr="00FA472B">
            <w:pPr>
              <w:adjustRightInd w:val="0"/>
              <w:spacing w:before="29" w:line="360" w:lineRule="auto"/>
              <w:ind w:left="17"/>
              <w:jc w:val="center"/>
              <w:rPr>
                <w:kern w:val="0"/>
                <w:sz w:val="24"/>
              </w:rPr>
            </w:pPr>
            <w:r w:rsidRPr="00FA472B">
              <w:rPr>
                <w:kern w:val="0"/>
                <w:sz w:val="24"/>
              </w:rPr>
              <w:t>主要财务指标</w:t>
            </w:r>
          </w:p>
        </w:tc>
        <w:tc>
          <w:tcPr>
            <w:tcW w:type="dxa" w:w="4962"/>
            <w:gridSpan w:val="2"/>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sz w:val="24"/>
              </w:rPr>
              <w:t>报告期</w:t>
            </w:r>
          </w:p>
          <w:p w:rsidP="00E205AA" w:rsidR="00F016DD" w:rsidRDefault="00F016DD" w:rsidRPr="00FA472B">
            <w:pPr>
              <w:adjustRightInd w:val="0"/>
              <w:spacing w:before="29" w:line="360" w:lineRule="auto"/>
              <w:ind w:left="17"/>
              <w:jc w:val="center"/>
              <w:rPr>
                <w:color w:val="000000"/>
                <w:sz w:val="24"/>
              </w:rPr>
            </w:pPr>
            <w:r w:rsidRPr="00FA472B">
              <w:rPr>
                <w:color w:val="000000"/>
                <w:sz w:val="24"/>
              </w:rPr>
              <w:t>(</w:t>
            </w:r>
            <w:proofErr w:type="spellStart"/>
            <w:r w:rsidRPr="00FA472B">
              <w:rPr>
                <w:color w:val="000000"/>
                <w:sz w:val="24"/>
              </w:rPr>
              <w:t/>
            </w:r>
            <w:proofErr w:type="spellEnd"/>
            <w:r w:rsidRPr="00FA472B">
              <w:rPr>
                <w:color w:val="000000"/>
                <w:sz w:val="24"/>
              </w:rPr>
              <w:t>2020年7月1日-</w:t>
            </w:r>
            <w:proofErr w:type="spellStart"/>
            <w:r w:rsidRPr="00FA472B">
              <w:rPr>
                <w:color w:val="000000"/>
                <w:sz w:val="24"/>
              </w:rPr>
              <w:t/>
            </w:r>
            <w:proofErr w:type="spellEnd"/>
            <w:r w:rsidRPr="00FA472B">
              <w:rPr>
                <w:color w:val="000000"/>
                <w:sz w:val="24"/>
              </w:rPr>
              <w:t>2020年9月30日)</w:t>
            </w:r>
          </w:p>
        </w:tc>
      </w:tr>
      <w:tr w:rsidR="00F016DD" w:rsidRPr="00FA472B" w:rsidTr="008B5312">
        <w:tc>
          <w:tcPr>
            <w:tcW w:type="dxa" w:w="3402"/>
            <w:vMerge/>
            <w:vAlign w:val="center"/>
          </w:tcPr>
          <w:p w:rsidP="00E205AA" w:rsidR="00F016DD" w:rsidRDefault="00F016DD" w:rsidRPr="00FA472B">
            <w:pPr>
              <w:adjustRightInd w:val="0"/>
              <w:spacing w:before="29" w:line="360" w:lineRule="auto"/>
              <w:ind w:left="17"/>
              <w:jc w:val="center"/>
              <w:rPr>
                <w:kern w:val="0"/>
                <w:sz w:val="24"/>
              </w:rPr>
            </w:pP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proofErr w:type="spellStart"/>
            <w:r w:rsidRPr="00FA472B">
              <w:rPr>
                <w:sz w:val="24"/>
              </w:rPr>
              <w:t/>
            </w:r>
            <w:proofErr w:type="spellEnd"/>
            <w:r w:rsidRPr="00FA472B">
              <w:rPr>
                <w:sz w:val="24"/>
              </w:rPr>
              <w:t>易方达增强回报债券A</w:t>
            </w:r>
          </w:p>
        </w:tc>
        <w:tc>
          <w:tcPr>
            <w:tcW w:type="dxa" w:w="2481"/>
            <w:vAlign w:val="center"/>
          </w:tcPr>
          <w:p w:rsidP="00E205AA" w:rsidR="00F016DD" w:rsidRDefault="00F016DD" w:rsidRPr="00FA472B">
            <w:pPr>
              <w:adjustRightInd w:val="0"/>
              <w:spacing w:before="29" w:line="360" w:lineRule="auto"/>
              <w:ind w:left="17"/>
              <w:jc w:val="center"/>
              <w:rPr>
                <w:color w:val="000000"/>
                <w:sz w:val="24"/>
              </w:rPr>
            </w:pPr>
            <w:r w:rsidRPr="00FA472B">
              <w:rPr>
                <w:color w:val="000000"/>
                <w:kern w:val="0"/>
                <w:sz w:val="24"/>
              </w:rPr>
              <w:t/>
            </w:r>
            <w:r w:rsidRPr="00FA472B">
              <w:rPr>
                <w:sz w:val="24"/>
              </w:rPr>
              <w:t>易方达增强回报债券B</w:t>
            </w:r>
          </w:p>
        </w:tc>
      </w:tr>
      <w:tr w:rsidR="00F016DD" w:rsidRPr="00FA472B" w:rsidTr="00973B57">
        <w:tc>
          <w:tcPr>
            <w:tcW w:type="dxa" w:w="3402"/>
          </w:tcPr>
          <w:p w:rsidP="00973B57" w:rsidR="00F016DD" w:rsidRDefault="00F016DD" w:rsidRPr="00FA472B">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type="dxa" w:w="2481"/>
            <w:vAlign w:val="bottom"/>
          </w:tcPr>
          <w:p w:rsidP="00973B57" w:rsidR="00F016DD" w:rsidRDefault="00F016DD" w:rsidRPr="00FA472B">
            <w:pPr>
              <w:adjustRightInd w:val="0"/>
              <w:spacing w:before="29" w:line="360" w:lineRule="auto"/>
              <w:ind w:left="17"/>
              <w:jc w:val="right"/>
              <w:rPr>
                <w:color w:val="000000"/>
                <w:sz w:val="24"/>
              </w:rPr>
            </w:pPr>
            <w:r w:rsidRPr="00FA472B">
              <w:rPr>
                <w:color w:val="000000"/>
                <w:sz w:val="24"/>
              </w:rPr>
              <w:t>140,111,908.47</w:t>
            </w:r>
          </w:p>
        </w:tc>
        <w:tc>
          <w:tcPr>
            <w:tcW w:type="dxa" w:w="2481"/>
            <w:vAlign w:val="bottom"/>
          </w:tcPr>
          <w:p w:rsidP="0037768B" w:rsidR="00F016DD" w:rsidRDefault="00F016DD" w:rsidRPr="00FA472B">
            <w:pPr>
              <w:adjustRightInd w:val="0"/>
              <w:spacing w:before="29" w:line="360" w:lineRule="auto"/>
              <w:ind w:left="17"/>
              <w:jc w:val="right"/>
              <w:rPr>
                <w:color w:val="000000"/>
                <w:sz w:val="24"/>
              </w:rPr>
            </w:pPr>
            <w:r w:rsidRPr="00FA472B">
              <w:rPr>
                <w:color w:val="000000"/>
                <w:sz w:val="24"/>
              </w:rPr>
              <w:t>43,281,925.76</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2.</w:t>
            </w:r>
            <w:r w:rsidRPr="00FA472B">
              <w:rPr>
                <w:kern w:val="0"/>
                <w:sz w:val="24"/>
              </w:rPr>
              <w:t>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238,379,851.49</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79,083,124.07</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0.0632</w:t>
            </w:r>
          </w:p>
        </w:tc>
        <w:tc>
          <w:tcPr>
            <w:tcW w:type="dxa" w:w="2481"/>
            <w:vAlign w:val="bottom"/>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0.0657</w:t>
            </w:r>
          </w:p>
        </w:tc>
      </w:tr>
      <w:tr w:rsidR="00F016DD" w:rsidRPr="00FA472B" w:rsidTr="009A5C1D">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5,559,578,343.14</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1,675,058,782.62</w:t>
            </w:r>
          </w:p>
        </w:tc>
      </w:tr>
      <w:tr w:rsidR="00F016DD" w:rsidRPr="00FA472B" w:rsidTr="009A5C1D">
        <w:trPr>
          <w:trHeight w:val="158"/>
        </w:trPr>
        <w:tc>
          <w:tcPr>
            <w:tcW w:type="dxa" w:w="3402"/>
          </w:tcPr>
          <w:p w:rsidP="00E205AA" w:rsidR="00F016DD" w:rsidRDefault="00F016DD" w:rsidRPr="00FA472B">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1.337</w:t>
            </w:r>
          </w:p>
        </w:tc>
        <w:tc>
          <w:tcPr>
            <w:tcW w:type="dxa" w:w="2481"/>
          </w:tcPr>
          <w:p w:rsidP="004A67B0" w:rsidR="00F016DD" w:rsidRDefault="00F016DD" w:rsidRPr="00FA472B">
            <w:pPr>
              <w:adjustRightInd w:val="0"/>
              <w:spacing w:before="29" w:line="360" w:lineRule="auto"/>
              <w:ind w:left="17"/>
              <w:jc w:val="right"/>
              <w:rPr>
                <w:color w:val="000000"/>
                <w:sz w:val="24"/>
              </w:rPr>
            </w:pPr>
            <w:r w:rsidRPr="00FA472B">
              <w:rPr>
                <w:color w:val="000000"/>
                <w:sz w:val="24"/>
              </w:rPr>
              <w:t>1.327</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C30CFF" w:rsidR="00F016DD" w:rsidRDefault="00F016DD" w:rsidRPr="00C30CFF">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2.本期已实现收益指基金本期利息收入、投资收益、其他收入（不含公允价值变动收益）扣除相关费用后的余额，本期利润为本期已实现收益加上本期公允价值变动收益。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3.2 </w:t>
      </w:r>
      <w:r w:rsidRPr="0078105B">
        <w:rPr>
          <w:rFonts w:ascii="宋体" w:cs="Arial" w:hAnsi="宋体" w:hint="eastAsia"/>
          <w:b/>
          <w:color w:val="000000"/>
          <w:kern w:val="0"/>
          <w:sz w:val="24"/>
        </w:rPr>
        <w:t>基金净值表现</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3.2.1</w:t>
      </w:r>
      <w:r w:rsidRPr="0078105B">
        <w:rPr>
          <w:rFonts w:ascii="宋体" w:cs="Arial" w:hAnsi="宋体" w:hint="eastAsia"/>
          <w:b/>
          <w:color w:val="000000"/>
          <w:kern w:val="0"/>
          <w:sz w:val="24"/>
        </w:rPr>
        <w:t>本报告</w:t>
      </w:r>
      <w:proofErr w:type="gramStart"/>
      <w:r w:rsidRPr="0078105B">
        <w:rPr>
          <w:rFonts w:ascii="宋体" w:cs="Arial" w:hAnsi="宋体" w:hint="eastAsia"/>
          <w:b/>
          <w:color w:val="000000"/>
          <w:kern w:val="0"/>
          <w:sz w:val="24"/>
        </w:rPr>
        <w:t>期基金</w:t>
      </w:r>
      <w:proofErr w:type="gramEnd"/>
      <w:r w:rsidRPr="0078105B">
        <w:rPr>
          <w:rFonts w:ascii="宋体" w:cs="Arial" w:hAnsi="宋体" w:hint="eastAsia"/>
          <w:b/>
          <w:color w:val="000000"/>
          <w:kern w:val="0"/>
          <w:sz w:val="24"/>
        </w:rPr>
        <w:t>份额净值增长率及其与同期业绩比较基准收益率的比较</w:t>
      </w:r>
    </w:p>
    <w:p w:rsidP="00174038" w:rsidR="00F016DD" w:rsidRDefault="00F016DD" w:rsidRPr="0078105B">
      <w:pPr>
        <w:spacing w:line="360" w:lineRule="auto"/>
        <w:ind w:firstLine="361" w:firstLineChars="150"/>
        <w:rPr>
          <w:rFonts w:ascii="宋体"/>
          <w:b/>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spellStart"/>
      <w:r w:rsidRPr="0078105B">
        <w:rPr>
          <w:rFonts w:ascii="宋体" w:cs="Arial" w:hAnsi="宋体"/>
          <w:b/>
          <w:color w:val="000000"/>
          <w:kern w:val="0"/>
          <w:sz w:val="24"/>
        </w:rPr>
        <w:t/>
      </w:r>
      <w:proofErr w:type="spellEnd"/>
      <w:r w:rsidRPr="0078105B">
        <w:rPr>
          <w:rFonts w:ascii="宋体" w:cs="Arial" w:hAnsi="宋体"/>
          <w:b/>
          <w:color w:val="000000"/>
          <w:kern w:val="0"/>
          <w:sz w:val="24"/>
        </w:rPr>
        <w:t/>
      </w:r>
      <w:proofErr w:type="gramEnd"/>
      <w:r w:rsidRPr="0078105B">
        <w:rPr>
          <w:rFonts w:ascii="宋体" w:cs="Arial" w:hAnsi="宋体"/>
          <w:b/>
          <w:color w:val="000000"/>
          <w:kern w:val="0"/>
          <w:sz w:val="24"/>
        </w:rPr>
        <w:t>易方达增强回报债券A</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414367">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5.28%</w:t>
            </w:r>
          </w:p>
        </w:tc>
        <w:tc>
          <w:tcPr>
            <w:vAlign w:val="center"/>
          </w:tcPr>
          <w:p>
            <w:pPr>
              <w:jc w:val="center"/>
            </w:pPr>
            <w:r>
              <w:rPr>
                <w:color w:val="000000"/>
                <w:sz w:val="24"/>
              </w:rPr>
              <w:t>0.41%</w:t>
            </w:r>
          </w:p>
        </w:tc>
        <w:tc>
          <w:tcPr>
            <w:vAlign w:val="center"/>
          </w:tcPr>
          <w:p>
            <w:pPr>
              <w:jc w:val="center"/>
            </w:pPr>
            <w:r>
              <w:rPr>
                <w:color w:val="000000"/>
                <w:sz w:val="24"/>
              </w:rPr>
              <w:t>-2.00%</w:t>
            </w:r>
          </w:p>
        </w:tc>
        <w:tc>
          <w:tcPr>
            <w:vAlign w:val="center"/>
          </w:tcPr>
          <w:p>
            <w:pPr>
              <w:jc w:val="center"/>
            </w:pPr>
            <w:r>
              <w:rPr>
                <w:color w:val="000000"/>
                <w:sz w:val="24"/>
              </w:rPr>
              <w:t>0.14%</w:t>
            </w:r>
          </w:p>
        </w:tc>
        <w:tc>
          <w:tcPr>
            <w:vAlign w:val="center"/>
          </w:tcPr>
          <w:p>
            <w:pPr>
              <w:jc w:val="center"/>
            </w:pPr>
            <w:r>
              <w:rPr>
                <w:color w:val="000000"/>
                <w:sz w:val="24"/>
              </w:rPr>
              <w:t>7.28%</w:t>
            </w:r>
          </w:p>
        </w:tc>
        <w:tc>
          <w:tcPr>
            <w:vAlign w:val="center"/>
          </w:tcPr>
          <w:p>
            <w:pPr>
              <w:jc w:val="center"/>
            </w:pPr>
            <w:r>
              <w:rPr>
                <w:color w:val="000000"/>
                <w:sz w:val="24"/>
              </w:rPr>
              <w:t>0.27%</w:t>
            </w:r>
          </w:p>
        </w:tc>
      </w:tr>
      <w:tr>
        <w:tc>
          <w:tcPr>
            <w:vAlign w:val="center"/>
          </w:tcPr>
          <w:p>
            <w:pPr>
              <w:jc w:val="left"/>
            </w:pPr>
            <w:r>
              <w:rPr>
                <w:color w:val="000000"/>
                <w:sz w:val="24"/>
              </w:rPr>
              <w:t>过去六个月</w:t>
            </w:r>
          </w:p>
        </w:tc>
        <w:tc>
          <w:tcPr>
            <w:vAlign w:val="center"/>
          </w:tcPr>
          <w:p>
            <w:pPr>
              <w:jc w:val="center"/>
            </w:pPr>
            <w:r>
              <w:rPr>
                <w:color w:val="000000"/>
                <w:sz w:val="24"/>
              </w:rPr>
              <w:t>7.60%</w:t>
            </w:r>
          </w:p>
        </w:tc>
        <w:tc>
          <w:tcPr>
            <w:vAlign w:val="center"/>
          </w:tcPr>
          <w:p>
            <w:pPr>
              <w:jc w:val="center"/>
            </w:pPr>
            <w:r>
              <w:rPr>
                <w:color w:val="000000"/>
                <w:sz w:val="24"/>
              </w:rPr>
              <w:t>0.34%</w:t>
            </w:r>
          </w:p>
        </w:tc>
        <w:tc>
          <w:tcPr>
            <w:vAlign w:val="center"/>
          </w:tcPr>
          <w:p>
            <w:pPr>
              <w:jc w:val="center"/>
            </w:pPr>
            <w:r>
              <w:rPr>
                <w:color w:val="000000"/>
                <w:sz w:val="24"/>
              </w:rPr>
              <w:t>-3.67%</w:t>
            </w:r>
          </w:p>
        </w:tc>
        <w:tc>
          <w:tcPr>
            <w:vAlign w:val="center"/>
          </w:tcPr>
          <w:p>
            <w:pPr>
              <w:jc w:val="center"/>
            </w:pPr>
            <w:r>
              <w:rPr>
                <w:color w:val="000000"/>
                <w:sz w:val="24"/>
              </w:rPr>
              <w:t>0.17%</w:t>
            </w:r>
          </w:p>
        </w:tc>
        <w:tc>
          <w:tcPr>
            <w:vAlign w:val="center"/>
          </w:tcPr>
          <w:p>
            <w:pPr>
              <w:jc w:val="center"/>
            </w:pPr>
            <w:r>
              <w:rPr>
                <w:color w:val="000000"/>
                <w:sz w:val="24"/>
              </w:rPr>
              <w:t>11.27%</w:t>
            </w:r>
          </w:p>
        </w:tc>
        <w:tc>
          <w:tcPr>
            <w:vAlign w:val="center"/>
          </w:tcPr>
          <w:p>
            <w:pPr>
              <w:jc w:val="center"/>
            </w:pPr>
            <w:r>
              <w:rPr>
                <w:color w:val="000000"/>
                <w:sz w:val="24"/>
              </w:rPr>
              <w:t>0.17%</w:t>
            </w:r>
          </w:p>
        </w:tc>
      </w:tr>
      <w:tr>
        <w:tc>
          <w:tcPr>
            <w:vAlign w:val="center"/>
          </w:tcPr>
          <w:p>
            <w:pPr>
              <w:jc w:val="left"/>
            </w:pPr>
            <w:r>
              <w:rPr>
                <w:color w:val="000000"/>
                <w:sz w:val="24"/>
              </w:rPr>
              <w:t>过去一年</w:t>
            </w:r>
          </w:p>
        </w:tc>
        <w:tc>
          <w:tcPr>
            <w:vAlign w:val="center"/>
          </w:tcPr>
          <w:p>
            <w:pPr>
              <w:jc w:val="center"/>
            </w:pPr>
            <w:r>
              <w:rPr>
                <w:color w:val="000000"/>
                <w:sz w:val="24"/>
              </w:rPr>
              <w:t>9.68%</w:t>
            </w:r>
          </w:p>
        </w:tc>
        <w:tc>
          <w:tcPr>
            <w:vAlign w:val="center"/>
          </w:tcPr>
          <w:p>
            <w:pPr>
              <w:jc w:val="center"/>
            </w:pPr>
            <w:r>
              <w:rPr>
                <w:color w:val="000000"/>
                <w:sz w:val="24"/>
              </w:rPr>
              <w:t>0.33%</w:t>
            </w:r>
          </w:p>
        </w:tc>
        <w:tc>
          <w:tcPr>
            <w:vAlign w:val="center"/>
          </w:tcPr>
          <w:p>
            <w:pPr>
              <w:jc w:val="center"/>
            </w:pPr>
            <w:r>
              <w:rPr>
                <w:color w:val="000000"/>
                <w:sz w:val="24"/>
              </w:rPr>
              <w:t>-0.33%</w:t>
            </w:r>
          </w:p>
        </w:tc>
        <w:tc>
          <w:tcPr>
            <w:vAlign w:val="center"/>
          </w:tcPr>
          <w:p>
            <w:pPr>
              <w:jc w:val="center"/>
            </w:pPr>
            <w:r>
              <w:rPr>
                <w:color w:val="000000"/>
                <w:sz w:val="24"/>
              </w:rPr>
              <w:t>0.15%</w:t>
            </w:r>
          </w:p>
        </w:tc>
        <w:tc>
          <w:tcPr>
            <w:vAlign w:val="center"/>
          </w:tcPr>
          <w:p>
            <w:pPr>
              <w:jc w:val="center"/>
            </w:pPr>
            <w:r>
              <w:rPr>
                <w:color w:val="000000"/>
                <w:sz w:val="24"/>
              </w:rPr>
              <w:t>10.01%</w:t>
            </w:r>
          </w:p>
        </w:tc>
        <w:tc>
          <w:tcPr>
            <w:vAlign w:val="center"/>
          </w:tcPr>
          <w:p>
            <w:pPr>
              <w:jc w:val="center"/>
            </w:pPr>
            <w:r>
              <w:rPr>
                <w:color w:val="000000"/>
                <w:sz w:val="24"/>
              </w:rPr>
              <w:t>0.18%</w:t>
            </w:r>
          </w:p>
        </w:tc>
      </w:tr>
      <w:tr>
        <w:tc>
          <w:tcPr>
            <w:vAlign w:val="center"/>
          </w:tcPr>
          <w:p>
            <w:pPr>
              <w:jc w:val="left"/>
            </w:pPr>
            <w:r>
              <w:rPr>
                <w:color w:val="000000"/>
                <w:sz w:val="24"/>
              </w:rPr>
              <w:t>过去三年</w:t>
            </w:r>
          </w:p>
        </w:tc>
        <w:tc>
          <w:tcPr>
            <w:vAlign w:val="center"/>
          </w:tcPr>
          <w:p>
            <w:pPr>
              <w:jc w:val="center"/>
            </w:pPr>
            <w:r>
              <w:rPr>
                <w:color w:val="000000"/>
                <w:sz w:val="24"/>
              </w:rPr>
              <w:t>25.63%</w:t>
            </w:r>
          </w:p>
        </w:tc>
        <w:tc>
          <w:tcPr>
            <w:vAlign w:val="center"/>
          </w:tcPr>
          <w:p>
            <w:pPr>
              <w:jc w:val="center"/>
            </w:pPr>
            <w:r>
              <w:rPr>
                <w:color w:val="000000"/>
                <w:sz w:val="24"/>
              </w:rPr>
              <w:t>0.30%</w:t>
            </w:r>
          </w:p>
        </w:tc>
        <w:tc>
          <w:tcPr>
            <w:vAlign w:val="center"/>
          </w:tcPr>
          <w:p>
            <w:pPr>
              <w:jc w:val="center"/>
            </w:pPr>
            <w:r>
              <w:rPr>
                <w:color w:val="000000"/>
                <w:sz w:val="24"/>
              </w:rPr>
              <w:t>4.56%</w:t>
            </w:r>
          </w:p>
        </w:tc>
        <w:tc>
          <w:tcPr>
            <w:vAlign w:val="center"/>
          </w:tcPr>
          <w:p>
            <w:pPr>
              <w:jc w:val="center"/>
            </w:pPr>
            <w:r>
              <w:rPr>
                <w:color w:val="000000"/>
                <w:sz w:val="24"/>
              </w:rPr>
              <w:t>0.12%</w:t>
            </w:r>
          </w:p>
        </w:tc>
        <w:tc>
          <w:tcPr>
            <w:vAlign w:val="center"/>
          </w:tcPr>
          <w:p>
            <w:pPr>
              <w:jc w:val="center"/>
            </w:pPr>
            <w:r>
              <w:rPr>
                <w:color w:val="000000"/>
                <w:sz w:val="24"/>
              </w:rPr>
              <w:t>21.07%</w:t>
            </w:r>
          </w:p>
        </w:tc>
        <w:tc>
          <w:tcPr>
            <w:vAlign w:val="center"/>
          </w:tcPr>
          <w:p>
            <w:pPr>
              <w:jc w:val="center"/>
            </w:pPr>
            <w:r>
              <w:rPr>
                <w:color w:val="000000"/>
                <w:sz w:val="24"/>
              </w:rPr>
              <w:t>0.18%</w:t>
            </w:r>
          </w:p>
        </w:tc>
      </w:tr>
      <w:tr>
        <w:tc>
          <w:tcPr>
            <w:vAlign w:val="center"/>
          </w:tcPr>
          <w:p>
            <w:pPr>
              <w:jc w:val="left"/>
            </w:pPr>
            <w:r>
              <w:rPr>
                <w:color w:val="000000"/>
                <w:sz w:val="24"/>
              </w:rPr>
              <w:t>过去五年</w:t>
            </w:r>
          </w:p>
        </w:tc>
        <w:tc>
          <w:tcPr>
            <w:vAlign w:val="center"/>
          </w:tcPr>
          <w:p>
            <w:pPr>
              <w:jc w:val="center"/>
            </w:pPr>
            <w:r>
              <w:rPr>
                <w:color w:val="000000"/>
                <w:sz w:val="24"/>
              </w:rPr>
              <w:t>40.02%</w:t>
            </w:r>
          </w:p>
        </w:tc>
        <w:tc>
          <w:tcPr>
            <w:vAlign w:val="center"/>
          </w:tcPr>
          <w:p>
            <w:pPr>
              <w:jc w:val="center"/>
            </w:pPr>
            <w:r>
              <w:rPr>
                <w:color w:val="000000"/>
                <w:sz w:val="24"/>
              </w:rPr>
              <w:t>0.24%</w:t>
            </w:r>
          </w:p>
        </w:tc>
        <w:tc>
          <w:tcPr>
            <w:vAlign w:val="center"/>
          </w:tcPr>
          <w:p>
            <w:pPr>
              <w:jc w:val="center"/>
            </w:pPr>
            <w:r>
              <w:rPr>
                <w:color w:val="000000"/>
                <w:sz w:val="24"/>
              </w:rPr>
              <w:t>2.08%</w:t>
            </w:r>
          </w:p>
        </w:tc>
        <w:tc>
          <w:tcPr>
            <w:vAlign w:val="center"/>
          </w:tcPr>
          <w:p>
            <w:pPr>
              <w:jc w:val="center"/>
            </w:pPr>
            <w:r>
              <w:rPr>
                <w:color w:val="000000"/>
                <w:sz w:val="24"/>
              </w:rPr>
              <w:t>0.12%</w:t>
            </w:r>
          </w:p>
        </w:tc>
        <w:tc>
          <w:tcPr>
            <w:vAlign w:val="center"/>
          </w:tcPr>
          <w:p>
            <w:pPr>
              <w:jc w:val="center"/>
            </w:pPr>
            <w:r>
              <w:rPr>
                <w:color w:val="000000"/>
                <w:sz w:val="24"/>
              </w:rPr>
              <w:t>37.94%</w:t>
            </w:r>
          </w:p>
        </w:tc>
        <w:tc>
          <w:tcPr>
            <w:vAlign w:val="center"/>
          </w:tcPr>
          <w:p>
            <w:pPr>
              <w:jc w:val="center"/>
            </w:pPr>
            <w:r>
              <w:rPr>
                <w:color w:val="000000"/>
                <w:sz w:val="24"/>
              </w:rPr>
              <w:t>0.12%</w:t>
            </w:r>
          </w:p>
        </w:tc>
      </w:tr>
      <w:tr>
        <w:tc>
          <w:tcPr>
            <w:vAlign w:val="center"/>
          </w:tcPr>
          <w:p>
            <w:pPr>
              <w:jc w:val="left"/>
            </w:pPr>
            <w:r>
              <w:rPr>
                <w:color w:val="000000"/>
                <w:sz w:val="24"/>
              </w:rPr>
              <w:t>自基金合同生效起至今</w:t>
            </w:r>
          </w:p>
        </w:tc>
        <w:tc>
          <w:tcPr>
            <w:vAlign w:val="center"/>
          </w:tcPr>
          <w:p>
            <w:pPr>
              <w:jc w:val="center"/>
            </w:pPr>
            <w:r>
              <w:rPr>
                <w:color w:val="000000"/>
                <w:sz w:val="24"/>
              </w:rPr>
              <w:t>191.53%</w:t>
            </w:r>
          </w:p>
        </w:tc>
        <w:tc>
          <w:tcPr>
            <w:vAlign w:val="center"/>
          </w:tcPr>
          <w:p>
            <w:pPr>
              <w:jc w:val="center"/>
            </w:pPr>
            <w:r>
              <w:rPr>
                <w:color w:val="000000"/>
                <w:sz w:val="24"/>
              </w:rPr>
              <w:t>0.30%</w:t>
            </w:r>
          </w:p>
        </w:tc>
        <w:tc>
          <w:tcPr>
            <w:vAlign w:val="center"/>
          </w:tcPr>
          <w:p>
            <w:pPr>
              <w:jc w:val="center"/>
            </w:pPr>
            <w:r>
              <w:rPr>
                <w:color w:val="000000"/>
                <w:sz w:val="24"/>
              </w:rPr>
              <w:t>11.40%</w:t>
            </w:r>
          </w:p>
        </w:tc>
        <w:tc>
          <w:tcPr>
            <w:vAlign w:val="center"/>
          </w:tcPr>
          <w:p>
            <w:pPr>
              <w:jc w:val="center"/>
            </w:pPr>
            <w:r>
              <w:rPr>
                <w:color w:val="000000"/>
                <w:sz w:val="24"/>
              </w:rPr>
              <w:t>0.13%</w:t>
            </w:r>
          </w:p>
        </w:tc>
        <w:tc>
          <w:tcPr>
            <w:vAlign w:val="center"/>
          </w:tcPr>
          <w:p>
            <w:pPr>
              <w:jc w:val="center"/>
            </w:pPr>
            <w:r>
              <w:rPr>
                <w:color w:val="000000"/>
                <w:sz w:val="24"/>
              </w:rPr>
              <w:t>180.13%</w:t>
            </w:r>
          </w:p>
        </w:tc>
        <w:tc>
          <w:tcPr>
            <w:vAlign w:val="center"/>
          </w:tcPr>
          <w:p>
            <w:pPr>
              <w:jc w:val="center"/>
            </w:pPr>
            <w:r>
              <w:rPr>
                <w:color w:val="000000"/>
                <w:sz w:val="24"/>
              </w:rPr>
              <w:t>0.17%</w:t>
            </w:r>
          </w:p>
        </w:tc>
      </w:tr>
    </w:tbl>
    <w:p w:rsidP="00174038" w:rsidR="00F016DD" w:rsidRDefault="00F016DD" w:rsidRPr="0078105B">
      <w:pPr>
        <w:adjustRightInd w:val="0"/>
        <w:spacing w:line="360" w:lineRule="auto"/>
        <w:ind w:firstLine="361" w:firstLineChars="150"/>
        <w:rPr>
          <w:rFonts w:ascii="宋体" w:cs="Arial"/>
          <w:b/>
          <w:color w:val="000000"/>
          <w:kern w:val="0"/>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gramEnd"/>
      <w:r w:rsidRPr="0078105B">
        <w:rPr>
          <w:rFonts w:ascii="宋体" w:cs="Arial" w:hAnsi="宋体"/>
          <w:b/>
          <w:color w:val="000000"/>
          <w:kern w:val="0"/>
          <w:sz w:val="24"/>
        </w:rPr>
        <w:t>易方达增强回报债券B</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F016DD" w:rsidRPr="0078105B" w:rsidTr="00F4518C">
        <w:tc>
          <w:tcPr>
            <w:tcW w:type="dxa" w:w="1290"/>
            <w:vAlign w:val="center"/>
          </w:tcPr>
          <w:p w:rsidP="00F4518C" w:rsidR="00F016DD" w:rsidRDefault="00F016DD"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F4518C" w:rsidR="00F016DD" w:rsidRDefault="00F016DD" w:rsidRPr="00FA472B">
            <w:pPr>
              <w:snapToGrid w:val="0"/>
              <w:spacing w:line="288" w:lineRule="auto"/>
              <w:jc w:val="center"/>
              <w:rPr>
                <w:color w:val="000000"/>
                <w:sz w:val="24"/>
                <w:highlight w:val="green"/>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F4518C" w:rsidR="00F016DD" w:rsidRDefault="00F016DD"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5.23%</w:t>
            </w:r>
          </w:p>
        </w:tc>
        <w:tc>
          <w:tcPr>
            <w:vAlign w:val="center"/>
          </w:tcPr>
          <w:p>
            <w:pPr>
              <w:jc w:val="center"/>
            </w:pPr>
            <w:r>
              <w:rPr>
                <w:color w:val="000000"/>
                <w:sz w:val="24"/>
              </w:rPr>
              <w:t>0.41%</w:t>
            </w:r>
          </w:p>
        </w:tc>
        <w:tc>
          <w:tcPr>
            <w:vAlign w:val="center"/>
          </w:tcPr>
          <w:p>
            <w:pPr>
              <w:jc w:val="center"/>
            </w:pPr>
            <w:r>
              <w:rPr>
                <w:color w:val="000000"/>
                <w:sz w:val="24"/>
              </w:rPr>
              <w:t>-2.00%</w:t>
            </w:r>
          </w:p>
        </w:tc>
        <w:tc>
          <w:tcPr>
            <w:vAlign w:val="center"/>
          </w:tcPr>
          <w:p>
            <w:pPr>
              <w:jc w:val="center"/>
            </w:pPr>
            <w:r>
              <w:rPr>
                <w:color w:val="000000"/>
                <w:sz w:val="24"/>
              </w:rPr>
              <w:t>0.14%</w:t>
            </w:r>
          </w:p>
        </w:tc>
        <w:tc>
          <w:tcPr>
            <w:vAlign w:val="center"/>
          </w:tcPr>
          <w:p>
            <w:pPr>
              <w:jc w:val="center"/>
            </w:pPr>
            <w:r>
              <w:rPr>
                <w:color w:val="000000"/>
                <w:sz w:val="24"/>
              </w:rPr>
              <w:t>7.23%</w:t>
            </w:r>
          </w:p>
        </w:tc>
        <w:tc>
          <w:tcPr>
            <w:vAlign w:val="center"/>
          </w:tcPr>
          <w:p>
            <w:pPr>
              <w:jc w:val="center"/>
            </w:pPr>
            <w:r>
              <w:rPr>
                <w:color w:val="000000"/>
                <w:sz w:val="24"/>
              </w:rPr>
              <w:t>0.27%</w:t>
            </w:r>
          </w:p>
        </w:tc>
      </w:tr>
      <w:tr>
        <w:tc>
          <w:tcPr>
            <w:vAlign w:val="center"/>
          </w:tcPr>
          <w:p>
            <w:pPr>
              <w:jc w:val="left"/>
            </w:pPr>
            <w:r>
              <w:rPr>
                <w:color w:val="000000"/>
                <w:sz w:val="24"/>
              </w:rPr>
              <w:t>过去六个月</w:t>
            </w:r>
          </w:p>
        </w:tc>
        <w:tc>
          <w:tcPr>
            <w:vAlign w:val="center"/>
          </w:tcPr>
          <w:p>
            <w:pPr>
              <w:jc w:val="center"/>
            </w:pPr>
            <w:r>
              <w:rPr>
                <w:color w:val="000000"/>
                <w:sz w:val="24"/>
              </w:rPr>
              <w:t>7.41%</w:t>
            </w:r>
          </w:p>
        </w:tc>
        <w:tc>
          <w:tcPr>
            <w:vAlign w:val="center"/>
          </w:tcPr>
          <w:p>
            <w:pPr>
              <w:jc w:val="center"/>
            </w:pPr>
            <w:r>
              <w:rPr>
                <w:color w:val="000000"/>
                <w:sz w:val="24"/>
              </w:rPr>
              <w:t>0.34%</w:t>
            </w:r>
          </w:p>
        </w:tc>
        <w:tc>
          <w:tcPr>
            <w:vAlign w:val="center"/>
          </w:tcPr>
          <w:p>
            <w:pPr>
              <w:jc w:val="center"/>
            </w:pPr>
            <w:r>
              <w:rPr>
                <w:color w:val="000000"/>
                <w:sz w:val="24"/>
              </w:rPr>
              <w:t>-3.67%</w:t>
            </w:r>
          </w:p>
        </w:tc>
        <w:tc>
          <w:tcPr>
            <w:vAlign w:val="center"/>
          </w:tcPr>
          <w:p>
            <w:pPr>
              <w:jc w:val="center"/>
            </w:pPr>
            <w:r>
              <w:rPr>
                <w:color w:val="000000"/>
                <w:sz w:val="24"/>
              </w:rPr>
              <w:t>0.17%</w:t>
            </w:r>
          </w:p>
        </w:tc>
        <w:tc>
          <w:tcPr>
            <w:vAlign w:val="center"/>
          </w:tcPr>
          <w:p>
            <w:pPr>
              <w:jc w:val="center"/>
            </w:pPr>
            <w:r>
              <w:rPr>
                <w:color w:val="000000"/>
                <w:sz w:val="24"/>
              </w:rPr>
              <w:t>11.08%</w:t>
            </w:r>
          </w:p>
        </w:tc>
        <w:tc>
          <w:tcPr>
            <w:vAlign w:val="center"/>
          </w:tcPr>
          <w:p>
            <w:pPr>
              <w:jc w:val="center"/>
            </w:pPr>
            <w:r>
              <w:rPr>
                <w:color w:val="000000"/>
                <w:sz w:val="24"/>
              </w:rPr>
              <w:t>0.17%</w:t>
            </w:r>
          </w:p>
        </w:tc>
      </w:tr>
      <w:tr>
        <w:tc>
          <w:tcPr>
            <w:vAlign w:val="center"/>
          </w:tcPr>
          <w:p>
            <w:pPr>
              <w:jc w:val="left"/>
            </w:pPr>
            <w:r>
              <w:rPr>
                <w:color w:val="000000"/>
                <w:sz w:val="24"/>
              </w:rPr>
              <w:t>过去一年</w:t>
            </w:r>
          </w:p>
        </w:tc>
        <w:tc>
          <w:tcPr>
            <w:vAlign w:val="center"/>
          </w:tcPr>
          <w:p>
            <w:pPr>
              <w:jc w:val="center"/>
            </w:pPr>
            <w:r>
              <w:rPr>
                <w:color w:val="000000"/>
                <w:sz w:val="24"/>
              </w:rPr>
              <w:t>9.26%</w:t>
            </w:r>
          </w:p>
        </w:tc>
        <w:tc>
          <w:tcPr>
            <w:vAlign w:val="center"/>
          </w:tcPr>
          <w:p>
            <w:pPr>
              <w:jc w:val="center"/>
            </w:pPr>
            <w:r>
              <w:rPr>
                <w:color w:val="000000"/>
                <w:sz w:val="24"/>
              </w:rPr>
              <w:t>0.33%</w:t>
            </w:r>
          </w:p>
        </w:tc>
        <w:tc>
          <w:tcPr>
            <w:vAlign w:val="center"/>
          </w:tcPr>
          <w:p>
            <w:pPr>
              <w:jc w:val="center"/>
            </w:pPr>
            <w:r>
              <w:rPr>
                <w:color w:val="000000"/>
                <w:sz w:val="24"/>
              </w:rPr>
              <w:t>-0.33%</w:t>
            </w:r>
          </w:p>
        </w:tc>
        <w:tc>
          <w:tcPr>
            <w:vAlign w:val="center"/>
          </w:tcPr>
          <w:p>
            <w:pPr>
              <w:jc w:val="center"/>
            </w:pPr>
            <w:r>
              <w:rPr>
                <w:color w:val="000000"/>
                <w:sz w:val="24"/>
              </w:rPr>
              <w:t>0.15%</w:t>
            </w:r>
          </w:p>
        </w:tc>
        <w:tc>
          <w:tcPr>
            <w:vAlign w:val="center"/>
          </w:tcPr>
          <w:p>
            <w:pPr>
              <w:jc w:val="center"/>
            </w:pPr>
            <w:r>
              <w:rPr>
                <w:color w:val="000000"/>
                <w:sz w:val="24"/>
              </w:rPr>
              <w:t>9.59%</w:t>
            </w:r>
          </w:p>
        </w:tc>
        <w:tc>
          <w:tcPr>
            <w:vAlign w:val="center"/>
          </w:tcPr>
          <w:p>
            <w:pPr>
              <w:jc w:val="center"/>
            </w:pPr>
            <w:r>
              <w:rPr>
                <w:color w:val="000000"/>
                <w:sz w:val="24"/>
              </w:rPr>
              <w:t>0.18%</w:t>
            </w:r>
          </w:p>
        </w:tc>
      </w:tr>
      <w:tr>
        <w:tc>
          <w:tcPr>
            <w:vAlign w:val="center"/>
          </w:tcPr>
          <w:p>
            <w:pPr>
              <w:jc w:val="left"/>
            </w:pPr>
            <w:r>
              <w:rPr>
                <w:color w:val="000000"/>
                <w:sz w:val="24"/>
              </w:rPr>
              <w:t>过去三年</w:t>
            </w:r>
          </w:p>
        </w:tc>
        <w:tc>
          <w:tcPr>
            <w:vAlign w:val="center"/>
          </w:tcPr>
          <w:p>
            <w:pPr>
              <w:jc w:val="center"/>
            </w:pPr>
            <w:r>
              <w:rPr>
                <w:color w:val="000000"/>
                <w:sz w:val="24"/>
              </w:rPr>
              <w:t>24.19%</w:t>
            </w:r>
          </w:p>
        </w:tc>
        <w:tc>
          <w:tcPr>
            <w:vAlign w:val="center"/>
          </w:tcPr>
          <w:p>
            <w:pPr>
              <w:jc w:val="center"/>
            </w:pPr>
            <w:r>
              <w:rPr>
                <w:color w:val="000000"/>
                <w:sz w:val="24"/>
              </w:rPr>
              <w:t>0.30%</w:t>
            </w:r>
          </w:p>
        </w:tc>
        <w:tc>
          <w:tcPr>
            <w:vAlign w:val="center"/>
          </w:tcPr>
          <w:p>
            <w:pPr>
              <w:jc w:val="center"/>
            </w:pPr>
            <w:r>
              <w:rPr>
                <w:color w:val="000000"/>
                <w:sz w:val="24"/>
              </w:rPr>
              <w:t>4.56%</w:t>
            </w:r>
          </w:p>
        </w:tc>
        <w:tc>
          <w:tcPr>
            <w:vAlign w:val="center"/>
          </w:tcPr>
          <w:p>
            <w:pPr>
              <w:jc w:val="center"/>
            </w:pPr>
            <w:r>
              <w:rPr>
                <w:color w:val="000000"/>
                <w:sz w:val="24"/>
              </w:rPr>
              <w:t>0.12%</w:t>
            </w:r>
          </w:p>
        </w:tc>
        <w:tc>
          <w:tcPr>
            <w:vAlign w:val="center"/>
          </w:tcPr>
          <w:p>
            <w:pPr>
              <w:jc w:val="center"/>
            </w:pPr>
            <w:r>
              <w:rPr>
                <w:color w:val="000000"/>
                <w:sz w:val="24"/>
              </w:rPr>
              <w:t>19.63%</w:t>
            </w:r>
          </w:p>
        </w:tc>
        <w:tc>
          <w:tcPr>
            <w:vAlign w:val="center"/>
          </w:tcPr>
          <w:p>
            <w:pPr>
              <w:jc w:val="center"/>
            </w:pPr>
            <w:r>
              <w:rPr>
                <w:color w:val="000000"/>
                <w:sz w:val="24"/>
              </w:rPr>
              <w:t>0.18%</w:t>
            </w:r>
          </w:p>
        </w:tc>
      </w:tr>
      <w:tr>
        <w:tc>
          <w:tcPr>
            <w:vAlign w:val="center"/>
          </w:tcPr>
          <w:p>
            <w:pPr>
              <w:jc w:val="left"/>
            </w:pPr>
            <w:r>
              <w:rPr>
                <w:color w:val="000000"/>
                <w:sz w:val="24"/>
              </w:rPr>
              <w:t>过去五年</w:t>
            </w:r>
          </w:p>
        </w:tc>
        <w:tc>
          <w:tcPr>
            <w:vAlign w:val="center"/>
          </w:tcPr>
          <w:p>
            <w:pPr>
              <w:jc w:val="center"/>
            </w:pPr>
            <w:r>
              <w:rPr>
                <w:color w:val="000000"/>
                <w:sz w:val="24"/>
              </w:rPr>
              <w:t>37.30%</w:t>
            </w:r>
          </w:p>
        </w:tc>
        <w:tc>
          <w:tcPr>
            <w:vAlign w:val="center"/>
          </w:tcPr>
          <w:p>
            <w:pPr>
              <w:jc w:val="center"/>
            </w:pPr>
            <w:r>
              <w:rPr>
                <w:color w:val="000000"/>
                <w:sz w:val="24"/>
              </w:rPr>
              <w:t>0.25%</w:t>
            </w:r>
          </w:p>
        </w:tc>
        <w:tc>
          <w:tcPr>
            <w:vAlign w:val="center"/>
          </w:tcPr>
          <w:p>
            <w:pPr>
              <w:jc w:val="center"/>
            </w:pPr>
            <w:r>
              <w:rPr>
                <w:color w:val="000000"/>
                <w:sz w:val="24"/>
              </w:rPr>
              <w:t>2.08%</w:t>
            </w:r>
          </w:p>
        </w:tc>
        <w:tc>
          <w:tcPr>
            <w:vAlign w:val="center"/>
          </w:tcPr>
          <w:p>
            <w:pPr>
              <w:jc w:val="center"/>
            </w:pPr>
            <w:r>
              <w:rPr>
                <w:color w:val="000000"/>
                <w:sz w:val="24"/>
              </w:rPr>
              <w:t>0.12%</w:t>
            </w:r>
          </w:p>
        </w:tc>
        <w:tc>
          <w:tcPr>
            <w:vAlign w:val="center"/>
          </w:tcPr>
          <w:p>
            <w:pPr>
              <w:jc w:val="center"/>
            </w:pPr>
            <w:r>
              <w:rPr>
                <w:color w:val="000000"/>
                <w:sz w:val="24"/>
              </w:rPr>
              <w:t>35.22%</w:t>
            </w:r>
          </w:p>
        </w:tc>
        <w:tc>
          <w:tcPr>
            <w:vAlign w:val="center"/>
          </w:tcPr>
          <w:p>
            <w:pPr>
              <w:jc w:val="center"/>
            </w:pPr>
            <w:r>
              <w:rPr>
                <w:color w:val="000000"/>
                <w:sz w:val="24"/>
              </w:rPr>
              <w:t>0.13%</w:t>
            </w:r>
          </w:p>
        </w:tc>
      </w:tr>
      <w:tr>
        <w:tc>
          <w:tcPr>
            <w:vAlign w:val="center"/>
          </w:tcPr>
          <w:p>
            <w:pPr>
              <w:jc w:val="left"/>
            </w:pPr>
            <w:r>
              <w:rPr>
                <w:color w:val="000000"/>
                <w:sz w:val="24"/>
              </w:rPr>
              <w:t>自基金合同生效起至今</w:t>
            </w:r>
          </w:p>
        </w:tc>
        <w:tc>
          <w:tcPr>
            <w:vAlign w:val="center"/>
          </w:tcPr>
          <w:p>
            <w:pPr>
              <w:jc w:val="center"/>
            </w:pPr>
            <w:r>
              <w:rPr>
                <w:color w:val="000000"/>
                <w:sz w:val="24"/>
              </w:rPr>
              <w:t>176.59%</w:t>
            </w:r>
          </w:p>
        </w:tc>
        <w:tc>
          <w:tcPr>
            <w:vAlign w:val="center"/>
          </w:tcPr>
          <w:p>
            <w:pPr>
              <w:jc w:val="center"/>
            </w:pPr>
            <w:r>
              <w:rPr>
                <w:color w:val="000000"/>
                <w:sz w:val="24"/>
              </w:rPr>
              <w:t>0.30%</w:t>
            </w:r>
          </w:p>
        </w:tc>
        <w:tc>
          <w:tcPr>
            <w:vAlign w:val="center"/>
          </w:tcPr>
          <w:p>
            <w:pPr>
              <w:jc w:val="center"/>
            </w:pPr>
            <w:r>
              <w:rPr>
                <w:color w:val="000000"/>
                <w:sz w:val="24"/>
              </w:rPr>
              <w:t>11.40%</w:t>
            </w:r>
          </w:p>
        </w:tc>
        <w:tc>
          <w:tcPr>
            <w:vAlign w:val="center"/>
          </w:tcPr>
          <w:p>
            <w:pPr>
              <w:jc w:val="center"/>
            </w:pPr>
            <w:r>
              <w:rPr>
                <w:color w:val="000000"/>
                <w:sz w:val="24"/>
              </w:rPr>
              <w:t>0.13%</w:t>
            </w:r>
          </w:p>
        </w:tc>
        <w:tc>
          <w:tcPr>
            <w:vAlign w:val="center"/>
          </w:tcPr>
          <w:p>
            <w:pPr>
              <w:jc w:val="center"/>
            </w:pPr>
            <w:r>
              <w:rPr>
                <w:color w:val="000000"/>
                <w:sz w:val="24"/>
              </w:rPr>
              <w:t>165.19%</w:t>
            </w:r>
          </w:p>
        </w:tc>
        <w:tc>
          <w:tcPr>
            <w:vAlign w:val="center"/>
          </w:tcPr>
          <w:p>
            <w:pPr>
              <w:jc w:val="center"/>
            </w:pPr>
            <w:r>
              <w:rPr>
                <w:color w:val="000000"/>
                <w:sz w:val="24"/>
              </w:rPr>
              <w:t>0.17%</w:t>
            </w:r>
          </w:p>
        </w:tc>
      </w:tr>
    </w:tbl>
    <w:p w:rsidP="00FC13C8" w:rsidR="00F016DD" w:rsidRDefault="00F016DD" w:rsidRPr="0078105B">
      <w:pPr>
        <w:spacing w:line="360" w:lineRule="auto"/>
        <w:rPr>
          <w:rFonts w:ascii="宋体" w:cs="Arial"/>
          <w:b/>
          <w:color w:val="000000"/>
          <w:kern w:val="0"/>
          <w:sz w:val="24"/>
        </w:rPr>
      </w:pPr>
      <w:r w:rsidRPr="0078105B">
        <w:rPr>
          <w:rFonts w:ascii="宋体" w:cs="Arial" w:hAnsi="宋体"/>
          <w:b/>
          <w:color w:val="000000"/>
          <w:kern w:val="0"/>
          <w:sz w:val="24"/>
        </w:rPr>
        <w:t>3.2.2</w:t>
      </w:r>
      <w:r w:rsidRPr="0078105B">
        <w:rPr>
          <w:rFonts w:ascii="宋体" w:cs="Arial" w:hAnsi="宋体" w:hint="eastAsia"/>
          <w:b/>
          <w:color w:val="000000"/>
          <w:kern w:val="0"/>
          <w:sz w:val="24"/>
        </w:rPr>
        <w:t xml:space="preserve">　</w:t>
      </w:r>
      <w:r w:rsidR="00AE2480" w:rsidRPr="00370BEA">
        <w:rPr>
          <w:rStyle w:val="af6"/>
          <w:rFonts w:hint="eastAsia"/>
          <w:color w:val="000000"/>
          <w:sz w:val="24"/>
          <w:shd w:color="auto" w:fill="FFFFFF" w:val="clear"/>
        </w:rPr>
        <w:t/>
      </w:r>
      <w:proofErr w:type="spellStart"/>
      <w:r w:rsidR="00AE2480" w:rsidRPr="00370BEA">
        <w:rPr>
          <w:rStyle w:val="af6"/>
          <w:rFonts w:hint="eastAsia"/>
          <w:color w:val="000000"/>
          <w:sz w:val="24"/>
          <w:shd w:color="auto" w:fill="FFFFFF" w:val="clear"/>
        </w:rPr>
        <w:t/>
      </w:r>
      <w:proofErr w:type="spellEnd"/>
      <w:r w:rsidR="00AE2480" w:rsidRPr="00370BEA">
        <w:rPr>
          <w:rStyle w:val="af6"/>
          <w:rFonts w:hint="eastAsia"/>
          <w:color w:val="000000"/>
          <w:sz w:val="24"/>
          <w:shd w:color="auto" w:fill="FFFFFF" w:val="clear"/>
        </w:rPr>
        <w:t>自基金合同生效以来</w:t>
      </w:r>
      <w:r w:rsidRPr="0078105B">
        <w:rPr>
          <w:rFonts w:ascii="宋体" w:hAnsi="宋体" w:hint="eastAsia"/>
          <w:b/>
          <w:color w:val="000000"/>
          <w:sz w:val="24"/>
        </w:rPr>
        <w:t>基金累计净值增长率变动及其与同期业绩比较基准收益率变动的比较</w:t>
      </w:r>
    </w:p>
    <w:p w:rsidP="00FC13C8" w:rsidR="00F016DD" w:rsidRDefault="00F016DD" w:rsidRPr="00FA472B">
      <w:pPr>
        <w:spacing w:line="360" w:lineRule="auto"/>
        <w:jc w:val="center"/>
        <w:rPr>
          <w:color w:val="000000"/>
          <w:sz w:val="24"/>
        </w:rPr>
      </w:pPr>
      <w:r w:rsidRPr="00FA472B">
        <w:rPr>
          <w:color w:val="000000"/>
          <w:sz w:val="24"/>
        </w:rPr>
        <w:t/>
      </w:r>
      <w:proofErr w:type="spellStart"/>
      <w:proofErr w:type="gramStart"/>
      <w:r w:rsidRPr="00FA472B">
        <w:rPr>
          <w:color w:val="000000"/>
          <w:sz w:val="24"/>
        </w:rPr>
        <w:t/>
      </w:r>
      <w:proofErr w:type="spellEnd"/>
      <w:proofErr w:type="gramEnd"/>
      <w:r w:rsidRPr="00FA472B">
        <w:rPr>
          <w:color w:val="000000"/>
          <w:sz w:val="24"/>
        </w:rPr>
        <w:t>易方达增强回报债券型证券投资基金</w:t>
      </w:r>
    </w:p>
    <w:p w:rsidP="00526282" w:rsidR="00526282" w:rsidRDefault="00F016DD">
      <w:pPr>
        <w:pStyle w:val="a5"/>
        <w:snapToGrid w:val="0"/>
        <w:spacing w:line="360" w:lineRule="auto"/>
        <w:jc w:val="center"/>
        <w:rPr>
          <w:rFonts w:ascii="Times New Roman" w:eastAsiaTheme="minorEastAsia" w:hAnsi="Times New Roman"/>
          <w:color w:themeColor="text1" w:val="000000"/>
          <w:sz w:val="24"/>
          <w:szCs w:val="24"/>
        </w:rPr>
      </w:pPr>
      <w:r w:rsidRPr="00FA472B">
        <w:rPr>
          <w:rFonts w:ascii="Times New Roman" w:hAnsi="Times New Roman"/>
          <w:color w:val="000000"/>
          <w:sz w:val="24"/>
          <w:szCs w:val="24"/>
        </w:rPr>
        <w:t>累计净值增长率与业绩比较基准收益率的历史走势对比图</w:t>
      </w:r>
    </w:p>
    <w:p w:rsidP="00D477DB" w:rsidR="00F016DD" w:rsidRDefault="00526282" w:rsidRPr="00FA472B">
      <w:pPr>
        <w:pStyle w:val="a5"/>
        <w:snapToGrid w:val="0"/>
        <w:spacing w:line="360" w:lineRule="auto"/>
        <w:jc w:val="center"/>
        <w:rPr>
          <w:rFonts w:ascii="Times New Roman" w:hAnsi="Times New Roman"/>
          <w:sz w:val="24"/>
          <w:szCs w:val="24"/>
        </w:rPr>
      </w:pPr>
      <w:r w:rsidRPr="00526282">
        <w:rPr>
          <w:rFonts w:ascii="Times New Roman" w:hAnsi="Times New Roman"/>
          <w:sz w:val="24"/>
          <w:szCs w:val="24"/>
        </w:rPr>
        <w:t/>
      </w:r>
      <w:proofErr w:type="spellStart"/>
      <w:proofErr w:type="gramStart"/>
      <w:r w:rsidRPr="00526282">
        <w:rPr>
          <w:rFonts w:ascii="Times New Roman" w:hAnsi="Times New Roman"/>
          <w:sz w:val="24"/>
          <w:szCs w:val="24"/>
        </w:rPr>
        <w:t/>
      </w:r>
      <w:proofErr w:type="spellEnd"/>
      <w:r w:rsidRPr="00526282">
        <w:rPr>
          <w:rFonts w:ascii="Times New Roman" w:hAnsi="Times New Roman"/>
          <w:sz w:val="24"/>
          <w:szCs w:val="24"/>
        </w:rPr>
        <w:t/>
      </w:r>
      <w:proofErr w:type="gramEnd"/>
      <w:r w:rsidRPr="00526282">
        <w:rPr>
          <w:rFonts w:ascii="Times New Roman" w:hAnsi="Times New Roman"/>
          <w:sz w:val="24"/>
          <w:szCs w:val="24"/>
        </w:rPr>
        <w:t>（2008年3月19日至2020年9月30日）</w:t>
      </w:r>
    </w:p>
    <w:p w:rsidP="00526282" w:rsidR="00526282" w:rsidRDefault="00F016DD">
      <w:pPr>
        <w:snapToGrid w:val="0"/>
        <w:spacing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spellStart"/>
      <w:r w:rsidRPr="00611CB2">
        <w:rPr>
          <w:color w:val="000000"/>
          <w:sz w:val="24"/>
        </w:rPr>
        <w:t/>
      </w:r>
      <w:proofErr w:type="spellEnd"/>
      <w:r w:rsidRPr="00611CB2">
        <w:rPr>
          <w:color w:val="000000"/>
          <w:sz w:val="24"/>
        </w:rPr>
        <w:t/>
      </w:r>
      <w:proofErr w:type="gramEnd"/>
      <w:r w:rsidRPr="00611CB2">
        <w:rPr>
          <w:color w:val="000000"/>
          <w:sz w:val="24"/>
        </w:rPr>
        <w:t>易方达增强回报债券A</w:t>
      </w:r>
    </w:p>
    <w:p w:rsidP="00FC7F43" w:rsidR="00F016DD" w:rsidRDefault="003177CA" w:rsidRPr="0078105B">
      <w:pPr>
        <w:pStyle w:val="20"/>
        <w:spacing w:line="288" w:lineRule="auto"/>
        <w:ind w:firstLine="0" w:firstLineChars="0"/>
        <w:jc w:val="center"/>
        <w:rPr>
          <w:color w:val="000000"/>
        </w:rPr>
      </w:pPr>
      <w:r>
        <w:rPr>
          <w:noProof/>
          <w:color w:val="000000"/>
        </w:rPr>
        <w:lastRenderedPageBreak/>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2" o:spid="_x0000_i1025" style="width:435.75pt;height:258pt;visibility:visible" type="#_x0000_t75">
            <v:imagedata o:title="" r:id="rId10"/>
          </v:shape>
        </w:pict>
      </w:r>
    </w:p>
    <w:p w:rsidP="00526282" w:rsidR="00526282" w:rsidRDefault="00F016DD">
      <w:pPr>
        <w:snapToGrid w:val="0"/>
        <w:spacing w:before="312" w:beforeLines="100"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gramEnd"/>
      <w:r w:rsidRPr="00611CB2">
        <w:rPr>
          <w:color w:val="000000"/>
          <w:sz w:val="24"/>
        </w:rPr>
        <w:t>易方达增强回报债券B</w:t>
      </w:r>
    </w:p>
    <w:p w:rsidP="00FC7F43" w:rsidR="00F016DD" w:rsidRDefault="003177CA" w:rsidRPr="0078105B">
      <w:pPr>
        <w:pStyle w:val="20"/>
        <w:spacing w:line="288" w:lineRule="auto"/>
        <w:ind w:firstLine="0" w:firstLineChars="0"/>
        <w:jc w:val="center"/>
        <w:rPr>
          <w:color w:val="000000"/>
        </w:rPr>
      </w:pPr>
      <w:r>
        <w:rPr>
          <w:noProof/>
          <w:color w:val="000000"/>
        </w:rPr>
        <w:pict>
          <v:shape id="图片 3" o:spid="_x0000_i1026" style="width:435.75pt;height:258pt;visibility:visible" type="#_x0000_t75">
            <v:imagedata o:title="" r:id="rId11"/>
          </v:shape>
        </w:pict>
      </w:r>
    </w:p>
    <w:p w:rsidP="00DF18FE" w:rsidR="00F016DD" w:rsidRDefault="00F016DD" w:rsidRPr="00DF18FE">
      <w:pPr>
        <w:spacing w:line="360" w:lineRule="auto"/>
        <w:ind w:firstLine="480" w:firstLineChars="200"/>
        <w:rPr>
          <w:color w:val="000000"/>
          <w:sz w:val="24"/>
        </w:rPr>
      </w:pPr>
      <w:r w:rsidRPr="00DF18FE">
        <w:rPr>
          <w:color w:val="000000"/>
          <w:sz w:val="24"/>
        </w:rPr>
        <w:lastRenderedPageBreak/>
        <w:t/>
      </w:r>
      <w:proofErr w:type="gramStart"/>
      <w:r w:rsidRPr="00DF18FE">
        <w:rPr>
          <w:color w:val="000000"/>
          <w:sz w:val="24"/>
        </w:rPr>
        <w:t/>
      </w:r>
      <w:proofErr w:type="gramEnd"/>
      <w:r w:rsidRPr="00DF18FE">
        <w:rPr>
          <w:color w:val="000000"/>
          <w:sz w:val="24"/>
        </w:rPr>
        <w:t>注：自基金合同生效至报告期末，A类基金份额净值增长率为191.53%，B类基金份额净值增长率为176.59%，同期业绩比较基准收益率为11.40%。</w:t>
      </w:r>
    </w:p>
    <w:p w:rsidP="006C5BC9" w:rsidR="00F016DD" w:rsidRDefault="00F016DD" w:rsidRPr="00FA472B">
      <w:pPr>
        <w:tabs>
          <w:tab w:pos="1800" w:val="left"/>
        </w:tabs>
        <w:spacing w:line="288" w:lineRule="auto"/>
        <w:rPr>
          <w:color w:val="000000"/>
          <w:sz w:val="24"/>
        </w:rPr>
      </w:pP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4  </w:t>
      </w:r>
      <w:r w:rsidRPr="0078105B">
        <w:rPr>
          <w:rFonts w:ascii="宋体" w:cs="Arial" w:hAnsi="宋体" w:hint="eastAsia"/>
          <w:color w:val="000000"/>
          <w:kern w:val="0"/>
          <w:sz w:val="24"/>
          <w:szCs w:val="24"/>
        </w:rPr>
        <w:t>管理人报告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4.1 </w:t>
      </w:r>
      <w:r w:rsidRPr="0078105B">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F016DD" w:rsidRPr="0078105B" w:rsidTr="00B54884">
        <w:trPr>
          <w:cantSplit/>
        </w:trPr>
        <w:tc>
          <w:tcPr>
            <w:tcW w:type="dxa" w:w="56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58694E" w:rsidR="00F016DD" w:rsidRDefault="00F016DD" w:rsidRPr="00FA472B">
            <w:pPr>
              <w:autoSpaceDE w:val="0"/>
              <w:autoSpaceDN w:val="0"/>
              <w:adjustRightInd w:val="0"/>
              <w:spacing w:before="29" w:line="288" w:lineRule="auto"/>
              <w:ind w:left="15"/>
              <w:jc w:val="center"/>
              <w:rPr>
                <w:color w:val="000000"/>
                <w:kern w:val="0"/>
                <w:sz w:val="24"/>
              </w:rPr>
            </w:pPr>
            <w:proofErr w:type="gramStart"/>
            <w:r w:rsidRPr="00FA472B">
              <w:rPr>
                <w:color w:val="000000"/>
                <w:kern w:val="0"/>
                <w:sz w:val="24"/>
              </w:rPr>
              <w:t>任本基金</w:t>
            </w:r>
            <w:proofErr w:type="gramEnd"/>
            <w:r w:rsidRPr="00FA472B">
              <w:rPr>
                <w:color w:val="000000"/>
                <w:kern w:val="0"/>
                <w:sz w:val="24"/>
              </w:rPr>
              <w:t>的基金经理期限</w:t>
            </w:r>
          </w:p>
        </w:tc>
        <w:tc>
          <w:tcPr>
            <w:tcW w:type="dxa" w:w="851"/>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F016DD" w:rsidRPr="0078105B" w:rsidTr="00B54884">
        <w:trPr>
          <w:cantSplit/>
        </w:trPr>
        <w:tc>
          <w:tcPr>
            <w:tcW w:type="dxa" w:w="56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835"/>
            <w:vMerge/>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58694E" w:rsidR="00F016DD" w:rsidRDefault="00F016DD"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王晓晨</w:t>
            </w:r>
          </w:p>
        </w:tc>
        <w:tc>
          <w:tcPr>
            <w:vAlign w:val="center"/>
          </w:tcPr>
          <w:p>
            <w:pPr>
              <w:jc w:val="left"/>
            </w:pPr>
            <w:r>
              <w:rPr>
                <w:color w:val="000000"/>
                <w:sz w:val="24"/>
              </w:rPr>
              <w:t>本基金的基金经理、易方达投资级信用债债券型证券投资基金的基金经理、易方达中债新综合债券指数发起式证券投资基金（LOF）的基金经理、易方达双债增强债券型证券投资基金的基金经理、易方达恒安定期开放债券型发起式证券投资基金的基金经理、易方达富财纯债债券型证券投资基金的基金经理、易方达安瑞短债债券型证券投资基金的基金经理、易方达中债1-3年国开行债券指数证券投资基金的基金经理、易方达中债3-5年国开行债券指数证券投资基金的基金经理、易方达恒兴3个月定期开放债券型发起式证券投资基金的基金经理、易方达中债1-3年政策性金融债指数证券投资基金的基金经理、易方达中债3-5年政策性金融债指数证券投资基金的基金经理、固定收益投资部副总经理、固定收益投资决策委员会委员、易方达资产管理（香港）有限公司基金经理、就证券提供意见负责人员（RO）、提供资产管理负责人员（RO）、易方达资产管理（香港）有限公司固定收益投资决策委员会委员</w:t>
            </w:r>
          </w:p>
        </w:tc>
        <w:tc>
          <w:tcPr>
            <w:vAlign w:val="center"/>
          </w:tcPr>
          <w:p>
            <w:pPr>
              <w:jc w:val="center"/>
            </w:pPr>
            <w:r>
              <w:rPr>
                <w:color w:val="000000"/>
                <w:sz w:val="24"/>
              </w:rPr>
              <w:t>2011-08-15</w:t>
            </w:r>
          </w:p>
        </w:tc>
        <w:tc>
          <w:tcPr>
            <w:vAlign w:val="center"/>
          </w:tcPr>
          <w:p>
            <w:pPr>
              <w:jc w:val="center"/>
            </w:pPr>
            <w:r>
              <w:rPr>
                <w:color w:val="000000"/>
                <w:sz w:val="24"/>
              </w:rPr>
              <w:t>-</w:t>
            </w:r>
          </w:p>
        </w:tc>
        <w:tc>
          <w:tcPr>
            <w:vAlign w:val="center"/>
          </w:tcPr>
          <w:p>
            <w:pPr>
              <w:jc w:val="center"/>
            </w:pPr>
            <w:r>
              <w:rPr>
                <w:color w:val="000000"/>
                <w:sz w:val="24"/>
              </w:rPr>
              <w:t>17年</w:t>
            </w:r>
          </w:p>
        </w:tc>
        <w:tc>
          <w:tcPr>
            <w:vAlign w:val="center"/>
          </w:tcPr>
          <w:p>
            <w:pPr>
              <w:jc w:val="both"/>
            </w:pPr>
            <w:r>
              <w:rPr>
                <w:color w:val="000000"/>
                <w:sz w:val="24"/>
              </w:rPr>
              <w:t>硕士研究生，具有基金从业资格。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3-5年期国债指数证券投资基金基金经理、易方达中债7-10年期国开行债券指数证券投资基金基金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D86D97" w:rsidR="00D86D97" w:rsidRDefault="00F016DD" w:rsidRPr="00AF5C11">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4.2</w:t>
      </w:r>
      <w:r>
        <w:rPr>
          <w:rFonts w:cs="Arial" w:hint="eastAsia"/>
          <w:b/>
          <w:color w:val="000000"/>
          <w:kern w:val="0"/>
          <w:sz w:val="24"/>
        </w:rPr>
        <w:t>管理人对</w:t>
      </w:r>
      <w:r w:rsidRPr="00BB04BF">
        <w:rPr>
          <w:rFonts w:cs="Arial" w:hint="eastAsia"/>
          <w:b/>
          <w:color w:val="000000"/>
          <w:kern w:val="0"/>
          <w:sz w:val="24"/>
        </w:rPr>
        <w:t>报告期内本基金运作遵规守信情况</w:t>
      </w:r>
      <w:r>
        <w:rPr>
          <w:rFonts w:cs="Arial" w:hint="eastAsia"/>
          <w:b/>
          <w:color w:val="000000"/>
          <w:kern w:val="0"/>
          <w:sz w:val="24"/>
        </w:rPr>
        <w:t>的</w:t>
      </w:r>
      <w:r w:rsidRPr="00BB04BF">
        <w:rPr>
          <w:rFonts w:cs="Arial" w:hint="eastAsia"/>
          <w:b/>
          <w:color w:val="000000"/>
          <w:kern w:val="0"/>
          <w:sz w:val="24"/>
        </w:rPr>
        <w:t>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4.3 </w:t>
      </w:r>
      <w:r w:rsidRPr="0078105B">
        <w:rPr>
          <w:rFonts w:ascii="宋体" w:cs="Arial" w:hAnsi="宋体" w:hint="eastAsia"/>
          <w:b/>
          <w:color w:val="000000"/>
          <w:kern w:val="0"/>
          <w:sz w:val="24"/>
        </w:rPr>
        <w:t>公平交易专项说明</w:t>
      </w:r>
    </w:p>
    <w:p w:rsidP="00FC13C8" w:rsidR="00F016DD" w:rsidRDefault="00F016DD" w:rsidRPr="00FA472B">
      <w:pPr>
        <w:spacing w:line="360" w:lineRule="auto"/>
        <w:rPr>
          <w:rFonts w:ascii="宋体" w:hAnsi="宋体"/>
          <w:sz w:val="24"/>
        </w:rPr>
      </w:pPr>
      <w:r w:rsidRPr="00FA472B">
        <w:rPr>
          <w:rFonts w:ascii="宋体" w:hAnsi="宋体"/>
          <w:sz w:val="24"/>
        </w:rPr>
        <w:t xml:space="preserve">4.3.1 </w:t>
      </w:r>
      <w:r w:rsidRPr="00FA472B">
        <w:rPr>
          <w:rFonts w:ascii="宋体" w:hAnsi="宋体" w:hint="eastAsia"/>
          <w:sz w:val="24"/>
        </w:rPr>
        <w:t>公平交易制度的执行情况</w:t>
      </w:r>
    </w:p>
    <w:p w:rsidP="00DF18FE" w:rsidR="00F016DD" w:rsidRDefault="00F016DD" w:rsidRPr="00EA6415">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FC13C8" w:rsidR="00F016DD" w:rsidRDefault="00F016DD" w:rsidRPr="00FA472B">
      <w:pPr>
        <w:spacing w:line="360" w:lineRule="auto"/>
        <w:rPr>
          <w:rFonts w:ascii="宋体" w:hAnsi="宋体"/>
          <w:sz w:val="24"/>
        </w:rPr>
      </w:pPr>
      <w:r w:rsidRPr="00FA472B">
        <w:rPr>
          <w:rFonts w:ascii="宋体" w:hAnsi="宋体"/>
          <w:sz w:val="24"/>
        </w:rPr>
        <w:t xml:space="preserve">4.3.2 </w:t>
      </w:r>
      <w:r w:rsidRPr="00FA472B">
        <w:rPr>
          <w:rFonts w:ascii="宋体" w:hAnsi="宋体" w:hint="eastAsia"/>
          <w:sz w:val="24"/>
        </w:rPr>
        <w:t>异常交易行为的专项说明</w:t>
      </w:r>
    </w:p>
    <w:p>
      <w:pPr>
        <w:spacing w:line="360" w:lineRule="auto"/>
        <w:ind w:firstLine="480" w:firstLineChars="200"/>
        <w:rPr>
          <w:rFonts w:ascii="宋体" w:cs="Arial"/>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1A4B71" w:rsidR="00F016DD" w:rsidRDefault="00F016DD" w:rsidRPr="0078105B">
      <w:pPr>
        <w:spacing w:line="360" w:lineRule="auto"/>
        <w:ind w:firstLine="480" w:firstLineChars="200"/>
        <w:rPr>
          <w:rFonts w:ascii="宋体" w:cs="Arial"/>
          <w:b/>
          <w:color w:val="000000"/>
          <w:kern w:val="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本报告期内，未发现本基金有可能导致不公平交易和利益输送的异常交易。</w:t>
      </w:r>
      <w:r w:rsidR="001A4B71" w:rsidRPr="0078105B">
        <w:rPr>
          <w:rFonts w:ascii="宋体" w:cs="Arial"/>
          <w:b/>
          <w:color w:val="000000"/>
          <w:kern w:val="0"/>
          <w:sz w:val="24"/>
        </w:rPr>
        <w:t xml:space="preserve"> </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4.4</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2020年三季度宏观经济总体来看仍然处于复苏中，7月工业增加值同比增长4.8%，低于预期，但8月工业增加值同比增长5.6%，表现较好，出现波动部分可能是由于19年出现过的季末季初扰动因素，部分可能与雨水的影响有关，总体来看，虽然经济回升的速度在放缓，但是仍然处于持续回升的过程中。投资方面，2020年1-8月份全国固定资产投资同比下降0.3%，降幅比1-6月份收窄2.8个百分点，投资增速有所回落，但仍保持较高水平，结构上房地产和制造业投资表现持续较好，基建投资较弱，可能受雨水影响。消费方面，7月社会消费品零售总额同比下降1.1%，8月同比转正增长0.5%，也呈现持续恢复的态势。通胀方面，7月和8月CPI同比分别上涨2.7%和2.4%，基本符合预期，结构上主要是食品高于预期，而非食品低于预期。中上游价格月度环比连续两个月小幅回落但仍为正，反映供需平衡的改善，但需求回升的速度可能也在放缓。金融数据方面，7月新增社会融资数据略低于市场预期，8月社融数据大幅超出市场预期，主要是由于政府债的大幅增长，同时财政存款也大幅超季节性增长，二者互相抵消之后的社融月度环比增速继续小幅回落，随着疫情的控制以及经济的持续恢复，信贷扩张的力度相比3月份持续有所放缓，但目前来看仍维持偏宽松的水平。</w:t>
      </w:r>
    </w:p>
    <w:p>
      <w:pPr>
        <w:spacing w:line="360" w:lineRule="auto"/>
        <w:ind w:firstLine="480" w:firstLineChars="200"/>
        <w:rPr>
          <w:color w:val="000000"/>
          <w:sz w:val="24"/>
        </w:rPr>
      </w:pPr>
      <w:r>
        <w:rPr>
          <w:color w:val="000000"/>
          <w:sz w:val="24"/>
        </w:rPr>
        <w:t>三季度随着股市走强、疫情消退下经济持续修复以及央行货币政策回归常态，债券收益率保持震荡上行。季度初债市的表现反映出市场缺乏明确的前行方向，情绪整体偏弱。在股市大涨的背景下，长端利率快速上行。随后随着风险偏好的回落和部分配置力量出现，债市有所回暖，长端利率向下修复。8月后，伴随经济中观指标短期呈现出较好的改善，加之对后市流动性的担忧，中短端利率上行幅度大于长端，债券收益率曲线演绎熊平行情。直到月末附近，资金面紧张态势才有所好转，短端利率上行斜率才略有趋缓。进入9月后，经济基本面持续向好、社融数据同样较好，加之债市供给放量，季末资金面趋紧，债市继续弱势运行。整个季度来看，10年期国债和国开债收益率分别大幅上行30BP和60BP，信用债亦跟随无风险利率整体震荡上行，且上行幅度更大，信用利差整体走阔。</w:t>
      </w:r>
    </w:p>
    <w:p>
      <w:pPr>
        <w:spacing w:line="360" w:lineRule="auto"/>
        <w:ind w:firstLine="480" w:firstLineChars="200"/>
        <w:rPr>
          <w:color w:val="000000"/>
          <w:sz w:val="24"/>
        </w:rPr>
      </w:pPr>
      <w:r>
        <w:rPr>
          <w:color w:val="000000"/>
          <w:sz w:val="24"/>
        </w:rPr>
        <w:t>股票市场方面，三季度整体上涨，各板块均表现较好。全季看，上证指数上涨7.82%，上证50指数上涨9.87%，沪深300指数上涨10.17%，创业板指数上涨5.60%。</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报告期内本基金维持了中性的杠杆水平，债券仓位方面主要以中短期限的中高等级信用债为主,积极根据市场情况进行利率债波段操作；股票仓位方面，保留的股票仓位旨在承受一定波动的前提下获得长期超过债券的回报；可转债仓位方面，主要持有流动性较好的大盘转债。从各类资产的贡献度来看，权益资产为组合贡献了较多的正收益。</w:t>
      </w:r>
    </w:p>
    <w:p w:rsidP="001A4B71" w:rsidR="00F016DD" w:rsidRDefault="00F016DD" w:rsidRPr="001A4B71">
      <w:pPr>
        <w:autoSpaceDE w:val="0"/>
        <w:autoSpaceDN w:val="0"/>
        <w:adjustRightInd w:val="0"/>
        <w:spacing w:line="360" w:lineRule="auto"/>
        <w:jc w:val="left"/>
        <w:rPr>
          <w:rFonts w:ascii="宋体" w:cs="Arial" w:hAnsi="宋体"/>
          <w:b/>
          <w:color w:val="000000"/>
          <w:kern w:val="0"/>
          <w:sz w:val="24"/>
        </w:rPr>
      </w:pPr>
      <w:r w:rsidRPr="001A4B71">
        <w:rPr>
          <w:rFonts w:ascii="宋体" w:cs="Arial" w:hAnsi="宋体"/>
          <w:b/>
          <w:color w:val="000000"/>
          <w:kern w:val="0"/>
          <w:sz w:val="24"/>
        </w:rPr>
        <w:t>4.</w:t>
      </w:r>
      <w:r w:rsidR="001A4B71">
        <w:rPr>
          <w:rFonts w:ascii="宋体" w:cs="Arial" w:hAnsi="宋体"/>
          <w:b/>
          <w:color w:val="000000"/>
          <w:kern w:val="0"/>
          <w:sz w:val="24"/>
        </w:rPr>
        <w:t>5</w:t>
      </w:r>
      <w:r w:rsidR="001A4B71">
        <w:rPr>
          <w:rFonts w:ascii="宋体" w:cs="Arial" w:hAnsi="宋体" w:hint="eastAsia"/>
          <w:b/>
          <w:color w:val="000000"/>
          <w:kern w:val="0"/>
          <w:sz w:val="24"/>
        </w:rPr>
        <w:t xml:space="preserve"> </w:t>
      </w:r>
      <w:r w:rsidRPr="001A4B71">
        <w:rPr>
          <w:rFonts w:ascii="宋体" w:cs="Arial" w:hAnsi="宋体" w:hint="eastAsia"/>
          <w:b/>
          <w:color w:val="000000"/>
          <w:kern w:val="0"/>
          <w:sz w:val="24"/>
        </w:rPr>
        <w:t>报告期内基金的业绩表现</w:t>
      </w:r>
    </w:p>
    <w:p w:rsidP="001A4B71" w:rsidR="00F016DD" w:rsidRDefault="00F016DD" w:rsidRPr="00DF18FE">
      <w:pPr>
        <w:spacing w:line="360" w:lineRule="auto"/>
        <w:ind w:firstLine="480" w:firstLineChars="200"/>
        <w:rPr>
          <w:color w:val="000000"/>
          <w:sz w:val="24"/>
        </w:rPr>
      </w:pP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截至报告期末，本基金A类基金份额净值为1.337元，本报告期份额净值增长率为5.28%，同期业绩比较基准收益率为-2.00%；B类基金份额净值为1.327元，本报告期份额净值增长率为5.23%，同期业绩比较基准收益率为-2.00%。</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lastRenderedPageBreak/>
        <w:t>§</w:t>
      </w:r>
      <w:r w:rsidRPr="0078105B">
        <w:rPr>
          <w:rFonts w:ascii="宋体" w:cs="Arial" w:hAnsi="宋体"/>
          <w:color w:val="000000"/>
          <w:kern w:val="0"/>
          <w:sz w:val="24"/>
          <w:szCs w:val="24"/>
        </w:rPr>
        <w:t xml:space="preserve">5  </w:t>
      </w:r>
      <w:r w:rsidRPr="0078105B">
        <w:rPr>
          <w:rFonts w:ascii="宋体" w:cs="Arial" w:hAnsi="宋体" w:hint="eastAsia"/>
          <w:color w:val="000000"/>
          <w:kern w:val="0"/>
          <w:sz w:val="24"/>
          <w:szCs w:val="24"/>
        </w:rPr>
        <w:t>投资组合报告</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5.1 </w:t>
      </w:r>
      <w:r w:rsidRPr="0078105B">
        <w:rPr>
          <w:rFonts w:ascii="宋体" w:cs="Arial" w:hAnsi="宋体" w:hint="eastAsia"/>
          <w:b/>
          <w:color w:val="000000"/>
          <w:kern w:val="0"/>
          <w:sz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335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项目</w:t>
            </w:r>
          </w:p>
        </w:tc>
        <w:tc>
          <w:tcPr>
            <w:tcW w:type="dxa" w:w="2977"/>
            <w:vAlign w:val="center"/>
          </w:tcPr>
          <w:p w:rsidP="00F4518C" w:rsidR="00F016DD" w:rsidRDefault="00F016DD" w:rsidRPr="00FA472B">
            <w:pPr>
              <w:spacing w:before="29" w:line="360" w:lineRule="auto"/>
              <w:ind w:left="17"/>
              <w:jc w:val="center"/>
              <w:rPr>
                <w:color w:val="000000"/>
                <w:sz w:val="24"/>
              </w:rPr>
            </w:pPr>
            <w:r w:rsidRPr="00FA472B">
              <w:rPr>
                <w:color w:val="000000"/>
                <w:sz w:val="24"/>
              </w:rPr>
              <w:t>金额</w:t>
            </w:r>
            <w:r w:rsidRPr="00FA472B">
              <w:rPr>
                <w:color w:val="000000"/>
                <w:sz w:val="24"/>
              </w:rPr>
              <w:t>(</w:t>
            </w:r>
            <w:r w:rsidRPr="00FA472B">
              <w:rPr>
                <w:color w:val="000000"/>
                <w:sz w:val="24"/>
              </w:rPr>
              <w:t>元</w:t>
            </w:r>
            <w:r w:rsidRPr="00FA472B">
              <w:rPr>
                <w:color w:val="000000"/>
                <w:sz w:val="24"/>
              </w:rPr>
              <w:t>)</w:t>
            </w:r>
          </w:p>
        </w:tc>
        <w:tc>
          <w:tcPr>
            <w:tcW w:type="dxa" w:w="1843"/>
            <w:vAlign w:val="center"/>
          </w:tcPr>
          <w:p w:rsidP="00F4518C" w:rsidR="00F016DD" w:rsidRDefault="00F016DD" w:rsidRPr="00FA472B">
            <w:pPr>
              <w:spacing w:before="29" w:line="360" w:lineRule="auto"/>
              <w:ind w:left="17"/>
              <w:jc w:val="center"/>
              <w:rPr>
                <w:color w:val="000000"/>
                <w:sz w:val="24"/>
              </w:rPr>
            </w:pPr>
            <w:r w:rsidRPr="00FA472B">
              <w:rPr>
                <w:color w:val="000000"/>
                <w:sz w:val="24"/>
              </w:rPr>
              <w:t>占基金总资产的比例</w:t>
            </w: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1</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权益投资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1,318,286,853.78</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15.36</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其中：股票</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1,318,286,853.78</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15.36</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2</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固定收益投资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7,035,365,454.02</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81.99</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其中：债券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7,015,338,454.02</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81.76</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autoSpaceDE w:val="0"/>
              <w:autoSpaceDN w:val="0"/>
              <w:adjustRightInd w:val="0"/>
              <w:spacing w:before="29" w:line="360" w:lineRule="auto"/>
              <w:ind w:left="17"/>
              <w:jc w:val="left"/>
              <w:rPr>
                <w:color w:val="000000"/>
                <w:sz w:val="24"/>
              </w:rPr>
            </w:pPr>
            <w:r w:rsidRPr="00FA472B">
              <w:rPr>
                <w:color w:val="000000"/>
                <w:sz w:val="24"/>
              </w:rPr>
              <w:t>资产支持证券</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r w:rsidRPr="00FA472B">
              <w:rPr>
                <w:color w:val="000000"/>
                <w:sz w:val="24"/>
              </w:rPr>
              <w:lastRenderedPageBreak/>
              <w:t/>
            </w:r>
            <w:proofErr w:type="spellEnd"/>
            <w:r w:rsidRPr="00FA472B">
              <w:rPr>
                <w:color w:val="000000"/>
                <w:sz w:val="24"/>
              </w:rPr>
              <w:t>20,027,000.00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0.23</w:t>
            </w:r>
          </w:p>
        </w:tc>
      </w:tr>
      <w:tr w:rsidR="00F016DD" w:rsidRPr="00264E55" w:rsidTr="00F4518C">
        <w:trPr>
          <w:jc w:val="center"/>
        </w:trPr>
        <w:tc>
          <w:tcPr>
            <w:tcW w:type="dxa" w:w="720"/>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3</w:t>
            </w:r>
          </w:p>
        </w:tc>
        <w:tc>
          <w:tcPr>
            <w:tcW w:type="dxa" w:w="3357"/>
          </w:tcPr>
          <w:p w:rsidP="00174038" w:rsidR="00F016DD" w:rsidRDefault="00F016DD" w:rsidRPr="00FA472B">
            <w:pPr>
              <w:spacing w:before="29" w:line="360" w:lineRule="auto"/>
              <w:ind w:left="105" w:leftChars="50"/>
              <w:rPr>
                <w:color w:val="000000"/>
                <w:sz w:val="24"/>
              </w:rPr>
            </w:pPr>
            <w:r w:rsidRPr="00FA472B">
              <w:rPr>
                <w:color w:val="000000"/>
                <w:sz w:val="24"/>
              </w:rPr>
              <w:t>贵金属投资</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4</w:t>
            </w:r>
          </w:p>
        </w:tc>
        <w:tc>
          <w:tcPr>
            <w:tcW w:type="dxa" w:w="3357"/>
            <w:vAlign w:val="center"/>
          </w:tcPr>
          <w:p w:rsidP="00F4518C" w:rsidR="00F016DD" w:rsidRDefault="00F016DD" w:rsidRPr="00FA472B">
            <w:pPr>
              <w:spacing w:before="29" w:line="360" w:lineRule="auto"/>
              <w:ind w:left="17"/>
              <w:jc w:val="left"/>
              <w:rPr>
                <w:color w:val="000000"/>
                <w:sz w:val="24"/>
              </w:rPr>
            </w:pPr>
            <w:r w:rsidRPr="00FA472B">
              <w:rPr>
                <w:color w:val="000000"/>
                <w:sz w:val="24"/>
              </w:rPr>
              <w:t>金融衍生</w:t>
            </w:r>
            <w:proofErr w:type="gramStart"/>
            <w:r w:rsidRPr="00FA472B">
              <w:rPr>
                <w:color w:val="000000"/>
                <w:sz w:val="24"/>
              </w:rPr>
              <w:t>品投资</w:t>
            </w:r>
            <w:proofErr w:type="gramEnd"/>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5</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48,000,272.00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0.56</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其中：买断式回购的买入返售金融资产</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lastRenderedPageBreak/>
              <w:t>6</w:t>
            </w:r>
          </w:p>
        </w:tc>
        <w:tc>
          <w:tcPr>
            <w:tcW w:type="dxa" w:w="3357"/>
            <w:vAlign w:val="center"/>
          </w:tcPr>
          <w:p w:rsidP="00F4518C" w:rsidR="00F016DD" w:rsidRDefault="00F016DD" w:rsidRPr="00FA472B">
            <w:pPr>
              <w:spacing w:before="29" w:line="360" w:lineRule="auto"/>
              <w:ind w:left="17"/>
              <w:jc w:val="left"/>
              <w:rPr>
                <w:sz w:val="24"/>
              </w:rPr>
            </w:pPr>
            <w:r w:rsidRPr="00FA472B">
              <w:rPr>
                <w:color w:val="000000"/>
                <w:sz w:val="24"/>
              </w:rPr>
              <w:t>银行存款和结算备付金合计</w:t>
            </w:r>
          </w:p>
        </w:tc>
        <w:tc>
          <w:tcPr>
            <w:tcW w:type="dxa" w:w="2977"/>
            <w:vAlign w:val="center"/>
          </w:tcPr>
          <w:p w:rsidP="00F4518C" w:rsidR="00F016DD" w:rsidRDefault="00F016DD" w:rsidRPr="00FA472B">
            <w:pPr>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47,897,075.30</w:t>
            </w:r>
          </w:p>
        </w:tc>
        <w:tc>
          <w:tcPr>
            <w:tcW w:type="dxa" w:w="1843"/>
            <w:vAlign w:val="center"/>
          </w:tcPr>
          <w:p w:rsidP="00F4518C" w:rsidR="00F016DD" w:rsidRDefault="00F016DD" w:rsidRPr="00FA472B">
            <w:pPr>
              <w:spacing w:before="29" w:line="360" w:lineRule="auto"/>
              <w:ind w:left="17"/>
              <w:jc w:val="right"/>
              <w:rPr>
                <w:color w:val="000000"/>
                <w:sz w:val="24"/>
              </w:rPr>
            </w:pPr>
            <w:r w:rsidRPr="00FA472B">
              <w:rPr>
                <w:color w:val="000000"/>
                <w:sz w:val="24"/>
              </w:rPr>
              <w:t>0.56</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7</w:t>
            </w:r>
          </w:p>
        </w:tc>
        <w:tc>
          <w:tcPr>
            <w:tcW w:type="dxa" w:w="3357"/>
            <w:vAlign w:val="center"/>
          </w:tcPr>
          <w:p w:rsidP="00F4518C" w:rsidR="00F016DD" w:rsidRDefault="00F016DD" w:rsidRPr="00FA472B">
            <w:pPr>
              <w:jc w:val="left"/>
              <w:rPr>
                <w:sz w:val="24"/>
              </w:rPr>
            </w:pPr>
            <w:r w:rsidRPr="00FA472B">
              <w:rPr>
                <w:color w:val="000000"/>
                <w:sz w:val="24"/>
              </w:rPr>
              <w:t>其他资产</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131,089,113.38</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1.53</w:t>
            </w:r>
          </w:p>
        </w:tc>
      </w:tr>
      <w:tr w:rsidR="00F016DD" w:rsidRPr="00264E55" w:rsidTr="00F4518C">
        <w:trPr>
          <w:jc w:val="center"/>
        </w:trPr>
        <w:tc>
          <w:tcPr>
            <w:tcW w:type="dxa" w:w="720"/>
            <w:vAlign w:val="center"/>
          </w:tcPr>
          <w:p w:rsidP="00F4518C" w:rsidR="00F016DD" w:rsidRDefault="00F016DD" w:rsidRPr="00FA472B">
            <w:pPr>
              <w:spacing w:before="29" w:line="360" w:lineRule="auto"/>
              <w:ind w:left="17"/>
              <w:jc w:val="center"/>
              <w:rPr>
                <w:color w:val="000000"/>
                <w:sz w:val="24"/>
              </w:rPr>
            </w:pPr>
            <w:r w:rsidRPr="00FA472B">
              <w:rPr>
                <w:color w:val="000000"/>
                <w:sz w:val="24"/>
              </w:rPr>
              <w:t>8</w:t>
            </w:r>
          </w:p>
        </w:tc>
        <w:tc>
          <w:tcPr>
            <w:tcW w:type="dxa" w:w="3357"/>
            <w:vAlign w:val="center"/>
          </w:tcPr>
          <w:p w:rsidP="00F4518C" w:rsidR="00F016DD" w:rsidRDefault="00F016DD" w:rsidRPr="00FA472B">
            <w:pPr>
              <w:jc w:val="left"/>
              <w:rPr>
                <w:sz w:val="24"/>
              </w:rPr>
            </w:pPr>
            <w:r w:rsidRPr="00FA472B">
              <w:rPr>
                <w:color w:val="000000"/>
                <w:sz w:val="24"/>
              </w:rPr>
              <w:t>合计</w:t>
            </w:r>
          </w:p>
        </w:tc>
        <w:tc>
          <w:tcPr>
            <w:tcW w:type="dxa" w:w="2977"/>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8,580,638,768.48</w:t>
            </w:r>
          </w:p>
        </w:tc>
        <w:tc>
          <w:tcPr>
            <w:tcW w:type="dxa" w:w="1843"/>
            <w:vAlign w:val="center"/>
          </w:tcPr>
          <w:p w:rsidP="00F4518C" w:rsidR="00F016DD" w:rsidRDefault="00F016DD" w:rsidRPr="00FA472B">
            <w:pPr>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100.00</w:t>
            </w:r>
          </w:p>
        </w:tc>
      </w:tr>
    </w:tbl>
    <w:p w:rsidP="00B54884" w:rsidR="00874AA3" w:rsidRDefault="00874AA3" w:rsidRPr="00C70969">
      <w:pPr>
        <w:autoSpaceDE w:val="0"/>
        <w:autoSpaceDN w:val="0"/>
        <w:adjustRightInd w:val="0"/>
        <w:spacing w:before="312" w:beforeLines="100" w:line="360" w:lineRule="auto"/>
        <w:jc w:val="left"/>
        <w:rPr>
          <w:rFonts w:eastAsiaTheme="minorEastAsia"/>
          <w:b/>
          <w:color w:themeColor="text1" w:val="000000"/>
          <w:kern w:val="0"/>
          <w:sz w:val="24"/>
        </w:rPr>
      </w:pPr>
      <w:r w:rsidRPr="00C70969">
        <w:rPr>
          <w:rFonts w:eastAsiaTheme="minorEastAsia"/>
          <w:b/>
          <w:color w:themeColor="text1" w:val="000000"/>
          <w:kern w:val="0"/>
          <w:sz w:val="24"/>
        </w:rPr>
        <w:t xml:space="preserve">5.2 </w:t>
      </w:r>
      <w:r w:rsidRPr="00C70969">
        <w:rPr>
          <w:rFonts w:eastAsiaTheme="minorEastAsia"/>
          <w:b/>
          <w:color w:themeColor="text1" w:val="000000"/>
          <w:kern w:val="0"/>
          <w:sz w:val="24"/>
        </w:rPr>
        <w:t>报告期末按行业分类的股票投资组合</w:t>
      </w:r>
    </w:p>
    <w:p w:rsidP="00874AA3" w:rsidR="00874AA3" w:rsidRDefault="00874AA3" w:rsidRPr="00C70969">
      <w:pPr>
        <w:rPr>
          <w:b/>
          <w:sz w:val="24"/>
        </w:rPr>
      </w:pPr>
      <w:r w:rsidRPr="00C70969">
        <w:rPr>
          <w:b/>
          <w:sz w:val="24"/>
        </w:rPr>
        <w:t xml:space="preserve"> </w:t>
      </w:r>
      <w:r w:rsidRPr="00C70969">
        <w:rPr>
          <w:b/>
          <w:color w:themeColor="text1" w:val="000000"/>
          <w:sz w:val="24"/>
        </w:rPr>
        <w:t/>
      </w:r>
      <w:proofErr w:type="spellStart"/>
      <w:r w:rsidRPr="00C70969">
        <w:rPr>
          <w:b/>
          <w:color w:themeColor="text1" w:val="000000"/>
          <w:sz w:val="24"/>
        </w:rPr>
        <w:t/>
      </w:r>
      <w:proofErr w:type="spellEnd"/>
      <w:r w:rsidRPr="00C70969">
        <w:rPr>
          <w:b/>
          <w:color w:themeColor="text1" w:val="000000"/>
          <w:sz w:val="24"/>
        </w:rPr>
        <w:t/>
      </w:r>
      <w:r w:rsidRPr="00C70969">
        <w:rPr>
          <w:rFonts w:eastAsiaTheme="minorEastAsia"/>
          <w:b/>
          <w:color w:themeColor="text1" w:val="000000"/>
          <w:kern w:val="0"/>
          <w:sz w:val="24"/>
        </w:rPr>
        <w:t>5.2.1</w:t>
      </w:r>
      <w:r w:rsidRPr="00C70969">
        <w:rPr>
          <w:rFonts w:eastAsiaTheme="minorEastAsia"/>
          <w:b/>
          <w:color w:themeColor="text1" w:val="000000"/>
          <w:kern w:val="0"/>
          <w:sz w:val="24"/>
        </w:rPr>
        <w:t>报告期末按行业分类的境内股票投资组合</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540"/>
        <w:gridCol w:w="3691"/>
        <w:gridCol w:w="2852"/>
        <w:gridCol w:w="1648"/>
      </w:tblGrid>
      <w:tr w:rsidR="00874AA3" w:rsidRPr="00C70969" w:rsidTr="0001612A">
        <w:trPr>
          <w:trHeight w:val="390"/>
        </w:trPr>
        <w:tc>
          <w:tcPr>
            <w:tcW w:type="dxa" w:w="540"/>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代码</w:t>
            </w: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行业类别</w:t>
            </w:r>
          </w:p>
        </w:tc>
        <w:tc>
          <w:tcPr>
            <w:tcW w:type="dxa" w:w="2852"/>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公允价值（元）</w:t>
            </w:r>
          </w:p>
        </w:tc>
        <w:tc>
          <w:tcPr>
            <w:tcW w:type="dxa" w:w="1648"/>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占基金资产净值比例（％）</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A</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农、林、牧、渔业</w:t>
            </w:r>
          </w:p>
        </w:tc>
        <w:tc>
          <w:tcPr>
            <w:tcW w:type="dxa" w:w="2852"/>
            <w:vAlign w:val="center"/>
          </w:tcPr>
          <w:p w:rsidP="0071134C" w:rsidR="00874AA3" w:rsidRDefault="00874AA3" w:rsidRPr="00C70969">
            <w:pPr>
              <w:autoSpaceDE w:val="0"/>
              <w:autoSpaceDN w:val="0"/>
              <w:adjustRightInd w:val="0"/>
              <w:spacing w:before="29" w:line="360" w:lineRule="auto"/>
              <w:ind w:left="15"/>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autoSpaceDE w:val="0"/>
              <w:autoSpaceDN w:val="0"/>
              <w:adjustRightInd w:val="0"/>
              <w:spacing w:before="29" w:line="360" w:lineRule="auto"/>
              <w:ind w:left="15"/>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lastRenderedPageBreak/>
              <w:t>B</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采矿业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204,714,268.95</w:t>
            </w:r>
          </w:p>
          <w:p w:rsidP="0071134C" w:rsidR="00874AA3" w:rsidRDefault="00874AA3" w:rsidRPr="00C70969">
            <w:pPr>
              <w:jc w:val="right"/>
              <w:rPr>
                <w:rFonts w:eastAsiaTheme="minorEastAsia"/>
                <w:color w:themeColor="text1" w:val="000000"/>
                <w:sz w:val="24"/>
              </w:rPr>
            </w:pP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2.83</w:t>
            </w:r>
          </w:p>
          <w:p w:rsidP="0071134C" w:rsidR="00874AA3" w:rsidRDefault="00874AA3" w:rsidRPr="00C70969">
            <w:pPr>
              <w:jc w:val="right"/>
              <w:rPr>
                <w:rFonts w:eastAsiaTheme="minorEastAsia"/>
                <w:color w:themeColor="text1" w:val="000000"/>
                <w:sz w:val="24"/>
              </w:rPr>
            </w:pP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C</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制造业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440,381,397.75</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6.09</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D</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电力、热力、燃气及水生产和供应业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E</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建筑业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F</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批发和零售业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G</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交通运输、仓储和邮政业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389,398,658.09</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5.38</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H</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住宿和餐饮业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I</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信息传输、软件和信息技术服务业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4,020,094.52</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0.06</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J</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金融业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279,772,434.47</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3.87</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lastRenderedPageBreak/>
              <w:t>K</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房地产业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L</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租赁和商务服务业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M</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科学研究和技术服务业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N</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水利、环境和公共设施管理业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O</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居民服务、修理和其他服务业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P</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教育</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Q</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卫生和社会工作</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R</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文化、体育和娱乐业</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r w:rsidRPr="00C70969">
              <w:rPr>
                <w:rFonts w:eastAsiaTheme="minorEastAsia"/>
                <w:color w:themeColor="text1" w:val="000000"/>
                <w:sz w:val="24"/>
              </w:rPr>
              <w:t>S</w:t>
            </w: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综合</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w:t>
            </w:r>
          </w:p>
        </w:tc>
      </w:tr>
      <w:tr w:rsidR="00874AA3" w:rsidRPr="00C70969" w:rsidTr="0001612A">
        <w:trPr>
          <w:trHeight w:val="285"/>
        </w:trPr>
        <w:tc>
          <w:tcPr>
            <w:tcW w:type="dxa" w:w="540"/>
            <w:tcMar>
              <w:top w:type="dxa" w:w="15"/>
              <w:left w:type="dxa" w:w="15"/>
              <w:bottom w:type="dxa" w:w="0"/>
              <w:right w:type="dxa" w:w="15"/>
            </w:tcMar>
            <w:vAlign w:val="center"/>
          </w:tcPr>
          <w:p w:rsidP="0071134C" w:rsidR="00874AA3" w:rsidRDefault="00874AA3" w:rsidRPr="00C70969">
            <w:pPr>
              <w:adjustRightInd w:val="0"/>
              <w:snapToGrid w:val="0"/>
              <w:spacing w:line="400" w:lineRule="exact"/>
              <w:jc w:val="center"/>
              <w:rPr>
                <w:rFonts w:eastAsiaTheme="minorEastAsia"/>
                <w:color w:themeColor="text1" w:val="000000"/>
                <w:sz w:val="24"/>
              </w:rPr>
            </w:pPr>
          </w:p>
        </w:tc>
        <w:tc>
          <w:tcPr>
            <w:tcW w:type="dxa" w:w="3691"/>
            <w:tcMar>
              <w:top w:type="dxa" w:w="15"/>
              <w:left w:type="dxa" w:w="15"/>
              <w:bottom w:type="dxa" w:w="0"/>
              <w:right w:type="dxa" w:w="15"/>
            </w:tcMar>
            <w:vAlign w:val="center"/>
          </w:tcPr>
          <w:p w:rsidP="0071134C" w:rsidR="00874AA3" w:rsidRDefault="00874AA3" w:rsidRPr="00C70969">
            <w:pPr>
              <w:adjustRightInd w:val="0"/>
              <w:snapToGrid w:val="0"/>
              <w:spacing w:line="400" w:lineRule="exact"/>
              <w:rPr>
                <w:rFonts w:eastAsiaTheme="minorEastAsia"/>
                <w:color w:themeColor="text1" w:val="000000"/>
                <w:sz w:val="24"/>
              </w:rPr>
            </w:pPr>
            <w:r w:rsidRPr="00C70969">
              <w:rPr>
                <w:rFonts w:eastAsiaTheme="minorEastAsia"/>
                <w:color w:themeColor="text1" w:val="000000"/>
                <w:sz w:val="24"/>
              </w:rPr>
              <w:t>合计</w:t>
            </w:r>
          </w:p>
        </w:tc>
        <w:tc>
          <w:tcPr>
            <w:tcW w:type="dxa" w:w="2852"/>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proofErr w:type="spellEnd"/>
            <w:r w:rsidRPr="00C70969">
              <w:rPr>
                <w:rFonts w:eastAsiaTheme="minorEastAsia"/>
                <w:color w:themeColor="text1" w:val="000000"/>
                <w:sz w:val="24"/>
              </w:rPr>
              <w:t>1,318,286,853.78</w:t>
            </w:r>
          </w:p>
        </w:tc>
        <w:tc>
          <w:tcPr>
            <w:tcW w:type="dxa" w:w="1648"/>
            <w:tcMar>
              <w:top w:type="dxa" w:w="15"/>
              <w:left w:type="dxa" w:w="15"/>
              <w:bottom w:type="dxa" w:w="0"/>
              <w:right w:type="dxa" w:w="15"/>
            </w:tcMar>
            <w:vAlign w:val="center"/>
          </w:tcPr>
          <w:p w:rsidP="0071134C" w:rsidR="00874AA3" w:rsidRDefault="00874AA3" w:rsidRPr="00C70969">
            <w:pPr>
              <w:jc w:val="right"/>
              <w:rPr>
                <w:rFonts w:eastAsiaTheme="minorEastAsia"/>
                <w:color w:themeColor="text1" w:val="000000"/>
                <w:sz w:val="24"/>
              </w:rPr>
            </w:pPr>
            <w:r w:rsidRPr="00C70969">
              <w:rPr>
                <w:rFonts w:eastAsiaTheme="minorEastAsia"/>
                <w:color w:themeColor="text1" w:val="000000"/>
                <w:sz w:val="24"/>
              </w:rPr>
              <w:t/>
            </w:r>
            <w:proofErr w:type="spellStart"/>
            <w:r w:rsidRPr="00C70969">
              <w:rPr>
                <w:rFonts w:eastAsiaTheme="minorEastAsia"/>
                <w:color w:themeColor="text1" w:val="000000"/>
                <w:sz w:val="24"/>
              </w:rPr>
              <w:t/>
            </w:r>
            <w:r w:rsidRPr="00C70969">
              <w:rPr>
                <w:rFonts w:eastAsiaTheme="minorEastAsia"/>
                <w:color w:themeColor="text1" w:val="000000"/>
                <w:sz w:val="24"/>
              </w:rPr>
              <w:lastRenderedPageBreak/>
              <w:t/>
            </w:r>
            <w:proofErr w:type="spellEnd"/>
            <w:r w:rsidRPr="00C70969">
              <w:rPr>
                <w:rFonts w:eastAsiaTheme="minorEastAsia"/>
                <w:color w:themeColor="text1" w:val="000000"/>
                <w:sz w:val="24"/>
              </w:rPr>
              <w:t>18.22</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5.3 </w:t>
      </w:r>
      <w:r w:rsidRPr="0078105B">
        <w:rPr>
          <w:rFonts w:ascii="宋体" w:cs="Arial" w:hAnsi="宋体" w:hint="eastAsia"/>
          <w:b/>
          <w:color w:val="000000"/>
          <w:kern w:val="0"/>
          <w:sz w:val="24"/>
        </w:rPr>
        <w:t>报告期末按公允价值占基金资产净值比例大小排序的前十名股票投资明细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17"/>
        <w:gridCol w:w="1276"/>
        <w:gridCol w:w="1417"/>
        <w:gridCol w:w="1560"/>
        <w:gridCol w:w="2268"/>
        <w:gridCol w:w="1559"/>
      </w:tblGrid>
      <w:tr w:rsidR="00F016DD" w:rsidRPr="0078105B" w:rsidTr="00174038">
        <w:tc>
          <w:tcPr>
            <w:tcW w:type="dxa" w:w="817"/>
            <w:vAlign w:val="center"/>
          </w:tcPr>
          <w:p w:rsidP="000871DB" w:rsidR="00F016DD" w:rsidRDefault="00F016DD" w:rsidRPr="00FA472B">
            <w:pPr>
              <w:spacing w:before="29" w:line="360" w:lineRule="auto"/>
              <w:ind w:left="17"/>
              <w:jc w:val="center"/>
              <w:rPr>
                <w:color w:val="000000"/>
                <w:sz w:val="24"/>
              </w:rPr>
            </w:pPr>
            <w:r w:rsidRPr="00FA472B">
              <w:rPr>
                <w:color w:val="000000"/>
                <w:sz w:val="24"/>
              </w:rPr>
              <w:t>序号</w:t>
            </w:r>
          </w:p>
        </w:tc>
        <w:tc>
          <w:tcPr>
            <w:tcW w:type="dxa" w:w="1276"/>
            <w:vAlign w:val="center"/>
          </w:tcPr>
          <w:p w:rsidP="000871DB" w:rsidR="00F016DD" w:rsidRDefault="00F016DD" w:rsidRPr="00FA472B">
            <w:pPr>
              <w:spacing w:before="29" w:line="360" w:lineRule="auto"/>
              <w:ind w:left="17"/>
              <w:jc w:val="center"/>
              <w:rPr>
                <w:color w:val="000000"/>
                <w:sz w:val="24"/>
              </w:rPr>
            </w:pPr>
            <w:r w:rsidRPr="00FA472B">
              <w:rPr>
                <w:color w:val="000000"/>
                <w:sz w:val="24"/>
              </w:rPr>
              <w:t>股票代码</w:t>
            </w:r>
          </w:p>
        </w:tc>
        <w:tc>
          <w:tcPr>
            <w:tcW w:type="dxa" w:w="1417"/>
            <w:vAlign w:val="center"/>
          </w:tcPr>
          <w:p w:rsidP="000871DB" w:rsidR="00F016DD" w:rsidRDefault="00F016DD" w:rsidRPr="00FA472B">
            <w:pPr>
              <w:spacing w:before="29" w:line="360" w:lineRule="auto"/>
              <w:ind w:left="17"/>
              <w:jc w:val="center"/>
              <w:rPr>
                <w:color w:val="000000"/>
                <w:sz w:val="24"/>
              </w:rPr>
            </w:pPr>
            <w:r w:rsidRPr="00FA472B">
              <w:rPr>
                <w:color w:val="000000"/>
                <w:sz w:val="24"/>
              </w:rPr>
              <w:t>股票名称</w:t>
            </w:r>
          </w:p>
        </w:tc>
        <w:tc>
          <w:tcPr>
            <w:tcW w:type="dxa" w:w="1560"/>
            <w:vAlign w:val="center"/>
          </w:tcPr>
          <w:p w:rsidP="000871DB" w:rsidR="00F016DD" w:rsidRDefault="00F016DD" w:rsidRPr="00FA472B">
            <w:pPr>
              <w:spacing w:before="29" w:line="360" w:lineRule="auto"/>
              <w:ind w:left="17"/>
              <w:jc w:val="center"/>
              <w:rPr>
                <w:color w:val="000000"/>
                <w:sz w:val="24"/>
              </w:rPr>
            </w:pPr>
            <w:r w:rsidRPr="00FA472B">
              <w:rPr>
                <w:color w:val="000000"/>
                <w:sz w:val="24"/>
              </w:rPr>
              <w:t>数量</w:t>
            </w:r>
            <w:r w:rsidRPr="00FA472B">
              <w:rPr>
                <w:color w:val="000000"/>
                <w:sz w:val="24"/>
              </w:rPr>
              <w:t>(</w:t>
            </w:r>
            <w:r w:rsidRPr="00FA472B">
              <w:rPr>
                <w:color w:val="000000"/>
                <w:sz w:val="24"/>
              </w:rPr>
              <w:t>股</w:t>
            </w:r>
            <w:r w:rsidRPr="00FA472B">
              <w:rPr>
                <w:color w:val="000000"/>
                <w:sz w:val="24"/>
              </w:rPr>
              <w:t>)</w:t>
            </w:r>
          </w:p>
        </w:tc>
        <w:tc>
          <w:tcPr>
            <w:tcW w:type="dxa" w:w="2268"/>
            <w:vAlign w:val="center"/>
          </w:tcPr>
          <w:p w:rsidP="000871DB" w:rsidR="00F016DD" w:rsidRDefault="00F016DD" w:rsidRPr="00FA472B">
            <w:pPr>
              <w:autoSpaceDE w:val="0"/>
              <w:autoSpaceDN w:val="0"/>
              <w:adjustRightInd w:val="0"/>
              <w:spacing w:before="29" w:line="360" w:lineRule="auto"/>
              <w:ind w:left="17"/>
              <w:jc w:val="center"/>
              <w:rPr>
                <w:color w:val="000000"/>
                <w:sz w:val="24"/>
              </w:rPr>
            </w:pPr>
            <w:r w:rsidRPr="00FA472B">
              <w:rPr>
                <w:color w:val="000000"/>
                <w:sz w:val="24"/>
              </w:rPr>
              <w:t>公允价值</w:t>
            </w:r>
            <w:r w:rsidRPr="00FA472B">
              <w:rPr>
                <w:color w:val="000000"/>
                <w:sz w:val="24"/>
              </w:rPr>
              <w:t>(</w:t>
            </w:r>
            <w:r w:rsidRPr="00FA472B">
              <w:rPr>
                <w:color w:val="000000"/>
                <w:sz w:val="24"/>
              </w:rPr>
              <w:t>元</w:t>
            </w:r>
            <w:r w:rsidRPr="00FA472B">
              <w:rPr>
                <w:color w:val="000000"/>
                <w:sz w:val="24"/>
              </w:rPr>
              <w:t>)</w:t>
            </w:r>
          </w:p>
        </w:tc>
        <w:tc>
          <w:tcPr>
            <w:tcW w:type="dxa" w:w="1559"/>
            <w:vAlign w:val="center"/>
          </w:tcPr>
          <w:p w:rsidP="000871DB" w:rsidR="00F016DD" w:rsidRDefault="00F016DD" w:rsidRPr="00FA472B">
            <w:pPr>
              <w:spacing w:before="29" w:line="360" w:lineRule="auto"/>
              <w:ind w:left="17"/>
              <w:jc w:val="center"/>
              <w:rPr>
                <w:color w:val="000000"/>
                <w:sz w:val="24"/>
              </w:rPr>
            </w:pPr>
            <w:r w:rsidRPr="00FA472B">
              <w:rPr>
                <w:color w:val="000000"/>
                <w:sz w:val="24"/>
              </w:rPr>
              <w:t>占基金资产净值比例</w:t>
            </w:r>
            <w:r w:rsidRPr="00FA472B">
              <w:rPr>
                <w:color w:val="000000"/>
                <w:sz w:val="24"/>
              </w:rPr>
              <w:t>(</w:t>
            </w:r>
            <w:r w:rsidRPr="00FA472B">
              <w:rPr>
                <w:color w:val="000000"/>
                <w:sz w:val="24"/>
              </w:rPr>
              <w:t>％</w:t>
            </w:r>
            <w:r w:rsidRPr="00FA472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002352</w:t>
            </w:r>
          </w:p>
        </w:tc>
        <w:tc>
          <w:tcPr>
            <w:vAlign w:val="center"/>
          </w:tcPr>
          <w:p>
            <w:pPr>
              <w:jc w:val="center"/>
            </w:pPr>
            <w:r>
              <w:rPr>
                <w:color w:val="000000"/>
                <w:sz w:val="24"/>
              </w:rPr>
              <w:t>顺丰控股</w:t>
            </w:r>
          </w:p>
        </w:tc>
        <w:tc>
          <w:tcPr>
            <w:vAlign w:val="center"/>
          </w:tcPr>
          <w:p>
            <w:pPr>
              <w:jc w:val="right"/>
            </w:pPr>
            <w:r>
              <w:rPr>
                <w:color w:val="000000"/>
                <w:sz w:val="24"/>
              </w:rPr>
              <w:t>2,873,278</w:t>
            </w:r>
          </w:p>
        </w:tc>
        <w:tc>
          <w:tcPr>
            <w:vAlign w:val="center"/>
          </w:tcPr>
          <w:p>
            <w:pPr>
              <w:jc w:val="right"/>
            </w:pPr>
            <w:r>
              <w:rPr>
                <w:color w:val="000000"/>
                <w:sz w:val="24"/>
              </w:rPr>
              <w:t>233,310,173.60</w:t>
            </w:r>
          </w:p>
        </w:tc>
        <w:tc>
          <w:tcPr>
            <w:vAlign w:val="center"/>
          </w:tcPr>
          <w:p>
            <w:pPr>
              <w:jc w:val="right"/>
            </w:pPr>
            <w:r>
              <w:rPr>
                <w:color w:val="000000"/>
                <w:sz w:val="24"/>
              </w:rPr>
              <w:t>3.22</w:t>
            </w:r>
          </w:p>
        </w:tc>
      </w:tr>
      <w:tr>
        <w:tc>
          <w:tcPr>
            <w:vAlign w:val="center"/>
          </w:tcPr>
          <w:p>
            <w:pPr>
              <w:jc w:val="center"/>
            </w:pPr>
            <w:r>
              <w:rPr>
                <w:color w:val="000000"/>
                <w:sz w:val="24"/>
              </w:rPr>
              <w:t>2</w:t>
            </w:r>
          </w:p>
        </w:tc>
        <w:tc>
          <w:tcPr>
            <w:vAlign w:val="center"/>
          </w:tcPr>
          <w:p>
            <w:pPr>
              <w:jc w:val="center"/>
            </w:pPr>
            <w:r>
              <w:rPr>
                <w:color w:val="000000"/>
                <w:sz w:val="24"/>
              </w:rPr>
              <w:t>601899</w:t>
            </w:r>
          </w:p>
        </w:tc>
        <w:tc>
          <w:tcPr>
            <w:vAlign w:val="center"/>
          </w:tcPr>
          <w:p>
            <w:pPr>
              <w:jc w:val="center"/>
            </w:pPr>
            <w:r>
              <w:rPr>
                <w:color w:val="000000"/>
                <w:sz w:val="24"/>
              </w:rPr>
              <w:t>紫金矿业</w:t>
            </w:r>
          </w:p>
        </w:tc>
        <w:tc>
          <w:tcPr>
            <w:vAlign w:val="center"/>
          </w:tcPr>
          <w:p>
            <w:pPr>
              <w:jc w:val="right"/>
            </w:pPr>
            <w:r>
              <w:rPr>
                <w:color w:val="000000"/>
                <w:sz w:val="24"/>
              </w:rPr>
              <w:t>33,286,873</w:t>
            </w:r>
          </w:p>
        </w:tc>
        <w:tc>
          <w:tcPr>
            <w:vAlign w:val="center"/>
          </w:tcPr>
          <w:p>
            <w:pPr>
              <w:jc w:val="right"/>
            </w:pPr>
            <w:r>
              <w:rPr>
                <w:color w:val="000000"/>
                <w:sz w:val="24"/>
              </w:rPr>
              <w:t>204,714,268.95</w:t>
            </w:r>
          </w:p>
        </w:tc>
        <w:tc>
          <w:tcPr>
            <w:vAlign w:val="center"/>
          </w:tcPr>
          <w:p>
            <w:pPr>
              <w:jc w:val="right"/>
            </w:pPr>
            <w:r>
              <w:rPr>
                <w:color w:val="000000"/>
                <w:sz w:val="24"/>
              </w:rPr>
              <w:t>2.83</w:t>
            </w:r>
          </w:p>
        </w:tc>
      </w:tr>
      <w:tr>
        <w:tc>
          <w:tcPr>
            <w:vAlign w:val="center"/>
          </w:tcPr>
          <w:p>
            <w:pPr>
              <w:jc w:val="center"/>
            </w:pPr>
            <w:r>
              <w:rPr>
                <w:color w:val="000000"/>
                <w:sz w:val="24"/>
              </w:rPr>
              <w:t>3</w:t>
            </w:r>
          </w:p>
        </w:tc>
        <w:tc>
          <w:tcPr>
            <w:vAlign w:val="center"/>
          </w:tcPr>
          <w:p>
            <w:pPr>
              <w:jc w:val="center"/>
            </w:pPr>
            <w:r>
              <w:rPr>
                <w:color w:val="000000"/>
                <w:sz w:val="24"/>
              </w:rPr>
              <w:t>600690</w:t>
            </w:r>
          </w:p>
        </w:tc>
        <w:tc>
          <w:tcPr>
            <w:vAlign w:val="center"/>
          </w:tcPr>
          <w:p>
            <w:pPr>
              <w:jc w:val="center"/>
            </w:pPr>
            <w:r>
              <w:rPr>
                <w:color w:val="000000"/>
                <w:sz w:val="24"/>
              </w:rPr>
              <w:t>海尔智家</w:t>
            </w:r>
          </w:p>
        </w:tc>
        <w:tc>
          <w:tcPr>
            <w:vAlign w:val="center"/>
          </w:tcPr>
          <w:p>
            <w:pPr>
              <w:jc w:val="right"/>
            </w:pPr>
            <w:r>
              <w:rPr>
                <w:color w:val="000000"/>
                <w:sz w:val="24"/>
              </w:rPr>
              <w:t>7,848,835</w:t>
            </w:r>
          </w:p>
        </w:tc>
        <w:tc>
          <w:tcPr>
            <w:vAlign w:val="center"/>
          </w:tcPr>
          <w:p>
            <w:pPr>
              <w:jc w:val="right"/>
            </w:pPr>
            <w:r>
              <w:rPr>
                <w:color w:val="000000"/>
                <w:sz w:val="24"/>
              </w:rPr>
              <w:t>171,261,579.70</w:t>
            </w:r>
          </w:p>
        </w:tc>
        <w:tc>
          <w:tcPr>
            <w:vAlign w:val="center"/>
          </w:tcPr>
          <w:p>
            <w:pPr>
              <w:jc w:val="right"/>
            </w:pPr>
            <w:r>
              <w:rPr>
                <w:color w:val="000000"/>
                <w:sz w:val="24"/>
              </w:rPr>
              <w:t>2.37</w:t>
            </w:r>
          </w:p>
        </w:tc>
      </w:tr>
      <w:tr>
        <w:tc>
          <w:tcPr>
            <w:vAlign w:val="center"/>
          </w:tcPr>
          <w:p>
            <w:pPr>
              <w:jc w:val="center"/>
            </w:pPr>
            <w:r>
              <w:rPr>
                <w:color w:val="000000"/>
                <w:sz w:val="24"/>
              </w:rPr>
              <w:t>4</w:t>
            </w:r>
          </w:p>
        </w:tc>
        <w:tc>
          <w:tcPr>
            <w:vAlign w:val="center"/>
          </w:tcPr>
          <w:p>
            <w:pPr>
              <w:jc w:val="center"/>
            </w:pPr>
            <w:r>
              <w:rPr>
                <w:color w:val="000000"/>
                <w:sz w:val="24"/>
              </w:rPr>
              <w:t>000568</w:t>
            </w:r>
          </w:p>
        </w:tc>
        <w:tc>
          <w:tcPr>
            <w:vAlign w:val="center"/>
          </w:tcPr>
          <w:p>
            <w:pPr>
              <w:jc w:val="center"/>
            </w:pPr>
            <w:r>
              <w:rPr>
                <w:color w:val="000000"/>
                <w:sz w:val="24"/>
              </w:rPr>
              <w:t>泸州老窖</w:t>
            </w:r>
          </w:p>
        </w:tc>
        <w:tc>
          <w:tcPr>
            <w:vAlign w:val="center"/>
          </w:tcPr>
          <w:p>
            <w:pPr>
              <w:jc w:val="right"/>
            </w:pPr>
            <w:r>
              <w:rPr>
                <w:color w:val="000000"/>
                <w:sz w:val="24"/>
              </w:rPr>
              <w:t>910,075</w:t>
            </w:r>
          </w:p>
        </w:tc>
        <w:tc>
          <w:tcPr>
            <w:vAlign w:val="center"/>
          </w:tcPr>
          <w:p>
            <w:pPr>
              <w:jc w:val="right"/>
            </w:pPr>
            <w:r>
              <w:rPr>
                <w:color w:val="000000"/>
                <w:sz w:val="24"/>
              </w:rPr>
              <w:t>130,641,266.25</w:t>
            </w:r>
          </w:p>
        </w:tc>
        <w:tc>
          <w:tcPr>
            <w:vAlign w:val="center"/>
          </w:tcPr>
          <w:p>
            <w:pPr>
              <w:jc w:val="right"/>
            </w:pPr>
            <w:r>
              <w:rPr>
                <w:color w:val="000000"/>
                <w:sz w:val="24"/>
              </w:rPr>
              <w:t>1.81</w:t>
            </w:r>
          </w:p>
        </w:tc>
      </w:tr>
      <w:tr>
        <w:tc>
          <w:tcPr>
            <w:vAlign w:val="center"/>
          </w:tcPr>
          <w:p>
            <w:pPr>
              <w:jc w:val="center"/>
            </w:pPr>
            <w:r>
              <w:rPr>
                <w:color w:val="000000"/>
                <w:sz w:val="24"/>
              </w:rPr>
              <w:t>5</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6,797,211</w:t>
            </w:r>
          </w:p>
        </w:tc>
        <w:tc>
          <w:tcPr>
            <w:vAlign w:val="center"/>
          </w:tcPr>
          <w:p>
            <w:pPr>
              <w:jc w:val="right"/>
            </w:pPr>
            <w:r>
              <w:rPr>
                <w:color w:val="000000"/>
                <w:sz w:val="24"/>
              </w:rPr>
              <w:t>103,113,690.87</w:t>
            </w:r>
          </w:p>
        </w:tc>
        <w:tc>
          <w:tcPr>
            <w:vAlign w:val="center"/>
          </w:tcPr>
          <w:p>
            <w:pPr>
              <w:jc w:val="right"/>
            </w:pPr>
            <w:r>
              <w:rPr>
                <w:color w:val="000000"/>
                <w:sz w:val="24"/>
              </w:rPr>
              <w:t>1.43</w:t>
            </w:r>
          </w:p>
        </w:tc>
      </w:tr>
      <w:tr>
        <w:tc>
          <w:tcPr>
            <w:vAlign w:val="center"/>
          </w:tcPr>
          <w:p>
            <w:pPr>
              <w:jc w:val="center"/>
            </w:pPr>
            <w:r>
              <w:rPr>
                <w:color w:val="000000"/>
                <w:sz w:val="24"/>
              </w:rPr>
              <w:t>6</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950,000</w:t>
            </w:r>
          </w:p>
        </w:tc>
        <w:tc>
          <w:tcPr>
            <w:vAlign w:val="center"/>
          </w:tcPr>
          <w:p>
            <w:pPr>
              <w:jc w:val="right"/>
            </w:pPr>
            <w:r>
              <w:rPr>
                <w:color w:val="000000"/>
                <w:sz w:val="24"/>
              </w:rPr>
              <w:t>72,447,000.00</w:t>
            </w:r>
          </w:p>
        </w:tc>
        <w:tc>
          <w:tcPr>
            <w:vAlign w:val="center"/>
          </w:tcPr>
          <w:p>
            <w:pPr>
              <w:jc w:val="right"/>
            </w:pPr>
            <w:r>
              <w:rPr>
                <w:color w:val="000000"/>
                <w:sz w:val="24"/>
              </w:rPr>
              <w:t>1.00</w:t>
            </w:r>
          </w:p>
        </w:tc>
      </w:tr>
      <w:tr>
        <w:tc>
          <w:tcPr>
            <w:vAlign w:val="center"/>
          </w:tcPr>
          <w:p>
            <w:pPr>
              <w:jc w:val="center"/>
            </w:pPr>
            <w:r>
              <w:rPr>
                <w:color w:val="000000"/>
                <w:sz w:val="24"/>
              </w:rPr>
              <w:t>7</w:t>
            </w:r>
          </w:p>
        </w:tc>
        <w:tc>
          <w:tcPr>
            <w:vAlign w:val="center"/>
          </w:tcPr>
          <w:p>
            <w:pPr>
              <w:jc w:val="center"/>
            </w:pPr>
            <w:r>
              <w:rPr>
                <w:color w:val="000000"/>
                <w:sz w:val="24"/>
              </w:rPr>
              <w:t>600031</w:t>
            </w:r>
          </w:p>
        </w:tc>
        <w:tc>
          <w:tcPr>
            <w:vAlign w:val="center"/>
          </w:tcPr>
          <w:p>
            <w:pPr>
              <w:jc w:val="center"/>
            </w:pPr>
            <w:r>
              <w:rPr>
                <w:color w:val="000000"/>
                <w:sz w:val="24"/>
              </w:rPr>
              <w:t>三一重工</w:t>
            </w:r>
          </w:p>
        </w:tc>
        <w:tc>
          <w:tcPr>
            <w:vAlign w:val="center"/>
          </w:tcPr>
          <w:p>
            <w:pPr>
              <w:jc w:val="right"/>
            </w:pPr>
            <w:r>
              <w:rPr>
                <w:color w:val="000000"/>
                <w:sz w:val="24"/>
              </w:rPr>
              <w:t>2,745,300</w:t>
            </w:r>
          </w:p>
        </w:tc>
        <w:tc>
          <w:tcPr>
            <w:vAlign w:val="center"/>
          </w:tcPr>
          <w:p>
            <w:pPr>
              <w:jc w:val="right"/>
            </w:pPr>
            <w:r>
              <w:rPr>
                <w:color w:val="000000"/>
                <w:sz w:val="24"/>
              </w:rPr>
              <w:t>68,330,517.00</w:t>
            </w:r>
          </w:p>
        </w:tc>
        <w:tc>
          <w:tcPr>
            <w:vAlign w:val="center"/>
          </w:tcPr>
          <w:p>
            <w:pPr>
              <w:jc w:val="right"/>
            </w:pPr>
            <w:r>
              <w:rPr>
                <w:color w:val="000000"/>
                <w:sz w:val="24"/>
              </w:rPr>
              <w:t>0.94</w:t>
            </w:r>
          </w:p>
        </w:tc>
      </w:tr>
      <w:tr>
        <w:tc>
          <w:tcPr>
            <w:vAlign w:val="center"/>
          </w:tcPr>
          <w:p>
            <w:pPr>
              <w:jc w:val="center"/>
            </w:pPr>
            <w:r>
              <w:rPr>
                <w:color w:val="000000"/>
                <w:sz w:val="24"/>
              </w:rPr>
              <w:t>8</w:t>
            </w:r>
          </w:p>
        </w:tc>
        <w:tc>
          <w:tcPr>
            <w:vAlign w:val="center"/>
          </w:tcPr>
          <w:p>
            <w:pPr>
              <w:jc w:val="center"/>
            </w:pPr>
            <w:r>
              <w:rPr>
                <w:color w:val="000000"/>
                <w:sz w:val="24"/>
              </w:rPr>
              <w:t>600004</w:t>
            </w:r>
          </w:p>
        </w:tc>
        <w:tc>
          <w:tcPr>
            <w:vAlign w:val="center"/>
          </w:tcPr>
          <w:p>
            <w:pPr>
              <w:jc w:val="center"/>
            </w:pPr>
            <w:r>
              <w:rPr>
                <w:color w:val="000000"/>
                <w:sz w:val="24"/>
              </w:rPr>
              <w:t>白云机场</w:t>
            </w:r>
          </w:p>
        </w:tc>
        <w:tc>
          <w:tcPr>
            <w:vAlign w:val="center"/>
          </w:tcPr>
          <w:p>
            <w:pPr>
              <w:jc w:val="right"/>
            </w:pPr>
            <w:r>
              <w:rPr>
                <w:color w:val="000000"/>
                <w:sz w:val="24"/>
              </w:rPr>
              <w:t>4,993,955</w:t>
            </w:r>
          </w:p>
        </w:tc>
        <w:tc>
          <w:tcPr>
            <w:vAlign w:val="center"/>
          </w:tcPr>
          <w:p>
            <w:pPr>
              <w:jc w:val="right"/>
            </w:pPr>
            <w:r>
              <w:rPr>
                <w:color w:val="000000"/>
                <w:sz w:val="24"/>
              </w:rPr>
              <w:t>67,967,727.55</w:t>
            </w:r>
          </w:p>
        </w:tc>
        <w:tc>
          <w:tcPr>
            <w:vAlign w:val="center"/>
          </w:tcPr>
          <w:p>
            <w:pPr>
              <w:jc w:val="right"/>
            </w:pPr>
            <w:r>
              <w:rPr>
                <w:color w:val="000000"/>
                <w:sz w:val="24"/>
              </w:rPr>
              <w:t>0.94</w:t>
            </w:r>
          </w:p>
        </w:tc>
      </w:tr>
      <w:tr>
        <w:tc>
          <w:tcPr>
            <w:vAlign w:val="center"/>
          </w:tcPr>
          <w:p>
            <w:pPr>
              <w:jc w:val="center"/>
            </w:pPr>
            <w:r>
              <w:rPr>
                <w:color w:val="000000"/>
                <w:sz w:val="24"/>
              </w:rPr>
              <w:t>9</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900,000</w:t>
            </w:r>
          </w:p>
        </w:tc>
        <w:tc>
          <w:tcPr>
            <w:vAlign w:val="center"/>
          </w:tcPr>
          <w:p>
            <w:pPr>
              <w:jc w:val="right"/>
            </w:pPr>
            <w:r>
              <w:rPr>
                <w:color w:val="000000"/>
                <w:sz w:val="24"/>
              </w:rPr>
              <w:t>55,872,000.00</w:t>
            </w:r>
          </w:p>
        </w:tc>
        <w:tc>
          <w:tcPr>
            <w:vAlign w:val="center"/>
          </w:tcPr>
          <w:p>
            <w:pPr>
              <w:jc w:val="right"/>
            </w:pPr>
            <w:r>
              <w:rPr>
                <w:color w:val="000000"/>
                <w:sz w:val="24"/>
              </w:rPr>
              <w:t>0.77</w:t>
            </w:r>
          </w:p>
        </w:tc>
      </w:tr>
      <w:tr>
        <w:tc>
          <w:tcPr>
            <w:vAlign w:val="center"/>
          </w:tcPr>
          <w:p>
            <w:pPr>
              <w:jc w:val="center"/>
            </w:pPr>
            <w:r>
              <w:rPr>
                <w:color w:val="000000"/>
                <w:sz w:val="24"/>
              </w:rPr>
              <w:t>10</w:t>
            </w:r>
          </w:p>
        </w:tc>
        <w:tc>
          <w:tcPr>
            <w:vAlign w:val="center"/>
          </w:tcPr>
          <w:p>
            <w:pPr>
              <w:jc w:val="center"/>
            </w:pPr>
            <w:r>
              <w:rPr>
                <w:color w:val="000000"/>
                <w:sz w:val="24"/>
              </w:rPr>
              <w:t>002142</w:t>
            </w:r>
          </w:p>
        </w:tc>
        <w:tc>
          <w:tcPr>
            <w:vAlign w:val="center"/>
          </w:tcPr>
          <w:p>
            <w:pPr>
              <w:jc w:val="center"/>
            </w:pPr>
            <w:r>
              <w:rPr>
                <w:color w:val="000000"/>
                <w:sz w:val="24"/>
              </w:rPr>
              <w:t>宁波银行</w:t>
            </w:r>
          </w:p>
        </w:tc>
        <w:tc>
          <w:tcPr>
            <w:vAlign w:val="center"/>
          </w:tcPr>
          <w:p>
            <w:pPr>
              <w:jc w:val="right"/>
            </w:pPr>
            <w:r>
              <w:rPr>
                <w:color w:val="000000"/>
                <w:sz w:val="24"/>
              </w:rPr>
              <w:t>1,535,570</w:t>
            </w:r>
          </w:p>
        </w:tc>
        <w:tc>
          <w:tcPr>
            <w:vAlign w:val="center"/>
          </w:tcPr>
          <w:p>
            <w:pPr>
              <w:jc w:val="right"/>
            </w:pPr>
            <w:r>
              <w:rPr>
                <w:color w:val="000000"/>
                <w:sz w:val="24"/>
              </w:rPr>
              <w:t>48,339,743.60</w:t>
            </w:r>
          </w:p>
        </w:tc>
        <w:tc>
          <w:tcPr>
            <w:vAlign w:val="center"/>
          </w:tcPr>
          <w:p>
            <w:pPr>
              <w:jc w:val="right"/>
            </w:pPr>
            <w:r>
              <w:rPr>
                <w:color w:val="000000"/>
                <w:sz w:val="24"/>
              </w:rPr>
              <w:t>0.67</w:t>
            </w:r>
          </w:p>
        </w:tc>
      </w:tr>
    </w:tbl>
    <w:p w:rsidP="00B54884" w:rsidR="006A1153" w:rsidRDefault="00F016DD" w:rsidRPr="006A1153">
      <w:pPr>
        <w:autoSpaceDE w:val="0"/>
        <w:autoSpaceDN w:val="0"/>
        <w:adjustRightInd w:val="0"/>
        <w:spacing w:before="312" w:beforeLines="100" w:line="360" w:lineRule="auto"/>
        <w:jc w:val="left"/>
        <w:rPr>
          <w:rFonts w:eastAsiaTheme="minorEastAsia"/>
          <w:b/>
          <w:color w:themeColor="text1" w:val="000000"/>
          <w:kern w:val="0"/>
          <w:sz w:val="24"/>
        </w:rPr>
      </w:pPr>
      <w:r w:rsidRPr="0078105B">
        <w:rPr>
          <w:rFonts w:ascii="宋体" w:cs="Arial" w:hAnsi="宋体"/>
          <w:b/>
          <w:color w:val="000000"/>
          <w:kern w:val="0"/>
          <w:sz w:val="24"/>
        </w:rPr>
        <w:t xml:space="preserve">5.4 </w:t>
      </w:r>
      <w:r w:rsidRPr="0078105B">
        <w:rPr>
          <w:rFonts w:ascii="宋体" w:cs="Arial" w:hAnsi="宋体" w:hint="eastAsia"/>
          <w:b/>
          <w:color w:val="000000"/>
          <w:kern w:val="0"/>
          <w:sz w:val="24"/>
        </w:rPr>
        <w:t>报告期末按债券品种分类的债券投资组合</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17"/>
        <w:gridCol w:w="3260"/>
        <w:gridCol w:w="2835"/>
        <w:gridCol w:w="1616"/>
      </w:tblGrid>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序号</w:t>
            </w:r>
          </w:p>
        </w:tc>
        <w:tc>
          <w:tcPr>
            <w:tcW w:type="dxa" w:w="3260"/>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债券品种</w:t>
            </w: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
            </w:r>
          </w:p>
        </w:tc>
        <w:tc>
          <w:tcPr>
            <w:tcW w:type="dxa" w:w="2835"/>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公允价值</w:t>
            </w:r>
            <w:r w:rsidRPr="006A1153">
              <w:rPr>
                <w:rFonts w:eastAsiaTheme="minorEastAsia"/>
                <w:color w:themeColor="text1" w:val="000000"/>
                <w:sz w:val="24"/>
              </w:rPr>
              <w:t>(</w:t>
            </w:r>
            <w:r w:rsidRPr="006A1153">
              <w:rPr>
                <w:rFonts w:eastAsiaTheme="minorEastAsia"/>
                <w:color w:themeColor="text1" w:val="000000"/>
                <w:sz w:val="24"/>
              </w:rPr>
              <w:t>元</w:t>
            </w:r>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占基金资产</w:t>
            </w:r>
            <w:r w:rsidRPr="006A1153">
              <w:rPr>
                <w:rFonts w:eastAsiaTheme="minorEastAsia"/>
                <w:color w:themeColor="text1" w:val="000000"/>
                <w:sz w:val="24"/>
              </w:rPr>
              <w:lastRenderedPageBreak/>
              <w:t>净值比例</w:t>
            </w:r>
            <w:r w:rsidRPr="006A1153">
              <w:rPr>
                <w:rFonts w:eastAsiaTheme="minorEastAsia"/>
                <w:color w:themeColor="text1" w:val="000000"/>
                <w:sz w:val="24"/>
              </w:rPr>
              <w:t>(</w:t>
            </w:r>
            <w:r w:rsidRPr="006A1153">
              <w:rPr>
                <w:rFonts w:eastAsiaTheme="minorEastAsia"/>
                <w:color w:themeColor="text1" w:val="000000"/>
                <w:sz w:val="24"/>
              </w:rPr>
              <w:t>％</w:t>
            </w: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1</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国家债券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201,297,000.00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2.78</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2</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央行票据</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3</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金融债券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751,198,138.00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10.38</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其中：政策性金融债</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742,839,000.00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10.27</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lastRenderedPageBreak/>
              <w:t>4</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企业债券</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2,717,901,321.28</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37.57</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5</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企业短期融资</w:t>
            </w:r>
            <w:proofErr w:type="gramStart"/>
            <w:r w:rsidRPr="006A1153">
              <w:rPr>
                <w:rFonts w:eastAsiaTheme="minorEastAsia"/>
                <w:color w:themeColor="text1" w:val="000000"/>
                <w:sz w:val="24"/>
              </w:rPr>
              <w:t>券</w:t>
            </w:r>
            <w:proofErr w:type="gramEnd"/>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6</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中期票据</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2,613,305,000.00</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36.12</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7</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可转债</w:t>
            </w:r>
            <w:r w:rsidR="00524368" w:rsidRPr="00524368">
              <w:rPr>
                <w:rFonts w:eastAsiaTheme="minorEastAsia" w:hint="eastAsia"/>
                <w:color w:themeColor="text1" w:val="000000"/>
                <w:sz w:val="24"/>
              </w:rPr>
              <w:t>（可交换债）</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731,636,994.74</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10.11</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8</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同业存单</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r w:rsidRPr="006A1153">
              <w:rPr>
                <w:rFonts w:eastAsiaTheme="minorEastAsia"/>
                <w:color w:themeColor="text1" w:val="000000"/>
                <w:sz w:val="24"/>
              </w:rPr>
              <w:lastRenderedPageBreak/>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9</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其他</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w:t>
            </w:r>
          </w:p>
        </w:tc>
      </w:tr>
      <w:tr w:rsidR="006A1153" w:rsidRPr="006A1153" w:rsidTr="00D024C6">
        <w:tc>
          <w:tcPr>
            <w:tcW w:type="dxa" w:w="817"/>
            <w:vAlign w:val="center"/>
          </w:tcPr>
          <w:p w:rsidP="00D024C6" w:rsidR="006A1153" w:rsidRDefault="006A1153" w:rsidRPr="006A1153">
            <w:pPr>
              <w:spacing w:before="29" w:line="360" w:lineRule="auto"/>
              <w:ind w:left="17"/>
              <w:jc w:val="center"/>
              <w:rPr>
                <w:rFonts w:eastAsiaTheme="minorEastAsia"/>
                <w:color w:themeColor="text1" w:val="000000"/>
                <w:sz w:val="24"/>
              </w:rPr>
            </w:pPr>
            <w:r w:rsidRPr="006A1153">
              <w:rPr>
                <w:rFonts w:eastAsiaTheme="minorEastAsia"/>
                <w:color w:themeColor="text1" w:val="000000"/>
                <w:sz w:val="24"/>
              </w:rPr>
              <w:t>10</w:t>
            </w:r>
          </w:p>
        </w:tc>
        <w:tc>
          <w:tcPr>
            <w:tcW w:type="dxa" w:w="3260"/>
            <w:vAlign w:val="center"/>
          </w:tcPr>
          <w:p w:rsidP="00D024C6" w:rsidR="006A1153" w:rsidRDefault="006A1153" w:rsidRPr="006A1153">
            <w:pPr>
              <w:spacing w:before="29" w:line="360" w:lineRule="auto"/>
              <w:ind w:left="17"/>
              <w:jc w:val="left"/>
              <w:rPr>
                <w:rFonts w:eastAsiaTheme="minorEastAsia"/>
                <w:color w:themeColor="text1" w:val="000000"/>
                <w:sz w:val="24"/>
              </w:rPr>
            </w:pPr>
            <w:r w:rsidRPr="006A1153">
              <w:rPr>
                <w:rFonts w:eastAsiaTheme="minorEastAsia"/>
                <w:color w:themeColor="text1" w:val="000000"/>
                <w:sz w:val="24"/>
              </w:rPr>
              <w:t>合计</w:t>
            </w:r>
          </w:p>
        </w:tc>
        <w:tc>
          <w:tcPr>
            <w:tcW w:type="dxa" w:w="2835"/>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7,015,338,454.02</w:t>
            </w:r>
          </w:p>
        </w:tc>
        <w:tc>
          <w:tcPr>
            <w:tcW w:type="dxa" w:w="1616"/>
            <w:vAlign w:val="center"/>
          </w:tcPr>
          <w:p w:rsidP="00D024C6" w:rsidR="006A1153" w:rsidRDefault="006A1153" w:rsidRPr="006A1153">
            <w:pPr>
              <w:spacing w:before="29" w:line="360" w:lineRule="auto"/>
              <w:ind w:left="17"/>
              <w:jc w:val="right"/>
              <w:rPr>
                <w:rFonts w:eastAsiaTheme="minorEastAsia"/>
                <w:color w:themeColor="text1" w:val="000000"/>
                <w:sz w:val="24"/>
              </w:rPr>
            </w:pPr>
            <w:r w:rsidRPr="006A1153">
              <w:rPr>
                <w:rFonts w:eastAsiaTheme="minorEastAsia"/>
                <w:color w:themeColor="text1" w:val="000000"/>
                <w:sz w:val="24"/>
              </w:rPr>
              <w:t/>
            </w:r>
            <w:proofErr w:type="spellStart"/>
            <w:r w:rsidRPr="006A1153">
              <w:rPr>
                <w:rFonts w:eastAsiaTheme="minorEastAsia"/>
                <w:color w:themeColor="text1" w:val="000000"/>
                <w:sz w:val="24"/>
              </w:rPr>
              <w:t/>
            </w:r>
            <w:proofErr w:type="spellEnd"/>
            <w:r w:rsidRPr="006A1153">
              <w:rPr>
                <w:rFonts w:eastAsiaTheme="minorEastAsia"/>
                <w:color w:themeColor="text1" w:val="000000"/>
                <w:sz w:val="24"/>
              </w:rPr>
              <w:t>96.97</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 xml:space="preserve">5.5 </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的前五名债券投资明细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02"/>
        <w:gridCol w:w="1559"/>
        <w:gridCol w:w="1985"/>
        <w:gridCol w:w="1559"/>
        <w:gridCol w:w="2126"/>
        <w:gridCol w:w="990"/>
      </w:tblGrid>
      <w:tr w:rsidR="00F016DD" w:rsidRPr="0078105B" w:rsidTr="00CA7FF7">
        <w:tc>
          <w:tcPr>
            <w:tcW w:type="dxa" w:w="802"/>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债券代码</w:t>
            </w:r>
          </w:p>
        </w:tc>
        <w:tc>
          <w:tcPr>
            <w:tcW w:type="dxa" w:w="198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债券名称</w:t>
            </w:r>
          </w:p>
        </w:tc>
        <w:tc>
          <w:tcPr>
            <w:tcW w:type="dxa" w:w="155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数量（张）</w:t>
            </w:r>
          </w:p>
        </w:tc>
        <w:tc>
          <w:tcPr>
            <w:tcW w:type="dxa" w:w="2126"/>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990"/>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180210</w:t>
            </w:r>
          </w:p>
        </w:tc>
        <w:tc>
          <w:tcPr>
            <w:vAlign w:val="center"/>
          </w:tcPr>
          <w:p>
            <w:pPr>
              <w:jc w:val="center"/>
            </w:pPr>
            <w:r>
              <w:rPr>
                <w:color w:val="000000"/>
                <w:sz w:val="24"/>
              </w:rPr>
              <w:t>18国开10</w:t>
            </w:r>
          </w:p>
        </w:tc>
        <w:tc>
          <w:tcPr>
            <w:vAlign w:val="center"/>
          </w:tcPr>
          <w:p>
            <w:pPr>
              <w:jc w:val="right"/>
            </w:pPr>
            <w:r>
              <w:rPr>
                <w:color w:val="000000"/>
                <w:sz w:val="24"/>
              </w:rPr>
              <w:t>2,300,000</w:t>
            </w:r>
          </w:p>
        </w:tc>
        <w:tc>
          <w:tcPr>
            <w:vAlign w:val="center"/>
          </w:tcPr>
          <w:p>
            <w:pPr>
              <w:jc w:val="right"/>
            </w:pPr>
            <w:r>
              <w:rPr>
                <w:color w:val="000000"/>
                <w:sz w:val="24"/>
              </w:rPr>
              <w:t>234,600,000.00</w:t>
            </w:r>
          </w:p>
        </w:tc>
        <w:tc>
          <w:tcPr>
            <w:vAlign w:val="center"/>
          </w:tcPr>
          <w:p>
            <w:pPr>
              <w:jc w:val="right"/>
            </w:pPr>
            <w:r>
              <w:rPr>
                <w:color w:val="000000"/>
                <w:sz w:val="24"/>
              </w:rPr>
              <w:t>3.24</w:t>
            </w:r>
          </w:p>
        </w:tc>
      </w:tr>
      <w:tr>
        <w:tc>
          <w:tcPr>
            <w:vAlign w:val="center"/>
          </w:tcPr>
          <w:p>
            <w:pPr>
              <w:jc w:val="center"/>
            </w:pPr>
            <w:r>
              <w:rPr>
                <w:color w:val="000000"/>
                <w:sz w:val="24"/>
              </w:rPr>
              <w:t>2</w:t>
            </w:r>
          </w:p>
        </w:tc>
        <w:tc>
          <w:tcPr>
            <w:vAlign w:val="center"/>
          </w:tcPr>
          <w:p>
            <w:pPr>
              <w:jc w:val="center"/>
            </w:pPr>
            <w:r>
              <w:rPr>
                <w:color w:val="000000"/>
                <w:sz w:val="24"/>
              </w:rPr>
              <w:t>132018</w:t>
            </w:r>
          </w:p>
        </w:tc>
        <w:tc>
          <w:tcPr>
            <w:vAlign w:val="center"/>
          </w:tcPr>
          <w:p>
            <w:pPr>
              <w:jc w:val="center"/>
            </w:pPr>
            <w:r>
              <w:rPr>
                <w:color w:val="000000"/>
                <w:sz w:val="24"/>
              </w:rPr>
              <w:t>G三峡EB1</w:t>
            </w:r>
          </w:p>
        </w:tc>
        <w:tc>
          <w:tcPr>
            <w:vAlign w:val="center"/>
          </w:tcPr>
          <w:p>
            <w:pPr>
              <w:jc w:val="right"/>
            </w:pPr>
            <w:r>
              <w:rPr>
                <w:color w:val="000000"/>
                <w:sz w:val="24"/>
              </w:rPr>
              <w:t>1,829,650</w:t>
            </w:r>
          </w:p>
        </w:tc>
        <w:tc>
          <w:tcPr>
            <w:vAlign w:val="center"/>
          </w:tcPr>
          <w:p>
            <w:pPr>
              <w:jc w:val="right"/>
            </w:pPr>
            <w:r>
              <w:rPr>
                <w:color w:val="000000"/>
                <w:sz w:val="24"/>
              </w:rPr>
              <w:t>212,605,330.00</w:t>
            </w:r>
          </w:p>
        </w:tc>
        <w:tc>
          <w:tcPr>
            <w:vAlign w:val="center"/>
          </w:tcPr>
          <w:p>
            <w:pPr>
              <w:jc w:val="right"/>
            </w:pPr>
            <w:r>
              <w:rPr>
                <w:color w:val="000000"/>
                <w:sz w:val="24"/>
              </w:rPr>
              <w:t>2.94</w:t>
            </w:r>
          </w:p>
        </w:tc>
      </w:tr>
      <w:tr>
        <w:tc>
          <w:tcPr>
            <w:vAlign w:val="center"/>
          </w:tcPr>
          <w:p>
            <w:pPr>
              <w:jc w:val="center"/>
            </w:pPr>
            <w:r>
              <w:rPr>
                <w:color w:val="000000"/>
                <w:sz w:val="24"/>
              </w:rPr>
              <w:t>3</w:t>
            </w:r>
          </w:p>
        </w:tc>
        <w:tc>
          <w:tcPr>
            <w:vAlign w:val="center"/>
          </w:tcPr>
          <w:p>
            <w:pPr>
              <w:jc w:val="center"/>
            </w:pPr>
            <w:r>
              <w:rPr>
                <w:color w:val="000000"/>
                <w:sz w:val="24"/>
              </w:rPr>
              <w:t>180208</w:t>
            </w:r>
          </w:p>
        </w:tc>
        <w:tc>
          <w:tcPr>
            <w:vAlign w:val="center"/>
          </w:tcPr>
          <w:p>
            <w:pPr>
              <w:jc w:val="center"/>
            </w:pPr>
            <w:r>
              <w:rPr>
                <w:color w:val="000000"/>
                <w:sz w:val="24"/>
              </w:rPr>
              <w:t>18国开08</w:t>
            </w:r>
          </w:p>
        </w:tc>
        <w:tc>
          <w:tcPr>
            <w:vAlign w:val="center"/>
          </w:tcPr>
          <w:p>
            <w:pPr>
              <w:jc w:val="right"/>
            </w:pPr>
            <w:r>
              <w:rPr>
                <w:color w:val="000000"/>
                <w:sz w:val="24"/>
              </w:rPr>
              <w:t>2,100,000</w:t>
            </w:r>
          </w:p>
        </w:tc>
        <w:tc>
          <w:tcPr>
            <w:vAlign w:val="center"/>
          </w:tcPr>
          <w:p>
            <w:pPr>
              <w:jc w:val="right"/>
            </w:pPr>
            <w:r>
              <w:rPr>
                <w:color w:val="000000"/>
                <w:sz w:val="24"/>
              </w:rPr>
              <w:t>211,407,000.00</w:t>
            </w:r>
          </w:p>
        </w:tc>
        <w:tc>
          <w:tcPr>
            <w:vAlign w:val="center"/>
          </w:tcPr>
          <w:p>
            <w:pPr>
              <w:jc w:val="right"/>
            </w:pPr>
            <w:r>
              <w:rPr>
                <w:color w:val="000000"/>
                <w:sz w:val="24"/>
              </w:rPr>
              <w:t>2.92</w:t>
            </w:r>
          </w:p>
        </w:tc>
      </w:tr>
      <w:tr>
        <w:tc>
          <w:tcPr>
            <w:vAlign w:val="center"/>
          </w:tcPr>
          <w:p>
            <w:pPr>
              <w:jc w:val="center"/>
            </w:pPr>
            <w:r>
              <w:rPr>
                <w:color w:val="000000"/>
                <w:sz w:val="24"/>
              </w:rPr>
              <w:t>4</w:t>
            </w:r>
          </w:p>
        </w:tc>
        <w:tc>
          <w:tcPr>
            <w:vAlign w:val="center"/>
          </w:tcPr>
          <w:p>
            <w:pPr>
              <w:jc w:val="center"/>
            </w:pPr>
            <w:r>
              <w:rPr>
                <w:color w:val="000000"/>
                <w:sz w:val="24"/>
              </w:rPr>
              <w:t>101900980</w:t>
            </w:r>
          </w:p>
        </w:tc>
        <w:tc>
          <w:tcPr>
            <w:vAlign w:val="center"/>
          </w:tcPr>
          <w:p>
            <w:pPr>
              <w:jc w:val="center"/>
            </w:pPr>
            <w:r>
              <w:rPr>
                <w:color w:val="000000"/>
                <w:sz w:val="24"/>
              </w:rPr>
              <w:t>19中煤能源MTN001</w:t>
            </w:r>
          </w:p>
        </w:tc>
        <w:tc>
          <w:tcPr>
            <w:vAlign w:val="center"/>
          </w:tcPr>
          <w:p>
            <w:pPr>
              <w:jc w:val="right"/>
            </w:pPr>
            <w:r>
              <w:rPr>
                <w:color w:val="000000"/>
                <w:sz w:val="24"/>
              </w:rPr>
              <w:t>1,700,000</w:t>
            </w:r>
          </w:p>
        </w:tc>
        <w:tc>
          <w:tcPr>
            <w:vAlign w:val="center"/>
          </w:tcPr>
          <w:p>
            <w:pPr>
              <w:jc w:val="right"/>
            </w:pPr>
            <w:r>
              <w:rPr>
                <w:color w:val="000000"/>
                <w:sz w:val="24"/>
              </w:rPr>
              <w:t>171,258,000.00</w:t>
            </w:r>
          </w:p>
        </w:tc>
        <w:tc>
          <w:tcPr>
            <w:vAlign w:val="center"/>
          </w:tcPr>
          <w:p>
            <w:pPr>
              <w:jc w:val="right"/>
            </w:pPr>
            <w:r>
              <w:rPr>
                <w:color w:val="000000"/>
                <w:sz w:val="24"/>
              </w:rPr>
              <w:t>2.37</w:t>
            </w:r>
          </w:p>
        </w:tc>
      </w:tr>
      <w:tr>
        <w:tc>
          <w:tcPr>
            <w:vAlign w:val="center"/>
          </w:tcPr>
          <w:p>
            <w:pPr>
              <w:jc w:val="center"/>
            </w:pPr>
            <w:r>
              <w:rPr>
                <w:color w:val="000000"/>
                <w:sz w:val="24"/>
              </w:rPr>
              <w:t>5</w:t>
            </w:r>
          </w:p>
        </w:tc>
        <w:tc>
          <w:tcPr>
            <w:vAlign w:val="center"/>
          </w:tcPr>
          <w:p>
            <w:pPr>
              <w:jc w:val="center"/>
            </w:pPr>
            <w:r>
              <w:rPr>
                <w:color w:val="000000"/>
                <w:sz w:val="24"/>
              </w:rPr>
              <w:t>200004</w:t>
            </w:r>
          </w:p>
        </w:tc>
        <w:tc>
          <w:tcPr>
            <w:vAlign w:val="center"/>
          </w:tcPr>
          <w:p>
            <w:pPr>
              <w:jc w:val="center"/>
            </w:pPr>
            <w:r>
              <w:rPr>
                <w:color w:val="000000"/>
                <w:sz w:val="24"/>
              </w:rPr>
              <w:t>20附息国债04</w:t>
            </w:r>
          </w:p>
        </w:tc>
        <w:tc>
          <w:tcPr>
            <w:vAlign w:val="center"/>
          </w:tcPr>
          <w:p>
            <w:pPr>
              <w:jc w:val="right"/>
            </w:pPr>
            <w:r>
              <w:rPr>
                <w:color w:val="000000"/>
                <w:sz w:val="24"/>
              </w:rPr>
              <w:t>1,400,000</w:t>
            </w:r>
          </w:p>
        </w:tc>
        <w:tc>
          <w:tcPr>
            <w:vAlign w:val="center"/>
          </w:tcPr>
          <w:p>
            <w:pPr>
              <w:jc w:val="right"/>
            </w:pPr>
            <w:r>
              <w:rPr>
                <w:color w:val="000000"/>
                <w:sz w:val="24"/>
              </w:rPr>
              <w:t>128,492,000.00</w:t>
            </w:r>
          </w:p>
        </w:tc>
        <w:tc>
          <w:tcPr>
            <w:vAlign w:val="center"/>
          </w:tcPr>
          <w:p>
            <w:pPr>
              <w:jc w:val="right"/>
            </w:pPr>
            <w:r>
              <w:rPr>
                <w:color w:val="000000"/>
                <w:sz w:val="24"/>
              </w:rPr>
              <w:t>1.78</w:t>
            </w:r>
          </w:p>
        </w:tc>
      </w:tr>
    </w:tbl>
    <w:p w:rsidP="00FC13C8" w:rsidR="00F016DD" w:rsidRDefault="00F016DD"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5.6</w:t>
      </w:r>
      <w:r w:rsidRPr="0078105B">
        <w:rPr>
          <w:rFonts w:ascii="宋体" w:cs="Arial" w:hAnsi="宋体" w:hint="eastAsia"/>
          <w:b/>
          <w:color w:val="000000"/>
          <w:kern w:val="0"/>
          <w:sz w:val="24"/>
        </w:rPr>
        <w:t xml:space="preserve">　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的前十名资产支持证券投资明细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21"/>
        <w:gridCol w:w="1316"/>
        <w:gridCol w:w="1272"/>
        <w:gridCol w:w="1732"/>
        <w:gridCol w:w="1652"/>
        <w:gridCol w:w="1828"/>
      </w:tblGrid>
      <w:tr w:rsidR="00F016DD" w:rsidRPr="0078105B" w:rsidTr="00174038">
        <w:tc>
          <w:tcPr>
            <w:tcW w:type="dxa" w:w="1187"/>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序号</w:t>
            </w:r>
          </w:p>
        </w:tc>
        <w:tc>
          <w:tcPr>
            <w:tcW w:type="dxa" w:w="132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证券代码</w:t>
            </w:r>
          </w:p>
        </w:tc>
        <w:tc>
          <w:tcPr>
            <w:tcW w:type="dxa" w:w="1263"/>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证券名称</w:t>
            </w:r>
          </w:p>
        </w:tc>
        <w:tc>
          <w:tcPr>
            <w:tcW w:type="dxa" w:w="1815"/>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数量</w:t>
            </w:r>
            <w:r w:rsidRPr="00FA472B">
              <w:rPr>
                <w:color w:val="000000"/>
                <w:kern w:val="0"/>
                <w:sz w:val="24"/>
              </w:rPr>
              <w:t>(</w:t>
            </w:r>
            <w:r w:rsidRPr="00FA472B">
              <w:rPr>
                <w:color w:val="000000"/>
                <w:kern w:val="0"/>
                <w:sz w:val="24"/>
              </w:rPr>
              <w:t>份</w:t>
            </w:r>
            <w:r w:rsidRPr="00FA472B">
              <w:rPr>
                <w:color w:val="000000"/>
                <w:kern w:val="0"/>
                <w:sz w:val="24"/>
              </w:rPr>
              <w:t>)</w:t>
            </w:r>
          </w:p>
        </w:tc>
        <w:tc>
          <w:tcPr>
            <w:tcW w:type="dxa" w:w="1698"/>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公允价值</w:t>
            </w:r>
            <w:r w:rsidRPr="00FA472B">
              <w:rPr>
                <w:color w:val="000000"/>
                <w:kern w:val="0"/>
                <w:sz w:val="24"/>
              </w:rPr>
              <w:t>(</w:t>
            </w:r>
            <w:r w:rsidRPr="00FA472B">
              <w:rPr>
                <w:color w:val="000000"/>
                <w:kern w:val="0"/>
                <w:sz w:val="24"/>
              </w:rPr>
              <w:t>元</w:t>
            </w:r>
            <w:r w:rsidRPr="00FA472B">
              <w:rPr>
                <w:color w:val="000000"/>
                <w:kern w:val="0"/>
                <w:sz w:val="24"/>
              </w:rPr>
              <w:t>)</w:t>
            </w:r>
          </w:p>
        </w:tc>
        <w:tc>
          <w:tcPr>
            <w:tcW w:type="dxa" w:w="1729"/>
            <w:vAlign w:val="center"/>
          </w:tcPr>
          <w:p w:rsidP="00F4518C" w:rsidR="00F016DD" w:rsidRDefault="00F016DD"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占基金资产净值比例（</w:t>
            </w:r>
            <w:r w:rsidRPr="00FA472B">
              <w:rPr>
                <w:color w:val="000000"/>
                <w:kern w:val="0"/>
                <w:sz w:val="24"/>
              </w:rPr>
              <w:t>%</w:t>
            </w:r>
            <w:r w:rsidRPr="00FA472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138470</w:t>
            </w:r>
          </w:p>
        </w:tc>
        <w:tc>
          <w:tcPr>
            <w:vAlign w:val="center"/>
          </w:tcPr>
          <w:p>
            <w:pPr>
              <w:jc w:val="center"/>
            </w:pPr>
            <w:r>
              <w:rPr>
                <w:color w:val="000000"/>
                <w:sz w:val="24"/>
              </w:rPr>
              <w:t>鹏举04优</w:t>
            </w:r>
          </w:p>
        </w:tc>
        <w:tc>
          <w:tcPr>
            <w:vAlign w:val="center"/>
          </w:tcPr>
          <w:p>
            <w:pPr>
              <w:jc w:val="right"/>
            </w:pPr>
            <w:r>
              <w:rPr>
                <w:color w:val="000000"/>
                <w:sz w:val="24"/>
              </w:rPr>
              <w:t>100,000</w:t>
            </w:r>
          </w:p>
        </w:tc>
        <w:tc>
          <w:tcPr>
            <w:vAlign w:val="center"/>
          </w:tcPr>
          <w:p>
            <w:pPr>
              <w:jc w:val="right"/>
            </w:pPr>
            <w:r>
              <w:rPr>
                <w:color w:val="000000"/>
                <w:sz w:val="24"/>
              </w:rPr>
              <w:t>10,019,000.00</w:t>
            </w:r>
          </w:p>
        </w:tc>
        <w:tc>
          <w:tcPr>
            <w:vAlign w:val="center"/>
          </w:tcPr>
          <w:p>
            <w:pPr>
              <w:jc w:val="right"/>
            </w:pPr>
            <w:r>
              <w:rPr>
                <w:color w:val="000000"/>
                <w:sz w:val="24"/>
              </w:rPr>
              <w:t>0.14</w:t>
            </w:r>
          </w:p>
        </w:tc>
      </w:tr>
      <w:tr>
        <w:tc>
          <w:tcPr>
            <w:vAlign w:val="center"/>
          </w:tcPr>
          <w:p>
            <w:pPr>
              <w:jc w:val="center"/>
            </w:pPr>
            <w:r>
              <w:rPr>
                <w:color w:val="000000"/>
                <w:sz w:val="24"/>
              </w:rPr>
              <w:t>2</w:t>
            </w:r>
          </w:p>
        </w:tc>
        <w:tc>
          <w:tcPr>
            <w:vAlign w:val="center"/>
          </w:tcPr>
          <w:p>
            <w:pPr>
              <w:jc w:val="center"/>
            </w:pPr>
            <w:r>
              <w:rPr>
                <w:color w:val="000000"/>
                <w:sz w:val="24"/>
              </w:rPr>
              <w:t>165717</w:t>
            </w:r>
          </w:p>
        </w:tc>
        <w:tc>
          <w:tcPr>
            <w:vAlign w:val="center"/>
          </w:tcPr>
          <w:p>
            <w:pPr>
              <w:jc w:val="center"/>
            </w:pPr>
            <w:r>
              <w:rPr>
                <w:color w:val="000000"/>
                <w:sz w:val="24"/>
              </w:rPr>
              <w:t>20六局2A</w:t>
            </w:r>
          </w:p>
        </w:tc>
        <w:tc>
          <w:tcPr>
            <w:vAlign w:val="center"/>
          </w:tcPr>
          <w:p>
            <w:pPr>
              <w:jc w:val="right"/>
            </w:pPr>
            <w:r>
              <w:rPr>
                <w:color w:val="000000"/>
                <w:sz w:val="24"/>
              </w:rPr>
              <w:t>100,000</w:t>
            </w:r>
          </w:p>
        </w:tc>
        <w:tc>
          <w:tcPr>
            <w:vAlign w:val="center"/>
          </w:tcPr>
          <w:p>
            <w:pPr>
              <w:jc w:val="right"/>
            </w:pPr>
            <w:r>
              <w:rPr>
                <w:color w:val="000000"/>
                <w:sz w:val="24"/>
              </w:rPr>
              <w:t>10,008,000.00</w:t>
            </w:r>
          </w:p>
        </w:tc>
        <w:tc>
          <w:tcPr>
            <w:vAlign w:val="center"/>
          </w:tcPr>
          <w:p>
            <w:pPr>
              <w:jc w:val="right"/>
            </w:pPr>
            <w:r>
              <w:rPr>
                <w:color w:val="000000"/>
                <w:sz w:val="24"/>
              </w:rPr>
              <w:t>0.14</w:t>
            </w:r>
          </w:p>
        </w:tc>
      </w:tr>
    </w:tbl>
    <w:p w:rsidP="006D462B" w:rsidR="00F016DD" w:rsidRDefault="00F016DD"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proofErr w:type="gramStart"/>
      <w:r w:rsidRPr="001B0A62">
        <w:rPr>
          <w:rFonts w:ascii="宋体" w:hAnsi="宋体"/>
          <w:b/>
          <w:bCs/>
          <w:color w:val="000000"/>
          <w:kern w:val="0"/>
          <w:sz w:val="24"/>
        </w:rPr>
        <w:t>.</w:t>
      </w:r>
      <w:proofErr w:type="gramEnd"/>
      <w:r w:rsidRPr="001B0A62">
        <w:rPr>
          <w:rFonts w:ascii="宋体" w:hAnsi="宋体"/>
          <w:b/>
          <w:bCs/>
          <w:color w:val="000000"/>
          <w:kern w:val="0"/>
          <w:sz w:val="24"/>
        </w:rPr>
        <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lastRenderedPageBreak/>
        <w:t>本基金本报告期末未持有贵金属。</w:t>
      </w:r>
    </w:p>
    <w:p w:rsidP="00FC13C8" w:rsidR="00F016DD" w:rsidRDefault="00F016DD" w:rsidRPr="0078105B">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proofErr w:type="gramStart"/>
      <w:r>
        <w:rPr>
          <w:rFonts w:ascii="宋体" w:cs="Arial" w:hAnsi="宋体"/>
          <w:b/>
          <w:color w:val="000000"/>
          <w:kern w:val="0"/>
          <w:sz w:val="24"/>
        </w:rPr>
        <w:t/>
      </w:r>
      <w:proofErr w:type="gramEnd"/>
      <w:r>
        <w:rPr>
          <w:rFonts w:ascii="宋体" w:cs="Arial" w:hAnsi="宋体"/>
          <w:b/>
          <w:color w:val="000000"/>
          <w:kern w:val="0"/>
          <w:sz w:val="24"/>
        </w:rPr>
        <w:t>5</w:t>
      </w:r>
      <w:r w:rsidRPr="0078105B">
        <w:rPr>
          <w:rFonts w:ascii="宋体" w:cs="Arial"/>
          <w:b/>
          <w:color w:val="000000"/>
          <w:kern w:val="0"/>
          <w:sz w:val="24"/>
        </w:rPr>
        <w:t>.</w:t>
      </w:r>
      <w:r>
        <w:rPr>
          <w:rFonts w:ascii="宋体" w:cs="Arial"/>
          <w:b/>
          <w:color w:val="000000"/>
          <w:kern w:val="0"/>
          <w:sz w:val="24"/>
        </w:rPr>
        <w:t/>
      </w:r>
      <w:r>
        <w:rPr>
          <w:rFonts w:ascii="宋体" w:cs="Arial" w:hAnsi="宋体"/>
          <w:b/>
          <w:color w:val="000000"/>
          <w:kern w:val="0"/>
          <w:sz w:val="24"/>
        </w:rPr>
        <w:t>8</w:t>
      </w:r>
      <w:r w:rsidRPr="0078105B">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78105B">
        <w:rPr>
          <w:rFonts w:ascii="宋体" w:cs="Arial" w:hAnsi="宋体" w:hint="eastAsia"/>
          <w:b/>
          <w:color w:val="000000"/>
          <w:kern w:val="0"/>
          <w:sz w:val="24"/>
        </w:rPr>
        <w:t>的前五名权证投资明细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本基金本报告期末未持有权证。</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Pr>
          <w:rFonts w:ascii="宋体"/>
          <w:b/>
          <w:sz w:val="24"/>
        </w:rPr>
        <w:t/>
      </w:r>
      <w:proofErr w:type="gramStart"/>
      <w:r>
        <w:rPr>
          <w:rFonts w:ascii="宋体" w:hAnsi="宋体"/>
          <w:b/>
          <w:sz w:val="24"/>
        </w:rPr>
        <w:t/>
      </w:r>
      <w:proofErr w:type="gramEnd"/>
      <w:r>
        <w:rPr>
          <w:rFonts w:ascii="宋体" w:hAnsi="宋体"/>
          <w:b/>
          <w:sz w:val="24"/>
        </w:rPr>
        <w:t>5.</w:t>
      </w:r>
      <w:r w:rsidRPr="00E85E29">
        <w:rPr>
          <w:rFonts w:ascii="宋体"/>
          <w:b/>
          <w:sz w:val="24"/>
        </w:rPr>
        <w:t>9</w:t>
      </w:r>
      <w:r w:rsidRPr="00E85E29">
        <w:rPr>
          <w:rFonts w:ascii="宋体" w:hAnsi="宋体" w:hint="eastAsia"/>
          <w:b/>
          <w:sz w:val="24"/>
        </w:rPr>
        <w:t>报告期末本基金投资的股指期货交易情况说明</w:t>
      </w:r>
    </w:p>
    <w:p w:rsidP="001F60E9" w:rsidR="001F60E9" w:rsidRDefault="001F60E9">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proofErr w:type="gramStart"/>
      <w:r>
        <w:rPr>
          <w:color w:val="000000"/>
          <w:sz w:val="24"/>
        </w:rPr>
        <w:t/>
      </w:r>
      <w:r>
        <w:rPr>
          <w:rFonts w:eastAsiaTheme="minorEastAsia"/>
          <w:color w:themeColor="text1" w:val="000000"/>
          <w:sz w:val="24"/>
        </w:rPr>
        <w:t/>
      </w:r>
      <w:proofErr w:type="spellEnd"/>
      <w:proofErr w:type="gramEnd"/>
      <w:r>
        <w:rPr>
          <w:rFonts w:eastAsiaTheme="minorEastAsia"/>
          <w:color w:themeColor="text1" w:val="000000"/>
          <w:sz w:val="24"/>
        </w:rPr>
        <w:t>本基金本报告期末未投资股指期货。</w:t>
      </w:r>
    </w:p>
    <w:p w:rsidP="001D5CD0" w:rsidR="00F016DD" w:rsidRDefault="00F016DD" w:rsidRPr="00E85E29">
      <w:pPr>
        <w:adjustRightInd w:val="0"/>
        <w:snapToGrid w:val="0"/>
        <w:spacing w:line="360" w:lineRule="auto"/>
        <w:rPr>
          <w:rFonts w:ascii="宋体"/>
          <w:b/>
          <w:sz w:val="24"/>
        </w:rPr>
      </w:pPr>
      <w:r w:rsidRPr="00E85E29">
        <w:rPr>
          <w:rFonts w:ascii="宋体"/>
          <w:b/>
          <w:sz w:val="24"/>
        </w:rPr>
        <w:t/>
      </w:r>
      <w:proofErr w:type="spellStart"/>
      <w:r w:rsidRPr="00E85E29">
        <w:rPr>
          <w:rFonts w:ascii="宋体" w:hAnsi="宋体"/>
          <w:b/>
          <w:sz w:val="24"/>
        </w:rPr>
        <w:t/>
      </w:r>
      <w:proofErr w:type="spellEnd"/>
      <w:r w:rsidRPr="00E85E29">
        <w:rPr>
          <w:rFonts w:ascii="宋体" w:hAnsi="宋体"/>
          <w:b/>
          <w:sz w:val="24"/>
        </w:rPr>
        <w:t/>
      </w:r>
      <w:proofErr w:type="gramStart"/>
      <w:r w:rsidRPr="00E85E29">
        <w:rPr>
          <w:rFonts w:ascii="宋体" w:hAnsi="宋体"/>
          <w:b/>
          <w:sz w:val="24"/>
        </w:rPr>
        <w:t/>
      </w:r>
      <w:proofErr w:type="gramEnd"/>
      <w:r w:rsidRPr="00E85E29">
        <w:rPr>
          <w:rFonts w:ascii="宋体" w:hAnsi="宋体"/>
          <w:b/>
          <w:sz w:val="24"/>
        </w:rPr>
        <w:t>5.10</w:t>
      </w:r>
      <w:r w:rsidRPr="00E85E29">
        <w:rPr>
          <w:rFonts w:ascii="宋体" w:hAnsi="宋体" w:hint="eastAsia"/>
          <w:b/>
          <w:sz w:val="24"/>
        </w:rPr>
        <w:t>报告期末本基金投资的国债期货交易情况说明</w:t>
      </w:r>
    </w:p>
    <w:p w:rsidP="00B249C0" w:rsidR="00B249C0" w:rsidRDefault="00B249C0">
      <w:pPr>
        <w:spacing w:line="360" w:lineRule="auto"/>
        <w:ind w:firstLine="480" w:firstLineChars="200"/>
      </w:pPr>
      <w:r>
        <w:rPr>
          <w:color w:val="000000"/>
          <w:sz w:val="24"/>
        </w:rPr>
        <w:lastRenderedPageBreak/>
        <w:t/>
      </w:r>
      <w:proofErr w:type="spellStart"/>
      <w:r>
        <w:rPr>
          <w:color w:val="000000"/>
          <w:sz w:val="24"/>
        </w:rPr>
        <w:t/>
      </w:r>
      <w:proofErr w:type="spellEnd"/>
      <w:r>
        <w:rPr>
          <w:color w:val="000000"/>
          <w:sz w:val="24"/>
        </w:rPr>
        <w:t/>
      </w:r>
      <w:proofErr w:type="spellStart"/>
      <w:proofErr w:type="gramStart"/>
      <w:r>
        <w:rPr>
          <w:color w:val="000000"/>
          <w:sz w:val="24"/>
        </w:rPr>
        <w:t/>
      </w:r>
      <w:proofErr w:type="spellEnd"/>
      <w:proofErr w:type="gramEnd"/>
      <w:r>
        <w:rPr>
          <w:color w:val="000000"/>
          <w:sz w:val="24"/>
        </w:rPr>
        <w:t>本基金本报告期末未投资国债期货。</w:t>
      </w:r>
    </w:p>
    <w:p w:rsidP="001D5CD0" w:rsidR="00F016DD" w:rsidRDefault="00F016DD" w:rsidRPr="00E85E29">
      <w:pPr>
        <w:autoSpaceDE w:val="0"/>
        <w:autoSpaceDN w:val="0"/>
        <w:adjustRightInd w:val="0"/>
        <w:spacing w:line="360" w:lineRule="auto"/>
        <w:jc w:val="left"/>
        <w:rPr>
          <w:rFonts w:ascii="宋体" w:cs="Arial"/>
          <w:b/>
          <w:kern w:val="0"/>
          <w:sz w:val="24"/>
        </w:rPr>
      </w:pPr>
      <w:r w:rsidRPr="00E85E29">
        <w:rPr>
          <w:rFonts w:ascii="宋体" w:cs="Arial"/>
          <w:b/>
          <w:kern w:val="0"/>
          <w:sz w:val="24"/>
        </w:rPr>
        <w:t/>
      </w:r>
      <w:proofErr w:type="gramStart"/>
      <w:r w:rsidRPr="00E85E29">
        <w:rPr>
          <w:rFonts w:ascii="宋体" w:cs="Arial" w:hAnsi="宋体"/>
          <w:b/>
          <w:kern w:val="0"/>
          <w:sz w:val="24"/>
        </w:rPr>
        <w:t/>
      </w:r>
      <w:proofErr w:type="gramEnd"/>
      <w:r w:rsidRPr="00E85E29">
        <w:rPr>
          <w:rFonts w:ascii="宋体" w:cs="Arial" w:hAnsi="宋体"/>
          <w:b/>
          <w:kern w:val="0"/>
          <w:sz w:val="24"/>
        </w:rPr>
        <w:t>5.11</w:t>
      </w:r>
      <w:r w:rsidRPr="00E85E29">
        <w:rPr>
          <w:rFonts w:ascii="宋体" w:cs="Arial" w:hAnsi="宋体" w:hint="eastAsia"/>
          <w:b/>
          <w:kern w:val="0"/>
          <w:sz w:val="24"/>
        </w:rPr>
        <w:t>投资组合报告附注</w:t>
      </w:r>
    </w:p>
    <w:p w:rsidP="006456D3" w:rsidR="00F016DD" w:rsidRDefault="00B63F2B" w:rsidRPr="00414367">
      <w:pPr>
        <w:widowControl/>
        <w:spacing w:line="360" w:lineRule="auto"/>
        <w:rPr>
          <w:color w:val="00000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5.11.1</w:t>
      </w:r>
      <w:r w:rsidR="00293065">
        <w:rPr>
          <w:rFonts w:hint="eastAsia"/>
          <w:color w:val="000000"/>
          <w:sz w:val="24"/>
        </w:rPr>
        <w:t xml:space="preserve"> </w:t>
      </w:r>
      <w:r w:rsidR="00F016DD" w:rsidRPr="00414367">
        <w:rPr>
          <w:color w:val="000000"/>
          <w:sz w:val="24"/>
        </w:rPr>
        <w:t>本基金投资的前十名证券的发行主体本期没有出现被监管部门立案调查，或在报告编制日前一年内受到公开谴责、处罚的情形。</w:t>
      </w:r>
    </w:p>
    <w:p w:rsidP="006456D3" w:rsidR="00F016DD" w:rsidRDefault="00B63F2B" w:rsidRPr="00414367">
      <w:pPr>
        <w:widowControl/>
        <w:spacing w:line="360" w:lineRule="auto"/>
        <w:rPr>
          <w:color w:val="000000"/>
          <w:sz w:val="24"/>
        </w:rPr>
      </w:pPr>
      <w:r>
        <w:rPr>
          <w:rFonts w:hint="eastAsia"/>
          <w:color w:val="000000"/>
          <w:sz w:val="24"/>
        </w:rPr>
        <w:t/>
      </w:r>
      <w:r w:rsidR="00F016DD" w:rsidRPr="00414367">
        <w:rPr>
          <w:color w:val="000000"/>
          <w:sz w:val="24"/>
        </w:rPr>
        <w:t/>
      </w:r>
      <w:proofErr w:type="gramStart"/>
      <w:r w:rsidR="00F016DD" w:rsidRPr="00414367">
        <w:rPr>
          <w:color w:val="000000"/>
          <w:sz w:val="24"/>
        </w:rPr>
        <w:t/>
      </w:r>
      <w:proofErr w:type="gramEnd"/>
      <w:r w:rsidR="00F016DD" w:rsidRPr="00414367">
        <w:rPr>
          <w:color w:val="000000"/>
          <w:sz w:val="24"/>
        </w:rPr>
        <w:t>5.11.2</w:t>
      </w:r>
      <w:r w:rsidR="00293065">
        <w:rPr>
          <w:rFonts w:hint="eastAsia"/>
          <w:color w:val="000000"/>
          <w:sz w:val="24"/>
        </w:rPr>
        <w:t xml:space="preserve"> </w:t>
      </w:r>
      <w:r w:rsidR="00F016DD" w:rsidRPr="00414367">
        <w:rPr>
          <w:color w:val="000000"/>
          <w:sz w:val="24"/>
        </w:rPr>
        <w:t>本基金投资的前十名股票没有超出基金合同规定的备选股票库。</w:t>
      </w:r>
    </w:p>
    <w:p w:rsidP="001D5CD0" w:rsidR="00F016DD" w:rsidRDefault="00F016DD" w:rsidRPr="00414367">
      <w:pPr>
        <w:autoSpaceDE w:val="0"/>
        <w:autoSpaceDN w:val="0"/>
        <w:adjustRightInd w:val="0"/>
        <w:spacing w:line="360" w:lineRule="auto"/>
        <w:rPr>
          <w:kern w:val="0"/>
          <w:sz w:val="24"/>
        </w:rPr>
      </w:pPr>
      <w:r w:rsidRPr="00414367">
        <w:rPr>
          <w:kern w:val="0"/>
          <w:sz w:val="24"/>
        </w:rPr>
        <w:lastRenderedPageBreak/>
        <w:t/>
      </w:r>
      <w:proofErr w:type="gramStart"/>
      <w:r w:rsidRPr="00414367">
        <w:rPr>
          <w:kern w:val="0"/>
          <w:sz w:val="24"/>
        </w:rPr>
        <w:t/>
      </w:r>
      <w:proofErr w:type="gramEnd"/>
      <w:r w:rsidRPr="00414367">
        <w:rPr>
          <w:kern w:val="0"/>
          <w:sz w:val="24"/>
        </w:rPr>
        <w:t>5.11.3</w:t>
      </w:r>
      <w:r w:rsidRPr="00414367">
        <w:rPr>
          <w:kern w:val="0"/>
          <w:sz w:val="24"/>
        </w:rPr>
        <w:t>其他资产构成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761"/>
        <w:gridCol w:w="4808"/>
      </w:tblGrid>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序号</w:t>
            </w:r>
          </w:p>
        </w:tc>
        <w:tc>
          <w:tcPr>
            <w:tcW w:type="dxa" w:w="2761"/>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名称</w:t>
            </w:r>
          </w:p>
        </w:tc>
        <w:tc>
          <w:tcPr>
            <w:tcW w:type="dxa" w:w="4808"/>
            <w:vAlign w:val="center"/>
          </w:tcPr>
          <w:p w:rsidP="00F4518C"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金额</w:t>
            </w:r>
            <w:r w:rsidRPr="00FA472B">
              <w:rPr>
                <w:color w:val="000000"/>
                <w:kern w:val="0"/>
                <w:sz w:val="24"/>
              </w:rPr>
              <w:t>(</w:t>
            </w:r>
            <w:r w:rsidRPr="00FA472B">
              <w:rPr>
                <w:color w:val="000000"/>
                <w:kern w:val="0"/>
                <w:sz w:val="24"/>
              </w:rPr>
              <w:t>元</w:t>
            </w:r>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kern w:val="0"/>
                <w:sz w:val="24"/>
              </w:rPr>
            </w:pPr>
            <w:r w:rsidRPr="00FA472B">
              <w:rPr>
                <w:color w:val="000000"/>
                <w:sz w:val="24"/>
              </w:rPr>
              <w:t>1</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存出保证金</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172,295.75</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2</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应收证券清算款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6,200,000.00</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3</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应收股利</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4</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应收利息</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112,813,196.15</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5</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应收申购款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11,903,621.48</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6</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其他应收款</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7</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sz w:val="24"/>
              </w:rPr>
            </w:pPr>
            <w:r w:rsidRPr="00FA472B">
              <w:rPr>
                <w:color w:val="000000"/>
                <w:sz w:val="24"/>
              </w:rPr>
              <w:t>待摊费用</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8</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其他</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w:t>
            </w:r>
          </w:p>
        </w:tc>
      </w:tr>
      <w:tr w:rsidR="00F016DD" w:rsidRPr="00E85E29" w:rsidTr="00F4518C">
        <w:tc>
          <w:tcPr>
            <w:tcW w:type="dxa" w:w="944"/>
            <w:vAlign w:val="center"/>
          </w:tcPr>
          <w:p w:rsidP="00F4518C" w:rsidR="00F016DD" w:rsidRDefault="00F016DD" w:rsidRPr="00FA472B">
            <w:pPr>
              <w:autoSpaceDE w:val="0"/>
              <w:autoSpaceDN w:val="0"/>
              <w:adjustRightInd w:val="0"/>
              <w:spacing w:before="29" w:line="360" w:lineRule="auto"/>
              <w:ind w:left="15"/>
              <w:jc w:val="center"/>
              <w:rPr>
                <w:color w:val="000000"/>
                <w:sz w:val="24"/>
              </w:rPr>
            </w:pPr>
            <w:r w:rsidRPr="00FA472B">
              <w:rPr>
                <w:color w:val="000000"/>
                <w:sz w:val="24"/>
              </w:rPr>
              <w:t>9</w:t>
            </w:r>
          </w:p>
        </w:tc>
        <w:tc>
          <w:tcPr>
            <w:tcW w:type="dxa" w:w="2761"/>
            <w:vAlign w:val="center"/>
          </w:tcPr>
          <w:p w:rsidP="00F4518C" w:rsidR="00F016DD" w:rsidRDefault="00F016DD" w:rsidRPr="00FA472B">
            <w:pPr>
              <w:autoSpaceDE w:val="0"/>
              <w:autoSpaceDN w:val="0"/>
              <w:adjustRightInd w:val="0"/>
              <w:spacing w:before="29" w:line="360" w:lineRule="auto"/>
              <w:ind w:left="15"/>
              <w:jc w:val="left"/>
              <w:rPr>
                <w:color w:val="000000"/>
                <w:kern w:val="0"/>
                <w:sz w:val="24"/>
              </w:rPr>
            </w:pPr>
            <w:r w:rsidRPr="00FA472B">
              <w:rPr>
                <w:color w:val="000000"/>
                <w:kern w:val="0"/>
                <w:sz w:val="24"/>
              </w:rPr>
              <w:t>合计</w:t>
            </w:r>
          </w:p>
        </w:tc>
        <w:tc>
          <w:tcPr>
            <w:tcW w:type="dxa" w:w="4808"/>
            <w:vAlign w:val="center"/>
          </w:tcPr>
          <w:p w:rsidP="00F4518C" w:rsidR="00F016DD" w:rsidRDefault="00F016DD" w:rsidRPr="00FA472B">
            <w:pPr>
              <w:autoSpaceDE w:val="0"/>
              <w:autoSpaceDN w:val="0"/>
              <w:adjustRightInd w:val="0"/>
              <w:spacing w:before="29" w:line="360" w:lineRule="auto"/>
              <w:ind w:left="15"/>
              <w:jc w:val="righ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131,089,113.38</w:t>
            </w:r>
          </w:p>
        </w:tc>
      </w:tr>
    </w:tbl>
    <w:p w:rsidP="001D5CD0" w:rsidR="00F016DD" w:rsidRDefault="00F016DD" w:rsidRPr="00E7356F">
      <w:pPr>
        <w:autoSpaceDE w:val="0"/>
        <w:autoSpaceDN w:val="0"/>
        <w:adjustRightInd w:val="0"/>
        <w:spacing w:line="360" w:lineRule="auto"/>
        <w:jc w:val="left"/>
        <w:rPr>
          <w:rFonts w:ascii="宋体" w:cs="Arial"/>
          <w:kern w:val="0"/>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5.11.4</w:t>
      </w:r>
      <w:r w:rsidRPr="00E7356F">
        <w:rPr>
          <w:rFonts w:ascii="宋体" w:cs="Arial" w:hAnsi="宋体" w:hint="eastAsia"/>
          <w:kern w:val="0"/>
          <w:sz w:val="24"/>
        </w:rPr>
        <w:t>报告期末持有的处于转股期的可转换债券明细</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080"/>
        <w:gridCol w:w="2624"/>
        <w:gridCol w:w="1766"/>
        <w:gridCol w:w="1832"/>
        <w:gridCol w:w="1719"/>
      </w:tblGrid>
      <w:tr w:rsidR="00F016DD" w:rsidRPr="00E85E29" w:rsidTr="00F4518C">
        <w:tc>
          <w:tcPr>
            <w:tcW w:type="dxa" w:w="944"/>
            <w:vAlign w:val="center"/>
          </w:tcPr>
          <w:p w:rsidP="00F4518C" w:rsidR="00F016DD" w:rsidRDefault="00F016DD" w:rsidRPr="00414367">
            <w:pPr>
              <w:spacing w:before="29" w:line="360" w:lineRule="auto"/>
              <w:ind w:left="17"/>
              <w:jc w:val="center"/>
              <w:rPr>
                <w:color w:val="000000"/>
                <w:sz w:val="24"/>
              </w:rPr>
            </w:pPr>
            <w:r w:rsidRPr="00414367">
              <w:rPr>
                <w:color w:val="000000"/>
                <w:sz w:val="24"/>
              </w:rPr>
              <w:t>序号</w:t>
            </w:r>
          </w:p>
        </w:tc>
        <w:tc>
          <w:tcPr>
            <w:tcW w:type="dxa" w:w="2568"/>
            <w:vAlign w:val="center"/>
          </w:tcPr>
          <w:p w:rsidP="00F4518C" w:rsidR="00F016DD" w:rsidRDefault="00F016DD" w:rsidRPr="00414367">
            <w:pPr>
              <w:spacing w:before="29" w:line="360" w:lineRule="auto"/>
              <w:ind w:left="17"/>
              <w:jc w:val="center"/>
              <w:rPr>
                <w:color w:val="000000"/>
                <w:sz w:val="24"/>
              </w:rPr>
            </w:pPr>
            <w:r w:rsidRPr="00414367">
              <w:rPr>
                <w:color w:val="000000"/>
                <w:sz w:val="24"/>
              </w:rPr>
              <w:t>债券代码</w:t>
            </w:r>
          </w:p>
        </w:tc>
        <w:tc>
          <w:tcPr>
            <w:tcW w:type="dxa" w:w="1665"/>
            <w:vAlign w:val="center"/>
          </w:tcPr>
          <w:p w:rsidP="00F4518C" w:rsidR="00F016DD" w:rsidRDefault="00F016DD" w:rsidRPr="00414367">
            <w:pPr>
              <w:spacing w:before="29" w:line="360" w:lineRule="auto"/>
              <w:ind w:left="17"/>
              <w:jc w:val="center"/>
              <w:rPr>
                <w:color w:val="000000"/>
                <w:sz w:val="24"/>
              </w:rPr>
            </w:pPr>
            <w:r w:rsidRPr="00414367">
              <w:rPr>
                <w:color w:val="000000"/>
                <w:sz w:val="24"/>
              </w:rPr>
              <w:t>债券名称</w:t>
            </w:r>
          </w:p>
        </w:tc>
        <w:tc>
          <w:tcPr>
            <w:tcW w:type="dxa" w:w="1727"/>
            <w:vAlign w:val="center"/>
          </w:tcPr>
          <w:p w:rsidP="00F4518C" w:rsidR="00F016DD" w:rsidRDefault="00F016DD" w:rsidRPr="00414367">
            <w:pPr>
              <w:spacing w:before="29" w:line="360" w:lineRule="auto"/>
              <w:ind w:left="17"/>
              <w:jc w:val="center"/>
              <w:rPr>
                <w:color w:val="000000"/>
                <w:sz w:val="24"/>
              </w:rPr>
            </w:pPr>
            <w:r w:rsidRPr="00414367">
              <w:rPr>
                <w:color w:val="000000"/>
                <w:sz w:val="24"/>
              </w:rPr>
              <w:t>公允价值</w:t>
            </w:r>
            <w:r w:rsidRPr="00414367">
              <w:rPr>
                <w:color w:val="000000"/>
                <w:sz w:val="24"/>
              </w:rPr>
              <w:t>(</w:t>
            </w:r>
            <w:r w:rsidRPr="00414367">
              <w:rPr>
                <w:color w:val="000000"/>
                <w:sz w:val="24"/>
              </w:rPr>
              <w:t>元</w:t>
            </w:r>
            <w:r w:rsidRPr="00414367">
              <w:rPr>
                <w:color w:val="000000"/>
                <w:sz w:val="24"/>
              </w:rPr>
              <w:t>)</w:t>
            </w:r>
          </w:p>
        </w:tc>
        <w:tc>
          <w:tcPr>
            <w:tcW w:type="dxa" w:w="1609"/>
            <w:vAlign w:val="center"/>
          </w:tcPr>
          <w:p w:rsidP="00F4518C" w:rsidR="00F016DD" w:rsidRDefault="00F016DD" w:rsidRPr="00414367">
            <w:pPr>
              <w:spacing w:before="29" w:line="360" w:lineRule="auto"/>
              <w:ind w:left="17"/>
              <w:jc w:val="center"/>
              <w:rPr>
                <w:color w:val="000000"/>
                <w:sz w:val="24"/>
              </w:rPr>
            </w:pPr>
            <w:r w:rsidRPr="00414367">
              <w:rPr>
                <w:color w:val="000000"/>
                <w:sz w:val="24"/>
              </w:rPr>
              <w:t>占基金资产净值比例</w:t>
            </w:r>
            <w:r w:rsidRPr="00414367">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132018</w:t>
            </w:r>
          </w:p>
        </w:tc>
        <w:tc>
          <w:tcPr>
            <w:vAlign w:val="center"/>
          </w:tcPr>
          <w:p>
            <w:pPr>
              <w:jc w:val="center"/>
            </w:pPr>
            <w:r>
              <w:rPr>
                <w:color w:val="000000"/>
                <w:sz w:val="24"/>
              </w:rPr>
              <w:t>G三峡EB1</w:t>
            </w:r>
          </w:p>
        </w:tc>
        <w:tc>
          <w:tcPr>
            <w:vAlign w:val="center"/>
          </w:tcPr>
          <w:p>
            <w:pPr>
              <w:jc w:val="right"/>
            </w:pPr>
            <w:r>
              <w:rPr>
                <w:color w:val="000000"/>
                <w:sz w:val="24"/>
              </w:rPr>
              <w:t>212,605,330.00</w:t>
            </w:r>
          </w:p>
        </w:tc>
        <w:tc>
          <w:tcPr>
            <w:vAlign w:val="center"/>
          </w:tcPr>
          <w:p>
            <w:pPr>
              <w:jc w:val="right"/>
            </w:pPr>
            <w:r>
              <w:rPr>
                <w:color w:val="000000"/>
                <w:sz w:val="24"/>
              </w:rPr>
              <w:t>2.94</w:t>
            </w:r>
          </w:p>
        </w:tc>
      </w:tr>
      <w:tr>
        <w:tc>
          <w:tcPr>
            <w:vAlign w:val="center"/>
          </w:tcPr>
          <w:p>
            <w:pPr>
              <w:jc w:val="center"/>
            </w:pPr>
            <w:r>
              <w:rPr>
                <w:color w:val="000000"/>
                <w:sz w:val="24"/>
              </w:rPr>
              <w:t>2</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35,346,000.00</w:t>
            </w:r>
          </w:p>
        </w:tc>
        <w:tc>
          <w:tcPr>
            <w:vAlign w:val="center"/>
          </w:tcPr>
          <w:p>
            <w:pPr>
              <w:jc w:val="right"/>
            </w:pPr>
            <w:r>
              <w:rPr>
                <w:color w:val="000000"/>
                <w:sz w:val="24"/>
              </w:rPr>
              <w:t>0.49</w:t>
            </w:r>
          </w:p>
        </w:tc>
      </w:tr>
      <w:tr>
        <w:tc>
          <w:tcPr>
            <w:vAlign w:val="center"/>
          </w:tcPr>
          <w:p>
            <w:pPr>
              <w:jc w:val="center"/>
            </w:pPr>
            <w:r>
              <w:rPr>
                <w:color w:val="000000"/>
                <w:sz w:val="24"/>
              </w:rPr>
              <w:t>3</w:t>
            </w:r>
          </w:p>
        </w:tc>
        <w:tc>
          <w:tcPr>
            <w:vAlign w:val="center"/>
          </w:tcPr>
          <w:p>
            <w:pPr>
              <w:jc w:val="center"/>
            </w:pPr>
            <w:r>
              <w:rPr>
                <w:color w:val="000000"/>
                <w:sz w:val="24"/>
              </w:rPr>
              <w:t>132014</w:t>
            </w:r>
          </w:p>
        </w:tc>
        <w:tc>
          <w:tcPr>
            <w:vAlign w:val="center"/>
          </w:tcPr>
          <w:p>
            <w:pPr>
              <w:jc w:val="center"/>
            </w:pPr>
            <w:r>
              <w:rPr>
                <w:color w:val="000000"/>
                <w:sz w:val="24"/>
              </w:rPr>
              <w:t>18中化EB</w:t>
            </w:r>
          </w:p>
        </w:tc>
        <w:tc>
          <w:tcPr>
            <w:vAlign w:val="center"/>
          </w:tcPr>
          <w:p>
            <w:pPr>
              <w:jc w:val="right"/>
            </w:pPr>
            <w:r>
              <w:rPr>
                <w:color w:val="000000"/>
                <w:sz w:val="24"/>
              </w:rPr>
              <w:t>33,674,820.00</w:t>
            </w:r>
          </w:p>
        </w:tc>
        <w:tc>
          <w:tcPr>
            <w:vAlign w:val="center"/>
          </w:tcPr>
          <w:p>
            <w:pPr>
              <w:jc w:val="right"/>
            </w:pPr>
            <w:r>
              <w:rPr>
                <w:color w:val="000000"/>
                <w:sz w:val="24"/>
              </w:rPr>
              <w:t>0.47</w:t>
            </w:r>
          </w:p>
        </w:tc>
      </w:tr>
      <w:tr>
        <w:tc>
          <w:tcPr>
            <w:vAlign w:val="center"/>
          </w:tcPr>
          <w:p>
            <w:pPr>
              <w:jc w:val="center"/>
            </w:pPr>
            <w:r>
              <w:rPr>
                <w:color w:val="000000"/>
                <w:sz w:val="24"/>
              </w:rPr>
              <w:t>4</w:t>
            </w:r>
          </w:p>
        </w:tc>
        <w:tc>
          <w:tcPr>
            <w:vAlign w:val="center"/>
          </w:tcPr>
          <w:p>
            <w:pPr>
              <w:jc w:val="center"/>
            </w:pPr>
            <w:r>
              <w:rPr>
                <w:color w:val="000000"/>
                <w:sz w:val="24"/>
              </w:rPr>
              <w:t>132005</w:t>
            </w:r>
          </w:p>
        </w:tc>
        <w:tc>
          <w:tcPr>
            <w:vAlign w:val="center"/>
          </w:tcPr>
          <w:p>
            <w:pPr>
              <w:jc w:val="center"/>
            </w:pPr>
            <w:r>
              <w:rPr>
                <w:color w:val="000000"/>
                <w:sz w:val="24"/>
              </w:rPr>
              <w:t>15国资EB</w:t>
            </w:r>
          </w:p>
        </w:tc>
        <w:tc>
          <w:tcPr>
            <w:vAlign w:val="center"/>
          </w:tcPr>
          <w:p>
            <w:pPr>
              <w:jc w:val="right"/>
            </w:pPr>
            <w:r>
              <w:rPr>
                <w:color w:val="000000"/>
                <w:sz w:val="24"/>
              </w:rPr>
              <w:t>33,138,250.00</w:t>
            </w:r>
          </w:p>
        </w:tc>
        <w:tc>
          <w:tcPr>
            <w:vAlign w:val="center"/>
          </w:tcPr>
          <w:p>
            <w:pPr>
              <w:jc w:val="right"/>
            </w:pPr>
            <w:r>
              <w:rPr>
                <w:color w:val="000000"/>
                <w:sz w:val="24"/>
              </w:rPr>
              <w:t>0.46</w:t>
            </w:r>
          </w:p>
        </w:tc>
      </w:tr>
      <w:tr>
        <w:tc>
          <w:tcPr>
            <w:vAlign w:val="center"/>
          </w:tcPr>
          <w:p>
            <w:pPr>
              <w:jc w:val="center"/>
            </w:pPr>
            <w:r>
              <w:rPr>
                <w:color w:val="000000"/>
                <w:sz w:val="24"/>
              </w:rPr>
              <w:t>5</w:t>
            </w:r>
          </w:p>
        </w:tc>
        <w:tc>
          <w:tcPr>
            <w:vAlign w:val="center"/>
          </w:tcPr>
          <w:p>
            <w:pPr>
              <w:jc w:val="center"/>
            </w:pPr>
            <w:r>
              <w:rPr>
                <w:color w:val="000000"/>
                <w:sz w:val="24"/>
              </w:rPr>
              <w:t>110068</w:t>
            </w:r>
          </w:p>
        </w:tc>
        <w:tc>
          <w:tcPr>
            <w:vAlign w:val="center"/>
          </w:tcPr>
          <w:p>
            <w:pPr>
              <w:jc w:val="center"/>
            </w:pPr>
            <w:r>
              <w:rPr>
                <w:color w:val="000000"/>
                <w:sz w:val="24"/>
              </w:rPr>
              <w:t>龙净转债</w:t>
            </w:r>
          </w:p>
        </w:tc>
        <w:tc>
          <w:tcPr>
            <w:vAlign w:val="center"/>
          </w:tcPr>
          <w:p>
            <w:pPr>
              <w:jc w:val="right"/>
            </w:pPr>
            <w:r>
              <w:rPr>
                <w:color w:val="000000"/>
                <w:sz w:val="24"/>
              </w:rPr>
              <w:t>32,456,768.80</w:t>
            </w:r>
          </w:p>
        </w:tc>
        <w:tc>
          <w:tcPr>
            <w:vAlign w:val="center"/>
          </w:tcPr>
          <w:p>
            <w:pPr>
              <w:jc w:val="right"/>
            </w:pPr>
            <w:r>
              <w:rPr>
                <w:color w:val="000000"/>
                <w:sz w:val="24"/>
              </w:rPr>
              <w:t>0.45</w:t>
            </w:r>
          </w:p>
        </w:tc>
      </w:tr>
      <w:tr>
        <w:tc>
          <w:tcPr>
            <w:vAlign w:val="center"/>
          </w:tcPr>
          <w:p>
            <w:pPr>
              <w:jc w:val="center"/>
            </w:pPr>
            <w:r>
              <w:rPr>
                <w:color w:val="000000"/>
                <w:sz w:val="24"/>
              </w:rPr>
              <w:t>6</w:t>
            </w:r>
          </w:p>
        </w:tc>
        <w:tc>
          <w:tcPr>
            <w:vAlign w:val="center"/>
          </w:tcPr>
          <w:p>
            <w:pPr>
              <w:jc w:val="center"/>
            </w:pPr>
            <w:r>
              <w:rPr>
                <w:color w:val="000000"/>
                <w:sz w:val="24"/>
              </w:rPr>
              <w:t>128019</w:t>
            </w:r>
          </w:p>
        </w:tc>
        <w:tc>
          <w:tcPr>
            <w:vAlign w:val="center"/>
          </w:tcPr>
          <w:p>
            <w:pPr>
              <w:jc w:val="center"/>
            </w:pPr>
            <w:r>
              <w:rPr>
                <w:color w:val="000000"/>
                <w:sz w:val="24"/>
              </w:rPr>
              <w:t>久立转2</w:t>
            </w:r>
          </w:p>
        </w:tc>
        <w:tc>
          <w:tcPr>
            <w:vAlign w:val="center"/>
          </w:tcPr>
          <w:p>
            <w:pPr>
              <w:jc w:val="right"/>
            </w:pPr>
            <w:r>
              <w:rPr>
                <w:color w:val="000000"/>
                <w:sz w:val="24"/>
              </w:rPr>
              <w:t>30,002,947.85</w:t>
            </w:r>
          </w:p>
        </w:tc>
        <w:tc>
          <w:tcPr>
            <w:vAlign w:val="center"/>
          </w:tcPr>
          <w:p>
            <w:pPr>
              <w:jc w:val="right"/>
            </w:pPr>
            <w:r>
              <w:rPr>
                <w:color w:val="000000"/>
                <w:sz w:val="24"/>
              </w:rPr>
              <w:t>0.41</w:t>
            </w:r>
          </w:p>
        </w:tc>
      </w:tr>
      <w:tr>
        <w:tc>
          <w:tcPr>
            <w:vAlign w:val="center"/>
          </w:tcPr>
          <w:p>
            <w:pPr>
              <w:jc w:val="center"/>
            </w:pPr>
            <w:r>
              <w:rPr>
                <w:color w:val="000000"/>
                <w:sz w:val="24"/>
              </w:rPr>
              <w:t>7</w:t>
            </w:r>
          </w:p>
        </w:tc>
        <w:tc>
          <w:tcPr>
            <w:vAlign w:val="center"/>
          </w:tcPr>
          <w:p>
            <w:pPr>
              <w:jc w:val="center"/>
            </w:pPr>
            <w:r>
              <w:rPr>
                <w:color w:val="000000"/>
                <w:sz w:val="24"/>
              </w:rPr>
              <w:t>132009</w:t>
            </w:r>
          </w:p>
        </w:tc>
        <w:tc>
          <w:tcPr>
            <w:vAlign w:val="center"/>
          </w:tcPr>
          <w:p>
            <w:pPr>
              <w:jc w:val="center"/>
            </w:pPr>
            <w:r>
              <w:rPr>
                <w:color w:val="000000"/>
                <w:sz w:val="24"/>
              </w:rPr>
              <w:t>17中油EB</w:t>
            </w:r>
          </w:p>
        </w:tc>
        <w:tc>
          <w:tcPr>
            <w:vAlign w:val="center"/>
          </w:tcPr>
          <w:p>
            <w:pPr>
              <w:jc w:val="right"/>
            </w:pPr>
            <w:r>
              <w:rPr>
                <w:color w:val="000000"/>
                <w:sz w:val="24"/>
              </w:rPr>
              <w:t>24,547,536.00</w:t>
            </w:r>
          </w:p>
        </w:tc>
        <w:tc>
          <w:tcPr>
            <w:vAlign w:val="center"/>
          </w:tcPr>
          <w:p>
            <w:pPr>
              <w:jc w:val="right"/>
            </w:pPr>
            <w:r>
              <w:rPr>
                <w:color w:val="000000"/>
                <w:sz w:val="24"/>
              </w:rPr>
              <w:t>0.34</w:t>
            </w:r>
          </w:p>
        </w:tc>
      </w:tr>
      <w:tr>
        <w:tc>
          <w:tcPr>
            <w:vAlign w:val="center"/>
          </w:tcPr>
          <w:p>
            <w:pPr>
              <w:jc w:val="center"/>
            </w:pPr>
            <w:r>
              <w:rPr>
                <w:color w:val="000000"/>
                <w:sz w:val="24"/>
              </w:rPr>
              <w:t>8</w:t>
            </w:r>
          </w:p>
        </w:tc>
        <w:tc>
          <w:tcPr>
            <w:vAlign w:val="center"/>
          </w:tcPr>
          <w:p>
            <w:pPr>
              <w:jc w:val="center"/>
            </w:pPr>
            <w:r>
              <w:rPr>
                <w:color w:val="000000"/>
                <w:sz w:val="24"/>
              </w:rPr>
              <w:t>110048</w:t>
            </w:r>
          </w:p>
        </w:tc>
        <w:tc>
          <w:tcPr>
            <w:vAlign w:val="center"/>
          </w:tcPr>
          <w:p>
            <w:pPr>
              <w:jc w:val="center"/>
            </w:pPr>
            <w:r>
              <w:rPr>
                <w:color w:val="000000"/>
                <w:sz w:val="24"/>
              </w:rPr>
              <w:t>福能转债</w:t>
            </w:r>
          </w:p>
        </w:tc>
        <w:tc>
          <w:tcPr>
            <w:vAlign w:val="center"/>
          </w:tcPr>
          <w:p>
            <w:pPr>
              <w:jc w:val="right"/>
            </w:pPr>
            <w:r>
              <w:rPr>
                <w:color w:val="000000"/>
                <w:sz w:val="24"/>
              </w:rPr>
              <w:t>24,352,911.40</w:t>
            </w:r>
          </w:p>
        </w:tc>
        <w:tc>
          <w:tcPr>
            <w:vAlign w:val="center"/>
          </w:tcPr>
          <w:p>
            <w:pPr>
              <w:jc w:val="right"/>
            </w:pPr>
            <w:r>
              <w:rPr>
                <w:color w:val="000000"/>
                <w:sz w:val="24"/>
              </w:rPr>
              <w:t>0.34</w:t>
            </w:r>
          </w:p>
        </w:tc>
      </w:tr>
      <w:tr>
        <w:tc>
          <w:tcPr>
            <w:vAlign w:val="center"/>
          </w:tcPr>
          <w:p>
            <w:pPr>
              <w:jc w:val="center"/>
            </w:pPr>
            <w:r>
              <w:rPr>
                <w:color w:val="000000"/>
                <w:sz w:val="24"/>
              </w:rPr>
              <w:t>9</w:t>
            </w:r>
          </w:p>
        </w:tc>
        <w:tc>
          <w:tcPr>
            <w:vAlign w:val="center"/>
          </w:tcPr>
          <w:p>
            <w:pPr>
              <w:jc w:val="center"/>
            </w:pPr>
            <w:r>
              <w:rPr>
                <w:color w:val="000000"/>
                <w:sz w:val="24"/>
              </w:rPr>
              <w:t>128035</w:t>
            </w:r>
          </w:p>
        </w:tc>
        <w:tc>
          <w:tcPr>
            <w:vAlign w:val="center"/>
          </w:tcPr>
          <w:p>
            <w:pPr>
              <w:jc w:val="center"/>
            </w:pPr>
            <w:r>
              <w:rPr>
                <w:color w:val="000000"/>
                <w:sz w:val="24"/>
              </w:rPr>
              <w:t>大族转债</w:t>
            </w:r>
          </w:p>
        </w:tc>
        <w:tc>
          <w:tcPr>
            <w:vAlign w:val="center"/>
          </w:tcPr>
          <w:p>
            <w:pPr>
              <w:jc w:val="right"/>
            </w:pPr>
            <w:r>
              <w:rPr>
                <w:color w:val="000000"/>
                <w:sz w:val="24"/>
              </w:rPr>
              <w:t>20,541,891.60</w:t>
            </w:r>
          </w:p>
        </w:tc>
        <w:tc>
          <w:tcPr>
            <w:vAlign w:val="center"/>
          </w:tcPr>
          <w:p>
            <w:pPr>
              <w:jc w:val="right"/>
            </w:pPr>
            <w:r>
              <w:rPr>
                <w:color w:val="000000"/>
                <w:sz w:val="24"/>
              </w:rPr>
              <w:t>0.28</w:t>
            </w:r>
          </w:p>
        </w:tc>
      </w:tr>
      <w:tr>
        <w:tc>
          <w:tcPr>
            <w:vAlign w:val="center"/>
          </w:tcPr>
          <w:p>
            <w:pPr>
              <w:jc w:val="center"/>
            </w:pPr>
            <w:r>
              <w:rPr>
                <w:color w:val="000000"/>
                <w:sz w:val="24"/>
              </w:rPr>
              <w:t>10</w:t>
            </w:r>
          </w:p>
        </w:tc>
        <w:tc>
          <w:tcPr>
            <w:vAlign w:val="center"/>
          </w:tcPr>
          <w:p>
            <w:pPr>
              <w:jc w:val="center"/>
            </w:pPr>
            <w:r>
              <w:rPr>
                <w:color w:val="000000"/>
                <w:sz w:val="24"/>
              </w:rPr>
              <w:t>110047</w:t>
            </w:r>
          </w:p>
        </w:tc>
        <w:tc>
          <w:tcPr>
            <w:vAlign w:val="center"/>
          </w:tcPr>
          <w:p>
            <w:pPr>
              <w:jc w:val="center"/>
            </w:pPr>
            <w:r>
              <w:rPr>
                <w:color w:val="000000"/>
                <w:sz w:val="24"/>
              </w:rPr>
              <w:t>山鹰转债</w:t>
            </w:r>
          </w:p>
        </w:tc>
        <w:tc>
          <w:tcPr>
            <w:vAlign w:val="center"/>
          </w:tcPr>
          <w:p>
            <w:pPr>
              <w:jc w:val="right"/>
            </w:pPr>
            <w:r>
              <w:rPr>
                <w:color w:val="000000"/>
                <w:sz w:val="24"/>
              </w:rPr>
              <w:t>20,274,279.20</w:t>
            </w:r>
          </w:p>
        </w:tc>
        <w:tc>
          <w:tcPr>
            <w:vAlign w:val="center"/>
          </w:tcPr>
          <w:p>
            <w:pPr>
              <w:jc w:val="right"/>
            </w:pPr>
            <w:r>
              <w:rPr>
                <w:color w:val="000000"/>
                <w:sz w:val="24"/>
              </w:rPr>
              <w:t>0.28</w:t>
            </w:r>
          </w:p>
        </w:tc>
      </w:tr>
      <w:tr>
        <w:tc>
          <w:tcPr>
            <w:vAlign w:val="center"/>
          </w:tcPr>
          <w:p>
            <w:pPr>
              <w:jc w:val="center"/>
            </w:pPr>
            <w:r>
              <w:rPr>
                <w:color w:val="000000"/>
                <w:sz w:val="24"/>
              </w:rPr>
              <w:t>11</w:t>
            </w:r>
          </w:p>
        </w:tc>
        <w:tc>
          <w:tcPr>
            <w:vAlign w:val="center"/>
          </w:tcPr>
          <w:p>
            <w:pPr>
              <w:jc w:val="center"/>
            </w:pPr>
            <w:r>
              <w:rPr>
                <w:color w:val="000000"/>
                <w:sz w:val="24"/>
              </w:rPr>
              <w:t>113508</w:t>
            </w:r>
          </w:p>
        </w:tc>
        <w:tc>
          <w:tcPr>
            <w:vAlign w:val="center"/>
          </w:tcPr>
          <w:p>
            <w:pPr>
              <w:jc w:val="center"/>
            </w:pPr>
            <w:r>
              <w:rPr>
                <w:color w:val="000000"/>
                <w:sz w:val="24"/>
              </w:rPr>
              <w:t>新凤转债</w:t>
            </w:r>
          </w:p>
        </w:tc>
        <w:tc>
          <w:tcPr>
            <w:vAlign w:val="center"/>
          </w:tcPr>
          <w:p>
            <w:pPr>
              <w:jc w:val="right"/>
            </w:pPr>
            <w:r>
              <w:rPr>
                <w:color w:val="000000"/>
                <w:sz w:val="24"/>
              </w:rPr>
              <w:t>19,974,594.00</w:t>
            </w:r>
          </w:p>
        </w:tc>
        <w:tc>
          <w:tcPr>
            <w:vAlign w:val="center"/>
          </w:tcPr>
          <w:p>
            <w:pPr>
              <w:jc w:val="right"/>
            </w:pPr>
            <w:r>
              <w:rPr>
                <w:color w:val="000000"/>
                <w:sz w:val="24"/>
              </w:rPr>
              <w:t>0.28</w:t>
            </w:r>
          </w:p>
        </w:tc>
      </w:tr>
      <w:tr>
        <w:tc>
          <w:tcPr>
            <w:vAlign w:val="center"/>
          </w:tcPr>
          <w:p>
            <w:pPr>
              <w:jc w:val="center"/>
            </w:pPr>
            <w:r>
              <w:rPr>
                <w:color w:val="000000"/>
                <w:sz w:val="24"/>
              </w:rPr>
              <w:t>12</w:t>
            </w:r>
          </w:p>
        </w:tc>
        <w:tc>
          <w:tcPr>
            <w:vAlign w:val="center"/>
          </w:tcPr>
          <w:p>
            <w:pPr>
              <w:jc w:val="center"/>
            </w:pPr>
            <w:r>
              <w:rPr>
                <w:color w:val="000000"/>
                <w:sz w:val="24"/>
              </w:rPr>
              <w:t>128096</w:t>
            </w:r>
          </w:p>
        </w:tc>
        <w:tc>
          <w:tcPr>
            <w:vAlign w:val="center"/>
          </w:tcPr>
          <w:p>
            <w:pPr>
              <w:jc w:val="center"/>
            </w:pPr>
            <w:r>
              <w:rPr>
                <w:color w:val="000000"/>
                <w:sz w:val="24"/>
              </w:rPr>
              <w:t>奥瑞转债</w:t>
            </w:r>
          </w:p>
        </w:tc>
        <w:tc>
          <w:tcPr>
            <w:vAlign w:val="center"/>
          </w:tcPr>
          <w:p>
            <w:pPr>
              <w:jc w:val="right"/>
            </w:pPr>
            <w:r>
              <w:rPr>
                <w:color w:val="000000"/>
                <w:sz w:val="24"/>
              </w:rPr>
              <w:t>16,075,694.80</w:t>
            </w:r>
          </w:p>
        </w:tc>
        <w:tc>
          <w:tcPr>
            <w:vAlign w:val="center"/>
          </w:tcPr>
          <w:p>
            <w:pPr>
              <w:jc w:val="right"/>
            </w:pPr>
            <w:r>
              <w:rPr>
                <w:color w:val="000000"/>
                <w:sz w:val="24"/>
              </w:rPr>
              <w:t>0.22</w:t>
            </w:r>
          </w:p>
        </w:tc>
      </w:tr>
      <w:tr>
        <w:tc>
          <w:tcPr>
            <w:vAlign w:val="center"/>
          </w:tcPr>
          <w:p>
            <w:pPr>
              <w:jc w:val="center"/>
            </w:pPr>
            <w:r>
              <w:rPr>
                <w:color w:val="000000"/>
                <w:sz w:val="24"/>
              </w:rPr>
              <w:t>13</w:t>
            </w:r>
          </w:p>
        </w:tc>
        <w:tc>
          <w:tcPr>
            <w:vAlign w:val="center"/>
          </w:tcPr>
          <w:p>
            <w:pPr>
              <w:jc w:val="center"/>
            </w:pPr>
            <w:r>
              <w:rPr>
                <w:color w:val="000000"/>
                <w:sz w:val="24"/>
              </w:rPr>
              <w:t>110031</w:t>
            </w:r>
          </w:p>
        </w:tc>
        <w:tc>
          <w:tcPr>
            <w:vAlign w:val="center"/>
          </w:tcPr>
          <w:p>
            <w:pPr>
              <w:jc w:val="center"/>
            </w:pPr>
            <w:r>
              <w:rPr>
                <w:color w:val="000000"/>
                <w:sz w:val="24"/>
              </w:rPr>
              <w:t>航信转债</w:t>
            </w:r>
          </w:p>
        </w:tc>
        <w:tc>
          <w:tcPr>
            <w:vAlign w:val="center"/>
          </w:tcPr>
          <w:p>
            <w:pPr>
              <w:jc w:val="right"/>
            </w:pPr>
            <w:r>
              <w:rPr>
                <w:color w:val="000000"/>
                <w:sz w:val="24"/>
              </w:rPr>
              <w:t>14,324,475.90</w:t>
            </w:r>
          </w:p>
        </w:tc>
        <w:tc>
          <w:tcPr>
            <w:vAlign w:val="center"/>
          </w:tcPr>
          <w:p>
            <w:pPr>
              <w:jc w:val="right"/>
            </w:pPr>
            <w:r>
              <w:rPr>
                <w:color w:val="000000"/>
                <w:sz w:val="24"/>
              </w:rPr>
              <w:t>0.20</w:t>
            </w:r>
          </w:p>
        </w:tc>
      </w:tr>
      <w:tr>
        <w:tc>
          <w:tcPr>
            <w:vAlign w:val="center"/>
          </w:tcPr>
          <w:p>
            <w:pPr>
              <w:jc w:val="center"/>
            </w:pPr>
            <w:r>
              <w:rPr>
                <w:color w:val="000000"/>
                <w:sz w:val="24"/>
              </w:rPr>
              <w:t>14</w:t>
            </w:r>
          </w:p>
        </w:tc>
        <w:tc>
          <w:tcPr>
            <w:vAlign w:val="center"/>
          </w:tcPr>
          <w:p>
            <w:pPr>
              <w:jc w:val="center"/>
            </w:pPr>
            <w:r>
              <w:rPr>
                <w:color w:val="000000"/>
                <w:sz w:val="24"/>
              </w:rPr>
              <w:t>127012</w:t>
            </w:r>
          </w:p>
        </w:tc>
        <w:tc>
          <w:tcPr>
            <w:vAlign w:val="center"/>
          </w:tcPr>
          <w:p>
            <w:pPr>
              <w:jc w:val="center"/>
            </w:pPr>
            <w:r>
              <w:rPr>
                <w:color w:val="000000"/>
                <w:sz w:val="24"/>
              </w:rPr>
              <w:t>招路转债</w:t>
            </w:r>
          </w:p>
        </w:tc>
        <w:tc>
          <w:tcPr>
            <w:vAlign w:val="center"/>
          </w:tcPr>
          <w:p>
            <w:pPr>
              <w:jc w:val="right"/>
            </w:pPr>
            <w:r>
              <w:rPr>
                <w:color w:val="000000"/>
                <w:sz w:val="24"/>
              </w:rPr>
              <w:t>10,477,000.00</w:t>
            </w:r>
          </w:p>
        </w:tc>
        <w:tc>
          <w:tcPr>
            <w:vAlign w:val="center"/>
          </w:tcPr>
          <w:p>
            <w:pPr>
              <w:jc w:val="right"/>
            </w:pPr>
            <w:r>
              <w:rPr>
                <w:color w:val="000000"/>
                <w:sz w:val="24"/>
              </w:rPr>
              <w:t>0.14</w:t>
            </w:r>
          </w:p>
        </w:tc>
      </w:tr>
      <w:tr>
        <w:tc>
          <w:tcPr>
            <w:vAlign w:val="center"/>
          </w:tcPr>
          <w:p>
            <w:pPr>
              <w:jc w:val="center"/>
            </w:pPr>
            <w:r>
              <w:rPr>
                <w:color w:val="000000"/>
                <w:sz w:val="24"/>
              </w:rPr>
              <w:t>15</w:t>
            </w:r>
          </w:p>
        </w:tc>
        <w:tc>
          <w:tcPr>
            <w:vAlign w:val="center"/>
          </w:tcPr>
          <w:p>
            <w:pPr>
              <w:jc w:val="center"/>
            </w:pPr>
            <w:r>
              <w:rPr>
                <w:color w:val="000000"/>
                <w:sz w:val="24"/>
              </w:rPr>
              <w:t>110066</w:t>
            </w:r>
          </w:p>
        </w:tc>
        <w:tc>
          <w:tcPr>
            <w:vAlign w:val="center"/>
          </w:tcPr>
          <w:p>
            <w:pPr>
              <w:jc w:val="center"/>
            </w:pPr>
            <w:r>
              <w:rPr>
                <w:color w:val="000000"/>
                <w:sz w:val="24"/>
              </w:rPr>
              <w:t>盛屯转债</w:t>
            </w:r>
          </w:p>
        </w:tc>
        <w:tc>
          <w:tcPr>
            <w:vAlign w:val="center"/>
          </w:tcPr>
          <w:p>
            <w:pPr>
              <w:jc w:val="right"/>
            </w:pPr>
            <w:r>
              <w:rPr>
                <w:color w:val="000000"/>
                <w:sz w:val="24"/>
              </w:rPr>
              <w:t>10,436,485.50</w:t>
            </w:r>
          </w:p>
        </w:tc>
        <w:tc>
          <w:tcPr>
            <w:vAlign w:val="center"/>
          </w:tcPr>
          <w:p>
            <w:pPr>
              <w:jc w:val="right"/>
            </w:pPr>
            <w:r>
              <w:rPr>
                <w:color w:val="000000"/>
                <w:sz w:val="24"/>
              </w:rPr>
              <w:t>0.14</w:t>
            </w:r>
          </w:p>
        </w:tc>
      </w:tr>
      <w:tr>
        <w:tc>
          <w:tcPr>
            <w:vAlign w:val="center"/>
          </w:tcPr>
          <w:p>
            <w:pPr>
              <w:jc w:val="center"/>
            </w:pPr>
            <w:r>
              <w:rPr>
                <w:color w:val="000000"/>
                <w:sz w:val="24"/>
              </w:rPr>
              <w:t>16</w:t>
            </w:r>
          </w:p>
        </w:tc>
        <w:tc>
          <w:tcPr>
            <w:vAlign w:val="center"/>
          </w:tcPr>
          <w:p>
            <w:pPr>
              <w:jc w:val="center"/>
            </w:pPr>
            <w:r>
              <w:rPr>
                <w:color w:val="000000"/>
                <w:sz w:val="24"/>
              </w:rPr>
              <w:t>128083</w:t>
            </w:r>
          </w:p>
        </w:tc>
        <w:tc>
          <w:tcPr>
            <w:vAlign w:val="center"/>
          </w:tcPr>
          <w:p>
            <w:pPr>
              <w:jc w:val="center"/>
            </w:pPr>
            <w:r>
              <w:rPr>
                <w:color w:val="000000"/>
                <w:sz w:val="24"/>
              </w:rPr>
              <w:t>新北转债</w:t>
            </w:r>
          </w:p>
        </w:tc>
        <w:tc>
          <w:tcPr>
            <w:vAlign w:val="center"/>
          </w:tcPr>
          <w:p>
            <w:pPr>
              <w:jc w:val="right"/>
            </w:pPr>
            <w:r>
              <w:rPr>
                <w:color w:val="000000"/>
                <w:sz w:val="24"/>
              </w:rPr>
              <w:t>10,143,823.41</w:t>
            </w:r>
          </w:p>
        </w:tc>
        <w:tc>
          <w:tcPr>
            <w:vAlign w:val="center"/>
          </w:tcPr>
          <w:p>
            <w:pPr>
              <w:jc w:val="right"/>
            </w:pPr>
            <w:r>
              <w:rPr>
                <w:color w:val="000000"/>
                <w:sz w:val="24"/>
              </w:rPr>
              <w:t>0.14</w:t>
            </w:r>
          </w:p>
        </w:tc>
      </w:tr>
      <w:tr>
        <w:tc>
          <w:tcPr>
            <w:vAlign w:val="center"/>
          </w:tcPr>
          <w:p>
            <w:pPr>
              <w:jc w:val="center"/>
            </w:pPr>
            <w:r>
              <w:rPr>
                <w:color w:val="000000"/>
                <w:sz w:val="24"/>
              </w:rPr>
              <w:t>17</w:t>
            </w:r>
          </w:p>
        </w:tc>
        <w:tc>
          <w:tcPr>
            <w:vAlign w:val="center"/>
          </w:tcPr>
          <w:p>
            <w:pPr>
              <w:jc w:val="center"/>
            </w:pPr>
            <w:r>
              <w:rPr>
                <w:color w:val="000000"/>
                <w:sz w:val="24"/>
              </w:rPr>
              <w:t>110041</w:t>
            </w:r>
          </w:p>
        </w:tc>
        <w:tc>
          <w:tcPr>
            <w:vAlign w:val="center"/>
          </w:tcPr>
          <w:p>
            <w:pPr>
              <w:jc w:val="center"/>
            </w:pPr>
            <w:r>
              <w:rPr>
                <w:color w:val="000000"/>
                <w:sz w:val="24"/>
              </w:rPr>
              <w:t>蒙电转债</w:t>
            </w:r>
          </w:p>
        </w:tc>
        <w:tc>
          <w:tcPr>
            <w:vAlign w:val="center"/>
          </w:tcPr>
          <w:p>
            <w:pPr>
              <w:jc w:val="right"/>
            </w:pPr>
            <w:r>
              <w:rPr>
                <w:color w:val="000000"/>
                <w:sz w:val="24"/>
              </w:rPr>
              <w:t>6,156,886.80</w:t>
            </w:r>
          </w:p>
        </w:tc>
        <w:tc>
          <w:tcPr>
            <w:vAlign w:val="center"/>
          </w:tcPr>
          <w:p>
            <w:pPr>
              <w:jc w:val="right"/>
            </w:pPr>
            <w:r>
              <w:rPr>
                <w:color w:val="000000"/>
                <w:sz w:val="24"/>
              </w:rPr>
              <w:t>0.09</w:t>
            </w:r>
          </w:p>
        </w:tc>
      </w:tr>
      <w:tr>
        <w:tc>
          <w:tcPr>
            <w:vAlign w:val="center"/>
          </w:tcPr>
          <w:p>
            <w:pPr>
              <w:jc w:val="center"/>
            </w:pPr>
            <w:r>
              <w:rPr>
                <w:color w:val="000000"/>
                <w:sz w:val="24"/>
              </w:rPr>
              <w:t>18</w:t>
            </w:r>
          </w:p>
        </w:tc>
        <w:tc>
          <w:tcPr>
            <w:vAlign w:val="center"/>
          </w:tcPr>
          <w:p>
            <w:pPr>
              <w:jc w:val="center"/>
            </w:pPr>
            <w:r>
              <w:rPr>
                <w:color w:val="000000"/>
                <w:sz w:val="24"/>
              </w:rPr>
              <w:t>128081</w:t>
            </w:r>
          </w:p>
        </w:tc>
        <w:tc>
          <w:tcPr>
            <w:vAlign w:val="center"/>
          </w:tcPr>
          <w:p>
            <w:pPr>
              <w:jc w:val="center"/>
            </w:pPr>
            <w:r>
              <w:rPr>
                <w:color w:val="000000"/>
                <w:sz w:val="24"/>
              </w:rPr>
              <w:t>海亮转债</w:t>
            </w:r>
          </w:p>
        </w:tc>
        <w:tc>
          <w:tcPr>
            <w:vAlign w:val="center"/>
          </w:tcPr>
          <w:p>
            <w:pPr>
              <w:jc w:val="right"/>
            </w:pPr>
            <w:r>
              <w:rPr>
                <w:color w:val="000000"/>
                <w:sz w:val="24"/>
              </w:rPr>
              <w:t>5,219,649.60</w:t>
            </w:r>
          </w:p>
        </w:tc>
        <w:tc>
          <w:tcPr>
            <w:vAlign w:val="center"/>
          </w:tcPr>
          <w:p>
            <w:pPr>
              <w:jc w:val="right"/>
            </w:pPr>
            <w:r>
              <w:rPr>
                <w:color w:val="000000"/>
                <w:sz w:val="24"/>
              </w:rPr>
              <w:t>0.07</w:t>
            </w:r>
          </w:p>
        </w:tc>
      </w:tr>
      <w:tr>
        <w:tc>
          <w:tcPr>
            <w:vAlign w:val="center"/>
          </w:tcPr>
          <w:p>
            <w:pPr>
              <w:jc w:val="center"/>
            </w:pPr>
            <w:r>
              <w:rPr>
                <w:color w:val="000000"/>
                <w:sz w:val="24"/>
              </w:rPr>
              <w:t>19</w:t>
            </w:r>
          </w:p>
        </w:tc>
        <w:tc>
          <w:tcPr>
            <w:vAlign w:val="center"/>
          </w:tcPr>
          <w:p>
            <w:pPr>
              <w:jc w:val="center"/>
            </w:pPr>
            <w:r>
              <w:rPr>
                <w:color w:val="000000"/>
                <w:sz w:val="24"/>
              </w:rPr>
              <w:t>132017</w:t>
            </w:r>
          </w:p>
        </w:tc>
        <w:tc>
          <w:tcPr>
            <w:vAlign w:val="center"/>
          </w:tcPr>
          <w:p>
            <w:pPr>
              <w:jc w:val="center"/>
            </w:pPr>
            <w:r>
              <w:rPr>
                <w:color w:val="000000"/>
                <w:sz w:val="24"/>
              </w:rPr>
              <w:t>19新钢EB</w:t>
            </w:r>
          </w:p>
        </w:tc>
        <w:tc>
          <w:tcPr>
            <w:vAlign w:val="center"/>
          </w:tcPr>
          <w:p>
            <w:pPr>
              <w:jc w:val="right"/>
            </w:pPr>
            <w:r>
              <w:rPr>
                <w:color w:val="000000"/>
                <w:sz w:val="24"/>
              </w:rPr>
              <w:t>5,127,780.00</w:t>
            </w:r>
          </w:p>
        </w:tc>
        <w:tc>
          <w:tcPr>
            <w:vAlign w:val="center"/>
          </w:tcPr>
          <w:p>
            <w:pPr>
              <w:jc w:val="right"/>
            </w:pPr>
            <w:r>
              <w:rPr>
                <w:color w:val="000000"/>
                <w:sz w:val="24"/>
              </w:rPr>
              <w:t>0.07</w:t>
            </w:r>
          </w:p>
        </w:tc>
      </w:tr>
      <w:tr>
        <w:tc>
          <w:tcPr>
            <w:vAlign w:val="center"/>
          </w:tcPr>
          <w:p>
            <w:pPr>
              <w:jc w:val="center"/>
            </w:pPr>
            <w:r>
              <w:rPr>
                <w:color w:val="000000"/>
                <w:sz w:val="24"/>
              </w:rPr>
              <w:t>20</w:t>
            </w:r>
          </w:p>
        </w:tc>
        <w:tc>
          <w:tcPr>
            <w:vAlign w:val="center"/>
          </w:tcPr>
          <w:p>
            <w:pPr>
              <w:jc w:val="center"/>
            </w:pPr>
            <w:r>
              <w:rPr>
                <w:color w:val="000000"/>
                <w:sz w:val="24"/>
              </w:rPr>
              <w:t>128037</w:t>
            </w:r>
          </w:p>
        </w:tc>
        <w:tc>
          <w:tcPr>
            <w:vAlign w:val="center"/>
          </w:tcPr>
          <w:p>
            <w:pPr>
              <w:jc w:val="center"/>
            </w:pPr>
            <w:r>
              <w:rPr>
                <w:color w:val="000000"/>
                <w:sz w:val="24"/>
              </w:rPr>
              <w:t>岩土转债</w:t>
            </w:r>
          </w:p>
        </w:tc>
        <w:tc>
          <w:tcPr>
            <w:vAlign w:val="center"/>
          </w:tcPr>
          <w:p>
            <w:pPr>
              <w:jc w:val="right"/>
            </w:pPr>
            <w:r>
              <w:rPr>
                <w:color w:val="000000"/>
                <w:sz w:val="24"/>
              </w:rPr>
              <w:t>3,096,774.23</w:t>
            </w:r>
          </w:p>
        </w:tc>
        <w:tc>
          <w:tcPr>
            <w:vAlign w:val="center"/>
          </w:tcPr>
          <w:p>
            <w:pPr>
              <w:jc w:val="right"/>
            </w:pPr>
            <w:r>
              <w:rPr>
                <w:color w:val="000000"/>
                <w:sz w:val="24"/>
              </w:rPr>
              <w:t>0.04</w:t>
            </w:r>
          </w:p>
        </w:tc>
      </w:tr>
      <w:tr>
        <w:tc>
          <w:tcPr>
            <w:vAlign w:val="center"/>
          </w:tcPr>
          <w:p>
            <w:pPr>
              <w:jc w:val="center"/>
            </w:pPr>
            <w:r>
              <w:rPr>
                <w:color w:val="000000"/>
                <w:sz w:val="24"/>
              </w:rPr>
              <w:t>21</w:t>
            </w:r>
          </w:p>
        </w:tc>
        <w:tc>
          <w:tcPr>
            <w:vAlign w:val="center"/>
          </w:tcPr>
          <w:p>
            <w:pPr>
              <w:jc w:val="center"/>
            </w:pPr>
            <w:r>
              <w:rPr>
                <w:color w:val="000000"/>
                <w:sz w:val="24"/>
              </w:rPr>
              <w:t>113519</w:t>
            </w:r>
          </w:p>
        </w:tc>
        <w:tc>
          <w:tcPr>
            <w:vAlign w:val="center"/>
          </w:tcPr>
          <w:p>
            <w:pPr>
              <w:jc w:val="center"/>
            </w:pPr>
            <w:r>
              <w:rPr>
                <w:color w:val="000000"/>
                <w:sz w:val="24"/>
              </w:rPr>
              <w:t>长久转债</w:t>
            </w:r>
          </w:p>
        </w:tc>
        <w:tc>
          <w:tcPr>
            <w:vAlign w:val="center"/>
          </w:tcPr>
          <w:p>
            <w:pPr>
              <w:jc w:val="right"/>
            </w:pPr>
            <w:r>
              <w:rPr>
                <w:color w:val="000000"/>
                <w:sz w:val="24"/>
              </w:rPr>
              <w:t>2,334,742.60</w:t>
            </w:r>
          </w:p>
        </w:tc>
        <w:tc>
          <w:tcPr>
            <w:vAlign w:val="center"/>
          </w:tcPr>
          <w:p>
            <w:pPr>
              <w:jc w:val="right"/>
            </w:pPr>
            <w:r>
              <w:rPr>
                <w:color w:val="000000"/>
                <w:sz w:val="24"/>
              </w:rPr>
              <w:t>0.03</w:t>
            </w:r>
          </w:p>
        </w:tc>
      </w:tr>
      <w:tr>
        <w:tc>
          <w:tcPr>
            <w:vAlign w:val="center"/>
          </w:tcPr>
          <w:p>
            <w:pPr>
              <w:jc w:val="center"/>
            </w:pPr>
            <w:r>
              <w:rPr>
                <w:color w:val="000000"/>
                <w:sz w:val="24"/>
              </w:rPr>
              <w:t>22</w:t>
            </w:r>
          </w:p>
        </w:tc>
        <w:tc>
          <w:tcPr>
            <w:vAlign w:val="center"/>
          </w:tcPr>
          <w:p>
            <w:pPr>
              <w:jc w:val="center"/>
            </w:pPr>
            <w:r>
              <w:rPr>
                <w:color w:val="000000"/>
                <w:sz w:val="24"/>
              </w:rPr>
              <w:t>110061</w:t>
            </w:r>
          </w:p>
        </w:tc>
        <w:tc>
          <w:tcPr>
            <w:vAlign w:val="center"/>
          </w:tcPr>
          <w:p>
            <w:pPr>
              <w:jc w:val="center"/>
            </w:pPr>
            <w:r>
              <w:rPr>
                <w:color w:val="000000"/>
                <w:sz w:val="24"/>
              </w:rPr>
              <w:t>川投转债</w:t>
            </w:r>
          </w:p>
        </w:tc>
        <w:tc>
          <w:tcPr>
            <w:vAlign w:val="center"/>
          </w:tcPr>
          <w:p>
            <w:pPr>
              <w:jc w:val="right"/>
            </w:pPr>
            <w:r>
              <w:rPr>
                <w:color w:val="000000"/>
                <w:sz w:val="24"/>
              </w:rPr>
              <w:t>2,333,177.00</w:t>
            </w:r>
          </w:p>
        </w:tc>
        <w:tc>
          <w:tcPr>
            <w:vAlign w:val="center"/>
          </w:tcPr>
          <w:p>
            <w:pPr>
              <w:jc w:val="right"/>
            </w:pPr>
            <w:r>
              <w:rPr>
                <w:color w:val="000000"/>
                <w:sz w:val="24"/>
              </w:rPr>
              <w:t>0.03</w:t>
            </w:r>
          </w:p>
        </w:tc>
      </w:tr>
      <w:tr>
        <w:tc>
          <w:tcPr>
            <w:vAlign w:val="center"/>
          </w:tcPr>
          <w:p>
            <w:pPr>
              <w:jc w:val="center"/>
            </w:pPr>
            <w:r>
              <w:rPr>
                <w:color w:val="000000"/>
                <w:sz w:val="24"/>
              </w:rPr>
              <w:t>23</w:t>
            </w:r>
          </w:p>
        </w:tc>
        <w:tc>
          <w:tcPr>
            <w:vAlign w:val="center"/>
          </w:tcPr>
          <w:p>
            <w:pPr>
              <w:jc w:val="center"/>
            </w:pPr>
            <w:r>
              <w:rPr>
                <w:color w:val="000000"/>
                <w:sz w:val="24"/>
              </w:rPr>
              <w:t>110045</w:t>
            </w:r>
          </w:p>
        </w:tc>
        <w:tc>
          <w:tcPr>
            <w:vAlign w:val="center"/>
          </w:tcPr>
          <w:p>
            <w:pPr>
              <w:jc w:val="center"/>
            </w:pPr>
            <w:r>
              <w:rPr>
                <w:color w:val="000000"/>
                <w:sz w:val="24"/>
              </w:rPr>
              <w:t>海澜转债</w:t>
            </w:r>
          </w:p>
        </w:tc>
        <w:tc>
          <w:tcPr>
            <w:vAlign w:val="center"/>
          </w:tcPr>
          <w:p>
            <w:pPr>
              <w:jc w:val="right"/>
            </w:pPr>
            <w:r>
              <w:rPr>
                <w:color w:val="000000"/>
                <w:sz w:val="24"/>
              </w:rPr>
              <w:t>1,945,200.00</w:t>
            </w:r>
          </w:p>
        </w:tc>
        <w:tc>
          <w:tcPr>
            <w:vAlign w:val="center"/>
          </w:tcPr>
          <w:p>
            <w:pPr>
              <w:jc w:val="right"/>
            </w:pPr>
            <w:r>
              <w:rPr>
                <w:color w:val="000000"/>
                <w:sz w:val="24"/>
              </w:rPr>
              <w:t>0.03</w:t>
            </w:r>
          </w:p>
        </w:tc>
      </w:tr>
      <w:tr>
        <w:tc>
          <w:tcPr>
            <w:vAlign w:val="center"/>
          </w:tcPr>
          <w:p>
            <w:pPr>
              <w:jc w:val="center"/>
            </w:pPr>
            <w:r>
              <w:rPr>
                <w:color w:val="000000"/>
                <w:sz w:val="24"/>
              </w:rPr>
              <w:t>24</w:t>
            </w:r>
          </w:p>
        </w:tc>
        <w:tc>
          <w:tcPr>
            <w:vAlign w:val="center"/>
          </w:tcPr>
          <w:p>
            <w:pPr>
              <w:jc w:val="center"/>
            </w:pPr>
            <w:r>
              <w:rPr>
                <w:color w:val="000000"/>
                <w:sz w:val="24"/>
              </w:rPr>
              <w:t>127015</w:t>
            </w:r>
          </w:p>
        </w:tc>
        <w:tc>
          <w:tcPr>
            <w:vAlign w:val="center"/>
          </w:tcPr>
          <w:p>
            <w:pPr>
              <w:jc w:val="center"/>
            </w:pPr>
            <w:r>
              <w:rPr>
                <w:color w:val="000000"/>
                <w:sz w:val="24"/>
              </w:rPr>
              <w:t>希望转债</w:t>
            </w:r>
          </w:p>
        </w:tc>
        <w:tc>
          <w:tcPr>
            <w:vAlign w:val="center"/>
          </w:tcPr>
          <w:p>
            <w:pPr>
              <w:jc w:val="right"/>
            </w:pPr>
            <w:r>
              <w:rPr>
                <w:color w:val="000000"/>
                <w:sz w:val="24"/>
              </w:rPr>
              <w:t>1,448,800.00</w:t>
            </w:r>
          </w:p>
        </w:tc>
        <w:tc>
          <w:tcPr>
            <w:vAlign w:val="center"/>
          </w:tcPr>
          <w:p>
            <w:pPr>
              <w:jc w:val="right"/>
            </w:pPr>
            <w:r>
              <w:rPr>
                <w:color w:val="000000"/>
                <w:sz w:val="24"/>
              </w:rPr>
              <w:t>0.02</w:t>
            </w:r>
          </w:p>
        </w:tc>
      </w:tr>
      <w:tr>
        <w:tc>
          <w:tcPr>
            <w:vAlign w:val="center"/>
          </w:tcPr>
          <w:p>
            <w:pPr>
              <w:jc w:val="center"/>
            </w:pPr>
            <w:r>
              <w:rPr>
                <w:color w:val="000000"/>
                <w:sz w:val="24"/>
              </w:rPr>
              <w:t>25</w:t>
            </w:r>
          </w:p>
        </w:tc>
        <w:tc>
          <w:tcPr>
            <w:vAlign w:val="center"/>
          </w:tcPr>
          <w:p>
            <w:pPr>
              <w:jc w:val="center"/>
            </w:pPr>
            <w:r>
              <w:rPr>
                <w:color w:val="000000"/>
                <w:sz w:val="24"/>
              </w:rPr>
              <w:t>127011</w:t>
            </w:r>
          </w:p>
        </w:tc>
        <w:tc>
          <w:tcPr>
            <w:vAlign w:val="center"/>
          </w:tcPr>
          <w:p>
            <w:pPr>
              <w:jc w:val="center"/>
            </w:pPr>
            <w:r>
              <w:rPr>
                <w:color w:val="000000"/>
                <w:sz w:val="24"/>
              </w:rPr>
              <w:t>中鼎转2</w:t>
            </w:r>
          </w:p>
        </w:tc>
        <w:tc>
          <w:tcPr>
            <w:vAlign w:val="center"/>
          </w:tcPr>
          <w:p>
            <w:pPr>
              <w:jc w:val="right"/>
            </w:pPr>
            <w:r>
              <w:rPr>
                <w:color w:val="000000"/>
                <w:sz w:val="24"/>
              </w:rPr>
              <w:t>580,400.00</w:t>
            </w:r>
          </w:p>
        </w:tc>
        <w:tc>
          <w:tcPr>
            <w:vAlign w:val="center"/>
          </w:tcPr>
          <w:p>
            <w:pPr>
              <w:jc w:val="right"/>
            </w:pPr>
            <w:r>
              <w:rPr>
                <w:color w:val="000000"/>
                <w:sz w:val="24"/>
              </w:rPr>
              <w:t>0.01</w:t>
            </w:r>
          </w:p>
        </w:tc>
      </w:tr>
    </w:tbl>
    <w:p w:rsidP="001D5CD0" w:rsidR="00F016DD" w:rsidRDefault="00F016DD" w:rsidRPr="00E7356F">
      <w:pPr>
        <w:autoSpaceDE w:val="0"/>
        <w:autoSpaceDN w:val="0"/>
        <w:adjustRightInd w:val="0"/>
        <w:spacing w:line="360" w:lineRule="auto"/>
        <w:jc w:val="left"/>
        <w:rPr>
          <w:rFonts w:ascii="宋体"/>
          <w:bCs/>
          <w:sz w:val="24"/>
        </w:rPr>
      </w:pPr>
      <w:r w:rsidRPr="00E7356F">
        <w:rPr>
          <w:rFonts w:ascii="宋体" w:cs="Arial"/>
          <w:kern w:val="0"/>
          <w:sz w:val="24"/>
        </w:rPr>
        <w:t/>
      </w:r>
      <w:proofErr w:type="gramStart"/>
      <w:r w:rsidRPr="00E7356F">
        <w:rPr>
          <w:rFonts w:ascii="宋体" w:cs="Arial" w:hAnsi="宋体"/>
          <w:kern w:val="0"/>
          <w:sz w:val="24"/>
        </w:rPr>
        <w:t/>
      </w:r>
      <w:proofErr w:type="gramEnd"/>
      <w:r w:rsidRPr="00E7356F">
        <w:rPr>
          <w:rFonts w:ascii="宋体" w:cs="Arial" w:hAnsi="宋体"/>
          <w:kern w:val="0"/>
          <w:sz w:val="24"/>
        </w:rPr>
        <w:t>5.11.5</w:t>
      </w:r>
      <w:r w:rsidRPr="00E7356F">
        <w:rPr>
          <w:rFonts w:ascii="宋体" w:hAnsi="宋体" w:hint="eastAsia"/>
          <w:bCs/>
          <w:sz w:val="24"/>
        </w:rPr>
        <w:t>报告期末前十名股票中存在流通受限情况的说明</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gramStart"/>
      <w:r w:rsidRPr="00DF18FE">
        <w:rPr>
          <w:color w:val="000000"/>
          <w:sz w:val="24"/>
        </w:rPr>
        <w:t/>
      </w:r>
      <w:proofErr w:type="gramEnd"/>
      <w:r w:rsidRPr="00DF18FE">
        <w:rPr>
          <w:color w:val="000000"/>
          <w:sz w:val="24"/>
        </w:rPr>
        <w:t>本基金本报告期末前十名股票中不存在流通受限情况。</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hAnsi="宋体"/>
          <w:color w:val="000000"/>
          <w:kern w:val="0"/>
          <w:sz w:val="24"/>
          <w:szCs w:val="24"/>
        </w:rPr>
        <w:t xml:space="preserve">6  </w:t>
      </w:r>
      <w:r w:rsidRPr="0078105B">
        <w:rPr>
          <w:rFonts w:ascii="宋体" w:cs="Arial" w:hAnsi="宋体" w:hint="eastAsia"/>
          <w:color w:val="000000"/>
          <w:kern w:val="0"/>
          <w:sz w:val="24"/>
          <w:szCs w:val="24"/>
        </w:rPr>
        <w:t>开放式基金份额变动</w:t>
      </w:r>
    </w:p>
    <w:p w:rsidP="00302187" w:rsidR="00F016DD" w:rsidRDefault="00F016DD"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900"/>
        <w:gridCol w:w="2367"/>
        <w:gridCol w:w="2367"/>
      </w:tblGrid>
      <w:tr w:rsidR="00F016DD" w:rsidRPr="0078105B" w:rsidTr="0001612A">
        <w:tc>
          <w:tcPr>
            <w:tcW w:type="dxa" w:w="3900"/>
            <w:vAlign w:val="center"/>
          </w:tcPr>
          <w:p w:rsidP="00B84643" w:rsidR="00F016DD" w:rsidRDefault="00F016DD"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项目</w:t>
            </w:r>
            <w:r w:rsidRPr="00FA472B">
              <w:rPr>
                <w:color w:val="000000"/>
                <w:kern w:val="0"/>
              </w:rPr>
              <w:t/>
            </w:r>
            <w:proofErr w:type="spellStart"/>
            <w:r w:rsidRPr="00FA472B">
              <w:rPr>
                <w:color w:val="000000"/>
                <w:kern w:val="0"/>
              </w:rPr>
              <w:t/>
            </w:r>
            <w:proofErr w:type="spellEnd"/>
            <w:r w:rsidRPr="00FA472B">
              <w:rPr>
                <w:color w:val="000000"/>
                <w:kern w:val="0"/>
              </w:rPr>
              <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proofErr w:type="spellStart"/>
            <w:r w:rsidRPr="00FA472B">
              <w:rPr>
                <w:sz w:val="24"/>
              </w:rPr>
              <w:t/>
            </w:r>
            <w:proofErr w:type="spellEnd"/>
            <w:r w:rsidRPr="00FA472B">
              <w:rPr>
                <w:sz w:val="24"/>
              </w:rPr>
              <w:t>易方达增强回报债券A</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kern w:val="0"/>
                <w:sz w:val="24"/>
              </w:rPr>
              <w:t/>
            </w:r>
            <w:r w:rsidRPr="00FA472B">
              <w:rPr>
                <w:sz w:val="24"/>
              </w:rPr>
              <w:t>易方达增强回报债券B</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w:t>
            </w:r>
            <w:proofErr w:type="gramStart"/>
            <w:r w:rsidRPr="00FA472B">
              <w:rPr>
                <w:color w:val="000000"/>
                <w:kern w:val="0"/>
                <w:sz w:val="24"/>
              </w:rPr>
              <w:t>初基金</w:t>
            </w:r>
            <w:proofErr w:type="gramEnd"/>
            <w:r w:rsidRPr="00FA472B">
              <w:rPr>
                <w:color w:val="000000"/>
                <w:kern w:val="0"/>
                <w:sz w:val="24"/>
              </w:rPr>
              <w:t>份额总额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3,565,396,878.44</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1,250,360,417.29</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基金总申购份额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1,077,979,392.39</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380,393,992.61</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减：</w:t>
            </w:r>
            <w:r w:rsidRPr="00FA472B">
              <w:rPr>
                <w:color w:val="000000"/>
                <w:kern w:val="0"/>
                <w:sz w:val="24"/>
              </w:rPr>
              <w:t/>
            </w:r>
            <w:proofErr w:type="spellStart"/>
            <w:r w:rsidRPr="00FA472B">
              <w:rPr>
                <w:color w:val="000000"/>
                <w:kern w:val="0"/>
                <w:sz w:val="24"/>
              </w:rPr>
              <w:t/>
            </w:r>
            <w:r w:rsidRPr="00FA472B">
              <w:rPr>
                <w:color w:val="000000"/>
                <w:kern w:val="0"/>
                <w:sz w:val="24"/>
              </w:rPr>
              <w:lastRenderedPageBreak/>
              <w:t/>
            </w:r>
            <w:proofErr w:type="spellEnd"/>
            <w:r w:rsidRPr="00FA472B">
              <w:rPr>
                <w:color w:val="000000"/>
                <w:kern w:val="0"/>
                <w:sz w:val="24"/>
              </w:rPr>
              <w:t>报告期</w:t>
            </w:r>
            <w:r w:rsidRPr="00FA472B">
              <w:rPr>
                <w:color w:val="000000"/>
                <w:kern w:val="0"/>
                <w:sz w:val="24"/>
              </w:rPr>
              <w:t>基金总赎回份额</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proofErr w:type="spellStart"/>
            <w:r w:rsidRPr="00FA472B">
              <w:rPr>
                <w:color w:val="000000"/>
                <w:sz w:val="24"/>
              </w:rPr>
              <w:t/>
            </w:r>
            <w:r w:rsidRPr="00FA472B">
              <w:rPr>
                <w:color w:val="000000"/>
                <w:sz w:val="24"/>
              </w:rPr>
              <w:lastRenderedPageBreak/>
              <w:t/>
            </w:r>
            <w:proofErr w:type="spellEnd"/>
            <w:r w:rsidRPr="00FA472B">
              <w:rPr>
                <w:color w:val="000000"/>
                <w:sz w:val="24"/>
              </w:rPr>
              <w:t>486,617,784.03</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r w:rsidRPr="00FA472B">
              <w:rPr>
                <w:color w:val="000000"/>
                <w:sz w:val="24"/>
              </w:rPr>
              <w:lastRenderedPageBreak/>
              <w:t>368,436,103.82</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lastRenderedPageBreak/>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基金拆分变动份额</w:t>
            </w:r>
            <w:r w:rsidR="009533AD" w:rsidRPr="009533AD">
              <w:rPr>
                <w:rFonts w:hint="eastAsia"/>
                <w:color w:val="000000"/>
                <w:kern w:val="0"/>
                <w:sz w:val="24"/>
              </w:rPr>
              <w:t>（份额减少以“</w:t>
            </w:r>
            <w:r w:rsidR="009533AD" w:rsidRPr="009533AD">
              <w:rPr>
                <w:rFonts w:hint="eastAsia"/>
                <w:color w:val="000000"/>
                <w:kern w:val="0"/>
                <w:sz w:val="24"/>
              </w:rPr>
              <w:t>-</w:t>
            </w:r>
            <w:r w:rsidR="009533AD" w:rsidRPr="009533AD">
              <w:rPr>
                <w:rFonts w:hint="eastAsia"/>
                <w:color w:val="000000"/>
                <w:kern w:val="0"/>
                <w:sz w:val="24"/>
              </w:rPr>
              <w:t>”填列）</w:t>
            </w:r>
          </w:p>
        </w:tc>
        <w:tc>
          <w:tcPr>
            <w:tcW w:type="dxa" w:w="2367"/>
            <w:vAlign w:val="center"/>
          </w:tcPr>
          <w:p w:rsidP="00A1276C"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w:t>
            </w:r>
          </w:p>
        </w:tc>
      </w:tr>
      <w:tr w:rsidR="00F016DD" w:rsidRPr="0078105B" w:rsidTr="0001612A">
        <w:tc>
          <w:tcPr>
            <w:tcW w:type="dxa" w:w="3900"/>
            <w:vAlign w:val="center"/>
          </w:tcPr>
          <w:p w:rsidP="00A1276C" w:rsidR="00F016DD" w:rsidRDefault="00F016DD"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type="dxa" w:w="2367"/>
            <w:vAlign w:val="center"/>
          </w:tcPr>
          <w:p w:rsidP="00B57BCF"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4,156,758,486.80</w:t>
            </w:r>
          </w:p>
        </w:tc>
        <w:tc>
          <w:tcPr>
            <w:tcW w:type="dxa" w:w="2367"/>
            <w:vAlign w:val="center"/>
          </w:tcPr>
          <w:p w:rsidP="00936D40" w:rsidR="00F016DD" w:rsidRDefault="00F016DD" w:rsidRPr="00FA472B">
            <w:pPr>
              <w:autoSpaceDE w:val="0"/>
              <w:autoSpaceDN w:val="0"/>
              <w:adjustRightInd w:val="0"/>
              <w:spacing w:before="29" w:line="360" w:lineRule="auto"/>
              <w:ind w:left="17"/>
              <w:jc w:val="right"/>
              <w:rPr>
                <w:color w:val="000000"/>
                <w:sz w:val="24"/>
              </w:rPr>
            </w:pPr>
            <w:r w:rsidRPr="00FA472B">
              <w:rPr>
                <w:color w:val="000000"/>
                <w:sz w:val="24"/>
              </w:rPr>
              <w:t>1,262,318,306.08</w:t>
            </w:r>
          </w:p>
        </w:tc>
      </w:tr>
    </w:tbl>
    <w:p w:rsidP="00B54884" w:rsidR="00F016DD" w:rsidRDefault="00F016DD">
      <w:pPr>
        <w:pStyle w:val="1"/>
        <w:tabs>
          <w:tab w:pos="4156" w:val="center"/>
          <w:tab w:pos="8312" w:val="right"/>
        </w:tabs>
        <w:spacing w:after="312" w:afterLines="100" w:before="312" w:beforeLines="100" w:line="360" w:lineRule="auto"/>
        <w:jc w:val="center"/>
        <w:rPr>
          <w:rFonts w:ascii="方正仿宋简体"/>
          <w:sz w:val="24"/>
          <w:szCs w:val="24"/>
        </w:rPr>
      </w:pPr>
      <w:r w:rsidRPr="00AB67DE">
        <w:rPr>
          <w:rFonts w:ascii="宋体"/>
          <w:color w:val="000000"/>
          <w:kern w:val="0"/>
          <w:sz w:val="24"/>
          <w:szCs w:val="24"/>
        </w:rPr>
        <w:t/>
      </w:r>
      <w:proofErr w:type="spellStart"/>
      <w:r w:rsidRPr="00AB67DE">
        <w:rPr>
          <w:rFonts w:ascii="宋体" w:hAnsi="宋体"/>
          <w:color w:val="000000"/>
          <w:kern w:val="0"/>
          <w:sz w:val="24"/>
          <w:szCs w:val="24"/>
        </w:rPr>
        <w:t/>
      </w:r>
      <w:proofErr w:type="spellEnd"/>
      <w:r w:rsidRPr="00AB67DE">
        <w:rPr>
          <w:rFonts w:ascii="宋体" w:hAnsi="宋体"/>
          <w:color w:val="000000"/>
          <w:kern w:val="0"/>
          <w:sz w:val="24"/>
          <w:szCs w:val="24"/>
        </w:rPr>
        <w:t/>
      </w:r>
      <w:r w:rsidRPr="00AB67DE">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w:r>
      <w:r w:rsidRPr="00AB67DE">
        <w:rPr>
          <w:rFonts w:ascii="宋体" w:cs="Arial"/>
          <w:color w:val="000000"/>
          <w:kern w:val="0"/>
          <w:sz w:val="24"/>
          <w:szCs w:val="24"/>
        </w:rPr>
        <w:t>7</w:t>
      </w:r>
      <w:r w:rsidR="0066098B" w:rsidRPr="0078105B">
        <w:rPr>
          <w:rFonts w:ascii="宋体" w:cs="Arial" w:hAnsi="宋体"/>
          <w:color w:val="000000"/>
          <w:kern w:val="0"/>
          <w:sz w:val="24"/>
          <w:szCs w:val="24"/>
        </w:rPr>
        <w:t xml:space="preserve">  </w:t>
      </w:r>
      <w:r w:rsidRPr="0016464C">
        <w:rPr>
          <w:rFonts w:ascii="方正仿宋简体" w:hint="eastAsia"/>
          <w:sz w:val="24"/>
          <w:szCs w:val="24"/>
        </w:rPr>
        <w:t>基金管理人运用</w:t>
      </w:r>
      <w:proofErr w:type="gramStart"/>
      <w:r w:rsidRPr="0016464C">
        <w:rPr>
          <w:rFonts w:ascii="方正仿宋简体" w:hint="eastAsia"/>
          <w:sz w:val="24"/>
          <w:szCs w:val="24"/>
        </w:rPr>
        <w:t>固有资金</w:t>
      </w:r>
      <w:proofErr w:type="gramEnd"/>
      <w:r w:rsidRPr="0016464C">
        <w:rPr>
          <w:rFonts w:ascii="方正仿宋简体" w:hint="eastAsia"/>
          <w:sz w:val="24"/>
          <w:szCs w:val="24"/>
        </w:rPr>
        <w:t>投资本基金情况</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7.1 </w:t>
      </w:r>
      <w:r>
        <w:rPr>
          <w:rFonts w:hint="eastAsia"/>
          <w:b/>
          <w:sz w:val="24"/>
        </w:rPr>
        <w:t>基</w:t>
      </w:r>
      <w:r w:rsidRPr="00B404F1">
        <w:rPr>
          <w:rFonts w:hint="eastAsia"/>
          <w:b/>
          <w:sz w:val="24"/>
        </w:rPr>
        <w:t>金管理人持有本基金份额变动情况</w:t>
      </w:r>
    </w:p>
    <w:p w:rsidP="00DF18FE" w:rsidR="00F016DD" w:rsidRDefault="00CC78C7" w:rsidRPr="00DF18FE">
      <w:pPr>
        <w:spacing w:line="360" w:lineRule="auto"/>
        <w:ind w:firstLine="480" w:firstLineChars="200"/>
        <w:rPr>
          <w:color w:val="000000"/>
          <w:sz w:val="24"/>
        </w:rPr>
      </w:pPr>
      <w:r w:rsidRPr="00DF18FE">
        <w:rPr>
          <w:color w:val="000000"/>
          <w:sz w:val="24"/>
        </w:rPr>
        <w:t/>
      </w:r>
      <w:r w:rsidRPr="00EA6415">
        <w:rPr>
          <w:color w:val="000000"/>
          <w:sz w:val="24"/>
        </w:rPr>
        <w:t/>
      </w:r>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本报告期内基金管理人未持有本基金份额。</w:t>
      </w:r>
    </w:p>
    <w:p w:rsidP="00935FB1" w:rsidR="00F016DD" w:rsidRDefault="00F016DD" w:rsidRPr="00B76BBB">
      <w:pPr>
        <w:spacing w:line="360" w:lineRule="auto"/>
        <w:jc w:val="left"/>
        <w:rPr>
          <w:sz w:val="24"/>
        </w:rPr>
      </w:pPr>
      <w:r w:rsidRPr="00297260">
        <w:rPr>
          <w:b/>
          <w:sz w:val="24"/>
        </w:rPr>
        <w:t/>
      </w:r>
      <w:proofErr w:type="spellStart"/>
      <w:r w:rsidRPr="00297260">
        <w:rPr>
          <w:b/>
          <w:sz w:val="24"/>
        </w:rPr>
        <w:t/>
      </w:r>
      <w:proofErr w:type="spellEnd"/>
      <w:r w:rsidRPr="00297260">
        <w:rPr>
          <w:b/>
          <w:sz w:val="24"/>
        </w:rPr>
        <w:t/>
      </w:r>
      <w:r>
        <w:rPr>
          <w:b/>
          <w:sz w:val="24"/>
        </w:rPr>
        <w:t/>
      </w:r>
      <w:proofErr w:type="gramStart"/>
      <w:r>
        <w:rPr>
          <w:b/>
          <w:sz w:val="24"/>
        </w:rPr>
        <w:t/>
      </w:r>
      <w:proofErr w:type="gramEnd"/>
      <w:r>
        <w:rPr>
          <w:b/>
          <w:sz w:val="24"/>
        </w:rPr>
        <w:t xml:space="preserve">7.2 </w:t>
      </w:r>
      <w:r>
        <w:rPr>
          <w:rFonts w:hint="eastAsia"/>
          <w:b/>
          <w:sz w:val="24"/>
        </w:rPr>
        <w:t>基</w:t>
      </w:r>
      <w:r w:rsidRPr="00B404F1">
        <w:rPr>
          <w:rFonts w:hint="eastAsia"/>
          <w:b/>
          <w:sz w:val="24"/>
        </w:rPr>
        <w:t>金管理人运用固有资金投资本基金交易明细</w:t>
      </w:r>
    </w:p>
    <w:p w:rsidP="00DF18FE" w:rsidR="00F016DD" w:rsidRDefault="00F016DD" w:rsidRPr="00DF18FE">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proofErr w:type="gramStart"/>
      <w:r w:rsidRPr="00DF18FE">
        <w:rPr>
          <w:color w:val="000000"/>
          <w:sz w:val="24"/>
        </w:rPr>
        <w:t/>
      </w:r>
      <w:proofErr w:type="spellEnd"/>
      <w:proofErr w:type="gramEnd"/>
      <w:r w:rsidRPr="00DF18FE">
        <w:rPr>
          <w:color w:val="000000"/>
          <w:sz w:val="24"/>
        </w:rPr>
        <w:t>本报告期内基金管理人未运用固有资金申购、赎回、买卖本基金份额。</w:t>
      </w:r>
    </w:p>
    <w:p w:rsidP="00B54884" w:rsidR="00F016DD" w:rsidRDefault="00F016DD" w:rsidRPr="0078105B">
      <w:pPr>
        <w:pStyle w:val="1"/>
        <w:spacing w:after="312" w:afterLines="100" w:before="312" w:beforeLines="100" w:line="360" w:lineRule="auto"/>
        <w:jc w:val="center"/>
        <w:rPr>
          <w:rFonts w:ascii="宋体" w:cs="Arial"/>
          <w:color w:val="000000"/>
          <w:kern w:val="0"/>
          <w:sz w:val="24"/>
          <w:szCs w:val="24"/>
        </w:rPr>
      </w:pPr>
      <w:r w:rsidRPr="0078105B">
        <w:rPr>
          <w:rFonts w:ascii="宋体" w:cs="Arial" w:hAnsi="宋体" w:hint="eastAsia"/>
          <w:color w:val="000000"/>
          <w:kern w:val="0"/>
          <w:sz w:val="24"/>
          <w:szCs w:val="24"/>
        </w:rPr>
        <w:t>§</w:t>
      </w:r>
      <w:r w:rsidRPr="0078105B">
        <w:rPr>
          <w:rFonts w:ascii="宋体" w:cs="Arial"/>
          <w:color w:val="000000"/>
          <w:kern w:val="0"/>
          <w:sz w:val="24"/>
          <w:szCs w:val="24"/>
        </w:rPr>
        <w:t/>
      </w:r>
      <w:r w:rsidRPr="0078105B">
        <w:rPr>
          <w:rFonts w:ascii="宋体" w:cs="Arial" w:hAnsi="宋体"/>
          <w:color w:val="000000"/>
          <w:kern w:val="0"/>
          <w:sz w:val="24"/>
          <w:szCs w:val="24"/>
        </w:rPr>
        <w:t>8</w:t>
      </w:r>
      <w:r w:rsidR="0066098B" w:rsidRPr="0078105B">
        <w:rPr>
          <w:rFonts w:ascii="宋体" w:cs="Arial" w:hAnsi="宋体"/>
          <w:color w:val="000000"/>
          <w:kern w:val="0"/>
          <w:sz w:val="24"/>
          <w:szCs w:val="24"/>
        </w:rPr>
        <w:t xml:space="preserve">  </w:t>
      </w:r>
      <w:r w:rsidRPr="0078105B">
        <w:rPr>
          <w:rFonts w:ascii="宋体" w:cs="Arial" w:hAnsi="宋体" w:hint="eastAsia"/>
          <w:color w:val="000000"/>
          <w:kern w:val="0"/>
          <w:sz w:val="24"/>
          <w:szCs w:val="24"/>
        </w:rPr>
        <w:t>备查文件目录</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8.1</w:t>
      </w:r>
      <w:r w:rsidRPr="00E8153C">
        <w:rPr>
          <w:color w:val="000000"/>
          <w:kern w:val="0"/>
          <w:sz w:val="24"/>
        </w:rPr>
        <w:t>备查文件目录</w:t>
      </w:r>
    </w:p>
    <w:p>
      <w:pPr>
        <w:spacing w:line="360" w:lineRule="auto"/>
        <w:ind w:firstLine="480" w:firstLineChars="200"/>
        <w:rPr>
          <w:color w:val="000000"/>
          <w:sz w:val="24"/>
        </w:rPr>
      </w:pPr>
      <w:r>
        <w:rPr>
          <w:color w:val="000000"/>
          <w:sz w:val="24"/>
        </w:rPr>
        <w:t>1.中国证监会核准易方达增强回报债券型证券投资基金募集的文件；</w:t>
      </w:r>
    </w:p>
    <w:p>
      <w:pPr>
        <w:spacing w:line="360" w:lineRule="auto"/>
        <w:ind w:firstLine="480" w:firstLineChars="200"/>
        <w:rPr>
          <w:color w:val="000000"/>
          <w:sz w:val="24"/>
        </w:rPr>
      </w:pPr>
      <w:r>
        <w:rPr>
          <w:color w:val="000000"/>
          <w:sz w:val="24"/>
        </w:rPr>
        <w:t>2.《易方达增强回报债券型证券投资基金基金合同》；</w:t>
      </w:r>
    </w:p>
    <w:p>
      <w:pPr>
        <w:spacing w:line="360" w:lineRule="auto"/>
        <w:ind w:firstLine="480" w:firstLineChars="200"/>
        <w:rPr>
          <w:color w:val="000000"/>
          <w:sz w:val="24"/>
        </w:rPr>
      </w:pPr>
      <w:r>
        <w:rPr>
          <w:color w:val="000000"/>
          <w:sz w:val="24"/>
        </w:rPr>
        <w:t>3.《易方达增强回报债券型证券投资基金托管协议》；</w:t>
      </w:r>
    </w:p>
    <w:p>
      <w:pPr>
        <w:spacing w:line="360" w:lineRule="auto"/>
        <w:ind w:firstLine="480" w:firstLineChars="200"/>
        <w:rPr>
          <w:color w:val="000000"/>
          <w:sz w:val="24"/>
        </w:rPr>
      </w:pPr>
      <w:r>
        <w:rPr>
          <w:color w:val="000000"/>
          <w:sz w:val="24"/>
        </w:rPr>
        <w:t>4.《易方达基金管理有限公司开放式基金业务规则》；</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5.基金管理人业务资格批件和营业执照。</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8.2</w:t>
      </w:r>
      <w:r w:rsidRPr="00E8153C">
        <w:rPr>
          <w:color w:val="000000"/>
          <w:kern w:val="0"/>
          <w:sz w:val="24"/>
        </w:rPr>
        <w:t>存放地点</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广州市天河区珠江新城珠江东路30号广州银行大厦40-43楼。</w:t>
      </w:r>
    </w:p>
    <w:p w:rsidP="00FC13C8" w:rsidR="00F016DD" w:rsidRDefault="00F016DD" w:rsidRPr="00E8153C">
      <w:pPr>
        <w:autoSpaceDE w:val="0"/>
        <w:autoSpaceDN w:val="0"/>
        <w:adjustRightInd w:val="0"/>
        <w:spacing w:line="360" w:lineRule="auto"/>
        <w:jc w:val="left"/>
        <w:rPr>
          <w:color w:val="000000"/>
          <w:kern w:val="0"/>
          <w:sz w:val="24"/>
        </w:rPr>
      </w:pPr>
      <w:r w:rsidRPr="00E8153C">
        <w:rPr>
          <w:color w:val="000000"/>
          <w:kern w:val="0"/>
          <w:sz w:val="24"/>
        </w:rPr>
        <w:t/>
      </w:r>
      <w:proofErr w:type="gramStart"/>
      <w:r w:rsidRPr="00E8153C">
        <w:rPr>
          <w:color w:val="000000"/>
          <w:kern w:val="0"/>
          <w:sz w:val="24"/>
        </w:rPr>
        <w:t/>
      </w:r>
      <w:proofErr w:type="gramEnd"/>
      <w:r w:rsidRPr="00E8153C">
        <w:rPr>
          <w:color w:val="000000"/>
          <w:kern w:val="0"/>
          <w:sz w:val="24"/>
        </w:rPr>
        <w:t>8.3</w:t>
      </w:r>
      <w:r w:rsidRPr="00E8153C">
        <w:rPr>
          <w:color w:val="000000"/>
          <w:kern w:val="0"/>
          <w:sz w:val="24"/>
        </w:rPr>
        <w:t>查阅方式</w:t>
      </w:r>
    </w:p>
    <w:p w:rsidP="00DF18FE" w:rsidR="00F016DD" w:rsidRDefault="00F016DD" w:rsidRPr="00E8153C">
      <w:pPr>
        <w:spacing w:line="360" w:lineRule="auto"/>
        <w:ind w:firstLine="480" w:firstLineChars="200"/>
        <w:rPr>
          <w:color w:val="000000"/>
          <w:sz w:val="24"/>
        </w:rPr>
      </w:pPr>
      <w:r w:rsidRPr="00E8153C">
        <w:rPr>
          <w:color w:val="000000"/>
          <w:sz w:val="24"/>
        </w:rPr>
        <w:t/>
      </w:r>
      <w:proofErr w:type="spellStart"/>
      <w:proofErr w:type="gramStart"/>
      <w:r w:rsidRPr="00E8153C">
        <w:rPr>
          <w:color w:val="000000"/>
          <w:sz w:val="24"/>
        </w:rPr>
        <w:t/>
      </w:r>
      <w:proofErr w:type="spellEnd"/>
      <w:proofErr w:type="gramEnd"/>
      <w:r w:rsidRPr="00E8153C">
        <w:rPr>
          <w:color w:val="000000"/>
          <w:sz w:val="24"/>
        </w:rPr>
        <w:t>投资者可在营业时间免费查阅，也可按工本费购买复印件。</w:t>
      </w:r>
    </w:p>
    <w:p w:rsidP="00FB3C94" w:rsidR="00F016DD" w:rsidRDefault="00F016DD" w:rsidRPr="0078105B">
      <w:pPr>
        <w:spacing w:line="360" w:lineRule="auto"/>
        <w:ind w:left="840"/>
        <w:jc w:val="right"/>
        <w:rPr>
          <w:rFonts w:ascii="宋体"/>
          <w:color w:val="000000"/>
          <w:sz w:val="24"/>
        </w:rPr>
      </w:pPr>
    </w:p>
    <w:p w:rsidP="00053FFD" w:rsidR="00F016DD" w:rsidRDefault="00F016DD" w:rsidRPr="0078105B">
      <w:pPr>
        <w:spacing w:line="360" w:lineRule="auto"/>
        <w:ind w:left="840"/>
        <w:jc w:val="center"/>
        <w:rPr>
          <w:rFonts w:ascii="宋体"/>
          <w:b/>
          <w:color w:val="000000"/>
          <w:sz w:val="24"/>
        </w:rPr>
      </w:pPr>
    </w:p>
    <w:p w:rsidP="00B1493B" w:rsidR="00F016DD" w:rsidRDefault="00F016DD" w:rsidRPr="0078105B">
      <w:pPr>
        <w:spacing w:line="360" w:lineRule="auto"/>
        <w:jc w:val="right"/>
        <w:rPr>
          <w:rFonts w:ascii="宋体" w:hAnsi="宋体"/>
          <w:b/>
          <w:bCs/>
          <w:sz w:val="24"/>
        </w:rPr>
      </w:pPr>
      <w:r w:rsidRPr="0078105B">
        <w:rPr>
          <w:rFonts w:asci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易方达基金管理有限公司</w:t>
      </w:r>
    </w:p>
    <w:p w:rsidP="00B1493B" w:rsidR="00F016DD" w:rsidRDefault="00F016DD" w:rsidRPr="0078105B">
      <w:pPr>
        <w:spacing w:line="360" w:lineRule="auto"/>
        <w:jc w:val="right"/>
        <w:rPr>
          <w:rFonts w:ascii="宋体" w:hAnsi="宋体"/>
          <w:b/>
          <w:bCs/>
          <w:sz w:val="24"/>
        </w:rPr>
      </w:pPr>
      <w:r w:rsidRPr="0078105B">
        <w:rPr>
          <w:rFonts w:ascii="宋体" w:hAnsi="宋体"/>
          <w:b/>
          <w:bCs/>
          <w:sz w:val="24"/>
        </w:rPr>
        <w:t/>
      </w:r>
      <w:proofErr w:type="spellStart"/>
      <w:proofErr w:type="gramStart"/>
      <w:r w:rsidRPr="0078105B">
        <w:rPr>
          <w:rFonts w:ascii="宋体" w:hAnsi="宋体"/>
          <w:b/>
          <w:bCs/>
          <w:sz w:val="24"/>
        </w:rPr>
        <w:t/>
      </w:r>
      <w:proofErr w:type="spellEnd"/>
      <w:proofErr w:type="gramEnd"/>
      <w:r w:rsidRPr="0078105B">
        <w:rPr>
          <w:rFonts w:ascii="宋体" w:hAnsi="宋体"/>
          <w:b/>
          <w:bCs/>
          <w:sz w:val="24"/>
        </w:rPr>
        <w:t>二〇二〇年十月二十八日</w:t>
      </w:r>
    </w:p>
    <w:sectPr w:rsidR="00F016DD" w:rsidRPr="0078105B" w:rsidSect="00A8324F">
      <w:footerReference r:id="rId12" w:type="even"/>
      <w:footerReference r:id="rId13" w:type="default"/>
      <w:pgSz w:h="16838" w:w="11906"/>
      <w:pgMar w:bottom="1440" w:footer="992" w:gutter="0" w:header="851" w:left="1800" w:right="1286"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ED" w:rsidRDefault="00C74CED">
      <w:r>
        <w:separator/>
      </w:r>
    </w:p>
  </w:endnote>
  <w:endnote w:type="continuationSeparator" w:id="0">
    <w:p w:rsidR="00C74CED" w:rsidRDefault="00C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F7094A" w:rsidR="00611CB2" w:rsidRDefault="00611CB2" w:rsidRPr="001D0DB0">
    <w:pPr>
      <w:pStyle w:val="a6"/>
      <w:jc w:val="center"/>
    </w:pPr>
    <w:r>
      <w:rPr>
        <w:rFonts w:hint="eastAsia"/>
        <w:szCs w:val="21"/>
      </w:rPr>
      <w:t>第</w:t>
    </w:r>
    <w:r w:rsidR="00F85FCB">
      <w:rPr>
        <w:szCs w:val="21"/>
      </w:rPr>
      <w:fldChar w:fldCharType="begin"/>
    </w:r>
    <w:r>
      <w:rPr>
        <w:szCs w:val="21"/>
      </w:rPr>
      <w:instrText xml:space="preserve"> PAGE </w:instrText>
    </w:r>
    <w:r w:rsidR="00F85FCB">
      <w:rPr>
        <w:szCs w:val="21"/>
      </w:rPr>
      <w:fldChar w:fldCharType="separate"/>
    </w:r>
    <w:r w:rsidR="003177CA">
      <w:rPr>
        <w:noProof/>
        <w:szCs w:val="21"/>
      </w:rPr>
      <w:t>1</w:t>
    </w:r>
    <w:r w:rsidR="00F85FCB">
      <w:rPr>
        <w:szCs w:val="21"/>
      </w:rPr>
      <w:fldChar w:fldCharType="end"/>
    </w:r>
    <w:proofErr w:type="gramStart"/>
    <w:r>
      <w:rPr>
        <w:rFonts w:hint="eastAsia"/>
        <w:szCs w:val="21"/>
      </w:rPr>
      <w:t>页共</w:t>
    </w:r>
    <w:proofErr w:type="gramEnd"/>
    <w:r w:rsidR="00F85FCB">
      <w:rPr>
        <w:szCs w:val="21"/>
      </w:rPr>
      <w:fldChar w:fldCharType="begin"/>
    </w:r>
    <w:r>
      <w:rPr>
        <w:szCs w:val="21"/>
      </w:rPr>
      <w:instrText xml:space="preserve"> NUMPAGES </w:instrText>
    </w:r>
    <w:r w:rsidR="00F85FCB">
      <w:rPr>
        <w:szCs w:val="21"/>
      </w:rPr>
      <w:fldChar w:fldCharType="separate"/>
    </w:r>
    <w:r w:rsidR="003177CA">
      <w:rPr>
        <w:noProof/>
        <w:szCs w:val="21"/>
      </w:rPr>
      <w:t>30</w:t>
    </w:r>
    <w:r w:rsidR="00F85FCB">
      <w:rPr>
        <w:szCs w:val="21"/>
      </w:rPr>
      <w:fldChar w:fldCharType="end"/>
    </w:r>
    <w:r>
      <w:rPr>
        <w:rFonts w:hint="eastAsia"/>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end"/>
    </w:r>
  </w:p>
  <w:p w:rsidR="00611CB2" w:rsidRDefault="00611CB2">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611CB2" w:rsidRDefault="00F85FCB">
    <w:pPr>
      <w:pStyle w:val="a6"/>
      <w:framePr w:hAnchor="margin" w:vAnchor="text" w:wrap="around" w:xAlign="center" w:y="1"/>
      <w:rPr>
        <w:rStyle w:val="a7"/>
      </w:rPr>
    </w:pPr>
    <w:r>
      <w:rPr>
        <w:rStyle w:val="a7"/>
      </w:rPr>
      <w:fldChar w:fldCharType="begin"/>
    </w:r>
    <w:r w:rsidR="00611CB2">
      <w:rPr>
        <w:rStyle w:val="a7"/>
      </w:rPr>
      <w:instrText xml:space="preserve">PAGE  </w:instrText>
    </w:r>
    <w:r>
      <w:rPr>
        <w:rStyle w:val="a7"/>
      </w:rPr>
      <w:fldChar w:fldCharType="separate"/>
    </w:r>
    <w:r w:rsidR="007320AD">
      <w:rPr>
        <w:rStyle w:val="a7"/>
        <w:noProof/>
      </w:rPr>
      <w:t>8</w:t>
    </w:r>
    <w:r>
      <w:rPr>
        <w:rStyle w:val="a7"/>
      </w:rPr>
      <w:fldChar w:fldCharType="end"/>
    </w:r>
  </w:p>
  <w:p w:rsidR="00611CB2" w:rsidRDefault="00611CB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C74CED" w:rsidRDefault="00C74CED">
      <w:r>
        <w:separator/>
      </w:r>
    </w:p>
  </w:footnote>
  <w:footnote w:id="0" w:type="continuationSeparator">
    <w:p w:rsidR="00C74CED" w:rsidRDefault="00C74CED">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1207F2" w:rsidR="00611CB2" w:rsidRDefault="00611CB2" w:rsidRPr="00DA451D">
    <w:pPr>
      <w:pStyle w:val="a9"/>
      <w:pBdr>
        <w:bottom w:color="auto" w:space="0" w:sz="6" w:val="single"/>
      </w:pBdr>
      <w:jc w:val="right"/>
    </w:pPr>
    <w:r w:rsidRPr="00DA451D">
      <w:t/>
    </w:r>
    <w:proofErr w:type="spellStart"/>
    <w:proofErr w:type="gramStart"/>
    <w:r w:rsidRPr="00DA451D">
      <w:t/>
    </w:r>
    <w:proofErr w:type="spellEnd"/>
    <w:proofErr w:type="gramEnd"/>
    <w:r w:rsidRPr="00DA451D">
      <w:t>易方达增强回报债券型证券投资基金</w:t>
    </w:r>
    <w:proofErr w:type="spellStart"/>
    <w:r w:rsidRPr="00DA451D">
      <w:t/>
    </w:r>
    <w:proofErr w:type="spellEnd"/>
    <w:r w:rsidRPr="00DA451D">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cs="Times New Roman" w:hAnsi="宋体" w:hint="default"/>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lvlOverride w:ilvl="2">
      <w:lvl w:ilvl="2">
        <w:start w:val="1"/>
        <w:numFmt w:val="decimal"/>
        <w:lvlText w:val="%1.%2.%3"/>
        <w:lvlJc w:val="left"/>
        <w:pPr>
          <w:tabs>
            <w:tab w:pos="1418" w:val="num"/>
          </w:tabs>
          <w:ind w:hanging="567" w:left="1418"/>
        </w:pPr>
        <w:rPr>
          <w:rFonts w:cs="Times New Roman"/>
        </w:r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2187"/>
    <w:rsid w:val="0000059C"/>
    <w:rsid w:val="000008B1"/>
    <w:rsid w:val="0000403B"/>
    <w:rsid w:val="00007441"/>
    <w:rsid w:val="00007F1F"/>
    <w:rsid w:val="000108A5"/>
    <w:rsid w:val="00010A83"/>
    <w:rsid w:val="000137C1"/>
    <w:rsid w:val="0001579C"/>
    <w:rsid w:val="0001612A"/>
    <w:rsid w:val="00016551"/>
    <w:rsid w:val="00020737"/>
    <w:rsid w:val="00020C27"/>
    <w:rsid w:val="000219D5"/>
    <w:rsid w:val="00022396"/>
    <w:rsid w:val="00023073"/>
    <w:rsid w:val="00023B86"/>
    <w:rsid w:val="00023B97"/>
    <w:rsid w:val="00024836"/>
    <w:rsid w:val="000252D8"/>
    <w:rsid w:val="0003338D"/>
    <w:rsid w:val="0003564A"/>
    <w:rsid w:val="00037B55"/>
    <w:rsid w:val="00037C73"/>
    <w:rsid w:val="00041CC8"/>
    <w:rsid w:val="00042065"/>
    <w:rsid w:val="00043FD2"/>
    <w:rsid w:val="00045558"/>
    <w:rsid w:val="00045BA9"/>
    <w:rsid w:val="0004626C"/>
    <w:rsid w:val="00047D87"/>
    <w:rsid w:val="000510AB"/>
    <w:rsid w:val="00053FFD"/>
    <w:rsid w:val="00056D5C"/>
    <w:rsid w:val="00061B0B"/>
    <w:rsid w:val="00061E09"/>
    <w:rsid w:val="00062C69"/>
    <w:rsid w:val="00062E1F"/>
    <w:rsid w:val="00064601"/>
    <w:rsid w:val="00064AE3"/>
    <w:rsid w:val="00064F4B"/>
    <w:rsid w:val="00065ABE"/>
    <w:rsid w:val="0006750A"/>
    <w:rsid w:val="000776C0"/>
    <w:rsid w:val="00077849"/>
    <w:rsid w:val="000803AD"/>
    <w:rsid w:val="000813D6"/>
    <w:rsid w:val="00081D05"/>
    <w:rsid w:val="000827CC"/>
    <w:rsid w:val="000871DB"/>
    <w:rsid w:val="000922C5"/>
    <w:rsid w:val="0009314F"/>
    <w:rsid w:val="00093A23"/>
    <w:rsid w:val="00097169"/>
    <w:rsid w:val="000A08FC"/>
    <w:rsid w:val="000A15F1"/>
    <w:rsid w:val="000A1617"/>
    <w:rsid w:val="000A40A5"/>
    <w:rsid w:val="000A457E"/>
    <w:rsid w:val="000A549A"/>
    <w:rsid w:val="000A5A81"/>
    <w:rsid w:val="000A6D8C"/>
    <w:rsid w:val="000A72F2"/>
    <w:rsid w:val="000A7BFD"/>
    <w:rsid w:val="000B000E"/>
    <w:rsid w:val="000B1CB9"/>
    <w:rsid w:val="000B24AF"/>
    <w:rsid w:val="000B251E"/>
    <w:rsid w:val="000B3E43"/>
    <w:rsid w:val="000B4E99"/>
    <w:rsid w:val="000B5B16"/>
    <w:rsid w:val="000B648A"/>
    <w:rsid w:val="000C45E7"/>
    <w:rsid w:val="000C5956"/>
    <w:rsid w:val="000C757F"/>
    <w:rsid w:val="000C7DD4"/>
    <w:rsid w:val="000D1164"/>
    <w:rsid w:val="000D1BBE"/>
    <w:rsid w:val="000D3773"/>
    <w:rsid w:val="000D4DE9"/>
    <w:rsid w:val="000D58E0"/>
    <w:rsid w:val="000D6660"/>
    <w:rsid w:val="000D6BA0"/>
    <w:rsid w:val="000D7ECA"/>
    <w:rsid w:val="000E2F81"/>
    <w:rsid w:val="000E3726"/>
    <w:rsid w:val="000E39DB"/>
    <w:rsid w:val="000F0558"/>
    <w:rsid w:val="000F0AC3"/>
    <w:rsid w:val="000F1611"/>
    <w:rsid w:val="000F175F"/>
    <w:rsid w:val="000F17D1"/>
    <w:rsid w:val="000F1CC9"/>
    <w:rsid w:val="000F5ABD"/>
    <w:rsid w:val="000F60FF"/>
    <w:rsid w:val="000F6F7C"/>
    <w:rsid w:val="001005BB"/>
    <w:rsid w:val="00103B0E"/>
    <w:rsid w:val="001040EA"/>
    <w:rsid w:val="00112BCF"/>
    <w:rsid w:val="00114E7E"/>
    <w:rsid w:val="00117465"/>
    <w:rsid w:val="00117F22"/>
    <w:rsid w:val="00120280"/>
    <w:rsid w:val="001207F2"/>
    <w:rsid w:val="00121533"/>
    <w:rsid w:val="0012304E"/>
    <w:rsid w:val="00123051"/>
    <w:rsid w:val="0012558C"/>
    <w:rsid w:val="001257C7"/>
    <w:rsid w:val="00125E66"/>
    <w:rsid w:val="001262F4"/>
    <w:rsid w:val="001263E1"/>
    <w:rsid w:val="00126AC0"/>
    <w:rsid w:val="00126C2B"/>
    <w:rsid w:val="00127A01"/>
    <w:rsid w:val="00130D77"/>
    <w:rsid w:val="00131EF6"/>
    <w:rsid w:val="0013251D"/>
    <w:rsid w:val="00134734"/>
    <w:rsid w:val="00134CBE"/>
    <w:rsid w:val="00140C30"/>
    <w:rsid w:val="001427AE"/>
    <w:rsid w:val="00142C74"/>
    <w:rsid w:val="001453EF"/>
    <w:rsid w:val="00145E5B"/>
    <w:rsid w:val="00147319"/>
    <w:rsid w:val="00147551"/>
    <w:rsid w:val="0015012F"/>
    <w:rsid w:val="00150C2E"/>
    <w:rsid w:val="0015170D"/>
    <w:rsid w:val="001517AE"/>
    <w:rsid w:val="00154FA5"/>
    <w:rsid w:val="0015531A"/>
    <w:rsid w:val="00156F9D"/>
    <w:rsid w:val="001602E3"/>
    <w:rsid w:val="00160539"/>
    <w:rsid w:val="00161548"/>
    <w:rsid w:val="00162D92"/>
    <w:rsid w:val="0016464C"/>
    <w:rsid w:val="0017176A"/>
    <w:rsid w:val="00172B54"/>
    <w:rsid w:val="00174038"/>
    <w:rsid w:val="00174D16"/>
    <w:rsid w:val="00176874"/>
    <w:rsid w:val="0017725A"/>
    <w:rsid w:val="0018052A"/>
    <w:rsid w:val="00180952"/>
    <w:rsid w:val="0018191A"/>
    <w:rsid w:val="00185B68"/>
    <w:rsid w:val="00186199"/>
    <w:rsid w:val="001874E3"/>
    <w:rsid w:val="001878B0"/>
    <w:rsid w:val="00194155"/>
    <w:rsid w:val="001A0417"/>
    <w:rsid w:val="001A0B71"/>
    <w:rsid w:val="001A1389"/>
    <w:rsid w:val="001A3016"/>
    <w:rsid w:val="001A3914"/>
    <w:rsid w:val="001A4B71"/>
    <w:rsid w:val="001A5FA6"/>
    <w:rsid w:val="001B053A"/>
    <w:rsid w:val="001B08B3"/>
    <w:rsid w:val="001B0A62"/>
    <w:rsid w:val="001B0C78"/>
    <w:rsid w:val="001B151C"/>
    <w:rsid w:val="001B1A13"/>
    <w:rsid w:val="001B22BA"/>
    <w:rsid w:val="001B3C1C"/>
    <w:rsid w:val="001B4983"/>
    <w:rsid w:val="001C2045"/>
    <w:rsid w:val="001C5040"/>
    <w:rsid w:val="001C715A"/>
    <w:rsid w:val="001D0DB0"/>
    <w:rsid w:val="001D0F6A"/>
    <w:rsid w:val="001D2FA5"/>
    <w:rsid w:val="001D3394"/>
    <w:rsid w:val="001D3D57"/>
    <w:rsid w:val="001D4980"/>
    <w:rsid w:val="001D5045"/>
    <w:rsid w:val="001D5A44"/>
    <w:rsid w:val="001D5CD0"/>
    <w:rsid w:val="001D63BB"/>
    <w:rsid w:val="001D724B"/>
    <w:rsid w:val="001E023C"/>
    <w:rsid w:val="001E0BA5"/>
    <w:rsid w:val="001F03E1"/>
    <w:rsid w:val="001F1F19"/>
    <w:rsid w:val="001F2BD1"/>
    <w:rsid w:val="001F3080"/>
    <w:rsid w:val="001F3CC6"/>
    <w:rsid w:val="001F5F5F"/>
    <w:rsid w:val="001F60E9"/>
    <w:rsid w:val="002035B9"/>
    <w:rsid w:val="00205064"/>
    <w:rsid w:val="0020548A"/>
    <w:rsid w:val="002079FA"/>
    <w:rsid w:val="00211668"/>
    <w:rsid w:val="002118A6"/>
    <w:rsid w:val="002122FF"/>
    <w:rsid w:val="002125F7"/>
    <w:rsid w:val="0021288A"/>
    <w:rsid w:val="002150AC"/>
    <w:rsid w:val="0021650B"/>
    <w:rsid w:val="00221938"/>
    <w:rsid w:val="00222262"/>
    <w:rsid w:val="00222ABD"/>
    <w:rsid w:val="002230A8"/>
    <w:rsid w:val="00227D20"/>
    <w:rsid w:val="00231BCE"/>
    <w:rsid w:val="0023336A"/>
    <w:rsid w:val="002359EB"/>
    <w:rsid w:val="0023649E"/>
    <w:rsid w:val="00236926"/>
    <w:rsid w:val="00241740"/>
    <w:rsid w:val="002424E4"/>
    <w:rsid w:val="00243122"/>
    <w:rsid w:val="002437F5"/>
    <w:rsid w:val="00244DB1"/>
    <w:rsid w:val="00244FDA"/>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4E55"/>
    <w:rsid w:val="00266645"/>
    <w:rsid w:val="00267386"/>
    <w:rsid w:val="00267C2E"/>
    <w:rsid w:val="00267DA9"/>
    <w:rsid w:val="00273E5C"/>
    <w:rsid w:val="0027576B"/>
    <w:rsid w:val="00275FD0"/>
    <w:rsid w:val="00280514"/>
    <w:rsid w:val="002810D8"/>
    <w:rsid w:val="002819E7"/>
    <w:rsid w:val="00282FF2"/>
    <w:rsid w:val="00283483"/>
    <w:rsid w:val="002844B5"/>
    <w:rsid w:val="0028459B"/>
    <w:rsid w:val="00285618"/>
    <w:rsid w:val="002872F8"/>
    <w:rsid w:val="00293065"/>
    <w:rsid w:val="002953E8"/>
    <w:rsid w:val="00296E4A"/>
    <w:rsid w:val="00297260"/>
    <w:rsid w:val="002976E5"/>
    <w:rsid w:val="002A1F14"/>
    <w:rsid w:val="002A2678"/>
    <w:rsid w:val="002A3369"/>
    <w:rsid w:val="002A3965"/>
    <w:rsid w:val="002A4B8A"/>
    <w:rsid w:val="002A5161"/>
    <w:rsid w:val="002A5C0F"/>
    <w:rsid w:val="002A6385"/>
    <w:rsid w:val="002A7929"/>
    <w:rsid w:val="002B41D7"/>
    <w:rsid w:val="002B5240"/>
    <w:rsid w:val="002B6A13"/>
    <w:rsid w:val="002C0904"/>
    <w:rsid w:val="002C0F67"/>
    <w:rsid w:val="002C1E84"/>
    <w:rsid w:val="002C36C3"/>
    <w:rsid w:val="002C77CC"/>
    <w:rsid w:val="002D2A00"/>
    <w:rsid w:val="002D5199"/>
    <w:rsid w:val="002E2862"/>
    <w:rsid w:val="002E2BEF"/>
    <w:rsid w:val="002E356A"/>
    <w:rsid w:val="002E4C01"/>
    <w:rsid w:val="002F0516"/>
    <w:rsid w:val="002F22D2"/>
    <w:rsid w:val="002F778A"/>
    <w:rsid w:val="00302187"/>
    <w:rsid w:val="003028D8"/>
    <w:rsid w:val="0030290F"/>
    <w:rsid w:val="00302DE9"/>
    <w:rsid w:val="00302FAB"/>
    <w:rsid w:val="00303869"/>
    <w:rsid w:val="00303F1D"/>
    <w:rsid w:val="00305084"/>
    <w:rsid w:val="00305153"/>
    <w:rsid w:val="00311ABF"/>
    <w:rsid w:val="00314A81"/>
    <w:rsid w:val="00314DD2"/>
    <w:rsid w:val="00315A7C"/>
    <w:rsid w:val="00317705"/>
    <w:rsid w:val="003177CA"/>
    <w:rsid w:val="00320453"/>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1704"/>
    <w:rsid w:val="003570C8"/>
    <w:rsid w:val="00367770"/>
    <w:rsid w:val="00371424"/>
    <w:rsid w:val="00371FF4"/>
    <w:rsid w:val="00372209"/>
    <w:rsid w:val="003771ED"/>
    <w:rsid w:val="0037768B"/>
    <w:rsid w:val="00381791"/>
    <w:rsid w:val="00382E6F"/>
    <w:rsid w:val="00387C00"/>
    <w:rsid w:val="00397960"/>
    <w:rsid w:val="00397F75"/>
    <w:rsid w:val="003A2008"/>
    <w:rsid w:val="003A3BC4"/>
    <w:rsid w:val="003A4AA3"/>
    <w:rsid w:val="003B405E"/>
    <w:rsid w:val="003B4843"/>
    <w:rsid w:val="003B494E"/>
    <w:rsid w:val="003C6E9E"/>
    <w:rsid w:val="003C792F"/>
    <w:rsid w:val="003D117A"/>
    <w:rsid w:val="003D36B2"/>
    <w:rsid w:val="003D42D5"/>
    <w:rsid w:val="003D656E"/>
    <w:rsid w:val="003D7783"/>
    <w:rsid w:val="003D78B5"/>
    <w:rsid w:val="003E0BD4"/>
    <w:rsid w:val="003E45B9"/>
    <w:rsid w:val="003E654C"/>
    <w:rsid w:val="003F0DE5"/>
    <w:rsid w:val="003F0E22"/>
    <w:rsid w:val="003F1058"/>
    <w:rsid w:val="003F13CD"/>
    <w:rsid w:val="003F46FC"/>
    <w:rsid w:val="003F4AA5"/>
    <w:rsid w:val="003F697D"/>
    <w:rsid w:val="003F7C45"/>
    <w:rsid w:val="00400500"/>
    <w:rsid w:val="0040132C"/>
    <w:rsid w:val="00404257"/>
    <w:rsid w:val="00407F66"/>
    <w:rsid w:val="004113B4"/>
    <w:rsid w:val="0041220A"/>
    <w:rsid w:val="00413B96"/>
    <w:rsid w:val="00413C2C"/>
    <w:rsid w:val="00414367"/>
    <w:rsid w:val="00415168"/>
    <w:rsid w:val="00415A8A"/>
    <w:rsid w:val="00415B04"/>
    <w:rsid w:val="00416A6B"/>
    <w:rsid w:val="0042044C"/>
    <w:rsid w:val="00421624"/>
    <w:rsid w:val="00424151"/>
    <w:rsid w:val="00425208"/>
    <w:rsid w:val="00425A5A"/>
    <w:rsid w:val="00425FB6"/>
    <w:rsid w:val="004268BB"/>
    <w:rsid w:val="0042785F"/>
    <w:rsid w:val="004314FF"/>
    <w:rsid w:val="004408EC"/>
    <w:rsid w:val="00440F74"/>
    <w:rsid w:val="00441816"/>
    <w:rsid w:val="00441FEC"/>
    <w:rsid w:val="004425E8"/>
    <w:rsid w:val="00443C8F"/>
    <w:rsid w:val="00447BC6"/>
    <w:rsid w:val="004501CE"/>
    <w:rsid w:val="00452481"/>
    <w:rsid w:val="00454A0F"/>
    <w:rsid w:val="0046335D"/>
    <w:rsid w:val="00463C2C"/>
    <w:rsid w:val="00471D81"/>
    <w:rsid w:val="004733AC"/>
    <w:rsid w:val="00483271"/>
    <w:rsid w:val="00490F85"/>
    <w:rsid w:val="0049210E"/>
    <w:rsid w:val="0049297D"/>
    <w:rsid w:val="0049327D"/>
    <w:rsid w:val="0049405D"/>
    <w:rsid w:val="0049455C"/>
    <w:rsid w:val="00495A03"/>
    <w:rsid w:val="004A135B"/>
    <w:rsid w:val="004A1BE1"/>
    <w:rsid w:val="004A3251"/>
    <w:rsid w:val="004A4980"/>
    <w:rsid w:val="004A4F68"/>
    <w:rsid w:val="004A63CB"/>
    <w:rsid w:val="004A67B0"/>
    <w:rsid w:val="004A6FB2"/>
    <w:rsid w:val="004B0847"/>
    <w:rsid w:val="004B0E6D"/>
    <w:rsid w:val="004B16E8"/>
    <w:rsid w:val="004B67DB"/>
    <w:rsid w:val="004C0541"/>
    <w:rsid w:val="004C3A16"/>
    <w:rsid w:val="004C634A"/>
    <w:rsid w:val="004C660B"/>
    <w:rsid w:val="004D050C"/>
    <w:rsid w:val="004D23D9"/>
    <w:rsid w:val="004D29A9"/>
    <w:rsid w:val="004D3537"/>
    <w:rsid w:val="004D4D4E"/>
    <w:rsid w:val="004D614E"/>
    <w:rsid w:val="004D650F"/>
    <w:rsid w:val="004E2133"/>
    <w:rsid w:val="004E4E04"/>
    <w:rsid w:val="004E6CBA"/>
    <w:rsid w:val="004F521C"/>
    <w:rsid w:val="00502CD8"/>
    <w:rsid w:val="0050361C"/>
    <w:rsid w:val="00503BF4"/>
    <w:rsid w:val="00506A40"/>
    <w:rsid w:val="0051064F"/>
    <w:rsid w:val="00513461"/>
    <w:rsid w:val="00513A0E"/>
    <w:rsid w:val="00515D7B"/>
    <w:rsid w:val="00515F29"/>
    <w:rsid w:val="0052009E"/>
    <w:rsid w:val="00523F04"/>
    <w:rsid w:val="00524368"/>
    <w:rsid w:val="0052438C"/>
    <w:rsid w:val="00526282"/>
    <w:rsid w:val="00530161"/>
    <w:rsid w:val="00532DB7"/>
    <w:rsid w:val="00536F71"/>
    <w:rsid w:val="00544342"/>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35"/>
    <w:rsid w:val="0057154B"/>
    <w:rsid w:val="0057278A"/>
    <w:rsid w:val="005742DB"/>
    <w:rsid w:val="00575C75"/>
    <w:rsid w:val="00577209"/>
    <w:rsid w:val="005800A9"/>
    <w:rsid w:val="00581139"/>
    <w:rsid w:val="00581645"/>
    <w:rsid w:val="0058694E"/>
    <w:rsid w:val="005875F9"/>
    <w:rsid w:val="00593A35"/>
    <w:rsid w:val="00593C74"/>
    <w:rsid w:val="00594934"/>
    <w:rsid w:val="005954CF"/>
    <w:rsid w:val="00597D8B"/>
    <w:rsid w:val="005A46FF"/>
    <w:rsid w:val="005A557E"/>
    <w:rsid w:val="005A63FD"/>
    <w:rsid w:val="005B462A"/>
    <w:rsid w:val="005B5137"/>
    <w:rsid w:val="005B6047"/>
    <w:rsid w:val="005C0ED7"/>
    <w:rsid w:val="005C5409"/>
    <w:rsid w:val="005C62A5"/>
    <w:rsid w:val="005C6FF7"/>
    <w:rsid w:val="005C7D00"/>
    <w:rsid w:val="005D01A4"/>
    <w:rsid w:val="005D0BAB"/>
    <w:rsid w:val="005D1893"/>
    <w:rsid w:val="005D26E9"/>
    <w:rsid w:val="005D2CAA"/>
    <w:rsid w:val="005D4B66"/>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101F5"/>
    <w:rsid w:val="00610DA5"/>
    <w:rsid w:val="00611663"/>
    <w:rsid w:val="00611CB2"/>
    <w:rsid w:val="0061321C"/>
    <w:rsid w:val="00613F44"/>
    <w:rsid w:val="006160BD"/>
    <w:rsid w:val="00620EDB"/>
    <w:rsid w:val="0062386E"/>
    <w:rsid w:val="00624C10"/>
    <w:rsid w:val="006253EF"/>
    <w:rsid w:val="00626075"/>
    <w:rsid w:val="0062680E"/>
    <w:rsid w:val="00630C47"/>
    <w:rsid w:val="00631158"/>
    <w:rsid w:val="00632923"/>
    <w:rsid w:val="006341E6"/>
    <w:rsid w:val="00634439"/>
    <w:rsid w:val="006366C6"/>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548FA"/>
    <w:rsid w:val="0066098B"/>
    <w:rsid w:val="00661244"/>
    <w:rsid w:val="006640DF"/>
    <w:rsid w:val="00666A3C"/>
    <w:rsid w:val="00667519"/>
    <w:rsid w:val="006676A0"/>
    <w:rsid w:val="00670857"/>
    <w:rsid w:val="00670868"/>
    <w:rsid w:val="00673D69"/>
    <w:rsid w:val="00676431"/>
    <w:rsid w:val="00677A9C"/>
    <w:rsid w:val="0068050D"/>
    <w:rsid w:val="00684C6B"/>
    <w:rsid w:val="00685FFC"/>
    <w:rsid w:val="00686943"/>
    <w:rsid w:val="00686EDE"/>
    <w:rsid w:val="00687AD5"/>
    <w:rsid w:val="00690A31"/>
    <w:rsid w:val="006911CE"/>
    <w:rsid w:val="00692002"/>
    <w:rsid w:val="00695251"/>
    <w:rsid w:val="00695B58"/>
    <w:rsid w:val="006A1153"/>
    <w:rsid w:val="006A4828"/>
    <w:rsid w:val="006A7C09"/>
    <w:rsid w:val="006B046C"/>
    <w:rsid w:val="006B252F"/>
    <w:rsid w:val="006B3940"/>
    <w:rsid w:val="006B4B1E"/>
    <w:rsid w:val="006B7FA5"/>
    <w:rsid w:val="006C168D"/>
    <w:rsid w:val="006C21E6"/>
    <w:rsid w:val="006C4033"/>
    <w:rsid w:val="006C5BC9"/>
    <w:rsid w:val="006C642C"/>
    <w:rsid w:val="006C7247"/>
    <w:rsid w:val="006D462B"/>
    <w:rsid w:val="006D7386"/>
    <w:rsid w:val="006E0DAD"/>
    <w:rsid w:val="006E313F"/>
    <w:rsid w:val="006E6CA2"/>
    <w:rsid w:val="006F1F1A"/>
    <w:rsid w:val="006F5AC2"/>
    <w:rsid w:val="006F6C28"/>
    <w:rsid w:val="007007EB"/>
    <w:rsid w:val="00701109"/>
    <w:rsid w:val="00701F57"/>
    <w:rsid w:val="00701FD8"/>
    <w:rsid w:val="00703E8A"/>
    <w:rsid w:val="00706046"/>
    <w:rsid w:val="007112F0"/>
    <w:rsid w:val="00711343"/>
    <w:rsid w:val="00714309"/>
    <w:rsid w:val="0071450F"/>
    <w:rsid w:val="00717772"/>
    <w:rsid w:val="00720B42"/>
    <w:rsid w:val="00721DBE"/>
    <w:rsid w:val="007226EC"/>
    <w:rsid w:val="00722B5E"/>
    <w:rsid w:val="00724F6D"/>
    <w:rsid w:val="0072678C"/>
    <w:rsid w:val="007320AD"/>
    <w:rsid w:val="00732D1D"/>
    <w:rsid w:val="00734119"/>
    <w:rsid w:val="007350D4"/>
    <w:rsid w:val="00736034"/>
    <w:rsid w:val="00736D15"/>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36C2"/>
    <w:rsid w:val="00784FE0"/>
    <w:rsid w:val="007858B1"/>
    <w:rsid w:val="0078648E"/>
    <w:rsid w:val="00790803"/>
    <w:rsid w:val="00791A3A"/>
    <w:rsid w:val="00791D9C"/>
    <w:rsid w:val="007A1AB6"/>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D7C43"/>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146"/>
    <w:rsid w:val="0083623B"/>
    <w:rsid w:val="00836C5A"/>
    <w:rsid w:val="00837E59"/>
    <w:rsid w:val="00840AC0"/>
    <w:rsid w:val="00842100"/>
    <w:rsid w:val="008428A9"/>
    <w:rsid w:val="0084308F"/>
    <w:rsid w:val="00846C2B"/>
    <w:rsid w:val="0085139A"/>
    <w:rsid w:val="008524F6"/>
    <w:rsid w:val="008532F3"/>
    <w:rsid w:val="00854B3F"/>
    <w:rsid w:val="00861C2C"/>
    <w:rsid w:val="00863744"/>
    <w:rsid w:val="00865CFA"/>
    <w:rsid w:val="008668B8"/>
    <w:rsid w:val="0086748F"/>
    <w:rsid w:val="00867B4D"/>
    <w:rsid w:val="00867CF3"/>
    <w:rsid w:val="00874AA3"/>
    <w:rsid w:val="00874AB5"/>
    <w:rsid w:val="00877671"/>
    <w:rsid w:val="00877A13"/>
    <w:rsid w:val="008811F8"/>
    <w:rsid w:val="008869BC"/>
    <w:rsid w:val="00887DDD"/>
    <w:rsid w:val="00887DE6"/>
    <w:rsid w:val="00887E9F"/>
    <w:rsid w:val="008908AA"/>
    <w:rsid w:val="00890E08"/>
    <w:rsid w:val="008927F0"/>
    <w:rsid w:val="00894DCA"/>
    <w:rsid w:val="00896602"/>
    <w:rsid w:val="00897D88"/>
    <w:rsid w:val="008A00BE"/>
    <w:rsid w:val="008A1539"/>
    <w:rsid w:val="008A2C5D"/>
    <w:rsid w:val="008A3BE2"/>
    <w:rsid w:val="008A6957"/>
    <w:rsid w:val="008A6B30"/>
    <w:rsid w:val="008B05E7"/>
    <w:rsid w:val="008B0758"/>
    <w:rsid w:val="008B1875"/>
    <w:rsid w:val="008B4146"/>
    <w:rsid w:val="008B5312"/>
    <w:rsid w:val="008B59CE"/>
    <w:rsid w:val="008B6078"/>
    <w:rsid w:val="008B6085"/>
    <w:rsid w:val="008B7110"/>
    <w:rsid w:val="008B7F4A"/>
    <w:rsid w:val="008C04E1"/>
    <w:rsid w:val="008C04FE"/>
    <w:rsid w:val="008C2F50"/>
    <w:rsid w:val="008C3109"/>
    <w:rsid w:val="008C32F7"/>
    <w:rsid w:val="008C383A"/>
    <w:rsid w:val="008C5312"/>
    <w:rsid w:val="008C5DBD"/>
    <w:rsid w:val="008C61D6"/>
    <w:rsid w:val="008C7498"/>
    <w:rsid w:val="008D49AF"/>
    <w:rsid w:val="008D4A2B"/>
    <w:rsid w:val="008D4A9F"/>
    <w:rsid w:val="008D6294"/>
    <w:rsid w:val="008E1FE0"/>
    <w:rsid w:val="008E3939"/>
    <w:rsid w:val="008E3DDD"/>
    <w:rsid w:val="008F23F4"/>
    <w:rsid w:val="008F61C4"/>
    <w:rsid w:val="008F7763"/>
    <w:rsid w:val="009007CB"/>
    <w:rsid w:val="00901041"/>
    <w:rsid w:val="009010F0"/>
    <w:rsid w:val="00901162"/>
    <w:rsid w:val="00901C2E"/>
    <w:rsid w:val="00901D46"/>
    <w:rsid w:val="009028E2"/>
    <w:rsid w:val="00903692"/>
    <w:rsid w:val="00904E07"/>
    <w:rsid w:val="00906059"/>
    <w:rsid w:val="00912BAF"/>
    <w:rsid w:val="0091311E"/>
    <w:rsid w:val="00914EAB"/>
    <w:rsid w:val="0091541F"/>
    <w:rsid w:val="00920D98"/>
    <w:rsid w:val="0092108C"/>
    <w:rsid w:val="00922D49"/>
    <w:rsid w:val="009238DB"/>
    <w:rsid w:val="00925E37"/>
    <w:rsid w:val="00925EDD"/>
    <w:rsid w:val="0092665C"/>
    <w:rsid w:val="00930079"/>
    <w:rsid w:val="00930966"/>
    <w:rsid w:val="00932F64"/>
    <w:rsid w:val="00935FB1"/>
    <w:rsid w:val="00936075"/>
    <w:rsid w:val="00936D40"/>
    <w:rsid w:val="00937ABF"/>
    <w:rsid w:val="00937DB1"/>
    <w:rsid w:val="009463CC"/>
    <w:rsid w:val="0094687A"/>
    <w:rsid w:val="00950413"/>
    <w:rsid w:val="0095078E"/>
    <w:rsid w:val="00952404"/>
    <w:rsid w:val="00952A72"/>
    <w:rsid w:val="009533AD"/>
    <w:rsid w:val="009542B3"/>
    <w:rsid w:val="009550A8"/>
    <w:rsid w:val="00955FF2"/>
    <w:rsid w:val="0095693D"/>
    <w:rsid w:val="00956B0D"/>
    <w:rsid w:val="0096224F"/>
    <w:rsid w:val="0096260B"/>
    <w:rsid w:val="009631C1"/>
    <w:rsid w:val="00970C69"/>
    <w:rsid w:val="00973B57"/>
    <w:rsid w:val="00973E0D"/>
    <w:rsid w:val="0097403F"/>
    <w:rsid w:val="00976797"/>
    <w:rsid w:val="00980C0C"/>
    <w:rsid w:val="00982E47"/>
    <w:rsid w:val="00983E7D"/>
    <w:rsid w:val="00991642"/>
    <w:rsid w:val="0099260C"/>
    <w:rsid w:val="009942F4"/>
    <w:rsid w:val="00995B3C"/>
    <w:rsid w:val="00996BCA"/>
    <w:rsid w:val="00997454"/>
    <w:rsid w:val="009A045B"/>
    <w:rsid w:val="009A0513"/>
    <w:rsid w:val="009A1119"/>
    <w:rsid w:val="009A2283"/>
    <w:rsid w:val="009A31AF"/>
    <w:rsid w:val="009A3507"/>
    <w:rsid w:val="009A529F"/>
    <w:rsid w:val="009A5C1D"/>
    <w:rsid w:val="009A6018"/>
    <w:rsid w:val="009A7C28"/>
    <w:rsid w:val="009B0273"/>
    <w:rsid w:val="009B4286"/>
    <w:rsid w:val="009B5BF9"/>
    <w:rsid w:val="009B5DAF"/>
    <w:rsid w:val="009B5F83"/>
    <w:rsid w:val="009B61C5"/>
    <w:rsid w:val="009B769E"/>
    <w:rsid w:val="009C03E5"/>
    <w:rsid w:val="009C3F17"/>
    <w:rsid w:val="009C4D19"/>
    <w:rsid w:val="009C5FDB"/>
    <w:rsid w:val="009C65AF"/>
    <w:rsid w:val="009C70CB"/>
    <w:rsid w:val="009C74DD"/>
    <w:rsid w:val="009D0312"/>
    <w:rsid w:val="009D27AA"/>
    <w:rsid w:val="009D2AD9"/>
    <w:rsid w:val="009D514E"/>
    <w:rsid w:val="009D5A40"/>
    <w:rsid w:val="009D5C39"/>
    <w:rsid w:val="009D6FED"/>
    <w:rsid w:val="009E0A95"/>
    <w:rsid w:val="009E0D47"/>
    <w:rsid w:val="009E549D"/>
    <w:rsid w:val="009E54AF"/>
    <w:rsid w:val="009E5C59"/>
    <w:rsid w:val="009E6BB8"/>
    <w:rsid w:val="009F0FB1"/>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17E5B"/>
    <w:rsid w:val="00A20263"/>
    <w:rsid w:val="00A2168F"/>
    <w:rsid w:val="00A248B1"/>
    <w:rsid w:val="00A26437"/>
    <w:rsid w:val="00A30E4D"/>
    <w:rsid w:val="00A32410"/>
    <w:rsid w:val="00A32B48"/>
    <w:rsid w:val="00A35D6F"/>
    <w:rsid w:val="00A36D00"/>
    <w:rsid w:val="00A42462"/>
    <w:rsid w:val="00A43389"/>
    <w:rsid w:val="00A4642E"/>
    <w:rsid w:val="00A47AF8"/>
    <w:rsid w:val="00A52D75"/>
    <w:rsid w:val="00A53013"/>
    <w:rsid w:val="00A54BD6"/>
    <w:rsid w:val="00A5643A"/>
    <w:rsid w:val="00A57678"/>
    <w:rsid w:val="00A6090C"/>
    <w:rsid w:val="00A6200E"/>
    <w:rsid w:val="00A62D1E"/>
    <w:rsid w:val="00A65C6D"/>
    <w:rsid w:val="00A670C7"/>
    <w:rsid w:val="00A716B9"/>
    <w:rsid w:val="00A720D8"/>
    <w:rsid w:val="00A72216"/>
    <w:rsid w:val="00A733F2"/>
    <w:rsid w:val="00A75705"/>
    <w:rsid w:val="00A75BE1"/>
    <w:rsid w:val="00A8187C"/>
    <w:rsid w:val="00A82C9E"/>
    <w:rsid w:val="00A8324F"/>
    <w:rsid w:val="00A84193"/>
    <w:rsid w:val="00A85142"/>
    <w:rsid w:val="00A875B4"/>
    <w:rsid w:val="00A95B37"/>
    <w:rsid w:val="00A96B6F"/>
    <w:rsid w:val="00AA0CE8"/>
    <w:rsid w:val="00AA35FD"/>
    <w:rsid w:val="00AA3DB7"/>
    <w:rsid w:val="00AA5EF2"/>
    <w:rsid w:val="00AA5F63"/>
    <w:rsid w:val="00AA7EBD"/>
    <w:rsid w:val="00AB0590"/>
    <w:rsid w:val="00AB1112"/>
    <w:rsid w:val="00AB67DE"/>
    <w:rsid w:val="00AB69EF"/>
    <w:rsid w:val="00AC11DC"/>
    <w:rsid w:val="00AC23B0"/>
    <w:rsid w:val="00AC3E87"/>
    <w:rsid w:val="00AC469F"/>
    <w:rsid w:val="00AD0611"/>
    <w:rsid w:val="00AD0E4F"/>
    <w:rsid w:val="00AD26D7"/>
    <w:rsid w:val="00AD3905"/>
    <w:rsid w:val="00AD4555"/>
    <w:rsid w:val="00AD4A31"/>
    <w:rsid w:val="00AD5638"/>
    <w:rsid w:val="00AD7214"/>
    <w:rsid w:val="00AE1066"/>
    <w:rsid w:val="00AE12A4"/>
    <w:rsid w:val="00AE2480"/>
    <w:rsid w:val="00AE2E1B"/>
    <w:rsid w:val="00AE5129"/>
    <w:rsid w:val="00AE5645"/>
    <w:rsid w:val="00AE68BC"/>
    <w:rsid w:val="00AF1D6B"/>
    <w:rsid w:val="00AF24AA"/>
    <w:rsid w:val="00AF3AF9"/>
    <w:rsid w:val="00AF3E5F"/>
    <w:rsid w:val="00AF44C1"/>
    <w:rsid w:val="00AF4F09"/>
    <w:rsid w:val="00AF643E"/>
    <w:rsid w:val="00AF79C8"/>
    <w:rsid w:val="00B00FA8"/>
    <w:rsid w:val="00B011B0"/>
    <w:rsid w:val="00B0391C"/>
    <w:rsid w:val="00B047F6"/>
    <w:rsid w:val="00B06019"/>
    <w:rsid w:val="00B06246"/>
    <w:rsid w:val="00B0700F"/>
    <w:rsid w:val="00B1493B"/>
    <w:rsid w:val="00B15119"/>
    <w:rsid w:val="00B17169"/>
    <w:rsid w:val="00B23996"/>
    <w:rsid w:val="00B23CB2"/>
    <w:rsid w:val="00B249C0"/>
    <w:rsid w:val="00B24A18"/>
    <w:rsid w:val="00B255C5"/>
    <w:rsid w:val="00B25807"/>
    <w:rsid w:val="00B268DD"/>
    <w:rsid w:val="00B32AE1"/>
    <w:rsid w:val="00B35FEC"/>
    <w:rsid w:val="00B37780"/>
    <w:rsid w:val="00B37813"/>
    <w:rsid w:val="00B37EEF"/>
    <w:rsid w:val="00B404F1"/>
    <w:rsid w:val="00B41C1D"/>
    <w:rsid w:val="00B43917"/>
    <w:rsid w:val="00B4515C"/>
    <w:rsid w:val="00B46220"/>
    <w:rsid w:val="00B464EA"/>
    <w:rsid w:val="00B47574"/>
    <w:rsid w:val="00B5430C"/>
    <w:rsid w:val="00B54884"/>
    <w:rsid w:val="00B56A90"/>
    <w:rsid w:val="00B5711C"/>
    <w:rsid w:val="00B57BCF"/>
    <w:rsid w:val="00B57E36"/>
    <w:rsid w:val="00B60209"/>
    <w:rsid w:val="00B606A3"/>
    <w:rsid w:val="00B625CB"/>
    <w:rsid w:val="00B63F2B"/>
    <w:rsid w:val="00B64D3A"/>
    <w:rsid w:val="00B65D6F"/>
    <w:rsid w:val="00B673F3"/>
    <w:rsid w:val="00B67A25"/>
    <w:rsid w:val="00B7354A"/>
    <w:rsid w:val="00B7435B"/>
    <w:rsid w:val="00B74446"/>
    <w:rsid w:val="00B74B59"/>
    <w:rsid w:val="00B75F09"/>
    <w:rsid w:val="00B76BBB"/>
    <w:rsid w:val="00B77142"/>
    <w:rsid w:val="00B8024E"/>
    <w:rsid w:val="00B80C3A"/>
    <w:rsid w:val="00B84643"/>
    <w:rsid w:val="00B90452"/>
    <w:rsid w:val="00B90780"/>
    <w:rsid w:val="00B916D6"/>
    <w:rsid w:val="00B91AD8"/>
    <w:rsid w:val="00B9209B"/>
    <w:rsid w:val="00B9240D"/>
    <w:rsid w:val="00B95753"/>
    <w:rsid w:val="00B97E42"/>
    <w:rsid w:val="00BA0425"/>
    <w:rsid w:val="00BA0C05"/>
    <w:rsid w:val="00BA54D0"/>
    <w:rsid w:val="00BA7E30"/>
    <w:rsid w:val="00BB04BF"/>
    <w:rsid w:val="00BB1013"/>
    <w:rsid w:val="00BB4515"/>
    <w:rsid w:val="00BB7B89"/>
    <w:rsid w:val="00BC1A9B"/>
    <w:rsid w:val="00BC2A22"/>
    <w:rsid w:val="00BC4986"/>
    <w:rsid w:val="00BC5E2E"/>
    <w:rsid w:val="00BC6379"/>
    <w:rsid w:val="00BC6C3E"/>
    <w:rsid w:val="00BC7EEF"/>
    <w:rsid w:val="00BD2308"/>
    <w:rsid w:val="00BD43BB"/>
    <w:rsid w:val="00BD72C1"/>
    <w:rsid w:val="00BD7ADE"/>
    <w:rsid w:val="00BE1A85"/>
    <w:rsid w:val="00BE46ED"/>
    <w:rsid w:val="00BE4FD1"/>
    <w:rsid w:val="00BE642D"/>
    <w:rsid w:val="00BE6D7A"/>
    <w:rsid w:val="00BF07C4"/>
    <w:rsid w:val="00BF2511"/>
    <w:rsid w:val="00BF377F"/>
    <w:rsid w:val="00BF3F88"/>
    <w:rsid w:val="00BF416F"/>
    <w:rsid w:val="00BF57BE"/>
    <w:rsid w:val="00C0042B"/>
    <w:rsid w:val="00C02E58"/>
    <w:rsid w:val="00C030B6"/>
    <w:rsid w:val="00C04B38"/>
    <w:rsid w:val="00C067B7"/>
    <w:rsid w:val="00C10A09"/>
    <w:rsid w:val="00C121BC"/>
    <w:rsid w:val="00C12FA4"/>
    <w:rsid w:val="00C14D92"/>
    <w:rsid w:val="00C16739"/>
    <w:rsid w:val="00C17F3F"/>
    <w:rsid w:val="00C23BA2"/>
    <w:rsid w:val="00C260A2"/>
    <w:rsid w:val="00C30CFF"/>
    <w:rsid w:val="00C30DEC"/>
    <w:rsid w:val="00C31142"/>
    <w:rsid w:val="00C31DEF"/>
    <w:rsid w:val="00C338EB"/>
    <w:rsid w:val="00C35BB7"/>
    <w:rsid w:val="00C36B35"/>
    <w:rsid w:val="00C400CD"/>
    <w:rsid w:val="00C41617"/>
    <w:rsid w:val="00C4309A"/>
    <w:rsid w:val="00C43F23"/>
    <w:rsid w:val="00C43FF1"/>
    <w:rsid w:val="00C45494"/>
    <w:rsid w:val="00C52D18"/>
    <w:rsid w:val="00C559CE"/>
    <w:rsid w:val="00C55E19"/>
    <w:rsid w:val="00C563AD"/>
    <w:rsid w:val="00C563BF"/>
    <w:rsid w:val="00C56EF8"/>
    <w:rsid w:val="00C57512"/>
    <w:rsid w:val="00C57607"/>
    <w:rsid w:val="00C61133"/>
    <w:rsid w:val="00C64009"/>
    <w:rsid w:val="00C7016D"/>
    <w:rsid w:val="00C74CED"/>
    <w:rsid w:val="00C754C7"/>
    <w:rsid w:val="00C767B3"/>
    <w:rsid w:val="00C76C07"/>
    <w:rsid w:val="00C80F23"/>
    <w:rsid w:val="00C850A3"/>
    <w:rsid w:val="00C87568"/>
    <w:rsid w:val="00C9167A"/>
    <w:rsid w:val="00C92451"/>
    <w:rsid w:val="00C9272C"/>
    <w:rsid w:val="00C97764"/>
    <w:rsid w:val="00C97C9B"/>
    <w:rsid w:val="00CA2211"/>
    <w:rsid w:val="00CA28FE"/>
    <w:rsid w:val="00CA344C"/>
    <w:rsid w:val="00CA7FF7"/>
    <w:rsid w:val="00CB142D"/>
    <w:rsid w:val="00CB29F6"/>
    <w:rsid w:val="00CB2BBF"/>
    <w:rsid w:val="00CB481C"/>
    <w:rsid w:val="00CB4C8C"/>
    <w:rsid w:val="00CB62E1"/>
    <w:rsid w:val="00CB6EFE"/>
    <w:rsid w:val="00CC16F9"/>
    <w:rsid w:val="00CC28A9"/>
    <w:rsid w:val="00CC4183"/>
    <w:rsid w:val="00CC70A4"/>
    <w:rsid w:val="00CC78C7"/>
    <w:rsid w:val="00CD4A0C"/>
    <w:rsid w:val="00CD5CEF"/>
    <w:rsid w:val="00CE06EC"/>
    <w:rsid w:val="00CE592E"/>
    <w:rsid w:val="00CE5BB5"/>
    <w:rsid w:val="00CE5BC5"/>
    <w:rsid w:val="00CF16A4"/>
    <w:rsid w:val="00CF299F"/>
    <w:rsid w:val="00CF3357"/>
    <w:rsid w:val="00CF58DF"/>
    <w:rsid w:val="00D00BC3"/>
    <w:rsid w:val="00D03538"/>
    <w:rsid w:val="00D04410"/>
    <w:rsid w:val="00D05EE7"/>
    <w:rsid w:val="00D06394"/>
    <w:rsid w:val="00D06A9D"/>
    <w:rsid w:val="00D07C15"/>
    <w:rsid w:val="00D11D4F"/>
    <w:rsid w:val="00D13A01"/>
    <w:rsid w:val="00D15733"/>
    <w:rsid w:val="00D20364"/>
    <w:rsid w:val="00D207B2"/>
    <w:rsid w:val="00D2130C"/>
    <w:rsid w:val="00D26746"/>
    <w:rsid w:val="00D26DDD"/>
    <w:rsid w:val="00D27BDC"/>
    <w:rsid w:val="00D3194F"/>
    <w:rsid w:val="00D33751"/>
    <w:rsid w:val="00D36169"/>
    <w:rsid w:val="00D37343"/>
    <w:rsid w:val="00D37495"/>
    <w:rsid w:val="00D41727"/>
    <w:rsid w:val="00D427E4"/>
    <w:rsid w:val="00D45F1B"/>
    <w:rsid w:val="00D477DB"/>
    <w:rsid w:val="00D47A9E"/>
    <w:rsid w:val="00D52289"/>
    <w:rsid w:val="00D55A37"/>
    <w:rsid w:val="00D55B7E"/>
    <w:rsid w:val="00D564C7"/>
    <w:rsid w:val="00D64354"/>
    <w:rsid w:val="00D66685"/>
    <w:rsid w:val="00D70D35"/>
    <w:rsid w:val="00D71351"/>
    <w:rsid w:val="00D71997"/>
    <w:rsid w:val="00D753E9"/>
    <w:rsid w:val="00D777B9"/>
    <w:rsid w:val="00D82273"/>
    <w:rsid w:val="00D82FA5"/>
    <w:rsid w:val="00D84A4B"/>
    <w:rsid w:val="00D84B45"/>
    <w:rsid w:val="00D85287"/>
    <w:rsid w:val="00D857AE"/>
    <w:rsid w:val="00D8623D"/>
    <w:rsid w:val="00D867FB"/>
    <w:rsid w:val="00D86D97"/>
    <w:rsid w:val="00D873C4"/>
    <w:rsid w:val="00D90E11"/>
    <w:rsid w:val="00D9110D"/>
    <w:rsid w:val="00D91124"/>
    <w:rsid w:val="00D91987"/>
    <w:rsid w:val="00D92168"/>
    <w:rsid w:val="00D93426"/>
    <w:rsid w:val="00D94B22"/>
    <w:rsid w:val="00D958D3"/>
    <w:rsid w:val="00D9594F"/>
    <w:rsid w:val="00D97213"/>
    <w:rsid w:val="00DA134E"/>
    <w:rsid w:val="00DA13F3"/>
    <w:rsid w:val="00DA2DE3"/>
    <w:rsid w:val="00DA451D"/>
    <w:rsid w:val="00DA64AF"/>
    <w:rsid w:val="00DB1F4F"/>
    <w:rsid w:val="00DB2AC7"/>
    <w:rsid w:val="00DB704C"/>
    <w:rsid w:val="00DC693B"/>
    <w:rsid w:val="00DC7C77"/>
    <w:rsid w:val="00DD0F5D"/>
    <w:rsid w:val="00DD426D"/>
    <w:rsid w:val="00DD74FC"/>
    <w:rsid w:val="00DE117F"/>
    <w:rsid w:val="00DE1769"/>
    <w:rsid w:val="00DE1A17"/>
    <w:rsid w:val="00DE44C8"/>
    <w:rsid w:val="00DE64CC"/>
    <w:rsid w:val="00DE6AA9"/>
    <w:rsid w:val="00DE7B30"/>
    <w:rsid w:val="00DF0C0B"/>
    <w:rsid w:val="00DF18FE"/>
    <w:rsid w:val="00DF20C7"/>
    <w:rsid w:val="00DF4D0C"/>
    <w:rsid w:val="00DF5C20"/>
    <w:rsid w:val="00DF7D81"/>
    <w:rsid w:val="00E02DEB"/>
    <w:rsid w:val="00E042A1"/>
    <w:rsid w:val="00E0476C"/>
    <w:rsid w:val="00E0576B"/>
    <w:rsid w:val="00E067EA"/>
    <w:rsid w:val="00E06D18"/>
    <w:rsid w:val="00E104FA"/>
    <w:rsid w:val="00E12F1F"/>
    <w:rsid w:val="00E1320D"/>
    <w:rsid w:val="00E139F8"/>
    <w:rsid w:val="00E16022"/>
    <w:rsid w:val="00E1738C"/>
    <w:rsid w:val="00E174FF"/>
    <w:rsid w:val="00E205AA"/>
    <w:rsid w:val="00E22296"/>
    <w:rsid w:val="00E270C6"/>
    <w:rsid w:val="00E27360"/>
    <w:rsid w:val="00E27C04"/>
    <w:rsid w:val="00E27C82"/>
    <w:rsid w:val="00E30713"/>
    <w:rsid w:val="00E30EDF"/>
    <w:rsid w:val="00E312D7"/>
    <w:rsid w:val="00E316AF"/>
    <w:rsid w:val="00E31FBA"/>
    <w:rsid w:val="00E328E2"/>
    <w:rsid w:val="00E336BB"/>
    <w:rsid w:val="00E3384E"/>
    <w:rsid w:val="00E34B63"/>
    <w:rsid w:val="00E374C8"/>
    <w:rsid w:val="00E40156"/>
    <w:rsid w:val="00E4042D"/>
    <w:rsid w:val="00E4135D"/>
    <w:rsid w:val="00E43750"/>
    <w:rsid w:val="00E50630"/>
    <w:rsid w:val="00E508EB"/>
    <w:rsid w:val="00E521E3"/>
    <w:rsid w:val="00E53B7A"/>
    <w:rsid w:val="00E550C9"/>
    <w:rsid w:val="00E55405"/>
    <w:rsid w:val="00E5645D"/>
    <w:rsid w:val="00E627A4"/>
    <w:rsid w:val="00E6280E"/>
    <w:rsid w:val="00E62C9C"/>
    <w:rsid w:val="00E630EE"/>
    <w:rsid w:val="00E64D70"/>
    <w:rsid w:val="00E67A61"/>
    <w:rsid w:val="00E70455"/>
    <w:rsid w:val="00E73221"/>
    <w:rsid w:val="00E7356F"/>
    <w:rsid w:val="00E75116"/>
    <w:rsid w:val="00E763EB"/>
    <w:rsid w:val="00E80A5B"/>
    <w:rsid w:val="00E8153C"/>
    <w:rsid w:val="00E8342F"/>
    <w:rsid w:val="00E84632"/>
    <w:rsid w:val="00E847EE"/>
    <w:rsid w:val="00E85E29"/>
    <w:rsid w:val="00E876F9"/>
    <w:rsid w:val="00E90508"/>
    <w:rsid w:val="00E90B39"/>
    <w:rsid w:val="00E94FFB"/>
    <w:rsid w:val="00E96A72"/>
    <w:rsid w:val="00E96B52"/>
    <w:rsid w:val="00EA01F7"/>
    <w:rsid w:val="00EA083F"/>
    <w:rsid w:val="00EA1D33"/>
    <w:rsid w:val="00EA1F5A"/>
    <w:rsid w:val="00EA375F"/>
    <w:rsid w:val="00EA6415"/>
    <w:rsid w:val="00EA7104"/>
    <w:rsid w:val="00EA7533"/>
    <w:rsid w:val="00EB067F"/>
    <w:rsid w:val="00EB2419"/>
    <w:rsid w:val="00EB45F5"/>
    <w:rsid w:val="00EB58F5"/>
    <w:rsid w:val="00EB6E6B"/>
    <w:rsid w:val="00EC010F"/>
    <w:rsid w:val="00EC224D"/>
    <w:rsid w:val="00EC2C9B"/>
    <w:rsid w:val="00EC2E3A"/>
    <w:rsid w:val="00EC3CCB"/>
    <w:rsid w:val="00EC54CD"/>
    <w:rsid w:val="00EC5A74"/>
    <w:rsid w:val="00EC737D"/>
    <w:rsid w:val="00ED2154"/>
    <w:rsid w:val="00ED4277"/>
    <w:rsid w:val="00ED576D"/>
    <w:rsid w:val="00ED7C8C"/>
    <w:rsid w:val="00ED7DDB"/>
    <w:rsid w:val="00ED7FDD"/>
    <w:rsid w:val="00EE0DEA"/>
    <w:rsid w:val="00EE431B"/>
    <w:rsid w:val="00EE4874"/>
    <w:rsid w:val="00EE53E5"/>
    <w:rsid w:val="00EE6654"/>
    <w:rsid w:val="00EE73FB"/>
    <w:rsid w:val="00EE7BF0"/>
    <w:rsid w:val="00EF2674"/>
    <w:rsid w:val="00EF556F"/>
    <w:rsid w:val="00EF7BE0"/>
    <w:rsid w:val="00EF7D07"/>
    <w:rsid w:val="00F016DD"/>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33991"/>
    <w:rsid w:val="00F3477D"/>
    <w:rsid w:val="00F347FE"/>
    <w:rsid w:val="00F34859"/>
    <w:rsid w:val="00F356F7"/>
    <w:rsid w:val="00F40055"/>
    <w:rsid w:val="00F40868"/>
    <w:rsid w:val="00F44FDE"/>
    <w:rsid w:val="00F4518C"/>
    <w:rsid w:val="00F46467"/>
    <w:rsid w:val="00F4715C"/>
    <w:rsid w:val="00F47FF8"/>
    <w:rsid w:val="00F50707"/>
    <w:rsid w:val="00F529B5"/>
    <w:rsid w:val="00F52AA4"/>
    <w:rsid w:val="00F56162"/>
    <w:rsid w:val="00F56B7E"/>
    <w:rsid w:val="00F6052F"/>
    <w:rsid w:val="00F60F44"/>
    <w:rsid w:val="00F62FDE"/>
    <w:rsid w:val="00F645D2"/>
    <w:rsid w:val="00F654E6"/>
    <w:rsid w:val="00F662CD"/>
    <w:rsid w:val="00F67E39"/>
    <w:rsid w:val="00F703A8"/>
    <w:rsid w:val="00F707F1"/>
    <w:rsid w:val="00F7094A"/>
    <w:rsid w:val="00F710BE"/>
    <w:rsid w:val="00F72579"/>
    <w:rsid w:val="00F804B9"/>
    <w:rsid w:val="00F80AE2"/>
    <w:rsid w:val="00F8265F"/>
    <w:rsid w:val="00F83FF9"/>
    <w:rsid w:val="00F85A1C"/>
    <w:rsid w:val="00F85FCB"/>
    <w:rsid w:val="00F870C3"/>
    <w:rsid w:val="00F91B52"/>
    <w:rsid w:val="00F97478"/>
    <w:rsid w:val="00F97B71"/>
    <w:rsid w:val="00F97B9E"/>
    <w:rsid w:val="00FA0527"/>
    <w:rsid w:val="00FA085E"/>
    <w:rsid w:val="00FA0947"/>
    <w:rsid w:val="00FA2D49"/>
    <w:rsid w:val="00FA472B"/>
    <w:rsid w:val="00FA4B52"/>
    <w:rsid w:val="00FA4D4F"/>
    <w:rsid w:val="00FA4D5B"/>
    <w:rsid w:val="00FA54E8"/>
    <w:rsid w:val="00FA6245"/>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7D41"/>
    <w:rsid w:val="00FE0072"/>
    <w:rsid w:val="00FE0C71"/>
    <w:rsid w:val="00FE1E47"/>
    <w:rsid w:val="00FE275D"/>
    <w:rsid w:val="00FE4F1A"/>
    <w:rsid w:val="00FE65AC"/>
    <w:rsid w:val="00FE7FBD"/>
    <w:rsid w:val="00FF10BC"/>
    <w:rsid w:val="00FF5DCF"/>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Normal Indent" w:semiHidden="0" w:uiPriority="0" w:unhideWhenUsed="0"/>
    <w:lsdException w:name="annotation text" w:uiPriority="0"/>
    <w:lsdException w:locked="1" w:name="header" w:semiHidden="0" w:uiPriority="0" w:unhideWhenUsed="0"/>
    <w:lsdException w:locked="1" w:name="caption" w:qFormat="1" w:uiPriority="0"/>
    <w:lsdException w:name="annotation reference"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6A4828"/>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180952"/>
    <w:rPr>
      <w:b/>
      <w:kern w:val="44"/>
      <w:sz w:val="44"/>
    </w:rPr>
  </w:style>
  <w:style w:customStyle="1" w:styleId="2Char" w:type="character">
    <w:name w:val="标题 2 Char"/>
    <w:link w:val="2"/>
    <w:uiPriority w:val="99"/>
    <w:semiHidden/>
    <w:locked/>
    <w:rsid w:val="00AB1112"/>
    <w:rPr>
      <w:rFonts w:ascii="Cambria" w:eastAsia="宋体" w:hAnsi="Cambria"/>
      <w:b/>
      <w:sz w:val="32"/>
    </w:rPr>
  </w:style>
  <w:style w:styleId="a0" w:type="paragraph">
    <w:name w:val="Normal Indent"/>
    <w:basedOn w:val="a"/>
    <w:uiPriority w:val="99"/>
    <w:rsid w:val="006A4828"/>
    <w:pPr>
      <w:ind w:firstLine="420" w:firstLineChars="200"/>
    </w:pPr>
  </w:style>
  <w:style w:styleId="a4" w:type="paragraph">
    <w:name w:val="Body Text Indent"/>
    <w:basedOn w:val="a"/>
    <w:link w:val="Char"/>
    <w:uiPriority w:val="99"/>
    <w:rsid w:val="006A4828"/>
    <w:pPr>
      <w:widowControl/>
      <w:spacing w:after="100" w:afterAutospacing="1" w:before="100" w:beforeAutospacing="1"/>
      <w:jc w:val="left"/>
    </w:pPr>
    <w:rPr>
      <w:kern w:val="0"/>
      <w:sz w:val="24"/>
    </w:rPr>
  </w:style>
  <w:style w:customStyle="1" w:styleId="Char" w:type="character">
    <w:name w:val="正文文本缩进 Char"/>
    <w:link w:val="a4"/>
    <w:uiPriority w:val="99"/>
    <w:semiHidden/>
    <w:locked/>
    <w:rsid w:val="00AB1112"/>
    <w:rPr>
      <w:sz w:val="24"/>
    </w:rPr>
  </w:style>
  <w:style w:styleId="a5" w:type="paragraph">
    <w:name w:val="Plain Text"/>
    <w:basedOn w:val="a"/>
    <w:link w:val="Char0"/>
    <w:uiPriority w:val="99"/>
    <w:rsid w:val="006A4828"/>
    <w:rPr>
      <w:rFonts w:ascii="宋体" w:hAnsi="Courier New"/>
      <w:szCs w:val="21"/>
    </w:rPr>
  </w:style>
  <w:style w:customStyle="1" w:styleId="Char0" w:type="character">
    <w:name w:val="纯文本 Char"/>
    <w:link w:val="a5"/>
    <w:uiPriority w:val="99"/>
    <w:locked/>
    <w:rsid w:val="009A045B"/>
    <w:rPr>
      <w:rFonts w:ascii="宋体" w:hAnsi="Courier New"/>
      <w:kern w:val="2"/>
      <w:sz w:val="21"/>
    </w:rPr>
  </w:style>
  <w:style w:styleId="20" w:type="paragraph">
    <w:name w:val="Body Text Indent 2"/>
    <w:basedOn w:val="a"/>
    <w:link w:val="2Char0"/>
    <w:uiPriority w:val="99"/>
    <w:rsid w:val="006A4828"/>
    <w:pPr>
      <w:spacing w:line="560" w:lineRule="exact"/>
      <w:ind w:firstLine="480" w:firstLineChars="200"/>
    </w:pPr>
    <w:rPr>
      <w:kern w:val="0"/>
      <w:sz w:val="24"/>
    </w:rPr>
  </w:style>
  <w:style w:customStyle="1" w:styleId="2Char0" w:type="character">
    <w:name w:val="正文文本缩进 2 Char"/>
    <w:link w:val="20"/>
    <w:uiPriority w:val="99"/>
    <w:semiHidden/>
    <w:locked/>
    <w:rsid w:val="00AB1112"/>
    <w:rPr>
      <w:sz w:val="24"/>
    </w:rPr>
  </w:style>
  <w:style w:styleId="a6" w:type="paragraph">
    <w:name w:val="footer"/>
    <w:basedOn w:val="a"/>
    <w:link w:val="Char1"/>
    <w:uiPriority w:val="99"/>
    <w:rsid w:val="006A4828"/>
    <w:pPr>
      <w:tabs>
        <w:tab w:pos="4153" w:val="center"/>
        <w:tab w:pos="8306" w:val="right"/>
      </w:tabs>
      <w:snapToGrid w:val="0"/>
      <w:jc w:val="left"/>
    </w:pPr>
    <w:rPr>
      <w:kern w:val="0"/>
      <w:sz w:val="18"/>
      <w:szCs w:val="18"/>
    </w:rPr>
  </w:style>
  <w:style w:customStyle="1" w:styleId="Char1" w:type="character">
    <w:name w:val="页脚 Char"/>
    <w:link w:val="a6"/>
    <w:uiPriority w:val="99"/>
    <w:semiHidden/>
    <w:locked/>
    <w:rsid w:val="00AB1112"/>
    <w:rPr>
      <w:sz w:val="18"/>
    </w:rPr>
  </w:style>
  <w:style w:styleId="a7" w:type="character">
    <w:name w:val="page number"/>
    <w:uiPriority w:val="99"/>
    <w:rsid w:val="006A4828"/>
    <w:rPr>
      <w:rFonts w:cs="Times New Roman"/>
    </w:rPr>
  </w:style>
  <w:style w:styleId="a8" w:type="character">
    <w:name w:val="Hyperlink"/>
    <w:uiPriority w:val="99"/>
    <w:rsid w:val="006A4828"/>
    <w:rPr>
      <w:rFonts w:cs="Times New Roman"/>
      <w:color w:val="0000FF"/>
      <w:u w:val="single"/>
    </w:rPr>
  </w:style>
  <w:style w:styleId="3" w:type="paragraph">
    <w:name w:val="Body Text Indent 3"/>
    <w:basedOn w:val="a"/>
    <w:link w:val="3Char"/>
    <w:uiPriority w:val="99"/>
    <w:rsid w:val="006A4828"/>
    <w:pPr>
      <w:spacing w:line="560" w:lineRule="exact"/>
      <w:ind w:firstLine="420" w:firstLineChars="200"/>
    </w:pPr>
    <w:rPr>
      <w:kern w:val="0"/>
      <w:sz w:val="16"/>
      <w:szCs w:val="16"/>
    </w:rPr>
  </w:style>
  <w:style w:customStyle="1" w:styleId="3Char" w:type="character">
    <w:name w:val="正文文本缩进 3 Char"/>
    <w:link w:val="3"/>
    <w:uiPriority w:val="99"/>
    <w:semiHidden/>
    <w:locked/>
    <w:rsid w:val="00AB1112"/>
    <w:rPr>
      <w:sz w:val="16"/>
    </w:rPr>
  </w:style>
  <w:style w:styleId="a9" w:type="paragraph">
    <w:name w:val="header"/>
    <w:basedOn w:val="a"/>
    <w:link w:val="Char2"/>
    <w:uiPriority w:val="99"/>
    <w:rsid w:val="006A4828"/>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1207F2"/>
    <w:rPr>
      <w:kern w:val="2"/>
      <w:sz w:val="18"/>
    </w:rPr>
  </w:style>
  <w:style w:customStyle="1" w:styleId="10" w:type="character">
    <w:name w:val="已访问的超链接1"/>
    <w:uiPriority w:val="99"/>
    <w:rsid w:val="006A4828"/>
    <w:rPr>
      <w:color w:val="800080"/>
      <w:u w:val="single"/>
    </w:rPr>
  </w:style>
  <w:style w:styleId="aa" w:type="paragraph">
    <w:name w:val="List"/>
    <w:basedOn w:val="ab"/>
    <w:uiPriority w:val="99"/>
    <w:rsid w:val="006A4828"/>
    <w:pPr>
      <w:spacing w:after="220" w:line="220" w:lineRule="atLeast"/>
      <w:ind w:hanging="360" w:left="1440"/>
    </w:pPr>
    <w:rPr>
      <w:szCs w:val="20"/>
    </w:rPr>
  </w:style>
  <w:style w:styleId="ab" w:type="paragraph">
    <w:name w:val="Body Text"/>
    <w:basedOn w:val="a"/>
    <w:link w:val="Char3"/>
    <w:uiPriority w:val="99"/>
    <w:rsid w:val="006A4828"/>
    <w:pPr>
      <w:spacing w:after="120"/>
    </w:pPr>
    <w:rPr>
      <w:kern w:val="0"/>
      <w:sz w:val="24"/>
    </w:rPr>
  </w:style>
  <w:style w:customStyle="1" w:styleId="Char3" w:type="character">
    <w:name w:val="正文文本 Char"/>
    <w:link w:val="ab"/>
    <w:uiPriority w:val="99"/>
    <w:semiHidden/>
    <w:locked/>
    <w:rsid w:val="00AB1112"/>
    <w:rPr>
      <w:sz w:val="24"/>
    </w:rPr>
  </w:style>
  <w:style w:styleId="ac" w:type="paragraph">
    <w:name w:val="Date"/>
    <w:basedOn w:val="a"/>
    <w:next w:val="a"/>
    <w:link w:val="Char4"/>
    <w:uiPriority w:val="99"/>
    <w:rsid w:val="006A4828"/>
    <w:rPr>
      <w:sz w:val="24"/>
      <w:szCs w:val="20"/>
    </w:rPr>
  </w:style>
  <w:style w:customStyle="1" w:styleId="Char4" w:type="character">
    <w:name w:val="日期 Char"/>
    <w:link w:val="ac"/>
    <w:uiPriority w:val="99"/>
    <w:locked/>
    <w:rsid w:val="00D66685"/>
    <w:rPr>
      <w:kern w:val="2"/>
      <w:sz w:val="24"/>
    </w:rPr>
  </w:style>
  <w:style w:customStyle="1" w:styleId="c1" w:type="character">
    <w:name w:val="c1"/>
    <w:uiPriority w:val="99"/>
    <w:rsid w:val="006A4828"/>
    <w:rPr>
      <w:color w:val="000000"/>
      <w:sz w:val="18"/>
    </w:rPr>
  </w:style>
  <w:style w:styleId="11" w:type="paragraph">
    <w:name w:val="index 1"/>
    <w:basedOn w:val="a"/>
    <w:next w:val="a"/>
    <w:autoRedefine/>
    <w:uiPriority w:val="99"/>
    <w:semiHidden/>
    <w:rsid w:val="006A4828"/>
    <w:pPr>
      <w:jc w:val="right"/>
    </w:pPr>
    <w:rPr>
      <w:color w:val="008000"/>
    </w:rPr>
  </w:style>
  <w:style w:customStyle="1" w:styleId="font5" w:type="paragraph">
    <w:name w:val="font5"/>
    <w:basedOn w:val="a"/>
    <w:uiPriority w:val="99"/>
    <w:rsid w:val="006A4828"/>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link w:val="Char5"/>
    <w:uiPriority w:val="99"/>
    <w:semiHidden/>
    <w:rsid w:val="006A4828"/>
    <w:rPr>
      <w:kern w:val="0"/>
      <w:sz w:val="2"/>
      <w:szCs w:val="20"/>
    </w:rPr>
  </w:style>
  <w:style w:customStyle="1" w:styleId="Char5" w:type="character">
    <w:name w:val="批注框文本 Char"/>
    <w:link w:val="ad"/>
    <w:uiPriority w:val="99"/>
    <w:semiHidden/>
    <w:locked/>
    <w:rsid w:val="00AB1112"/>
    <w:rPr>
      <w:sz w:val="2"/>
    </w:rPr>
  </w:style>
  <w:style w:styleId="ae" w:type="character">
    <w:name w:val="annotation reference"/>
    <w:semiHidden/>
    <w:rsid w:val="006A4828"/>
    <w:rPr>
      <w:rFonts w:cs="Times New Roman"/>
      <w:sz w:val="21"/>
    </w:rPr>
  </w:style>
  <w:style w:styleId="af" w:type="paragraph">
    <w:name w:val="annotation text"/>
    <w:basedOn w:val="a"/>
    <w:link w:val="Char6"/>
    <w:semiHidden/>
    <w:rsid w:val="006A4828"/>
    <w:pPr>
      <w:jc w:val="left"/>
    </w:pPr>
    <w:rPr>
      <w:kern w:val="0"/>
      <w:sz w:val="24"/>
    </w:rPr>
  </w:style>
  <w:style w:customStyle="1" w:styleId="Char6" w:type="character">
    <w:name w:val="批注文字 Char"/>
    <w:link w:val="af"/>
    <w:uiPriority w:val="99"/>
    <w:semiHidden/>
    <w:locked/>
    <w:rsid w:val="00AB1112"/>
    <w:rPr>
      <w:sz w:val="24"/>
    </w:rPr>
  </w:style>
  <w:style w:styleId="af0" w:type="paragraph">
    <w:name w:val="annotation subject"/>
    <w:basedOn w:val="af"/>
    <w:next w:val="af"/>
    <w:link w:val="Char7"/>
    <w:uiPriority w:val="99"/>
    <w:semiHidden/>
    <w:rsid w:val="006A4828"/>
    <w:rPr>
      <w:b/>
      <w:bCs/>
    </w:rPr>
  </w:style>
  <w:style w:customStyle="1" w:styleId="Char7" w:type="character">
    <w:name w:val="批注主题 Char"/>
    <w:link w:val="af0"/>
    <w:uiPriority w:val="99"/>
    <w:semiHidden/>
    <w:locked/>
    <w:rsid w:val="00AB1112"/>
    <w:rPr>
      <w:b/>
      <w:sz w:val="24"/>
    </w:rPr>
  </w:style>
  <w:style w:customStyle="1" w:styleId="Char8" w:type="paragraph">
    <w:name w:val="Char"/>
    <w:basedOn w:val="a"/>
    <w:uiPriority w:val="99"/>
    <w:rsid w:val="006A4828"/>
  </w:style>
  <w:style w:styleId="af1" w:type="paragraph">
    <w:name w:val="Document Map"/>
    <w:basedOn w:val="a"/>
    <w:link w:val="Char9"/>
    <w:uiPriority w:val="99"/>
    <w:semiHidden/>
    <w:rsid w:val="000A549A"/>
    <w:pPr>
      <w:shd w:color="auto" w:fill="000080" w:val="clear"/>
    </w:pPr>
    <w:rPr>
      <w:kern w:val="0"/>
      <w:sz w:val="2"/>
      <w:szCs w:val="20"/>
    </w:rPr>
  </w:style>
  <w:style w:customStyle="1" w:styleId="Char9" w:type="character">
    <w:name w:val="文档结构图 Char"/>
    <w:link w:val="af1"/>
    <w:uiPriority w:val="99"/>
    <w:semiHidden/>
    <w:locked/>
    <w:rsid w:val="00AB1112"/>
    <w:rPr>
      <w:sz w:val="2"/>
    </w:r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a"/>
    <w:uiPriority w:val="99"/>
    <w:rsid w:val="000B251E"/>
    <w:pPr>
      <w:snapToGrid w:val="0"/>
      <w:jc w:val="left"/>
    </w:pPr>
    <w:rPr>
      <w:sz w:val="18"/>
      <w:szCs w:val="18"/>
    </w:rPr>
  </w:style>
  <w:style w:customStyle="1" w:styleId="Chara" w:type="character">
    <w:name w:val="脚注文本 Char"/>
    <w:link w:val="af3"/>
    <w:uiPriority w:val="99"/>
    <w:locked/>
    <w:rsid w:val="00CB481C"/>
    <w:rPr>
      <w:kern w:val="2"/>
      <w:sz w:val="18"/>
    </w:rPr>
  </w:style>
  <w:style w:styleId="af4" w:type="character">
    <w:name w:val="footnote reference"/>
    <w:uiPriority w:val="99"/>
    <w:rsid w:val="000B251E"/>
    <w:rPr>
      <w:rFonts w:cs="Times New Roman"/>
      <w:vertAlign w:val="superscript"/>
    </w:rPr>
  </w:style>
  <w:style w:styleId="af5" w:type="paragraph">
    <w:name w:val="Normal (Web)"/>
    <w:basedOn w:val="a"/>
    <w:uiPriority w:val="99"/>
    <w:rsid w:val="00B25807"/>
    <w:pPr>
      <w:widowControl/>
      <w:spacing w:after="100" w:afterAutospacing="1" w:before="100" w:beforeAutospacing="1"/>
      <w:jc w:val="left"/>
    </w:pPr>
    <w:rPr>
      <w:rFonts w:ascii="宋体" w:hAnsi="宋体"/>
      <w:kern w:val="0"/>
      <w:sz w:val="24"/>
    </w:rPr>
  </w:style>
  <w:style w:customStyle="1" w:styleId="Char10" w:type="paragraph">
    <w:name w:val="Char1"/>
    <w:basedOn w:val="a"/>
    <w:uiPriority w:val="99"/>
    <w:rsid w:val="00D97213"/>
  </w:style>
  <w:style w:customStyle="1" w:styleId="t1" w:type="character">
    <w:name w:val="t1"/>
    <w:uiPriority w:val="99"/>
    <w:rsid w:val="002D2A00"/>
    <w:rPr>
      <w:color w:val="990000"/>
    </w:rPr>
  </w:style>
  <w:style w:customStyle="1" w:styleId="Default" w:type="paragraph">
    <w:name w:val="Default"/>
    <w:uiPriority w:val="99"/>
    <w:rsid w:val="00CB481C"/>
    <w:pPr>
      <w:widowControl w:val="0"/>
      <w:autoSpaceDE w:val="0"/>
      <w:autoSpaceDN w:val="0"/>
      <w:adjustRightInd w:val="0"/>
    </w:pPr>
    <w:rPr>
      <w:rFonts w:ascii="FangSong" w:cs="FangSong" w:hAnsi="FangSong"/>
      <w:color w:val="000000"/>
      <w:sz w:val="24"/>
      <w:szCs w:val="24"/>
    </w:rPr>
  </w:style>
  <w:style w:customStyle="1" w:styleId="5" w:type="numbering">
    <w:name w:val="样式5"/>
    <w:rsid w:val="00C00FED"/>
    <w:pPr>
      <w:numPr>
        <w:numId w:val="8"/>
      </w:numPr>
    </w:pPr>
  </w:style>
  <w:style w:styleId="af6" w:type="character">
    <w:name w:val="Strong"/>
    <w:uiPriority w:val="22"/>
    <w:qFormat/>
    <w:locked/>
    <w:rsid w:val="00AE24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21212">
      <w:bodyDiv w:val="1"/>
      <w:marLeft w:val="0"/>
      <w:marRight w:val="0"/>
      <w:marTop w:val="0"/>
      <w:marBottom w:val="0"/>
      <w:divBdr>
        <w:top w:val="none" w:sz="0" w:space="0" w:color="auto"/>
        <w:left w:val="none" w:sz="0" w:space="0" w:color="auto"/>
        <w:bottom w:val="none" w:sz="0" w:space="0" w:color="auto"/>
        <w:right w:val="none" w:sz="0" w:space="0" w:color="auto"/>
      </w:divBdr>
    </w:div>
    <w:div w:id="888423083">
      <w:marLeft w:val="0"/>
      <w:marRight w:val="0"/>
      <w:marTop w:val="0"/>
      <w:marBottom w:val="0"/>
      <w:divBdr>
        <w:top w:val="none" w:sz="0" w:space="0" w:color="auto"/>
        <w:left w:val="none" w:sz="0" w:space="0" w:color="auto"/>
        <w:bottom w:val="none" w:sz="0" w:space="0" w:color="auto"/>
        <w:right w:val="none" w:sz="0" w:space="0" w:color="auto"/>
      </w:divBdr>
    </w:div>
    <w:div w:id="888423084">
      <w:marLeft w:val="0"/>
      <w:marRight w:val="0"/>
      <w:marTop w:val="0"/>
      <w:marBottom w:val="0"/>
      <w:divBdr>
        <w:top w:val="none" w:sz="0" w:space="0" w:color="auto"/>
        <w:left w:val="none" w:sz="0" w:space="0" w:color="auto"/>
        <w:bottom w:val="none" w:sz="0" w:space="0" w:color="auto"/>
        <w:right w:val="none" w:sz="0" w:space="0" w:color="auto"/>
      </w:divBdr>
    </w:div>
    <w:div w:id="888423085">
      <w:marLeft w:val="0"/>
      <w:marRight w:val="0"/>
      <w:marTop w:val="0"/>
      <w:marBottom w:val="0"/>
      <w:divBdr>
        <w:top w:val="none" w:sz="0" w:space="0" w:color="auto"/>
        <w:left w:val="none" w:sz="0" w:space="0" w:color="auto"/>
        <w:bottom w:val="none" w:sz="0" w:space="0" w:color="auto"/>
        <w:right w:val="none" w:sz="0" w:space="0" w:color="auto"/>
      </w:divBdr>
    </w:div>
    <w:div w:id="888423086">
      <w:marLeft w:val="0"/>
      <w:marRight w:val="0"/>
      <w:marTop w:val="0"/>
      <w:marBottom w:val="0"/>
      <w:divBdr>
        <w:top w:val="none" w:sz="0" w:space="0" w:color="auto"/>
        <w:left w:val="none" w:sz="0" w:space="0" w:color="auto"/>
        <w:bottom w:val="none" w:sz="0" w:space="0" w:color="auto"/>
        <w:right w:val="none" w:sz="0" w:space="0" w:color="auto"/>
      </w:divBdr>
    </w:div>
    <w:div w:id="888423087">
      <w:marLeft w:val="0"/>
      <w:marRight w:val="0"/>
      <w:marTop w:val="0"/>
      <w:marBottom w:val="0"/>
      <w:divBdr>
        <w:top w:val="none" w:sz="0" w:space="0" w:color="auto"/>
        <w:left w:val="none" w:sz="0" w:space="0" w:color="auto"/>
        <w:bottom w:val="none" w:sz="0" w:space="0" w:color="auto"/>
        <w:right w:val="none" w:sz="0" w:space="0" w:color="auto"/>
      </w:divBdr>
    </w:div>
    <w:div w:id="888423088">
      <w:marLeft w:val="0"/>
      <w:marRight w:val="0"/>
      <w:marTop w:val="0"/>
      <w:marBottom w:val="0"/>
      <w:divBdr>
        <w:top w:val="none" w:sz="0" w:space="0" w:color="auto"/>
        <w:left w:val="none" w:sz="0" w:space="0" w:color="auto"/>
        <w:bottom w:val="none" w:sz="0" w:space="0" w:color="auto"/>
        <w:right w:val="none" w:sz="0" w:space="0" w:color="auto"/>
      </w:divBdr>
    </w:div>
    <w:div w:id="888423089">
      <w:marLeft w:val="0"/>
      <w:marRight w:val="0"/>
      <w:marTop w:val="0"/>
      <w:marBottom w:val="0"/>
      <w:divBdr>
        <w:top w:val="none" w:sz="0" w:space="0" w:color="auto"/>
        <w:left w:val="none" w:sz="0" w:space="0" w:color="auto"/>
        <w:bottom w:val="none" w:sz="0" w:space="0" w:color="auto"/>
        <w:right w:val="none" w:sz="0" w:space="0" w:color="auto"/>
      </w:divBdr>
    </w:div>
    <w:div w:id="888423090">
      <w:marLeft w:val="0"/>
      <w:marRight w:val="0"/>
      <w:marTop w:val="0"/>
      <w:marBottom w:val="0"/>
      <w:divBdr>
        <w:top w:val="none" w:sz="0" w:space="0" w:color="auto"/>
        <w:left w:val="none" w:sz="0" w:space="0" w:color="auto"/>
        <w:bottom w:val="none" w:sz="0" w:space="0" w:color="auto"/>
        <w:right w:val="none" w:sz="0" w:space="0" w:color="auto"/>
      </w:divBdr>
    </w:div>
    <w:div w:id="888423091">
      <w:marLeft w:val="0"/>
      <w:marRight w:val="0"/>
      <w:marTop w:val="0"/>
      <w:marBottom w:val="0"/>
      <w:divBdr>
        <w:top w:val="none" w:sz="0" w:space="0" w:color="auto"/>
        <w:left w:val="none" w:sz="0" w:space="0" w:color="auto"/>
        <w:bottom w:val="none" w:sz="0" w:space="0" w:color="auto"/>
        <w:right w:val="none" w:sz="0" w:space="0" w:color="auto"/>
      </w:divBdr>
    </w:div>
    <w:div w:id="888423092">
      <w:marLeft w:val="0"/>
      <w:marRight w:val="0"/>
      <w:marTop w:val="0"/>
      <w:marBottom w:val="0"/>
      <w:divBdr>
        <w:top w:val="none" w:sz="0" w:space="0" w:color="auto"/>
        <w:left w:val="none" w:sz="0" w:space="0" w:color="auto"/>
        <w:bottom w:val="none" w:sz="0" w:space="0" w:color="auto"/>
        <w:right w:val="none" w:sz="0" w:space="0" w:color="auto"/>
      </w:divBdr>
    </w:div>
    <w:div w:id="888423093">
      <w:marLeft w:val="0"/>
      <w:marRight w:val="0"/>
      <w:marTop w:val="0"/>
      <w:marBottom w:val="0"/>
      <w:divBdr>
        <w:top w:val="none" w:sz="0" w:space="0" w:color="auto"/>
        <w:left w:val="none" w:sz="0" w:space="0" w:color="auto"/>
        <w:bottom w:val="none" w:sz="0" w:space="0" w:color="auto"/>
        <w:right w:val="none" w:sz="0" w:space="0" w:color="auto"/>
      </w:divBdr>
    </w:div>
    <w:div w:id="888423095">
      <w:marLeft w:val="0"/>
      <w:marRight w:val="0"/>
      <w:marTop w:val="0"/>
      <w:marBottom w:val="0"/>
      <w:divBdr>
        <w:top w:val="none" w:sz="0" w:space="0" w:color="auto"/>
        <w:left w:val="none" w:sz="0" w:space="0" w:color="auto"/>
        <w:bottom w:val="none" w:sz="0" w:space="0" w:color="auto"/>
        <w:right w:val="none" w:sz="0" w:space="0" w:color="auto"/>
      </w:divBdr>
    </w:div>
    <w:div w:id="888423096">
      <w:marLeft w:val="0"/>
      <w:marRight w:val="0"/>
      <w:marTop w:val="0"/>
      <w:marBottom w:val="0"/>
      <w:divBdr>
        <w:top w:val="none" w:sz="0" w:space="0" w:color="auto"/>
        <w:left w:val="none" w:sz="0" w:space="0" w:color="auto"/>
        <w:bottom w:val="none" w:sz="0" w:space="0" w:color="auto"/>
        <w:right w:val="none" w:sz="0" w:space="0" w:color="auto"/>
      </w:divBdr>
    </w:div>
    <w:div w:id="888423097">
      <w:marLeft w:val="0"/>
      <w:marRight w:val="0"/>
      <w:marTop w:val="0"/>
      <w:marBottom w:val="0"/>
      <w:divBdr>
        <w:top w:val="none" w:sz="0" w:space="0" w:color="auto"/>
        <w:left w:val="none" w:sz="0" w:space="0" w:color="auto"/>
        <w:bottom w:val="none" w:sz="0" w:space="0" w:color="auto"/>
        <w:right w:val="none" w:sz="0" w:space="0" w:color="auto"/>
      </w:divBdr>
    </w:div>
    <w:div w:id="888423098">
      <w:marLeft w:val="0"/>
      <w:marRight w:val="0"/>
      <w:marTop w:val="0"/>
      <w:marBottom w:val="0"/>
      <w:divBdr>
        <w:top w:val="none" w:sz="0" w:space="0" w:color="auto"/>
        <w:left w:val="none" w:sz="0" w:space="0" w:color="auto"/>
        <w:bottom w:val="none" w:sz="0" w:space="0" w:color="auto"/>
        <w:right w:val="none" w:sz="0" w:space="0" w:color="auto"/>
      </w:divBdr>
    </w:div>
    <w:div w:id="888423099">
      <w:marLeft w:val="0"/>
      <w:marRight w:val="0"/>
      <w:marTop w:val="0"/>
      <w:marBottom w:val="0"/>
      <w:divBdr>
        <w:top w:val="none" w:sz="0" w:space="0" w:color="auto"/>
        <w:left w:val="none" w:sz="0" w:space="0" w:color="auto"/>
        <w:bottom w:val="none" w:sz="0" w:space="0" w:color="auto"/>
        <w:right w:val="none" w:sz="0" w:space="0" w:color="auto"/>
      </w:divBdr>
    </w:div>
    <w:div w:id="888423100">
      <w:marLeft w:val="150"/>
      <w:marRight w:val="150"/>
      <w:marTop w:val="150"/>
      <w:marBottom w:val="150"/>
      <w:divBdr>
        <w:top w:val="none" w:sz="0" w:space="0" w:color="auto"/>
        <w:left w:val="none" w:sz="0" w:space="0" w:color="auto"/>
        <w:bottom w:val="none" w:sz="0" w:space="0" w:color="auto"/>
        <w:right w:val="none" w:sz="0" w:space="0" w:color="auto"/>
      </w:divBdr>
      <w:divsChild>
        <w:div w:id="888423094">
          <w:marLeft w:val="0"/>
          <w:marRight w:val="0"/>
          <w:marTop w:val="0"/>
          <w:marBottom w:val="0"/>
          <w:divBdr>
            <w:top w:val="none" w:sz="0" w:space="0" w:color="auto"/>
            <w:left w:val="none" w:sz="0" w:space="0" w:color="auto"/>
            <w:bottom w:val="none" w:sz="0" w:space="0" w:color="auto"/>
            <w:right w:val="none" w:sz="0" w:space="0" w:color="auto"/>
          </w:divBdr>
        </w:div>
      </w:divsChild>
    </w:div>
    <w:div w:id="1691950885">
      <w:bodyDiv w:val="1"/>
      <w:marLeft w:val="0"/>
      <w:marRight w:val="0"/>
      <w:marTop w:val="0"/>
      <w:marBottom w:val="0"/>
      <w:divBdr>
        <w:top w:val="none" w:sz="0" w:space="0" w:color="auto"/>
        <w:left w:val="none" w:sz="0" w:space="0" w:color="auto"/>
        <w:bottom w:val="none" w:sz="0" w:space="0" w:color="auto"/>
        <w:right w:val="none" w:sz="0" w:space="0" w:color="auto"/>
      </w:divBdr>
    </w:div>
    <w:div w:id="1704014345">
      <w:bodyDiv w:val="1"/>
      <w:marLeft w:val="0"/>
      <w:marRight w:val="0"/>
      <w:marTop w:val="0"/>
      <w:marBottom w:val="0"/>
      <w:divBdr>
        <w:top w:val="none" w:sz="0" w:space="0" w:color="auto"/>
        <w:left w:val="none" w:sz="0" w:space="0" w:color="auto"/>
        <w:bottom w:val="none" w:sz="0" w:space="0" w:color="auto"/>
        <w:right w:val="none" w:sz="0" w:space="0" w:color="auto"/>
      </w:divBdr>
    </w:div>
    <w:div w:id="1712071077">
      <w:bodyDiv w:val="1"/>
      <w:marLeft w:val="0"/>
      <w:marRight w:val="0"/>
      <w:marTop w:val="0"/>
      <w:marBottom w:val="0"/>
      <w:divBdr>
        <w:top w:val="none" w:sz="0" w:space="0" w:color="auto"/>
        <w:left w:val="none" w:sz="0" w:space="0" w:color="auto"/>
        <w:bottom w:val="none" w:sz="0" w:space="0" w:color="auto"/>
        <w:right w:val="none" w:sz="0" w:space="0" w:color="auto"/>
      </w:divBdr>
    </w:div>
    <w:div w:id="17940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settings.xml.rels><?xml version="1.0" encoding="UTF-8" standalone="no"?>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abc季报.dot</Template>
  <TotalTime>413</TotalTime>
  <Pages>30</Pages>
  <Words>4559</Words>
  <Characters>25992</Characters>
  <Application>Microsoft Office Word</Application>
  <DocSecurity>0</DocSecurity>
  <Lines>216</Lines>
  <Paragraphs>60</Paragraphs>
  <ScaleCrop>false</ScaleCrop>
  <Company>TRT. Ltd. Co.</Company>
  <LinksUpToDate>false</LinksUpToDate>
  <CharactersWithSpaces>30491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2013-06-21T06:56:00Z</dcterms:created>
  <dc:creator>bonnieliu</dc:creator>
  <cp:lastModifiedBy>sirong han</cp:lastModifiedBy>
  <cp:lastPrinted>2007-07-19T00:46:00Z</cp:lastPrinted>
  <dcterms:modified xsi:type="dcterms:W3CDTF">2020-10-20T06:24:00Z</dcterms:modified>
  <cp:revision>181</cp:revision>
</cp:coreProperties>
</file>