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易方达科翔混合型证券投资基金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中国工商银行股份有限公司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易方达科翔混合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110013</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110013</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2008年11月13日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1,206,687,116.93</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本基金主要投资于红利股，追求在有效控制风险的前提下，实现基金资产的长期稳健增值。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本基金基于定量与定性相结合的宏观及市场分析，确定组合中股票、债券、货币市场工具及其他金融工具的比例，追求更高收益，回避市场风险。</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80%×中证红利指数收益率＋中债总指数收益率×20%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本基金为混合基金，理论上其风险收益水平高于债券基金和货币市场基金，低于股票基金。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中国工商银行股份有限公司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521,720,899.83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74,258,265.92</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0.0610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5,348,421,561.25</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4.432</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注：1.所述基金业绩指标不包括持有人交易基金的各项费用，计入费用后实际收益水平要低于所列数字。</w:t>
      </w:r>
    </w:p>
    <w:p>
      <w:pPr>
        <w:spacing w:line="360" w:lineRule="auto"/>
        <w:ind w:firstLine="480" w:firstLineChars="200"/>
        <w:rPr>
          <w:color w:val="000000"/>
          <w:sz w:val="24"/>
          <w:szCs w:val="24"/>
        </w:rPr>
      </w:pPr>
      <w:r>
        <w:rPr>
          <w:color w:val="000000"/>
          <w:sz w:val="24"/>
        </w:rPr>
        <w:t>2.本期已实现收益指基金本期利息收入、投资收益、其他收入（不含公允价值变动收益）扣除相关费用后的余额，本期利润为本期已实现收益加上本期公允价值变动收益。</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3.本基金已于2008年12月12日对原基金科翔退市时的基金份额进行了拆分，基金拆分比例为1：1.340278796。</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2.00%</w:t>
            </w:r>
          </w:p>
        </w:tc>
        <w:tc>
          <w:tcPr>
            <w:vAlign w:val="center"/>
          </w:tcPr>
          <w:p>
            <w:pPr>
              <w:jc w:val="center"/>
            </w:pPr>
            <w:r>
              <w:rPr>
                <w:color w:val="000000"/>
                <w:kern w:val="0"/>
                <w:sz w:val="24"/>
                <w:szCs w:val="24"/>
              </w:rPr>
              <w:t>1.59%</w:t>
            </w:r>
          </w:p>
        </w:tc>
        <w:tc>
          <w:tcPr>
            <w:vAlign w:val="center"/>
          </w:tcPr>
          <w:p>
            <w:pPr>
              <w:jc w:val="center"/>
            </w:pPr>
            <w:r>
              <w:rPr>
                <w:color w:val="000000"/>
                <w:kern w:val="0"/>
                <w:sz w:val="24"/>
                <w:szCs w:val="24"/>
              </w:rPr>
              <w:t>5.59%</w:t>
            </w:r>
          </w:p>
        </w:tc>
        <w:tc>
          <w:tcPr>
            <w:vAlign w:val="center"/>
          </w:tcPr>
          <w:p>
            <w:pPr>
              <w:jc w:val="center"/>
            </w:pPr>
            <w:r>
              <w:rPr>
                <w:color w:val="000000"/>
                <w:kern w:val="0"/>
                <w:sz w:val="24"/>
                <w:szCs w:val="24"/>
              </w:rPr>
              <w:t>1.16%</w:t>
            </w:r>
          </w:p>
        </w:tc>
        <w:tc>
          <w:tcPr>
            <w:vAlign w:val="center"/>
          </w:tcPr>
          <w:p>
            <w:pPr>
              <w:jc w:val="center"/>
            </w:pPr>
            <w:r>
              <w:rPr>
                <w:color w:val="000000"/>
                <w:kern w:val="0"/>
                <w:sz w:val="24"/>
                <w:szCs w:val="24"/>
              </w:rPr>
              <w:t>-3.59%</w:t>
            </w:r>
          </w:p>
        </w:tc>
        <w:tc>
          <w:tcPr>
            <w:vAlign w:val="center"/>
          </w:tcPr>
          <w:p>
            <w:pPr>
              <w:jc w:val="center"/>
            </w:pPr>
            <w:r>
              <w:rPr>
                <w:color w:val="000000"/>
                <w:kern w:val="0"/>
                <w:sz w:val="24"/>
                <w:szCs w:val="24"/>
              </w:rPr>
              <w:t>0.43%</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39.11%</w:t>
            </w:r>
          </w:p>
        </w:tc>
        <w:tc>
          <w:tcPr>
            <w:vAlign w:val="center"/>
          </w:tcPr>
          <w:p>
            <w:pPr>
              <w:jc w:val="center"/>
            </w:pPr>
            <w:r>
              <w:rPr>
                <w:color w:val="000000"/>
                <w:kern w:val="0"/>
                <w:sz w:val="24"/>
                <w:szCs w:val="24"/>
              </w:rPr>
              <w:t>1.44%</w:t>
            </w:r>
          </w:p>
        </w:tc>
        <w:tc>
          <w:tcPr>
            <w:vAlign w:val="center"/>
          </w:tcPr>
          <w:p>
            <w:pPr>
              <w:jc w:val="center"/>
            </w:pPr>
            <w:r>
              <w:rPr>
                <w:color w:val="000000"/>
                <w:kern w:val="0"/>
                <w:sz w:val="24"/>
                <w:szCs w:val="24"/>
              </w:rPr>
              <w:t>7.73%</w:t>
            </w:r>
          </w:p>
        </w:tc>
        <w:tc>
          <w:tcPr>
            <w:vAlign w:val="center"/>
          </w:tcPr>
          <w:p>
            <w:pPr>
              <w:jc w:val="center"/>
            </w:pPr>
            <w:r>
              <w:rPr>
                <w:color w:val="000000"/>
                <w:kern w:val="0"/>
                <w:sz w:val="24"/>
                <w:szCs w:val="24"/>
              </w:rPr>
              <w:t>0.93%</w:t>
            </w:r>
          </w:p>
        </w:tc>
        <w:tc>
          <w:tcPr>
            <w:vAlign w:val="center"/>
          </w:tcPr>
          <w:p>
            <w:pPr>
              <w:jc w:val="center"/>
            </w:pPr>
            <w:r>
              <w:rPr>
                <w:color w:val="000000"/>
                <w:kern w:val="0"/>
                <w:sz w:val="24"/>
                <w:szCs w:val="24"/>
              </w:rPr>
              <w:t>31.38%</w:t>
            </w:r>
          </w:p>
        </w:tc>
        <w:tc>
          <w:tcPr>
            <w:vAlign w:val="center"/>
          </w:tcPr>
          <w:p>
            <w:pPr>
              <w:jc w:val="center"/>
            </w:pPr>
            <w:r>
              <w:rPr>
                <w:color w:val="000000"/>
                <w:kern w:val="0"/>
                <w:sz w:val="24"/>
                <w:szCs w:val="24"/>
              </w:rPr>
              <w:t>0.51%</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58.85%</w:t>
            </w:r>
          </w:p>
        </w:tc>
        <w:tc>
          <w:tcPr>
            <w:vAlign w:val="center"/>
          </w:tcPr>
          <w:p>
            <w:pPr>
              <w:jc w:val="center"/>
            </w:pPr>
            <w:r>
              <w:rPr>
                <w:color w:val="000000"/>
                <w:kern w:val="0"/>
                <w:sz w:val="24"/>
                <w:szCs w:val="24"/>
              </w:rPr>
              <w:t>1.57%</w:t>
            </w:r>
          </w:p>
        </w:tc>
        <w:tc>
          <w:tcPr>
            <w:vAlign w:val="center"/>
          </w:tcPr>
          <w:p>
            <w:pPr>
              <w:jc w:val="center"/>
            </w:pPr>
            <w:r>
              <w:rPr>
                <w:color w:val="000000"/>
                <w:kern w:val="0"/>
                <w:sz w:val="24"/>
                <w:szCs w:val="24"/>
              </w:rPr>
              <w:t>3.78%</w:t>
            </w:r>
          </w:p>
        </w:tc>
        <w:tc>
          <w:tcPr>
            <w:vAlign w:val="center"/>
          </w:tcPr>
          <w:p>
            <w:pPr>
              <w:jc w:val="center"/>
            </w:pPr>
            <w:r>
              <w:rPr>
                <w:color w:val="000000"/>
                <w:kern w:val="0"/>
                <w:sz w:val="24"/>
                <w:szCs w:val="24"/>
              </w:rPr>
              <w:t>1.02%</w:t>
            </w:r>
          </w:p>
        </w:tc>
        <w:tc>
          <w:tcPr>
            <w:vAlign w:val="center"/>
          </w:tcPr>
          <w:p>
            <w:pPr>
              <w:jc w:val="center"/>
            </w:pPr>
            <w:r>
              <w:rPr>
                <w:color w:val="000000"/>
                <w:kern w:val="0"/>
                <w:sz w:val="24"/>
                <w:szCs w:val="24"/>
              </w:rPr>
              <w:t>55.07%</w:t>
            </w:r>
          </w:p>
        </w:tc>
        <w:tc>
          <w:tcPr>
            <w:vAlign w:val="center"/>
          </w:tcPr>
          <w:p>
            <w:pPr>
              <w:jc w:val="center"/>
            </w:pPr>
            <w:r>
              <w:rPr>
                <w:color w:val="000000"/>
                <w:kern w:val="0"/>
                <w:sz w:val="24"/>
                <w:szCs w:val="24"/>
              </w:rPr>
              <w:t>0.55%</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75.15%</w:t>
            </w:r>
          </w:p>
        </w:tc>
        <w:tc>
          <w:tcPr>
            <w:vAlign w:val="center"/>
          </w:tcPr>
          <w:p>
            <w:pPr>
              <w:jc w:val="center"/>
            </w:pPr>
            <w:r>
              <w:rPr>
                <w:color w:val="000000"/>
                <w:kern w:val="0"/>
                <w:sz w:val="24"/>
                <w:szCs w:val="24"/>
              </w:rPr>
              <w:t>1.54%</w:t>
            </w:r>
          </w:p>
        </w:tc>
        <w:tc>
          <w:tcPr>
            <w:vAlign w:val="center"/>
          </w:tcPr>
          <w:p>
            <w:pPr>
              <w:jc w:val="center"/>
            </w:pPr>
            <w:r>
              <w:rPr>
                <w:color w:val="000000"/>
                <w:kern w:val="0"/>
                <w:sz w:val="24"/>
                <w:szCs w:val="24"/>
              </w:rPr>
              <w:t>-3.82%</w:t>
            </w:r>
          </w:p>
        </w:tc>
        <w:tc>
          <w:tcPr>
            <w:vAlign w:val="center"/>
          </w:tcPr>
          <w:p>
            <w:pPr>
              <w:jc w:val="center"/>
            </w:pPr>
            <w:r>
              <w:rPr>
                <w:color w:val="000000"/>
                <w:kern w:val="0"/>
                <w:sz w:val="24"/>
                <w:szCs w:val="24"/>
              </w:rPr>
              <w:t>0.95%</w:t>
            </w:r>
          </w:p>
        </w:tc>
        <w:tc>
          <w:tcPr>
            <w:vAlign w:val="center"/>
          </w:tcPr>
          <w:p>
            <w:pPr>
              <w:jc w:val="center"/>
            </w:pPr>
            <w:r>
              <w:rPr>
                <w:color w:val="000000"/>
                <w:kern w:val="0"/>
                <w:sz w:val="24"/>
                <w:szCs w:val="24"/>
              </w:rPr>
              <w:t>78.97%</w:t>
            </w:r>
          </w:p>
        </w:tc>
        <w:tc>
          <w:tcPr>
            <w:vAlign w:val="center"/>
          </w:tcPr>
          <w:p>
            <w:pPr>
              <w:jc w:val="center"/>
            </w:pPr>
            <w:r>
              <w:rPr>
                <w:color w:val="000000"/>
                <w:kern w:val="0"/>
                <w:sz w:val="24"/>
                <w:szCs w:val="24"/>
              </w:rPr>
              <w:t>0.59%</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157.45%</w:t>
            </w:r>
          </w:p>
        </w:tc>
        <w:tc>
          <w:tcPr>
            <w:vAlign w:val="center"/>
          </w:tcPr>
          <w:p>
            <w:pPr>
              <w:jc w:val="center"/>
            </w:pPr>
            <w:r>
              <w:rPr>
                <w:color w:val="000000"/>
                <w:kern w:val="0"/>
                <w:sz w:val="24"/>
                <w:szCs w:val="24"/>
              </w:rPr>
              <w:t>1.56%</w:t>
            </w:r>
          </w:p>
        </w:tc>
        <w:tc>
          <w:tcPr>
            <w:vAlign w:val="center"/>
          </w:tcPr>
          <w:p>
            <w:pPr>
              <w:jc w:val="center"/>
            </w:pPr>
            <w:r>
              <w:rPr>
                <w:color w:val="000000"/>
                <w:kern w:val="0"/>
                <w:sz w:val="24"/>
                <w:szCs w:val="24"/>
              </w:rPr>
              <w:t>18.33%</w:t>
            </w:r>
          </w:p>
        </w:tc>
        <w:tc>
          <w:tcPr>
            <w:vAlign w:val="center"/>
          </w:tcPr>
          <w:p>
            <w:pPr>
              <w:jc w:val="center"/>
            </w:pPr>
            <w:r>
              <w:rPr>
                <w:color w:val="000000"/>
                <w:kern w:val="0"/>
                <w:sz w:val="24"/>
                <w:szCs w:val="24"/>
              </w:rPr>
              <w:t>0.97%</w:t>
            </w:r>
          </w:p>
        </w:tc>
        <w:tc>
          <w:tcPr>
            <w:vAlign w:val="center"/>
          </w:tcPr>
          <w:p>
            <w:pPr>
              <w:jc w:val="center"/>
            </w:pPr>
            <w:r>
              <w:rPr>
                <w:color w:val="000000"/>
                <w:kern w:val="0"/>
                <w:sz w:val="24"/>
                <w:szCs w:val="24"/>
              </w:rPr>
              <w:t>139.12%</w:t>
            </w:r>
          </w:p>
        </w:tc>
        <w:tc>
          <w:tcPr>
            <w:vAlign w:val="center"/>
          </w:tcPr>
          <w:p>
            <w:pPr>
              <w:jc w:val="center"/>
            </w:pPr>
            <w:r>
              <w:rPr>
                <w:color w:val="000000"/>
                <w:kern w:val="0"/>
                <w:sz w:val="24"/>
                <w:szCs w:val="24"/>
              </w:rPr>
              <w:t>0.59%</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674.12%</w:t>
            </w:r>
          </w:p>
        </w:tc>
        <w:tc>
          <w:tcPr>
            <w:vAlign w:val="center"/>
          </w:tcPr>
          <w:p>
            <w:pPr>
              <w:jc w:val="center"/>
            </w:pPr>
            <w:r>
              <w:rPr>
                <w:color w:val="000000"/>
                <w:kern w:val="0"/>
                <w:sz w:val="24"/>
                <w:szCs w:val="24"/>
              </w:rPr>
              <w:t>1.60%</w:t>
            </w:r>
          </w:p>
        </w:tc>
        <w:tc>
          <w:tcPr>
            <w:vAlign w:val="center"/>
          </w:tcPr>
          <w:p>
            <w:pPr>
              <w:jc w:val="center"/>
            </w:pPr>
            <w:r>
              <w:rPr>
                <w:color w:val="000000"/>
                <w:kern w:val="0"/>
                <w:sz w:val="24"/>
                <w:szCs w:val="24"/>
              </w:rPr>
              <w:t>124.00%</w:t>
            </w:r>
          </w:p>
        </w:tc>
        <w:tc>
          <w:tcPr>
            <w:vAlign w:val="center"/>
          </w:tcPr>
          <w:p>
            <w:pPr>
              <w:jc w:val="center"/>
            </w:pPr>
            <w:r>
              <w:rPr>
                <w:color w:val="000000"/>
                <w:kern w:val="0"/>
                <w:sz w:val="24"/>
                <w:szCs w:val="24"/>
              </w:rPr>
              <w:t>1.25%</w:t>
            </w:r>
          </w:p>
        </w:tc>
        <w:tc>
          <w:tcPr>
            <w:vAlign w:val="center"/>
          </w:tcPr>
          <w:p>
            <w:pPr>
              <w:jc w:val="center"/>
            </w:pPr>
            <w:r>
              <w:rPr>
                <w:color w:val="000000"/>
                <w:kern w:val="0"/>
                <w:sz w:val="24"/>
                <w:szCs w:val="24"/>
              </w:rPr>
              <w:t>550.12%</w:t>
            </w:r>
          </w:p>
        </w:tc>
        <w:tc>
          <w:tcPr>
            <w:vAlign w:val="center"/>
          </w:tcPr>
          <w:p>
            <w:pPr>
              <w:jc w:val="center"/>
            </w:pPr>
            <w:r>
              <w:rPr>
                <w:color w:val="000000"/>
                <w:kern w:val="0"/>
                <w:sz w:val="24"/>
                <w:szCs w:val="24"/>
              </w:rPr>
              <w:t>0.35%</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自基金转型以来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易方达科翔混合型证券投资基金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2008年11月13日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pPr>
        <w:spacing w:line="360" w:lineRule="auto"/>
        <w:ind w:firstLine="480" w:firstLineChars="200"/>
        <w:rPr>
          <w:color w:val="000000"/>
          <w:sz w:val="24"/>
          <w:szCs w:val="24"/>
        </w:rPr>
      </w:pPr>
      <w:r>
        <w:rPr>
          <w:color w:val="000000"/>
          <w:sz w:val="24"/>
          <w:szCs w:val="24"/>
        </w:rPr>
        <w:t>注：1.本基金由原基金科翔于2008年11月13日转型而来。</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2.自基金转型至报告期末，基金份额净值增长率为674.12%，同期业绩比较基准收益率为124.00%。</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陈皓</w:t>
            </w:r>
          </w:p>
        </w:tc>
        <w:tc>
          <w:tcPr>
            <w:vAlign w:val="center"/>
          </w:tcPr>
          <w:p>
            <w:pPr>
              <w:jc w:val="left"/>
            </w:pPr>
            <w:r>
              <w:rPr>
                <w:color w:val="000000"/>
                <w:sz w:val="24"/>
              </w:rPr>
              <w:t>本基金的基金经理、易方达平稳增长证券投资基金的基金经理、易方达新经济灵活配置混合型证券投资基金的基金经理、易方达科讯混合型证券投资基金的基金经理、易方达科融混合型证券投资基金的基金经理（自2019年03月26日至2020年07月31日）、易方达均衡成长股票型证券投资基金的基金经理、易方达创新未来18个月封闭运作混合型证券投资基金的基金经理、副总经理级高级管理人员、投资一部总经理、权益投资决策委员会委员</w:t>
            </w:r>
          </w:p>
        </w:tc>
        <w:tc>
          <w:tcPr>
            <w:vAlign w:val="center"/>
          </w:tcPr>
          <w:p>
            <w:pPr>
              <w:jc w:val="center"/>
            </w:pPr>
            <w:r>
              <w:rPr>
                <w:color w:val="000000"/>
                <w:sz w:val="24"/>
              </w:rPr>
              <w:t>2014-05-10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硕士研究生，具有基金从业资格。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上证指数上涨7.82%，创业板指数上涨5.60%，市场整体表现较好，大盘蓝筹整体走势强于中小盘成长板块。细分领域中，以食品饮料为代表的消费板块三季度涨幅较大，偏成长的领域中军工、光伏表现较强，而以信息技术为代表的科技板块受流动性以及中美关系等因素影响表现较弱。</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在三季度采取了相对稳健的投资策略，我们从季度初开始判断新兴成长板块在经历前期大幅上涨后需要一定时间盘整和消化，因此适当降低了对这类资产的配置比例，而增配了部分消费以及安全边际较强的大盘蓝筹个股。虽然组合调整让我们在科技板块整体回调幅度较大的情况下控制了净值波动水平，但三季度我们对光伏、免税、疫苗等偏成长领域的机会把握不足，这让我们的组合在成长板块整体风格不占优的情况下表现弱于了市场平均。我们对此有深刻的总结和思考，希望通过我们的勤勉尽责和投资体系的持续进化提升，为投资人贡献持续优异的回报。</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截至报告期末，本基金份额净值为4.432元，本报告期份额净值增长率为2.00%，同期业绩比较基准收益率为5.59%。</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4,610,320,862.42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85.65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4,610,320,862.42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85.65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747,411,319.93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13.89</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25,060,120.90</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0.47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5,382,792,303.25</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3,072,301,391.60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57.44</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647,150,738.28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12.10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350,331,040.16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6.55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99,451,728.34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250,204,431.90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4.68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190,751,287.18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3.57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4,610,320,862.42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86.20</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300476</w:t>
            </w:r>
          </w:p>
        </w:tc>
        <w:tc>
          <w:tcPr>
            <w:vAlign w:val="center"/>
          </w:tcPr>
          <w:p>
            <w:pPr>
              <w:jc w:val="center"/>
            </w:pPr>
            <w:r>
              <w:rPr>
                <w:color w:val="000000"/>
                <w:kern w:val="0"/>
                <w:sz w:val="24"/>
                <w:szCs w:val="24"/>
              </w:rPr>
              <w:t>胜宏科技</w:t>
            </w:r>
          </w:p>
        </w:tc>
        <w:tc>
          <w:tcPr>
            <w:vAlign w:val="center"/>
          </w:tcPr>
          <w:p>
            <w:pPr>
              <w:jc w:val="right"/>
            </w:pPr>
            <w:r>
              <w:rPr>
                <w:color w:val="000000"/>
                <w:kern w:val="0"/>
                <w:sz w:val="24"/>
                <w:szCs w:val="24"/>
              </w:rPr>
              <w:t>15,005,511</w:t>
            </w:r>
          </w:p>
        </w:tc>
        <w:tc>
          <w:tcPr>
            <w:vAlign w:val="center"/>
          </w:tcPr>
          <w:p>
            <w:pPr>
              <w:jc w:val="right"/>
            </w:pPr>
            <w:r>
              <w:rPr>
                <w:color w:val="000000"/>
                <w:kern w:val="0"/>
                <w:sz w:val="24"/>
                <w:szCs w:val="24"/>
              </w:rPr>
              <w:t>304,761,928.41</w:t>
            </w:r>
          </w:p>
        </w:tc>
        <w:tc>
          <w:tcPr>
            <w:vAlign w:val="center"/>
          </w:tcPr>
          <w:p>
            <w:pPr>
              <w:jc w:val="right"/>
            </w:pPr>
            <w:r>
              <w:rPr>
                <w:color w:val="000000"/>
                <w:kern w:val="0"/>
                <w:sz w:val="24"/>
                <w:szCs w:val="24"/>
              </w:rPr>
              <w:t>5.70</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1,221,100</w:t>
            </w:r>
          </w:p>
        </w:tc>
        <w:tc>
          <w:tcPr>
            <w:vAlign w:val="center"/>
          </w:tcPr>
          <w:p>
            <w:pPr>
              <w:jc w:val="right"/>
            </w:pPr>
            <w:r>
              <w:rPr>
                <w:color w:val="000000"/>
                <w:kern w:val="0"/>
                <w:sz w:val="24"/>
                <w:szCs w:val="24"/>
              </w:rPr>
              <w:t>269,863,100.00</w:t>
            </w:r>
          </w:p>
        </w:tc>
        <w:tc>
          <w:tcPr>
            <w:vAlign w:val="center"/>
          </w:tcPr>
          <w:p>
            <w:pPr>
              <w:jc w:val="right"/>
            </w:pPr>
            <w:r>
              <w:rPr>
                <w:color w:val="000000"/>
                <w:kern w:val="0"/>
                <w:sz w:val="24"/>
                <w:szCs w:val="24"/>
              </w:rPr>
              <w:t>5.05</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4,811,269</w:t>
            </w:r>
          </w:p>
        </w:tc>
        <w:tc>
          <w:tcPr>
            <w:vAlign w:val="center"/>
          </w:tcPr>
          <w:p>
            <w:pPr>
              <w:jc w:val="right"/>
            </w:pPr>
            <w:r>
              <w:rPr>
                <w:color w:val="000000"/>
                <w:kern w:val="0"/>
                <w:sz w:val="24"/>
                <w:szCs w:val="24"/>
              </w:rPr>
              <w:t>235,682,876.25</w:t>
            </w:r>
          </w:p>
        </w:tc>
        <w:tc>
          <w:tcPr>
            <w:vAlign w:val="center"/>
          </w:tcPr>
          <w:p>
            <w:pPr>
              <w:jc w:val="right"/>
            </w:pPr>
            <w:r>
              <w:rPr>
                <w:color w:val="000000"/>
                <w:kern w:val="0"/>
                <w:sz w:val="24"/>
                <w:szCs w:val="24"/>
              </w:rPr>
              <w:t>4.41</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601888</w:t>
            </w:r>
          </w:p>
        </w:tc>
        <w:tc>
          <w:tcPr>
            <w:vAlign w:val="center"/>
          </w:tcPr>
          <w:p>
            <w:pPr>
              <w:jc w:val="center"/>
            </w:pPr>
            <w:r>
              <w:rPr>
                <w:color w:val="000000"/>
                <w:kern w:val="0"/>
                <w:sz w:val="24"/>
                <w:szCs w:val="24"/>
              </w:rPr>
              <w:t>中国中免</w:t>
            </w:r>
          </w:p>
        </w:tc>
        <w:tc>
          <w:tcPr>
            <w:vAlign w:val="center"/>
          </w:tcPr>
          <w:p>
            <w:pPr>
              <w:jc w:val="right"/>
            </w:pPr>
            <w:r>
              <w:rPr>
                <w:color w:val="000000"/>
                <w:kern w:val="0"/>
                <w:sz w:val="24"/>
                <w:szCs w:val="24"/>
              </w:rPr>
              <w:t>1,002,085</w:t>
            </w:r>
          </w:p>
        </w:tc>
        <w:tc>
          <w:tcPr>
            <w:vAlign w:val="center"/>
          </w:tcPr>
          <w:p>
            <w:pPr>
              <w:jc w:val="right"/>
            </w:pPr>
            <w:r>
              <w:rPr>
                <w:color w:val="000000"/>
                <w:kern w:val="0"/>
                <w:sz w:val="24"/>
                <w:szCs w:val="24"/>
              </w:rPr>
              <w:t>223,404,829.90</w:t>
            </w:r>
          </w:p>
        </w:tc>
        <w:tc>
          <w:tcPr>
            <w:vAlign w:val="center"/>
          </w:tcPr>
          <w:p>
            <w:pPr>
              <w:jc w:val="right"/>
            </w:pPr>
            <w:r>
              <w:rPr>
                <w:color w:val="000000"/>
                <w:kern w:val="0"/>
                <w:sz w:val="24"/>
                <w:szCs w:val="24"/>
              </w:rPr>
              <w:t>4.18</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8,842,734</w:t>
            </w:r>
          </w:p>
        </w:tc>
        <w:tc>
          <w:tcPr>
            <w:vAlign w:val="center"/>
          </w:tcPr>
          <w:p>
            <w:pPr>
              <w:jc w:val="right"/>
            </w:pPr>
            <w:r>
              <w:rPr>
                <w:color w:val="000000"/>
                <w:kern w:val="0"/>
                <w:sz w:val="24"/>
                <w:szCs w:val="24"/>
              </w:rPr>
              <w:t>209,578,299.50</w:t>
            </w:r>
          </w:p>
        </w:tc>
        <w:tc>
          <w:tcPr>
            <w:vAlign w:val="center"/>
          </w:tcPr>
          <w:p>
            <w:pPr>
              <w:jc w:val="right"/>
            </w:pPr>
            <w:r>
              <w:rPr>
                <w:color w:val="000000"/>
                <w:kern w:val="0"/>
                <w:sz w:val="24"/>
                <w:szCs w:val="24"/>
              </w:rPr>
              <w:t>3.92</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2,405,174</w:t>
            </w:r>
          </w:p>
        </w:tc>
        <w:tc>
          <w:tcPr>
            <w:vAlign w:val="center"/>
          </w:tcPr>
          <w:p>
            <w:pPr>
              <w:jc w:val="right"/>
            </w:pPr>
            <w:r>
              <w:rPr>
                <w:color w:val="000000"/>
                <w:kern w:val="0"/>
                <w:sz w:val="24"/>
                <w:szCs w:val="24"/>
              </w:rPr>
              <w:t>188,282,218.48</w:t>
            </w:r>
          </w:p>
        </w:tc>
        <w:tc>
          <w:tcPr>
            <w:vAlign w:val="center"/>
          </w:tcPr>
          <w:p>
            <w:pPr>
              <w:jc w:val="right"/>
            </w:pPr>
            <w:r>
              <w:rPr>
                <w:color w:val="000000"/>
                <w:kern w:val="0"/>
                <w:sz w:val="24"/>
                <w:szCs w:val="24"/>
              </w:rPr>
              <w:t>3.52</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603259</w:t>
            </w:r>
          </w:p>
        </w:tc>
        <w:tc>
          <w:tcPr>
            <w:vAlign w:val="center"/>
          </w:tcPr>
          <w:p>
            <w:pPr>
              <w:jc w:val="center"/>
            </w:pPr>
            <w:r>
              <w:rPr>
                <w:color w:val="000000"/>
                <w:kern w:val="0"/>
                <w:sz w:val="24"/>
                <w:szCs w:val="24"/>
              </w:rPr>
              <w:t>药明康德</w:t>
            </w:r>
          </w:p>
        </w:tc>
        <w:tc>
          <w:tcPr>
            <w:vAlign w:val="center"/>
          </w:tcPr>
          <w:p>
            <w:pPr>
              <w:jc w:val="right"/>
            </w:pPr>
            <w:r>
              <w:rPr>
                <w:color w:val="000000"/>
                <w:kern w:val="0"/>
                <w:sz w:val="24"/>
                <w:szCs w:val="24"/>
              </w:rPr>
              <w:t>1,490,419</w:t>
            </w:r>
          </w:p>
        </w:tc>
        <w:tc>
          <w:tcPr>
            <w:vAlign w:val="center"/>
          </w:tcPr>
          <w:p>
            <w:pPr>
              <w:jc w:val="right"/>
            </w:pPr>
            <w:r>
              <w:rPr>
                <w:color w:val="000000"/>
                <w:kern w:val="0"/>
                <w:sz w:val="24"/>
                <w:szCs w:val="24"/>
              </w:rPr>
              <w:t>151,277,528.50</w:t>
            </w:r>
          </w:p>
        </w:tc>
        <w:tc>
          <w:tcPr>
            <w:vAlign w:val="center"/>
          </w:tcPr>
          <w:p>
            <w:pPr>
              <w:jc w:val="right"/>
            </w:pPr>
            <w:r>
              <w:rPr>
                <w:color w:val="000000"/>
                <w:kern w:val="0"/>
                <w:sz w:val="24"/>
                <w:szCs w:val="24"/>
              </w:rPr>
              <w:t>2.83</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000547</w:t>
            </w:r>
          </w:p>
        </w:tc>
        <w:tc>
          <w:tcPr>
            <w:vAlign w:val="center"/>
          </w:tcPr>
          <w:p>
            <w:pPr>
              <w:jc w:val="center"/>
            </w:pPr>
            <w:r>
              <w:rPr>
                <w:color w:val="000000"/>
                <w:kern w:val="0"/>
                <w:sz w:val="24"/>
                <w:szCs w:val="24"/>
              </w:rPr>
              <w:t>航天发展</w:t>
            </w:r>
          </w:p>
        </w:tc>
        <w:tc>
          <w:tcPr>
            <w:vAlign w:val="center"/>
          </w:tcPr>
          <w:p>
            <w:pPr>
              <w:jc w:val="right"/>
            </w:pPr>
            <w:r>
              <w:rPr>
                <w:color w:val="000000"/>
                <w:kern w:val="0"/>
                <w:sz w:val="24"/>
                <w:szCs w:val="24"/>
              </w:rPr>
              <w:t>7,033,610</w:t>
            </w:r>
          </w:p>
        </w:tc>
        <w:tc>
          <w:tcPr>
            <w:vAlign w:val="center"/>
          </w:tcPr>
          <w:p>
            <w:pPr>
              <w:jc w:val="right"/>
            </w:pPr>
            <w:r>
              <w:rPr>
                <w:color w:val="000000"/>
                <w:kern w:val="0"/>
                <w:sz w:val="24"/>
                <w:szCs w:val="24"/>
              </w:rPr>
              <w:t>149,534,548.60</w:t>
            </w:r>
          </w:p>
        </w:tc>
        <w:tc>
          <w:tcPr>
            <w:vAlign w:val="center"/>
          </w:tcPr>
          <w:p>
            <w:pPr>
              <w:jc w:val="right"/>
            </w:pPr>
            <w:r>
              <w:rPr>
                <w:color w:val="000000"/>
                <w:kern w:val="0"/>
                <w:sz w:val="24"/>
                <w:szCs w:val="24"/>
              </w:rPr>
              <w:t>2.80</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000403</w:t>
            </w:r>
          </w:p>
        </w:tc>
        <w:tc>
          <w:tcPr>
            <w:vAlign w:val="center"/>
          </w:tcPr>
          <w:p>
            <w:pPr>
              <w:jc w:val="center"/>
            </w:pPr>
            <w:r>
              <w:rPr>
                <w:color w:val="000000"/>
                <w:kern w:val="0"/>
                <w:sz w:val="24"/>
                <w:szCs w:val="24"/>
              </w:rPr>
              <w:t>双林生物</w:t>
            </w:r>
          </w:p>
        </w:tc>
        <w:tc>
          <w:tcPr>
            <w:vAlign w:val="center"/>
          </w:tcPr>
          <w:p>
            <w:pPr>
              <w:jc w:val="right"/>
            </w:pPr>
            <w:r>
              <w:rPr>
                <w:color w:val="000000"/>
                <w:kern w:val="0"/>
                <w:sz w:val="24"/>
                <w:szCs w:val="24"/>
              </w:rPr>
              <w:t>4,253,933</w:t>
            </w:r>
          </w:p>
        </w:tc>
        <w:tc>
          <w:tcPr>
            <w:vAlign w:val="center"/>
          </w:tcPr>
          <w:p>
            <w:pPr>
              <w:jc w:val="right"/>
            </w:pPr>
            <w:r>
              <w:rPr>
                <w:color w:val="000000"/>
                <w:kern w:val="0"/>
                <w:sz w:val="24"/>
                <w:szCs w:val="24"/>
              </w:rPr>
              <w:t>146,888,306.49</w:t>
            </w:r>
          </w:p>
        </w:tc>
        <w:tc>
          <w:tcPr>
            <w:vAlign w:val="center"/>
          </w:tcPr>
          <w:p>
            <w:pPr>
              <w:jc w:val="right"/>
            </w:pPr>
            <w:r>
              <w:rPr>
                <w:color w:val="000000"/>
                <w:kern w:val="0"/>
                <w:sz w:val="24"/>
                <w:szCs w:val="24"/>
              </w:rPr>
              <w:t>2.75</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600570</w:t>
            </w:r>
          </w:p>
        </w:tc>
        <w:tc>
          <w:tcPr>
            <w:vAlign w:val="center"/>
          </w:tcPr>
          <w:p>
            <w:pPr>
              <w:jc w:val="center"/>
            </w:pPr>
            <w:r>
              <w:rPr>
                <w:color w:val="000000"/>
                <w:kern w:val="0"/>
                <w:sz w:val="24"/>
                <w:szCs w:val="24"/>
              </w:rPr>
              <w:t>恒生电子</w:t>
            </w:r>
          </w:p>
        </w:tc>
        <w:tc>
          <w:tcPr>
            <w:vAlign w:val="center"/>
          </w:tcPr>
          <w:p>
            <w:pPr>
              <w:jc w:val="right"/>
            </w:pPr>
            <w:r>
              <w:rPr>
                <w:color w:val="000000"/>
                <w:kern w:val="0"/>
                <w:sz w:val="24"/>
                <w:szCs w:val="24"/>
              </w:rPr>
              <w:t>1,469,625</w:t>
            </w:r>
          </w:p>
        </w:tc>
        <w:tc>
          <w:tcPr>
            <w:vAlign w:val="center"/>
          </w:tcPr>
          <w:p>
            <w:pPr>
              <w:jc w:val="right"/>
            </w:pPr>
            <w:r>
              <w:rPr>
                <w:color w:val="000000"/>
                <w:kern w:val="0"/>
                <w:sz w:val="24"/>
                <w:szCs w:val="24"/>
              </w:rPr>
              <w:t>144,890,328.75</w:t>
            </w:r>
          </w:p>
        </w:tc>
        <w:tc>
          <w:tcPr>
            <w:vAlign w:val="center"/>
          </w:tcPr>
          <w:p>
            <w:pPr>
              <w:jc w:val="right"/>
            </w:pPr>
            <w:r>
              <w:rPr>
                <w:color w:val="000000"/>
                <w:kern w:val="0"/>
                <w:sz w:val="24"/>
                <w:szCs w:val="24"/>
              </w:rPr>
              <w:t>2.71</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10月31日，上海市崇明区建设和管理委员会根据《上海市崇明区建设和管理委员会第2120190022号》决定文书，对上海城地香江数据科技股份有限公司处以人民币2万元罚款。2020年3月18日，镇江市住房和城乡建设局针对上海城地建设股份有限公司未按照扬尘污染防治方案采取防尘降尘措施的违法违规行为，对公司处以人民币1.5万元罚款。</w:t>
      </w:r>
    </w:p>
    <w:p>
      <w:pPr>
        <w:spacing w:line="360" w:lineRule="auto"/>
        <w:rPr>
          <w:rFonts w:ascii="宋体" w:hAnsi="宋体"/>
          <w:color w:val="000000"/>
          <w:sz w:val="24"/>
          <w:szCs w:val="24"/>
        </w:rPr>
      </w:pPr>
      <w:r>
        <w:rPr>
          <w:rFonts w:ascii="宋体" w:hAnsi="宋体"/>
          <w:color w:val="000000"/>
          <w:sz w:val="24"/>
          <w:szCs w:val="24"/>
        </w:rPr>
        <w:t>本基金投资城地股份的投资决策程序符合公司投资制度的规定。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除城地股份外，本基金投资的前十名证券的发行主体本期没有出现被监管部门立案调查，或在报告编制日前一年内受到公开谴责、处罚的情形。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1,102,331.38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15,131,308.56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69,023.38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8,757,457.58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25,060,120.90</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750D48" w:rsidRPr="00264E55" w:rsidTr="00B05049">
        <w:tc>
          <w:tcPr>
            <w:tcW w:type="dxa" w:w="1083"/>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序号</w:t>
            </w:r>
          </w:p>
        </w:tc>
        <w:tc>
          <w:tcPr>
            <w:tcW w:type="dxa" w:w="1302"/>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股票代码</w:t>
            </w:r>
          </w:p>
        </w:tc>
        <w:tc>
          <w:tcPr>
            <w:tcW w:type="dxa" w:w="1301"/>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股票名称</w:t>
            </w:r>
          </w:p>
        </w:tc>
        <w:tc>
          <w:tcPr>
            <w:tcW w:type="dxa" w:w="180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t>流通受限部分</w:t>
            </w:r>
            <w:r w:rsidRPr="00B227EA">
              <w:rPr>
                <w:color w:val="000000"/>
                <w:kern w:val="0"/>
                <w:sz w:val="24"/>
                <w:szCs w:val="24"/>
              </w:rPr>
              <w:lastRenderedPageBreak/>
              <w:t>的公允价值</w:t>
            </w:r>
            <w:r w:rsidR="005F7917" w:rsidRPr="00B227EA">
              <w:rPr>
                <w:color w:val="000000"/>
                <w:kern w:val="0"/>
                <w:sz w:val="24"/>
                <w:szCs w:val="24"/>
              </w:rPr>
              <w:t>（元）</w:t>
            </w:r>
          </w:p>
        </w:tc>
        <w:tc>
          <w:tcPr>
            <w:tcW w:type="dxa" w:w="1655"/>
            <w:vAlign w:val="center"/>
          </w:tcPr>
          <w:p w:rsidP="005F7917"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占基金资产</w:t>
            </w:r>
            <w:r w:rsidRPr="00B227EA">
              <w:rPr>
                <w:color w:val="000000"/>
                <w:kern w:val="0"/>
                <w:sz w:val="24"/>
                <w:szCs w:val="24"/>
              </w:rPr>
              <w:lastRenderedPageBreak/>
              <w:t>净值比例</w:t>
            </w:r>
            <w:r w:rsidR="005F7917" w:rsidRPr="00B227EA">
              <w:rPr>
                <w:color w:val="000000"/>
                <w:kern w:val="0"/>
                <w:sz w:val="24"/>
                <w:szCs w:val="24"/>
              </w:rPr>
              <w:t>（</w:t>
            </w:r>
            <w:r w:rsidR="005F7917" w:rsidRPr="00B227EA">
              <w:rPr>
                <w:color w:val="000000"/>
                <w:kern w:val="0"/>
                <w:sz w:val="24"/>
                <w:szCs w:val="24"/>
              </w:rPr>
              <w:t>%</w:t>
            </w:r>
            <w:r w:rsidR="005F7917" w:rsidRPr="00B227EA">
              <w:rPr>
                <w:color w:val="000000"/>
                <w:kern w:val="0"/>
                <w:sz w:val="24"/>
                <w:szCs w:val="24"/>
              </w:rPr>
              <w:t>）</w:t>
            </w:r>
          </w:p>
        </w:tc>
        <w:tc>
          <w:tcPr>
            <w:tcW w:type="dxa" w:w="1367"/>
            <w:vAlign w:val="center"/>
          </w:tcPr>
          <w:p w:rsidP="00B05049" w:rsidR="00750D48" w:rsidRDefault="00750D48" w:rsidRPr="00B227EA">
            <w:pPr>
              <w:spacing w:before="29" w:line="360" w:lineRule="auto"/>
              <w:ind w:left="17"/>
              <w:jc w:val="center"/>
              <w:rPr>
                <w:color w:val="000000"/>
                <w:kern w:val="0"/>
                <w:sz w:val="24"/>
                <w:szCs w:val="24"/>
              </w:rPr>
            </w:pPr>
            <w:r w:rsidRPr="00B227EA">
              <w:rPr>
                <w:color w:val="000000"/>
                <w:kern w:val="0"/>
                <w:sz w:val="24"/>
                <w:szCs w:val="24"/>
              </w:rPr>
              <w:lastRenderedPageBreak/>
              <w:t>流通受限</w:t>
            </w:r>
            <w:r w:rsidRPr="00B227EA">
              <w:rPr>
                <w:color w:val="000000"/>
                <w:kern w:val="0"/>
                <w:sz w:val="24"/>
                <w:szCs w:val="24"/>
              </w:rPr>
              <w:lastRenderedPageBreak/>
              <w:t>情况说明</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603887</w:t>
            </w:r>
          </w:p>
        </w:tc>
        <w:tc>
          <w:tcPr>
            <w:vAlign w:val="center"/>
          </w:tcPr>
          <w:p>
            <w:pPr>
              <w:jc w:val="center"/>
            </w:pPr>
            <w:r>
              <w:rPr>
                <w:color w:val="000000"/>
                <w:kern w:val="0"/>
                <w:sz w:val="24"/>
                <w:szCs w:val="24"/>
              </w:rPr>
              <w:t>城地股份</w:t>
            </w:r>
          </w:p>
        </w:tc>
        <w:tc>
          <w:tcPr>
            <w:vAlign w:val="center"/>
          </w:tcPr>
          <w:p>
            <w:pPr>
              <w:jc w:val="right"/>
            </w:pPr>
            <w:r>
              <w:rPr>
                <w:color w:val="000000"/>
                <w:kern w:val="0"/>
                <w:sz w:val="24"/>
                <w:szCs w:val="24"/>
              </w:rPr>
              <w:t>80,017,000.00</w:t>
            </w:r>
          </w:p>
        </w:tc>
        <w:tc>
          <w:tcPr>
            <w:vAlign w:val="center"/>
          </w:tcPr>
          <w:p>
            <w:pPr>
              <w:jc w:val="right"/>
            </w:pPr>
            <w:r>
              <w:rPr>
                <w:color w:val="000000"/>
                <w:kern w:val="0"/>
                <w:sz w:val="24"/>
                <w:szCs w:val="24"/>
              </w:rPr>
              <w:t>1.50</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300014</w:t>
            </w:r>
          </w:p>
        </w:tc>
        <w:tc>
          <w:tcPr>
            <w:vAlign w:val="center"/>
          </w:tcPr>
          <w:p>
            <w:pPr>
              <w:jc w:val="center"/>
            </w:pPr>
            <w:r>
              <w:rPr>
                <w:color w:val="000000"/>
                <w:kern w:val="0"/>
                <w:sz w:val="24"/>
                <w:szCs w:val="24"/>
              </w:rPr>
              <w:t>亿纬锂能</w:t>
            </w:r>
          </w:p>
        </w:tc>
        <w:tc>
          <w:tcPr>
            <w:vAlign w:val="center"/>
          </w:tcPr>
          <w:p>
            <w:pPr>
              <w:jc w:val="right"/>
            </w:pPr>
            <w:r>
              <w:rPr>
                <w:color w:val="000000"/>
                <w:kern w:val="0"/>
                <w:sz w:val="24"/>
                <w:szCs w:val="24"/>
              </w:rPr>
              <w:t>53,981,048.25</w:t>
            </w:r>
          </w:p>
        </w:tc>
        <w:tc>
          <w:tcPr>
            <w:vAlign w:val="center"/>
          </w:tcPr>
          <w:p>
            <w:pPr>
              <w:jc w:val="right"/>
            </w:pPr>
            <w:r>
              <w:rPr>
                <w:color w:val="000000"/>
                <w:kern w:val="0"/>
                <w:sz w:val="24"/>
                <w:szCs w:val="24"/>
              </w:rPr>
              <w:t>1.01</w:t>
            </w:r>
          </w:p>
        </w:tc>
        <w:tc>
          <w:tcPr>
            <w:vAlign w:val="center"/>
          </w:tcPr>
          <w:p>
            <w:pPr>
              <w:jc w:val="right"/>
            </w:pPr>
            <w:r>
              <w:rPr>
                <w:color w:val="000000"/>
                <w:kern w:val="0"/>
                <w:sz w:val="24"/>
                <w:szCs w:val="24"/>
              </w:rPr>
              <w:t>大宗交易流通受限</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603520</w:t>
            </w:r>
          </w:p>
        </w:tc>
        <w:tc>
          <w:tcPr>
            <w:vAlign w:val="center"/>
          </w:tcPr>
          <w:p>
            <w:pPr>
              <w:jc w:val="center"/>
            </w:pPr>
            <w:r>
              <w:rPr>
                <w:color w:val="000000"/>
                <w:kern w:val="0"/>
                <w:sz w:val="24"/>
                <w:szCs w:val="24"/>
              </w:rPr>
              <w:t>司太立</w:t>
            </w:r>
          </w:p>
        </w:tc>
        <w:tc>
          <w:tcPr>
            <w:vAlign w:val="center"/>
          </w:tcPr>
          <w:p>
            <w:pPr>
              <w:jc w:val="right"/>
            </w:pPr>
            <w:r>
              <w:rPr>
                <w:color w:val="000000"/>
                <w:kern w:val="0"/>
                <w:sz w:val="24"/>
                <w:szCs w:val="24"/>
              </w:rPr>
              <w:t>19,039,031.08</w:t>
            </w:r>
          </w:p>
        </w:tc>
        <w:tc>
          <w:tcPr>
            <w:vAlign w:val="center"/>
          </w:tcPr>
          <w:p>
            <w:pPr>
              <w:jc w:val="right"/>
            </w:pPr>
            <w:r>
              <w:rPr>
                <w:color w:val="000000"/>
                <w:kern w:val="0"/>
                <w:sz w:val="24"/>
                <w:szCs w:val="24"/>
              </w:rPr>
              <w:t>0.36</w:t>
            </w:r>
          </w:p>
        </w:tc>
        <w:tc>
          <w:tcPr>
            <w:vAlign w:val="center"/>
          </w:tcPr>
          <w:p>
            <w:pPr>
              <w:jc w:val="right"/>
            </w:pPr>
            <w:r>
              <w:rPr>
                <w:color w:val="000000"/>
                <w:kern w:val="0"/>
                <w:sz w:val="24"/>
                <w:szCs w:val="24"/>
              </w:rPr>
              <w:t>非公开发行流通受限</w:t>
            </w:r>
          </w:p>
        </w:tc>
      </w:tr>
    </w:tbl>
    <w:p>
      <w:pPr>
        <w:spacing w:line="360" w:lineRule="auto"/>
        <w:ind w:firstLine="480" w:firstLineChars="200"/>
        <w:rPr>
          <w:color w:val="000000"/>
          <w:sz w:val="24"/>
          <w:szCs w:val="24"/>
        </w:rPr>
      </w:pPr>
      <w:r>
        <w:rPr>
          <w:color w:val="000000"/>
          <w:sz w:val="24"/>
          <w:szCs w:val="24"/>
        </w:rPr>
        <w:t>注：根据《深圳/上海证券交易所上市公司股东及董事、监事、高级管理人员减持股份实施细则》，大股东减持或者特定股东减持，采取大宗交易方式的，在任意连续90日内，减持股份的总数不得超过公司股份总数的2%；前款交易的受让方在受让后6个月内，不得转让所受让的股份。</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根据《深圳/上海证券交易所上市公司股东及董事、监事、高级管理人员减持股份实施细则》，大股东以外的股东减持所持有的上市公司非公开发行股份，采取集中竞价交易方式的，在任意连续90日内，减持股份的总数不得超过公司股份总数的1%。持有上市公司非公开发行股份的股东，通过集中竞价交易减持该部分股份的，除遵守前款规定外，自股份解除限售之日起12个月内，减持数量不得超过其持有该次非公开发行股份数量的50%。</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1,164,529,232.47</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415,012,718.60</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372,854,834.14</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1,206,687,116.93</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xml:space="preserve">本报告期内基金管理人未持有本基金份额。 </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xml:space="preserve">本报告期内基金管理人未运用固有资金申购、赎回、买卖本基金份额。 </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1.科翔证券投资基金基金份额持有人大会决议生效公告；</w:t>
      </w:r>
    </w:p>
    <w:p>
      <w:pPr>
        <w:spacing w:line="360" w:lineRule="auto"/>
        <w:ind w:firstLine="480" w:firstLineChars="200"/>
        <w:rPr>
          <w:color w:val="000000"/>
          <w:sz w:val="24"/>
          <w:szCs w:val="24"/>
        </w:rPr>
      </w:pPr>
      <w:r>
        <w:rPr>
          <w:color w:val="000000"/>
          <w:sz w:val="24"/>
          <w:szCs w:val="24"/>
        </w:rPr>
        <w:t>2.中国证监会《关于核准科翔证券投资基金基金份额持有人大会有关转换基金运作方式决议的批复》（证监许可[2008]1221号）；</w:t>
      </w:r>
    </w:p>
    <w:p>
      <w:pPr>
        <w:spacing w:line="360" w:lineRule="auto"/>
        <w:ind w:firstLine="480" w:firstLineChars="200"/>
        <w:rPr>
          <w:color w:val="000000"/>
          <w:sz w:val="24"/>
          <w:szCs w:val="24"/>
        </w:rPr>
      </w:pPr>
      <w:r>
        <w:rPr>
          <w:color w:val="000000"/>
          <w:sz w:val="24"/>
          <w:szCs w:val="24"/>
        </w:rPr>
        <w:t>3.《易方达科翔混合型证券投资基金基金合同》；</w:t>
      </w:r>
    </w:p>
    <w:p>
      <w:pPr>
        <w:spacing w:line="360" w:lineRule="auto"/>
        <w:ind w:firstLine="480" w:firstLineChars="200"/>
        <w:rPr>
          <w:color w:val="000000"/>
          <w:sz w:val="24"/>
          <w:szCs w:val="24"/>
        </w:rPr>
      </w:pPr>
      <w:r>
        <w:rPr>
          <w:color w:val="000000"/>
          <w:sz w:val="24"/>
          <w:szCs w:val="24"/>
        </w:rPr>
        <w:t>4.《易方达科翔混合型证券投资基金托管协议》；</w:t>
      </w:r>
    </w:p>
    <w:p>
      <w:pPr>
        <w:spacing w:line="360" w:lineRule="auto"/>
        <w:ind w:firstLine="480" w:firstLineChars="200"/>
        <w:rPr>
          <w:color w:val="000000"/>
          <w:sz w:val="24"/>
          <w:szCs w:val="24"/>
        </w:rPr>
      </w:pPr>
      <w:r>
        <w:rPr>
          <w:color w:val="000000"/>
          <w:sz w:val="24"/>
          <w:szCs w:val="24"/>
        </w:rPr>
        <w:t>5.《易方达基金管理有限公司开放式基金业务规则》；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6.基金管理人业务资格批件和营业执照。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易方达科翔混合型证券投资基金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