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易方达中小盘混合型证券投资基金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易方达中小盘混合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110011</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110011</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2008年6月19日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3,927,228,182.52</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通过投资具有竞争优势和较高成长性的中小盘股票，力求在有效控制风险的前提下，谋求基金资产的长期增值。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基于定量与定性相结合的宏观及市场分析，进行战术性资产配置，确定组合中股票、债券、货币市场工具及其他金融工具的比例，追求更高收益，回避市场风险。在股票资产方面，本基金采取“自下而上”的策略，投资具有良好治理结构、在细分行业具有竞争优势以及有较高成长性的中小盘股票。</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45%×天相中盘指数收益率+35%×天相小盘指数收益率+20%×中债总指数收益率</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本基金是混合基金，理论上其风险收益水平高于债券基金和货币市场基金，低于股票基金。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1,872,233,597.04</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3,514,480,821.42</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1.0077</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28,141,859,315.27</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7.1658</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18.24%</w:t>
            </w:r>
          </w:p>
        </w:tc>
        <w:tc>
          <w:tcPr>
            <w:vAlign w:val="center"/>
          </w:tcPr>
          <w:p>
            <w:pPr>
              <w:jc w:val="center"/>
            </w:pPr>
            <w:r>
              <w:rPr>
                <w:color w:val="000000"/>
                <w:kern w:val="0"/>
                <w:sz w:val="24"/>
                <w:szCs w:val="24"/>
              </w:rPr>
              <w:t>1.73%</w:t>
            </w:r>
          </w:p>
        </w:tc>
        <w:tc>
          <w:tcPr>
            <w:vAlign w:val="center"/>
          </w:tcPr>
          <w:p>
            <w:pPr>
              <w:jc w:val="center"/>
            </w:pPr>
            <w:r>
              <w:rPr>
                <w:color w:val="000000"/>
                <w:kern w:val="0"/>
                <w:sz w:val="24"/>
                <w:szCs w:val="24"/>
              </w:rPr>
              <w:t>6.49%</w:t>
            </w:r>
          </w:p>
        </w:tc>
        <w:tc>
          <w:tcPr>
            <w:vAlign w:val="center"/>
          </w:tcPr>
          <w:p>
            <w:pPr>
              <w:jc w:val="center"/>
            </w:pPr>
            <w:r>
              <w:rPr>
                <w:color w:val="000000"/>
                <w:kern w:val="0"/>
                <w:sz w:val="24"/>
                <w:szCs w:val="24"/>
              </w:rPr>
              <w:t>1.36%</w:t>
            </w:r>
          </w:p>
        </w:tc>
        <w:tc>
          <w:tcPr>
            <w:vAlign w:val="center"/>
          </w:tcPr>
          <w:p>
            <w:pPr>
              <w:jc w:val="center"/>
            </w:pPr>
            <w:r>
              <w:rPr>
                <w:color w:val="000000"/>
                <w:kern w:val="0"/>
                <w:sz w:val="24"/>
                <w:szCs w:val="24"/>
              </w:rPr>
              <w:t>11.75%</w:t>
            </w:r>
          </w:p>
        </w:tc>
        <w:tc>
          <w:tcPr>
            <w:vAlign w:val="center"/>
          </w:tcPr>
          <w:p>
            <w:pPr>
              <w:jc w:val="center"/>
            </w:pPr>
            <w:r>
              <w:rPr>
                <w:color w:val="000000"/>
                <w:kern w:val="0"/>
                <w:sz w:val="24"/>
                <w:szCs w:val="24"/>
              </w:rPr>
              <w:t>0.37%</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51.57%</w:t>
            </w:r>
          </w:p>
        </w:tc>
        <w:tc>
          <w:tcPr>
            <w:vAlign w:val="center"/>
          </w:tcPr>
          <w:p>
            <w:pPr>
              <w:jc w:val="center"/>
            </w:pPr>
            <w:r>
              <w:rPr>
                <w:color w:val="000000"/>
                <w:kern w:val="0"/>
                <w:sz w:val="24"/>
                <w:szCs w:val="24"/>
              </w:rPr>
              <w:t>1.50%</w:t>
            </w:r>
          </w:p>
        </w:tc>
        <w:tc>
          <w:tcPr>
            <w:vAlign w:val="center"/>
          </w:tcPr>
          <w:p>
            <w:pPr>
              <w:jc w:val="center"/>
            </w:pPr>
            <w:r>
              <w:rPr>
                <w:color w:val="000000"/>
                <w:kern w:val="0"/>
                <w:sz w:val="24"/>
                <w:szCs w:val="24"/>
              </w:rPr>
              <w:t>19.06%</w:t>
            </w:r>
          </w:p>
        </w:tc>
        <w:tc>
          <w:tcPr>
            <w:vAlign w:val="center"/>
          </w:tcPr>
          <w:p>
            <w:pPr>
              <w:jc w:val="center"/>
            </w:pPr>
            <w:r>
              <w:rPr>
                <w:color w:val="000000"/>
                <w:kern w:val="0"/>
                <w:sz w:val="24"/>
                <w:szCs w:val="24"/>
              </w:rPr>
              <w:t>1.14%</w:t>
            </w:r>
          </w:p>
        </w:tc>
        <w:tc>
          <w:tcPr>
            <w:vAlign w:val="center"/>
          </w:tcPr>
          <w:p>
            <w:pPr>
              <w:jc w:val="center"/>
            </w:pPr>
            <w:r>
              <w:rPr>
                <w:color w:val="000000"/>
                <w:kern w:val="0"/>
                <w:sz w:val="24"/>
                <w:szCs w:val="24"/>
              </w:rPr>
              <w:t>32.51%</w:t>
            </w:r>
          </w:p>
        </w:tc>
        <w:tc>
          <w:tcPr>
            <w:vAlign w:val="center"/>
          </w:tcPr>
          <w:p>
            <w:pPr>
              <w:jc w:val="center"/>
            </w:pPr>
            <w:r>
              <w:rPr>
                <w:color w:val="000000"/>
                <w:kern w:val="0"/>
                <w:sz w:val="24"/>
                <w:szCs w:val="24"/>
              </w:rPr>
              <w:t>0.36%</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50.70%</w:t>
            </w:r>
          </w:p>
        </w:tc>
        <w:tc>
          <w:tcPr>
            <w:vAlign w:val="center"/>
          </w:tcPr>
          <w:p>
            <w:pPr>
              <w:jc w:val="center"/>
            </w:pPr>
            <w:r>
              <w:rPr>
                <w:color w:val="000000"/>
                <w:kern w:val="0"/>
                <w:sz w:val="24"/>
                <w:szCs w:val="24"/>
              </w:rPr>
              <w:t>1.53%</w:t>
            </w:r>
          </w:p>
        </w:tc>
        <w:tc>
          <w:tcPr>
            <w:vAlign w:val="center"/>
          </w:tcPr>
          <w:p>
            <w:pPr>
              <w:jc w:val="center"/>
            </w:pPr>
            <w:r>
              <w:rPr>
                <w:color w:val="000000"/>
                <w:kern w:val="0"/>
                <w:sz w:val="24"/>
                <w:szCs w:val="24"/>
              </w:rPr>
              <w:t>21.44%</w:t>
            </w:r>
          </w:p>
        </w:tc>
        <w:tc>
          <w:tcPr>
            <w:vAlign w:val="center"/>
          </w:tcPr>
          <w:p>
            <w:pPr>
              <w:jc w:val="center"/>
            </w:pPr>
            <w:r>
              <w:rPr>
                <w:color w:val="000000"/>
                <w:kern w:val="0"/>
                <w:sz w:val="24"/>
                <w:szCs w:val="24"/>
              </w:rPr>
              <w:t>1.20%</w:t>
            </w:r>
          </w:p>
        </w:tc>
        <w:tc>
          <w:tcPr>
            <w:vAlign w:val="center"/>
          </w:tcPr>
          <w:p>
            <w:pPr>
              <w:jc w:val="center"/>
            </w:pPr>
            <w:r>
              <w:rPr>
                <w:color w:val="000000"/>
                <w:kern w:val="0"/>
                <w:sz w:val="24"/>
                <w:szCs w:val="24"/>
              </w:rPr>
              <w:t>29.26%</w:t>
            </w:r>
          </w:p>
        </w:tc>
        <w:tc>
          <w:tcPr>
            <w:vAlign w:val="center"/>
          </w:tcPr>
          <w:p>
            <w:pPr>
              <w:jc w:val="center"/>
            </w:pPr>
            <w:r>
              <w:rPr>
                <w:color w:val="000000"/>
                <w:kern w:val="0"/>
                <w:sz w:val="24"/>
                <w:szCs w:val="24"/>
              </w:rPr>
              <w:t>0.33%</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132.92%</w:t>
            </w:r>
          </w:p>
        </w:tc>
        <w:tc>
          <w:tcPr>
            <w:vAlign w:val="center"/>
          </w:tcPr>
          <w:p>
            <w:pPr>
              <w:jc w:val="center"/>
            </w:pPr>
            <w:r>
              <w:rPr>
                <w:color w:val="000000"/>
                <w:kern w:val="0"/>
                <w:sz w:val="24"/>
                <w:szCs w:val="24"/>
              </w:rPr>
              <w:t>1.58%</w:t>
            </w:r>
          </w:p>
        </w:tc>
        <w:tc>
          <w:tcPr>
            <w:vAlign w:val="center"/>
          </w:tcPr>
          <w:p>
            <w:pPr>
              <w:jc w:val="center"/>
            </w:pPr>
            <w:r>
              <w:rPr>
                <w:color w:val="000000"/>
                <w:kern w:val="0"/>
                <w:sz w:val="24"/>
                <w:szCs w:val="24"/>
              </w:rPr>
              <w:t>2.36%</w:t>
            </w:r>
          </w:p>
        </w:tc>
        <w:tc>
          <w:tcPr>
            <w:vAlign w:val="center"/>
          </w:tcPr>
          <w:p>
            <w:pPr>
              <w:jc w:val="center"/>
            </w:pPr>
            <w:r>
              <w:rPr>
                <w:color w:val="000000"/>
                <w:kern w:val="0"/>
                <w:sz w:val="24"/>
                <w:szCs w:val="24"/>
              </w:rPr>
              <w:t>1.14%</w:t>
            </w:r>
          </w:p>
        </w:tc>
        <w:tc>
          <w:tcPr>
            <w:vAlign w:val="center"/>
          </w:tcPr>
          <w:p>
            <w:pPr>
              <w:jc w:val="center"/>
            </w:pPr>
            <w:r>
              <w:rPr>
                <w:color w:val="000000"/>
                <w:kern w:val="0"/>
                <w:sz w:val="24"/>
                <w:szCs w:val="24"/>
              </w:rPr>
              <w:t>130.56%</w:t>
            </w:r>
          </w:p>
        </w:tc>
        <w:tc>
          <w:tcPr>
            <w:vAlign w:val="center"/>
          </w:tcPr>
          <w:p>
            <w:pPr>
              <w:jc w:val="center"/>
            </w:pPr>
            <w:r>
              <w:rPr>
                <w:color w:val="000000"/>
                <w:kern w:val="0"/>
                <w:sz w:val="24"/>
                <w:szCs w:val="24"/>
              </w:rPr>
              <w:t>0.44%</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266.55%</w:t>
            </w:r>
          </w:p>
        </w:tc>
        <w:tc>
          <w:tcPr>
            <w:vAlign w:val="center"/>
          </w:tcPr>
          <w:p>
            <w:pPr>
              <w:jc w:val="center"/>
            </w:pPr>
            <w:r>
              <w:rPr>
                <w:color w:val="000000"/>
                <w:kern w:val="0"/>
                <w:sz w:val="24"/>
                <w:szCs w:val="24"/>
              </w:rPr>
              <w:t>1.42%</w:t>
            </w:r>
          </w:p>
        </w:tc>
        <w:tc>
          <w:tcPr>
            <w:vAlign w:val="center"/>
          </w:tcPr>
          <w:p>
            <w:pPr>
              <w:jc w:val="center"/>
            </w:pPr>
            <w:r>
              <w:rPr>
                <w:color w:val="000000"/>
                <w:kern w:val="0"/>
                <w:sz w:val="24"/>
                <w:szCs w:val="24"/>
              </w:rPr>
              <w:t>11.11%</w:t>
            </w:r>
          </w:p>
        </w:tc>
        <w:tc>
          <w:tcPr>
            <w:vAlign w:val="center"/>
          </w:tcPr>
          <w:p>
            <w:pPr>
              <w:jc w:val="center"/>
            </w:pPr>
            <w:r>
              <w:rPr>
                <w:color w:val="000000"/>
                <w:kern w:val="0"/>
                <w:sz w:val="24"/>
                <w:szCs w:val="24"/>
              </w:rPr>
              <w:t>1.16%</w:t>
            </w:r>
          </w:p>
        </w:tc>
        <w:tc>
          <w:tcPr>
            <w:vAlign w:val="center"/>
          </w:tcPr>
          <w:p>
            <w:pPr>
              <w:jc w:val="center"/>
            </w:pPr>
            <w:r>
              <w:rPr>
                <w:color w:val="000000"/>
                <w:kern w:val="0"/>
                <w:sz w:val="24"/>
                <w:szCs w:val="24"/>
              </w:rPr>
              <w:t>255.44%</w:t>
            </w:r>
          </w:p>
        </w:tc>
        <w:tc>
          <w:tcPr>
            <w:vAlign w:val="center"/>
          </w:tcPr>
          <w:p>
            <w:pPr>
              <w:jc w:val="center"/>
            </w:pPr>
            <w:r>
              <w:rPr>
                <w:color w:val="000000"/>
                <w:kern w:val="0"/>
                <w:sz w:val="24"/>
                <w:szCs w:val="24"/>
              </w:rPr>
              <w:t>0.26%</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799.90%</w:t>
            </w:r>
          </w:p>
        </w:tc>
        <w:tc>
          <w:tcPr>
            <w:vAlign w:val="center"/>
          </w:tcPr>
          <w:p>
            <w:pPr>
              <w:jc w:val="center"/>
            </w:pPr>
            <w:r>
              <w:rPr>
                <w:color w:val="000000"/>
                <w:kern w:val="0"/>
                <w:sz w:val="24"/>
                <w:szCs w:val="24"/>
              </w:rPr>
              <w:t>1.45%</w:t>
            </w:r>
          </w:p>
        </w:tc>
        <w:tc>
          <w:tcPr>
            <w:vAlign w:val="center"/>
          </w:tcPr>
          <w:p>
            <w:pPr>
              <w:jc w:val="center"/>
            </w:pPr>
            <w:r>
              <w:rPr>
                <w:color w:val="000000"/>
                <w:kern w:val="0"/>
                <w:sz w:val="24"/>
                <w:szCs w:val="24"/>
              </w:rPr>
              <w:t>67.65%</w:t>
            </w:r>
          </w:p>
        </w:tc>
        <w:tc>
          <w:tcPr>
            <w:vAlign w:val="center"/>
          </w:tcPr>
          <w:p>
            <w:pPr>
              <w:jc w:val="center"/>
            </w:pPr>
            <w:r>
              <w:rPr>
                <w:color w:val="000000"/>
                <w:kern w:val="0"/>
                <w:sz w:val="24"/>
                <w:szCs w:val="24"/>
              </w:rPr>
              <w:t>1.37%</w:t>
            </w:r>
          </w:p>
        </w:tc>
        <w:tc>
          <w:tcPr>
            <w:vAlign w:val="center"/>
          </w:tcPr>
          <w:p>
            <w:pPr>
              <w:jc w:val="center"/>
            </w:pPr>
            <w:r>
              <w:rPr>
                <w:color w:val="000000"/>
                <w:kern w:val="0"/>
                <w:sz w:val="24"/>
                <w:szCs w:val="24"/>
              </w:rPr>
              <w:t>732.25%</w:t>
            </w:r>
          </w:p>
        </w:tc>
        <w:tc>
          <w:tcPr>
            <w:vAlign w:val="center"/>
          </w:tcPr>
          <w:p>
            <w:pPr>
              <w:jc w:val="center"/>
            </w:pPr>
            <w:r>
              <w:rPr>
                <w:color w:val="000000"/>
                <w:kern w:val="0"/>
                <w:sz w:val="24"/>
                <w:szCs w:val="24"/>
              </w:rPr>
              <w:t>0.08%</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易方达中小盘混合型证券投资基金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2008年6月19日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注：自基金合同生效至报告期末，基金份额净值增长率为799.90%，同期业绩比较基准收益率为67.65%。</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张坤</w:t>
            </w:r>
          </w:p>
        </w:tc>
        <w:tc>
          <w:tcPr>
            <w:vAlign w:val="center"/>
          </w:tcPr>
          <w:p>
            <w:pPr>
              <w:jc w:val="left"/>
            </w:pPr>
            <w:r>
              <w:rPr>
                <w:color w:val="000000"/>
                <w:sz w:val="24"/>
              </w:rPr>
              <w:t>本基金的基金经理、易方达亚洲精选股票型证券投资基金的基金经理、易方达新丝路灵活配置混合型证券投资基金的基金经理、易方达蓝筹精选混合型证券投资基金的基金经理、易方达优质企业三年持有期混合型证券投资基金的基金经理、副总经理级高级管理人员、权益投资决策委员会委员</w:t>
            </w:r>
          </w:p>
        </w:tc>
        <w:tc>
          <w:tcPr>
            <w:vAlign w:val="center"/>
          </w:tcPr>
          <w:p>
            <w:pPr>
              <w:jc w:val="center"/>
            </w:pPr>
            <w:r>
              <w:rPr>
                <w:color w:val="000000"/>
                <w:sz w:val="24"/>
              </w:rPr>
              <w:t>2012-09-28</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硕士研究生，具有基金从业资格。曾任易方达基金管理有限公司行业研究员、基金经理助理、研究部总经理助理。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2020年三季度，A股市场震荡上涨，沪深300指数上涨10.17%，上证指数上涨7.82%，创业板指数上涨5.60%。</w:t>
      </w:r>
    </w:p>
    <w:p>
      <w:pPr>
        <w:spacing w:line="360" w:lineRule="auto"/>
        <w:ind w:firstLine="480" w:firstLineChars="200"/>
        <w:rPr>
          <w:color w:val="000000"/>
          <w:sz w:val="24"/>
          <w:szCs w:val="24"/>
        </w:rPr>
      </w:pPr>
      <w:r>
        <w:rPr>
          <w:color w:val="000000"/>
          <w:sz w:val="24"/>
          <w:szCs w:val="24"/>
        </w:rPr>
        <w:t>三季度，国内新型冠状病毒肺炎疫情基本被控制住，生产和生活基本恢复正常。但全球仍有一些国家疫情情况较为严重，对全球经济造成了冲击，也对企业的经营造成了负面影响。为积极应对影响，中国政府保持了较宽松的货币政策和积极的财政政策。股票市场方面，市场在三季度分化较为明显，休闲服务、国防军工、电气设备、汽车等行业表现较好，而通信、商业贸易、计算机等行业表现相对落后。</w:t>
      </w:r>
    </w:p>
    <w:p>
      <w:pPr>
        <w:spacing w:line="360" w:lineRule="auto"/>
        <w:ind w:firstLine="480" w:firstLineChars="200"/>
        <w:rPr>
          <w:color w:val="000000"/>
          <w:sz w:val="24"/>
          <w:szCs w:val="24"/>
        </w:rPr>
      </w:pPr>
      <w:r>
        <w:rPr>
          <w:color w:val="000000"/>
          <w:sz w:val="24"/>
          <w:szCs w:val="24"/>
        </w:rPr>
        <w:t>操作方面，本基金在三季度股票仓位基本保持稳定，并对结构进行了调整，降低了医药等行业的配置，增加了食品饮料等行业的配置。个股方面，我们依然长期持有商业模式出色、行业格局清晰、竞争力强的优质公司。</w:t>
      </w:r>
    </w:p>
    <w:p>
      <w:pPr>
        <w:spacing w:line="360" w:lineRule="auto"/>
        <w:ind w:firstLine="480" w:firstLineChars="200"/>
        <w:rPr>
          <w:color w:val="000000"/>
          <w:sz w:val="24"/>
          <w:szCs w:val="24"/>
        </w:rPr>
      </w:pPr>
      <w:r>
        <w:rPr>
          <w:color w:val="000000"/>
          <w:sz w:val="24"/>
          <w:szCs w:val="24"/>
        </w:rPr>
        <w:t>疫情对国内经济活动的影响已经接近尾声。回顾这8个多月，疫情加速了很多行业本身的发展趋势，将原本可能需要2-3年的发展进程缩短到了几个月内，例如电商、本地服务线上化、在线教育等。此外，绝大多数行业的企业都面临了一次压力测试，全方位检验了企业过往的积累和内功。大部分行业实现了优胜劣汰，集中度进一步提升。移动互联网的时代，信息的传递速度越来越快，头部企业相比于过往获得竞争优势的速度是更快的，程度是更强的。</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我们对于中国资本市场的长期前景是乐观的，相信会有一批优质的企业不断长大、稳住并且长寿。我们将坚持深度研究，选择生意模式优秀（生意本身能够产生充沛的自由现金流，并且明智地进行分配）和企业竞争力突出（同行中具备显著领先的地位，相比上下游有较强的议价能力）的高质量企业，长期陪伴这些优秀公司成长并分享其经营成果。</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截至报告期末，本基金份额净值为7.1658元，本报告期份额净值增长率为18.24%，同期业绩比较基准收益率为6.49%。</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25,867,637,712.73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91.12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25,867,637,712.73</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91.12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148,575,000.00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0.52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148,575,000.00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0.52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2,297,535,999.25</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8.09</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76,096,078.78</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0.27</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28,389,844,790.76</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19,673,558,562.86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69.91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1,348,111,192.84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4.79</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2,282,458.97</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197,210.00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30,161.76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4,843,346,534.70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17.21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45,133.26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25,867,637,712.73</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91.92</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000568</w:t>
            </w:r>
          </w:p>
        </w:tc>
        <w:tc>
          <w:tcPr>
            <w:vAlign w:val="center"/>
          </w:tcPr>
          <w:p>
            <w:pPr>
              <w:jc w:val="center"/>
            </w:pPr>
            <w:r>
              <w:rPr>
                <w:color w:val="000000"/>
                <w:kern w:val="0"/>
                <w:sz w:val="24"/>
                <w:szCs w:val="24"/>
              </w:rPr>
              <w:t>泸州老窖</w:t>
            </w:r>
          </w:p>
        </w:tc>
        <w:tc>
          <w:tcPr>
            <w:vAlign w:val="center"/>
          </w:tcPr>
          <w:p>
            <w:pPr>
              <w:jc w:val="right"/>
            </w:pPr>
            <w:r>
              <w:rPr>
                <w:color w:val="000000"/>
                <w:kern w:val="0"/>
                <w:sz w:val="24"/>
                <w:szCs w:val="24"/>
              </w:rPr>
              <w:t>19,168,410</w:t>
            </w:r>
          </w:p>
        </w:tc>
        <w:tc>
          <w:tcPr>
            <w:vAlign w:val="center"/>
          </w:tcPr>
          <w:p>
            <w:pPr>
              <w:jc w:val="right"/>
            </w:pPr>
            <w:r>
              <w:rPr>
                <w:color w:val="000000"/>
                <w:kern w:val="0"/>
                <w:sz w:val="24"/>
                <w:szCs w:val="24"/>
              </w:rPr>
              <w:t>2,751,625,255.50</w:t>
            </w:r>
          </w:p>
        </w:tc>
        <w:tc>
          <w:tcPr>
            <w:vAlign w:val="center"/>
          </w:tcPr>
          <w:p>
            <w:pPr>
              <w:jc w:val="right"/>
            </w:pPr>
            <w:r>
              <w:rPr>
                <w:color w:val="000000"/>
                <w:kern w:val="0"/>
                <w:sz w:val="24"/>
                <w:szCs w:val="24"/>
              </w:rPr>
              <w:t>9.78</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600519</w:t>
            </w:r>
          </w:p>
        </w:tc>
        <w:tc>
          <w:tcPr>
            <w:vAlign w:val="center"/>
          </w:tcPr>
          <w:p>
            <w:pPr>
              <w:jc w:val="center"/>
            </w:pPr>
            <w:r>
              <w:rPr>
                <w:color w:val="000000"/>
                <w:kern w:val="0"/>
                <w:sz w:val="24"/>
                <w:szCs w:val="24"/>
              </w:rPr>
              <w:t>贵州茅台</w:t>
            </w:r>
          </w:p>
        </w:tc>
        <w:tc>
          <w:tcPr>
            <w:vAlign w:val="center"/>
          </w:tcPr>
          <w:p>
            <w:pPr>
              <w:jc w:val="right"/>
            </w:pPr>
            <w:r>
              <w:rPr>
                <w:color w:val="000000"/>
                <w:kern w:val="0"/>
                <w:sz w:val="24"/>
                <w:szCs w:val="24"/>
              </w:rPr>
              <w:t>1,620,068</w:t>
            </w:r>
          </w:p>
        </w:tc>
        <w:tc>
          <w:tcPr>
            <w:vAlign w:val="center"/>
          </w:tcPr>
          <w:p>
            <w:pPr>
              <w:jc w:val="right"/>
            </w:pPr>
            <w:r>
              <w:rPr>
                <w:color w:val="000000"/>
                <w:kern w:val="0"/>
                <w:sz w:val="24"/>
                <w:szCs w:val="24"/>
              </w:rPr>
              <w:t>2,703,083,458.00</w:t>
            </w:r>
          </w:p>
        </w:tc>
        <w:tc>
          <w:tcPr>
            <w:vAlign w:val="center"/>
          </w:tcPr>
          <w:p>
            <w:pPr>
              <w:jc w:val="right"/>
            </w:pPr>
            <w:r>
              <w:rPr>
                <w:color w:val="000000"/>
                <w:kern w:val="0"/>
                <w:sz w:val="24"/>
                <w:szCs w:val="24"/>
              </w:rPr>
              <w:t>9.61</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002304</w:t>
            </w:r>
          </w:p>
        </w:tc>
        <w:tc>
          <w:tcPr>
            <w:vAlign w:val="center"/>
          </w:tcPr>
          <w:p>
            <w:pPr>
              <w:jc w:val="center"/>
            </w:pPr>
            <w:r>
              <w:rPr>
                <w:color w:val="000000"/>
                <w:kern w:val="0"/>
                <w:sz w:val="24"/>
                <w:szCs w:val="24"/>
              </w:rPr>
              <w:t>洋河股份</w:t>
            </w:r>
          </w:p>
        </w:tc>
        <w:tc>
          <w:tcPr>
            <w:vAlign w:val="center"/>
          </w:tcPr>
          <w:p>
            <w:pPr>
              <w:jc w:val="right"/>
            </w:pPr>
            <w:r>
              <w:rPr>
                <w:color w:val="000000"/>
                <w:kern w:val="0"/>
                <w:sz w:val="24"/>
                <w:szCs w:val="24"/>
              </w:rPr>
              <w:t>21,430,062</w:t>
            </w:r>
          </w:p>
        </w:tc>
        <w:tc>
          <w:tcPr>
            <w:vAlign w:val="center"/>
          </w:tcPr>
          <w:p>
            <w:pPr>
              <w:jc w:val="right"/>
            </w:pPr>
            <w:r>
              <w:rPr>
                <w:color w:val="000000"/>
                <w:kern w:val="0"/>
                <w:sz w:val="24"/>
                <w:szCs w:val="24"/>
              </w:rPr>
              <w:t>2,678,543,449.38</w:t>
            </w:r>
          </w:p>
        </w:tc>
        <w:tc>
          <w:tcPr>
            <w:vAlign w:val="center"/>
          </w:tcPr>
          <w:p>
            <w:pPr>
              <w:jc w:val="right"/>
            </w:pPr>
            <w:r>
              <w:rPr>
                <w:color w:val="000000"/>
                <w:kern w:val="0"/>
                <w:sz w:val="24"/>
                <w:szCs w:val="24"/>
              </w:rPr>
              <w:t>9.52</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10,900,000</w:t>
            </w:r>
          </w:p>
        </w:tc>
        <w:tc>
          <w:tcPr>
            <w:vAlign w:val="center"/>
          </w:tcPr>
          <w:p>
            <w:pPr>
              <w:jc w:val="right"/>
            </w:pPr>
            <w:r>
              <w:rPr>
                <w:color w:val="000000"/>
                <w:kern w:val="0"/>
                <w:sz w:val="24"/>
                <w:szCs w:val="24"/>
              </w:rPr>
              <w:t>2,408,900,000.00</w:t>
            </w:r>
          </w:p>
        </w:tc>
        <w:tc>
          <w:tcPr>
            <w:vAlign w:val="center"/>
          </w:tcPr>
          <w:p>
            <w:pPr>
              <w:jc w:val="right"/>
            </w:pPr>
            <w:r>
              <w:rPr>
                <w:color w:val="000000"/>
                <w:kern w:val="0"/>
                <w:sz w:val="24"/>
                <w:szCs w:val="24"/>
              </w:rPr>
              <w:t>8.56</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600763</w:t>
            </w:r>
          </w:p>
        </w:tc>
        <w:tc>
          <w:tcPr>
            <w:vAlign w:val="center"/>
          </w:tcPr>
          <w:p>
            <w:pPr>
              <w:jc w:val="center"/>
            </w:pPr>
            <w:r>
              <w:rPr>
                <w:color w:val="000000"/>
                <w:kern w:val="0"/>
                <w:sz w:val="24"/>
                <w:szCs w:val="24"/>
              </w:rPr>
              <w:t>通策医疗</w:t>
            </w:r>
          </w:p>
        </w:tc>
        <w:tc>
          <w:tcPr>
            <w:vAlign w:val="center"/>
          </w:tcPr>
          <w:p>
            <w:pPr>
              <w:jc w:val="right"/>
            </w:pPr>
            <w:r>
              <w:rPr>
                <w:color w:val="000000"/>
                <w:kern w:val="0"/>
                <w:sz w:val="24"/>
                <w:szCs w:val="24"/>
              </w:rPr>
              <w:t>9,300,163</w:t>
            </w:r>
          </w:p>
        </w:tc>
        <w:tc>
          <w:tcPr>
            <w:vAlign w:val="center"/>
          </w:tcPr>
          <w:p>
            <w:pPr>
              <w:jc w:val="right"/>
            </w:pPr>
            <w:r>
              <w:rPr>
                <w:color w:val="000000"/>
                <w:kern w:val="0"/>
                <w:sz w:val="24"/>
                <w:szCs w:val="24"/>
              </w:rPr>
              <w:t>1,987,444,833.10</w:t>
            </w:r>
          </w:p>
        </w:tc>
        <w:tc>
          <w:tcPr>
            <w:vAlign w:val="center"/>
          </w:tcPr>
          <w:p>
            <w:pPr>
              <w:jc w:val="right"/>
            </w:pPr>
            <w:r>
              <w:rPr>
                <w:color w:val="000000"/>
                <w:kern w:val="0"/>
                <w:sz w:val="24"/>
                <w:szCs w:val="24"/>
              </w:rPr>
              <w:t>7.06</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002044</w:t>
            </w:r>
          </w:p>
        </w:tc>
        <w:tc>
          <w:tcPr>
            <w:vAlign w:val="center"/>
          </w:tcPr>
          <w:p>
            <w:pPr>
              <w:jc w:val="center"/>
            </w:pPr>
            <w:r>
              <w:rPr>
                <w:color w:val="000000"/>
                <w:kern w:val="0"/>
                <w:sz w:val="24"/>
                <w:szCs w:val="24"/>
              </w:rPr>
              <w:t>美年健康</w:t>
            </w:r>
          </w:p>
        </w:tc>
        <w:tc>
          <w:tcPr>
            <w:vAlign w:val="center"/>
          </w:tcPr>
          <w:p>
            <w:pPr>
              <w:jc w:val="right"/>
            </w:pPr>
            <w:r>
              <w:rPr>
                <w:color w:val="000000"/>
                <w:kern w:val="0"/>
                <w:sz w:val="24"/>
                <w:szCs w:val="24"/>
              </w:rPr>
              <w:t>118,000,120</w:t>
            </w:r>
          </w:p>
        </w:tc>
        <w:tc>
          <w:tcPr>
            <w:vAlign w:val="center"/>
          </w:tcPr>
          <w:p>
            <w:pPr>
              <w:jc w:val="right"/>
            </w:pPr>
            <w:r>
              <w:rPr>
                <w:color w:val="000000"/>
                <w:kern w:val="0"/>
                <w:sz w:val="24"/>
                <w:szCs w:val="24"/>
              </w:rPr>
              <w:t>1,673,241,701.60</w:t>
            </w:r>
          </w:p>
        </w:tc>
        <w:tc>
          <w:tcPr>
            <w:vAlign w:val="center"/>
          </w:tcPr>
          <w:p>
            <w:pPr>
              <w:jc w:val="right"/>
            </w:pPr>
            <w:r>
              <w:rPr>
                <w:color w:val="000000"/>
                <w:kern w:val="0"/>
                <w:sz w:val="24"/>
                <w:szCs w:val="24"/>
              </w:rPr>
              <w:t>5.95</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600066</w:t>
            </w:r>
          </w:p>
        </w:tc>
        <w:tc>
          <w:tcPr>
            <w:vAlign w:val="center"/>
          </w:tcPr>
          <w:p>
            <w:pPr>
              <w:jc w:val="center"/>
            </w:pPr>
            <w:r>
              <w:rPr>
                <w:color w:val="000000"/>
                <w:kern w:val="0"/>
                <w:sz w:val="24"/>
                <w:szCs w:val="24"/>
              </w:rPr>
              <w:t>宇通客车</w:t>
            </w:r>
          </w:p>
        </w:tc>
        <w:tc>
          <w:tcPr>
            <w:vAlign w:val="center"/>
          </w:tcPr>
          <w:p>
            <w:pPr>
              <w:jc w:val="right"/>
            </w:pPr>
            <w:r>
              <w:rPr>
                <w:color w:val="000000"/>
                <w:kern w:val="0"/>
                <w:sz w:val="24"/>
                <w:szCs w:val="24"/>
              </w:rPr>
              <w:t>95,000,051</w:t>
            </w:r>
          </w:p>
        </w:tc>
        <w:tc>
          <w:tcPr>
            <w:vAlign w:val="center"/>
          </w:tcPr>
          <w:p>
            <w:pPr>
              <w:jc w:val="right"/>
            </w:pPr>
            <w:r>
              <w:rPr>
                <w:color w:val="000000"/>
                <w:kern w:val="0"/>
                <w:sz w:val="24"/>
                <w:szCs w:val="24"/>
              </w:rPr>
              <w:t>1,493,400,801.72</w:t>
            </w:r>
          </w:p>
        </w:tc>
        <w:tc>
          <w:tcPr>
            <w:vAlign w:val="center"/>
          </w:tcPr>
          <w:p>
            <w:pPr>
              <w:jc w:val="right"/>
            </w:pPr>
            <w:r>
              <w:rPr>
                <w:color w:val="000000"/>
                <w:kern w:val="0"/>
                <w:sz w:val="24"/>
                <w:szCs w:val="24"/>
              </w:rPr>
              <w:t>5.31</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002032</w:t>
            </w:r>
          </w:p>
        </w:tc>
        <w:tc>
          <w:tcPr>
            <w:vAlign w:val="center"/>
          </w:tcPr>
          <w:p>
            <w:pPr>
              <w:jc w:val="center"/>
            </w:pPr>
            <w:r>
              <w:rPr>
                <w:color w:val="000000"/>
                <w:kern w:val="0"/>
                <w:sz w:val="24"/>
                <w:szCs w:val="24"/>
              </w:rPr>
              <w:t>苏泊尔</w:t>
            </w:r>
          </w:p>
        </w:tc>
        <w:tc>
          <w:tcPr>
            <w:vAlign w:val="center"/>
          </w:tcPr>
          <w:p>
            <w:pPr>
              <w:jc w:val="right"/>
            </w:pPr>
            <w:r>
              <w:rPr>
                <w:color w:val="000000"/>
                <w:kern w:val="0"/>
                <w:sz w:val="24"/>
                <w:szCs w:val="24"/>
              </w:rPr>
              <w:t>17,350,132</w:t>
            </w:r>
          </w:p>
        </w:tc>
        <w:tc>
          <w:tcPr>
            <w:vAlign w:val="center"/>
          </w:tcPr>
          <w:p>
            <w:pPr>
              <w:jc w:val="right"/>
            </w:pPr>
            <w:r>
              <w:rPr>
                <w:color w:val="000000"/>
                <w:kern w:val="0"/>
                <w:sz w:val="24"/>
                <w:szCs w:val="24"/>
              </w:rPr>
              <w:t>1,370,660,428.00</w:t>
            </w:r>
          </w:p>
        </w:tc>
        <w:tc>
          <w:tcPr>
            <w:vAlign w:val="center"/>
          </w:tcPr>
          <w:p>
            <w:pPr>
              <w:jc w:val="right"/>
            </w:pPr>
            <w:r>
              <w:rPr>
                <w:color w:val="000000"/>
                <w:kern w:val="0"/>
                <w:sz w:val="24"/>
                <w:szCs w:val="24"/>
              </w:rPr>
              <w:t>4.87</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600161</w:t>
            </w:r>
          </w:p>
        </w:tc>
        <w:tc>
          <w:tcPr>
            <w:vAlign w:val="center"/>
          </w:tcPr>
          <w:p>
            <w:pPr>
              <w:jc w:val="center"/>
            </w:pPr>
            <w:r>
              <w:rPr>
                <w:color w:val="000000"/>
                <w:kern w:val="0"/>
                <w:sz w:val="24"/>
                <w:szCs w:val="24"/>
              </w:rPr>
              <w:t>天坛生物</w:t>
            </w:r>
          </w:p>
        </w:tc>
        <w:tc>
          <w:tcPr>
            <w:vAlign w:val="center"/>
          </w:tcPr>
          <w:p>
            <w:pPr>
              <w:jc w:val="right"/>
            </w:pPr>
            <w:r>
              <w:rPr>
                <w:color w:val="000000"/>
                <w:kern w:val="0"/>
                <w:sz w:val="24"/>
                <w:szCs w:val="24"/>
              </w:rPr>
              <w:t>34,000,116</w:t>
            </w:r>
          </w:p>
        </w:tc>
        <w:tc>
          <w:tcPr>
            <w:vAlign w:val="center"/>
          </w:tcPr>
          <w:p>
            <w:pPr>
              <w:jc w:val="right"/>
            </w:pPr>
            <w:r>
              <w:rPr>
                <w:color w:val="000000"/>
                <w:kern w:val="0"/>
                <w:sz w:val="24"/>
                <w:szCs w:val="24"/>
              </w:rPr>
              <w:t>1,351,504,611.00</w:t>
            </w:r>
          </w:p>
        </w:tc>
        <w:tc>
          <w:tcPr>
            <w:vAlign w:val="center"/>
          </w:tcPr>
          <w:p>
            <w:pPr>
              <w:jc w:val="right"/>
            </w:pPr>
            <w:r>
              <w:rPr>
                <w:color w:val="000000"/>
                <w:kern w:val="0"/>
                <w:sz w:val="24"/>
                <w:szCs w:val="24"/>
              </w:rPr>
              <w:t>4.80</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600009</w:t>
            </w:r>
          </w:p>
        </w:tc>
        <w:tc>
          <w:tcPr>
            <w:vAlign w:val="center"/>
          </w:tcPr>
          <w:p>
            <w:pPr>
              <w:jc w:val="center"/>
            </w:pPr>
            <w:r>
              <w:rPr>
                <w:color w:val="000000"/>
                <w:kern w:val="0"/>
                <w:sz w:val="24"/>
                <w:szCs w:val="24"/>
              </w:rPr>
              <w:t>上海机场</w:t>
            </w:r>
          </w:p>
        </w:tc>
        <w:tc>
          <w:tcPr>
            <w:vAlign w:val="center"/>
          </w:tcPr>
          <w:p>
            <w:pPr>
              <w:jc w:val="right"/>
            </w:pPr>
            <w:r>
              <w:rPr>
                <w:color w:val="000000"/>
                <w:kern w:val="0"/>
                <w:sz w:val="24"/>
                <w:szCs w:val="24"/>
              </w:rPr>
              <w:t>19,600,066</w:t>
            </w:r>
          </w:p>
        </w:tc>
        <w:tc>
          <w:tcPr>
            <w:vAlign w:val="center"/>
          </w:tcPr>
          <w:p>
            <w:pPr>
              <w:jc w:val="right"/>
            </w:pPr>
            <w:r>
              <w:rPr>
                <w:color w:val="000000"/>
                <w:kern w:val="0"/>
                <w:sz w:val="24"/>
                <w:szCs w:val="24"/>
              </w:rPr>
              <w:t>1,348,092,539.48</w:t>
            </w:r>
          </w:p>
        </w:tc>
        <w:tc>
          <w:tcPr>
            <w:vAlign w:val="center"/>
          </w:tcPr>
          <w:p>
            <w:pPr>
              <w:jc w:val="right"/>
            </w:pPr>
            <w:r>
              <w:rPr>
                <w:color w:val="000000"/>
                <w:kern w:val="0"/>
                <w:sz w:val="24"/>
                <w:szCs w:val="24"/>
              </w:rPr>
              <w:t>4.79</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tbl>
      <w:tblPr>
        <w:tblStyle w:val="af7"/>
        <w:tblW w:type="dxa" w:w="8755"/>
        <w:jc w:val="center"/>
        <w:tblLayout w:type="fixed"/>
        <w:tblLook w:firstColumn="1" w:firstRow="1" w:lastColumn="0" w:lastRow="0" w:noHBand="0" w:noVBand="1" w:val="04A0"/>
      </w:tblPr>
      <w:tblGrid>
        <w:gridCol w:w="817"/>
        <w:gridCol w:w="3260"/>
        <w:gridCol w:w="2949"/>
        <w:gridCol w:w="1729"/>
      </w:tblGrid>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序号</w:t>
            </w:r>
          </w:p>
        </w:tc>
        <w:tc>
          <w:tcPr>
            <w:tcW w:type="dxa" w:w="3260"/>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债券品种</w:t>
            </w: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
            </w:r>
          </w:p>
        </w:tc>
        <w:tc>
          <w:tcPr>
            <w:tcW w:type="dxa" w:w="294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公允价值</w:t>
            </w:r>
            <w:r w:rsidRPr="00283CAD">
              <w:rPr>
                <w:rFonts w:eastAsiaTheme="minorEastAsia"/>
                <w:color w:themeColor="text1" w:val="000000"/>
                <w:sz w:val="24"/>
                <w:szCs w:val="24"/>
              </w:rPr>
              <w:t>(</w:t>
            </w:r>
            <w:r w:rsidRPr="00283CAD">
              <w:rPr>
                <w:rFonts w:eastAsiaTheme="minorEastAsia"/>
                <w:color w:themeColor="text1" w:val="000000"/>
                <w:sz w:val="24"/>
                <w:szCs w:val="24"/>
              </w:rPr>
              <w:t>元</w:t>
            </w:r>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占基金资产净值比例</w:t>
            </w:r>
            <w:r w:rsidRPr="00283CAD">
              <w:rPr>
                <w:rFonts w:eastAsiaTheme="minorEastAsia"/>
                <w:color w:themeColor="text1" w:val="000000"/>
                <w:sz w:val="24"/>
                <w:szCs w:val="24"/>
              </w:rPr>
              <w:t>(</w:t>
            </w:r>
            <w:r w:rsidRPr="00283CAD">
              <w:rPr>
                <w:rFonts w:eastAsiaTheme="minorEastAsia"/>
                <w:color w:themeColor="text1" w:val="000000"/>
                <w:sz w:val="24"/>
                <w:szCs w:val="24"/>
              </w:rPr>
              <w:t>％</w:t>
            </w: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1</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国家债券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2</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央行票据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3</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金融债券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148,575,000.00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0.53</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其中：政策性金融债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148,575,000.00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0.53</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4</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企业债券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r w:rsidRPr="00283CAD">
              <w:rPr>
                <w:rFonts w:eastAsiaTheme="minorEastAsia"/>
                <w:color w:themeColor="text1" w:val="000000"/>
                <w:sz w:val="24"/>
                <w:szCs w:val="24"/>
              </w:rPr>
              <w:lastRenderedPageBreak/>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5</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企业短期融资券</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6</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中期票据</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7</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可转债</w:t>
            </w:r>
            <w:r w:rsidR="004B5343" w:rsidRPr="004B5343">
              <w:rPr>
                <w:rFonts w:eastAsiaTheme="minorEastAsia" w:hint="eastAsia"/>
                <w:color w:themeColor="text1" w:val="000000"/>
                <w:sz w:val="24"/>
                <w:szCs w:val="24"/>
              </w:rPr>
              <w:t>（可交换债）</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8</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同业存单</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lastRenderedPageBreak/>
              <w:t>9</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其他</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w:t>
            </w:r>
          </w:p>
        </w:tc>
      </w:tr>
      <w:tr w:rsidR="00CA4677" w:rsidRPr="00283CAD" w:rsidTr="003328D9">
        <w:trPr>
          <w:jc w:val="center"/>
        </w:trPr>
        <w:tc>
          <w:tcPr>
            <w:tcW w:type="dxa" w:w="817"/>
            <w:vAlign w:val="center"/>
          </w:tcPr>
          <w:p w:rsidP="003328D9" w:rsidR="00CA4677" w:rsidRDefault="00CA4677" w:rsidRPr="00283CAD">
            <w:pPr>
              <w:spacing w:before="29" w:line="360" w:lineRule="auto"/>
              <w:ind w:left="17"/>
              <w:jc w:val="center"/>
              <w:rPr>
                <w:rFonts w:eastAsiaTheme="minorEastAsia"/>
                <w:color w:themeColor="text1" w:val="000000"/>
                <w:sz w:val="24"/>
                <w:szCs w:val="24"/>
              </w:rPr>
            </w:pPr>
            <w:r w:rsidRPr="00283CAD">
              <w:rPr>
                <w:rFonts w:eastAsiaTheme="minorEastAsia"/>
                <w:color w:themeColor="text1" w:val="000000"/>
                <w:sz w:val="24"/>
                <w:szCs w:val="24"/>
              </w:rPr>
              <w:t>10</w:t>
            </w:r>
          </w:p>
        </w:tc>
        <w:tc>
          <w:tcPr>
            <w:tcW w:type="dxa" w:w="3260"/>
            <w:vAlign w:val="center"/>
          </w:tcPr>
          <w:p w:rsidP="003328D9" w:rsidR="00CA4677" w:rsidRDefault="00CA4677" w:rsidRPr="00283CAD">
            <w:pPr>
              <w:spacing w:before="29" w:line="360" w:lineRule="auto"/>
              <w:ind w:left="17"/>
              <w:jc w:val="left"/>
              <w:rPr>
                <w:rFonts w:eastAsiaTheme="minorEastAsia"/>
                <w:color w:themeColor="text1" w:val="000000"/>
                <w:sz w:val="24"/>
                <w:szCs w:val="24"/>
              </w:rPr>
            </w:pPr>
            <w:r w:rsidRPr="00283CAD">
              <w:rPr>
                <w:rFonts w:eastAsiaTheme="minorEastAsia"/>
                <w:color w:themeColor="text1" w:val="000000"/>
                <w:sz w:val="24"/>
                <w:szCs w:val="24"/>
              </w:rPr>
              <w:t>合计</w:t>
            </w:r>
          </w:p>
        </w:tc>
        <w:tc>
          <w:tcPr>
            <w:tcW w:type="dxa" w:w="294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148,575,000.00</w:t>
            </w:r>
          </w:p>
        </w:tc>
        <w:tc>
          <w:tcPr>
            <w:tcW w:type="dxa" w:w="1729"/>
            <w:vAlign w:val="center"/>
          </w:tcPr>
          <w:p w:rsidP="003328D9" w:rsidR="00CA4677" w:rsidRDefault="00CA4677" w:rsidRPr="00283CAD">
            <w:pPr>
              <w:spacing w:before="29" w:line="360" w:lineRule="auto"/>
              <w:ind w:left="17"/>
              <w:jc w:val="right"/>
              <w:rPr>
                <w:rFonts w:eastAsiaTheme="minorEastAsia"/>
                <w:color w:themeColor="text1" w:val="000000"/>
                <w:sz w:val="24"/>
                <w:szCs w:val="24"/>
              </w:rPr>
            </w:pPr>
            <w:r w:rsidRPr="00283CAD">
              <w:rPr>
                <w:rFonts w:eastAsiaTheme="minorEastAsia"/>
                <w:color w:themeColor="text1" w:val="000000"/>
                <w:sz w:val="24"/>
                <w:szCs w:val="24"/>
              </w:rPr>
              <w:t/>
            </w:r>
            <w:proofErr w:type="spellStart"/>
            <w:r w:rsidRPr="00283CAD">
              <w:rPr>
                <w:rFonts w:eastAsiaTheme="minorEastAsia"/>
                <w:color w:themeColor="text1" w:val="000000"/>
                <w:sz w:val="24"/>
                <w:szCs w:val="24"/>
              </w:rPr>
              <w:t/>
            </w:r>
            <w:proofErr w:type="spellEnd"/>
            <w:r w:rsidRPr="00283CAD">
              <w:rPr>
                <w:rFonts w:eastAsiaTheme="minorEastAsia"/>
                <w:color w:themeColor="text1" w:val="000000"/>
                <w:sz w:val="24"/>
                <w:szCs w:val="24"/>
              </w:rPr>
              <w:t>0.53</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59"/>
        <w:gridCol w:w="1276"/>
        <w:gridCol w:w="1275"/>
        <w:gridCol w:w="1560"/>
        <w:gridCol w:w="1984"/>
        <w:gridCol w:w="1474"/>
      </w:tblGrid>
      <w:tr w:rsidR="00750D48" w:rsidRPr="00264E55" w:rsidTr="005602F3">
        <w:tc>
          <w:tcPr>
            <w:tcW w:type="dxa" w:w="959"/>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债券代码</w:t>
            </w:r>
          </w:p>
        </w:tc>
        <w:tc>
          <w:tcPr>
            <w:tcW w:type="dxa" w:w="1275"/>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债券名称</w:t>
            </w:r>
          </w:p>
        </w:tc>
        <w:tc>
          <w:tcPr>
            <w:tcW w:type="dxa" w:w="1560"/>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（张）</w:t>
            </w:r>
          </w:p>
        </w:tc>
        <w:tc>
          <w:tcPr>
            <w:tcW w:type="dxa" w:w="198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474"/>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200403</w:t>
            </w:r>
          </w:p>
        </w:tc>
        <w:tc>
          <w:tcPr>
            <w:vAlign w:val="center"/>
          </w:tcPr>
          <w:p>
            <w:pPr>
              <w:jc w:val="center"/>
            </w:pPr>
            <w:r>
              <w:rPr>
                <w:color w:val="000000"/>
                <w:kern w:val="0"/>
                <w:sz w:val="24"/>
                <w:szCs w:val="24"/>
              </w:rPr>
              <w:t>20农发03</w:t>
            </w:r>
          </w:p>
        </w:tc>
        <w:tc>
          <w:tcPr>
            <w:vAlign w:val="center"/>
          </w:tcPr>
          <w:p>
            <w:pPr>
              <w:jc w:val="right"/>
            </w:pPr>
            <w:r>
              <w:rPr>
                <w:color w:val="000000"/>
                <w:kern w:val="0"/>
                <w:sz w:val="24"/>
                <w:szCs w:val="24"/>
              </w:rPr>
              <w:t>1,500,000</w:t>
            </w:r>
          </w:p>
        </w:tc>
        <w:tc>
          <w:tcPr>
            <w:vAlign w:val="center"/>
          </w:tcPr>
          <w:p>
            <w:pPr>
              <w:jc w:val="right"/>
            </w:pPr>
            <w:r>
              <w:rPr>
                <w:color w:val="000000"/>
                <w:kern w:val="0"/>
                <w:sz w:val="24"/>
                <w:szCs w:val="24"/>
              </w:rPr>
              <w:t>148,575,000.00</w:t>
            </w:r>
          </w:p>
        </w:tc>
        <w:tc>
          <w:tcPr>
            <w:vAlign w:val="center"/>
          </w:tcPr>
          <w:p>
            <w:pPr>
              <w:jc w:val="right"/>
            </w:pPr>
            <w:r>
              <w:rPr>
                <w:color w:val="000000"/>
                <w:kern w:val="0"/>
                <w:sz w:val="24"/>
                <w:szCs w:val="24"/>
              </w:rPr>
              <w:t>0.53</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2020年3月13日，浦东新区卫生健康委员会对上海国际机场股份有限公司予以行政处罚，罚款人民币5000元。</w:t>
      </w:r>
    </w:p>
    <w:p>
      <w:pPr>
        <w:spacing w:line="360" w:lineRule="auto"/>
        <w:rPr>
          <w:rFonts w:ascii="宋体" w:hAnsi="宋体"/>
          <w:color w:val="000000"/>
          <w:sz w:val="24"/>
          <w:szCs w:val="24"/>
        </w:rPr>
      </w:pPr>
      <w:r>
        <w:rPr>
          <w:rFonts w:ascii="宋体" w:hAnsi="宋体"/>
          <w:color w:val="000000"/>
          <w:sz w:val="24"/>
          <w:szCs w:val="24"/>
        </w:rPr>
        <w:t>本基金投资上海机场投资决策程序符合公司投资制度的规定。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除上海机场外，本基金投资的前十名证券的发行主体本期没有出现被监管部门立案调查，或在报告编制日前一年内受到公开谴责、处罚的情形。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1,444,247.87</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143,572.56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936,622.04</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73,571,636.31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76,096,078.78</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3,160,109,122.14</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2,291,179,852.40</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1,524,060,792.02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3,927,228,182.52</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1.中国证监会核准易方达中小盘股票型证券投资基金募集的文件；</w:t>
      </w:r>
    </w:p>
    <w:p>
      <w:pPr>
        <w:spacing w:line="360" w:lineRule="auto"/>
        <w:ind w:firstLine="480" w:firstLineChars="200"/>
        <w:rPr>
          <w:color w:val="000000"/>
          <w:sz w:val="24"/>
          <w:szCs w:val="24"/>
        </w:rPr>
      </w:pPr>
      <w:r>
        <w:rPr>
          <w:color w:val="000000"/>
          <w:sz w:val="24"/>
          <w:szCs w:val="24"/>
        </w:rPr>
        <w:t>2.易方达基金管理有限公司关于旗下部分开放式基金更名及修改基金合同、托管协议的公告</w:t>
      </w:r>
    </w:p>
    <w:p>
      <w:pPr>
        <w:spacing w:line="360" w:lineRule="auto"/>
        <w:ind w:firstLine="480" w:firstLineChars="200"/>
        <w:rPr>
          <w:color w:val="000000"/>
          <w:sz w:val="24"/>
          <w:szCs w:val="24"/>
        </w:rPr>
      </w:pPr>
      <w:r>
        <w:rPr>
          <w:color w:val="000000"/>
          <w:sz w:val="24"/>
          <w:szCs w:val="24"/>
        </w:rPr>
        <w:t>3.《易方达中小盘混合型证券投资基金基金合同》；</w:t>
      </w:r>
    </w:p>
    <w:p>
      <w:pPr>
        <w:spacing w:line="360" w:lineRule="auto"/>
        <w:ind w:firstLine="480" w:firstLineChars="200"/>
        <w:rPr>
          <w:color w:val="000000"/>
          <w:sz w:val="24"/>
          <w:szCs w:val="24"/>
        </w:rPr>
      </w:pPr>
      <w:r>
        <w:rPr>
          <w:color w:val="000000"/>
          <w:sz w:val="24"/>
          <w:szCs w:val="24"/>
        </w:rPr>
        <w:t>4.《易方达中小盘混合型证券投资基金托管协议》；</w:t>
      </w:r>
    </w:p>
    <w:p>
      <w:pPr>
        <w:spacing w:line="360" w:lineRule="auto"/>
        <w:ind w:firstLine="480" w:firstLineChars="200"/>
        <w:rPr>
          <w:color w:val="000000"/>
          <w:sz w:val="24"/>
          <w:szCs w:val="24"/>
        </w:rPr>
      </w:pPr>
      <w:r>
        <w:rPr>
          <w:color w:val="000000"/>
          <w:sz w:val="24"/>
          <w:szCs w:val="24"/>
        </w:rPr>
        <w:t>5.《易方达基金管理有限公司开放式基金业务规则》；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6.基金管理人业务资格批件和营业执照。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易方达中小盘混合型证券投资基金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