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FC13C8" w:rsidR="00F016DD" w:rsidRDefault="00F016DD" w:rsidRPr="0078105B">
      <w:pPr>
        <w:spacing w:line="360" w:lineRule="auto"/>
        <w:jc w:val="center"/>
        <w:rPr>
          <w:rFonts w:ascii="宋体" w:hAnsi="宋体"/>
          <w:b/>
          <w:sz w:val="36"/>
          <w:szCs w:val="36"/>
        </w:rPr>
      </w:pPr>
      <w:r w:rsidRPr="0078105B">
        <w:rPr>
          <w:rFonts w:ascii="宋体"/>
          <w:b/>
          <w:sz w:val="36"/>
          <w:szCs w:val="36"/>
        </w:rPr>
        <w:t/>
      </w:r>
      <w:proofErr w:type="spellStart"/>
      <w:proofErr w:type="gramStart"/>
      <w:r w:rsidRPr="0078105B">
        <w:rPr>
          <w:rFonts w:ascii="宋体" w:hAnsi="宋体"/>
          <w:b/>
          <w:sz w:val="36"/>
          <w:szCs w:val="36"/>
        </w:rPr>
        <w:t/>
      </w:r>
      <w:proofErr w:type="spellEnd"/>
      <w:proofErr w:type="gramEnd"/>
      <w:r w:rsidRPr="0078105B">
        <w:rPr>
          <w:rFonts w:ascii="宋体" w:hAnsi="宋体"/>
          <w:b/>
          <w:sz w:val="36"/>
          <w:szCs w:val="36"/>
        </w:rPr>
        <w:t>易方达稳健收益债券型证券投资基金</w:t>
      </w:r>
    </w:p>
    <w:p w:rsidP="00FC13C8" w:rsidR="00F016DD" w:rsidRDefault="00F016DD" w:rsidRPr="0078105B">
      <w:pPr>
        <w:spacing w:line="360" w:lineRule="auto"/>
        <w:jc w:val="center"/>
        <w:rPr>
          <w:rFonts w:ascii="宋体" w:hAnsi="宋体"/>
          <w:b/>
          <w:sz w:val="36"/>
          <w:szCs w:val="36"/>
        </w:rPr>
      </w:pPr>
      <w:r w:rsidRPr="0078105B">
        <w:rPr>
          <w:rFonts w:ascii="宋体" w:hAnsi="宋体"/>
          <w:b/>
          <w:sz w:val="36"/>
          <w:szCs w:val="36"/>
        </w:rPr>
        <w:t/>
      </w:r>
      <w:proofErr w:type="spellStart"/>
      <w:r w:rsidRPr="0078105B">
        <w:rPr>
          <w:rFonts w:ascii="宋体" w:hAnsi="宋体"/>
          <w:b/>
          <w:sz w:val="36"/>
          <w:szCs w:val="36"/>
        </w:rPr>
        <w:t/>
      </w:r>
      <w:proofErr w:type="spellEnd"/>
      <w:r w:rsidRPr="0078105B">
        <w:rPr>
          <w:rFonts w:ascii="宋体" w:hAnsi="宋体"/>
          <w:b/>
          <w:sz w:val="36"/>
          <w:szCs w:val="36"/>
        </w:rPr>
        <w:t>2020年第3季度报告</w:t>
      </w:r>
    </w:p>
    <w:p w:rsidP="00FC13C8" w:rsidR="00F016DD" w:rsidRDefault="00F016DD" w:rsidRPr="00DA451D">
      <w:pPr>
        <w:spacing w:line="360" w:lineRule="auto"/>
        <w:jc w:val="center"/>
        <w:rPr>
          <w:rFonts w:ascii="宋体" w:hAnsi="宋体"/>
          <w:b/>
          <w:sz w:val="24"/>
        </w:rPr>
      </w:pPr>
      <w:r w:rsidRPr="00DA451D">
        <w:rPr>
          <w:rFonts w:ascii="宋体"/>
          <w:b/>
          <w:sz w:val="24"/>
        </w:rPr>
        <w:t/>
      </w:r>
      <w:proofErr w:type="spellStart"/>
      <w:proofErr w:type="gramStart"/>
      <w:r w:rsidRPr="00DA451D">
        <w:rPr>
          <w:rFonts w:ascii="宋体" w:hAnsi="宋体"/>
          <w:b/>
          <w:sz w:val="24"/>
        </w:rPr>
        <w:t/>
      </w:r>
      <w:proofErr w:type="spellEnd"/>
      <w:proofErr w:type="gramEnd"/>
      <w:r w:rsidRPr="00DA451D">
        <w:rPr>
          <w:rFonts w:ascii="宋体" w:hAnsi="宋体"/>
          <w:b/>
          <w:sz w:val="24"/>
        </w:rPr>
        <w:t>2020年9月30日</w:t>
      </w: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rPr>
          <w:rFonts w:ascii="宋体"/>
          <w:b/>
          <w:color w:val="000000"/>
          <w:sz w:val="24"/>
        </w:rPr>
      </w:pP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基金管理人：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易方达基金管理有限公司</w:t>
      </w: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基金托管人：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中国银行股份有限公司</w:t>
      </w:r>
    </w:p>
    <w:p w:rsidP="00174038" w:rsidR="00F016DD" w:rsidRDefault="00F016DD" w:rsidRPr="0078105B">
      <w:pPr>
        <w:spacing w:line="360" w:lineRule="auto"/>
        <w:ind w:firstLine="2168" w:firstLineChars="900"/>
        <w:rPr>
          <w:rFonts w:ascii="宋体"/>
          <w:sz w:val="24"/>
        </w:rPr>
        <w:sectPr w:rsidR="00F016DD" w:rsidRPr="0078105B" w:rsidSect="00F7094A">
          <w:headerReference r:id="rId8" w:type="default"/>
          <w:footerReference r:id="rId9" w:type="default"/>
          <w:pgSz w:h="15840" w:w="11926"/>
          <w:pgMar w:bottom="851" w:footer="992" w:gutter="0" w:header="851" w:left="1418" w:right="1418" w:top="1418"/>
          <w:cols w:space="720"/>
          <w:noEndnote/>
        </w:sectPr>
      </w:pPr>
      <w:r w:rsidRPr="0078105B">
        <w:rPr>
          <w:rFonts w:ascii="宋体" w:hAnsi="宋体" w:hint="eastAsia"/>
          <w:b/>
          <w:color w:val="000000"/>
          <w:sz w:val="24"/>
        </w:rPr>
        <w:t>报告送出日期：</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二〇二〇年十月二十八日</w:t>
      </w:r>
    </w:p>
    <w:p w:rsidP="00B54884" w:rsidR="00F016DD" w:rsidRDefault="00F016DD" w:rsidRPr="0078105B">
      <w:pPr>
        <w:pStyle w:val="1"/>
        <w:spacing w:after="312" w:afterLines="100" w:before="312" w:beforeLines="100" w:line="360" w:lineRule="auto"/>
        <w:jc w:val="center"/>
        <w:rPr>
          <w:rFonts w:ascii="宋体" w:cs="Arial"/>
          <w:b w:val="0"/>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1  </w:t>
      </w:r>
      <w:r w:rsidRPr="0078105B">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基金托管人中国银行股份有限公司根据本基金合同规定，于2020年10月26日复核了本报告中的财务指标、净值表现和投资组合报告等内容，保证复核内容不存在虚假记载、误导性陈述或者重大遗漏。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本报告期自2020年7月1日起至9月30日止。</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2  </w:t>
      </w:r>
      <w:r w:rsidRPr="0078105B">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268"/>
        <w:gridCol w:w="2032"/>
        <w:gridCol w:w="1274"/>
        <w:gridCol w:w="758"/>
        <w:gridCol w:w="2032"/>
      </w:tblGrid>
      <w:tr w:rsidR="00F016DD" w:rsidRPr="0078105B" w:rsidTr="00436E07">
        <w:tc>
          <w:tcPr>
            <w:tcW w:type="dxa" w:w="2268"/>
          </w:tcPr>
          <w:p w:rsidP="00E205AA" w:rsidR="00F016DD" w:rsidRDefault="00F016DD" w:rsidRPr="00C30CFF">
            <w:pPr>
              <w:adjustRightInd w:val="0"/>
              <w:spacing w:before="29" w:line="360" w:lineRule="auto"/>
              <w:ind w:left="17"/>
              <w:jc w:val="left"/>
              <w:rPr>
                <w:kern w:val="0"/>
                <w:sz w:val="24"/>
              </w:rPr>
            </w:pPr>
            <w:r w:rsidRPr="00C30CFF">
              <w:rPr>
                <w:kern w:val="0"/>
                <w:sz w:val="24"/>
              </w:rPr>
              <w:t>基金简称</w:t>
            </w:r>
          </w:p>
        </w:tc>
        <w:tc>
          <w:tcPr>
            <w:tcW w:type="dxa" w:w="6096"/>
            <w:gridSpan w:val="4"/>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易方达稳健收益债券</w:t>
            </w:r>
          </w:p>
        </w:tc>
      </w:tr>
      <w:tr w:rsidR="00F016DD" w:rsidRPr="0078105B" w:rsidTr="00436E07">
        <w:tc>
          <w:tcPr>
            <w:tcW w:type="dxa" w:w="2268"/>
          </w:tcPr>
          <w:p w:rsidP="00E205AA" w:rsidR="00F016DD" w:rsidRDefault="00F016DD" w:rsidRPr="00C30CFF">
            <w:pPr>
              <w:adjustRightInd w:val="0"/>
              <w:spacing w:before="29" w:line="360" w:lineRule="auto"/>
              <w:ind w:left="17"/>
              <w:jc w:val="left"/>
              <w:rPr>
                <w:kern w:val="0"/>
                <w:sz w:val="24"/>
              </w:rPr>
            </w:pPr>
            <w:r w:rsidRPr="00C30CFF">
              <w:rPr>
                <w:kern w:val="0"/>
                <w:sz w:val="24"/>
              </w:rPr>
              <w:t>基金主代码</w:t>
            </w:r>
          </w:p>
        </w:tc>
        <w:tc>
          <w:tcPr>
            <w:tcW w:type="dxa" w:w="6096"/>
            <w:gridSpan w:val="4"/>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110007</w:t>
            </w:r>
          </w:p>
        </w:tc>
      </w:tr>
      <w:tr w:rsidR="00F016DD" w:rsidRPr="0078105B" w:rsidTr="00436E07">
        <w:tc>
          <w:tcPr>
            <w:tcW w:type="dxa" w:w="2268"/>
          </w:tcPr>
          <w:p w:rsidP="00E205AA" w:rsidR="00F016DD" w:rsidRDefault="00F016DD" w:rsidRPr="00C30CFF">
            <w:pPr>
              <w:adjustRightInd w:val="0"/>
              <w:spacing w:before="29" w:line="360" w:lineRule="auto"/>
              <w:ind w:left="17"/>
              <w:jc w:val="left"/>
              <w:rPr>
                <w:sz w:val="24"/>
              </w:rPr>
            </w:pPr>
            <w:r w:rsidRPr="00C30CFF">
              <w:rPr>
                <w:kern w:val="0"/>
                <w:sz w:val="24"/>
              </w:rPr>
              <w:t>基金运作方式</w:t>
            </w:r>
          </w:p>
        </w:tc>
        <w:tc>
          <w:tcPr>
            <w:tcW w:type="dxa" w:w="6096"/>
            <w:gridSpan w:val="4"/>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契约型开放式</w:t>
            </w:r>
          </w:p>
        </w:tc>
      </w:tr>
      <w:tr w:rsidR="00F016DD" w:rsidRPr="0078105B" w:rsidTr="00436E07">
        <w:tc>
          <w:tcPr>
            <w:tcW w:type="dxa" w:w="2268"/>
          </w:tcPr>
          <w:p w:rsidP="00E205AA" w:rsidR="00F016DD" w:rsidRDefault="00F016DD" w:rsidRPr="00C30CFF">
            <w:pPr>
              <w:adjustRightInd w:val="0"/>
              <w:spacing w:before="29" w:line="360" w:lineRule="auto"/>
              <w:ind w:left="17"/>
              <w:jc w:val="left"/>
              <w:rPr>
                <w:sz w:val="24"/>
              </w:rPr>
            </w:pPr>
            <w:r w:rsidRPr="00C30CFF">
              <w:rPr>
                <w:kern w:val="0"/>
                <w:sz w:val="24"/>
              </w:rPr>
              <w:t>基金合同生效日</w:t>
            </w:r>
          </w:p>
        </w:tc>
        <w:tc>
          <w:tcPr>
            <w:tcW w:type="dxa" w:w="6096"/>
            <w:gridSpan w:val="4"/>
          </w:tcPr>
          <w:p w:rsidP="00121533"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2008年1月29日</w:t>
            </w:r>
          </w:p>
        </w:tc>
      </w:tr>
      <w:tr w:rsidR="00F016DD" w:rsidRPr="0078105B" w:rsidTr="00436E07">
        <w:tc>
          <w:tcPr>
            <w:tcW w:type="dxa" w:w="2268"/>
          </w:tcPr>
          <w:p w:rsidP="00E205AA" w:rsidR="00F016DD" w:rsidRDefault="00F016DD" w:rsidRPr="00C30CFF">
            <w:pPr>
              <w:adjustRightInd w:val="0"/>
              <w:spacing w:before="29" w:line="360" w:lineRule="auto"/>
              <w:ind w:left="17"/>
              <w:jc w:val="left"/>
              <w:rPr>
                <w:sz w:val="24"/>
              </w:rPr>
            </w:pPr>
            <w:r w:rsidRPr="00C30CFF">
              <w:rPr>
                <w:kern w:val="0"/>
                <w:sz w:val="24"/>
              </w:rPr>
              <w:t>报告期末基金份额总额</w:t>
            </w:r>
          </w:p>
        </w:tc>
        <w:tc>
          <w:tcPr>
            <w:tcW w:type="dxa" w:w="6096"/>
            <w:gridSpan w:val="4"/>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15,359,170,916.53</w:t>
            </w:r>
            <w:r w:rsidRPr="00C30CFF">
              <w:rPr>
                <w:color w:val="000000"/>
                <w:kern w:val="0"/>
                <w:sz w:val="24"/>
              </w:rPr>
              <w:t>份</w:t>
            </w:r>
          </w:p>
        </w:tc>
      </w:tr>
      <w:tr w:rsidR="00F016DD" w:rsidRPr="0078105B" w:rsidTr="00436E07">
        <w:tc>
          <w:tcPr>
            <w:tcW w:type="dxa" w:w="2268"/>
          </w:tcPr>
          <w:p w:rsidP="00E205AA" w:rsidR="00F016DD" w:rsidRDefault="00F016DD" w:rsidRPr="00C30CFF">
            <w:pPr>
              <w:adjustRightInd w:val="0"/>
              <w:spacing w:before="29" w:line="360" w:lineRule="auto"/>
              <w:ind w:left="17"/>
              <w:jc w:val="left"/>
              <w:rPr>
                <w:sz w:val="24"/>
              </w:rPr>
            </w:pPr>
            <w:r w:rsidRPr="00C30CFF">
              <w:rPr>
                <w:kern w:val="0"/>
                <w:sz w:val="24"/>
              </w:rPr>
              <w:t>投资目标</w:t>
            </w:r>
          </w:p>
        </w:tc>
        <w:tc>
          <w:tcPr>
            <w:tcW w:type="dxa" w:w="6096"/>
            <w:gridSpan w:val="4"/>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通过主要投资于债券品种，追求基金资产的长期稳健增值。</w:t>
            </w:r>
          </w:p>
        </w:tc>
      </w:tr>
      <w:tr w:rsidR="00F016DD" w:rsidRPr="0078105B" w:rsidTr="00436E07">
        <w:tc>
          <w:tcPr>
            <w:tcW w:type="dxa" w:w="2268"/>
          </w:tcPr>
          <w:p w:rsidP="00E205AA" w:rsidR="00F016DD" w:rsidRDefault="00F016DD" w:rsidRPr="00C30CFF">
            <w:pPr>
              <w:adjustRightInd w:val="0"/>
              <w:spacing w:before="29" w:line="360" w:lineRule="auto"/>
              <w:ind w:left="17"/>
              <w:jc w:val="left"/>
              <w:rPr>
                <w:sz w:val="24"/>
              </w:rPr>
            </w:pPr>
            <w:r w:rsidRPr="00C30CFF">
              <w:rPr>
                <w:kern w:val="0"/>
                <w:sz w:val="24"/>
              </w:rPr>
              <w:t>投资策略</w:t>
            </w:r>
          </w:p>
        </w:tc>
        <w:tc>
          <w:tcPr>
            <w:tcW w:type="dxa" w:w="6096"/>
            <w:gridSpan w:val="4"/>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基于对以下因素的判断，进行基金资产在固定收益品种、可转换债券、股票主动投资以及新股（含增发）申购之间的配置：1、主要基于对利率走势、利率期限结构等因素的分析，预测固定收益品种的投资收益和风险；2、基于新股发行频率、中签率、上市后的平均涨幅等，预测新股申购的收益率以及风险；3、股票市场走势的预测；4、可转换债券发行公司的成长性和转债价值的判断。</w:t>
            </w:r>
          </w:p>
        </w:tc>
      </w:tr>
      <w:tr w:rsidR="00F016DD" w:rsidRPr="0078105B" w:rsidTr="00436E07">
        <w:tc>
          <w:tcPr>
            <w:tcW w:type="dxa" w:w="2268"/>
          </w:tcPr>
          <w:p w:rsidP="00E205AA" w:rsidR="00F016DD" w:rsidRDefault="00F016DD" w:rsidRPr="00C30CFF">
            <w:pPr>
              <w:adjustRightInd w:val="0"/>
              <w:spacing w:before="29" w:line="360" w:lineRule="auto"/>
              <w:ind w:left="17"/>
              <w:jc w:val="left"/>
              <w:rPr>
                <w:sz w:val="24"/>
              </w:rPr>
            </w:pPr>
            <w:r w:rsidRPr="00C30CFF">
              <w:rPr>
                <w:kern w:val="0"/>
                <w:sz w:val="24"/>
              </w:rPr>
              <w:t>业绩比较基准</w:t>
            </w:r>
          </w:p>
        </w:tc>
        <w:tc>
          <w:tcPr>
            <w:tcW w:type="dxa" w:w="6096"/>
            <w:gridSpan w:val="4"/>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中债新综合财富指数收益率*90%+沪深300指数收益率*10%</w:t>
            </w:r>
          </w:p>
        </w:tc>
      </w:tr>
      <w:tr w:rsidR="00F016DD" w:rsidRPr="0078105B" w:rsidTr="00436E07">
        <w:tc>
          <w:tcPr>
            <w:tcW w:type="dxa" w:w="2268"/>
          </w:tcPr>
          <w:p w:rsidP="00E205AA" w:rsidR="00F016DD" w:rsidRDefault="00F016DD" w:rsidRPr="00C30CFF">
            <w:pPr>
              <w:adjustRightInd w:val="0"/>
              <w:spacing w:before="29" w:line="360" w:lineRule="auto"/>
              <w:ind w:left="17"/>
              <w:jc w:val="left"/>
              <w:rPr>
                <w:sz w:val="24"/>
              </w:rPr>
            </w:pPr>
            <w:r w:rsidRPr="00C30CFF">
              <w:rPr>
                <w:kern w:val="0"/>
                <w:sz w:val="24"/>
              </w:rPr>
              <w:t>风险收益特征</w:t>
            </w:r>
          </w:p>
        </w:tc>
        <w:tc>
          <w:tcPr>
            <w:tcW w:type="dxa" w:w="6096"/>
            <w:gridSpan w:val="4"/>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本基金为债券型基金，其长期平均风险和预期收益率低于混合型基金、股票型基金，高于货币市场基金。</w:t>
            </w:r>
          </w:p>
        </w:tc>
      </w:tr>
      <w:tr w:rsidR="00F016DD" w:rsidRPr="0078105B" w:rsidTr="00436E07">
        <w:tc>
          <w:tcPr>
            <w:tcW w:type="dxa" w:w="2268"/>
          </w:tcPr>
          <w:p w:rsidP="00E205AA" w:rsidR="00F016DD" w:rsidRDefault="00F016DD" w:rsidRPr="00C30CFF">
            <w:pPr>
              <w:adjustRightInd w:val="0"/>
              <w:spacing w:before="29" w:line="360" w:lineRule="auto"/>
              <w:ind w:left="17"/>
              <w:jc w:val="left"/>
              <w:rPr>
                <w:sz w:val="24"/>
              </w:rPr>
            </w:pPr>
            <w:r w:rsidRPr="00C30CFF">
              <w:rPr>
                <w:kern w:val="0"/>
                <w:sz w:val="24"/>
              </w:rPr>
              <w:t>基金管理人</w:t>
            </w:r>
          </w:p>
        </w:tc>
        <w:tc>
          <w:tcPr>
            <w:tcW w:type="dxa" w:w="6096"/>
            <w:gridSpan w:val="4"/>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易方达基金管理有限公司</w:t>
            </w:r>
          </w:p>
        </w:tc>
      </w:tr>
      <w:tr w:rsidR="00F016DD" w:rsidRPr="0078105B" w:rsidTr="00436E07">
        <w:tc>
          <w:tcPr>
            <w:tcW w:type="dxa" w:w="2268"/>
          </w:tcPr>
          <w:p w:rsidP="00E205AA" w:rsidR="00F016DD" w:rsidRDefault="00F016DD" w:rsidRPr="00C30CFF">
            <w:pPr>
              <w:adjustRightInd w:val="0"/>
              <w:spacing w:before="29" w:line="360" w:lineRule="auto"/>
              <w:ind w:left="17"/>
              <w:jc w:val="left"/>
              <w:rPr>
                <w:sz w:val="24"/>
              </w:rPr>
            </w:pPr>
            <w:r w:rsidRPr="00C30CFF">
              <w:rPr>
                <w:kern w:val="0"/>
                <w:sz w:val="24"/>
              </w:rPr>
              <w:t>基金托管人</w:t>
            </w:r>
          </w:p>
        </w:tc>
        <w:tc>
          <w:tcPr>
            <w:tcW w:type="dxa" w:w="6096"/>
            <w:gridSpan w:val="4"/>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中国银行股份有限公司</w:t>
            </w:r>
          </w:p>
        </w:tc>
      </w:tr>
      <w:tr w:rsidR="00436E07" w:rsidRPr="0078105B" w:rsidTr="00B92936">
        <w:tc>
          <w:tcPr>
            <w:tcW w:type="dxa" w:w="2268"/>
          </w:tcPr>
          <w:p w:rsidP="003F13CD" w:rsidR="00436E07" w:rsidRDefault="00436E07" w:rsidRPr="00C30CFF">
            <w:pPr>
              <w:adjustRightInd w:val="0"/>
              <w:spacing w:before="29" w:line="360" w:lineRule="auto"/>
              <w:ind w:left="17"/>
              <w:jc w:val="left"/>
              <w:rPr>
                <w:kern w:val="0"/>
                <w:sz w:val="24"/>
              </w:rPr>
            </w:pPr>
            <w:r w:rsidRPr="00C30CFF">
              <w:rPr>
                <w:color w:val="000000"/>
                <w:sz w:val="24"/>
              </w:rPr>
              <w:t>下属分级基金的基金简称</w:t>
            </w:r>
          </w:p>
        </w:tc>
        <w:tc>
          <w:tcPr>
            <w:tcW w:type="dxa" w:w="2032"/>
            <w:vAlign w:val="center"/>
          </w:tcPr>
          <w:p w:rsidP="00950413" w:rsidR="00436E07" w:rsidRDefault="00436E07"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易方达稳健收益债券A</w:t>
            </w:r>
          </w:p>
        </w:tc>
        <w:tc>
          <w:tcPr>
            <w:tcW w:type="dxa" w:w="2032"/>
            <w:gridSpan w:val="2"/>
            <w:vAlign w:val="center"/>
          </w:tcPr>
          <w:p w:rsidP="00950413" w:rsidR="00436E07" w:rsidRDefault="00436E07" w:rsidRPr="00C30CFF">
            <w:pPr>
              <w:jc w:val="left"/>
              <w:rPr>
                <w:sz w:val="24"/>
              </w:rPr>
            </w:pPr>
            <w:r w:rsidRPr="00C30CFF">
              <w:rPr>
                <w:color w:val="000000"/>
                <w:kern w:val="0"/>
                <w:sz w:val="24"/>
              </w:rPr>
              <w:t/>
            </w:r>
            <w:r w:rsidRPr="00C30CFF">
              <w:rPr>
                <w:sz w:val="24"/>
              </w:rPr>
              <w:t>易方达稳健收益债券B</w:t>
            </w:r>
          </w:p>
        </w:tc>
        <w:tc>
          <w:tcPr>
            <w:tcW w:type="dxa" w:w="2032"/>
            <w:vAlign w:val="center"/>
          </w:tcPr>
          <w:p w:rsidP="00950413" w:rsidR="00436E07" w:rsidRDefault="00436E07" w:rsidRPr="00C30CFF">
            <w:pPr>
              <w:jc w:val="left"/>
              <w:rPr>
                <w:sz w:val="24"/>
              </w:rPr>
            </w:pPr>
            <w:r w:rsidRPr="00C30CFF">
              <w:rPr>
                <w:color w:val="000000"/>
                <w:kern w:val="0"/>
                <w:sz w:val="24"/>
              </w:rPr>
              <w:t/>
            </w:r>
            <w:proofErr w:type="spellStart"/>
            <w:r w:rsidRPr="00C30CFF">
              <w:rPr>
                <w:sz w:val="24"/>
              </w:rPr>
              <w:t/>
            </w:r>
            <w:proofErr w:type="spellEnd"/>
            <w:r w:rsidRPr="00C30CFF">
              <w:rPr>
                <w:sz w:val="24"/>
              </w:rPr>
              <w:t/>
            </w:r>
            <w:r>
              <w:rPr>
                <w:rFonts w:hint="eastAsia"/>
                <w:sz w:val="24"/>
              </w:rPr>
              <w:t/>
            </w:r>
            <w:r w:rsidRPr="00C30CFF">
              <w:rPr>
                <w:sz w:val="24"/>
              </w:rPr>
              <w:t>易方达稳健收益债券C</w:t>
            </w:r>
          </w:p>
        </w:tc>
      </w:tr>
      <w:tr w:rsidR="00D554CA" w:rsidRPr="004D29A9" w:rsidTr="00B92936">
        <w:tc>
          <w:tcPr>
            <w:tcW w:type="dxa" w:w="2268"/>
          </w:tcPr>
          <w:p w:rsidP="003F13CD" w:rsidR="00D554CA" w:rsidRDefault="00D554CA" w:rsidRPr="00C30CFF">
            <w:pPr>
              <w:adjustRightInd w:val="0"/>
              <w:spacing w:before="29" w:line="360" w:lineRule="auto"/>
              <w:ind w:left="17"/>
              <w:jc w:val="left"/>
              <w:rPr>
                <w:color w:val="000000"/>
                <w:sz w:val="24"/>
              </w:rPr>
            </w:pPr>
            <w:r w:rsidRPr="00C30CFF">
              <w:rPr>
                <w:color w:val="000000"/>
                <w:sz w:val="24"/>
              </w:rPr>
              <w:lastRenderedPageBreak/>
              <w:t>下属分级基金的交易代码</w:t>
            </w:r>
            <w:r w:rsidRPr="00C30CFF">
              <w:rPr>
                <w:color w:val="000000"/>
                <w:sz w:val="24"/>
              </w:rPr>
              <w:t/>
            </w:r>
            <w:proofErr w:type="spellStart"/>
            <w:r w:rsidRPr="00C30CFF">
              <w:rPr>
                <w:color w:val="000000"/>
              </w:rPr>
              <w:t/>
            </w:r>
            <w:proofErr w:type="spellEnd"/>
            <w:r w:rsidRPr="00C30CFF">
              <w:rPr>
                <w:color w:val="000000"/>
                <w:sz w:val="24"/>
              </w:rPr>
              <w:t/>
            </w:r>
          </w:p>
        </w:tc>
        <w:tc>
          <w:tcPr>
            <w:tcW w:type="dxa" w:w="2032"/>
            <w:vAlign w:val="center"/>
          </w:tcPr>
          <w:p w:rsidP="00950413" w:rsidR="00D554CA" w:rsidRDefault="00D554CA" w:rsidRPr="00C30CFF">
            <w:pPr>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
            </w:r>
            <w:proofErr w:type="spellStart"/>
            <w:r w:rsidRPr="00C30CFF">
              <w:rPr>
                <w:color w:val="000000"/>
                <w:sz w:val="24"/>
              </w:rPr>
              <w:t/>
            </w:r>
            <w:proofErr w:type="spellEnd"/>
            <w:r w:rsidRPr="00C30CFF">
              <w:rPr>
                <w:color w:val="000000"/>
                <w:sz w:val="24"/>
              </w:rPr>
              <w:t>110007</w:t>
            </w:r>
          </w:p>
        </w:tc>
        <w:tc>
          <w:tcPr>
            <w:tcW w:type="dxa" w:w="2032"/>
            <w:gridSpan w:val="2"/>
            <w:vAlign w:val="center"/>
          </w:tcPr>
          <w:p w:rsidP="00950413" w:rsidR="00D554CA" w:rsidRDefault="00D554CA" w:rsidRPr="00C30CFF">
            <w:pPr>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
            </w:r>
            <w:r w:rsidRPr="00C30CFF">
              <w:rPr>
                <w:color w:val="000000"/>
                <w:sz w:val="24"/>
              </w:rPr>
              <w:t>110008</w:t>
            </w:r>
          </w:p>
        </w:tc>
        <w:tc>
          <w:tcPr>
            <w:tcW w:type="dxa" w:w="2032"/>
            <w:vAlign w:val="center"/>
          </w:tcPr>
          <w:p w:rsidP="00D554CA" w:rsidR="00D554CA" w:rsidRDefault="00D554CA" w:rsidRPr="00C30CFF">
            <w:pPr>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
            </w:r>
            <w:proofErr w:type="spellStart"/>
            <w:r w:rsidRPr="00C30CFF">
              <w:rPr>
                <w:color w:val="000000"/>
                <w:sz w:val="24"/>
              </w:rPr>
              <w:t/>
            </w:r>
            <w:proofErr w:type="spellEnd"/>
            <w:r w:rsidRPr="00C30CFF">
              <w:rPr>
                <w:color w:val="000000"/>
                <w:sz w:val="24"/>
              </w:rPr>
              <w:t/>
            </w:r>
            <w:r>
              <w:rPr>
                <w:rFonts w:hint="eastAsia"/>
                <w:color w:val="000000"/>
                <w:sz w:val="24"/>
              </w:rPr>
              <w:t/>
            </w:r>
            <w:r w:rsidRPr="00C30CFF">
              <w:rPr>
                <w:color w:val="000000"/>
                <w:sz w:val="24"/>
              </w:rPr>
              <w:t>008008</w:t>
            </w:r>
          </w:p>
        </w:tc>
      </w:tr>
      <w:tr w:rsidR="00D554CA" w:rsidRPr="0078105B" w:rsidTr="00B92936">
        <w:tc>
          <w:tcPr>
            <w:tcW w:type="dxa" w:w="2268"/>
          </w:tcPr>
          <w:p w:rsidP="00162D92" w:rsidR="00D554CA" w:rsidRDefault="00D554CA" w:rsidRPr="00C30CFF">
            <w:pPr>
              <w:adjustRightInd w:val="0"/>
              <w:spacing w:before="29" w:line="360" w:lineRule="auto"/>
              <w:ind w:left="17"/>
              <w:jc w:val="left"/>
              <w:rPr>
                <w:color w:val="000000"/>
                <w:sz w:val="24"/>
              </w:rPr>
            </w:pPr>
            <w:r w:rsidRPr="00C30CFF">
              <w:rPr>
                <w:color w:val="000000"/>
                <w:sz w:val="24"/>
              </w:rPr>
              <w:t>报告期末下属分级基金的份额总额</w:t>
            </w:r>
          </w:p>
        </w:tc>
        <w:tc>
          <w:tcPr>
            <w:tcW w:type="dxa" w:w="2032"/>
            <w:vAlign w:val="center"/>
          </w:tcPr>
          <w:p w:rsidP="00950413" w:rsidR="00D554CA" w:rsidRDefault="00D554CA"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2,945,904,371.78</w:t>
            </w:r>
            <w:r w:rsidRPr="00C30CFF">
              <w:rPr>
                <w:color w:val="000000"/>
                <w:kern w:val="0"/>
                <w:sz w:val="24"/>
              </w:rPr>
              <w:t>份</w:t>
            </w:r>
          </w:p>
        </w:tc>
        <w:tc>
          <w:tcPr>
            <w:tcW w:type="dxa" w:w="2032"/>
            <w:gridSpan w:val="2"/>
            <w:vAlign w:val="center"/>
          </w:tcPr>
          <w:p w:rsidP="00950413" w:rsidR="00D554CA" w:rsidRDefault="00D554CA" w:rsidRPr="00C30CFF">
            <w:pPr>
              <w:jc w:val="left"/>
              <w:rPr>
                <w:sz w:val="24"/>
              </w:rPr>
            </w:pPr>
            <w:r w:rsidRPr="00C30CFF">
              <w:rPr>
                <w:color w:val="000000"/>
                <w:kern w:val="0"/>
                <w:sz w:val="24"/>
              </w:rPr>
              <w:t/>
            </w:r>
            <w:r w:rsidRPr="00C30CFF">
              <w:rPr>
                <w:sz w:val="24"/>
              </w:rPr>
              <w:t>12,397,538,619.59</w:t>
            </w:r>
            <w:r w:rsidRPr="00C30CFF">
              <w:rPr>
                <w:color w:val="000000"/>
                <w:kern w:val="0"/>
                <w:sz w:val="24"/>
              </w:rPr>
              <w:t>份</w:t>
            </w:r>
          </w:p>
        </w:tc>
        <w:tc>
          <w:tcPr>
            <w:tcW w:type="dxa" w:w="2032"/>
            <w:vAlign w:val="center"/>
          </w:tcPr>
          <w:p w:rsidP="00D554CA" w:rsidR="00D554CA" w:rsidRDefault="00D554CA"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
            </w:r>
            <w:r>
              <w:rPr>
                <w:rFonts w:hint="eastAsia"/>
                <w:sz w:val="24"/>
              </w:rPr>
              <w:t/>
            </w:r>
            <w:r w:rsidRPr="00C30CFF">
              <w:rPr>
                <w:sz w:val="24"/>
              </w:rPr>
              <w:t>15,727,925.16</w:t>
            </w:r>
            <w:r w:rsidRPr="00C30CFF">
              <w:rPr>
                <w:color w:val="000000"/>
                <w:kern w:val="0"/>
                <w:sz w:val="24"/>
              </w:rPr>
              <w:t>份</w:t>
            </w:r>
          </w:p>
        </w:tc>
      </w:tr>
    </w:tbl>
    <w:p>
      <w:pPr>
        <w:spacing w:line="360" w:lineRule="auto"/>
        <w:ind w:firstLine="480" w:firstLineChars="200"/>
        <w:rPr>
          <w:color w:val="000000"/>
          <w:sz w:val="24"/>
        </w:rPr>
      </w:pPr>
      <w:r>
        <w:rPr>
          <w:color w:val="000000"/>
          <w:sz w:val="24"/>
        </w:rPr>
        <w:t>注：1.根据2020年7月6日发布的《易方达基金管理有限公司关于旗下三只基金变更业绩比较基准并修改基金合同的公告》，经与基金托管人协商一致并报中国证监会备案，易方达基金管理有限公司决定变更易方达稳健收益债券型证券投资基金基金合同的业绩比较基准。上述基金业绩比较基准变更及基金合同的修订事宜自2020年7月9日起生效，具体详见公告。</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r w:rsidRPr="00C30CFF">
        <w:rPr>
          <w:color w:val="000000"/>
          <w:sz w:val="24"/>
        </w:rPr>
        <w:t/>
      </w:r>
      <w:proofErr w:type="spellEnd"/>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2.自2019年10月23日起，本基金增设C类份额类别，份额首次确认日为2019年10月24日。</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3  </w:t>
      </w:r>
      <w:r w:rsidRPr="0078105B">
        <w:rPr>
          <w:rFonts w:ascii="宋体" w:cs="Arial" w:hAnsi="宋体" w:hint="eastAsia"/>
          <w:color w:val="000000"/>
          <w:kern w:val="0"/>
          <w:sz w:val="24"/>
          <w:szCs w:val="24"/>
        </w:rPr>
        <w:t>主要财务指标和基金净值表现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3.1 </w:t>
      </w:r>
      <w:r w:rsidRPr="0078105B">
        <w:rPr>
          <w:rFonts w:ascii="宋体" w:cs="Arial" w:hAnsi="宋体" w:hint="eastAsia"/>
          <w:b/>
          <w:color w:val="000000"/>
          <w:kern w:val="0"/>
          <w:sz w:val="24"/>
        </w:rPr>
        <w:t>主要财务指标</w:t>
      </w:r>
    </w:p>
    <w:p w:rsidP="00E27360"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2552"/>
        <w:gridCol w:w="2079"/>
        <w:gridCol w:w="2079"/>
        <w:gridCol w:w="2079"/>
      </w:tblGrid>
      <w:tr w:rsidR="00F016DD" w:rsidRPr="00FA472B" w:rsidTr="00B92936">
        <w:tc>
          <w:tcPr>
            <w:tcW w:type="dxa" w:w="2552"/>
            <w:vMerge w:val="restart"/>
            <w:vAlign w:val="center"/>
          </w:tcPr>
          <w:p w:rsidP="00E205AA" w:rsidR="00F016DD" w:rsidRDefault="00F016DD" w:rsidRPr="00FA472B">
            <w:pPr>
              <w:adjustRightInd w:val="0"/>
              <w:spacing w:before="29" w:line="360" w:lineRule="auto"/>
              <w:ind w:left="17"/>
              <w:jc w:val="center"/>
              <w:rPr>
                <w:kern w:val="0"/>
                <w:sz w:val="24"/>
              </w:rPr>
            </w:pPr>
            <w:r w:rsidRPr="00FA472B">
              <w:rPr>
                <w:kern w:val="0"/>
                <w:sz w:val="24"/>
              </w:rPr>
              <w:t>主要财务指标</w:t>
            </w:r>
          </w:p>
        </w:tc>
        <w:tc>
          <w:tcPr>
            <w:tcW w:type="dxa" w:w="6237"/>
            <w:gridSpan w:val="3"/>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sz w:val="24"/>
              </w:rPr>
              <w:t>报告期</w:t>
            </w:r>
          </w:p>
          <w:p w:rsidP="00E205AA" w:rsidR="00F016DD" w:rsidRDefault="00F016DD" w:rsidRPr="00FA472B">
            <w:pPr>
              <w:adjustRightInd w:val="0"/>
              <w:spacing w:before="29" w:line="360" w:lineRule="auto"/>
              <w:ind w:left="17"/>
              <w:jc w:val="center"/>
              <w:rPr>
                <w:color w:val="000000"/>
                <w:sz w:val="24"/>
              </w:rPr>
            </w:pPr>
            <w:r w:rsidRPr="00FA472B">
              <w:rPr>
                <w:color w:val="000000"/>
                <w:sz w:val="24"/>
              </w:rPr>
              <w:t>(</w:t>
            </w:r>
            <w:proofErr w:type="spellStart"/>
            <w:r w:rsidRPr="00FA472B">
              <w:rPr>
                <w:color w:val="000000"/>
                <w:sz w:val="24"/>
              </w:rPr>
              <w:t/>
            </w:r>
            <w:proofErr w:type="spellEnd"/>
            <w:r w:rsidRPr="00FA472B">
              <w:rPr>
                <w:color w:val="000000"/>
                <w:sz w:val="24"/>
              </w:rPr>
              <w:t>2020年7月1日-</w:t>
            </w:r>
            <w:proofErr w:type="spellStart"/>
            <w:r w:rsidRPr="00FA472B">
              <w:rPr>
                <w:color w:val="000000"/>
                <w:sz w:val="24"/>
              </w:rPr>
              <w:t/>
            </w:r>
            <w:proofErr w:type="spellEnd"/>
            <w:r w:rsidRPr="00FA472B">
              <w:rPr>
                <w:color w:val="000000"/>
                <w:sz w:val="24"/>
              </w:rPr>
              <w:t>2020年9月30日)</w:t>
            </w:r>
          </w:p>
        </w:tc>
      </w:tr>
      <w:tr w:rsidR="00B92936" w:rsidRPr="00FA472B" w:rsidTr="00B92936">
        <w:tc>
          <w:tcPr>
            <w:tcW w:type="dxa" w:w="2552"/>
            <w:vMerge/>
            <w:vAlign w:val="center"/>
          </w:tcPr>
          <w:p w:rsidP="00E205AA" w:rsidR="00B92936" w:rsidRDefault="00B92936" w:rsidRPr="00FA472B">
            <w:pPr>
              <w:adjustRightInd w:val="0"/>
              <w:spacing w:before="29" w:line="360" w:lineRule="auto"/>
              <w:ind w:left="17"/>
              <w:jc w:val="center"/>
              <w:rPr>
                <w:kern w:val="0"/>
                <w:sz w:val="24"/>
              </w:rPr>
            </w:pPr>
          </w:p>
        </w:tc>
        <w:tc>
          <w:tcPr>
            <w:tcW w:type="dxa" w:w="2079"/>
            <w:vAlign w:val="center"/>
          </w:tcPr>
          <w:p w:rsidP="00E205AA" w:rsidR="00B92936" w:rsidRDefault="00B92936" w:rsidRPr="00FA472B">
            <w:pPr>
              <w:adjustRightInd w:val="0"/>
              <w:spacing w:before="29" w:line="360" w:lineRule="auto"/>
              <w:ind w:left="17"/>
              <w:jc w:val="center"/>
              <w:rPr>
                <w:color w:val="000000"/>
                <w:sz w:val="24"/>
              </w:rPr>
            </w:pPr>
            <w:r w:rsidRPr="00FA472B">
              <w:rPr>
                <w:color w:val="000000"/>
                <w:kern w:val="0"/>
                <w:sz w:val="24"/>
              </w:rPr>
              <w:t/>
            </w:r>
            <w:proofErr w:type="spellStart"/>
            <w:r w:rsidRPr="00FA472B">
              <w:rPr>
                <w:sz w:val="24"/>
              </w:rPr>
              <w:t/>
            </w:r>
            <w:proofErr w:type="spellEnd"/>
            <w:r w:rsidRPr="00FA472B">
              <w:rPr>
                <w:sz w:val="24"/>
              </w:rPr>
              <w:t>易方达稳健收益债券A</w:t>
            </w:r>
          </w:p>
        </w:tc>
        <w:tc>
          <w:tcPr>
            <w:tcW w:type="dxa" w:w="2079"/>
            <w:vAlign w:val="center"/>
          </w:tcPr>
          <w:p w:rsidP="00E205AA" w:rsidR="00B92936" w:rsidRDefault="00B92936" w:rsidRPr="00FA472B">
            <w:pPr>
              <w:adjustRightInd w:val="0"/>
              <w:spacing w:before="29" w:line="360" w:lineRule="auto"/>
              <w:ind w:left="17"/>
              <w:jc w:val="center"/>
              <w:rPr>
                <w:color w:val="000000"/>
                <w:sz w:val="24"/>
              </w:rPr>
            </w:pPr>
            <w:r w:rsidRPr="00FA472B">
              <w:rPr>
                <w:color w:val="000000"/>
                <w:kern w:val="0"/>
                <w:sz w:val="24"/>
              </w:rPr>
              <w:t/>
            </w:r>
            <w:r w:rsidRPr="00FA472B">
              <w:rPr>
                <w:sz w:val="24"/>
              </w:rPr>
              <w:t>易方达稳健收益债券B</w:t>
            </w:r>
          </w:p>
        </w:tc>
        <w:tc>
          <w:tcPr>
            <w:tcW w:type="dxa" w:w="2079"/>
            <w:vAlign w:val="center"/>
          </w:tcPr>
          <w:p w:rsidP="00B92936" w:rsidR="00B92936" w:rsidRDefault="00B92936" w:rsidRPr="00FA472B">
            <w:pPr>
              <w:adjustRightInd w:val="0"/>
              <w:spacing w:before="29" w:line="360" w:lineRule="auto"/>
              <w:ind w:left="17"/>
              <w:jc w:val="center"/>
              <w:rPr>
                <w:color w:val="000000"/>
                <w:sz w:val="24"/>
              </w:rPr>
            </w:pPr>
            <w:r w:rsidRPr="00FA472B">
              <w:rPr>
                <w:color w:val="000000"/>
                <w:kern w:val="0"/>
                <w:sz w:val="24"/>
              </w:rPr>
              <w:t/>
            </w:r>
            <w:proofErr w:type="spellStart"/>
            <w:r w:rsidRPr="00FA472B">
              <w:rPr>
                <w:sz w:val="24"/>
              </w:rPr>
              <w:t/>
            </w:r>
            <w:proofErr w:type="spellEnd"/>
            <w:r w:rsidRPr="00FA472B">
              <w:rPr>
                <w:sz w:val="24"/>
              </w:rPr>
              <w:t/>
            </w:r>
            <w:r>
              <w:rPr>
                <w:rFonts w:hint="eastAsia"/>
                <w:sz w:val="24"/>
              </w:rPr>
              <w:t/>
            </w:r>
            <w:r w:rsidRPr="00FA472B">
              <w:rPr>
                <w:sz w:val="24"/>
              </w:rPr>
              <w:t>易方达稳健收益债券C</w:t>
            </w:r>
          </w:p>
        </w:tc>
      </w:tr>
      <w:tr w:rsidR="00B92936" w:rsidRPr="00FA472B" w:rsidTr="00B92936">
        <w:tc>
          <w:tcPr>
            <w:tcW w:type="dxa" w:w="2552"/>
          </w:tcPr>
          <w:p w:rsidP="00973B57" w:rsidR="00B92936" w:rsidRDefault="00B92936" w:rsidRPr="00FA472B">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type="dxa" w:w="2079"/>
            <w:vAlign w:val="bottom"/>
          </w:tcPr>
          <w:p w:rsidP="00973B57" w:rsidR="00B92936" w:rsidRDefault="00B92936" w:rsidRPr="00FA472B">
            <w:pPr>
              <w:adjustRightInd w:val="0"/>
              <w:spacing w:before="29" w:line="360" w:lineRule="auto"/>
              <w:ind w:left="17"/>
              <w:jc w:val="right"/>
              <w:rPr>
                <w:color w:val="000000"/>
                <w:sz w:val="24"/>
              </w:rPr>
            </w:pPr>
            <w:r w:rsidRPr="00FA472B">
              <w:rPr>
                <w:color w:val="000000"/>
                <w:sz w:val="24"/>
              </w:rPr>
              <w:t>98,424,740.93</w:t>
            </w:r>
          </w:p>
        </w:tc>
        <w:tc>
          <w:tcPr>
            <w:tcW w:type="dxa" w:w="2079"/>
            <w:vAlign w:val="bottom"/>
          </w:tcPr>
          <w:p w:rsidP="0037768B" w:rsidR="00B92936" w:rsidRDefault="00B92936" w:rsidRPr="00FA472B">
            <w:pPr>
              <w:adjustRightInd w:val="0"/>
              <w:spacing w:before="29" w:line="360" w:lineRule="auto"/>
              <w:ind w:left="17"/>
              <w:jc w:val="right"/>
              <w:rPr>
                <w:color w:val="000000"/>
                <w:sz w:val="24"/>
              </w:rPr>
            </w:pPr>
            <w:r w:rsidRPr="00FA472B">
              <w:rPr>
                <w:color w:val="000000"/>
                <w:sz w:val="24"/>
              </w:rPr>
              <w:t>441,327,962.11</w:t>
            </w:r>
          </w:p>
        </w:tc>
        <w:tc>
          <w:tcPr>
            <w:tcW w:type="dxa" w:w="2079"/>
            <w:vAlign w:val="bottom"/>
          </w:tcPr>
          <w:p w:rsidP="00B92936" w:rsidR="00B92936" w:rsidRDefault="00B92936" w:rsidRPr="00FA472B">
            <w:pPr>
              <w:adjustRightInd w:val="0"/>
              <w:spacing w:before="29" w:line="360" w:lineRule="auto"/>
              <w:ind w:left="17"/>
              <w:jc w:val="right"/>
              <w:rPr>
                <w:color w:val="000000"/>
                <w:sz w:val="24"/>
              </w:rPr>
            </w:pPr>
            <w:r w:rsidRPr="00FA472B">
              <w:rPr>
                <w:color w:val="000000"/>
                <w:sz w:val="24"/>
              </w:rPr>
              <w:t/>
            </w:r>
            <w:r>
              <w:rPr>
                <w:rFonts w:hint="eastAsia"/>
                <w:color w:val="000000"/>
                <w:sz w:val="24"/>
              </w:rPr>
              <w:t/>
            </w:r>
            <w:r w:rsidRPr="00FA472B">
              <w:rPr>
                <w:color w:val="000000"/>
                <w:sz w:val="24"/>
              </w:rPr>
              <w:t>538,083.71</w:t>
            </w:r>
          </w:p>
        </w:tc>
      </w:tr>
      <w:tr w:rsidR="00B92936" w:rsidRPr="00FA472B" w:rsidTr="00B92936">
        <w:tc>
          <w:tcPr>
            <w:tcW w:type="dxa" w:w="2552"/>
          </w:tcPr>
          <w:p w:rsidP="00E205AA" w:rsidR="00B92936" w:rsidRDefault="00B92936" w:rsidRPr="00FA472B">
            <w:pPr>
              <w:adjustRightInd w:val="0"/>
              <w:spacing w:before="29" w:line="360" w:lineRule="auto"/>
              <w:ind w:left="17"/>
              <w:rPr>
                <w:kern w:val="0"/>
                <w:sz w:val="24"/>
              </w:rPr>
            </w:pPr>
            <w:r w:rsidRPr="00FA472B">
              <w:rPr>
                <w:kern w:val="0"/>
                <w:sz w:val="24"/>
              </w:rPr>
              <w:t>2.</w:t>
            </w:r>
            <w:r w:rsidRPr="00FA472B">
              <w:rPr>
                <w:kern w:val="0"/>
                <w:sz w:val="24"/>
              </w:rPr>
              <w:t>本期利润</w:t>
            </w:r>
          </w:p>
        </w:tc>
        <w:tc>
          <w:tcPr>
            <w:tcW w:type="dxa" w:w="2079"/>
            <w:vAlign w:val="bottom"/>
          </w:tcPr>
          <w:p w:rsidP="004A67B0" w:rsidR="00B92936" w:rsidRDefault="00B92936"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95,554,707.54</w:t>
            </w:r>
          </w:p>
        </w:tc>
        <w:tc>
          <w:tcPr>
            <w:tcW w:type="dxa" w:w="2079"/>
            <w:vAlign w:val="bottom"/>
          </w:tcPr>
          <w:p w:rsidP="004A67B0" w:rsidR="00B92936" w:rsidRDefault="00B92936" w:rsidRPr="00FA472B">
            <w:pPr>
              <w:adjustRightInd w:val="0"/>
              <w:spacing w:before="29" w:line="360" w:lineRule="auto"/>
              <w:ind w:left="17"/>
              <w:jc w:val="right"/>
              <w:rPr>
                <w:color w:val="000000"/>
                <w:sz w:val="24"/>
              </w:rPr>
            </w:pPr>
            <w:r w:rsidRPr="00FA472B">
              <w:rPr>
                <w:color w:val="000000"/>
                <w:sz w:val="24"/>
              </w:rPr>
              <w:t>415,486,495.85</w:t>
            </w:r>
          </w:p>
        </w:tc>
        <w:tc>
          <w:tcPr>
            <w:tcW w:type="dxa" w:w="2079"/>
            <w:vAlign w:val="bottom"/>
          </w:tcPr>
          <w:p w:rsidP="00B92936" w:rsidR="00B92936" w:rsidRDefault="00B92936"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r>
              <w:rPr>
                <w:rFonts w:hint="eastAsia"/>
                <w:color w:val="000000"/>
                <w:sz w:val="24"/>
              </w:rPr>
              <w:t/>
            </w:r>
            <w:proofErr w:type="spellEnd"/>
            <w:r w:rsidRPr="00FA472B">
              <w:rPr>
                <w:color w:val="000000"/>
                <w:sz w:val="24"/>
              </w:rPr>
              <w:t>485,206.83</w:t>
            </w:r>
          </w:p>
        </w:tc>
      </w:tr>
      <w:tr w:rsidR="00B92936" w:rsidRPr="00FA472B" w:rsidTr="00B92936">
        <w:tc>
          <w:tcPr>
            <w:tcW w:type="dxa" w:w="2552"/>
          </w:tcPr>
          <w:p w:rsidP="00E205AA" w:rsidR="00B92936" w:rsidRDefault="00B92936" w:rsidRPr="00FA472B">
            <w:pPr>
              <w:adjustRightInd w:val="0"/>
              <w:spacing w:before="29" w:line="360" w:lineRule="auto"/>
              <w:ind w:left="17"/>
              <w:rPr>
                <w:kern w:val="0"/>
                <w:sz w:val="24"/>
              </w:rPr>
            </w:pPr>
            <w:r w:rsidRPr="00FA472B">
              <w:rPr>
                <w:kern w:val="0"/>
                <w:sz w:val="24"/>
              </w:rPr>
              <w:lastRenderedPageBreak/>
              <w:t>3.</w:t>
            </w:r>
            <w:r w:rsidRPr="00FA472B">
              <w:rPr>
                <w:kern w:val="0"/>
                <w:sz w:val="24"/>
              </w:rPr>
              <w:t>加权平均基金份额本期利润</w:t>
            </w:r>
          </w:p>
        </w:tc>
        <w:tc>
          <w:tcPr>
            <w:tcW w:type="dxa" w:w="2079"/>
            <w:vAlign w:val="bottom"/>
          </w:tcPr>
          <w:p w:rsidP="004A67B0" w:rsidR="00B92936" w:rsidRDefault="00B92936"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0.0318</w:t>
            </w:r>
          </w:p>
        </w:tc>
        <w:tc>
          <w:tcPr>
            <w:tcW w:type="dxa" w:w="2079"/>
            <w:vAlign w:val="bottom"/>
          </w:tcPr>
          <w:p w:rsidP="004A67B0" w:rsidR="00B92936" w:rsidRDefault="00B92936" w:rsidRPr="00FA472B">
            <w:pPr>
              <w:adjustRightInd w:val="0"/>
              <w:spacing w:before="29" w:line="360" w:lineRule="auto"/>
              <w:ind w:left="17"/>
              <w:jc w:val="right"/>
              <w:rPr>
                <w:color w:val="000000"/>
                <w:sz w:val="24"/>
              </w:rPr>
            </w:pPr>
            <w:r w:rsidRPr="00FA472B">
              <w:rPr>
                <w:color w:val="000000"/>
                <w:sz w:val="24"/>
              </w:rPr>
              <w:t>0.0323</w:t>
            </w:r>
          </w:p>
        </w:tc>
        <w:tc>
          <w:tcPr>
            <w:tcW w:type="dxa" w:w="2079"/>
            <w:vAlign w:val="bottom"/>
          </w:tcPr>
          <w:p w:rsidP="00B92936" w:rsidR="00B92936" w:rsidRDefault="00B92936"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r>
              <w:rPr>
                <w:rFonts w:hint="eastAsia"/>
                <w:color w:val="000000"/>
                <w:sz w:val="24"/>
              </w:rPr>
              <w:t/>
            </w:r>
            <w:proofErr w:type="spellEnd"/>
            <w:r w:rsidRPr="00FA472B">
              <w:rPr>
                <w:color w:val="000000"/>
                <w:sz w:val="24"/>
              </w:rPr>
              <w:t>0.0306</w:t>
            </w:r>
          </w:p>
        </w:tc>
      </w:tr>
      <w:tr w:rsidR="00B92936" w:rsidRPr="00FA472B" w:rsidTr="00B92936">
        <w:tc>
          <w:tcPr>
            <w:tcW w:type="dxa" w:w="2552"/>
          </w:tcPr>
          <w:p w:rsidP="00E205AA" w:rsidR="00B92936" w:rsidRDefault="00B92936" w:rsidRPr="00FA472B">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type="dxa" w:w="2079"/>
          </w:tcPr>
          <w:p w:rsidP="004A67B0" w:rsidR="00B92936" w:rsidRDefault="00B92936"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3,931,937,530.36</w:t>
            </w:r>
          </w:p>
        </w:tc>
        <w:tc>
          <w:tcPr>
            <w:tcW w:type="dxa" w:w="2079"/>
          </w:tcPr>
          <w:p w:rsidP="004A67B0" w:rsidR="00B92936" w:rsidRDefault="00B92936" w:rsidRPr="00FA472B">
            <w:pPr>
              <w:adjustRightInd w:val="0"/>
              <w:spacing w:before="29" w:line="360" w:lineRule="auto"/>
              <w:ind w:left="17"/>
              <w:jc w:val="right"/>
              <w:rPr>
                <w:color w:val="000000"/>
                <w:sz w:val="24"/>
              </w:rPr>
            </w:pPr>
            <w:r w:rsidRPr="00FA472B">
              <w:rPr>
                <w:color w:val="000000"/>
                <w:sz w:val="24"/>
              </w:rPr>
              <w:t>16,576,473,473.14</w:t>
            </w:r>
          </w:p>
        </w:tc>
        <w:tc>
          <w:tcPr>
            <w:tcW w:type="dxa" w:w="2079"/>
          </w:tcPr>
          <w:p w:rsidP="00B92936" w:rsidR="00B92936" w:rsidRDefault="00B92936"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r>
              <w:rPr>
                <w:rFonts w:hint="eastAsia"/>
                <w:color w:val="000000"/>
                <w:sz w:val="24"/>
              </w:rPr>
              <w:t/>
            </w:r>
            <w:proofErr w:type="spellEnd"/>
            <w:r w:rsidRPr="00FA472B">
              <w:rPr>
                <w:color w:val="000000"/>
                <w:sz w:val="24"/>
              </w:rPr>
              <w:t>21,000,027.68</w:t>
            </w:r>
          </w:p>
        </w:tc>
      </w:tr>
      <w:tr w:rsidR="00B92936" w:rsidRPr="00FA472B" w:rsidTr="00B92936">
        <w:trPr>
          <w:trHeight w:val="158"/>
        </w:trPr>
        <w:tc>
          <w:tcPr>
            <w:tcW w:type="dxa" w:w="2552"/>
          </w:tcPr>
          <w:p w:rsidP="00E205AA" w:rsidR="00B92936" w:rsidRDefault="00B92936" w:rsidRPr="00FA472B">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type="dxa" w:w="2079"/>
          </w:tcPr>
          <w:p w:rsidP="004A67B0" w:rsidR="00B92936" w:rsidRDefault="00B92936"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1.3347</w:t>
            </w:r>
          </w:p>
        </w:tc>
        <w:tc>
          <w:tcPr>
            <w:tcW w:type="dxa" w:w="2079"/>
          </w:tcPr>
          <w:p w:rsidP="004A67B0" w:rsidR="00B92936" w:rsidRDefault="00B92936" w:rsidRPr="00FA472B">
            <w:pPr>
              <w:adjustRightInd w:val="0"/>
              <w:spacing w:before="29" w:line="360" w:lineRule="auto"/>
              <w:ind w:left="17"/>
              <w:jc w:val="right"/>
              <w:rPr>
                <w:color w:val="000000"/>
                <w:sz w:val="24"/>
              </w:rPr>
            </w:pPr>
            <w:r w:rsidRPr="00FA472B">
              <w:rPr>
                <w:color w:val="000000"/>
                <w:sz w:val="24"/>
              </w:rPr>
              <w:t>1.3371</w:t>
            </w:r>
          </w:p>
        </w:tc>
        <w:tc>
          <w:tcPr>
            <w:tcW w:type="dxa" w:w="2079"/>
          </w:tcPr>
          <w:p w:rsidP="00B92936" w:rsidR="00B92936" w:rsidRDefault="00B92936"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r>
              <w:rPr>
                <w:rFonts w:hint="eastAsia"/>
                <w:color w:val="000000"/>
                <w:sz w:val="24"/>
              </w:rPr>
              <w:t/>
            </w:r>
            <w:proofErr w:type="spellEnd"/>
            <w:r w:rsidRPr="00FA472B">
              <w:rPr>
                <w:color w:val="000000"/>
                <w:sz w:val="24"/>
              </w:rPr>
              <w:t>1.3352</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C30CFF" w:rsidR="00F016DD" w:rsidRDefault="00F016DD" w:rsidRPr="00C30CFF">
      <w:pPr>
        <w:spacing w:line="360" w:lineRule="auto"/>
        <w:ind w:firstLine="480" w:firstLineChars="200"/>
        <w:rPr>
          <w:color w:val="000000"/>
          <w:sz w:val="24"/>
        </w:rPr>
      </w:pPr>
      <w:r w:rsidRPr="00C30CFF">
        <w:rPr>
          <w:color w:val="000000"/>
          <w:sz w:val="24"/>
        </w:rPr>
        <w:lastRenderedPageBreak/>
        <w:t/>
      </w:r>
      <w:proofErr w:type="spellStart"/>
      <w:proofErr w:type="gramStart"/>
      <w:r w:rsidRPr="00C30CFF">
        <w:rPr>
          <w:color w:val="000000"/>
          <w:sz w:val="24"/>
        </w:rPr>
        <w:t/>
      </w:r>
      <w:proofErr w:type="spellEnd"/>
      <w:proofErr w:type="gramEnd"/>
      <w:r w:rsidRPr="00C30CFF">
        <w:rPr>
          <w:color w:val="000000"/>
          <w:sz w:val="24"/>
        </w:rPr>
        <w:t>2.本期已实现收益指基金本期利息收入、投资收益、其他收入（不含公允价值变动收益）扣除相关费用后的余额，本期利润为本期已实现收益加上本期公允价值变动收益。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3.2 </w:t>
      </w:r>
      <w:r w:rsidRPr="0078105B">
        <w:rPr>
          <w:rFonts w:ascii="宋体" w:cs="Arial" w:hAnsi="宋体" w:hint="eastAsia"/>
          <w:b/>
          <w:color w:val="000000"/>
          <w:kern w:val="0"/>
          <w:sz w:val="24"/>
        </w:rPr>
        <w:t>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3.2.1</w:t>
      </w:r>
      <w:r w:rsidRPr="0078105B">
        <w:rPr>
          <w:rFonts w:ascii="宋体" w:cs="Arial" w:hAnsi="宋体" w:hint="eastAsia"/>
          <w:b/>
          <w:color w:val="000000"/>
          <w:kern w:val="0"/>
          <w:sz w:val="24"/>
        </w:rPr>
        <w:t>本报告</w:t>
      </w:r>
      <w:proofErr w:type="gramStart"/>
      <w:r w:rsidRPr="0078105B">
        <w:rPr>
          <w:rFonts w:ascii="宋体" w:cs="Arial" w:hAnsi="宋体" w:hint="eastAsia"/>
          <w:b/>
          <w:color w:val="000000"/>
          <w:kern w:val="0"/>
          <w:sz w:val="24"/>
        </w:rPr>
        <w:t>期基金</w:t>
      </w:r>
      <w:proofErr w:type="gramEnd"/>
      <w:r w:rsidRPr="0078105B">
        <w:rPr>
          <w:rFonts w:ascii="宋体" w:cs="Arial" w:hAnsi="宋体" w:hint="eastAsia"/>
          <w:b/>
          <w:color w:val="000000"/>
          <w:kern w:val="0"/>
          <w:sz w:val="24"/>
        </w:rPr>
        <w:t>份额净值增长率及其与同期业绩比较基准收益率的比较</w:t>
      </w:r>
    </w:p>
    <w:p w:rsidP="00174038" w:rsidR="00F016DD" w:rsidRDefault="00F016DD" w:rsidRPr="0078105B">
      <w:pPr>
        <w:spacing w:line="360" w:lineRule="auto"/>
        <w:ind w:firstLine="361" w:firstLineChars="150"/>
        <w:rPr>
          <w:rFonts w:ascii="宋体"/>
          <w:b/>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spellStart"/>
      <w:r w:rsidRPr="0078105B">
        <w:rPr>
          <w:rFonts w:ascii="宋体" w:cs="Arial" w:hAnsi="宋体"/>
          <w:b/>
          <w:color w:val="000000"/>
          <w:kern w:val="0"/>
          <w:sz w:val="24"/>
        </w:rPr>
        <w:t/>
      </w:r>
      <w:proofErr w:type="spellEnd"/>
      <w:r w:rsidRPr="0078105B">
        <w:rPr>
          <w:rFonts w:ascii="宋体" w:cs="Arial" w:hAnsi="宋体"/>
          <w:b/>
          <w:color w:val="000000"/>
          <w:kern w:val="0"/>
          <w:sz w:val="24"/>
        </w:rPr>
        <w:t/>
      </w:r>
      <w:proofErr w:type="gramEnd"/>
      <w:r w:rsidRPr="0078105B">
        <w:rPr>
          <w:rFonts w:ascii="宋体" w:cs="Arial" w:hAnsi="宋体"/>
          <w:b/>
          <w:color w:val="000000"/>
          <w:kern w:val="0"/>
          <w:sz w:val="24"/>
        </w:rPr>
        <w:t>易方达稳健收益债券A</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414367">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2.16%</w:t>
            </w:r>
          </w:p>
        </w:tc>
        <w:tc>
          <w:tcPr>
            <w:vAlign w:val="center"/>
          </w:tcPr>
          <w:p>
            <w:pPr>
              <w:jc w:val="center"/>
            </w:pPr>
            <w:r>
              <w:rPr>
                <w:color w:val="000000"/>
                <w:sz w:val="24"/>
              </w:rPr>
              <w:t>0.37%</w:t>
            </w:r>
          </w:p>
        </w:tc>
        <w:tc>
          <w:tcPr>
            <w:vAlign w:val="center"/>
          </w:tcPr>
          <w:p>
            <w:pPr>
              <w:jc w:val="center"/>
            </w:pPr>
            <w:r>
              <w:rPr>
                <w:color w:val="000000"/>
                <w:sz w:val="24"/>
              </w:rPr>
              <w:t>-1.49%</w:t>
            </w:r>
          </w:p>
        </w:tc>
        <w:tc>
          <w:tcPr>
            <w:vAlign w:val="center"/>
          </w:tcPr>
          <w:p>
            <w:pPr>
              <w:jc w:val="center"/>
            </w:pPr>
            <w:r>
              <w:rPr>
                <w:color w:val="000000"/>
                <w:sz w:val="24"/>
              </w:rPr>
              <w:t>0.16%</w:t>
            </w:r>
          </w:p>
        </w:tc>
        <w:tc>
          <w:tcPr>
            <w:vAlign w:val="center"/>
          </w:tcPr>
          <w:p>
            <w:pPr>
              <w:jc w:val="center"/>
            </w:pPr>
            <w:r>
              <w:rPr>
                <w:color w:val="000000"/>
                <w:sz w:val="24"/>
              </w:rPr>
              <w:t>3.65%</w:t>
            </w:r>
          </w:p>
        </w:tc>
        <w:tc>
          <w:tcPr>
            <w:vAlign w:val="center"/>
          </w:tcPr>
          <w:p>
            <w:pPr>
              <w:jc w:val="center"/>
            </w:pPr>
            <w:r>
              <w:rPr>
                <w:color w:val="000000"/>
                <w:sz w:val="24"/>
              </w:rPr>
              <w:t>0.21%</w:t>
            </w:r>
          </w:p>
        </w:tc>
      </w:tr>
      <w:tr>
        <w:tc>
          <w:tcPr>
            <w:vAlign w:val="center"/>
          </w:tcPr>
          <w:p>
            <w:pPr>
              <w:jc w:val="left"/>
            </w:pPr>
            <w:r>
              <w:rPr>
                <w:color w:val="000000"/>
                <w:sz w:val="24"/>
              </w:rPr>
              <w:t>过去六个月</w:t>
            </w:r>
          </w:p>
        </w:tc>
        <w:tc>
          <w:tcPr>
            <w:vAlign w:val="center"/>
          </w:tcPr>
          <w:p>
            <w:pPr>
              <w:jc w:val="center"/>
            </w:pPr>
            <w:r>
              <w:rPr>
                <w:color w:val="000000"/>
                <w:sz w:val="24"/>
              </w:rPr>
              <w:t>2.22%</w:t>
            </w:r>
          </w:p>
        </w:tc>
        <w:tc>
          <w:tcPr>
            <w:vAlign w:val="center"/>
          </w:tcPr>
          <w:p>
            <w:pPr>
              <w:jc w:val="center"/>
            </w:pPr>
            <w:r>
              <w:rPr>
                <w:color w:val="000000"/>
                <w:sz w:val="24"/>
              </w:rPr>
              <w:t>0.30%</w:t>
            </w:r>
          </w:p>
        </w:tc>
        <w:tc>
          <w:tcPr>
            <w:vAlign w:val="center"/>
          </w:tcPr>
          <w:p>
            <w:pPr>
              <w:jc w:val="center"/>
            </w:pPr>
            <w:r>
              <w:rPr>
                <w:color w:val="000000"/>
                <w:sz w:val="24"/>
              </w:rPr>
              <w:t>-3.17%</w:t>
            </w:r>
          </w:p>
        </w:tc>
        <w:tc>
          <w:tcPr>
            <w:vAlign w:val="center"/>
          </w:tcPr>
          <w:p>
            <w:pPr>
              <w:jc w:val="center"/>
            </w:pPr>
            <w:r>
              <w:rPr>
                <w:color w:val="000000"/>
                <w:sz w:val="24"/>
              </w:rPr>
              <w:t>0.17%</w:t>
            </w:r>
          </w:p>
        </w:tc>
        <w:tc>
          <w:tcPr>
            <w:vAlign w:val="center"/>
          </w:tcPr>
          <w:p>
            <w:pPr>
              <w:jc w:val="center"/>
            </w:pPr>
            <w:r>
              <w:rPr>
                <w:color w:val="000000"/>
                <w:sz w:val="24"/>
              </w:rPr>
              <w:t>5.39%</w:t>
            </w:r>
          </w:p>
        </w:tc>
        <w:tc>
          <w:tcPr>
            <w:vAlign w:val="center"/>
          </w:tcPr>
          <w:p>
            <w:pPr>
              <w:jc w:val="center"/>
            </w:pPr>
            <w:r>
              <w:rPr>
                <w:color w:val="000000"/>
                <w:sz w:val="24"/>
              </w:rPr>
              <w:t>0.13%</w:t>
            </w:r>
          </w:p>
        </w:tc>
      </w:tr>
      <w:tr>
        <w:tc>
          <w:tcPr>
            <w:vAlign w:val="center"/>
          </w:tcPr>
          <w:p>
            <w:pPr>
              <w:jc w:val="left"/>
            </w:pPr>
            <w:r>
              <w:rPr>
                <w:color w:val="000000"/>
                <w:sz w:val="24"/>
              </w:rPr>
              <w:t>过去一年</w:t>
            </w:r>
          </w:p>
        </w:tc>
        <w:tc>
          <w:tcPr>
            <w:vAlign w:val="center"/>
          </w:tcPr>
          <w:p>
            <w:pPr>
              <w:jc w:val="center"/>
            </w:pPr>
            <w:r>
              <w:rPr>
                <w:color w:val="000000"/>
                <w:sz w:val="24"/>
              </w:rPr>
              <w:t>6.95%</w:t>
            </w:r>
          </w:p>
        </w:tc>
        <w:tc>
          <w:tcPr>
            <w:vAlign w:val="center"/>
          </w:tcPr>
          <w:p>
            <w:pPr>
              <w:jc w:val="center"/>
            </w:pPr>
            <w:r>
              <w:rPr>
                <w:color w:val="000000"/>
                <w:sz w:val="24"/>
              </w:rPr>
              <w:t>0.30%</w:t>
            </w:r>
          </w:p>
        </w:tc>
        <w:tc>
          <w:tcPr>
            <w:vAlign w:val="center"/>
          </w:tcPr>
          <w:p>
            <w:pPr>
              <w:jc w:val="center"/>
            </w:pPr>
            <w:r>
              <w:rPr>
                <w:color w:val="000000"/>
                <w:sz w:val="24"/>
              </w:rPr>
              <w:t>0.18%</w:t>
            </w:r>
          </w:p>
        </w:tc>
        <w:tc>
          <w:tcPr>
            <w:vAlign w:val="center"/>
          </w:tcPr>
          <w:p>
            <w:pPr>
              <w:jc w:val="center"/>
            </w:pPr>
            <w:r>
              <w:rPr>
                <w:color w:val="000000"/>
                <w:sz w:val="24"/>
              </w:rPr>
              <w:t>0.15%</w:t>
            </w:r>
          </w:p>
        </w:tc>
        <w:tc>
          <w:tcPr>
            <w:vAlign w:val="center"/>
          </w:tcPr>
          <w:p>
            <w:pPr>
              <w:jc w:val="center"/>
            </w:pPr>
            <w:r>
              <w:rPr>
                <w:color w:val="000000"/>
                <w:sz w:val="24"/>
              </w:rPr>
              <w:t>6.77%</w:t>
            </w:r>
          </w:p>
        </w:tc>
        <w:tc>
          <w:tcPr>
            <w:vAlign w:val="center"/>
          </w:tcPr>
          <w:p>
            <w:pPr>
              <w:jc w:val="center"/>
            </w:pPr>
            <w:r>
              <w:rPr>
                <w:color w:val="000000"/>
                <w:sz w:val="24"/>
              </w:rPr>
              <w:t>0.15%</w:t>
            </w:r>
          </w:p>
        </w:tc>
      </w:tr>
      <w:tr>
        <w:tc>
          <w:tcPr>
            <w:vAlign w:val="center"/>
          </w:tcPr>
          <w:p>
            <w:pPr>
              <w:jc w:val="left"/>
            </w:pPr>
            <w:r>
              <w:rPr>
                <w:color w:val="000000"/>
                <w:sz w:val="24"/>
              </w:rPr>
              <w:t>过去三年</w:t>
            </w:r>
          </w:p>
        </w:tc>
        <w:tc>
          <w:tcPr>
            <w:vAlign w:val="center"/>
          </w:tcPr>
          <w:p>
            <w:pPr>
              <w:jc w:val="center"/>
            </w:pPr>
            <w:r>
              <w:rPr>
                <w:color w:val="000000"/>
                <w:sz w:val="24"/>
              </w:rPr>
              <w:t>19.38%</w:t>
            </w:r>
          </w:p>
        </w:tc>
        <w:tc>
          <w:tcPr>
            <w:vAlign w:val="center"/>
          </w:tcPr>
          <w:p>
            <w:pPr>
              <w:jc w:val="center"/>
            </w:pPr>
            <w:r>
              <w:rPr>
                <w:color w:val="000000"/>
                <w:sz w:val="24"/>
              </w:rPr>
              <w:t>0.30%</w:t>
            </w:r>
          </w:p>
        </w:tc>
        <w:tc>
          <w:tcPr>
            <w:vAlign w:val="center"/>
          </w:tcPr>
          <w:p>
            <w:pPr>
              <w:jc w:val="center"/>
            </w:pPr>
            <w:r>
              <w:rPr>
                <w:color w:val="000000"/>
                <w:sz w:val="24"/>
              </w:rPr>
              <w:t>5.11%</w:t>
            </w:r>
          </w:p>
        </w:tc>
        <w:tc>
          <w:tcPr>
            <w:vAlign w:val="center"/>
          </w:tcPr>
          <w:p>
            <w:pPr>
              <w:jc w:val="center"/>
            </w:pPr>
            <w:r>
              <w:rPr>
                <w:color w:val="000000"/>
                <w:sz w:val="24"/>
              </w:rPr>
              <w:t>0.12%</w:t>
            </w:r>
          </w:p>
        </w:tc>
        <w:tc>
          <w:tcPr>
            <w:vAlign w:val="center"/>
          </w:tcPr>
          <w:p>
            <w:pPr>
              <w:jc w:val="center"/>
            </w:pPr>
            <w:r>
              <w:rPr>
                <w:color w:val="000000"/>
                <w:sz w:val="24"/>
              </w:rPr>
              <w:t>14.27%</w:t>
            </w:r>
          </w:p>
        </w:tc>
        <w:tc>
          <w:tcPr>
            <w:vAlign w:val="center"/>
          </w:tcPr>
          <w:p>
            <w:pPr>
              <w:jc w:val="center"/>
            </w:pPr>
            <w:r>
              <w:rPr>
                <w:color w:val="000000"/>
                <w:sz w:val="24"/>
              </w:rPr>
              <w:t>0.18%</w:t>
            </w:r>
          </w:p>
        </w:tc>
      </w:tr>
      <w:tr>
        <w:tc>
          <w:tcPr>
            <w:vAlign w:val="center"/>
          </w:tcPr>
          <w:p>
            <w:pPr>
              <w:jc w:val="left"/>
            </w:pPr>
            <w:r>
              <w:rPr>
                <w:color w:val="000000"/>
                <w:sz w:val="24"/>
              </w:rPr>
              <w:t>过去五年</w:t>
            </w:r>
          </w:p>
        </w:tc>
        <w:tc>
          <w:tcPr>
            <w:vAlign w:val="center"/>
          </w:tcPr>
          <w:p>
            <w:pPr>
              <w:jc w:val="center"/>
            </w:pPr>
            <w:r>
              <w:rPr>
                <w:color w:val="000000"/>
                <w:sz w:val="24"/>
              </w:rPr>
              <w:t>34.05%</w:t>
            </w:r>
          </w:p>
        </w:tc>
        <w:tc>
          <w:tcPr>
            <w:vAlign w:val="center"/>
          </w:tcPr>
          <w:p>
            <w:pPr>
              <w:jc w:val="center"/>
            </w:pPr>
            <w:r>
              <w:rPr>
                <w:color w:val="000000"/>
                <w:sz w:val="24"/>
              </w:rPr>
              <w:t>0.27%</w:t>
            </w:r>
          </w:p>
        </w:tc>
        <w:tc>
          <w:tcPr>
            <w:vAlign w:val="center"/>
          </w:tcPr>
          <w:p>
            <w:pPr>
              <w:jc w:val="center"/>
            </w:pPr>
            <w:r>
              <w:rPr>
                <w:color w:val="000000"/>
                <w:sz w:val="24"/>
              </w:rPr>
              <w:t>2.61%</w:t>
            </w:r>
          </w:p>
        </w:tc>
        <w:tc>
          <w:tcPr>
            <w:vAlign w:val="center"/>
          </w:tcPr>
          <w:p>
            <w:pPr>
              <w:jc w:val="center"/>
            </w:pPr>
            <w:r>
              <w:rPr>
                <w:color w:val="000000"/>
                <w:sz w:val="24"/>
              </w:rPr>
              <w:t>0.12%</w:t>
            </w:r>
          </w:p>
        </w:tc>
        <w:tc>
          <w:tcPr>
            <w:vAlign w:val="center"/>
          </w:tcPr>
          <w:p>
            <w:pPr>
              <w:jc w:val="center"/>
            </w:pPr>
            <w:r>
              <w:rPr>
                <w:color w:val="000000"/>
                <w:sz w:val="24"/>
              </w:rPr>
              <w:t>31.44%</w:t>
            </w:r>
          </w:p>
        </w:tc>
        <w:tc>
          <w:tcPr>
            <w:vAlign w:val="center"/>
          </w:tcPr>
          <w:p>
            <w:pPr>
              <w:jc w:val="center"/>
            </w:pPr>
            <w:r>
              <w:rPr>
                <w:color w:val="000000"/>
                <w:sz w:val="24"/>
              </w:rPr>
              <w:t>0.15%</w:t>
            </w:r>
          </w:p>
        </w:tc>
      </w:tr>
      <w:tr>
        <w:tc>
          <w:tcPr>
            <w:vAlign w:val="center"/>
          </w:tcPr>
          <w:p>
            <w:pPr>
              <w:jc w:val="left"/>
            </w:pPr>
            <w:r>
              <w:rPr>
                <w:color w:val="000000"/>
                <w:sz w:val="24"/>
              </w:rPr>
              <w:t>自基金合同生效起至今</w:t>
            </w:r>
          </w:p>
        </w:tc>
        <w:tc>
          <w:tcPr>
            <w:vAlign w:val="center"/>
          </w:tcPr>
          <w:p>
            <w:pPr>
              <w:jc w:val="center"/>
            </w:pPr>
            <w:r>
              <w:rPr>
                <w:color w:val="000000"/>
                <w:sz w:val="24"/>
              </w:rPr>
              <w:t>169.23%</w:t>
            </w:r>
          </w:p>
        </w:tc>
        <w:tc>
          <w:tcPr>
            <w:vAlign w:val="center"/>
          </w:tcPr>
          <w:p>
            <w:pPr>
              <w:jc w:val="center"/>
            </w:pPr>
            <w:r>
              <w:rPr>
                <w:color w:val="000000"/>
                <w:sz w:val="24"/>
              </w:rPr>
              <w:t>0.29%</w:t>
            </w:r>
          </w:p>
        </w:tc>
        <w:tc>
          <w:tcPr>
            <w:vAlign w:val="center"/>
          </w:tcPr>
          <w:p>
            <w:pPr>
              <w:jc w:val="center"/>
            </w:pPr>
            <w:r>
              <w:rPr>
                <w:color w:val="000000"/>
                <w:sz w:val="24"/>
              </w:rPr>
              <w:t>13.02%</w:t>
            </w:r>
          </w:p>
        </w:tc>
        <w:tc>
          <w:tcPr>
            <w:vAlign w:val="center"/>
          </w:tcPr>
          <w:p>
            <w:pPr>
              <w:jc w:val="center"/>
            </w:pPr>
            <w:r>
              <w:rPr>
                <w:color w:val="000000"/>
                <w:sz w:val="24"/>
              </w:rPr>
              <w:t>0.13%</w:t>
            </w:r>
          </w:p>
        </w:tc>
        <w:tc>
          <w:tcPr>
            <w:vAlign w:val="center"/>
          </w:tcPr>
          <w:p>
            <w:pPr>
              <w:jc w:val="center"/>
            </w:pPr>
            <w:r>
              <w:rPr>
                <w:color w:val="000000"/>
                <w:sz w:val="24"/>
              </w:rPr>
              <w:t>156.21%</w:t>
            </w:r>
          </w:p>
        </w:tc>
        <w:tc>
          <w:tcPr>
            <w:vAlign w:val="center"/>
          </w:tcPr>
          <w:p>
            <w:pPr>
              <w:jc w:val="center"/>
            </w:pPr>
            <w:r>
              <w:rPr>
                <w:color w:val="000000"/>
                <w:sz w:val="24"/>
              </w:rPr>
              <w:t>0.16%</w:t>
            </w:r>
          </w:p>
        </w:tc>
      </w:tr>
    </w:tbl>
    <w:p w:rsidP="00174038" w:rsidR="00F016DD" w:rsidRDefault="00F016DD" w:rsidRPr="0078105B">
      <w:pPr>
        <w:adjustRightInd w:val="0"/>
        <w:spacing w:line="360" w:lineRule="auto"/>
        <w:ind w:firstLine="361" w:firstLineChars="150"/>
        <w:rPr>
          <w:rFonts w:ascii="宋体" w:cs="Arial"/>
          <w:b/>
          <w:color w:val="000000"/>
          <w:kern w:val="0"/>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gramEnd"/>
      <w:r w:rsidRPr="0078105B">
        <w:rPr>
          <w:rFonts w:ascii="宋体" w:cs="Arial" w:hAnsi="宋体"/>
          <w:b/>
          <w:color w:val="000000"/>
          <w:kern w:val="0"/>
          <w:sz w:val="24"/>
        </w:rPr>
        <w:t>易方达稳健收益债券B</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F4518C">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2.23%</w:t>
            </w:r>
          </w:p>
        </w:tc>
        <w:tc>
          <w:tcPr>
            <w:vAlign w:val="center"/>
          </w:tcPr>
          <w:p>
            <w:pPr>
              <w:jc w:val="center"/>
            </w:pPr>
            <w:r>
              <w:rPr>
                <w:color w:val="000000"/>
                <w:sz w:val="24"/>
              </w:rPr>
              <w:t>0.37%</w:t>
            </w:r>
          </w:p>
        </w:tc>
        <w:tc>
          <w:tcPr>
            <w:vAlign w:val="center"/>
          </w:tcPr>
          <w:p>
            <w:pPr>
              <w:jc w:val="center"/>
            </w:pPr>
            <w:r>
              <w:rPr>
                <w:color w:val="000000"/>
                <w:sz w:val="24"/>
              </w:rPr>
              <w:t>-1.49%</w:t>
            </w:r>
          </w:p>
        </w:tc>
        <w:tc>
          <w:tcPr>
            <w:vAlign w:val="center"/>
          </w:tcPr>
          <w:p>
            <w:pPr>
              <w:jc w:val="center"/>
            </w:pPr>
            <w:r>
              <w:rPr>
                <w:color w:val="000000"/>
                <w:sz w:val="24"/>
              </w:rPr>
              <w:t>0.16%</w:t>
            </w:r>
          </w:p>
        </w:tc>
        <w:tc>
          <w:tcPr>
            <w:vAlign w:val="center"/>
          </w:tcPr>
          <w:p>
            <w:pPr>
              <w:jc w:val="center"/>
            </w:pPr>
            <w:r>
              <w:rPr>
                <w:color w:val="000000"/>
                <w:sz w:val="24"/>
              </w:rPr>
              <w:t>3.72%</w:t>
            </w:r>
          </w:p>
        </w:tc>
        <w:tc>
          <w:tcPr>
            <w:vAlign w:val="center"/>
          </w:tcPr>
          <w:p>
            <w:pPr>
              <w:jc w:val="center"/>
            </w:pPr>
            <w:r>
              <w:rPr>
                <w:color w:val="000000"/>
                <w:sz w:val="24"/>
              </w:rPr>
              <w:t>0.21%</w:t>
            </w:r>
          </w:p>
        </w:tc>
      </w:tr>
      <w:tr>
        <w:tc>
          <w:tcPr>
            <w:vAlign w:val="center"/>
          </w:tcPr>
          <w:p>
            <w:pPr>
              <w:jc w:val="left"/>
            </w:pPr>
            <w:r>
              <w:rPr>
                <w:color w:val="000000"/>
                <w:sz w:val="24"/>
              </w:rPr>
              <w:t>过去六个月</w:t>
            </w:r>
          </w:p>
        </w:tc>
        <w:tc>
          <w:tcPr>
            <w:vAlign w:val="center"/>
          </w:tcPr>
          <w:p>
            <w:pPr>
              <w:jc w:val="center"/>
            </w:pPr>
            <w:r>
              <w:rPr>
                <w:color w:val="000000"/>
                <w:sz w:val="24"/>
              </w:rPr>
              <w:t>2.37%</w:t>
            </w:r>
          </w:p>
        </w:tc>
        <w:tc>
          <w:tcPr>
            <w:vAlign w:val="center"/>
          </w:tcPr>
          <w:p>
            <w:pPr>
              <w:jc w:val="center"/>
            </w:pPr>
            <w:r>
              <w:rPr>
                <w:color w:val="000000"/>
                <w:sz w:val="24"/>
              </w:rPr>
              <w:t>0.30%</w:t>
            </w:r>
          </w:p>
        </w:tc>
        <w:tc>
          <w:tcPr>
            <w:vAlign w:val="center"/>
          </w:tcPr>
          <w:p>
            <w:pPr>
              <w:jc w:val="center"/>
            </w:pPr>
            <w:r>
              <w:rPr>
                <w:color w:val="000000"/>
                <w:sz w:val="24"/>
              </w:rPr>
              <w:t>-3.17%</w:t>
            </w:r>
          </w:p>
        </w:tc>
        <w:tc>
          <w:tcPr>
            <w:vAlign w:val="center"/>
          </w:tcPr>
          <w:p>
            <w:pPr>
              <w:jc w:val="center"/>
            </w:pPr>
            <w:r>
              <w:rPr>
                <w:color w:val="000000"/>
                <w:sz w:val="24"/>
              </w:rPr>
              <w:t>0.17%</w:t>
            </w:r>
          </w:p>
        </w:tc>
        <w:tc>
          <w:tcPr>
            <w:vAlign w:val="center"/>
          </w:tcPr>
          <w:p>
            <w:pPr>
              <w:jc w:val="center"/>
            </w:pPr>
            <w:r>
              <w:rPr>
                <w:color w:val="000000"/>
                <w:sz w:val="24"/>
              </w:rPr>
              <w:t>5.54%</w:t>
            </w:r>
          </w:p>
        </w:tc>
        <w:tc>
          <w:tcPr>
            <w:vAlign w:val="center"/>
          </w:tcPr>
          <w:p>
            <w:pPr>
              <w:jc w:val="center"/>
            </w:pPr>
            <w:r>
              <w:rPr>
                <w:color w:val="000000"/>
                <w:sz w:val="24"/>
              </w:rPr>
              <w:t>0.13%</w:t>
            </w:r>
          </w:p>
        </w:tc>
      </w:tr>
      <w:tr>
        <w:tc>
          <w:tcPr>
            <w:vAlign w:val="center"/>
          </w:tcPr>
          <w:p>
            <w:pPr>
              <w:jc w:val="left"/>
            </w:pPr>
            <w:r>
              <w:rPr>
                <w:color w:val="000000"/>
                <w:sz w:val="24"/>
              </w:rPr>
              <w:t>过去一年</w:t>
            </w:r>
          </w:p>
        </w:tc>
        <w:tc>
          <w:tcPr>
            <w:vAlign w:val="center"/>
          </w:tcPr>
          <w:p>
            <w:pPr>
              <w:jc w:val="center"/>
            </w:pPr>
            <w:r>
              <w:rPr>
                <w:color w:val="000000"/>
                <w:sz w:val="24"/>
              </w:rPr>
              <w:t>7.27%</w:t>
            </w:r>
          </w:p>
        </w:tc>
        <w:tc>
          <w:tcPr>
            <w:vAlign w:val="center"/>
          </w:tcPr>
          <w:p>
            <w:pPr>
              <w:jc w:val="center"/>
            </w:pPr>
            <w:r>
              <w:rPr>
                <w:color w:val="000000"/>
                <w:sz w:val="24"/>
              </w:rPr>
              <w:t>0.30%</w:t>
            </w:r>
          </w:p>
        </w:tc>
        <w:tc>
          <w:tcPr>
            <w:vAlign w:val="center"/>
          </w:tcPr>
          <w:p>
            <w:pPr>
              <w:jc w:val="center"/>
            </w:pPr>
            <w:r>
              <w:rPr>
                <w:color w:val="000000"/>
                <w:sz w:val="24"/>
              </w:rPr>
              <w:t>0.18%</w:t>
            </w:r>
          </w:p>
        </w:tc>
        <w:tc>
          <w:tcPr>
            <w:vAlign w:val="center"/>
          </w:tcPr>
          <w:p>
            <w:pPr>
              <w:jc w:val="center"/>
            </w:pPr>
            <w:r>
              <w:rPr>
                <w:color w:val="000000"/>
                <w:sz w:val="24"/>
              </w:rPr>
              <w:t>0.15%</w:t>
            </w:r>
          </w:p>
        </w:tc>
        <w:tc>
          <w:tcPr>
            <w:vAlign w:val="center"/>
          </w:tcPr>
          <w:p>
            <w:pPr>
              <w:jc w:val="center"/>
            </w:pPr>
            <w:r>
              <w:rPr>
                <w:color w:val="000000"/>
                <w:sz w:val="24"/>
              </w:rPr>
              <w:t>7.09%</w:t>
            </w:r>
          </w:p>
        </w:tc>
        <w:tc>
          <w:tcPr>
            <w:vAlign w:val="center"/>
          </w:tcPr>
          <w:p>
            <w:pPr>
              <w:jc w:val="center"/>
            </w:pPr>
            <w:r>
              <w:rPr>
                <w:color w:val="000000"/>
                <w:sz w:val="24"/>
              </w:rPr>
              <w:t>0.15%</w:t>
            </w:r>
          </w:p>
        </w:tc>
      </w:tr>
      <w:tr>
        <w:tc>
          <w:tcPr>
            <w:vAlign w:val="center"/>
          </w:tcPr>
          <w:p>
            <w:pPr>
              <w:jc w:val="left"/>
            </w:pPr>
            <w:r>
              <w:rPr>
                <w:color w:val="000000"/>
                <w:sz w:val="24"/>
              </w:rPr>
              <w:t>过去三年</w:t>
            </w:r>
          </w:p>
        </w:tc>
        <w:tc>
          <w:tcPr>
            <w:vAlign w:val="center"/>
          </w:tcPr>
          <w:p>
            <w:pPr>
              <w:jc w:val="center"/>
            </w:pPr>
            <w:r>
              <w:rPr>
                <w:color w:val="000000"/>
                <w:sz w:val="24"/>
              </w:rPr>
              <w:t>20.40%</w:t>
            </w:r>
          </w:p>
        </w:tc>
        <w:tc>
          <w:tcPr>
            <w:vAlign w:val="center"/>
          </w:tcPr>
          <w:p>
            <w:pPr>
              <w:jc w:val="center"/>
            </w:pPr>
            <w:r>
              <w:rPr>
                <w:color w:val="000000"/>
                <w:sz w:val="24"/>
              </w:rPr>
              <w:t>0.30%</w:t>
            </w:r>
          </w:p>
        </w:tc>
        <w:tc>
          <w:tcPr>
            <w:vAlign w:val="center"/>
          </w:tcPr>
          <w:p>
            <w:pPr>
              <w:jc w:val="center"/>
            </w:pPr>
            <w:r>
              <w:rPr>
                <w:color w:val="000000"/>
                <w:sz w:val="24"/>
              </w:rPr>
              <w:t>5.11%</w:t>
            </w:r>
          </w:p>
        </w:tc>
        <w:tc>
          <w:tcPr>
            <w:vAlign w:val="center"/>
          </w:tcPr>
          <w:p>
            <w:pPr>
              <w:jc w:val="center"/>
            </w:pPr>
            <w:r>
              <w:rPr>
                <w:color w:val="000000"/>
                <w:sz w:val="24"/>
              </w:rPr>
              <w:t>0.12%</w:t>
            </w:r>
          </w:p>
        </w:tc>
        <w:tc>
          <w:tcPr>
            <w:vAlign w:val="center"/>
          </w:tcPr>
          <w:p>
            <w:pPr>
              <w:jc w:val="center"/>
            </w:pPr>
            <w:r>
              <w:rPr>
                <w:color w:val="000000"/>
                <w:sz w:val="24"/>
              </w:rPr>
              <w:t>15.29%</w:t>
            </w:r>
          </w:p>
        </w:tc>
        <w:tc>
          <w:tcPr>
            <w:vAlign w:val="center"/>
          </w:tcPr>
          <w:p>
            <w:pPr>
              <w:jc w:val="center"/>
            </w:pPr>
            <w:r>
              <w:rPr>
                <w:color w:val="000000"/>
                <w:sz w:val="24"/>
              </w:rPr>
              <w:t>0.18%</w:t>
            </w:r>
          </w:p>
        </w:tc>
      </w:tr>
      <w:tr>
        <w:tc>
          <w:tcPr>
            <w:vAlign w:val="center"/>
          </w:tcPr>
          <w:p>
            <w:pPr>
              <w:jc w:val="left"/>
            </w:pPr>
            <w:r>
              <w:rPr>
                <w:color w:val="000000"/>
                <w:sz w:val="24"/>
              </w:rPr>
              <w:t>过去五年</w:t>
            </w:r>
          </w:p>
        </w:tc>
        <w:tc>
          <w:tcPr>
            <w:vAlign w:val="center"/>
          </w:tcPr>
          <w:p>
            <w:pPr>
              <w:jc w:val="center"/>
            </w:pPr>
            <w:r>
              <w:rPr>
                <w:color w:val="000000"/>
                <w:sz w:val="24"/>
              </w:rPr>
              <w:t>36.02%</w:t>
            </w:r>
          </w:p>
        </w:tc>
        <w:tc>
          <w:tcPr>
            <w:vAlign w:val="center"/>
          </w:tcPr>
          <w:p>
            <w:pPr>
              <w:jc w:val="center"/>
            </w:pPr>
            <w:r>
              <w:rPr>
                <w:color w:val="000000"/>
                <w:sz w:val="24"/>
              </w:rPr>
              <w:t>0.27%</w:t>
            </w:r>
          </w:p>
        </w:tc>
        <w:tc>
          <w:tcPr>
            <w:vAlign w:val="center"/>
          </w:tcPr>
          <w:p>
            <w:pPr>
              <w:jc w:val="center"/>
            </w:pPr>
            <w:r>
              <w:rPr>
                <w:color w:val="000000"/>
                <w:sz w:val="24"/>
              </w:rPr>
              <w:t>2.61%</w:t>
            </w:r>
          </w:p>
        </w:tc>
        <w:tc>
          <w:tcPr>
            <w:vAlign w:val="center"/>
          </w:tcPr>
          <w:p>
            <w:pPr>
              <w:jc w:val="center"/>
            </w:pPr>
            <w:r>
              <w:rPr>
                <w:color w:val="000000"/>
                <w:sz w:val="24"/>
              </w:rPr>
              <w:t>0.12%</w:t>
            </w:r>
          </w:p>
        </w:tc>
        <w:tc>
          <w:tcPr>
            <w:vAlign w:val="center"/>
          </w:tcPr>
          <w:p>
            <w:pPr>
              <w:jc w:val="center"/>
            </w:pPr>
            <w:r>
              <w:rPr>
                <w:color w:val="000000"/>
                <w:sz w:val="24"/>
              </w:rPr>
              <w:t>33.41%</w:t>
            </w:r>
          </w:p>
        </w:tc>
        <w:tc>
          <w:tcPr>
            <w:vAlign w:val="center"/>
          </w:tcPr>
          <w:p>
            <w:pPr>
              <w:jc w:val="center"/>
            </w:pPr>
            <w:r>
              <w:rPr>
                <w:color w:val="000000"/>
                <w:sz w:val="24"/>
              </w:rPr>
              <w:t>0.15%</w:t>
            </w:r>
          </w:p>
        </w:tc>
      </w:tr>
      <w:tr>
        <w:tc>
          <w:tcPr>
            <w:vAlign w:val="center"/>
          </w:tcPr>
          <w:p>
            <w:pPr>
              <w:jc w:val="left"/>
            </w:pPr>
            <w:r>
              <w:rPr>
                <w:color w:val="000000"/>
                <w:sz w:val="24"/>
              </w:rPr>
              <w:t>自基金合同生效起至今</w:t>
            </w:r>
          </w:p>
        </w:tc>
        <w:tc>
          <w:tcPr>
            <w:vAlign w:val="center"/>
          </w:tcPr>
          <w:p>
            <w:pPr>
              <w:jc w:val="center"/>
            </w:pPr>
            <w:r>
              <w:rPr>
                <w:color w:val="000000"/>
                <w:sz w:val="24"/>
              </w:rPr>
              <w:t>179.73%</w:t>
            </w:r>
          </w:p>
        </w:tc>
        <w:tc>
          <w:tcPr>
            <w:vAlign w:val="center"/>
          </w:tcPr>
          <w:p>
            <w:pPr>
              <w:jc w:val="center"/>
            </w:pPr>
            <w:r>
              <w:rPr>
                <w:color w:val="000000"/>
                <w:sz w:val="24"/>
              </w:rPr>
              <w:t>0.29%</w:t>
            </w:r>
          </w:p>
        </w:tc>
        <w:tc>
          <w:tcPr>
            <w:vAlign w:val="center"/>
          </w:tcPr>
          <w:p>
            <w:pPr>
              <w:jc w:val="center"/>
            </w:pPr>
            <w:r>
              <w:rPr>
                <w:color w:val="000000"/>
                <w:sz w:val="24"/>
              </w:rPr>
              <w:t>13.02%</w:t>
            </w:r>
          </w:p>
        </w:tc>
        <w:tc>
          <w:tcPr>
            <w:vAlign w:val="center"/>
          </w:tcPr>
          <w:p>
            <w:pPr>
              <w:jc w:val="center"/>
            </w:pPr>
            <w:r>
              <w:rPr>
                <w:color w:val="000000"/>
                <w:sz w:val="24"/>
              </w:rPr>
              <w:t>0.13%</w:t>
            </w:r>
          </w:p>
        </w:tc>
        <w:tc>
          <w:tcPr>
            <w:vAlign w:val="center"/>
          </w:tcPr>
          <w:p>
            <w:pPr>
              <w:jc w:val="center"/>
            </w:pPr>
            <w:r>
              <w:rPr>
                <w:color w:val="000000"/>
                <w:sz w:val="24"/>
              </w:rPr>
              <w:t>166.71%</w:t>
            </w:r>
          </w:p>
        </w:tc>
        <w:tc>
          <w:tcPr>
            <w:vAlign w:val="center"/>
          </w:tcPr>
          <w:p>
            <w:pPr>
              <w:jc w:val="center"/>
            </w:pPr>
            <w:r>
              <w:rPr>
                <w:color w:val="000000"/>
                <w:sz w:val="24"/>
              </w:rPr>
              <w:t>0.16%</w:t>
            </w:r>
          </w:p>
        </w:tc>
      </w:tr>
    </w:tbl>
    <w:p w:rsidP="00B92936" w:rsidR="00B92936" w:rsidRDefault="00B92936" w:rsidRPr="0078105B">
      <w:pPr>
        <w:adjustRightInd w:val="0"/>
        <w:spacing w:line="360" w:lineRule="auto"/>
        <w:ind w:firstLine="361" w:firstLineChars="150"/>
        <w:rPr>
          <w:rFonts w:ascii="宋体" w:cs="Arial"/>
          <w:b/>
          <w:color w:val="000000"/>
          <w:kern w:val="0"/>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spellStart"/>
      <w:r w:rsidRPr="0078105B">
        <w:rPr>
          <w:rFonts w:ascii="宋体" w:cs="Arial" w:hAnsi="宋体"/>
          <w:b/>
          <w:color w:val="000000"/>
          <w:kern w:val="0"/>
          <w:sz w:val="24"/>
        </w:rPr>
        <w:t/>
      </w:r>
      <w:proofErr w:type="spellEnd"/>
      <w:r w:rsidRPr="0078105B">
        <w:rPr>
          <w:rFonts w:ascii="宋体" w:cs="Arial" w:hAnsi="宋体"/>
          <w:b/>
          <w:color w:val="000000"/>
          <w:kern w:val="0"/>
          <w:sz w:val="24"/>
        </w:rPr>
        <w:t/>
      </w:r>
      <w:r>
        <w:rPr>
          <w:rFonts w:ascii="宋体" w:cs="Arial" w:hAnsi="宋体" w:hint="eastAsia"/>
          <w:b/>
          <w:color w:val="000000"/>
          <w:kern w:val="0"/>
          <w:sz w:val="24"/>
        </w:rPr>
        <w:t/>
      </w:r>
      <w:proofErr w:type="gramEnd"/>
      <w:r w:rsidRPr="0078105B">
        <w:rPr>
          <w:rFonts w:ascii="宋体" w:cs="Arial" w:hAnsi="宋体"/>
          <w:b/>
          <w:color w:val="000000"/>
          <w:kern w:val="0"/>
          <w:sz w:val="24"/>
        </w:rPr>
        <w:t>易方达稳健收益债券C</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B92936" w:rsidRPr="0078105B" w:rsidTr="00B92936">
        <w:tc>
          <w:tcPr>
            <w:tcW w:type="dxa" w:w="1290"/>
            <w:vAlign w:val="center"/>
          </w:tcPr>
          <w:p w:rsidP="00B92936" w:rsidR="00B92936" w:rsidRDefault="00B92936"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r w:rsidRPr="00FA472B">
              <w:rPr>
                <w:color w:val="000000"/>
                <w:sz w:val="24"/>
              </w:rPr>
              <w:lastRenderedPageBreak/>
              <w:t/>
            </w:r>
            <w:proofErr w:type="spellEnd"/>
            <w:r w:rsidRPr="00FA472B">
              <w:rPr>
                <w:color w:val="000000"/>
                <w:sz w:val="24"/>
              </w:rPr>
              <w:t/>
            </w:r>
          </w:p>
        </w:tc>
        <w:tc>
          <w:tcPr>
            <w:tcW w:type="dxa" w:w="1291"/>
            <w:vAlign w:val="center"/>
          </w:tcPr>
          <w:p w:rsidP="00B92936" w:rsidR="00B92936" w:rsidRDefault="00B92936" w:rsidRPr="00FA472B">
            <w:pPr>
              <w:snapToGrid w:val="0"/>
              <w:spacing w:line="288" w:lineRule="auto"/>
              <w:jc w:val="center"/>
              <w:rPr>
                <w:color w:val="000000"/>
                <w:sz w:val="24"/>
                <w:highlight w:val="green"/>
              </w:rPr>
            </w:pPr>
            <w:r w:rsidRPr="00FA472B">
              <w:rPr>
                <w:color w:val="000000"/>
                <w:sz w:val="24"/>
              </w:rPr>
              <w:lastRenderedPageBreak/>
              <w:t>净值增长率</w:t>
            </w:r>
            <w:r w:rsidRPr="00414367">
              <w:rPr>
                <w:rFonts w:ascii="宋体" w:cs="宋体" w:hAnsi="宋体" w:hint="eastAsia"/>
                <w:color w:val="000000"/>
                <w:sz w:val="24"/>
              </w:rPr>
              <w:t>①</w:t>
            </w:r>
          </w:p>
        </w:tc>
        <w:tc>
          <w:tcPr>
            <w:tcW w:type="dxa" w:w="1291"/>
            <w:vAlign w:val="center"/>
          </w:tcPr>
          <w:p w:rsidP="00B92936" w:rsidR="00B92936" w:rsidRDefault="00B92936" w:rsidRPr="00FA472B">
            <w:pPr>
              <w:snapToGrid w:val="0"/>
              <w:spacing w:line="288" w:lineRule="auto"/>
              <w:jc w:val="center"/>
              <w:rPr>
                <w:color w:val="000000"/>
                <w:sz w:val="24"/>
                <w:highlight w:val="green"/>
              </w:rPr>
            </w:pPr>
            <w:r w:rsidRPr="00FA472B">
              <w:rPr>
                <w:color w:val="000000"/>
                <w:sz w:val="24"/>
              </w:rPr>
              <w:t>净值增长率标准差</w:t>
            </w:r>
            <w:r w:rsidRPr="00414367">
              <w:rPr>
                <w:rFonts w:ascii="宋体" w:cs="宋体" w:hAnsi="宋体" w:hint="eastAsia"/>
                <w:color w:val="000000"/>
                <w:sz w:val="24"/>
              </w:rPr>
              <w:lastRenderedPageBreak/>
              <w:t>②</w:t>
            </w:r>
          </w:p>
        </w:tc>
        <w:tc>
          <w:tcPr>
            <w:tcW w:type="dxa" w:w="1291"/>
            <w:vAlign w:val="center"/>
          </w:tcPr>
          <w:p w:rsidP="00B92936" w:rsidR="00B92936" w:rsidRDefault="00B92936" w:rsidRPr="00FA472B">
            <w:pPr>
              <w:snapToGrid w:val="0"/>
              <w:spacing w:line="288" w:lineRule="auto"/>
              <w:jc w:val="center"/>
              <w:rPr>
                <w:color w:val="000000"/>
                <w:sz w:val="24"/>
              </w:rPr>
            </w:pPr>
            <w:r w:rsidRPr="00FA472B">
              <w:rPr>
                <w:color w:val="000000"/>
                <w:sz w:val="24"/>
              </w:rPr>
              <w:lastRenderedPageBreak/>
              <w:t>业绩比较基准收益</w:t>
            </w:r>
            <w:r w:rsidRPr="00FA472B">
              <w:rPr>
                <w:color w:val="000000"/>
                <w:sz w:val="24"/>
              </w:rPr>
              <w:lastRenderedPageBreak/>
              <w:t>率</w:t>
            </w:r>
            <w:r w:rsidRPr="00414367">
              <w:rPr>
                <w:rFonts w:ascii="宋体" w:cs="宋体" w:hAnsi="宋体" w:hint="eastAsia"/>
                <w:color w:val="000000"/>
                <w:sz w:val="24"/>
              </w:rPr>
              <w:t>③</w:t>
            </w:r>
          </w:p>
        </w:tc>
        <w:tc>
          <w:tcPr>
            <w:tcW w:type="dxa" w:w="1291"/>
            <w:vAlign w:val="center"/>
          </w:tcPr>
          <w:p w:rsidP="00B92936" w:rsidR="00B92936" w:rsidRDefault="00B92936" w:rsidRPr="00FA472B">
            <w:pPr>
              <w:snapToGrid w:val="0"/>
              <w:spacing w:line="288" w:lineRule="auto"/>
              <w:jc w:val="center"/>
              <w:rPr>
                <w:color w:val="000000"/>
                <w:sz w:val="24"/>
              </w:rPr>
            </w:pPr>
            <w:r w:rsidRPr="00FA472B">
              <w:rPr>
                <w:color w:val="000000"/>
                <w:sz w:val="24"/>
              </w:rPr>
              <w:lastRenderedPageBreak/>
              <w:t>业绩比较基准收益</w:t>
            </w:r>
            <w:r w:rsidRPr="00FA472B">
              <w:rPr>
                <w:color w:val="000000"/>
                <w:sz w:val="24"/>
              </w:rPr>
              <w:lastRenderedPageBreak/>
              <w:t>率标准差</w:t>
            </w:r>
            <w:r w:rsidRPr="00414367">
              <w:rPr>
                <w:rFonts w:ascii="宋体" w:cs="宋体" w:hAnsi="宋体" w:hint="eastAsia"/>
                <w:color w:val="000000"/>
                <w:sz w:val="24"/>
              </w:rPr>
              <w:t>④</w:t>
            </w:r>
          </w:p>
        </w:tc>
        <w:tc>
          <w:tcPr>
            <w:tcW w:type="dxa" w:w="1291"/>
            <w:vAlign w:val="center"/>
          </w:tcPr>
          <w:p w:rsidP="00B92936" w:rsidR="00B92936" w:rsidRDefault="00B92936" w:rsidRPr="00FA472B">
            <w:pPr>
              <w:snapToGrid w:val="0"/>
              <w:spacing w:line="288" w:lineRule="auto"/>
              <w:jc w:val="center"/>
              <w:rPr>
                <w:color w:val="000000"/>
                <w:sz w:val="24"/>
              </w:rPr>
            </w:pPr>
            <w:r w:rsidRPr="00414367">
              <w:rPr>
                <w:rFonts w:ascii="宋体" w:cs="宋体" w:hAnsi="宋体" w:hint="eastAsia"/>
                <w:color w:val="000000"/>
                <w:sz w:val="24"/>
              </w:rPr>
              <w:lastRenderedPageBreak/>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B92936" w:rsidR="00B92936" w:rsidRDefault="00B92936"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2.16%</w:t>
            </w:r>
          </w:p>
        </w:tc>
        <w:tc>
          <w:tcPr>
            <w:vAlign w:val="center"/>
          </w:tcPr>
          <w:p>
            <w:pPr>
              <w:jc w:val="center"/>
            </w:pPr>
            <w:r>
              <w:rPr>
                <w:color w:val="000000"/>
                <w:sz w:val="24"/>
              </w:rPr>
              <w:t>0.37%</w:t>
            </w:r>
          </w:p>
        </w:tc>
        <w:tc>
          <w:tcPr>
            <w:vAlign w:val="center"/>
          </w:tcPr>
          <w:p>
            <w:pPr>
              <w:jc w:val="center"/>
            </w:pPr>
            <w:r>
              <w:rPr>
                <w:color w:val="000000"/>
                <w:sz w:val="24"/>
              </w:rPr>
              <w:t>-1.49%</w:t>
            </w:r>
          </w:p>
        </w:tc>
        <w:tc>
          <w:tcPr>
            <w:vAlign w:val="center"/>
          </w:tcPr>
          <w:p>
            <w:pPr>
              <w:jc w:val="center"/>
            </w:pPr>
            <w:r>
              <w:rPr>
                <w:color w:val="000000"/>
                <w:sz w:val="24"/>
              </w:rPr>
              <w:t>0.16%</w:t>
            </w:r>
          </w:p>
        </w:tc>
        <w:tc>
          <w:tcPr>
            <w:vAlign w:val="center"/>
          </w:tcPr>
          <w:p>
            <w:pPr>
              <w:jc w:val="center"/>
            </w:pPr>
            <w:r>
              <w:rPr>
                <w:color w:val="000000"/>
                <w:sz w:val="24"/>
              </w:rPr>
              <w:t>3.65%</w:t>
            </w:r>
          </w:p>
        </w:tc>
        <w:tc>
          <w:tcPr>
            <w:vAlign w:val="center"/>
          </w:tcPr>
          <w:p>
            <w:pPr>
              <w:jc w:val="center"/>
            </w:pPr>
            <w:r>
              <w:rPr>
                <w:color w:val="000000"/>
                <w:sz w:val="24"/>
              </w:rPr>
              <w:t>0.21%</w:t>
            </w:r>
          </w:p>
        </w:tc>
      </w:tr>
      <w:tr>
        <w:tc>
          <w:tcPr>
            <w:vAlign w:val="center"/>
          </w:tcPr>
          <w:p>
            <w:pPr>
              <w:jc w:val="left"/>
            </w:pPr>
            <w:r>
              <w:rPr>
                <w:color w:val="000000"/>
                <w:sz w:val="24"/>
              </w:rPr>
              <w:t>过去六个月</w:t>
            </w:r>
          </w:p>
        </w:tc>
        <w:tc>
          <w:tcPr>
            <w:vAlign w:val="center"/>
          </w:tcPr>
          <w:p>
            <w:pPr>
              <w:jc w:val="center"/>
            </w:pPr>
            <w:r>
              <w:rPr>
                <w:color w:val="000000"/>
                <w:sz w:val="24"/>
              </w:rPr>
              <w:t>2.23%</w:t>
            </w:r>
          </w:p>
        </w:tc>
        <w:tc>
          <w:tcPr>
            <w:vAlign w:val="center"/>
          </w:tcPr>
          <w:p>
            <w:pPr>
              <w:jc w:val="center"/>
            </w:pPr>
            <w:r>
              <w:rPr>
                <w:color w:val="000000"/>
                <w:sz w:val="24"/>
              </w:rPr>
              <w:t>0.30%</w:t>
            </w:r>
          </w:p>
        </w:tc>
        <w:tc>
          <w:tcPr>
            <w:vAlign w:val="center"/>
          </w:tcPr>
          <w:p>
            <w:pPr>
              <w:jc w:val="center"/>
            </w:pPr>
            <w:r>
              <w:rPr>
                <w:color w:val="000000"/>
                <w:sz w:val="24"/>
              </w:rPr>
              <w:t>-3.17%</w:t>
            </w:r>
          </w:p>
        </w:tc>
        <w:tc>
          <w:tcPr>
            <w:vAlign w:val="center"/>
          </w:tcPr>
          <w:p>
            <w:pPr>
              <w:jc w:val="center"/>
            </w:pPr>
            <w:r>
              <w:rPr>
                <w:color w:val="000000"/>
                <w:sz w:val="24"/>
              </w:rPr>
              <w:t>0.17%</w:t>
            </w:r>
          </w:p>
        </w:tc>
        <w:tc>
          <w:tcPr>
            <w:vAlign w:val="center"/>
          </w:tcPr>
          <w:p>
            <w:pPr>
              <w:jc w:val="center"/>
            </w:pPr>
            <w:r>
              <w:rPr>
                <w:color w:val="000000"/>
                <w:sz w:val="24"/>
              </w:rPr>
              <w:t>5.40%</w:t>
            </w:r>
          </w:p>
        </w:tc>
        <w:tc>
          <w:tcPr>
            <w:vAlign w:val="center"/>
          </w:tcPr>
          <w:p>
            <w:pPr>
              <w:jc w:val="center"/>
            </w:pPr>
            <w:r>
              <w:rPr>
                <w:color w:val="000000"/>
                <w:sz w:val="24"/>
              </w:rPr>
              <w:t>0.13%</w:t>
            </w:r>
          </w:p>
        </w:tc>
      </w:tr>
      <w:tr>
        <w:tc>
          <w:tcPr>
            <w:vAlign w:val="center"/>
          </w:tcPr>
          <w:p>
            <w:pPr>
              <w:jc w:val="left"/>
            </w:pPr>
            <w:r>
              <w:rPr>
                <w:color w:val="000000"/>
                <w:sz w:val="24"/>
              </w:rPr>
              <w:t>过去一年</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过去三年</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过去五年</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自基金合同生效起至今</w:t>
            </w:r>
          </w:p>
        </w:tc>
        <w:tc>
          <w:tcPr>
            <w:vAlign w:val="center"/>
          </w:tcPr>
          <w:p>
            <w:pPr>
              <w:jc w:val="center"/>
            </w:pPr>
            <w:r>
              <w:rPr>
                <w:color w:val="000000"/>
                <w:sz w:val="24"/>
              </w:rPr>
              <w:t>6.82%</w:t>
            </w:r>
          </w:p>
        </w:tc>
        <w:tc>
          <w:tcPr>
            <w:vAlign w:val="center"/>
          </w:tcPr>
          <w:p>
            <w:pPr>
              <w:jc w:val="center"/>
            </w:pPr>
            <w:r>
              <w:rPr>
                <w:color w:val="000000"/>
                <w:sz w:val="24"/>
              </w:rPr>
              <w:t>0.31%</w:t>
            </w:r>
          </w:p>
        </w:tc>
        <w:tc>
          <w:tcPr>
            <w:vAlign w:val="center"/>
          </w:tcPr>
          <w:p>
            <w:pPr>
              <w:jc w:val="center"/>
            </w:pPr>
            <w:r>
              <w:rPr>
                <w:color w:val="000000"/>
                <w:sz w:val="24"/>
              </w:rPr>
              <w:t>0.45%</w:t>
            </w:r>
          </w:p>
        </w:tc>
        <w:tc>
          <w:tcPr>
            <w:vAlign w:val="center"/>
          </w:tcPr>
          <w:p>
            <w:pPr>
              <w:jc w:val="center"/>
            </w:pPr>
            <w:r>
              <w:rPr>
                <w:color w:val="000000"/>
                <w:sz w:val="24"/>
              </w:rPr>
              <w:t>0.16%</w:t>
            </w:r>
          </w:p>
        </w:tc>
        <w:tc>
          <w:tcPr>
            <w:vAlign w:val="center"/>
          </w:tcPr>
          <w:p>
            <w:pPr>
              <w:jc w:val="center"/>
            </w:pPr>
            <w:r>
              <w:rPr>
                <w:color w:val="000000"/>
                <w:sz w:val="24"/>
              </w:rPr>
              <w:t>6.37%</w:t>
            </w:r>
          </w:p>
        </w:tc>
        <w:tc>
          <w:tcPr>
            <w:vAlign w:val="center"/>
          </w:tcPr>
          <w:p>
            <w:pPr>
              <w:jc w:val="center"/>
            </w:pPr>
            <w:r>
              <w:rPr>
                <w:color w:val="000000"/>
                <w:sz w:val="24"/>
              </w:rPr>
              <w:t>0.15%</w:t>
            </w:r>
          </w:p>
        </w:tc>
      </w:tr>
    </w:tbl>
    <w:p w:rsidP="00C30CFF" w:rsidR="00F016DD" w:rsidRDefault="00F016DD" w:rsidRPr="00C30CFF">
      <w:pPr>
        <w:spacing w:line="360" w:lineRule="auto"/>
        <w:ind w:firstLine="480" w:firstLineChars="200"/>
        <w:rPr>
          <w:color w:val="000000"/>
          <w:sz w:val="24"/>
        </w:rPr>
      </w:pPr>
      <w:r w:rsidRPr="00C30CFF">
        <w:rPr>
          <w:color w:val="000000"/>
          <w:sz w:val="24"/>
        </w:rPr>
        <w:t/>
      </w:r>
      <w:r w:rsidR="00B92936">
        <w:rPr>
          <w:color w:val="000000"/>
          <w:sz w:val="24"/>
        </w:rPr>
        <w:t/>
      </w:r>
      <w:r w:rsidRPr="00C30CFF">
        <w:rPr>
          <w:color w:val="000000"/>
          <w:sz w:val="24"/>
        </w:rPr>
        <w:t/>
      </w:r>
      <w:proofErr w:type="gramStart"/>
      <w:r w:rsidRPr="00C30CFF">
        <w:rPr>
          <w:color w:val="000000"/>
          <w:sz w:val="24"/>
        </w:rPr>
        <w:t/>
      </w:r>
      <w:proofErr w:type="gramEnd"/>
      <w:r w:rsidRPr="00C30CFF">
        <w:rPr>
          <w:color w:val="000000"/>
          <w:sz w:val="24"/>
        </w:rPr>
        <w:t>注：自2020年7月9日起，本基金业绩比较基准由“中债总指数（全价）”变更为“中债新综合财富指数收益率*90%+沪深300指数收益率*10%”。本基金是债券型基金，投资于债券等固定收益品种不低于基金资产的80%，投资于股票等权益类品种不高于基金资产的20%。在业绩比较基准中增加股票部分的基准，能够更加真实、客观地反映本基金的风险收益特征；而将债券部分的基准由反映利率债走势的中债总指数修改为反映境内债券市场走势的中债新综合指数，更贴近本基金的投资范围与投资策略，并可提高基金业绩表现与业绩比较基准的可比性。基金业绩比较基准收益率在变更前后期间分别根据相应的指标计算。</w:t>
      </w:r>
    </w:p>
    <w:p w:rsidP="00FC13C8" w:rsidR="00F016DD" w:rsidRDefault="00F016DD" w:rsidRPr="0078105B">
      <w:pPr>
        <w:spacing w:line="360" w:lineRule="auto"/>
        <w:rPr>
          <w:rFonts w:ascii="宋体" w:cs="Arial"/>
          <w:b/>
          <w:color w:val="000000"/>
          <w:kern w:val="0"/>
          <w:sz w:val="24"/>
        </w:rPr>
      </w:pPr>
      <w:r w:rsidRPr="0078105B">
        <w:rPr>
          <w:rFonts w:ascii="宋体" w:cs="Arial" w:hAnsi="宋体"/>
          <w:b/>
          <w:color w:val="000000"/>
          <w:kern w:val="0"/>
          <w:sz w:val="24"/>
        </w:rPr>
        <w:t>3.2.2</w:t>
      </w:r>
      <w:r w:rsidRPr="0078105B">
        <w:rPr>
          <w:rFonts w:ascii="宋体" w:cs="Arial" w:hAnsi="宋体" w:hint="eastAsia"/>
          <w:b/>
          <w:color w:val="000000"/>
          <w:kern w:val="0"/>
          <w:sz w:val="24"/>
        </w:rPr>
        <w:t xml:space="preserve">　</w:t>
      </w:r>
      <w:r w:rsidR="00AE2480" w:rsidRPr="00370BEA">
        <w:rPr>
          <w:rStyle w:val="af6"/>
          <w:rFonts w:hint="eastAsia"/>
          <w:color w:val="000000"/>
          <w:sz w:val="24"/>
          <w:shd w:color="auto" w:fill="FFFFFF" w:val="clear"/>
        </w:rPr>
        <w:t/>
      </w:r>
      <w:proofErr w:type="spellStart"/>
      <w:r w:rsidR="00AE2480" w:rsidRPr="00370BEA">
        <w:rPr>
          <w:rStyle w:val="af6"/>
          <w:rFonts w:hint="eastAsia"/>
          <w:color w:val="000000"/>
          <w:sz w:val="24"/>
          <w:shd w:color="auto" w:fill="FFFFFF" w:val="clear"/>
        </w:rPr>
        <w:t/>
      </w:r>
      <w:proofErr w:type="spellEnd"/>
      <w:r w:rsidR="00AE2480" w:rsidRPr="00370BEA">
        <w:rPr>
          <w:rStyle w:val="af6"/>
          <w:rFonts w:hint="eastAsia"/>
          <w:color w:val="000000"/>
          <w:sz w:val="24"/>
          <w:shd w:color="auto" w:fill="FFFFFF" w:val="clear"/>
        </w:rPr>
        <w:t>自基金转型以来</w:t>
      </w:r>
      <w:r w:rsidRPr="0078105B">
        <w:rPr>
          <w:rFonts w:ascii="宋体" w:hAnsi="宋体" w:hint="eastAsia"/>
          <w:b/>
          <w:color w:val="000000"/>
          <w:sz w:val="24"/>
        </w:rPr>
        <w:t>基金累计净值增长率变动及其与同期业绩比较基准收益率变动的比较</w:t>
      </w:r>
    </w:p>
    <w:p w:rsidP="00FC13C8" w:rsidR="00F016DD" w:rsidRDefault="00F016DD" w:rsidRPr="00FA472B">
      <w:pPr>
        <w:spacing w:line="360" w:lineRule="auto"/>
        <w:jc w:val="center"/>
        <w:rPr>
          <w:color w:val="000000"/>
          <w:sz w:val="24"/>
        </w:rPr>
      </w:pPr>
      <w:r w:rsidRPr="00FA472B">
        <w:rPr>
          <w:color w:val="000000"/>
          <w:sz w:val="24"/>
        </w:rPr>
        <w:t/>
      </w:r>
      <w:proofErr w:type="spellStart"/>
      <w:proofErr w:type="gramStart"/>
      <w:r w:rsidRPr="00FA472B">
        <w:rPr>
          <w:color w:val="000000"/>
          <w:sz w:val="24"/>
        </w:rPr>
        <w:t/>
      </w:r>
      <w:proofErr w:type="spellEnd"/>
      <w:proofErr w:type="gramEnd"/>
      <w:r w:rsidRPr="00FA472B">
        <w:rPr>
          <w:color w:val="000000"/>
          <w:sz w:val="24"/>
        </w:rPr>
        <w:t>易方达稳健收益债券型证券投资基金</w:t>
      </w:r>
    </w:p>
    <w:p w:rsidP="00000A18" w:rsidR="00000A18" w:rsidRDefault="00F016DD">
      <w:pPr>
        <w:pStyle w:val="a5"/>
        <w:snapToGrid w:val="0"/>
        <w:spacing w:line="360" w:lineRule="auto"/>
        <w:jc w:val="center"/>
        <w:rPr>
          <w:rFonts w:ascii="Times New Roman" w:eastAsiaTheme="minorEastAsia" w:hAnsi="Times New Roman"/>
          <w:color w:themeColor="text1" w:val="000000"/>
          <w:sz w:val="24"/>
          <w:szCs w:val="24"/>
        </w:rPr>
      </w:pPr>
      <w:r w:rsidRPr="00FA472B">
        <w:rPr>
          <w:rFonts w:ascii="Times New Roman" w:hAnsi="Times New Roman"/>
          <w:color w:val="000000"/>
          <w:sz w:val="24"/>
          <w:szCs w:val="24"/>
        </w:rPr>
        <w:t>累计净值增长率与业绩比较基准收益率的历史走势对比图</w:t>
      </w:r>
    </w:p>
    <w:p w:rsidP="00000A18" w:rsidR="00000A18" w:rsidRDefault="00F016DD">
      <w:pPr>
        <w:snapToGrid w:val="0"/>
        <w:spacing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spellStart"/>
      <w:r w:rsidRPr="00611CB2">
        <w:rPr>
          <w:color w:val="000000"/>
          <w:sz w:val="24"/>
        </w:rPr>
        <w:t/>
      </w:r>
      <w:proofErr w:type="spellEnd"/>
      <w:r w:rsidRPr="00611CB2">
        <w:rPr>
          <w:color w:val="000000"/>
          <w:sz w:val="24"/>
        </w:rPr>
        <w:t/>
      </w:r>
      <w:proofErr w:type="gramEnd"/>
      <w:r w:rsidRPr="00611CB2">
        <w:rPr>
          <w:color w:val="000000"/>
          <w:sz w:val="24"/>
        </w:rPr>
        <w:t>易方达稳健收益债券A</w:t>
      </w:r>
    </w:p>
    <w:p w:rsidP="00084FE0" w:rsidR="00F016DD" w:rsidRDefault="00000A18" w:rsidRPr="00000A18">
      <w:pPr>
        <w:pStyle w:val="a5"/>
        <w:snapToGrid w:val="0"/>
        <w:spacing w:line="360" w:lineRule="auto"/>
        <w:jc w:val="center"/>
        <w:rPr>
          <w:rFonts w:ascii="Times New Roman" w:hAnsi="Times New Roman"/>
          <w:sz w:val="24"/>
          <w:szCs w:val="24"/>
        </w:rPr>
      </w:pPr>
      <w:r w:rsidRPr="00000A18">
        <w:rPr>
          <w:rFonts w:ascii="Times New Roman" w:hAnsi="Times New Roman"/>
          <w:sz w:val="24"/>
          <w:szCs w:val="24"/>
        </w:rPr>
        <w:t/>
      </w:r>
      <w:proofErr w:type="spellStart"/>
      <w:proofErr w:type="gramStart"/>
      <w:r w:rsidRPr="00000A18">
        <w:rPr>
          <w:rFonts w:ascii="Times New Roman" w:hAnsi="Times New Roman"/>
          <w:sz w:val="24"/>
          <w:szCs w:val="24"/>
        </w:rPr>
        <w:t/>
      </w:r>
      <w:proofErr w:type="spellEnd"/>
      <w:r w:rsidRPr="00000A18">
        <w:rPr>
          <w:rFonts w:ascii="Times New Roman" w:hAnsi="Times New Roman"/>
          <w:sz w:val="24"/>
          <w:szCs w:val="24"/>
        </w:rPr>
        <w:t/>
      </w:r>
      <w:proofErr w:type="gramEnd"/>
      <w:r w:rsidRPr="00000A18">
        <w:rPr>
          <w:rFonts w:ascii="Times New Roman" w:hAnsi="Times New Roman"/>
          <w:sz w:val="24"/>
          <w:szCs w:val="24"/>
        </w:rPr>
        <w:t>（2008年1月29日至2020年9月30日）</w:t>
      </w:r>
    </w:p>
    <w:p w:rsidP="00FC7F43" w:rsidR="00F016DD" w:rsidRDefault="00DD5A85" w:rsidRPr="0078105B">
      <w:pPr>
        <w:pStyle w:val="20"/>
        <w:spacing w:line="288" w:lineRule="auto"/>
        <w:ind w:firstLine="0" w:firstLineChars="0"/>
        <w:jc w:val="center"/>
        <w:rPr>
          <w:color w:val="000000"/>
        </w:rPr>
      </w:pPr>
      <w:r>
        <w:rPr>
          <w:noProof/>
          <w:color w:val="000000"/>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2" o:spid="_x0000_i1025" style="width:435.75pt;height:258pt;visibility:visible" type="#_x0000_t75">
            <v:imagedata o:title="" r:id="rId10"/>
          </v:shape>
        </w:pict>
      </w:r>
    </w:p>
    <w:p w:rsidP="00000A18" w:rsidR="00000A18" w:rsidRDefault="00F016DD">
      <w:pPr>
        <w:snapToGrid w:val="0"/>
        <w:spacing w:before="312" w:beforeLines="100"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gramEnd"/>
      <w:r w:rsidRPr="00611CB2">
        <w:rPr>
          <w:color w:val="000000"/>
          <w:sz w:val="24"/>
        </w:rPr>
        <w:t>易方达稳健收益债券B</w:t>
      </w:r>
    </w:p>
    <w:p w:rsidP="00084FE0" w:rsidR="00F016DD" w:rsidRDefault="00000A18" w:rsidRPr="00000A18">
      <w:pPr>
        <w:pStyle w:val="a5"/>
        <w:snapToGrid w:val="0"/>
        <w:spacing w:line="360" w:lineRule="auto"/>
        <w:jc w:val="center"/>
        <w:rPr>
          <w:rFonts w:ascii="Times New Roman" w:hAnsi="Times New Roman"/>
          <w:sz w:val="24"/>
          <w:szCs w:val="24"/>
        </w:rPr>
      </w:pPr>
      <w:r w:rsidRPr="00000A18">
        <w:rPr>
          <w:rFonts w:ascii="Times New Roman" w:hAnsi="Times New Roman"/>
          <w:sz w:val="24"/>
          <w:szCs w:val="24"/>
        </w:rPr>
        <w:t/>
      </w:r>
      <w:proofErr w:type="spellStart"/>
      <w:proofErr w:type="gramStart"/>
      <w:r w:rsidRPr="00000A18">
        <w:rPr>
          <w:rFonts w:ascii="Times New Roman" w:hAnsi="Times New Roman"/>
          <w:sz w:val="24"/>
          <w:szCs w:val="24"/>
        </w:rPr>
        <w:t/>
      </w:r>
      <w:proofErr w:type="spellEnd"/>
      <w:r w:rsidRPr="00000A18">
        <w:rPr>
          <w:rFonts w:ascii="Times New Roman" w:hAnsi="Times New Roman"/>
          <w:sz w:val="24"/>
          <w:szCs w:val="24"/>
        </w:rPr>
        <w:t/>
      </w:r>
      <w:proofErr w:type="gramEnd"/>
      <w:r w:rsidRPr="00000A18">
        <w:rPr>
          <w:rFonts w:ascii="Times New Roman" w:hAnsi="Times New Roman"/>
          <w:sz w:val="24"/>
          <w:szCs w:val="24"/>
        </w:rPr>
        <w:t>（2008年1月29日至2020年9月30日）</w:t>
      </w:r>
    </w:p>
    <w:p w:rsidP="00FC7F43" w:rsidR="00F016DD" w:rsidRDefault="00DD5A85" w:rsidRPr="0078105B">
      <w:pPr>
        <w:pStyle w:val="20"/>
        <w:spacing w:line="288" w:lineRule="auto"/>
        <w:ind w:firstLine="0" w:firstLineChars="0"/>
        <w:jc w:val="center"/>
        <w:rPr>
          <w:color w:val="000000"/>
        </w:rPr>
      </w:pPr>
      <w:r>
        <w:rPr>
          <w:noProof/>
          <w:color w:val="000000"/>
        </w:rPr>
        <w:pict>
          <v:shape id="图片 3" o:spid="_x0000_i1026" style="width:435.75pt;height:258pt;visibility:visible" type="#_x0000_t75">
            <v:imagedata o:title="" r:id="rId11"/>
          </v:shape>
        </w:pict>
      </w:r>
    </w:p>
    <w:p w:rsidP="00000A18" w:rsidR="00000A18" w:rsidRDefault="00B92936">
      <w:pPr>
        <w:snapToGrid w:val="0"/>
        <w:spacing w:before="312" w:beforeLines="100"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spellStart"/>
      <w:r w:rsidRPr="00611CB2">
        <w:rPr>
          <w:color w:val="000000"/>
          <w:sz w:val="24"/>
        </w:rPr>
        <w:t/>
      </w:r>
      <w:proofErr w:type="spellEnd"/>
      <w:r w:rsidRPr="00611CB2">
        <w:rPr>
          <w:color w:val="000000"/>
          <w:sz w:val="24"/>
        </w:rPr>
        <w:t/>
      </w:r>
      <w:r>
        <w:rPr>
          <w:rFonts w:hint="eastAsia"/>
          <w:color w:val="000000"/>
          <w:sz w:val="24"/>
        </w:rPr>
        <w:t/>
      </w:r>
      <w:proofErr w:type="gramEnd"/>
      <w:r w:rsidRPr="00611CB2">
        <w:rPr>
          <w:color w:val="000000"/>
          <w:sz w:val="24"/>
        </w:rPr>
        <w:t>易方达稳健收益债券C</w:t>
      </w:r>
    </w:p>
    <w:p w:rsidP="00084FE0" w:rsidR="00B92936" w:rsidRDefault="00000A18" w:rsidRPr="00000A18">
      <w:pPr>
        <w:pStyle w:val="a5"/>
        <w:snapToGrid w:val="0"/>
        <w:spacing w:line="360" w:lineRule="auto"/>
        <w:jc w:val="center"/>
        <w:rPr>
          <w:rFonts w:ascii="Times New Roman" w:hAnsi="Times New Roman"/>
          <w:sz w:val="24"/>
          <w:szCs w:val="24"/>
        </w:rPr>
      </w:pPr>
      <w:r w:rsidRPr="00000A18">
        <w:rPr>
          <w:rFonts w:ascii="Times New Roman" w:hAnsi="Times New Roman"/>
          <w:sz w:val="24"/>
          <w:szCs w:val="24"/>
        </w:rPr>
        <w:t/>
      </w:r>
      <w:proofErr w:type="spellStart"/>
      <w:proofErr w:type="gramStart"/>
      <w:r w:rsidRPr="00000A18">
        <w:rPr>
          <w:rFonts w:ascii="Times New Roman" w:hAnsi="Times New Roman"/>
          <w:sz w:val="24"/>
          <w:szCs w:val="24"/>
        </w:rPr>
        <w:t/>
      </w:r>
      <w:proofErr w:type="spellEnd"/>
      <w:r w:rsidRPr="00000A18">
        <w:rPr>
          <w:rFonts w:ascii="Times New Roman" w:hAnsi="Times New Roman"/>
          <w:sz w:val="24"/>
          <w:szCs w:val="24"/>
        </w:rPr>
        <w:t/>
      </w:r>
      <w:proofErr w:type="gramEnd"/>
      <w:r w:rsidRPr="00000A18">
        <w:rPr>
          <w:rFonts w:ascii="Times New Roman" w:hAnsi="Times New Roman"/>
          <w:sz w:val="24"/>
          <w:szCs w:val="24"/>
        </w:rPr>
        <w:t>（2019年10月24日至2020年9月30日）</w:t>
      </w:r>
    </w:p>
    <w:p w:rsidP="00B92936" w:rsidR="00B92936" w:rsidRDefault="00B92936" w:rsidRPr="00E627BF">
      <w:pPr>
        <w:pStyle w:val="20"/>
        <w:spacing w:line="288" w:lineRule="auto"/>
        <w:ind w:firstLine="0" w:firstLineChars="0"/>
        <w:jc w:val="center"/>
        <w:rPr>
          <w:rFonts w:asciiTheme="minorEastAsia" w:eastAsiaTheme="minorEastAsia" w:hAnsiTheme="minorEastAsia"/>
          <w:color w:themeColor="text1" w:val="000000"/>
        </w:rPr>
      </w:pPr>
      <w:r w:rsidRPr="00E627BF">
        <w:rPr>
          <w:rFonts w:asciiTheme="minorEastAsia" w:eastAsiaTheme="minorEastAsia" w:hAnsiTheme="minorEastAsia"/>
          <w:noProof/>
          <w:color w:themeColor="text1" w:val="000000"/>
        </w:rPr>
        <w:lastRenderedPageBreak/>
        <w:drawing>
          <wp:inline distB="0" distL="0" distR="0" distT="0" wp14:anchorId="7E6ADA31" wp14:editId="644193D1">
            <wp:extent cx="5600700" cy="3280938"/>
            <wp:effectExtent b="0" l="0" r="0" t="0"/>
            <wp:docPr descr="D:\浏览器下载\走势图柱状图\走势图3.jpg"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3.jpg" id="0" name="Picture 3"/>
                    <pic:cNvPicPr>
                      <a:picLocks noChangeArrowheads="1"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pPr>
        <w:spacing w:line="360" w:lineRule="auto"/>
        <w:ind w:firstLine="480" w:firstLineChars="200"/>
        <w:rPr>
          <w:color w:val="000000"/>
          <w:sz w:val="24"/>
        </w:rPr>
      </w:pPr>
      <w:r>
        <w:rPr>
          <w:color w:val="000000"/>
          <w:sz w:val="24"/>
        </w:rPr>
        <w:t>注：1.本基金转型日期为2008年1月29日。</w:t>
      </w:r>
    </w:p>
    <w:p>
      <w:pPr>
        <w:spacing w:line="360" w:lineRule="auto"/>
        <w:ind w:firstLine="480" w:firstLineChars="200"/>
        <w:rPr>
          <w:color w:val="000000"/>
          <w:sz w:val="24"/>
        </w:rPr>
      </w:pPr>
      <w:r>
        <w:rPr>
          <w:color w:val="000000"/>
          <w:sz w:val="24"/>
        </w:rPr>
        <w:t>2.自2019年10月23日起，本基金增设C类份额类别，份额首次确认日为2019年10月24日，增设当期的相关数据和指标按实际存续期计算。</w:t>
      </w:r>
    </w:p>
    <w:p>
      <w:pPr>
        <w:spacing w:line="360" w:lineRule="auto"/>
        <w:ind w:firstLine="480" w:firstLineChars="200"/>
        <w:rPr>
          <w:color w:val="000000"/>
          <w:sz w:val="24"/>
        </w:rPr>
      </w:pPr>
      <w:r>
        <w:rPr>
          <w:color w:val="000000"/>
          <w:sz w:val="24"/>
        </w:rPr>
        <w:t>3.自2020年7月9日起，本基金业绩比较基准由“中债总指数（全价）”变更为“中债新综合财富指数收益率*90%+沪深300指数收益率*10%”。本基金是债券型基金，投资于债券等固定收益品种不低于基金资产的80%，投资于股票等权益类品种不高于基金资产的20%。在业绩比较基准中增加股票部分的基准，能够更加真实、客观地反映本基金的风险收益特征；而将债券部分的基准由反映利率债走势的中债总指数修改为反映境内债券市场走势的中债新综合指数，更贴近本基金的投资范围与投资策略，并可提高基金业绩表现与业绩比较基准的可比性。基金业绩比较基准收益率在变更前后期间分别根据相应的指标计算。</w:t>
      </w:r>
    </w:p>
    <w:p w:rsidP="00DF18FE" w:rsidR="00F016DD" w:rsidRDefault="00F016DD" w:rsidRPr="00DF18FE">
      <w:pPr>
        <w:spacing w:line="360" w:lineRule="auto"/>
        <w:ind w:firstLine="480" w:firstLineChars="200"/>
        <w:rPr>
          <w:color w:val="000000"/>
          <w:sz w:val="24"/>
        </w:rPr>
      </w:pPr>
      <w:r w:rsidRPr="00DF18FE">
        <w:rPr>
          <w:color w:val="000000"/>
          <w:sz w:val="24"/>
        </w:rPr>
        <w:t/>
      </w:r>
      <w:r w:rsidR="00B92936">
        <w:rPr>
          <w:rFonts w:hint="eastAsia"/>
          <w:color w:val="000000"/>
          <w:sz w:val="24"/>
        </w:rPr>
        <w:t/>
      </w:r>
      <w:r w:rsidRPr="00DF18FE">
        <w:rPr>
          <w:color w:val="000000"/>
          <w:sz w:val="24"/>
        </w:rPr>
        <w:t/>
      </w:r>
      <w:proofErr w:type="gramStart"/>
      <w:r w:rsidRPr="00DF18FE">
        <w:rPr>
          <w:color w:val="000000"/>
          <w:sz w:val="24"/>
        </w:rPr>
        <w:t/>
      </w:r>
      <w:proofErr w:type="gramEnd"/>
      <w:r w:rsidRPr="00DF18FE">
        <w:rPr>
          <w:color w:val="000000"/>
          <w:sz w:val="24"/>
        </w:rPr>
        <w:t>4.自基金转型至报告期末，A类基金份额净值增长率为169.23%，B类基金份额净值增长率为179.73%，同期业绩比较基准收益率为13.02%。C类基金份额净值增长率为6.82%，同期业绩比较基准收益率为0.45%。</w:t>
      </w:r>
    </w:p>
    <w:p w:rsidP="006C5BC9" w:rsidR="00F016DD" w:rsidRDefault="00F016DD" w:rsidRPr="00FA472B">
      <w:pPr>
        <w:tabs>
          <w:tab w:pos="1800" w:val="left"/>
        </w:tabs>
        <w:spacing w:line="288" w:lineRule="auto"/>
        <w:rPr>
          <w:color w:val="000000"/>
          <w:sz w:val="24"/>
        </w:rPr>
      </w:pP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4  </w:t>
      </w:r>
      <w:r w:rsidRPr="0078105B">
        <w:rPr>
          <w:rFonts w:ascii="宋体" w:cs="Arial" w:hAnsi="宋体" w:hint="eastAsia"/>
          <w:color w:val="000000"/>
          <w:kern w:val="0"/>
          <w:sz w:val="24"/>
          <w:szCs w:val="24"/>
        </w:rPr>
        <w:t>管理人报告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4.1 </w:t>
      </w:r>
      <w:r w:rsidRPr="0078105B">
        <w:rPr>
          <w:rFonts w:ascii="宋体" w:cs="Arial" w:hAnsi="宋体" w:hint="eastAsia"/>
          <w:b/>
          <w:color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F016DD" w:rsidRPr="0078105B" w:rsidTr="00B54884">
        <w:trPr>
          <w:cantSplit/>
        </w:trPr>
        <w:tc>
          <w:tcPr>
            <w:tcW w:type="dxa" w:w="56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lastRenderedPageBreak/>
              <w:t>姓名</w:t>
            </w:r>
          </w:p>
        </w:tc>
        <w:tc>
          <w:tcPr>
            <w:tcW w:type="dxa" w:w="2835"/>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58694E" w:rsidR="00F016DD" w:rsidRDefault="00F016DD" w:rsidRPr="00FA472B">
            <w:pPr>
              <w:autoSpaceDE w:val="0"/>
              <w:autoSpaceDN w:val="0"/>
              <w:adjustRightInd w:val="0"/>
              <w:spacing w:before="29" w:line="288" w:lineRule="auto"/>
              <w:ind w:left="15"/>
              <w:jc w:val="center"/>
              <w:rPr>
                <w:color w:val="000000"/>
                <w:kern w:val="0"/>
                <w:sz w:val="24"/>
              </w:rPr>
            </w:pPr>
            <w:proofErr w:type="gramStart"/>
            <w:r w:rsidRPr="00FA472B">
              <w:rPr>
                <w:color w:val="000000"/>
                <w:kern w:val="0"/>
                <w:sz w:val="24"/>
              </w:rPr>
              <w:t>任本基金</w:t>
            </w:r>
            <w:proofErr w:type="gramEnd"/>
            <w:r w:rsidRPr="00FA472B">
              <w:rPr>
                <w:color w:val="000000"/>
                <w:kern w:val="0"/>
                <w:sz w:val="24"/>
              </w:rPr>
              <w:t>的基金经理期限</w:t>
            </w:r>
          </w:p>
        </w:tc>
        <w:tc>
          <w:tcPr>
            <w:tcW w:type="dxa" w:w="851"/>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type="dxa" w:w="56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835"/>
            <w:vMerge/>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胡剑</w:t>
            </w:r>
          </w:p>
        </w:tc>
        <w:tc>
          <w:tcPr>
            <w:vAlign w:val="center"/>
          </w:tcPr>
          <w:p>
            <w:pPr>
              <w:jc w:val="left"/>
            </w:pPr>
            <w:r>
              <w:rPr>
                <w:color w:val="000000"/>
                <w:sz w:val="24"/>
              </w:rPr>
              <w:t>本基金的基金经理、易方达信用债债券型证券投资基金的基金经理、易方达裕惠回报定期开放式混合型发起式证券投资基金的基金经理、易方达瑞富灵活配置混合型证券投资基金的基金经理、易方达3年封闭运作战略配售灵活配置混合型证券投资基金（LOF）的基金经理、易方达岁丰添利债券型证券投资基金的基金经理、易方达恒利3个月定期开放债券型发起式证券投资基金的基金经理、易方达恒益定期开放债券型发起式证券投资基金的基金经理、易方达恒盛3个月定期开放混合型发起式证券投资基金的基金经理、易方达富惠纯债债券型证券投资基金的基金经理、易方达中债7-10年期国开行债券指数证券投资基金的基金经理、易方达中债3-5年期国债指数证券投资基金的基金经理、易方达恒惠定期开放债券型发起式证券投资基金的基金经理、副总经理级高级管理人员、固定收益研究部总经理、固定收益投资部总经理、固定收益投资决策委员会委员</w:t>
            </w:r>
          </w:p>
        </w:tc>
        <w:tc>
          <w:tcPr>
            <w:vAlign w:val="center"/>
          </w:tcPr>
          <w:p>
            <w:pPr>
              <w:jc w:val="center"/>
            </w:pPr>
            <w:r>
              <w:rPr>
                <w:color w:val="000000"/>
                <w:sz w:val="24"/>
              </w:rPr>
              <w:t>2012-02-29</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硕士研究生，具有基金从业资格。曾任易方达基金管理有限公司债券研究员、基金经理助理、固定收益研究部负责人、固定收益总部总经理助理、易方达中债新综合债券指数发起式证券投资基金（LOF）基金经理、易方达纯债债券型证券投资基金基金经理、易方达永旭添利定期开放债券型证券投资基金基金经理、易方达纯债1年定期开放债券型证券投资基金基金经理、易方达裕景添利6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易方达瑞祺灵活配置混合型证券投资基金基金经理、易方达瑞财灵活配置混合型证券投资基金基金经理、易方达丰惠混合型证券投资基金基金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B0580D" w:rsidR="00B0580D" w:rsidRDefault="00F016DD" w:rsidRPr="00AF5C11">
      <w:pPr>
        <w:tabs>
          <w:tab w:pos="426" w:val="left"/>
        </w:tabs>
        <w:spacing w:line="360" w:lineRule="auto"/>
        <w:ind w:firstLine="480" w:firstLineChars="200"/>
        <w:rPr>
          <w:kern w:val="0"/>
        </w:rPr>
      </w:pPr>
      <w:r w:rsidRPr="00DF18FE">
        <w:rPr>
          <w:color w:val="000000"/>
          <w:sz w:val="24"/>
        </w:rPr>
        <w:t/>
      </w:r>
      <w:proofErr w:type="gramStart"/>
      <w:r w:rsidRPr="00DF18FE">
        <w:rPr>
          <w:color w:val="000000"/>
          <w:sz w:val="24"/>
        </w:rPr>
        <w:t/>
      </w:r>
      <w:proofErr w:type="gramEnd"/>
      <w:r w:rsidRPr="00DF18FE">
        <w:rPr>
          <w:color w:val="000000"/>
          <w:sz w:val="24"/>
        </w:rPr>
        <w:t>2.证券从业的含义遵从《证券业从业人员资格管理办法》的相关规定。</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lastRenderedPageBreak/>
        <w:t xml:space="preserve">4.3 </w:t>
      </w:r>
      <w:r w:rsidRPr="0078105B">
        <w:rPr>
          <w:rFonts w:ascii="宋体" w:cs="Arial" w:hAnsi="宋体" w:hint="eastAsia"/>
          <w:b/>
          <w:color w:val="000000"/>
          <w:kern w:val="0"/>
          <w:sz w:val="24"/>
        </w:rPr>
        <w:t>公平交易专项说明</w:t>
      </w:r>
    </w:p>
    <w:p w:rsidP="00FC13C8" w:rsidR="00F016DD" w:rsidRDefault="00F016DD" w:rsidRPr="00FA472B">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P="00DF18FE" w:rsidR="00F016DD" w:rsidRDefault="00F016DD" w:rsidRPr="00EA6415">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FC13C8" w:rsidR="00F016DD" w:rsidRDefault="00F016DD" w:rsidRPr="00FA472B">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pPr>
        <w:spacing w:line="360" w:lineRule="auto"/>
        <w:ind w:firstLine="480" w:firstLineChars="200"/>
        <w:rPr>
          <w:color w:val="00000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2C6865" w:rsidR="00F016DD" w:rsidRDefault="00F016DD" w:rsidRPr="002C6865">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本报告期内，未发现本基金有可能导致不公平交易和利益输送的异常交易。</w:t>
      </w:r>
      <w:r w:rsidR="00797D50" w:rsidRPr="002C6865">
        <w:rPr>
          <w:color w:val="000000"/>
          <w:sz w:val="24"/>
        </w:rPr>
        <w:t xml:space="preserve"> </w:t>
      </w:r>
    </w:p>
    <w:p w:rsidP="00797D50" w:rsidR="00F016DD" w:rsidRDefault="00F016DD" w:rsidRPr="00797D50">
      <w:pPr>
        <w:autoSpaceDE w:val="0"/>
        <w:autoSpaceDN w:val="0"/>
        <w:adjustRightInd w:val="0"/>
        <w:spacing w:line="360" w:lineRule="auto"/>
        <w:jc w:val="left"/>
        <w:rPr>
          <w:rFonts w:ascii="宋体" w:cs="Arial" w:hAnsi="宋体"/>
          <w:b/>
          <w:color w:val="000000"/>
          <w:kern w:val="0"/>
          <w:sz w:val="24"/>
        </w:rPr>
      </w:pPr>
      <w:r w:rsidRPr="00797D50">
        <w:rPr>
          <w:rFonts w:ascii="宋体" w:cs="Arial" w:hAnsi="宋体"/>
          <w:b/>
          <w:color w:val="000000"/>
          <w:kern w:val="0"/>
          <w:sz w:val="24"/>
        </w:rPr>
        <w:t>4.4</w:t>
      </w:r>
      <w:r w:rsidR="00797D50">
        <w:rPr>
          <w:rFonts w:ascii="宋体" w:cs="Arial" w:hAnsi="宋体" w:hint="eastAsia"/>
          <w:b/>
          <w:color w:val="000000"/>
          <w:kern w:val="0"/>
          <w:sz w:val="24"/>
        </w:rPr>
        <w:t xml:space="preserve"> </w:t>
      </w:r>
      <w:r w:rsidRPr="00797D50">
        <w:rPr>
          <w:rFonts w:ascii="宋体" w:cs="Arial" w:hAnsi="宋体" w:hint="eastAsia"/>
          <w:b/>
          <w:color w:val="000000"/>
          <w:kern w:val="0"/>
          <w:sz w:val="24"/>
        </w:rPr>
        <w:t>报告期内基金投资策略和运作分析</w:t>
      </w:r>
    </w:p>
    <w:p>
      <w:pPr>
        <w:spacing w:line="360" w:lineRule="auto"/>
        <w:ind w:firstLine="480" w:firstLineChars="200"/>
        <w:rPr>
          <w:color w:val="000000"/>
          <w:sz w:val="24"/>
        </w:rPr>
      </w:pPr>
      <w:r>
        <w:rPr>
          <w:color w:val="000000"/>
          <w:sz w:val="24"/>
        </w:rPr>
        <w:t>受益于良好的疫情控制效果，2020年三季度国内经济基本面维持平稳复苏的走势。工业增加值增速在5-6%附近，环比增速有所波动，但整体表现较为平稳。结构上看，房地产投资保持了较高的增速水平，且在新开工增速提升的情况下，7、8月份同比增速进一步提高到11.8%的较高水平；制造业投资在三季度持续回升，截至8月底已经基本接近去年11月份的水平，体现出经济主体自身的的活跃程度在增强；基建投资则持续有小幅回落，但增速水平仍然保持在去年11月份以来的趋势值之上。从需求端来看，房地产和汽车消费仍然维持较好水平，以餐饮为代表的终端需求的恢复在7月份开始有所加速。未来随着出行和场景消费行政限制的放松，需求端的恢复有望持续。进出口方面，由于海外经济重启，国内快速恢复的供给能力带动出口增速大幅回升，进口数据也有一定程度的恢复，但整体的贸易顺差数据维持高位。</w:t>
      </w:r>
    </w:p>
    <w:p>
      <w:pPr>
        <w:spacing w:line="360" w:lineRule="auto"/>
        <w:ind w:firstLine="480" w:firstLineChars="200"/>
        <w:rPr>
          <w:color w:val="000000"/>
          <w:sz w:val="24"/>
        </w:rPr>
      </w:pPr>
      <w:r>
        <w:rPr>
          <w:color w:val="000000"/>
          <w:sz w:val="24"/>
        </w:rPr>
        <w:t>货币政策三季度继续向中性方向回归。银行间存款类金融机构以利率债为质押的7天回购利率（DR007）中枢水平自6月份快速上升至2.2%附近后，三季度基本在该水平保持平稳。信用扩张方面，央行基本保持了相对宽松的信贷环境，但是信用扩张速度有所放缓，体现出政策层面回归中性的意图。不过从社融数据的结构来看，非金融企业和居民部门的中长期贷款持续明显多增，反映经济主体的信心在逐渐恢复，这与制造业投资以及终端需求的恢复一致，说明经济的自身动能在持续增强。</w:t>
      </w:r>
    </w:p>
    <w:p>
      <w:pPr>
        <w:spacing w:line="360" w:lineRule="auto"/>
        <w:ind w:firstLine="480" w:firstLineChars="200"/>
        <w:rPr>
          <w:color w:val="000000"/>
          <w:sz w:val="24"/>
        </w:rPr>
      </w:pPr>
      <w:r>
        <w:rPr>
          <w:color w:val="000000"/>
          <w:sz w:val="24"/>
        </w:rPr>
        <w:t>债券市场收益率在三季度出现持续快速回升。政策性金融债收益率平坦化上行55-65BP，国债上行30-50BP。信用债表现相对较好，1年和5年端AAA品种利差分别压缩22BP和27BP，3年端AAA品种由于绝对利差水平不高，且二季度压缩较为明显，本季度变动不大。级别利差水平压缩显著，3年期限AA-与AAA的级别利差在三季度压缩30BP。</w:t>
      </w:r>
    </w:p>
    <w:p>
      <w:pPr>
        <w:spacing w:line="360" w:lineRule="auto"/>
        <w:ind w:firstLine="480" w:firstLineChars="200"/>
        <w:rPr>
          <w:color w:val="000000"/>
          <w:sz w:val="24"/>
        </w:rPr>
      </w:pPr>
      <w:r>
        <w:rPr>
          <w:color w:val="000000"/>
          <w:sz w:val="24"/>
        </w:rPr>
        <w:t>权益市场在7月上旬出现明显上涨后维持了振荡走势。整个季度来看，沪深300指数上涨10.17%，创业板指上涨5.6%。结构上看，休闲服务、军工、电器设备、汽车、食品饮料等行业涨幅较高，达到20-30%；通信、商业贸易、计算机等行业表现较差，整个季度下跌3-8%。</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操作上，组合在三季度保持了相对偏长的有效久期，积极进行信用债个券置换，提升持仓个券的投资性价比。权益方面，组合保持了相对偏高的股票和转债仓位。权益仓位与债券久期形成一定的风险对冲，股债对冲效果在三季度有明显改善。</w:t>
      </w:r>
    </w:p>
    <w:p w:rsidP="00797D50" w:rsidR="00F016DD" w:rsidRDefault="00F016DD" w:rsidRPr="00797D50">
      <w:pPr>
        <w:autoSpaceDE w:val="0"/>
        <w:autoSpaceDN w:val="0"/>
        <w:adjustRightInd w:val="0"/>
        <w:spacing w:line="360" w:lineRule="auto"/>
        <w:jc w:val="left"/>
        <w:rPr>
          <w:rFonts w:ascii="宋体" w:cs="Arial" w:hAnsi="宋体"/>
          <w:b/>
          <w:color w:val="000000"/>
          <w:kern w:val="0"/>
          <w:sz w:val="24"/>
        </w:rPr>
      </w:pPr>
      <w:r w:rsidRPr="00797D50">
        <w:rPr>
          <w:rFonts w:ascii="宋体" w:cs="Arial" w:hAnsi="宋体"/>
          <w:b/>
          <w:color w:val="000000"/>
          <w:kern w:val="0"/>
          <w:sz w:val="24"/>
        </w:rPr>
        <w:t>4.</w:t>
      </w:r>
      <w:r w:rsidR="00797D50">
        <w:rPr>
          <w:rFonts w:ascii="宋体" w:cs="Arial" w:hAnsi="宋体"/>
          <w:b/>
          <w:color w:val="000000"/>
          <w:kern w:val="0"/>
          <w:sz w:val="24"/>
        </w:rPr>
        <w:t>5</w:t>
      </w:r>
      <w:r w:rsidR="00797D50">
        <w:rPr>
          <w:rFonts w:ascii="宋体" w:cs="Arial" w:hAnsi="宋体" w:hint="eastAsia"/>
          <w:b/>
          <w:color w:val="000000"/>
          <w:kern w:val="0"/>
          <w:sz w:val="24"/>
        </w:rPr>
        <w:t xml:space="preserve"> </w:t>
      </w:r>
      <w:r w:rsidRPr="00797D50">
        <w:rPr>
          <w:rFonts w:ascii="宋体" w:cs="Arial" w:hAnsi="宋体" w:hint="eastAsia"/>
          <w:b/>
          <w:color w:val="000000"/>
          <w:kern w:val="0"/>
          <w:sz w:val="24"/>
        </w:rPr>
        <w:t>报告期内基金的业绩表现</w:t>
      </w:r>
    </w:p>
    <w:p w:rsidP="00797D50"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截至报告期末，本基金A类基金份额净值为1.3347元，本报告期份额净值增长率为2.16%，同期业绩比较基准收益率为-1.49%；B类基金份额净值为1.3371元，本报告期份额净值增长率为2.23%，同期业绩比较基准收益率为-1.49%；C类基金份额净值为1.3352元，本报告期份额净值增长率为2.16%，同期业绩比较基准收益率为-1.49%。</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5  </w:t>
      </w:r>
      <w:r w:rsidRPr="0078105B">
        <w:rPr>
          <w:rFonts w:ascii="宋体" w:cs="Arial" w:hAnsi="宋体" w:hint="eastAsia"/>
          <w:color w:val="000000"/>
          <w:kern w:val="0"/>
          <w:sz w:val="24"/>
          <w:szCs w:val="24"/>
        </w:rPr>
        <w:t>投资组合报告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5.1 </w:t>
      </w:r>
      <w:r w:rsidRPr="0078105B">
        <w:rPr>
          <w:rFonts w:ascii="宋体" w:cs="Arial" w:hAnsi="宋体" w:hint="eastAsia"/>
          <w:b/>
          <w:color w:val="000000"/>
          <w:kern w:val="0"/>
          <w:sz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335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项目</w:t>
            </w:r>
          </w:p>
        </w:tc>
        <w:tc>
          <w:tcPr>
            <w:tcW w:type="dxa" w:w="297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type="dxa" w:w="1843"/>
            <w:vAlign w:val="center"/>
          </w:tcPr>
          <w:p w:rsidP="00F4518C" w:rsidR="00F016DD" w:rsidRDefault="00F016DD" w:rsidRPr="00FA472B">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1</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权益投资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2,959,227,666.16</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10.70</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其中：股票</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2,959,227,666.16</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10.70</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2</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固定收益投资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23,832,702,082.14</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r w:rsidRPr="00FA472B">
              <w:rPr>
                <w:color w:val="000000"/>
                <w:sz w:val="24"/>
              </w:rPr>
              <w:lastRenderedPageBreak/>
              <w:t>86.21</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其中：债券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23,099,145,082.14</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83.55</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733,557,000.00</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2.65</w:t>
            </w:r>
          </w:p>
        </w:tc>
      </w:tr>
      <w:tr w:rsidR="00F016DD" w:rsidRPr="00264E55" w:rsidTr="00F4518C">
        <w:trPr>
          <w:jc w:val="center"/>
        </w:trPr>
        <w:tc>
          <w:tcPr>
            <w:tcW w:type="dxa" w:w="720"/>
          </w:tcPr>
          <w:p w:rsidP="00F4518C" w:rsidR="00F016DD" w:rsidRDefault="00F016DD" w:rsidRPr="00FA472B">
            <w:pPr>
              <w:spacing w:before="29" w:line="360" w:lineRule="auto"/>
              <w:ind w:left="17"/>
              <w:jc w:val="center"/>
              <w:rPr>
                <w:color w:val="000000"/>
                <w:sz w:val="24"/>
              </w:rPr>
            </w:pPr>
            <w:r w:rsidRPr="00FA472B">
              <w:rPr>
                <w:color w:val="000000"/>
                <w:sz w:val="24"/>
              </w:rPr>
              <w:t>3</w:t>
            </w:r>
          </w:p>
        </w:tc>
        <w:tc>
          <w:tcPr>
            <w:tcW w:type="dxa" w:w="3357"/>
          </w:tcPr>
          <w:p w:rsidP="00174038" w:rsidR="00F016DD" w:rsidRDefault="00F016DD" w:rsidRPr="00FA472B">
            <w:pPr>
              <w:spacing w:before="29" w:line="360" w:lineRule="auto"/>
              <w:ind w:left="105" w:leftChars="50"/>
              <w:rPr>
                <w:color w:val="000000"/>
                <w:sz w:val="24"/>
              </w:rPr>
            </w:pPr>
            <w:r w:rsidRPr="00FA472B">
              <w:rPr>
                <w:color w:val="000000"/>
                <w:sz w:val="24"/>
              </w:rPr>
              <w:t>贵金属投资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4</w:t>
            </w:r>
          </w:p>
        </w:tc>
        <w:tc>
          <w:tcPr>
            <w:tcW w:type="dxa" w:w="3357"/>
            <w:vAlign w:val="center"/>
          </w:tcPr>
          <w:p w:rsidP="00F4518C" w:rsidR="00F016DD" w:rsidRDefault="00F016DD" w:rsidRPr="00FA472B">
            <w:pPr>
              <w:spacing w:before="29" w:line="360" w:lineRule="auto"/>
              <w:ind w:left="17"/>
              <w:jc w:val="left"/>
              <w:rPr>
                <w:color w:val="000000"/>
                <w:sz w:val="24"/>
              </w:rPr>
            </w:pPr>
            <w:r w:rsidRPr="00FA472B">
              <w:rPr>
                <w:color w:val="000000"/>
                <w:sz w:val="24"/>
              </w:rPr>
              <w:t>金融衍生</w:t>
            </w:r>
            <w:proofErr w:type="gramStart"/>
            <w:r w:rsidRPr="00FA472B">
              <w:rPr>
                <w:color w:val="000000"/>
                <w:sz w:val="24"/>
              </w:rPr>
              <w:t>品投资</w:t>
            </w:r>
            <w:proofErr w:type="gramEnd"/>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5</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r w:rsidRPr="00FA472B">
              <w:rPr>
                <w:color w:val="000000"/>
                <w:sz w:val="24"/>
              </w:rPr>
              <w:lastRenderedPageBreak/>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其中：买断式回购的买入返售金融资产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6</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银行存款和结算备付金合计</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546,738,968.68</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1.98</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7</w:t>
            </w:r>
          </w:p>
        </w:tc>
        <w:tc>
          <w:tcPr>
            <w:tcW w:type="dxa" w:w="3357"/>
            <w:vAlign w:val="center"/>
          </w:tcPr>
          <w:p w:rsidP="00F4518C" w:rsidR="00F016DD" w:rsidRDefault="00F016DD" w:rsidRPr="00FA472B">
            <w:pPr>
              <w:jc w:val="left"/>
              <w:rPr>
                <w:sz w:val="24"/>
              </w:rPr>
            </w:pPr>
            <w:r w:rsidRPr="00FA472B">
              <w:rPr>
                <w:color w:val="000000"/>
                <w:sz w:val="24"/>
              </w:rPr>
              <w:t>其他资产</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307,703,697.87</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1.11</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8</w:t>
            </w:r>
          </w:p>
        </w:tc>
        <w:tc>
          <w:tcPr>
            <w:tcW w:type="dxa" w:w="3357"/>
            <w:vAlign w:val="center"/>
          </w:tcPr>
          <w:p w:rsidP="00F4518C" w:rsidR="00F016DD" w:rsidRDefault="00F016DD" w:rsidRPr="00FA472B">
            <w:pPr>
              <w:jc w:val="left"/>
              <w:rPr>
                <w:sz w:val="24"/>
              </w:rPr>
            </w:pPr>
            <w:r w:rsidRPr="00FA472B">
              <w:rPr>
                <w:color w:val="000000"/>
                <w:sz w:val="24"/>
              </w:rPr>
              <w:t>合计</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27,646,372,414.85</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100.00</w:t>
            </w:r>
          </w:p>
        </w:tc>
      </w:tr>
    </w:tbl>
    <w:p w:rsidP="00B54884" w:rsidR="00874AA3" w:rsidRDefault="00874AA3" w:rsidRPr="00C70969">
      <w:pPr>
        <w:autoSpaceDE w:val="0"/>
        <w:autoSpaceDN w:val="0"/>
        <w:adjustRightInd w:val="0"/>
        <w:spacing w:before="312" w:beforeLines="100" w:line="360" w:lineRule="auto"/>
        <w:jc w:val="left"/>
        <w:rPr>
          <w:rFonts w:eastAsiaTheme="minorEastAsia"/>
          <w:b/>
          <w:color w:themeColor="text1" w:val="000000"/>
          <w:kern w:val="0"/>
          <w:sz w:val="24"/>
        </w:rPr>
      </w:pPr>
      <w:r w:rsidRPr="00C70969">
        <w:rPr>
          <w:rFonts w:eastAsiaTheme="minorEastAsia"/>
          <w:b/>
          <w:color w:themeColor="text1" w:val="000000"/>
          <w:kern w:val="0"/>
          <w:sz w:val="24"/>
        </w:rPr>
        <w:t xml:space="preserve">5.2 </w:t>
      </w:r>
      <w:r w:rsidRPr="00C70969">
        <w:rPr>
          <w:rFonts w:eastAsiaTheme="minorEastAsia"/>
          <w:b/>
          <w:color w:themeColor="text1" w:val="000000"/>
          <w:kern w:val="0"/>
          <w:sz w:val="24"/>
        </w:rPr>
        <w:t>报告期末按行业分类的股票投资组合</w:t>
      </w:r>
    </w:p>
    <w:p w:rsidP="00874AA3" w:rsidR="00874AA3" w:rsidRDefault="00874AA3" w:rsidRPr="00C70969">
      <w:pPr>
        <w:rPr>
          <w:b/>
          <w:sz w:val="24"/>
        </w:rPr>
      </w:pPr>
      <w:r w:rsidRPr="00C70969">
        <w:rPr>
          <w:b/>
          <w:sz w:val="24"/>
        </w:rPr>
        <w:t xml:space="preserve"> </w:t>
      </w:r>
      <w:r w:rsidRPr="00C70969">
        <w:rPr>
          <w:b/>
          <w:color w:themeColor="text1" w:val="000000"/>
          <w:sz w:val="24"/>
        </w:rPr>
        <w:t/>
      </w:r>
      <w:proofErr w:type="spellStart"/>
      <w:r w:rsidRPr="00C70969">
        <w:rPr>
          <w:b/>
          <w:color w:themeColor="text1" w:val="000000"/>
          <w:sz w:val="24"/>
        </w:rPr>
        <w:t/>
      </w:r>
      <w:proofErr w:type="spellEnd"/>
      <w:r w:rsidRPr="00C70969">
        <w:rPr>
          <w:b/>
          <w:color w:themeColor="text1" w:val="000000"/>
          <w:sz w:val="24"/>
        </w:rPr>
        <w:t/>
      </w:r>
      <w:r w:rsidRPr="00C70969">
        <w:rPr>
          <w:rFonts w:eastAsiaTheme="minorEastAsia"/>
          <w:b/>
          <w:color w:themeColor="text1" w:val="000000"/>
          <w:kern w:val="0"/>
          <w:sz w:val="24"/>
        </w:rPr>
        <w:t>5.2.1</w:t>
      </w:r>
      <w:r w:rsidRPr="00C70969">
        <w:rPr>
          <w:rFonts w:eastAsiaTheme="minorEastAsia"/>
          <w:b/>
          <w:color w:themeColor="text1" w:val="000000"/>
          <w:kern w:val="0"/>
          <w:sz w:val="24"/>
        </w:rPr>
        <w:t>报告期末按行业分类的境内股票投资组合</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540"/>
        <w:gridCol w:w="3691"/>
        <w:gridCol w:w="2852"/>
        <w:gridCol w:w="1648"/>
      </w:tblGrid>
      <w:tr w:rsidR="00874AA3" w:rsidRPr="00C70969" w:rsidTr="00FF096F">
        <w:trPr>
          <w:trHeight w:val="390"/>
        </w:trPr>
        <w:tc>
          <w:tcPr>
            <w:tcW w:type="dxa" w:w="540"/>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代码</w:t>
            </w: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行业类别</w:t>
            </w:r>
          </w:p>
        </w:tc>
        <w:tc>
          <w:tcPr>
            <w:tcW w:type="dxa" w:w="2852"/>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公允价值（元）</w:t>
            </w:r>
          </w:p>
        </w:tc>
        <w:tc>
          <w:tcPr>
            <w:tcW w:type="dxa" w:w="1648"/>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占基金资产净值比例（％）</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A</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农、林、牧、渔业</w:t>
            </w:r>
          </w:p>
        </w:tc>
        <w:tc>
          <w:tcPr>
            <w:tcW w:type="dxa" w:w="2852"/>
            <w:vAlign w:val="center"/>
          </w:tcPr>
          <w:p w:rsidP="00B92936" w:rsidR="00874AA3" w:rsidRDefault="00874AA3" w:rsidRPr="00C70969">
            <w:pPr>
              <w:autoSpaceDE w:val="0"/>
              <w:autoSpaceDN w:val="0"/>
              <w:adjustRightInd w:val="0"/>
              <w:spacing w:before="29" w:line="360" w:lineRule="auto"/>
              <w:ind w:left="15"/>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B92936" w:rsidR="00874AA3" w:rsidRDefault="00874AA3" w:rsidRPr="00C70969">
            <w:pPr>
              <w:autoSpaceDE w:val="0"/>
              <w:autoSpaceDN w:val="0"/>
              <w:adjustRightInd w:val="0"/>
              <w:spacing w:before="29" w:line="360" w:lineRule="auto"/>
              <w:ind w:left="15"/>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B</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采矿业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87,254,838.33</w:t>
            </w:r>
          </w:p>
          <w:p w:rsidP="00B92936" w:rsidR="00874AA3" w:rsidRDefault="00874AA3" w:rsidRPr="00C70969">
            <w:pPr>
              <w:jc w:val="right"/>
              <w:rPr>
                <w:rFonts w:eastAsiaTheme="minorEastAsia"/>
                <w:color w:themeColor="text1" w:val="000000"/>
                <w:sz w:val="24"/>
              </w:rPr>
            </w:pP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0.43</w:t>
            </w:r>
          </w:p>
          <w:p w:rsidP="00B92936" w:rsidR="00874AA3" w:rsidRDefault="00874AA3" w:rsidRPr="00C70969">
            <w:pPr>
              <w:jc w:val="right"/>
              <w:rPr>
                <w:rFonts w:eastAsiaTheme="minorEastAsia"/>
                <w:color w:themeColor="text1" w:val="000000"/>
                <w:sz w:val="24"/>
              </w:rPr>
            </w:pP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C</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制造业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1,583,746,331.89</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7.71</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D</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电力、热力、燃气及水生产和供应业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42,588,306.37</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0.21</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E</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建筑业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153,846,887.56</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0.75</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F</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批发和零售业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2,332,909.20</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0.01</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G</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交通运输、仓储和邮政业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328,551,161.04</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r w:rsidRPr="00C70969">
              <w:rPr>
                <w:rFonts w:eastAsiaTheme="minorEastAsia"/>
                <w:color w:themeColor="text1" w:val="000000"/>
                <w:sz w:val="24"/>
              </w:rPr>
              <w:lastRenderedPageBreak/>
              <w:t>1.60</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lastRenderedPageBreak/>
              <w:t>H</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住宿和餐饮业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I</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信息传输、软件和信息技术服务业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2,231,319.70</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0.01</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J</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金融业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581,427,432.86</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2.83</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K</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房地产业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158,654,287.33</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0.77</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L</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租赁和商务服务业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M</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科学研究和技术服务业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N</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水利、环境和公共设施管理业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O</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居民服务、修理和其他服务业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P</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教育</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r w:rsidRPr="00C70969">
              <w:rPr>
                <w:rFonts w:eastAsiaTheme="minorEastAsia"/>
                <w:color w:themeColor="text1" w:val="000000"/>
                <w:sz w:val="24"/>
              </w:rPr>
              <w:lastRenderedPageBreak/>
              <w:t/>
            </w:r>
            <w:proofErr w:type="spellEnd"/>
            <w:r w:rsidRPr="00C70969">
              <w:rPr>
                <w:rFonts w:eastAsiaTheme="minorEastAsia"/>
                <w:color w:themeColor="text1" w:val="000000"/>
                <w:sz w:val="24"/>
              </w:rPr>
              <w:t>-</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lastRenderedPageBreak/>
              <w:t>Q</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卫生和社会工作</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18,594,191.88</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0.09</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R</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文化、体育和娱乐业</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S</w:t>
            </w: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综合</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FF096F">
        <w:trPr>
          <w:trHeight w:val="285"/>
        </w:trPr>
        <w:tc>
          <w:tcPr>
            <w:tcW w:type="dxa" w:w="540"/>
            <w:tcMar>
              <w:top w:type="dxa" w:w="15"/>
              <w:left w:type="dxa" w:w="15"/>
              <w:bottom w:type="dxa" w:w="0"/>
              <w:right w:type="dxa" w:w="15"/>
            </w:tcMar>
            <w:vAlign w:val="center"/>
          </w:tcPr>
          <w:p w:rsidP="00B92936" w:rsidR="00874AA3" w:rsidRDefault="00874AA3" w:rsidRPr="00C70969">
            <w:pPr>
              <w:adjustRightInd w:val="0"/>
              <w:snapToGrid w:val="0"/>
              <w:spacing w:line="400" w:lineRule="exact"/>
              <w:jc w:val="center"/>
              <w:rPr>
                <w:rFonts w:eastAsiaTheme="minorEastAsia"/>
                <w:color w:themeColor="text1" w:val="000000"/>
                <w:sz w:val="24"/>
              </w:rPr>
            </w:pPr>
          </w:p>
        </w:tc>
        <w:tc>
          <w:tcPr>
            <w:tcW w:type="dxa" w:w="3691"/>
            <w:tcMar>
              <w:top w:type="dxa" w:w="15"/>
              <w:left w:type="dxa" w:w="15"/>
              <w:bottom w:type="dxa" w:w="0"/>
              <w:right w:type="dxa" w:w="15"/>
            </w:tcMar>
            <w:vAlign w:val="center"/>
          </w:tcPr>
          <w:p w:rsidP="00B92936"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合计</w:t>
            </w:r>
          </w:p>
        </w:tc>
        <w:tc>
          <w:tcPr>
            <w:tcW w:type="dxa" w:w="2852"/>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2,959,227,666.16</w:t>
            </w:r>
          </w:p>
        </w:tc>
        <w:tc>
          <w:tcPr>
            <w:tcW w:type="dxa" w:w="1648"/>
            <w:tcMar>
              <w:top w:type="dxa" w:w="15"/>
              <w:left w:type="dxa" w:w="15"/>
              <w:bottom w:type="dxa" w:w="0"/>
              <w:right w:type="dxa" w:w="15"/>
            </w:tcMar>
            <w:vAlign w:val="center"/>
          </w:tcPr>
          <w:p w:rsidP="00B92936"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14.41</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5.3 </w:t>
      </w:r>
      <w:r w:rsidRPr="0078105B">
        <w:rPr>
          <w:rFonts w:ascii="宋体" w:cs="Arial" w:hAnsi="宋体" w:hint="eastAsia"/>
          <w:b/>
          <w:color w:val="000000"/>
          <w:kern w:val="0"/>
          <w:sz w:val="24"/>
        </w:rPr>
        <w:t>报告期末按公允价值占基金资产净值比例大小排序的前十名股票投资明细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17"/>
        <w:gridCol w:w="1276"/>
        <w:gridCol w:w="1417"/>
        <w:gridCol w:w="1560"/>
        <w:gridCol w:w="2268"/>
        <w:gridCol w:w="1559"/>
      </w:tblGrid>
      <w:tr w:rsidR="00F016DD" w:rsidRPr="0078105B" w:rsidTr="00174038">
        <w:tc>
          <w:tcPr>
            <w:tcW w:type="dxa" w:w="817"/>
            <w:vAlign w:val="center"/>
          </w:tcPr>
          <w:p w:rsidP="000871DB"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1276"/>
            <w:vAlign w:val="center"/>
          </w:tcPr>
          <w:p w:rsidP="000871DB" w:rsidR="00F016DD" w:rsidRDefault="00F016DD" w:rsidRPr="00FA472B">
            <w:pPr>
              <w:spacing w:before="29" w:line="360" w:lineRule="auto"/>
              <w:ind w:left="17"/>
              <w:jc w:val="center"/>
              <w:rPr>
                <w:color w:val="000000"/>
                <w:sz w:val="24"/>
              </w:rPr>
            </w:pPr>
            <w:r w:rsidRPr="00FA472B">
              <w:rPr>
                <w:color w:val="000000"/>
                <w:sz w:val="24"/>
              </w:rPr>
              <w:t>股票代码</w:t>
            </w:r>
          </w:p>
        </w:tc>
        <w:tc>
          <w:tcPr>
            <w:tcW w:type="dxa" w:w="1417"/>
            <w:vAlign w:val="center"/>
          </w:tcPr>
          <w:p w:rsidP="000871DB" w:rsidR="00F016DD" w:rsidRDefault="00F016DD" w:rsidRPr="00FA472B">
            <w:pPr>
              <w:spacing w:before="29" w:line="360" w:lineRule="auto"/>
              <w:ind w:left="17"/>
              <w:jc w:val="center"/>
              <w:rPr>
                <w:color w:val="000000"/>
                <w:sz w:val="24"/>
              </w:rPr>
            </w:pPr>
            <w:r w:rsidRPr="00FA472B">
              <w:rPr>
                <w:color w:val="000000"/>
                <w:sz w:val="24"/>
              </w:rPr>
              <w:t>股票名称</w:t>
            </w:r>
          </w:p>
        </w:tc>
        <w:tc>
          <w:tcPr>
            <w:tcW w:type="dxa" w:w="1560"/>
            <w:vAlign w:val="center"/>
          </w:tcPr>
          <w:p w:rsidP="000871DB" w:rsidR="00F016DD" w:rsidRDefault="00F016DD" w:rsidRPr="00FA472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type="dxa" w:w="2268"/>
            <w:vAlign w:val="center"/>
          </w:tcPr>
          <w:p w:rsidP="000871DB" w:rsidR="00F016DD" w:rsidRDefault="00F016DD" w:rsidRPr="00FA472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type="dxa" w:w="1559"/>
            <w:vAlign w:val="center"/>
          </w:tcPr>
          <w:p w:rsidP="000871DB" w:rsidR="00F016DD" w:rsidRDefault="00F016DD" w:rsidRPr="00FA472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000401</w:t>
            </w:r>
          </w:p>
        </w:tc>
        <w:tc>
          <w:tcPr>
            <w:vAlign w:val="center"/>
          </w:tcPr>
          <w:p>
            <w:pPr>
              <w:jc w:val="center"/>
            </w:pPr>
            <w:r>
              <w:rPr>
                <w:color w:val="000000"/>
                <w:sz w:val="24"/>
              </w:rPr>
              <w:t>冀东水泥</w:t>
            </w:r>
          </w:p>
        </w:tc>
        <w:tc>
          <w:tcPr>
            <w:vAlign w:val="center"/>
          </w:tcPr>
          <w:p>
            <w:pPr>
              <w:jc w:val="right"/>
            </w:pPr>
            <w:r>
              <w:rPr>
                <w:color w:val="000000"/>
                <w:sz w:val="24"/>
              </w:rPr>
              <w:t>16,580,974</w:t>
            </w:r>
          </w:p>
        </w:tc>
        <w:tc>
          <w:tcPr>
            <w:vAlign w:val="center"/>
          </w:tcPr>
          <w:p>
            <w:pPr>
              <w:jc w:val="right"/>
            </w:pPr>
            <w:r>
              <w:rPr>
                <w:color w:val="000000"/>
                <w:sz w:val="24"/>
              </w:rPr>
              <w:t>257,170,906.74</w:t>
            </w:r>
          </w:p>
        </w:tc>
        <w:tc>
          <w:tcPr>
            <w:vAlign w:val="center"/>
          </w:tcPr>
          <w:p>
            <w:pPr>
              <w:jc w:val="right"/>
            </w:pPr>
            <w:r>
              <w:rPr>
                <w:color w:val="000000"/>
                <w:sz w:val="24"/>
              </w:rPr>
              <w:t>1.25</w:t>
            </w:r>
          </w:p>
        </w:tc>
      </w:tr>
      <w:tr>
        <w:tc>
          <w:tcPr>
            <w:vAlign w:val="center"/>
          </w:tcPr>
          <w:p>
            <w:pPr>
              <w:jc w:val="center"/>
            </w:pPr>
            <w:r>
              <w:rPr>
                <w:color w:val="000000"/>
                <w:sz w:val="24"/>
              </w:rPr>
              <w:t>2</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10,026,249</w:t>
            </w:r>
          </w:p>
        </w:tc>
        <w:tc>
          <w:tcPr>
            <w:vAlign w:val="center"/>
          </w:tcPr>
          <w:p>
            <w:pPr>
              <w:jc w:val="right"/>
            </w:pPr>
            <w:r>
              <w:rPr>
                <w:color w:val="000000"/>
                <w:sz w:val="24"/>
              </w:rPr>
              <w:t>152,098,197.33</w:t>
            </w:r>
          </w:p>
        </w:tc>
        <w:tc>
          <w:tcPr>
            <w:vAlign w:val="center"/>
          </w:tcPr>
          <w:p>
            <w:pPr>
              <w:jc w:val="right"/>
            </w:pPr>
            <w:r>
              <w:rPr>
                <w:color w:val="000000"/>
                <w:sz w:val="24"/>
              </w:rPr>
              <w:t>0.74</w:t>
            </w:r>
          </w:p>
        </w:tc>
      </w:tr>
      <w:tr>
        <w:tc>
          <w:tcPr>
            <w:vAlign w:val="center"/>
          </w:tcPr>
          <w:p>
            <w:pPr>
              <w:jc w:val="center"/>
            </w:pPr>
            <w:r>
              <w:rPr>
                <w:color w:val="000000"/>
                <w:sz w:val="24"/>
              </w:rPr>
              <w:t>3</w:t>
            </w:r>
          </w:p>
        </w:tc>
        <w:tc>
          <w:tcPr>
            <w:vAlign w:val="center"/>
          </w:tcPr>
          <w:p>
            <w:pPr>
              <w:jc w:val="center"/>
            </w:pPr>
            <w:r>
              <w:rPr>
                <w:color w:val="000000"/>
                <w:sz w:val="24"/>
              </w:rPr>
              <w:t>000333</w:t>
            </w:r>
          </w:p>
        </w:tc>
        <w:tc>
          <w:tcPr>
            <w:vAlign w:val="center"/>
          </w:tcPr>
          <w:p>
            <w:pPr>
              <w:jc w:val="center"/>
            </w:pPr>
            <w:r>
              <w:rPr>
                <w:color w:val="000000"/>
                <w:sz w:val="24"/>
              </w:rPr>
              <w:t>美的集团</w:t>
            </w:r>
          </w:p>
        </w:tc>
        <w:tc>
          <w:tcPr>
            <w:vAlign w:val="center"/>
          </w:tcPr>
          <w:p>
            <w:pPr>
              <w:jc w:val="right"/>
            </w:pPr>
            <w:r>
              <w:rPr>
                <w:color w:val="000000"/>
                <w:sz w:val="24"/>
              </w:rPr>
              <w:t>1,996,703</w:t>
            </w:r>
          </w:p>
        </w:tc>
        <w:tc>
          <w:tcPr>
            <w:vAlign w:val="center"/>
          </w:tcPr>
          <w:p>
            <w:pPr>
              <w:jc w:val="right"/>
            </w:pPr>
            <w:r>
              <w:rPr>
                <w:color w:val="000000"/>
                <w:sz w:val="24"/>
              </w:rPr>
              <w:t>144,960,637.80</w:t>
            </w:r>
          </w:p>
        </w:tc>
        <w:tc>
          <w:tcPr>
            <w:vAlign w:val="center"/>
          </w:tcPr>
          <w:p>
            <w:pPr>
              <w:jc w:val="right"/>
            </w:pPr>
            <w:r>
              <w:rPr>
                <w:color w:val="000000"/>
                <w:sz w:val="24"/>
              </w:rPr>
              <w:t>0.71</w:t>
            </w:r>
          </w:p>
        </w:tc>
      </w:tr>
      <w:tr>
        <w:tc>
          <w:tcPr>
            <w:vAlign w:val="center"/>
          </w:tcPr>
          <w:p>
            <w:pPr>
              <w:jc w:val="center"/>
            </w:pPr>
            <w:r>
              <w:rPr>
                <w:color w:val="000000"/>
                <w:sz w:val="24"/>
              </w:rPr>
              <w:t>4</w:t>
            </w:r>
          </w:p>
        </w:tc>
        <w:tc>
          <w:tcPr>
            <w:vAlign w:val="center"/>
          </w:tcPr>
          <w:p>
            <w:pPr>
              <w:jc w:val="center"/>
            </w:pPr>
            <w:r>
              <w:rPr>
                <w:color w:val="000000"/>
                <w:sz w:val="24"/>
              </w:rPr>
              <w:t>600690</w:t>
            </w:r>
          </w:p>
        </w:tc>
        <w:tc>
          <w:tcPr>
            <w:vAlign w:val="center"/>
          </w:tcPr>
          <w:p>
            <w:pPr>
              <w:jc w:val="center"/>
            </w:pPr>
            <w:r>
              <w:rPr>
                <w:color w:val="000000"/>
                <w:sz w:val="24"/>
              </w:rPr>
              <w:t>海尔智家</w:t>
            </w:r>
          </w:p>
        </w:tc>
        <w:tc>
          <w:tcPr>
            <w:vAlign w:val="center"/>
          </w:tcPr>
          <w:p>
            <w:pPr>
              <w:jc w:val="right"/>
            </w:pPr>
            <w:r>
              <w:rPr>
                <w:color w:val="000000"/>
                <w:sz w:val="24"/>
              </w:rPr>
              <w:t>5,824,794</w:t>
            </w:r>
          </w:p>
        </w:tc>
        <w:tc>
          <w:tcPr>
            <w:vAlign w:val="center"/>
          </w:tcPr>
          <w:p>
            <w:pPr>
              <w:jc w:val="right"/>
            </w:pPr>
            <w:r>
              <w:rPr>
                <w:color w:val="000000"/>
                <w:sz w:val="24"/>
              </w:rPr>
              <w:t>127,097,005.08</w:t>
            </w:r>
          </w:p>
        </w:tc>
        <w:tc>
          <w:tcPr>
            <w:vAlign w:val="center"/>
          </w:tcPr>
          <w:p>
            <w:pPr>
              <w:jc w:val="right"/>
            </w:pPr>
            <w:r>
              <w:rPr>
                <w:color w:val="000000"/>
                <w:sz w:val="24"/>
              </w:rPr>
              <w:t>0.62</w:t>
            </w:r>
          </w:p>
        </w:tc>
      </w:tr>
      <w:tr>
        <w:tc>
          <w:tcPr>
            <w:vAlign w:val="center"/>
          </w:tcPr>
          <w:p>
            <w:pPr>
              <w:jc w:val="center"/>
            </w:pPr>
            <w:r>
              <w:rPr>
                <w:color w:val="000000"/>
                <w:sz w:val="24"/>
              </w:rPr>
              <w:t>5</w:t>
            </w:r>
          </w:p>
        </w:tc>
        <w:tc>
          <w:tcPr>
            <w:vAlign w:val="center"/>
          </w:tcPr>
          <w:p>
            <w:pPr>
              <w:jc w:val="center"/>
            </w:pPr>
            <w:r>
              <w:rPr>
                <w:color w:val="000000"/>
                <w:sz w:val="24"/>
              </w:rPr>
              <w:t>002250</w:t>
            </w:r>
          </w:p>
        </w:tc>
        <w:tc>
          <w:tcPr>
            <w:vAlign w:val="center"/>
          </w:tcPr>
          <w:p>
            <w:pPr>
              <w:jc w:val="center"/>
            </w:pPr>
            <w:r>
              <w:rPr>
                <w:color w:val="000000"/>
                <w:sz w:val="24"/>
              </w:rPr>
              <w:t>联化科技</w:t>
            </w:r>
          </w:p>
        </w:tc>
        <w:tc>
          <w:tcPr>
            <w:vAlign w:val="center"/>
          </w:tcPr>
          <w:p>
            <w:pPr>
              <w:jc w:val="right"/>
            </w:pPr>
            <w:r>
              <w:rPr>
                <w:color w:val="000000"/>
                <w:sz w:val="24"/>
              </w:rPr>
              <w:t>5,083,668</w:t>
            </w:r>
          </w:p>
        </w:tc>
        <w:tc>
          <w:tcPr>
            <w:vAlign w:val="center"/>
          </w:tcPr>
          <w:p>
            <w:pPr>
              <w:jc w:val="right"/>
            </w:pPr>
            <w:r>
              <w:rPr>
                <w:color w:val="000000"/>
                <w:sz w:val="24"/>
              </w:rPr>
              <w:t>125,515,762.92</w:t>
            </w:r>
          </w:p>
        </w:tc>
        <w:tc>
          <w:tcPr>
            <w:vAlign w:val="center"/>
          </w:tcPr>
          <w:p>
            <w:pPr>
              <w:jc w:val="right"/>
            </w:pPr>
            <w:r>
              <w:rPr>
                <w:color w:val="000000"/>
                <w:sz w:val="24"/>
              </w:rPr>
              <w:t>0.61</w:t>
            </w:r>
          </w:p>
        </w:tc>
      </w:tr>
      <w:tr>
        <w:tc>
          <w:tcPr>
            <w:vAlign w:val="center"/>
          </w:tcPr>
          <w:p>
            <w:pPr>
              <w:jc w:val="center"/>
            </w:pPr>
            <w:r>
              <w:rPr>
                <w:color w:val="000000"/>
                <w:sz w:val="24"/>
              </w:rPr>
              <w:t>6</w:t>
            </w:r>
          </w:p>
        </w:tc>
        <w:tc>
          <w:tcPr>
            <w:vAlign w:val="center"/>
          </w:tcPr>
          <w:p>
            <w:pPr>
              <w:jc w:val="center"/>
            </w:pPr>
            <w:r>
              <w:rPr>
                <w:color w:val="000000"/>
                <w:sz w:val="24"/>
              </w:rPr>
              <w:t>600115</w:t>
            </w:r>
          </w:p>
        </w:tc>
        <w:tc>
          <w:tcPr>
            <w:vAlign w:val="center"/>
          </w:tcPr>
          <w:p>
            <w:pPr>
              <w:jc w:val="center"/>
            </w:pPr>
            <w:r>
              <w:rPr>
                <w:color w:val="000000"/>
                <w:sz w:val="24"/>
              </w:rPr>
              <w:t>东方航空</w:t>
            </w:r>
          </w:p>
        </w:tc>
        <w:tc>
          <w:tcPr>
            <w:vAlign w:val="center"/>
          </w:tcPr>
          <w:p>
            <w:pPr>
              <w:jc w:val="right"/>
            </w:pPr>
            <w:r>
              <w:rPr>
                <w:color w:val="000000"/>
                <w:sz w:val="24"/>
              </w:rPr>
              <w:t>24,409,817</w:t>
            </w:r>
          </w:p>
        </w:tc>
        <w:tc>
          <w:tcPr>
            <w:vAlign w:val="center"/>
          </w:tcPr>
          <w:p>
            <w:pPr>
              <w:jc w:val="right"/>
            </w:pPr>
            <w:r>
              <w:rPr>
                <w:color w:val="000000"/>
                <w:sz w:val="24"/>
              </w:rPr>
              <w:t>120,584,495.98</w:t>
            </w:r>
          </w:p>
        </w:tc>
        <w:tc>
          <w:tcPr>
            <w:vAlign w:val="center"/>
          </w:tcPr>
          <w:p>
            <w:pPr>
              <w:jc w:val="right"/>
            </w:pPr>
            <w:r>
              <w:rPr>
                <w:color w:val="000000"/>
                <w:sz w:val="24"/>
              </w:rPr>
              <w:t>0.59</w:t>
            </w:r>
          </w:p>
        </w:tc>
      </w:tr>
      <w:tr>
        <w:tc>
          <w:tcPr>
            <w:vAlign w:val="center"/>
          </w:tcPr>
          <w:p>
            <w:pPr>
              <w:jc w:val="center"/>
            </w:pPr>
            <w:r>
              <w:rPr>
                <w:color w:val="000000"/>
                <w:sz w:val="24"/>
              </w:rPr>
              <w:t>7</w:t>
            </w:r>
          </w:p>
        </w:tc>
        <w:tc>
          <w:tcPr>
            <w:vAlign w:val="center"/>
          </w:tcPr>
          <w:p>
            <w:pPr>
              <w:jc w:val="center"/>
            </w:pPr>
            <w:r>
              <w:rPr>
                <w:color w:val="000000"/>
                <w:sz w:val="24"/>
              </w:rPr>
              <w:t>601012</w:t>
            </w:r>
          </w:p>
        </w:tc>
        <w:tc>
          <w:tcPr>
            <w:vAlign w:val="center"/>
          </w:tcPr>
          <w:p>
            <w:pPr>
              <w:jc w:val="center"/>
            </w:pPr>
            <w:r>
              <w:rPr>
                <w:color w:val="000000"/>
                <w:sz w:val="24"/>
              </w:rPr>
              <w:t>隆基股份</w:t>
            </w:r>
          </w:p>
        </w:tc>
        <w:tc>
          <w:tcPr>
            <w:vAlign w:val="center"/>
          </w:tcPr>
          <w:p>
            <w:pPr>
              <w:jc w:val="right"/>
            </w:pPr>
            <w:r>
              <w:rPr>
                <w:color w:val="000000"/>
                <w:sz w:val="24"/>
              </w:rPr>
              <w:t>1,536,690</w:t>
            </w:r>
          </w:p>
        </w:tc>
        <w:tc>
          <w:tcPr>
            <w:vAlign w:val="center"/>
          </w:tcPr>
          <w:p>
            <w:pPr>
              <w:jc w:val="right"/>
            </w:pPr>
            <w:r>
              <w:rPr>
                <w:color w:val="000000"/>
                <w:sz w:val="24"/>
              </w:rPr>
              <w:t>115,267,116.90</w:t>
            </w:r>
          </w:p>
        </w:tc>
        <w:tc>
          <w:tcPr>
            <w:vAlign w:val="center"/>
          </w:tcPr>
          <w:p>
            <w:pPr>
              <w:jc w:val="right"/>
            </w:pPr>
            <w:r>
              <w:rPr>
                <w:color w:val="000000"/>
                <w:sz w:val="24"/>
              </w:rPr>
              <w:t>0.56</w:t>
            </w:r>
          </w:p>
        </w:tc>
      </w:tr>
      <w:tr>
        <w:tc>
          <w:tcPr>
            <w:vAlign w:val="center"/>
          </w:tcPr>
          <w:p>
            <w:pPr>
              <w:jc w:val="center"/>
            </w:pPr>
            <w:r>
              <w:rPr>
                <w:color w:val="000000"/>
                <w:sz w:val="24"/>
              </w:rPr>
              <w:t>8</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1,455,137</w:t>
            </w:r>
          </w:p>
        </w:tc>
        <w:tc>
          <w:tcPr>
            <w:vAlign w:val="center"/>
          </w:tcPr>
          <w:p>
            <w:pPr>
              <w:jc w:val="right"/>
            </w:pPr>
            <w:r>
              <w:rPr>
                <w:color w:val="000000"/>
                <w:sz w:val="24"/>
              </w:rPr>
              <w:t>110,968,747.62</w:t>
            </w:r>
          </w:p>
        </w:tc>
        <w:tc>
          <w:tcPr>
            <w:vAlign w:val="center"/>
          </w:tcPr>
          <w:p>
            <w:pPr>
              <w:jc w:val="right"/>
            </w:pPr>
            <w:r>
              <w:rPr>
                <w:color w:val="000000"/>
                <w:sz w:val="24"/>
              </w:rPr>
              <w:t>0.54</w:t>
            </w:r>
          </w:p>
        </w:tc>
      </w:tr>
      <w:tr>
        <w:tc>
          <w:tcPr>
            <w:vAlign w:val="center"/>
          </w:tcPr>
          <w:p>
            <w:pPr>
              <w:jc w:val="center"/>
            </w:pPr>
            <w:r>
              <w:rPr>
                <w:color w:val="000000"/>
                <w:sz w:val="24"/>
              </w:rPr>
              <w:t>9</w:t>
            </w:r>
          </w:p>
        </w:tc>
        <w:tc>
          <w:tcPr>
            <w:vAlign w:val="center"/>
          </w:tcPr>
          <w:p>
            <w:pPr>
              <w:jc w:val="center"/>
            </w:pPr>
            <w:r>
              <w:rPr>
                <w:color w:val="000000"/>
                <w:sz w:val="24"/>
              </w:rPr>
              <w:t>600703</w:t>
            </w:r>
          </w:p>
        </w:tc>
        <w:tc>
          <w:tcPr>
            <w:vAlign w:val="center"/>
          </w:tcPr>
          <w:p>
            <w:pPr>
              <w:jc w:val="center"/>
            </w:pPr>
            <w:r>
              <w:rPr>
                <w:color w:val="000000"/>
                <w:sz w:val="24"/>
              </w:rPr>
              <w:t>三安光电</w:t>
            </w:r>
          </w:p>
        </w:tc>
        <w:tc>
          <w:tcPr>
            <w:vAlign w:val="center"/>
          </w:tcPr>
          <w:p>
            <w:pPr>
              <w:jc w:val="right"/>
            </w:pPr>
            <w:r>
              <w:rPr>
                <w:color w:val="000000"/>
                <w:sz w:val="24"/>
              </w:rPr>
              <w:t>4,411,916</w:t>
            </w:r>
          </w:p>
        </w:tc>
        <w:tc>
          <w:tcPr>
            <w:vAlign w:val="center"/>
          </w:tcPr>
          <w:p>
            <w:pPr>
              <w:jc w:val="right"/>
            </w:pPr>
            <w:r>
              <w:rPr>
                <w:color w:val="000000"/>
                <w:sz w:val="24"/>
              </w:rPr>
              <w:t>107,783,107.88</w:t>
            </w:r>
          </w:p>
        </w:tc>
        <w:tc>
          <w:tcPr>
            <w:vAlign w:val="center"/>
          </w:tcPr>
          <w:p>
            <w:pPr>
              <w:jc w:val="right"/>
            </w:pPr>
            <w:r>
              <w:rPr>
                <w:color w:val="000000"/>
                <w:sz w:val="24"/>
              </w:rPr>
              <w:t>0.53</w:t>
            </w:r>
          </w:p>
        </w:tc>
      </w:tr>
      <w:tr>
        <w:tc>
          <w:tcPr>
            <w:vAlign w:val="center"/>
          </w:tcPr>
          <w:p>
            <w:pPr>
              <w:jc w:val="center"/>
            </w:pPr>
            <w:r>
              <w:rPr>
                <w:color w:val="000000"/>
                <w:sz w:val="24"/>
              </w:rPr>
              <w:t>10</w:t>
            </w:r>
          </w:p>
        </w:tc>
        <w:tc>
          <w:tcPr>
            <w:vAlign w:val="center"/>
          </w:tcPr>
          <w:p>
            <w:pPr>
              <w:jc w:val="center"/>
            </w:pPr>
            <w:r>
              <w:rPr>
                <w:color w:val="000000"/>
                <w:sz w:val="24"/>
              </w:rPr>
              <w:t>002375</w:t>
            </w:r>
          </w:p>
        </w:tc>
        <w:tc>
          <w:tcPr>
            <w:vAlign w:val="center"/>
          </w:tcPr>
          <w:p>
            <w:pPr>
              <w:jc w:val="center"/>
            </w:pPr>
            <w:r>
              <w:rPr>
                <w:color w:val="000000"/>
                <w:sz w:val="24"/>
              </w:rPr>
              <w:t>亚厦股份</w:t>
            </w:r>
          </w:p>
        </w:tc>
        <w:tc>
          <w:tcPr>
            <w:vAlign w:val="center"/>
          </w:tcPr>
          <w:p>
            <w:pPr>
              <w:jc w:val="right"/>
            </w:pPr>
            <w:r>
              <w:rPr>
                <w:color w:val="000000"/>
                <w:sz w:val="24"/>
              </w:rPr>
              <w:t>10,817,502</w:t>
            </w:r>
          </w:p>
        </w:tc>
        <w:tc>
          <w:tcPr>
            <w:vAlign w:val="center"/>
          </w:tcPr>
          <w:p>
            <w:pPr>
              <w:jc w:val="right"/>
            </w:pPr>
            <w:r>
              <w:rPr>
                <w:color w:val="000000"/>
                <w:sz w:val="24"/>
              </w:rPr>
              <w:t>107,525,969.88</w:t>
            </w:r>
          </w:p>
        </w:tc>
        <w:tc>
          <w:tcPr>
            <w:vAlign w:val="center"/>
          </w:tcPr>
          <w:p>
            <w:pPr>
              <w:jc w:val="right"/>
            </w:pPr>
            <w:r>
              <w:rPr>
                <w:color w:val="000000"/>
                <w:sz w:val="24"/>
              </w:rPr>
              <w:t>0.52</w:t>
            </w:r>
          </w:p>
        </w:tc>
      </w:tr>
    </w:tbl>
    <w:p w:rsidP="00B54884" w:rsidR="006A1153" w:rsidRDefault="00F016DD" w:rsidRPr="006A1153">
      <w:pPr>
        <w:autoSpaceDE w:val="0"/>
        <w:autoSpaceDN w:val="0"/>
        <w:adjustRightInd w:val="0"/>
        <w:spacing w:before="312" w:beforeLines="100" w:line="360" w:lineRule="auto"/>
        <w:jc w:val="left"/>
        <w:rPr>
          <w:rFonts w:eastAsiaTheme="minorEastAsia"/>
          <w:b/>
          <w:color w:themeColor="text1" w:val="000000"/>
          <w:kern w:val="0"/>
          <w:sz w:val="24"/>
        </w:rPr>
      </w:pPr>
      <w:r w:rsidRPr="0078105B">
        <w:rPr>
          <w:rFonts w:ascii="宋体" w:cs="Arial" w:hAnsi="宋体"/>
          <w:b/>
          <w:color w:val="000000"/>
          <w:kern w:val="0"/>
          <w:sz w:val="24"/>
        </w:rPr>
        <w:t xml:space="preserve">5.4 </w:t>
      </w:r>
      <w:r w:rsidRPr="0078105B">
        <w:rPr>
          <w:rFonts w:ascii="宋体" w:cs="Arial" w:hAnsi="宋体" w:hint="eastAsia"/>
          <w:b/>
          <w:color w:val="000000"/>
          <w:kern w:val="0"/>
          <w:sz w:val="24"/>
        </w:rPr>
        <w:t>报告期末按债券品种分类的债券投资组合</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序号</w:t>
            </w:r>
          </w:p>
        </w:tc>
        <w:tc>
          <w:tcPr>
            <w:tcW w:type="dxa" w:w="3260"/>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债券品种</w:t>
            </w: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
            </w:r>
          </w:p>
        </w:tc>
        <w:tc>
          <w:tcPr>
            <w:tcW w:type="dxa" w:w="2835"/>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公允价值</w:t>
            </w:r>
            <w:r w:rsidRPr="006A1153">
              <w:rPr>
                <w:rFonts w:eastAsiaTheme="minorEastAsia"/>
                <w:color w:themeColor="text1" w:val="000000"/>
                <w:sz w:val="24"/>
              </w:rPr>
              <w:t>(</w:t>
            </w:r>
            <w:r w:rsidRPr="006A1153">
              <w:rPr>
                <w:rFonts w:eastAsiaTheme="minorEastAsia"/>
                <w:color w:themeColor="text1" w:val="000000"/>
                <w:sz w:val="24"/>
              </w:rPr>
              <w:t>元</w:t>
            </w:r>
            <w:r w:rsidRPr="006A1153">
              <w:rPr>
                <w:rFonts w:eastAsiaTheme="minorEastAsia"/>
                <w:color w:themeColor="text1" w:val="000000"/>
                <w:sz w:val="24"/>
              </w:rPr>
              <w:t>)</w:t>
            </w:r>
          </w:p>
        </w:tc>
        <w:tc>
          <w:tcPr>
            <w:tcW w:type="dxa" w:w="1616"/>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占基金资产净值比例</w:t>
            </w:r>
            <w:r w:rsidRPr="006A1153">
              <w:rPr>
                <w:rFonts w:eastAsiaTheme="minorEastAsia"/>
                <w:color w:themeColor="text1" w:val="000000"/>
                <w:sz w:val="24"/>
              </w:rPr>
              <w:t>(</w:t>
            </w:r>
            <w:r w:rsidRPr="006A1153">
              <w:rPr>
                <w:rFonts w:eastAsiaTheme="minorEastAsia"/>
                <w:color w:themeColor="text1" w:val="000000"/>
                <w:sz w:val="24"/>
              </w:rPr>
              <w:t>％</w:t>
            </w:r>
            <w:r w:rsidRPr="006A1153">
              <w:rPr>
                <w:rFonts w:eastAsiaTheme="minorEastAsia"/>
                <w:color w:themeColor="text1" w:val="000000"/>
                <w:sz w:val="24"/>
              </w:rPr>
              <w:t>)</w:t>
            </w:r>
          </w:p>
        </w:tc>
      </w:tr>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1</w:t>
            </w:r>
          </w:p>
        </w:tc>
        <w:tc>
          <w:tcPr>
            <w:tcW w:type="dxa" w:w="3260"/>
            <w:vAlign w:val="center"/>
          </w:tcPr>
          <w:p w:rsidP="00B9293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国家债券</w:t>
            </w:r>
          </w:p>
        </w:tc>
        <w:tc>
          <w:tcPr>
            <w:tcW w:type="dxa" w:w="2835"/>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3,748,602,000.00</w:t>
            </w:r>
          </w:p>
        </w:tc>
        <w:tc>
          <w:tcPr>
            <w:tcW w:type="dxa" w:w="1616"/>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18.26</w:t>
            </w:r>
          </w:p>
        </w:tc>
      </w:tr>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2</w:t>
            </w:r>
          </w:p>
        </w:tc>
        <w:tc>
          <w:tcPr>
            <w:tcW w:type="dxa" w:w="3260"/>
            <w:vAlign w:val="center"/>
          </w:tcPr>
          <w:p w:rsidP="00B9293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央行票据</w:t>
            </w:r>
          </w:p>
        </w:tc>
        <w:tc>
          <w:tcPr>
            <w:tcW w:type="dxa" w:w="2835"/>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w:t>
            </w:r>
          </w:p>
        </w:tc>
      </w:tr>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3</w:t>
            </w:r>
          </w:p>
        </w:tc>
        <w:tc>
          <w:tcPr>
            <w:tcW w:type="dxa" w:w="3260"/>
            <w:vAlign w:val="center"/>
          </w:tcPr>
          <w:p w:rsidP="00B9293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金融债券</w:t>
            </w:r>
          </w:p>
        </w:tc>
        <w:tc>
          <w:tcPr>
            <w:tcW w:type="dxa" w:w="2835"/>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r w:rsidRPr="006A1153">
              <w:rPr>
                <w:rFonts w:eastAsiaTheme="minorEastAsia"/>
                <w:color w:themeColor="text1" w:val="000000"/>
                <w:sz w:val="24"/>
              </w:rPr>
              <w:lastRenderedPageBreak/>
              <w:t/>
            </w:r>
            <w:proofErr w:type="spellEnd"/>
            <w:r w:rsidRPr="006A1153">
              <w:rPr>
                <w:rFonts w:eastAsiaTheme="minorEastAsia"/>
                <w:color w:themeColor="text1" w:val="000000"/>
                <w:sz w:val="24"/>
              </w:rPr>
              <w:t>1,058,583,000.00</w:t>
            </w:r>
          </w:p>
        </w:tc>
        <w:tc>
          <w:tcPr>
            <w:tcW w:type="dxa" w:w="1616"/>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lastRenderedPageBreak/>
              <w:t/>
            </w:r>
            <w:r w:rsidRPr="006A1153">
              <w:rPr>
                <w:rFonts w:eastAsiaTheme="minorEastAsia"/>
                <w:color w:themeColor="text1" w:val="000000"/>
                <w:sz w:val="24"/>
              </w:rPr>
              <w:lastRenderedPageBreak/>
              <w:t>5.16</w:t>
            </w:r>
          </w:p>
        </w:tc>
      </w:tr>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p>
        </w:tc>
        <w:tc>
          <w:tcPr>
            <w:tcW w:type="dxa" w:w="3260"/>
            <w:vAlign w:val="center"/>
          </w:tcPr>
          <w:p w:rsidP="00B9293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其中：政策性金融债</w:t>
            </w:r>
          </w:p>
        </w:tc>
        <w:tc>
          <w:tcPr>
            <w:tcW w:type="dxa" w:w="2835"/>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1,038,549,000.00</w:t>
            </w:r>
          </w:p>
        </w:tc>
        <w:tc>
          <w:tcPr>
            <w:tcW w:type="dxa" w:w="1616"/>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5.06</w:t>
            </w:r>
          </w:p>
        </w:tc>
      </w:tr>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4</w:t>
            </w:r>
          </w:p>
        </w:tc>
        <w:tc>
          <w:tcPr>
            <w:tcW w:type="dxa" w:w="3260"/>
            <w:vAlign w:val="center"/>
          </w:tcPr>
          <w:p w:rsidP="00B9293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企业债券</w:t>
            </w:r>
          </w:p>
        </w:tc>
        <w:tc>
          <w:tcPr>
            <w:tcW w:type="dxa" w:w="2835"/>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4,341,878,145.80</w:t>
            </w:r>
          </w:p>
        </w:tc>
        <w:tc>
          <w:tcPr>
            <w:tcW w:type="dxa" w:w="1616"/>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21.15</w:t>
            </w:r>
          </w:p>
        </w:tc>
      </w:tr>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5</w:t>
            </w:r>
          </w:p>
        </w:tc>
        <w:tc>
          <w:tcPr>
            <w:tcW w:type="dxa" w:w="3260"/>
            <w:vAlign w:val="center"/>
          </w:tcPr>
          <w:p w:rsidP="00B9293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企业短期融资</w:t>
            </w:r>
            <w:proofErr w:type="gramStart"/>
            <w:r w:rsidRPr="006A1153">
              <w:rPr>
                <w:rFonts w:eastAsiaTheme="minorEastAsia"/>
                <w:color w:themeColor="text1" w:val="000000"/>
                <w:sz w:val="24"/>
              </w:rPr>
              <w:t>券</w:t>
            </w:r>
            <w:proofErr w:type="gramEnd"/>
          </w:p>
        </w:tc>
        <w:tc>
          <w:tcPr>
            <w:tcW w:type="dxa" w:w="2835"/>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231,132,000.00</w:t>
            </w:r>
          </w:p>
        </w:tc>
        <w:tc>
          <w:tcPr>
            <w:tcW w:type="dxa" w:w="1616"/>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1.13</w:t>
            </w:r>
          </w:p>
        </w:tc>
      </w:tr>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6</w:t>
            </w:r>
          </w:p>
        </w:tc>
        <w:tc>
          <w:tcPr>
            <w:tcW w:type="dxa" w:w="3260"/>
            <w:vAlign w:val="center"/>
          </w:tcPr>
          <w:p w:rsidP="00B9293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中期票据</w:t>
            </w:r>
          </w:p>
        </w:tc>
        <w:tc>
          <w:tcPr>
            <w:tcW w:type="dxa" w:w="2835"/>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10,828,786,000.00</w:t>
            </w:r>
          </w:p>
        </w:tc>
        <w:tc>
          <w:tcPr>
            <w:tcW w:type="dxa" w:w="1616"/>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r w:rsidRPr="006A1153">
              <w:rPr>
                <w:rFonts w:eastAsiaTheme="minorEastAsia"/>
                <w:color w:themeColor="text1" w:val="000000"/>
                <w:sz w:val="24"/>
              </w:rPr>
              <w:lastRenderedPageBreak/>
              <w:t>52.75</w:t>
            </w:r>
          </w:p>
        </w:tc>
      </w:tr>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lastRenderedPageBreak/>
              <w:t>7</w:t>
            </w:r>
          </w:p>
        </w:tc>
        <w:tc>
          <w:tcPr>
            <w:tcW w:type="dxa" w:w="3260"/>
            <w:vAlign w:val="center"/>
          </w:tcPr>
          <w:p w:rsidP="00B9293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可转债</w:t>
            </w:r>
            <w:r w:rsidR="00524368" w:rsidRPr="00524368">
              <w:rPr>
                <w:rFonts w:eastAsiaTheme="minorEastAsia" w:hint="eastAsia"/>
                <w:color w:themeColor="text1" w:val="000000"/>
                <w:sz w:val="24"/>
              </w:rPr>
              <w:t>（可交换债）</w:t>
            </w:r>
          </w:p>
        </w:tc>
        <w:tc>
          <w:tcPr>
            <w:tcW w:type="dxa" w:w="2835"/>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2,870,265,936.34</w:t>
            </w:r>
          </w:p>
        </w:tc>
        <w:tc>
          <w:tcPr>
            <w:tcW w:type="dxa" w:w="1616"/>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13.98</w:t>
            </w:r>
          </w:p>
        </w:tc>
      </w:tr>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8</w:t>
            </w:r>
          </w:p>
        </w:tc>
        <w:tc>
          <w:tcPr>
            <w:tcW w:type="dxa" w:w="3260"/>
            <w:vAlign w:val="center"/>
          </w:tcPr>
          <w:p w:rsidP="00B9293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同业存单</w:t>
            </w:r>
          </w:p>
        </w:tc>
        <w:tc>
          <w:tcPr>
            <w:tcW w:type="dxa" w:w="2835"/>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r>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9</w:t>
            </w:r>
          </w:p>
        </w:tc>
        <w:tc>
          <w:tcPr>
            <w:tcW w:type="dxa" w:w="3260"/>
            <w:vAlign w:val="center"/>
          </w:tcPr>
          <w:p w:rsidP="00B9293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其他</w:t>
            </w:r>
          </w:p>
        </w:tc>
        <w:tc>
          <w:tcPr>
            <w:tcW w:type="dxa" w:w="2835"/>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19,898,000.00</w:t>
            </w:r>
          </w:p>
        </w:tc>
        <w:tc>
          <w:tcPr>
            <w:tcW w:type="dxa" w:w="1616"/>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0.10</w:t>
            </w:r>
          </w:p>
        </w:tc>
      </w:tr>
      <w:tr w:rsidR="006A1153" w:rsidRPr="006A1153" w:rsidTr="00B92936">
        <w:tc>
          <w:tcPr>
            <w:tcW w:type="dxa" w:w="817"/>
            <w:vAlign w:val="center"/>
          </w:tcPr>
          <w:p w:rsidP="00B9293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10</w:t>
            </w:r>
          </w:p>
        </w:tc>
        <w:tc>
          <w:tcPr>
            <w:tcW w:type="dxa" w:w="3260"/>
            <w:vAlign w:val="center"/>
          </w:tcPr>
          <w:p w:rsidP="00B9293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合计</w:t>
            </w:r>
          </w:p>
        </w:tc>
        <w:tc>
          <w:tcPr>
            <w:tcW w:type="dxa" w:w="2835"/>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23,099,145,082.14</w:t>
            </w:r>
          </w:p>
        </w:tc>
        <w:tc>
          <w:tcPr>
            <w:tcW w:type="dxa" w:w="1616"/>
            <w:vAlign w:val="center"/>
          </w:tcPr>
          <w:p w:rsidP="00B9293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r w:rsidRPr="006A1153">
              <w:rPr>
                <w:rFonts w:eastAsiaTheme="minorEastAsia"/>
                <w:color w:themeColor="text1" w:val="000000"/>
                <w:sz w:val="24"/>
              </w:rPr>
              <w:lastRenderedPageBreak/>
              <w:t/>
            </w:r>
            <w:proofErr w:type="spellEnd"/>
            <w:r w:rsidRPr="006A1153">
              <w:rPr>
                <w:rFonts w:eastAsiaTheme="minorEastAsia"/>
                <w:color w:themeColor="text1" w:val="000000"/>
                <w:sz w:val="24"/>
              </w:rPr>
              <w:t>112.52</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5.5 </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的前五名债券投资明细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02"/>
        <w:gridCol w:w="1559"/>
        <w:gridCol w:w="1985"/>
        <w:gridCol w:w="1559"/>
        <w:gridCol w:w="2126"/>
        <w:gridCol w:w="990"/>
      </w:tblGrid>
      <w:tr w:rsidR="00F016DD" w:rsidRPr="0078105B" w:rsidTr="00CA7FF7">
        <w:tc>
          <w:tcPr>
            <w:tcW w:type="dxa" w:w="802"/>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type="dxa" w:w="1985"/>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type="dxa" w:w="2126"/>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type="dxa" w:w="990"/>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200004</w:t>
            </w:r>
          </w:p>
        </w:tc>
        <w:tc>
          <w:tcPr>
            <w:vAlign w:val="center"/>
          </w:tcPr>
          <w:p>
            <w:pPr>
              <w:jc w:val="center"/>
            </w:pPr>
            <w:r>
              <w:rPr>
                <w:color w:val="000000"/>
                <w:sz w:val="24"/>
              </w:rPr>
              <w:t>20附息国债04</w:t>
            </w:r>
          </w:p>
        </w:tc>
        <w:tc>
          <w:tcPr>
            <w:vAlign w:val="center"/>
          </w:tcPr>
          <w:p>
            <w:pPr>
              <w:jc w:val="right"/>
            </w:pPr>
            <w:r>
              <w:rPr>
                <w:color w:val="000000"/>
                <w:sz w:val="24"/>
              </w:rPr>
              <w:t>22,500,000</w:t>
            </w:r>
          </w:p>
        </w:tc>
        <w:tc>
          <w:tcPr>
            <w:vAlign w:val="center"/>
          </w:tcPr>
          <w:p>
            <w:pPr>
              <w:jc w:val="right"/>
            </w:pPr>
            <w:r>
              <w:rPr>
                <w:color w:val="000000"/>
                <w:sz w:val="24"/>
              </w:rPr>
              <w:t>2,065,050,000.00</w:t>
            </w:r>
          </w:p>
        </w:tc>
        <w:tc>
          <w:tcPr>
            <w:vAlign w:val="center"/>
          </w:tcPr>
          <w:p>
            <w:pPr>
              <w:jc w:val="right"/>
            </w:pPr>
            <w:r>
              <w:rPr>
                <w:color w:val="000000"/>
                <w:sz w:val="24"/>
              </w:rPr>
              <w:t>10.06</w:t>
            </w:r>
          </w:p>
        </w:tc>
      </w:tr>
      <w:tr>
        <w:tc>
          <w:tcPr>
            <w:vAlign w:val="center"/>
          </w:tcPr>
          <w:p>
            <w:pPr>
              <w:jc w:val="center"/>
            </w:pPr>
            <w:r>
              <w:rPr>
                <w:color w:val="000000"/>
                <w:sz w:val="24"/>
              </w:rPr>
              <w:t>2</w:t>
            </w:r>
          </w:p>
        </w:tc>
        <w:tc>
          <w:tcPr>
            <w:vAlign w:val="center"/>
          </w:tcPr>
          <w:p>
            <w:pPr>
              <w:jc w:val="center"/>
            </w:pPr>
            <w:r>
              <w:rPr>
                <w:color w:val="000000"/>
                <w:sz w:val="24"/>
              </w:rPr>
              <w:t>200008</w:t>
            </w:r>
          </w:p>
        </w:tc>
        <w:tc>
          <w:tcPr>
            <w:vAlign w:val="center"/>
          </w:tcPr>
          <w:p>
            <w:pPr>
              <w:jc w:val="center"/>
            </w:pPr>
            <w:r>
              <w:rPr>
                <w:color w:val="000000"/>
                <w:sz w:val="24"/>
              </w:rPr>
              <w:t>20附息国债08</w:t>
            </w:r>
          </w:p>
        </w:tc>
        <w:tc>
          <w:tcPr>
            <w:vAlign w:val="center"/>
          </w:tcPr>
          <w:p>
            <w:pPr>
              <w:jc w:val="right"/>
            </w:pPr>
            <w:r>
              <w:rPr>
                <w:color w:val="000000"/>
                <w:sz w:val="24"/>
              </w:rPr>
              <w:t>13,000,000</w:t>
            </w:r>
          </w:p>
        </w:tc>
        <w:tc>
          <w:tcPr>
            <w:vAlign w:val="center"/>
          </w:tcPr>
          <w:p>
            <w:pPr>
              <w:jc w:val="right"/>
            </w:pPr>
            <w:r>
              <w:rPr>
                <w:color w:val="000000"/>
                <w:sz w:val="24"/>
              </w:rPr>
              <w:t>1,271,790,000.00</w:t>
            </w:r>
          </w:p>
        </w:tc>
        <w:tc>
          <w:tcPr>
            <w:vAlign w:val="center"/>
          </w:tcPr>
          <w:p>
            <w:pPr>
              <w:jc w:val="right"/>
            </w:pPr>
            <w:r>
              <w:rPr>
                <w:color w:val="000000"/>
                <w:sz w:val="24"/>
              </w:rPr>
              <w:t>6.19</w:t>
            </w:r>
          </w:p>
        </w:tc>
      </w:tr>
      <w:tr>
        <w:tc>
          <w:tcPr>
            <w:vAlign w:val="center"/>
          </w:tcPr>
          <w:p>
            <w:pPr>
              <w:jc w:val="center"/>
            </w:pPr>
            <w:r>
              <w:rPr>
                <w:color w:val="000000"/>
                <w:sz w:val="24"/>
              </w:rPr>
              <w:t>3</w:t>
            </w:r>
          </w:p>
        </w:tc>
        <w:tc>
          <w:tcPr>
            <w:vAlign w:val="center"/>
          </w:tcPr>
          <w:p>
            <w:pPr>
              <w:jc w:val="center"/>
            </w:pPr>
            <w:r>
              <w:rPr>
                <w:color w:val="000000"/>
                <w:sz w:val="24"/>
              </w:rPr>
              <w:t>200201</w:t>
            </w:r>
          </w:p>
        </w:tc>
        <w:tc>
          <w:tcPr>
            <w:vAlign w:val="center"/>
          </w:tcPr>
          <w:p>
            <w:pPr>
              <w:jc w:val="center"/>
            </w:pPr>
            <w:r>
              <w:rPr>
                <w:color w:val="000000"/>
                <w:sz w:val="24"/>
              </w:rPr>
              <w:t>20国开01</w:t>
            </w:r>
          </w:p>
        </w:tc>
        <w:tc>
          <w:tcPr>
            <w:vAlign w:val="center"/>
          </w:tcPr>
          <w:p>
            <w:pPr>
              <w:jc w:val="right"/>
            </w:pPr>
            <w:r>
              <w:rPr>
                <w:color w:val="000000"/>
                <w:sz w:val="24"/>
              </w:rPr>
              <w:t>3,900,000</w:t>
            </w:r>
          </w:p>
        </w:tc>
        <w:tc>
          <w:tcPr>
            <w:vAlign w:val="center"/>
          </w:tcPr>
          <w:p>
            <w:pPr>
              <w:jc w:val="right"/>
            </w:pPr>
            <w:r>
              <w:rPr>
                <w:color w:val="000000"/>
                <w:sz w:val="24"/>
              </w:rPr>
              <w:t>389,766,000.00</w:t>
            </w:r>
          </w:p>
        </w:tc>
        <w:tc>
          <w:tcPr>
            <w:vAlign w:val="center"/>
          </w:tcPr>
          <w:p>
            <w:pPr>
              <w:jc w:val="right"/>
            </w:pPr>
            <w:r>
              <w:rPr>
                <w:color w:val="000000"/>
                <w:sz w:val="24"/>
              </w:rPr>
              <w:t>1.90</w:t>
            </w:r>
          </w:p>
        </w:tc>
      </w:tr>
      <w:tr>
        <w:tc>
          <w:tcPr>
            <w:vAlign w:val="center"/>
          </w:tcPr>
          <w:p>
            <w:pPr>
              <w:jc w:val="center"/>
            </w:pPr>
            <w:r>
              <w:rPr>
                <w:color w:val="000000"/>
                <w:sz w:val="24"/>
              </w:rPr>
              <w:t>4</w:t>
            </w:r>
          </w:p>
        </w:tc>
        <w:tc>
          <w:tcPr>
            <w:vAlign w:val="center"/>
          </w:tcPr>
          <w:p>
            <w:pPr>
              <w:jc w:val="center"/>
            </w:pPr>
            <w:r>
              <w:rPr>
                <w:color w:val="000000"/>
                <w:sz w:val="24"/>
              </w:rPr>
              <w:t>102000650</w:t>
            </w:r>
          </w:p>
        </w:tc>
        <w:tc>
          <w:tcPr>
            <w:vAlign w:val="center"/>
          </w:tcPr>
          <w:p>
            <w:pPr>
              <w:jc w:val="center"/>
            </w:pPr>
            <w:r>
              <w:rPr>
                <w:color w:val="000000"/>
                <w:sz w:val="24"/>
              </w:rPr>
              <w:t>20中建MTN002</w:t>
            </w:r>
          </w:p>
        </w:tc>
        <w:tc>
          <w:tcPr>
            <w:vAlign w:val="center"/>
          </w:tcPr>
          <w:p>
            <w:pPr>
              <w:jc w:val="right"/>
            </w:pPr>
            <w:r>
              <w:rPr>
                <w:color w:val="000000"/>
                <w:sz w:val="24"/>
              </w:rPr>
              <w:t>3,000,000</w:t>
            </w:r>
          </w:p>
        </w:tc>
        <w:tc>
          <w:tcPr>
            <w:vAlign w:val="center"/>
          </w:tcPr>
          <w:p>
            <w:pPr>
              <w:jc w:val="right"/>
            </w:pPr>
            <w:r>
              <w:rPr>
                <w:color w:val="000000"/>
                <w:sz w:val="24"/>
              </w:rPr>
              <w:t>293,610,000.00</w:t>
            </w:r>
          </w:p>
        </w:tc>
        <w:tc>
          <w:tcPr>
            <w:vAlign w:val="center"/>
          </w:tcPr>
          <w:p>
            <w:pPr>
              <w:jc w:val="right"/>
            </w:pPr>
            <w:r>
              <w:rPr>
                <w:color w:val="000000"/>
                <w:sz w:val="24"/>
              </w:rPr>
              <w:t>1.43</w:t>
            </w:r>
          </w:p>
        </w:tc>
      </w:tr>
      <w:tr>
        <w:tc>
          <w:tcPr>
            <w:vAlign w:val="center"/>
          </w:tcPr>
          <w:p>
            <w:pPr>
              <w:jc w:val="center"/>
            </w:pPr>
            <w:r>
              <w:rPr>
                <w:color w:val="000000"/>
                <w:sz w:val="24"/>
              </w:rPr>
              <w:t>5</w:t>
            </w:r>
          </w:p>
        </w:tc>
        <w:tc>
          <w:tcPr>
            <w:vAlign w:val="center"/>
          </w:tcPr>
          <w:p>
            <w:pPr>
              <w:jc w:val="center"/>
            </w:pPr>
            <w:r>
              <w:rPr>
                <w:color w:val="000000"/>
                <w:sz w:val="24"/>
              </w:rPr>
              <w:t>2000004</w:t>
            </w:r>
          </w:p>
        </w:tc>
        <w:tc>
          <w:tcPr>
            <w:vAlign w:val="center"/>
          </w:tcPr>
          <w:p>
            <w:pPr>
              <w:jc w:val="center"/>
            </w:pPr>
            <w:r>
              <w:rPr>
                <w:color w:val="000000"/>
                <w:sz w:val="24"/>
              </w:rPr>
              <w:t>20抗疫国债04</w:t>
            </w:r>
          </w:p>
        </w:tc>
        <w:tc>
          <w:tcPr>
            <w:vAlign w:val="center"/>
          </w:tcPr>
          <w:p>
            <w:pPr>
              <w:jc w:val="right"/>
            </w:pPr>
            <w:r>
              <w:rPr>
                <w:color w:val="000000"/>
                <w:sz w:val="24"/>
              </w:rPr>
              <w:t>3,000,000</w:t>
            </w:r>
          </w:p>
        </w:tc>
        <w:tc>
          <w:tcPr>
            <w:vAlign w:val="center"/>
          </w:tcPr>
          <w:p>
            <w:pPr>
              <w:jc w:val="right"/>
            </w:pPr>
            <w:r>
              <w:rPr>
                <w:color w:val="000000"/>
                <w:sz w:val="24"/>
              </w:rPr>
              <w:t>291,510,000.00</w:t>
            </w:r>
          </w:p>
        </w:tc>
        <w:tc>
          <w:tcPr>
            <w:vAlign w:val="center"/>
          </w:tcPr>
          <w:p>
            <w:pPr>
              <w:jc w:val="right"/>
            </w:pPr>
            <w:r>
              <w:rPr>
                <w:color w:val="000000"/>
                <w:sz w:val="24"/>
              </w:rPr>
              <w:t>1.42</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5.6</w:t>
      </w:r>
      <w:r w:rsidRPr="0078105B">
        <w:rPr>
          <w:rFonts w:ascii="宋体" w:cs="Arial" w:hAnsi="宋体" w:hint="eastAsia"/>
          <w:b/>
          <w:color w:val="000000"/>
          <w:kern w:val="0"/>
          <w:sz w:val="24"/>
        </w:rPr>
        <w:t xml:space="preserve">　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的前十名资产支持证券投资明细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21"/>
        <w:gridCol w:w="1316"/>
        <w:gridCol w:w="1272"/>
        <w:gridCol w:w="1732"/>
        <w:gridCol w:w="1652"/>
        <w:gridCol w:w="1828"/>
      </w:tblGrid>
      <w:tr w:rsidR="00F016DD" w:rsidRPr="0078105B" w:rsidTr="00174038">
        <w:tc>
          <w:tcPr>
            <w:tcW w:type="dxa" w:w="1187"/>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type="dxa" w:w="132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type="dxa" w:w="1263"/>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type="dxa" w:w="1815"/>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type="dxa" w:w="1698"/>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type="dxa" w:w="172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YA0154</w:t>
            </w:r>
          </w:p>
        </w:tc>
        <w:tc>
          <w:tcPr>
            <w:vAlign w:val="center"/>
          </w:tcPr>
          <w:p>
            <w:pPr>
              <w:jc w:val="center"/>
            </w:pPr>
            <w:r>
              <w:rPr>
                <w:color w:val="000000"/>
                <w:sz w:val="24"/>
              </w:rPr>
              <w:t>链融30A1</w:t>
            </w:r>
          </w:p>
        </w:tc>
        <w:tc>
          <w:tcPr>
            <w:vAlign w:val="center"/>
          </w:tcPr>
          <w:p>
            <w:pPr>
              <w:jc w:val="right"/>
            </w:pPr>
            <w:r>
              <w:rPr>
                <w:color w:val="000000"/>
                <w:sz w:val="24"/>
              </w:rPr>
              <w:t>1,000,000</w:t>
            </w:r>
          </w:p>
        </w:tc>
        <w:tc>
          <w:tcPr>
            <w:vAlign w:val="center"/>
          </w:tcPr>
          <w:p>
            <w:pPr>
              <w:jc w:val="right"/>
            </w:pPr>
            <w:r>
              <w:rPr>
                <w:color w:val="000000"/>
                <w:sz w:val="24"/>
              </w:rPr>
              <w:t>100,000,000.00</w:t>
            </w:r>
          </w:p>
        </w:tc>
        <w:tc>
          <w:tcPr>
            <w:vAlign w:val="center"/>
          </w:tcPr>
          <w:p>
            <w:pPr>
              <w:jc w:val="right"/>
            </w:pPr>
            <w:r>
              <w:rPr>
                <w:color w:val="000000"/>
                <w:sz w:val="24"/>
              </w:rPr>
              <w:t>0.49</w:t>
            </w:r>
          </w:p>
        </w:tc>
      </w:tr>
      <w:tr>
        <w:tc>
          <w:tcPr>
            <w:vAlign w:val="center"/>
          </w:tcPr>
          <w:p>
            <w:pPr>
              <w:jc w:val="center"/>
            </w:pPr>
            <w:r>
              <w:rPr>
                <w:color w:val="000000"/>
                <w:sz w:val="24"/>
              </w:rPr>
              <w:t>2</w:t>
            </w:r>
          </w:p>
        </w:tc>
        <w:tc>
          <w:tcPr>
            <w:vAlign w:val="center"/>
          </w:tcPr>
          <w:p>
            <w:pPr>
              <w:jc w:val="center"/>
            </w:pPr>
            <w:r>
              <w:rPr>
                <w:color w:val="000000"/>
                <w:sz w:val="24"/>
              </w:rPr>
              <w:t>169183</w:t>
            </w:r>
          </w:p>
        </w:tc>
        <w:tc>
          <w:tcPr>
            <w:vAlign w:val="center"/>
          </w:tcPr>
          <w:p>
            <w:pPr>
              <w:jc w:val="center"/>
            </w:pPr>
            <w:r>
              <w:rPr>
                <w:color w:val="000000"/>
                <w:sz w:val="24"/>
              </w:rPr>
              <w:t>天信9A</w:t>
            </w:r>
          </w:p>
        </w:tc>
        <w:tc>
          <w:tcPr>
            <w:vAlign w:val="center"/>
          </w:tcPr>
          <w:p>
            <w:pPr>
              <w:jc w:val="right"/>
            </w:pPr>
            <w:r>
              <w:rPr>
                <w:color w:val="000000"/>
                <w:sz w:val="24"/>
              </w:rPr>
              <w:t>900,000</w:t>
            </w:r>
          </w:p>
        </w:tc>
        <w:tc>
          <w:tcPr>
            <w:vAlign w:val="center"/>
          </w:tcPr>
          <w:p>
            <w:pPr>
              <w:jc w:val="right"/>
            </w:pPr>
            <w:r>
              <w:rPr>
                <w:color w:val="000000"/>
                <w:sz w:val="24"/>
              </w:rPr>
              <w:t>90,000,000.00</w:t>
            </w:r>
          </w:p>
        </w:tc>
        <w:tc>
          <w:tcPr>
            <w:vAlign w:val="center"/>
          </w:tcPr>
          <w:p>
            <w:pPr>
              <w:jc w:val="right"/>
            </w:pPr>
            <w:r>
              <w:rPr>
                <w:color w:val="000000"/>
                <w:sz w:val="24"/>
              </w:rPr>
              <w:t>0.44</w:t>
            </w:r>
          </w:p>
        </w:tc>
      </w:tr>
      <w:tr>
        <w:tc>
          <w:tcPr>
            <w:vAlign w:val="center"/>
          </w:tcPr>
          <w:p>
            <w:pPr>
              <w:jc w:val="center"/>
            </w:pPr>
            <w:r>
              <w:rPr>
                <w:color w:val="000000"/>
                <w:sz w:val="24"/>
              </w:rPr>
              <w:t>3</w:t>
            </w:r>
          </w:p>
        </w:tc>
        <w:tc>
          <w:tcPr>
            <w:vAlign w:val="center"/>
          </w:tcPr>
          <w:p>
            <w:pPr>
              <w:jc w:val="center"/>
            </w:pPr>
            <w:r>
              <w:rPr>
                <w:color w:val="000000"/>
                <w:sz w:val="24"/>
              </w:rPr>
              <w:t>165644</w:t>
            </w:r>
          </w:p>
        </w:tc>
        <w:tc>
          <w:tcPr>
            <w:vAlign w:val="center"/>
          </w:tcPr>
          <w:p>
            <w:pPr>
              <w:jc w:val="center"/>
            </w:pPr>
            <w:r>
              <w:rPr>
                <w:color w:val="000000"/>
                <w:sz w:val="24"/>
              </w:rPr>
              <w:t>PR安吉4A</w:t>
            </w:r>
          </w:p>
        </w:tc>
        <w:tc>
          <w:tcPr>
            <w:vAlign w:val="center"/>
          </w:tcPr>
          <w:p>
            <w:pPr>
              <w:jc w:val="right"/>
            </w:pPr>
            <w:r>
              <w:rPr>
                <w:color w:val="000000"/>
                <w:sz w:val="24"/>
              </w:rPr>
              <w:t>1,500,000</w:t>
            </w:r>
          </w:p>
        </w:tc>
        <w:tc>
          <w:tcPr>
            <w:vAlign w:val="center"/>
          </w:tcPr>
          <w:p>
            <w:pPr>
              <w:jc w:val="right"/>
            </w:pPr>
            <w:r>
              <w:rPr>
                <w:color w:val="000000"/>
                <w:sz w:val="24"/>
              </w:rPr>
              <w:t>84,360,000.00</w:t>
            </w:r>
          </w:p>
        </w:tc>
        <w:tc>
          <w:tcPr>
            <w:vAlign w:val="center"/>
          </w:tcPr>
          <w:p>
            <w:pPr>
              <w:jc w:val="right"/>
            </w:pPr>
            <w:r>
              <w:rPr>
                <w:color w:val="000000"/>
                <w:sz w:val="24"/>
              </w:rPr>
              <w:t>0.41</w:t>
            </w:r>
          </w:p>
        </w:tc>
      </w:tr>
      <w:tr>
        <w:tc>
          <w:tcPr>
            <w:vAlign w:val="center"/>
          </w:tcPr>
          <w:p>
            <w:pPr>
              <w:jc w:val="center"/>
            </w:pPr>
            <w:r>
              <w:rPr>
                <w:color w:val="000000"/>
                <w:sz w:val="24"/>
              </w:rPr>
              <w:t>4</w:t>
            </w:r>
          </w:p>
        </w:tc>
        <w:tc>
          <w:tcPr>
            <w:vAlign w:val="center"/>
          </w:tcPr>
          <w:p>
            <w:pPr>
              <w:jc w:val="center"/>
            </w:pPr>
            <w:r>
              <w:rPr>
                <w:color w:val="000000"/>
                <w:sz w:val="24"/>
              </w:rPr>
              <w:t>138393</w:t>
            </w:r>
          </w:p>
        </w:tc>
        <w:tc>
          <w:tcPr>
            <w:vAlign w:val="center"/>
          </w:tcPr>
          <w:p>
            <w:pPr>
              <w:jc w:val="center"/>
            </w:pPr>
            <w:r>
              <w:rPr>
                <w:color w:val="000000"/>
                <w:sz w:val="24"/>
              </w:rPr>
              <w:t>云庐2A1</w:t>
            </w:r>
          </w:p>
        </w:tc>
        <w:tc>
          <w:tcPr>
            <w:vAlign w:val="center"/>
          </w:tcPr>
          <w:p>
            <w:pPr>
              <w:jc w:val="right"/>
            </w:pPr>
            <w:r>
              <w:rPr>
                <w:color w:val="000000"/>
                <w:sz w:val="24"/>
              </w:rPr>
              <w:t>400,000</w:t>
            </w:r>
          </w:p>
        </w:tc>
        <w:tc>
          <w:tcPr>
            <w:vAlign w:val="center"/>
          </w:tcPr>
          <w:p>
            <w:pPr>
              <w:jc w:val="right"/>
            </w:pPr>
            <w:r>
              <w:rPr>
                <w:color w:val="000000"/>
                <w:sz w:val="24"/>
              </w:rPr>
              <w:t>40,188,000.00</w:t>
            </w:r>
          </w:p>
        </w:tc>
        <w:tc>
          <w:tcPr>
            <w:vAlign w:val="center"/>
          </w:tcPr>
          <w:p>
            <w:pPr>
              <w:jc w:val="right"/>
            </w:pPr>
            <w:r>
              <w:rPr>
                <w:color w:val="000000"/>
                <w:sz w:val="24"/>
              </w:rPr>
              <w:t>0.20</w:t>
            </w:r>
          </w:p>
        </w:tc>
      </w:tr>
      <w:tr>
        <w:tc>
          <w:tcPr>
            <w:vAlign w:val="center"/>
          </w:tcPr>
          <w:p>
            <w:pPr>
              <w:jc w:val="center"/>
            </w:pPr>
            <w:r>
              <w:rPr>
                <w:color w:val="000000"/>
                <w:sz w:val="24"/>
              </w:rPr>
              <w:t>5</w:t>
            </w:r>
          </w:p>
        </w:tc>
        <w:tc>
          <w:tcPr>
            <w:vAlign w:val="center"/>
          </w:tcPr>
          <w:p>
            <w:pPr>
              <w:jc w:val="center"/>
            </w:pPr>
            <w:r>
              <w:rPr>
                <w:color w:val="000000"/>
                <w:sz w:val="24"/>
              </w:rPr>
              <w:t>138396</w:t>
            </w:r>
          </w:p>
        </w:tc>
        <w:tc>
          <w:tcPr>
            <w:vAlign w:val="center"/>
          </w:tcPr>
          <w:p>
            <w:pPr>
              <w:jc w:val="center"/>
            </w:pPr>
            <w:r>
              <w:rPr>
                <w:color w:val="000000"/>
                <w:sz w:val="24"/>
              </w:rPr>
              <w:t>绿金8A1</w:t>
            </w:r>
          </w:p>
        </w:tc>
        <w:tc>
          <w:tcPr>
            <w:vAlign w:val="center"/>
          </w:tcPr>
          <w:p>
            <w:pPr>
              <w:jc w:val="right"/>
            </w:pPr>
            <w:r>
              <w:rPr>
                <w:color w:val="000000"/>
                <w:sz w:val="24"/>
              </w:rPr>
              <w:t>400,000</w:t>
            </w:r>
          </w:p>
        </w:tc>
        <w:tc>
          <w:tcPr>
            <w:vAlign w:val="center"/>
          </w:tcPr>
          <w:p>
            <w:pPr>
              <w:jc w:val="right"/>
            </w:pPr>
            <w:r>
              <w:rPr>
                <w:color w:val="000000"/>
                <w:sz w:val="24"/>
              </w:rPr>
              <w:t>40,180,000.00</w:t>
            </w:r>
          </w:p>
        </w:tc>
        <w:tc>
          <w:tcPr>
            <w:vAlign w:val="center"/>
          </w:tcPr>
          <w:p>
            <w:pPr>
              <w:jc w:val="right"/>
            </w:pPr>
            <w:r>
              <w:rPr>
                <w:color w:val="000000"/>
                <w:sz w:val="24"/>
              </w:rPr>
              <w:t>0.20</w:t>
            </w:r>
          </w:p>
        </w:tc>
      </w:tr>
      <w:tr>
        <w:tc>
          <w:tcPr>
            <w:vAlign w:val="center"/>
          </w:tcPr>
          <w:p>
            <w:pPr>
              <w:jc w:val="center"/>
            </w:pPr>
            <w:r>
              <w:rPr>
                <w:color w:val="000000"/>
                <w:sz w:val="24"/>
              </w:rPr>
              <w:t>6</w:t>
            </w:r>
          </w:p>
        </w:tc>
        <w:tc>
          <w:tcPr>
            <w:vAlign w:val="center"/>
          </w:tcPr>
          <w:p>
            <w:pPr>
              <w:jc w:val="center"/>
            </w:pPr>
            <w:r>
              <w:rPr>
                <w:color w:val="000000"/>
                <w:sz w:val="24"/>
              </w:rPr>
              <w:t>YA0155</w:t>
            </w:r>
          </w:p>
        </w:tc>
        <w:tc>
          <w:tcPr>
            <w:vAlign w:val="center"/>
          </w:tcPr>
          <w:p>
            <w:pPr>
              <w:jc w:val="center"/>
            </w:pPr>
            <w:r>
              <w:rPr>
                <w:color w:val="000000"/>
                <w:sz w:val="24"/>
              </w:rPr>
              <w:t>厚德05A</w:t>
            </w:r>
          </w:p>
        </w:tc>
        <w:tc>
          <w:tcPr>
            <w:vAlign w:val="center"/>
          </w:tcPr>
          <w:p>
            <w:pPr>
              <w:jc w:val="right"/>
            </w:pPr>
            <w:r>
              <w:rPr>
                <w:color w:val="000000"/>
                <w:sz w:val="24"/>
              </w:rPr>
              <w:t>400,000</w:t>
            </w:r>
          </w:p>
        </w:tc>
        <w:tc>
          <w:tcPr>
            <w:vAlign w:val="center"/>
          </w:tcPr>
          <w:p>
            <w:pPr>
              <w:jc w:val="right"/>
            </w:pPr>
            <w:r>
              <w:rPr>
                <w:color w:val="000000"/>
                <w:sz w:val="24"/>
              </w:rPr>
              <w:t>40,000,000.00</w:t>
            </w:r>
          </w:p>
        </w:tc>
        <w:tc>
          <w:tcPr>
            <w:vAlign w:val="center"/>
          </w:tcPr>
          <w:p>
            <w:pPr>
              <w:jc w:val="right"/>
            </w:pPr>
            <w:r>
              <w:rPr>
                <w:color w:val="000000"/>
                <w:sz w:val="24"/>
              </w:rPr>
              <w:t>0.19</w:t>
            </w:r>
          </w:p>
        </w:tc>
      </w:tr>
      <w:tr>
        <w:tc>
          <w:tcPr>
            <w:vAlign w:val="center"/>
          </w:tcPr>
          <w:p>
            <w:pPr>
              <w:jc w:val="center"/>
            </w:pPr>
            <w:r>
              <w:rPr>
                <w:color w:val="000000"/>
                <w:sz w:val="24"/>
              </w:rPr>
              <w:t>7</w:t>
            </w:r>
          </w:p>
        </w:tc>
        <w:tc>
          <w:tcPr>
            <w:vAlign w:val="center"/>
          </w:tcPr>
          <w:p>
            <w:pPr>
              <w:jc w:val="center"/>
            </w:pPr>
            <w:r>
              <w:rPr>
                <w:color w:val="000000"/>
                <w:sz w:val="24"/>
              </w:rPr>
              <w:t>137056</w:t>
            </w:r>
          </w:p>
        </w:tc>
        <w:tc>
          <w:tcPr>
            <w:vAlign w:val="center"/>
          </w:tcPr>
          <w:p>
            <w:pPr>
              <w:jc w:val="center"/>
            </w:pPr>
            <w:r>
              <w:rPr>
                <w:color w:val="000000"/>
                <w:sz w:val="24"/>
              </w:rPr>
              <w:t>瑞新19A1</w:t>
            </w:r>
          </w:p>
        </w:tc>
        <w:tc>
          <w:tcPr>
            <w:vAlign w:val="center"/>
          </w:tcPr>
          <w:p>
            <w:pPr>
              <w:jc w:val="right"/>
            </w:pPr>
            <w:r>
              <w:rPr>
                <w:color w:val="000000"/>
                <w:sz w:val="24"/>
              </w:rPr>
              <w:t>400,000</w:t>
            </w:r>
          </w:p>
        </w:tc>
        <w:tc>
          <w:tcPr>
            <w:vAlign w:val="center"/>
          </w:tcPr>
          <w:p>
            <w:pPr>
              <w:jc w:val="right"/>
            </w:pPr>
            <w:r>
              <w:rPr>
                <w:color w:val="000000"/>
                <w:sz w:val="24"/>
              </w:rPr>
              <w:t>39,996,000.00</w:t>
            </w:r>
          </w:p>
        </w:tc>
        <w:tc>
          <w:tcPr>
            <w:vAlign w:val="center"/>
          </w:tcPr>
          <w:p>
            <w:pPr>
              <w:jc w:val="right"/>
            </w:pPr>
            <w:r>
              <w:rPr>
                <w:color w:val="000000"/>
                <w:sz w:val="24"/>
              </w:rPr>
              <w:t>0.19</w:t>
            </w:r>
          </w:p>
        </w:tc>
      </w:tr>
      <w:tr>
        <w:tc>
          <w:tcPr>
            <w:vAlign w:val="center"/>
          </w:tcPr>
          <w:p>
            <w:pPr>
              <w:jc w:val="center"/>
            </w:pPr>
            <w:r>
              <w:rPr>
                <w:color w:val="000000"/>
                <w:sz w:val="24"/>
              </w:rPr>
              <w:t>8</w:t>
            </w:r>
          </w:p>
        </w:tc>
        <w:tc>
          <w:tcPr>
            <w:vAlign w:val="center"/>
          </w:tcPr>
          <w:p>
            <w:pPr>
              <w:jc w:val="center"/>
            </w:pPr>
            <w:r>
              <w:rPr>
                <w:color w:val="000000"/>
                <w:sz w:val="24"/>
              </w:rPr>
              <w:t>169296</w:t>
            </w:r>
          </w:p>
        </w:tc>
        <w:tc>
          <w:tcPr>
            <w:vAlign w:val="center"/>
          </w:tcPr>
          <w:p>
            <w:pPr>
              <w:jc w:val="center"/>
            </w:pPr>
            <w:r>
              <w:rPr>
                <w:color w:val="000000"/>
                <w:sz w:val="24"/>
              </w:rPr>
              <w:t>智禾05A</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0.15</w:t>
            </w:r>
          </w:p>
        </w:tc>
      </w:tr>
      <w:tr>
        <w:tc>
          <w:tcPr>
            <w:vAlign w:val="center"/>
          </w:tcPr>
          <w:p>
            <w:pPr>
              <w:jc w:val="center"/>
            </w:pPr>
            <w:r>
              <w:rPr>
                <w:color w:val="000000"/>
                <w:sz w:val="24"/>
              </w:rPr>
              <w:t>9</w:t>
            </w:r>
          </w:p>
        </w:tc>
        <w:tc>
          <w:tcPr>
            <w:vAlign w:val="center"/>
          </w:tcPr>
          <w:p>
            <w:pPr>
              <w:jc w:val="center"/>
            </w:pPr>
            <w:r>
              <w:rPr>
                <w:color w:val="000000"/>
                <w:sz w:val="24"/>
              </w:rPr>
              <w:t>138261</w:t>
            </w:r>
          </w:p>
        </w:tc>
        <w:tc>
          <w:tcPr>
            <w:vAlign w:val="center"/>
          </w:tcPr>
          <w:p>
            <w:pPr>
              <w:jc w:val="center"/>
            </w:pPr>
            <w:r>
              <w:rPr>
                <w:color w:val="000000"/>
                <w:sz w:val="24"/>
              </w:rPr>
              <w:t>联易融17</w:t>
            </w:r>
          </w:p>
        </w:tc>
        <w:tc>
          <w:tcPr>
            <w:vAlign w:val="center"/>
          </w:tcPr>
          <w:p>
            <w:pPr>
              <w:jc w:val="right"/>
            </w:pPr>
            <w:r>
              <w:rPr>
                <w:color w:val="000000"/>
                <w:sz w:val="24"/>
              </w:rPr>
              <w:t>200,000</w:t>
            </w:r>
          </w:p>
        </w:tc>
        <w:tc>
          <w:tcPr>
            <w:vAlign w:val="center"/>
          </w:tcPr>
          <w:p>
            <w:pPr>
              <w:jc w:val="right"/>
            </w:pPr>
            <w:r>
              <w:rPr>
                <w:color w:val="000000"/>
                <w:sz w:val="24"/>
              </w:rPr>
              <w:t>20,120,000.00</w:t>
            </w:r>
          </w:p>
        </w:tc>
        <w:tc>
          <w:tcPr>
            <w:vAlign w:val="center"/>
          </w:tcPr>
          <w:p>
            <w:pPr>
              <w:jc w:val="right"/>
            </w:pPr>
            <w:r>
              <w:rPr>
                <w:color w:val="000000"/>
                <w:sz w:val="24"/>
              </w:rPr>
              <w:t>0.10</w:t>
            </w:r>
          </w:p>
        </w:tc>
      </w:tr>
      <w:tr>
        <w:tc>
          <w:tcPr>
            <w:vAlign w:val="center"/>
          </w:tcPr>
          <w:p>
            <w:pPr>
              <w:jc w:val="center"/>
            </w:pPr>
            <w:r>
              <w:rPr>
                <w:color w:val="000000"/>
                <w:sz w:val="24"/>
              </w:rPr>
              <w:t>10</w:t>
            </w:r>
          </w:p>
        </w:tc>
        <w:tc>
          <w:tcPr>
            <w:vAlign w:val="center"/>
          </w:tcPr>
          <w:p>
            <w:pPr>
              <w:jc w:val="center"/>
            </w:pPr>
            <w:r>
              <w:rPr>
                <w:color w:val="000000"/>
                <w:sz w:val="24"/>
              </w:rPr>
              <w:t>138407</w:t>
            </w:r>
          </w:p>
        </w:tc>
        <w:tc>
          <w:tcPr>
            <w:vAlign w:val="center"/>
          </w:tcPr>
          <w:p>
            <w:pPr>
              <w:jc w:val="center"/>
            </w:pPr>
            <w:r>
              <w:rPr>
                <w:color w:val="000000"/>
                <w:sz w:val="24"/>
              </w:rPr>
              <w:t>联易融18</w:t>
            </w:r>
          </w:p>
        </w:tc>
        <w:tc>
          <w:tcPr>
            <w:vAlign w:val="center"/>
          </w:tcPr>
          <w:p>
            <w:pPr>
              <w:jc w:val="right"/>
            </w:pPr>
            <w:r>
              <w:rPr>
                <w:color w:val="000000"/>
                <w:sz w:val="24"/>
              </w:rPr>
              <w:t>200,000</w:t>
            </w:r>
          </w:p>
        </w:tc>
        <w:tc>
          <w:tcPr>
            <w:vAlign w:val="center"/>
          </w:tcPr>
          <w:p>
            <w:pPr>
              <w:jc w:val="right"/>
            </w:pPr>
            <w:r>
              <w:rPr>
                <w:color w:val="000000"/>
                <w:sz w:val="24"/>
              </w:rPr>
              <w:t>20,094,000.00</w:t>
            </w:r>
          </w:p>
        </w:tc>
        <w:tc>
          <w:tcPr>
            <w:vAlign w:val="center"/>
          </w:tcPr>
          <w:p>
            <w:pPr>
              <w:jc w:val="right"/>
            </w:pPr>
            <w:r>
              <w:rPr>
                <w:color w:val="000000"/>
                <w:sz w:val="24"/>
              </w:rPr>
              <w:t>0.10</w:t>
            </w:r>
          </w:p>
        </w:tc>
      </w:tr>
    </w:tbl>
    <w:p w:rsidP="006D462B" w:rsidR="00F016DD" w:rsidRDefault="00F016DD" w:rsidRPr="001D63BB">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rPr>
        <w:t/>
      </w:r>
      <w:r w:rsidRPr="001B0A62">
        <w:rPr>
          <w:rFonts w:ascii="宋体" w:hAnsi="宋体"/>
          <w:b/>
          <w:bCs/>
          <w:color w:val="000000"/>
          <w:kern w:val="0"/>
          <w:sz w:val="24"/>
        </w:rPr>
        <w:t>5</w:t>
      </w:r>
      <w:proofErr w:type="gramStart"/>
      <w:r w:rsidRPr="001B0A62">
        <w:rPr>
          <w:rFonts w:ascii="宋体" w:hAnsi="宋体"/>
          <w:b/>
          <w:bCs/>
          <w:color w:val="000000"/>
          <w:kern w:val="0"/>
          <w:sz w:val="24"/>
        </w:rPr>
        <w:t>.</w:t>
      </w:r>
      <w:proofErr w:type="gramEnd"/>
      <w:r w:rsidRPr="001B0A62">
        <w:rPr>
          <w:rFonts w:ascii="宋体" w:hAnsi="宋体"/>
          <w:b/>
          <w:bCs/>
          <w:color w:val="000000"/>
          <w:kern w:val="0"/>
          <w:sz w:val="24"/>
        </w:rPr>
        <w:t/>
      </w:r>
      <w:r>
        <w:rPr>
          <w:rFonts w:ascii="宋体" w:hAnsi="宋体"/>
          <w:b/>
          <w:bCs/>
          <w:color w:val="000000"/>
          <w:kern w:val="0"/>
          <w:sz w:val="24"/>
        </w:rPr>
        <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本基金本报告期末未持有贵金属。</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Pr>
          <w:rFonts w:ascii="宋体" w:cs="Arial"/>
          <w:b/>
          <w:color w:val="000000"/>
          <w:kern w:val="0"/>
          <w:sz w:val="24"/>
        </w:rPr>
        <w:t/>
      </w:r>
      <w:proofErr w:type="gramStart"/>
      <w:r>
        <w:rPr>
          <w:rFonts w:ascii="宋体" w:cs="Arial" w:hAnsi="宋体"/>
          <w:b/>
          <w:color w:val="000000"/>
          <w:kern w:val="0"/>
          <w:sz w:val="24"/>
        </w:rPr>
        <w:t/>
      </w:r>
      <w:proofErr w:type="gramEnd"/>
      <w:r>
        <w:rPr>
          <w:rFonts w:ascii="宋体" w:cs="Arial" w:hAnsi="宋体"/>
          <w:b/>
          <w:color w:val="000000"/>
          <w:kern w:val="0"/>
          <w:sz w:val="24"/>
        </w:rPr>
        <w:t>5</w:t>
      </w:r>
      <w:r w:rsidRPr="0078105B">
        <w:rPr>
          <w:rFonts w:ascii="宋体" w:cs="Arial"/>
          <w:b/>
          <w:color w:val="000000"/>
          <w:kern w:val="0"/>
          <w:sz w:val="24"/>
        </w:rPr>
        <w:t>.</w:t>
      </w:r>
      <w:r>
        <w:rPr>
          <w:rFonts w:ascii="宋体" w:cs="Arial"/>
          <w:b/>
          <w:color w:val="000000"/>
          <w:kern w:val="0"/>
          <w:sz w:val="24"/>
        </w:rPr>
        <w:t/>
      </w:r>
      <w:r>
        <w:rPr>
          <w:rFonts w:ascii="宋体" w:cs="Arial" w:hAnsi="宋体"/>
          <w:b/>
          <w:color w:val="000000"/>
          <w:kern w:val="0"/>
          <w:sz w:val="24"/>
        </w:rPr>
        <w:t>8</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的前五名权证投资明细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本基金本报告期末未持有权证。</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Pr>
          <w:rFonts w:ascii="宋体"/>
          <w:b/>
          <w:sz w:val="24"/>
        </w:rPr>
        <w:t/>
      </w:r>
      <w:proofErr w:type="gramStart"/>
      <w:r>
        <w:rPr>
          <w:rFonts w:ascii="宋体" w:hAnsi="宋体"/>
          <w:b/>
          <w:sz w:val="24"/>
        </w:rPr>
        <w:t/>
      </w:r>
      <w:proofErr w:type="gramEnd"/>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P="00FE1A45" w:rsidR="00FE1A45" w:rsidRDefault="00FE1A45" w:rsidRPr="00B34368">
      <w:pPr>
        <w:spacing w:line="360" w:lineRule="auto"/>
        <w:ind w:firstLine="480" w:firstLineChars="200"/>
        <w:rPr>
          <w:rFonts w:eastAsiaTheme="minorEastAsia"/>
          <w:color w:themeColor="text1"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r w:rsidRPr="00D27EA0">
        <w:rPr>
          <w:rFonts w:eastAsiaTheme="minorEastAsia"/>
          <w:color w:themeColor="text1" w:val="000000"/>
          <w:sz w:val="24"/>
        </w:rPr>
        <w:t/>
      </w:r>
      <w:proofErr w:type="spellEnd"/>
      <w:proofErr w:type="gramEnd"/>
      <w:r w:rsidRPr="00D27EA0">
        <w:rPr>
          <w:rFonts w:eastAsiaTheme="minorEastAsia"/>
          <w:color w:themeColor="text1" w:val="000000"/>
          <w:sz w:val="24"/>
        </w:rPr>
        <w:t>本基金本报告期末未投资股指期货。</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proofErr w:type="gramStart"/>
      <w:r w:rsidRPr="00E85E29">
        <w:rPr>
          <w:rFonts w:ascii="宋体" w:hAnsi="宋体"/>
          <w:b/>
          <w:sz w:val="24"/>
        </w:rPr>
        <w:t/>
      </w:r>
      <w:proofErr w:type="gramEnd"/>
      <w:r w:rsidRPr="00E85E29">
        <w:rPr>
          <w:rFonts w:ascii="宋体" w:hAnsi="宋体"/>
          <w:b/>
          <w:sz w:val="24"/>
        </w:rPr>
        <w:t>5.10</w:t>
      </w:r>
      <w:r w:rsidRPr="00E85E29">
        <w:rPr>
          <w:rFonts w:ascii="宋体" w:hAnsi="宋体" w:hint="eastAsia"/>
          <w:b/>
          <w:sz w:val="24"/>
        </w:rPr>
        <w:t>报告期末本基金投资的国债期货交易情况说明</w:t>
      </w:r>
    </w:p>
    <w:p w:rsidP="005836E7" w:rsidR="005836E7" w:rsidRDefault="005836E7">
      <w:pPr>
        <w:spacing w:line="360" w:lineRule="auto"/>
        <w:ind w:firstLine="480" w:firstLineChars="200"/>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本基金本报告期末未投资国债期货。</w:t>
      </w:r>
    </w:p>
    <w:p w:rsidP="001D5CD0" w:rsidR="00F016DD" w:rsidRDefault="00F016DD" w:rsidRPr="00E85E29">
      <w:pPr>
        <w:autoSpaceDE w:val="0"/>
        <w:autoSpaceDN w:val="0"/>
        <w:adjustRightInd w:val="0"/>
        <w:spacing w:line="360" w:lineRule="auto"/>
        <w:jc w:val="left"/>
        <w:rPr>
          <w:rFonts w:ascii="宋体" w:cs="Arial"/>
          <w:b/>
          <w:kern w:val="0"/>
          <w:sz w:val="24"/>
        </w:rPr>
      </w:pPr>
      <w:r w:rsidRPr="00E85E29">
        <w:rPr>
          <w:rFonts w:ascii="宋体" w:cs="Arial"/>
          <w:b/>
          <w:kern w:val="0"/>
          <w:sz w:val="24"/>
        </w:rPr>
        <w:t/>
      </w:r>
      <w:proofErr w:type="gramStart"/>
      <w:r w:rsidRPr="00E85E29">
        <w:rPr>
          <w:rFonts w:ascii="宋体" w:cs="Arial" w:hAnsi="宋体"/>
          <w:b/>
          <w:kern w:val="0"/>
          <w:sz w:val="24"/>
        </w:rPr>
        <w:t/>
      </w:r>
      <w:proofErr w:type="gramEnd"/>
      <w:r w:rsidRPr="00E85E29">
        <w:rPr>
          <w:rFonts w:ascii="宋体" w:cs="Arial" w:hAnsi="宋体"/>
          <w:b/>
          <w:kern w:val="0"/>
          <w:sz w:val="24"/>
        </w:rPr>
        <w:t>5.11</w:t>
      </w:r>
      <w:r w:rsidRPr="00E85E29">
        <w:rPr>
          <w:rFonts w:ascii="宋体" w:cs="Arial" w:hAnsi="宋体" w:hint="eastAsia"/>
          <w:b/>
          <w:kern w:val="0"/>
          <w:sz w:val="24"/>
        </w:rPr>
        <w:t>投资组合报告附注</w:t>
      </w:r>
    </w:p>
    <w:p w:rsidP="006456D3" w:rsidR="00F016DD" w:rsidRDefault="00B63F2B" w:rsidRPr="00414367">
      <w:pPr>
        <w:widowControl/>
        <w:spacing w:line="360" w:lineRule="auto"/>
        <w:rPr>
          <w:color w:val="000000"/>
          <w:sz w:val="24"/>
        </w:rPr>
      </w:pPr>
      <w:r>
        <w:rPr>
          <w:rFonts w:hint="eastAsia"/>
          <w:color w:val="000000"/>
          <w:sz w:val="24"/>
        </w:rPr>
        <w:t/>
      </w:r>
      <w:proofErr w:type="spellStart"/>
      <w:r>
        <w:rPr>
          <w:rFonts w:hint="eastAsia"/>
          <w:color w:val="000000"/>
          <w:sz w:val="24"/>
        </w:rPr>
        <w:t/>
      </w:r>
      <w:proofErr w:type="spellEnd"/>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5.11.1</w:t>
      </w:r>
      <w:r w:rsidR="00F948C8">
        <w:rPr>
          <w:rFonts w:hint="eastAsia"/>
          <w:color w:val="000000"/>
          <w:sz w:val="24"/>
        </w:rPr>
        <w:t xml:space="preserve"> </w:t>
      </w:r>
      <w:r w:rsidR="00F016DD" w:rsidRPr="00414367">
        <w:rPr>
          <w:color w:val="000000"/>
          <w:sz w:val="24"/>
        </w:rPr>
        <w:t>2019年11月4日，国家税务总局北京市海淀区税务局对中国建筑股份有限公司未依法履行职责的行为进行罚款。2019年12月10日，昆明市水务局对中国建筑股份有限公司“未按照防洪审批方案施工影响姚安河行洪”的行为罚款四万元。2020年3月19日，西安市人力资源和社会保障局依据《西安市农民工工资保障办法》第二十三条第一项，对中国建筑股份有限公司“未按本办法规定预存农民工工资支付保证金”的行为罚款10000元。2020年5月7日，江西省交通建设工程质量监督管理局对中国建筑股份有限公司“中国建筑股份有限公司井冈山航电枢纽工程项目A1合同段从事电焊作业的陈子高未按照国家有关规定经专门的安全作业培训取得相应特种作业资格”的行为罚款2万元。2020年7月31日，门头沟区住建委对中国建筑股份有限公司因违反《中华人民共和国建筑法》第四十四条第一款、《北京市建设工程施工现场管理办法》第十三条第一款的行为，罚款1000元。</w:t>
      </w:r>
    </w:p>
    <w:p>
      <w:pPr>
        <w:widowControl/>
        <w:spacing w:line="360" w:lineRule="auto"/>
        <w:rPr>
          <w:color w:val="000000"/>
          <w:sz w:val="24"/>
        </w:rPr>
      </w:pPr>
      <w:r>
        <w:rPr>
          <w:color w:val="000000"/>
          <w:sz w:val="24"/>
        </w:rPr>
        <w:t>2019年11月2日，国家税务总局北京市海淀区税务局对唐山冀东水泥股份有限公司“违反税收管理，未按照规定期限办理纳税申报和报送纳税资料”的行为，罚款50元。</w:t>
      </w:r>
    </w:p>
    <w:p>
      <w:pPr>
        <w:widowControl/>
        <w:spacing w:line="360" w:lineRule="auto"/>
        <w:rPr>
          <w:color w:val="000000"/>
          <w:sz w:val="24"/>
        </w:rPr>
      </w:pPr>
      <w:r>
        <w:rPr>
          <w:color w:val="000000"/>
          <w:sz w:val="24"/>
        </w:rPr>
        <w:t>本基金投资20中建MTN002、冀东水泥的投资决策程序符合公司投资制度的规定。</w:t>
      </w:r>
    </w:p>
    <w:p>
      <w:pPr>
        <w:widowControl/>
        <w:spacing w:line="360" w:lineRule="auto"/>
        <w:rPr>
          <w:color w:val="000000"/>
          <w:sz w:val="24"/>
        </w:rPr>
      </w:pPr>
      <w:r>
        <w:rPr>
          <w:color w:val="000000"/>
          <w:sz w:val="24"/>
        </w:rPr>
        <w:t>除20中建MTN002、冀东水泥外，本基金投资的前十名证券的发行主体本期没有出现被监管部门立案调查，或在报告编制日前一年内受到公开谴责、处罚的情形。</w:t>
      </w:r>
    </w:p>
    <w:p w:rsidP="006456D3" w:rsidR="00F016DD" w:rsidRDefault="00B63F2B" w:rsidRPr="00414367">
      <w:pPr>
        <w:widowControl/>
        <w:spacing w:line="360" w:lineRule="auto"/>
        <w:rPr>
          <w:color w:val="000000"/>
          <w:sz w:val="24"/>
        </w:rPr>
      </w:pPr>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5.11.2</w:t>
      </w:r>
      <w:r w:rsidR="00F948C8">
        <w:rPr>
          <w:rFonts w:hint="eastAsia"/>
          <w:color w:val="000000"/>
          <w:sz w:val="24"/>
        </w:rPr>
        <w:t xml:space="preserve"> </w:t>
      </w:r>
      <w:r w:rsidR="00F016DD" w:rsidRPr="00414367">
        <w:rPr>
          <w:color w:val="000000"/>
          <w:sz w:val="24"/>
        </w:rPr>
        <w:t>本基金投资的前十名股票没有超出基金合同规定的备选股票库。</w:t>
      </w:r>
    </w:p>
    <w:p w:rsidP="001D5CD0" w:rsidR="00F016DD" w:rsidRDefault="00F016DD" w:rsidRPr="00414367">
      <w:pPr>
        <w:autoSpaceDE w:val="0"/>
        <w:autoSpaceDN w:val="0"/>
        <w:adjustRightInd w:val="0"/>
        <w:spacing w:line="360" w:lineRule="auto"/>
        <w:rPr>
          <w:kern w:val="0"/>
          <w:sz w:val="24"/>
        </w:rPr>
      </w:pPr>
      <w:r w:rsidRPr="00414367">
        <w:rPr>
          <w:kern w:val="0"/>
          <w:sz w:val="24"/>
        </w:rPr>
        <w:t/>
      </w:r>
      <w:proofErr w:type="gramStart"/>
      <w:r w:rsidRPr="00414367">
        <w:rPr>
          <w:kern w:val="0"/>
          <w:sz w:val="24"/>
        </w:rPr>
        <w:t/>
      </w:r>
      <w:proofErr w:type="gramEnd"/>
      <w:r w:rsidRPr="00414367">
        <w:rPr>
          <w:kern w:val="0"/>
          <w:sz w:val="24"/>
        </w:rPr>
        <w:t>5.11.3</w:t>
      </w:r>
      <w:r w:rsidRPr="00414367">
        <w:rPr>
          <w:kern w:val="0"/>
          <w:sz w:val="24"/>
        </w:rPr>
        <w:t>其他资产构成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761"/>
        <w:gridCol w:w="4808"/>
      </w:tblGrid>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type="dxa" w:w="2761"/>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type="dxa" w:w="4808"/>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955,425.48</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2</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2,507,605.25</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3</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4</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297,624,874.26</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5</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6,615,792.88</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6</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7</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8</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9</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307,703,697.87</w:t>
            </w:r>
          </w:p>
        </w:tc>
      </w:tr>
    </w:tbl>
    <w:p w:rsidP="001D5CD0" w:rsidR="00F016DD" w:rsidRDefault="00F016DD" w:rsidRPr="00E7356F">
      <w:pPr>
        <w:autoSpaceDE w:val="0"/>
        <w:autoSpaceDN w:val="0"/>
        <w:adjustRightInd w:val="0"/>
        <w:spacing w:line="360" w:lineRule="auto"/>
        <w:jc w:val="left"/>
        <w:rPr>
          <w:rFonts w:ascii="宋体" w:cs="Arial"/>
          <w:kern w:val="0"/>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5.11.4</w:t>
      </w:r>
      <w:r w:rsidRPr="00E7356F">
        <w:rPr>
          <w:rFonts w:ascii="宋体" w:cs="Arial" w:hAnsi="宋体" w:hint="eastAsia"/>
          <w:kern w:val="0"/>
          <w:sz w:val="24"/>
        </w:rPr>
        <w:t>报告期末持有的处于转股期的可转换债券明细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080"/>
        <w:gridCol w:w="2624"/>
        <w:gridCol w:w="1766"/>
        <w:gridCol w:w="1832"/>
        <w:gridCol w:w="1719"/>
      </w:tblGrid>
      <w:tr w:rsidR="00F016DD" w:rsidRPr="00E85E29" w:rsidTr="00F4518C">
        <w:tc>
          <w:tcPr>
            <w:tcW w:type="dxa" w:w="944"/>
            <w:vAlign w:val="center"/>
          </w:tcPr>
          <w:p w:rsidP="00F4518C" w:rsidR="00F016DD" w:rsidRDefault="00F016DD" w:rsidRPr="00414367">
            <w:pPr>
              <w:spacing w:before="29" w:line="360" w:lineRule="auto"/>
              <w:ind w:left="17"/>
              <w:jc w:val="center"/>
              <w:rPr>
                <w:color w:val="000000"/>
                <w:sz w:val="24"/>
              </w:rPr>
            </w:pPr>
            <w:r w:rsidRPr="00414367">
              <w:rPr>
                <w:color w:val="000000"/>
                <w:sz w:val="24"/>
              </w:rPr>
              <w:t>序号</w:t>
            </w:r>
          </w:p>
        </w:tc>
        <w:tc>
          <w:tcPr>
            <w:tcW w:type="dxa" w:w="2568"/>
            <w:vAlign w:val="center"/>
          </w:tcPr>
          <w:p w:rsidP="00F4518C" w:rsidR="00F016DD" w:rsidRDefault="00F016DD" w:rsidRPr="00414367">
            <w:pPr>
              <w:spacing w:before="29" w:line="360" w:lineRule="auto"/>
              <w:ind w:left="17"/>
              <w:jc w:val="center"/>
              <w:rPr>
                <w:color w:val="000000"/>
                <w:sz w:val="24"/>
              </w:rPr>
            </w:pPr>
            <w:r w:rsidRPr="00414367">
              <w:rPr>
                <w:color w:val="000000"/>
                <w:sz w:val="24"/>
              </w:rPr>
              <w:t>债券代码</w:t>
            </w:r>
          </w:p>
        </w:tc>
        <w:tc>
          <w:tcPr>
            <w:tcW w:type="dxa" w:w="1665"/>
            <w:vAlign w:val="center"/>
          </w:tcPr>
          <w:p w:rsidP="00F4518C" w:rsidR="00F016DD" w:rsidRDefault="00F016DD" w:rsidRPr="00414367">
            <w:pPr>
              <w:spacing w:before="29" w:line="360" w:lineRule="auto"/>
              <w:ind w:left="17"/>
              <w:jc w:val="center"/>
              <w:rPr>
                <w:color w:val="000000"/>
                <w:sz w:val="24"/>
              </w:rPr>
            </w:pPr>
            <w:r w:rsidRPr="00414367">
              <w:rPr>
                <w:color w:val="000000"/>
                <w:sz w:val="24"/>
              </w:rPr>
              <w:t>债券名称</w:t>
            </w:r>
          </w:p>
        </w:tc>
        <w:tc>
          <w:tcPr>
            <w:tcW w:type="dxa" w:w="1727"/>
            <w:vAlign w:val="center"/>
          </w:tcPr>
          <w:p w:rsidP="00F4518C" w:rsidR="00F016DD" w:rsidRDefault="00F016DD" w:rsidRPr="00414367">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type="dxa" w:w="1609"/>
            <w:vAlign w:val="center"/>
          </w:tcPr>
          <w:p w:rsidP="00F4518C" w:rsidR="00F016DD" w:rsidRDefault="00F016DD" w:rsidRPr="00414367">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228,898,339.60</w:t>
            </w:r>
          </w:p>
        </w:tc>
        <w:tc>
          <w:tcPr>
            <w:vAlign w:val="center"/>
          </w:tcPr>
          <w:p>
            <w:pPr>
              <w:jc w:val="right"/>
            </w:pPr>
            <w:r>
              <w:rPr>
                <w:color w:val="000000"/>
                <w:sz w:val="24"/>
              </w:rPr>
              <w:t>1.11</w:t>
            </w:r>
          </w:p>
        </w:tc>
      </w:tr>
      <w:tr>
        <w:tc>
          <w:tcPr>
            <w:vAlign w:val="center"/>
          </w:tcPr>
          <w:p>
            <w:pPr>
              <w:jc w:val="center"/>
            </w:pPr>
            <w:r>
              <w:rPr>
                <w:color w:val="000000"/>
                <w:sz w:val="24"/>
              </w:rPr>
              <w:t>2</w:t>
            </w:r>
          </w:p>
        </w:tc>
        <w:tc>
          <w:tcPr>
            <w:vAlign w:val="center"/>
          </w:tcPr>
          <w:p>
            <w:pPr>
              <w:jc w:val="center"/>
            </w:pPr>
            <w:r>
              <w:rPr>
                <w:color w:val="000000"/>
                <w:sz w:val="24"/>
              </w:rPr>
              <w:t>110059</w:t>
            </w:r>
          </w:p>
        </w:tc>
        <w:tc>
          <w:tcPr>
            <w:vAlign w:val="center"/>
          </w:tcPr>
          <w:p>
            <w:pPr>
              <w:jc w:val="center"/>
            </w:pPr>
            <w:r>
              <w:rPr>
                <w:color w:val="000000"/>
                <w:sz w:val="24"/>
              </w:rPr>
              <w:t>浦发转债</w:t>
            </w:r>
          </w:p>
        </w:tc>
        <w:tc>
          <w:tcPr>
            <w:vAlign w:val="center"/>
          </w:tcPr>
          <w:p>
            <w:pPr>
              <w:jc w:val="right"/>
            </w:pPr>
            <w:r>
              <w:rPr>
                <w:color w:val="000000"/>
                <w:sz w:val="24"/>
              </w:rPr>
              <w:t>197,014,274.60</w:t>
            </w:r>
          </w:p>
        </w:tc>
        <w:tc>
          <w:tcPr>
            <w:vAlign w:val="center"/>
          </w:tcPr>
          <w:p>
            <w:pPr>
              <w:jc w:val="right"/>
            </w:pPr>
            <w:r>
              <w:rPr>
                <w:color w:val="000000"/>
                <w:sz w:val="24"/>
              </w:rPr>
              <w:t>0.96</w:t>
            </w:r>
          </w:p>
        </w:tc>
      </w:tr>
      <w:tr>
        <w:tc>
          <w:tcPr>
            <w:vAlign w:val="center"/>
          </w:tcPr>
          <w:p>
            <w:pPr>
              <w:jc w:val="center"/>
            </w:pPr>
            <w:r>
              <w:rPr>
                <w:color w:val="000000"/>
                <w:sz w:val="24"/>
              </w:rPr>
              <w:t>3</w:t>
            </w:r>
          </w:p>
        </w:tc>
        <w:tc>
          <w:tcPr>
            <w:vAlign w:val="center"/>
          </w:tcPr>
          <w:p>
            <w:pPr>
              <w:jc w:val="center"/>
            </w:pPr>
            <w:r>
              <w:rPr>
                <w:color w:val="000000"/>
                <w:sz w:val="24"/>
              </w:rPr>
              <w:t>132014</w:t>
            </w:r>
          </w:p>
        </w:tc>
        <w:tc>
          <w:tcPr>
            <w:vAlign w:val="center"/>
          </w:tcPr>
          <w:p>
            <w:pPr>
              <w:jc w:val="center"/>
            </w:pPr>
            <w:r>
              <w:rPr>
                <w:color w:val="000000"/>
                <w:sz w:val="24"/>
              </w:rPr>
              <w:t>18中化EB</w:t>
            </w:r>
          </w:p>
        </w:tc>
        <w:tc>
          <w:tcPr>
            <w:vAlign w:val="center"/>
          </w:tcPr>
          <w:p>
            <w:pPr>
              <w:jc w:val="right"/>
            </w:pPr>
            <w:r>
              <w:rPr>
                <w:color w:val="000000"/>
                <w:sz w:val="24"/>
              </w:rPr>
              <w:t>180,599,170.00</w:t>
            </w:r>
          </w:p>
        </w:tc>
        <w:tc>
          <w:tcPr>
            <w:vAlign w:val="center"/>
          </w:tcPr>
          <w:p>
            <w:pPr>
              <w:jc w:val="right"/>
            </w:pPr>
            <w:r>
              <w:rPr>
                <w:color w:val="000000"/>
                <w:sz w:val="24"/>
              </w:rPr>
              <w:t>0.88</w:t>
            </w:r>
          </w:p>
        </w:tc>
      </w:tr>
      <w:tr>
        <w:tc>
          <w:tcPr>
            <w:vAlign w:val="center"/>
          </w:tcPr>
          <w:p>
            <w:pPr>
              <w:jc w:val="center"/>
            </w:pPr>
            <w:r>
              <w:rPr>
                <w:color w:val="000000"/>
                <w:sz w:val="24"/>
              </w:rPr>
              <w:t>4</w:t>
            </w:r>
          </w:p>
        </w:tc>
        <w:tc>
          <w:tcPr>
            <w:vAlign w:val="center"/>
          </w:tcPr>
          <w:p>
            <w:pPr>
              <w:jc w:val="center"/>
            </w:pPr>
            <w:r>
              <w:rPr>
                <w:color w:val="000000"/>
                <w:sz w:val="24"/>
              </w:rPr>
              <w:t>110053</w:t>
            </w:r>
          </w:p>
        </w:tc>
        <w:tc>
          <w:tcPr>
            <w:vAlign w:val="center"/>
          </w:tcPr>
          <w:p>
            <w:pPr>
              <w:jc w:val="center"/>
            </w:pPr>
            <w:r>
              <w:rPr>
                <w:color w:val="000000"/>
                <w:sz w:val="24"/>
              </w:rPr>
              <w:t>苏银转债</w:t>
            </w:r>
          </w:p>
        </w:tc>
        <w:tc>
          <w:tcPr>
            <w:vAlign w:val="center"/>
          </w:tcPr>
          <w:p>
            <w:pPr>
              <w:jc w:val="right"/>
            </w:pPr>
            <w:r>
              <w:rPr>
                <w:color w:val="000000"/>
                <w:sz w:val="24"/>
              </w:rPr>
              <w:t>170,517,091.80</w:t>
            </w:r>
          </w:p>
        </w:tc>
        <w:tc>
          <w:tcPr>
            <w:vAlign w:val="center"/>
          </w:tcPr>
          <w:p>
            <w:pPr>
              <w:jc w:val="right"/>
            </w:pPr>
            <w:r>
              <w:rPr>
                <w:color w:val="000000"/>
                <w:sz w:val="24"/>
              </w:rPr>
              <w:t>0.83</w:t>
            </w:r>
          </w:p>
        </w:tc>
      </w:tr>
      <w:tr>
        <w:tc>
          <w:tcPr>
            <w:vAlign w:val="center"/>
          </w:tcPr>
          <w:p>
            <w:pPr>
              <w:jc w:val="center"/>
            </w:pPr>
            <w:r>
              <w:rPr>
                <w:color w:val="000000"/>
                <w:sz w:val="24"/>
              </w:rPr>
              <w:t>5</w:t>
            </w:r>
          </w:p>
        </w:tc>
        <w:tc>
          <w:tcPr>
            <w:vAlign w:val="center"/>
          </w:tcPr>
          <w:p>
            <w:pPr>
              <w:jc w:val="center"/>
            </w:pPr>
            <w:r>
              <w:rPr>
                <w:color w:val="000000"/>
                <w:sz w:val="24"/>
              </w:rPr>
              <w:t>127012</w:t>
            </w:r>
          </w:p>
        </w:tc>
        <w:tc>
          <w:tcPr>
            <w:vAlign w:val="center"/>
          </w:tcPr>
          <w:p>
            <w:pPr>
              <w:jc w:val="center"/>
            </w:pPr>
            <w:r>
              <w:rPr>
                <w:color w:val="000000"/>
                <w:sz w:val="24"/>
              </w:rPr>
              <w:t>招路转债</w:t>
            </w:r>
          </w:p>
        </w:tc>
        <w:tc>
          <w:tcPr>
            <w:vAlign w:val="center"/>
          </w:tcPr>
          <w:p>
            <w:pPr>
              <w:jc w:val="right"/>
            </w:pPr>
            <w:r>
              <w:rPr>
                <w:color w:val="000000"/>
                <w:sz w:val="24"/>
              </w:rPr>
              <w:t>128,767,358.96</w:t>
            </w:r>
          </w:p>
        </w:tc>
        <w:tc>
          <w:tcPr>
            <w:vAlign w:val="center"/>
          </w:tcPr>
          <w:p>
            <w:pPr>
              <w:jc w:val="right"/>
            </w:pPr>
            <w:r>
              <w:rPr>
                <w:color w:val="000000"/>
                <w:sz w:val="24"/>
              </w:rPr>
              <w:t>0.63</w:t>
            </w:r>
          </w:p>
        </w:tc>
      </w:tr>
      <w:tr>
        <w:tc>
          <w:tcPr>
            <w:vAlign w:val="center"/>
          </w:tcPr>
          <w:p>
            <w:pPr>
              <w:jc w:val="center"/>
            </w:pPr>
            <w:r>
              <w:rPr>
                <w:color w:val="000000"/>
                <w:sz w:val="24"/>
              </w:rPr>
              <w:t>6</w:t>
            </w:r>
          </w:p>
        </w:tc>
        <w:tc>
          <w:tcPr>
            <w:vAlign w:val="center"/>
          </w:tcPr>
          <w:p>
            <w:pPr>
              <w:jc w:val="center"/>
            </w:pPr>
            <w:r>
              <w:rPr>
                <w:color w:val="000000"/>
                <w:sz w:val="24"/>
              </w:rPr>
              <w:t>132018</w:t>
            </w:r>
          </w:p>
        </w:tc>
        <w:tc>
          <w:tcPr>
            <w:vAlign w:val="center"/>
          </w:tcPr>
          <w:p>
            <w:pPr>
              <w:jc w:val="center"/>
            </w:pPr>
            <w:r>
              <w:rPr>
                <w:color w:val="000000"/>
                <w:sz w:val="24"/>
              </w:rPr>
              <w:t>G三峡EB1</w:t>
            </w:r>
          </w:p>
        </w:tc>
        <w:tc>
          <w:tcPr>
            <w:vAlign w:val="center"/>
          </w:tcPr>
          <w:p>
            <w:pPr>
              <w:jc w:val="right"/>
            </w:pPr>
            <w:r>
              <w:rPr>
                <w:color w:val="000000"/>
                <w:sz w:val="24"/>
              </w:rPr>
              <w:t>124,817,392.00</w:t>
            </w:r>
          </w:p>
        </w:tc>
        <w:tc>
          <w:tcPr>
            <w:vAlign w:val="center"/>
          </w:tcPr>
          <w:p>
            <w:pPr>
              <w:jc w:val="right"/>
            </w:pPr>
            <w:r>
              <w:rPr>
                <w:color w:val="000000"/>
                <w:sz w:val="24"/>
              </w:rPr>
              <w:t>0.61</w:t>
            </w:r>
          </w:p>
        </w:tc>
      </w:tr>
      <w:tr>
        <w:tc>
          <w:tcPr>
            <w:vAlign w:val="center"/>
          </w:tcPr>
          <w:p>
            <w:pPr>
              <w:jc w:val="center"/>
            </w:pPr>
            <w:r>
              <w:rPr>
                <w:color w:val="000000"/>
                <w:sz w:val="24"/>
              </w:rPr>
              <w:t>7</w:t>
            </w:r>
          </w:p>
        </w:tc>
        <w:tc>
          <w:tcPr>
            <w:vAlign w:val="center"/>
          </w:tcPr>
          <w:p>
            <w:pPr>
              <w:jc w:val="center"/>
            </w:pPr>
            <w:r>
              <w:rPr>
                <w:color w:val="000000"/>
                <w:sz w:val="24"/>
              </w:rPr>
              <w:t>113026</w:t>
            </w:r>
          </w:p>
        </w:tc>
        <w:tc>
          <w:tcPr>
            <w:vAlign w:val="center"/>
          </w:tcPr>
          <w:p>
            <w:pPr>
              <w:jc w:val="center"/>
            </w:pPr>
            <w:r>
              <w:rPr>
                <w:color w:val="000000"/>
                <w:sz w:val="24"/>
              </w:rPr>
              <w:t>核能转债</w:t>
            </w:r>
          </w:p>
        </w:tc>
        <w:tc>
          <w:tcPr>
            <w:vAlign w:val="center"/>
          </w:tcPr>
          <w:p>
            <w:pPr>
              <w:jc w:val="right"/>
            </w:pPr>
            <w:r>
              <w:rPr>
                <w:color w:val="000000"/>
                <w:sz w:val="24"/>
              </w:rPr>
              <w:t>119,209,689.00</w:t>
            </w:r>
          </w:p>
        </w:tc>
        <w:tc>
          <w:tcPr>
            <w:vAlign w:val="center"/>
          </w:tcPr>
          <w:p>
            <w:pPr>
              <w:jc w:val="right"/>
            </w:pPr>
            <w:r>
              <w:rPr>
                <w:color w:val="000000"/>
                <w:sz w:val="24"/>
              </w:rPr>
              <w:t>0.58</w:t>
            </w:r>
          </w:p>
        </w:tc>
      </w:tr>
      <w:tr>
        <w:tc>
          <w:tcPr>
            <w:vAlign w:val="center"/>
          </w:tcPr>
          <w:p>
            <w:pPr>
              <w:jc w:val="center"/>
            </w:pPr>
            <w:r>
              <w:rPr>
                <w:color w:val="000000"/>
                <w:sz w:val="24"/>
              </w:rPr>
              <w:t>8</w:t>
            </w:r>
          </w:p>
        </w:tc>
        <w:tc>
          <w:tcPr>
            <w:vAlign w:val="center"/>
          </w:tcPr>
          <w:p>
            <w:pPr>
              <w:jc w:val="center"/>
            </w:pPr>
            <w:r>
              <w:rPr>
                <w:color w:val="000000"/>
                <w:sz w:val="24"/>
              </w:rPr>
              <w:t>110045</w:t>
            </w:r>
          </w:p>
        </w:tc>
        <w:tc>
          <w:tcPr>
            <w:vAlign w:val="center"/>
          </w:tcPr>
          <w:p>
            <w:pPr>
              <w:jc w:val="center"/>
            </w:pPr>
            <w:r>
              <w:rPr>
                <w:color w:val="000000"/>
                <w:sz w:val="24"/>
              </w:rPr>
              <w:t>海澜转债</w:t>
            </w:r>
          </w:p>
        </w:tc>
        <w:tc>
          <w:tcPr>
            <w:vAlign w:val="center"/>
          </w:tcPr>
          <w:p>
            <w:pPr>
              <w:jc w:val="right"/>
            </w:pPr>
            <w:r>
              <w:rPr>
                <w:color w:val="000000"/>
                <w:sz w:val="24"/>
              </w:rPr>
              <w:t>98,848,255.80</w:t>
            </w:r>
          </w:p>
        </w:tc>
        <w:tc>
          <w:tcPr>
            <w:vAlign w:val="center"/>
          </w:tcPr>
          <w:p>
            <w:pPr>
              <w:jc w:val="right"/>
            </w:pPr>
            <w:r>
              <w:rPr>
                <w:color w:val="000000"/>
                <w:sz w:val="24"/>
              </w:rPr>
              <w:t>0.48</w:t>
            </w:r>
          </w:p>
        </w:tc>
      </w:tr>
      <w:tr>
        <w:tc>
          <w:tcPr>
            <w:vAlign w:val="center"/>
          </w:tcPr>
          <w:p>
            <w:pPr>
              <w:jc w:val="center"/>
            </w:pPr>
            <w:r>
              <w:rPr>
                <w:color w:val="000000"/>
                <w:sz w:val="24"/>
              </w:rPr>
              <w:t>9</w:t>
            </w:r>
          </w:p>
        </w:tc>
        <w:tc>
          <w:tcPr>
            <w:vAlign w:val="center"/>
          </w:tcPr>
          <w:p>
            <w:pPr>
              <w:jc w:val="center"/>
            </w:pPr>
            <w:r>
              <w:rPr>
                <w:color w:val="000000"/>
                <w:sz w:val="24"/>
              </w:rPr>
              <w:t>113008</w:t>
            </w:r>
          </w:p>
        </w:tc>
        <w:tc>
          <w:tcPr>
            <w:vAlign w:val="center"/>
          </w:tcPr>
          <w:p>
            <w:pPr>
              <w:jc w:val="center"/>
            </w:pPr>
            <w:r>
              <w:rPr>
                <w:color w:val="000000"/>
                <w:sz w:val="24"/>
              </w:rPr>
              <w:t>电气转债</w:t>
            </w:r>
          </w:p>
        </w:tc>
        <w:tc>
          <w:tcPr>
            <w:vAlign w:val="center"/>
          </w:tcPr>
          <w:p>
            <w:pPr>
              <w:jc w:val="right"/>
            </w:pPr>
            <w:r>
              <w:rPr>
                <w:color w:val="000000"/>
                <w:sz w:val="24"/>
              </w:rPr>
              <w:t>92,020,561.20</w:t>
            </w:r>
          </w:p>
        </w:tc>
        <w:tc>
          <w:tcPr>
            <w:vAlign w:val="center"/>
          </w:tcPr>
          <w:p>
            <w:pPr>
              <w:jc w:val="right"/>
            </w:pPr>
            <w:r>
              <w:rPr>
                <w:color w:val="000000"/>
                <w:sz w:val="24"/>
              </w:rPr>
              <w:t>0.45</w:t>
            </w:r>
          </w:p>
        </w:tc>
      </w:tr>
      <w:tr>
        <w:tc>
          <w:tcPr>
            <w:vAlign w:val="center"/>
          </w:tcPr>
          <w:p>
            <w:pPr>
              <w:jc w:val="center"/>
            </w:pPr>
            <w:r>
              <w:rPr>
                <w:color w:val="000000"/>
                <w:sz w:val="24"/>
              </w:rPr>
              <w:t>10</w:t>
            </w:r>
          </w:p>
        </w:tc>
        <w:tc>
          <w:tcPr>
            <w:vAlign w:val="center"/>
          </w:tcPr>
          <w:p>
            <w:pPr>
              <w:jc w:val="center"/>
            </w:pPr>
            <w:r>
              <w:rPr>
                <w:color w:val="000000"/>
                <w:sz w:val="24"/>
              </w:rPr>
              <w:t>113024</w:t>
            </w:r>
          </w:p>
        </w:tc>
        <w:tc>
          <w:tcPr>
            <w:vAlign w:val="center"/>
          </w:tcPr>
          <w:p>
            <w:pPr>
              <w:jc w:val="center"/>
            </w:pPr>
            <w:r>
              <w:rPr>
                <w:color w:val="000000"/>
                <w:sz w:val="24"/>
              </w:rPr>
              <w:t>核建转债</w:t>
            </w:r>
          </w:p>
        </w:tc>
        <w:tc>
          <w:tcPr>
            <w:vAlign w:val="center"/>
          </w:tcPr>
          <w:p>
            <w:pPr>
              <w:jc w:val="right"/>
            </w:pPr>
            <w:r>
              <w:rPr>
                <w:color w:val="000000"/>
                <w:sz w:val="24"/>
              </w:rPr>
              <w:t>84,885,206.00</w:t>
            </w:r>
          </w:p>
        </w:tc>
        <w:tc>
          <w:tcPr>
            <w:vAlign w:val="center"/>
          </w:tcPr>
          <w:p>
            <w:pPr>
              <w:jc w:val="right"/>
            </w:pPr>
            <w:r>
              <w:rPr>
                <w:color w:val="000000"/>
                <w:sz w:val="24"/>
              </w:rPr>
              <w:t>0.41</w:t>
            </w:r>
          </w:p>
        </w:tc>
      </w:tr>
      <w:tr>
        <w:tc>
          <w:tcPr>
            <w:vAlign w:val="center"/>
          </w:tcPr>
          <w:p>
            <w:pPr>
              <w:jc w:val="center"/>
            </w:pPr>
            <w:r>
              <w:rPr>
                <w:color w:val="000000"/>
                <w:sz w:val="24"/>
              </w:rPr>
              <w:t>11</w:t>
            </w:r>
          </w:p>
        </w:tc>
        <w:tc>
          <w:tcPr>
            <w:vAlign w:val="center"/>
          </w:tcPr>
          <w:p>
            <w:pPr>
              <w:jc w:val="center"/>
            </w:pPr>
            <w:r>
              <w:rPr>
                <w:color w:val="000000"/>
                <w:sz w:val="24"/>
              </w:rPr>
              <w:t>113009</w:t>
            </w:r>
          </w:p>
        </w:tc>
        <w:tc>
          <w:tcPr>
            <w:vAlign w:val="center"/>
          </w:tcPr>
          <w:p>
            <w:pPr>
              <w:jc w:val="center"/>
            </w:pPr>
            <w:r>
              <w:rPr>
                <w:color w:val="000000"/>
                <w:sz w:val="24"/>
              </w:rPr>
              <w:t>广汽转债</w:t>
            </w:r>
          </w:p>
        </w:tc>
        <w:tc>
          <w:tcPr>
            <w:vAlign w:val="center"/>
          </w:tcPr>
          <w:p>
            <w:pPr>
              <w:jc w:val="right"/>
            </w:pPr>
            <w:r>
              <w:rPr>
                <w:color w:val="000000"/>
                <w:sz w:val="24"/>
              </w:rPr>
              <w:t>78,072,680.00</w:t>
            </w:r>
          </w:p>
        </w:tc>
        <w:tc>
          <w:tcPr>
            <w:vAlign w:val="center"/>
          </w:tcPr>
          <w:p>
            <w:pPr>
              <w:jc w:val="right"/>
            </w:pPr>
            <w:r>
              <w:rPr>
                <w:color w:val="000000"/>
                <w:sz w:val="24"/>
              </w:rPr>
              <w:t>0.38</w:t>
            </w:r>
          </w:p>
        </w:tc>
      </w:tr>
      <w:tr>
        <w:tc>
          <w:tcPr>
            <w:vAlign w:val="center"/>
          </w:tcPr>
          <w:p>
            <w:pPr>
              <w:jc w:val="center"/>
            </w:pPr>
            <w:r>
              <w:rPr>
                <w:color w:val="000000"/>
                <w:sz w:val="24"/>
              </w:rPr>
              <w:t>12</w:t>
            </w:r>
          </w:p>
        </w:tc>
        <w:tc>
          <w:tcPr>
            <w:vAlign w:val="center"/>
          </w:tcPr>
          <w:p>
            <w:pPr>
              <w:jc w:val="center"/>
            </w:pPr>
            <w:r>
              <w:rPr>
                <w:color w:val="000000"/>
                <w:sz w:val="24"/>
              </w:rPr>
              <w:t>128081</w:t>
            </w:r>
          </w:p>
        </w:tc>
        <w:tc>
          <w:tcPr>
            <w:vAlign w:val="center"/>
          </w:tcPr>
          <w:p>
            <w:pPr>
              <w:jc w:val="center"/>
            </w:pPr>
            <w:r>
              <w:rPr>
                <w:color w:val="000000"/>
                <w:sz w:val="24"/>
              </w:rPr>
              <w:t>海亮转债</w:t>
            </w:r>
          </w:p>
        </w:tc>
        <w:tc>
          <w:tcPr>
            <w:vAlign w:val="center"/>
          </w:tcPr>
          <w:p>
            <w:pPr>
              <w:jc w:val="right"/>
            </w:pPr>
            <w:r>
              <w:rPr>
                <w:color w:val="000000"/>
                <w:sz w:val="24"/>
              </w:rPr>
              <w:t>68,761,807.40</w:t>
            </w:r>
          </w:p>
        </w:tc>
        <w:tc>
          <w:tcPr>
            <w:vAlign w:val="center"/>
          </w:tcPr>
          <w:p>
            <w:pPr>
              <w:jc w:val="right"/>
            </w:pPr>
            <w:r>
              <w:rPr>
                <w:color w:val="000000"/>
                <w:sz w:val="24"/>
              </w:rPr>
              <w:t>0.33</w:t>
            </w:r>
          </w:p>
        </w:tc>
      </w:tr>
      <w:tr>
        <w:tc>
          <w:tcPr>
            <w:vAlign w:val="center"/>
          </w:tcPr>
          <w:p>
            <w:pPr>
              <w:jc w:val="center"/>
            </w:pPr>
            <w:r>
              <w:rPr>
                <w:color w:val="000000"/>
                <w:sz w:val="24"/>
              </w:rPr>
              <w:t>13</w:t>
            </w:r>
          </w:p>
        </w:tc>
        <w:tc>
          <w:tcPr>
            <w:vAlign w:val="center"/>
          </w:tcPr>
          <w:p>
            <w:pPr>
              <w:jc w:val="center"/>
            </w:pPr>
            <w:r>
              <w:rPr>
                <w:color w:val="000000"/>
                <w:sz w:val="24"/>
              </w:rPr>
              <w:t>113014</w:t>
            </w:r>
          </w:p>
        </w:tc>
        <w:tc>
          <w:tcPr>
            <w:vAlign w:val="center"/>
          </w:tcPr>
          <w:p>
            <w:pPr>
              <w:jc w:val="center"/>
            </w:pPr>
            <w:r>
              <w:rPr>
                <w:color w:val="000000"/>
                <w:sz w:val="24"/>
              </w:rPr>
              <w:t>林洋转债</w:t>
            </w:r>
          </w:p>
        </w:tc>
        <w:tc>
          <w:tcPr>
            <w:vAlign w:val="center"/>
          </w:tcPr>
          <w:p>
            <w:pPr>
              <w:jc w:val="right"/>
            </w:pPr>
            <w:r>
              <w:rPr>
                <w:color w:val="000000"/>
                <w:sz w:val="24"/>
              </w:rPr>
              <w:t>57,972,014.10</w:t>
            </w:r>
          </w:p>
        </w:tc>
        <w:tc>
          <w:tcPr>
            <w:vAlign w:val="center"/>
          </w:tcPr>
          <w:p>
            <w:pPr>
              <w:jc w:val="right"/>
            </w:pPr>
            <w:r>
              <w:rPr>
                <w:color w:val="000000"/>
                <w:sz w:val="24"/>
              </w:rPr>
              <w:t>0.28</w:t>
            </w:r>
          </w:p>
        </w:tc>
      </w:tr>
      <w:tr>
        <w:tc>
          <w:tcPr>
            <w:vAlign w:val="center"/>
          </w:tcPr>
          <w:p>
            <w:pPr>
              <w:jc w:val="center"/>
            </w:pPr>
            <w:r>
              <w:rPr>
                <w:color w:val="000000"/>
                <w:sz w:val="24"/>
              </w:rPr>
              <w:t>14</w:t>
            </w:r>
          </w:p>
        </w:tc>
        <w:tc>
          <w:tcPr>
            <w:vAlign w:val="center"/>
          </w:tcPr>
          <w:p>
            <w:pPr>
              <w:jc w:val="center"/>
            </w:pPr>
            <w:r>
              <w:rPr>
                <w:color w:val="000000"/>
                <w:sz w:val="24"/>
              </w:rPr>
              <w:t>128035</w:t>
            </w:r>
          </w:p>
        </w:tc>
        <w:tc>
          <w:tcPr>
            <w:vAlign w:val="center"/>
          </w:tcPr>
          <w:p>
            <w:pPr>
              <w:jc w:val="center"/>
            </w:pPr>
            <w:r>
              <w:rPr>
                <w:color w:val="000000"/>
                <w:sz w:val="24"/>
              </w:rPr>
              <w:t>大族转债</w:t>
            </w:r>
          </w:p>
        </w:tc>
        <w:tc>
          <w:tcPr>
            <w:vAlign w:val="center"/>
          </w:tcPr>
          <w:p>
            <w:pPr>
              <w:jc w:val="right"/>
            </w:pPr>
            <w:r>
              <w:rPr>
                <w:color w:val="000000"/>
                <w:sz w:val="24"/>
              </w:rPr>
              <w:t>57,576,465.36</w:t>
            </w:r>
          </w:p>
        </w:tc>
        <w:tc>
          <w:tcPr>
            <w:vAlign w:val="center"/>
          </w:tcPr>
          <w:p>
            <w:pPr>
              <w:jc w:val="right"/>
            </w:pPr>
            <w:r>
              <w:rPr>
                <w:color w:val="000000"/>
                <w:sz w:val="24"/>
              </w:rPr>
              <w:t>0.28</w:t>
            </w:r>
          </w:p>
        </w:tc>
      </w:tr>
      <w:tr>
        <w:tc>
          <w:tcPr>
            <w:vAlign w:val="center"/>
          </w:tcPr>
          <w:p>
            <w:pPr>
              <w:jc w:val="center"/>
            </w:pPr>
            <w:r>
              <w:rPr>
                <w:color w:val="000000"/>
                <w:sz w:val="24"/>
              </w:rPr>
              <w:t>15</w:t>
            </w:r>
          </w:p>
        </w:tc>
        <w:tc>
          <w:tcPr>
            <w:vAlign w:val="center"/>
          </w:tcPr>
          <w:p>
            <w:pPr>
              <w:jc w:val="center"/>
            </w:pPr>
            <w:r>
              <w:rPr>
                <w:color w:val="000000"/>
                <w:sz w:val="24"/>
              </w:rPr>
              <w:t>132017</w:t>
            </w:r>
          </w:p>
        </w:tc>
        <w:tc>
          <w:tcPr>
            <w:vAlign w:val="center"/>
          </w:tcPr>
          <w:p>
            <w:pPr>
              <w:jc w:val="center"/>
            </w:pPr>
            <w:r>
              <w:rPr>
                <w:color w:val="000000"/>
                <w:sz w:val="24"/>
              </w:rPr>
              <w:t>19新钢EB</w:t>
            </w:r>
          </w:p>
        </w:tc>
        <w:tc>
          <w:tcPr>
            <w:vAlign w:val="center"/>
          </w:tcPr>
          <w:p>
            <w:pPr>
              <w:jc w:val="right"/>
            </w:pPr>
            <w:r>
              <w:rPr>
                <w:color w:val="000000"/>
                <w:sz w:val="24"/>
              </w:rPr>
              <w:t>52,827,705.00</w:t>
            </w:r>
          </w:p>
        </w:tc>
        <w:tc>
          <w:tcPr>
            <w:vAlign w:val="center"/>
          </w:tcPr>
          <w:p>
            <w:pPr>
              <w:jc w:val="right"/>
            </w:pPr>
            <w:r>
              <w:rPr>
                <w:color w:val="000000"/>
                <w:sz w:val="24"/>
              </w:rPr>
              <w:t>0.26</w:t>
            </w:r>
          </w:p>
        </w:tc>
      </w:tr>
      <w:tr>
        <w:tc>
          <w:tcPr>
            <w:vAlign w:val="center"/>
          </w:tcPr>
          <w:p>
            <w:pPr>
              <w:jc w:val="center"/>
            </w:pPr>
            <w:r>
              <w:rPr>
                <w:color w:val="000000"/>
                <w:sz w:val="24"/>
              </w:rPr>
              <w:t>16</w:t>
            </w:r>
          </w:p>
        </w:tc>
        <w:tc>
          <w:tcPr>
            <w:vAlign w:val="center"/>
          </w:tcPr>
          <w:p>
            <w:pPr>
              <w:jc w:val="center"/>
            </w:pPr>
            <w:r>
              <w:rPr>
                <w:color w:val="000000"/>
                <w:sz w:val="24"/>
              </w:rPr>
              <w:t>110043</w:t>
            </w:r>
          </w:p>
        </w:tc>
        <w:tc>
          <w:tcPr>
            <w:vAlign w:val="center"/>
          </w:tcPr>
          <w:p>
            <w:pPr>
              <w:jc w:val="center"/>
            </w:pPr>
            <w:r>
              <w:rPr>
                <w:color w:val="000000"/>
                <w:sz w:val="24"/>
              </w:rPr>
              <w:t>无锡转债</w:t>
            </w:r>
          </w:p>
        </w:tc>
        <w:tc>
          <w:tcPr>
            <w:vAlign w:val="center"/>
          </w:tcPr>
          <w:p>
            <w:pPr>
              <w:jc w:val="right"/>
            </w:pPr>
            <w:r>
              <w:rPr>
                <w:color w:val="000000"/>
                <w:sz w:val="24"/>
              </w:rPr>
              <w:t>51,650,919.90</w:t>
            </w:r>
          </w:p>
        </w:tc>
        <w:tc>
          <w:tcPr>
            <w:vAlign w:val="center"/>
          </w:tcPr>
          <w:p>
            <w:pPr>
              <w:jc w:val="right"/>
            </w:pPr>
            <w:r>
              <w:rPr>
                <w:color w:val="000000"/>
                <w:sz w:val="24"/>
              </w:rPr>
              <w:t>0.25</w:t>
            </w:r>
          </w:p>
        </w:tc>
      </w:tr>
      <w:tr>
        <w:tc>
          <w:tcPr>
            <w:vAlign w:val="center"/>
          </w:tcPr>
          <w:p>
            <w:pPr>
              <w:jc w:val="center"/>
            </w:pPr>
            <w:r>
              <w:rPr>
                <w:color w:val="000000"/>
                <w:sz w:val="24"/>
              </w:rPr>
              <w:t>17</w:t>
            </w:r>
          </w:p>
        </w:tc>
        <w:tc>
          <w:tcPr>
            <w:vAlign w:val="center"/>
          </w:tcPr>
          <w:p>
            <w:pPr>
              <w:jc w:val="center"/>
            </w:pPr>
            <w:r>
              <w:rPr>
                <w:color w:val="000000"/>
                <w:sz w:val="24"/>
              </w:rPr>
              <w:t>110061</w:t>
            </w:r>
          </w:p>
        </w:tc>
        <w:tc>
          <w:tcPr>
            <w:vAlign w:val="center"/>
          </w:tcPr>
          <w:p>
            <w:pPr>
              <w:jc w:val="center"/>
            </w:pPr>
            <w:r>
              <w:rPr>
                <w:color w:val="000000"/>
                <w:sz w:val="24"/>
              </w:rPr>
              <w:t>川投转债</w:t>
            </w:r>
          </w:p>
        </w:tc>
        <w:tc>
          <w:tcPr>
            <w:vAlign w:val="center"/>
          </w:tcPr>
          <w:p>
            <w:pPr>
              <w:jc w:val="right"/>
            </w:pPr>
            <w:r>
              <w:rPr>
                <w:color w:val="000000"/>
                <w:sz w:val="24"/>
              </w:rPr>
              <w:t>49,606,002.60</w:t>
            </w:r>
          </w:p>
        </w:tc>
        <w:tc>
          <w:tcPr>
            <w:vAlign w:val="center"/>
          </w:tcPr>
          <w:p>
            <w:pPr>
              <w:jc w:val="right"/>
            </w:pPr>
            <w:r>
              <w:rPr>
                <w:color w:val="000000"/>
                <w:sz w:val="24"/>
              </w:rPr>
              <w:t>0.24</w:t>
            </w:r>
          </w:p>
        </w:tc>
      </w:tr>
      <w:tr>
        <w:tc>
          <w:tcPr>
            <w:vAlign w:val="center"/>
          </w:tcPr>
          <w:p>
            <w:pPr>
              <w:jc w:val="center"/>
            </w:pPr>
            <w:r>
              <w:rPr>
                <w:color w:val="000000"/>
                <w:sz w:val="24"/>
              </w:rPr>
              <w:t>18</w:t>
            </w:r>
          </w:p>
        </w:tc>
        <w:tc>
          <w:tcPr>
            <w:vAlign w:val="center"/>
          </w:tcPr>
          <w:p>
            <w:pPr>
              <w:jc w:val="center"/>
            </w:pPr>
            <w:r>
              <w:rPr>
                <w:color w:val="000000"/>
                <w:sz w:val="24"/>
              </w:rPr>
              <w:t>110041</w:t>
            </w:r>
          </w:p>
        </w:tc>
        <w:tc>
          <w:tcPr>
            <w:vAlign w:val="center"/>
          </w:tcPr>
          <w:p>
            <w:pPr>
              <w:jc w:val="center"/>
            </w:pPr>
            <w:r>
              <w:rPr>
                <w:color w:val="000000"/>
                <w:sz w:val="24"/>
              </w:rPr>
              <w:t>蒙电转债</w:t>
            </w:r>
          </w:p>
        </w:tc>
        <w:tc>
          <w:tcPr>
            <w:vAlign w:val="center"/>
          </w:tcPr>
          <w:p>
            <w:pPr>
              <w:jc w:val="right"/>
            </w:pPr>
            <w:r>
              <w:rPr>
                <w:color w:val="000000"/>
                <w:sz w:val="24"/>
              </w:rPr>
              <w:t>43,889,711.10</w:t>
            </w:r>
          </w:p>
        </w:tc>
        <w:tc>
          <w:tcPr>
            <w:vAlign w:val="center"/>
          </w:tcPr>
          <w:p>
            <w:pPr>
              <w:jc w:val="right"/>
            </w:pPr>
            <w:r>
              <w:rPr>
                <w:color w:val="000000"/>
                <w:sz w:val="24"/>
              </w:rPr>
              <w:t>0.21</w:t>
            </w:r>
          </w:p>
        </w:tc>
      </w:tr>
      <w:tr>
        <w:tc>
          <w:tcPr>
            <w:vAlign w:val="center"/>
          </w:tcPr>
          <w:p>
            <w:pPr>
              <w:jc w:val="center"/>
            </w:pPr>
            <w:r>
              <w:rPr>
                <w:color w:val="000000"/>
                <w:sz w:val="24"/>
              </w:rPr>
              <w:t>19</w:t>
            </w:r>
          </w:p>
        </w:tc>
        <w:tc>
          <w:tcPr>
            <w:vAlign w:val="center"/>
          </w:tcPr>
          <w:p>
            <w:pPr>
              <w:jc w:val="center"/>
            </w:pPr>
            <w:r>
              <w:rPr>
                <w:color w:val="000000"/>
                <w:sz w:val="24"/>
              </w:rPr>
              <w:t>128032</w:t>
            </w:r>
          </w:p>
        </w:tc>
        <w:tc>
          <w:tcPr>
            <w:vAlign w:val="center"/>
          </w:tcPr>
          <w:p>
            <w:pPr>
              <w:jc w:val="center"/>
            </w:pPr>
            <w:r>
              <w:rPr>
                <w:color w:val="000000"/>
                <w:sz w:val="24"/>
              </w:rPr>
              <w:t>双环转债</w:t>
            </w:r>
          </w:p>
        </w:tc>
        <w:tc>
          <w:tcPr>
            <w:vAlign w:val="center"/>
          </w:tcPr>
          <w:p>
            <w:pPr>
              <w:jc w:val="right"/>
            </w:pPr>
            <w:r>
              <w:rPr>
                <w:color w:val="000000"/>
                <w:sz w:val="24"/>
              </w:rPr>
              <w:t>39,714,920.26</w:t>
            </w:r>
          </w:p>
        </w:tc>
        <w:tc>
          <w:tcPr>
            <w:vAlign w:val="center"/>
          </w:tcPr>
          <w:p>
            <w:pPr>
              <w:jc w:val="right"/>
            </w:pPr>
            <w:r>
              <w:rPr>
                <w:color w:val="000000"/>
                <w:sz w:val="24"/>
              </w:rPr>
              <w:t>0.19</w:t>
            </w:r>
          </w:p>
        </w:tc>
      </w:tr>
      <w:tr>
        <w:tc>
          <w:tcPr>
            <w:vAlign w:val="center"/>
          </w:tcPr>
          <w:p>
            <w:pPr>
              <w:jc w:val="center"/>
            </w:pPr>
            <w:r>
              <w:rPr>
                <w:color w:val="000000"/>
                <w:sz w:val="24"/>
              </w:rPr>
              <w:t>20</w:t>
            </w:r>
          </w:p>
        </w:tc>
        <w:tc>
          <w:tcPr>
            <w:vAlign w:val="center"/>
          </w:tcPr>
          <w:p>
            <w:pPr>
              <w:jc w:val="center"/>
            </w:pPr>
            <w:r>
              <w:rPr>
                <w:color w:val="000000"/>
                <w:sz w:val="24"/>
              </w:rPr>
              <w:t>113545</w:t>
            </w:r>
          </w:p>
        </w:tc>
        <w:tc>
          <w:tcPr>
            <w:vAlign w:val="center"/>
          </w:tcPr>
          <w:p>
            <w:pPr>
              <w:jc w:val="center"/>
            </w:pPr>
            <w:r>
              <w:rPr>
                <w:color w:val="000000"/>
                <w:sz w:val="24"/>
              </w:rPr>
              <w:t>金能转债</w:t>
            </w:r>
          </w:p>
        </w:tc>
        <w:tc>
          <w:tcPr>
            <w:vAlign w:val="center"/>
          </w:tcPr>
          <w:p>
            <w:pPr>
              <w:jc w:val="right"/>
            </w:pPr>
            <w:r>
              <w:rPr>
                <w:color w:val="000000"/>
                <w:sz w:val="24"/>
              </w:rPr>
              <w:t>36,997,446.00</w:t>
            </w:r>
          </w:p>
        </w:tc>
        <w:tc>
          <w:tcPr>
            <w:vAlign w:val="center"/>
          </w:tcPr>
          <w:p>
            <w:pPr>
              <w:jc w:val="right"/>
            </w:pPr>
            <w:r>
              <w:rPr>
                <w:color w:val="000000"/>
                <w:sz w:val="24"/>
              </w:rPr>
              <w:t>0.18</w:t>
            </w:r>
          </w:p>
        </w:tc>
      </w:tr>
      <w:tr>
        <w:tc>
          <w:tcPr>
            <w:vAlign w:val="center"/>
          </w:tcPr>
          <w:p>
            <w:pPr>
              <w:jc w:val="center"/>
            </w:pPr>
            <w:r>
              <w:rPr>
                <w:color w:val="000000"/>
                <w:sz w:val="24"/>
              </w:rPr>
              <w:t>21</w:t>
            </w:r>
          </w:p>
        </w:tc>
        <w:tc>
          <w:tcPr>
            <w:vAlign w:val="center"/>
          </w:tcPr>
          <w:p>
            <w:pPr>
              <w:jc w:val="center"/>
            </w:pPr>
            <w:r>
              <w:rPr>
                <w:color w:val="000000"/>
                <w:sz w:val="24"/>
              </w:rPr>
              <w:t>113530</w:t>
            </w:r>
          </w:p>
        </w:tc>
        <w:tc>
          <w:tcPr>
            <w:vAlign w:val="center"/>
          </w:tcPr>
          <w:p>
            <w:pPr>
              <w:jc w:val="center"/>
            </w:pPr>
            <w:r>
              <w:rPr>
                <w:color w:val="000000"/>
                <w:sz w:val="24"/>
              </w:rPr>
              <w:t>大丰转债</w:t>
            </w:r>
          </w:p>
        </w:tc>
        <w:tc>
          <w:tcPr>
            <w:vAlign w:val="center"/>
          </w:tcPr>
          <w:p>
            <w:pPr>
              <w:jc w:val="right"/>
            </w:pPr>
            <w:r>
              <w:rPr>
                <w:color w:val="000000"/>
                <w:sz w:val="24"/>
              </w:rPr>
              <w:t>32,174,978.00</w:t>
            </w:r>
          </w:p>
        </w:tc>
        <w:tc>
          <w:tcPr>
            <w:vAlign w:val="center"/>
          </w:tcPr>
          <w:p>
            <w:pPr>
              <w:jc w:val="right"/>
            </w:pPr>
            <w:r>
              <w:rPr>
                <w:color w:val="000000"/>
                <w:sz w:val="24"/>
              </w:rPr>
              <w:t>0.16</w:t>
            </w:r>
          </w:p>
        </w:tc>
      </w:tr>
      <w:tr>
        <w:tc>
          <w:tcPr>
            <w:vAlign w:val="center"/>
          </w:tcPr>
          <w:p>
            <w:pPr>
              <w:jc w:val="center"/>
            </w:pPr>
            <w:r>
              <w:rPr>
                <w:color w:val="000000"/>
                <w:sz w:val="24"/>
              </w:rPr>
              <w:t>22</w:t>
            </w:r>
          </w:p>
        </w:tc>
        <w:tc>
          <w:tcPr>
            <w:vAlign w:val="center"/>
          </w:tcPr>
          <w:p>
            <w:pPr>
              <w:jc w:val="center"/>
            </w:pPr>
            <w:r>
              <w:rPr>
                <w:color w:val="000000"/>
                <w:sz w:val="24"/>
              </w:rPr>
              <w:t>128085</w:t>
            </w:r>
          </w:p>
        </w:tc>
        <w:tc>
          <w:tcPr>
            <w:vAlign w:val="center"/>
          </w:tcPr>
          <w:p>
            <w:pPr>
              <w:jc w:val="center"/>
            </w:pPr>
            <w:r>
              <w:rPr>
                <w:color w:val="000000"/>
                <w:sz w:val="24"/>
              </w:rPr>
              <w:t>鸿达转债</w:t>
            </w:r>
          </w:p>
        </w:tc>
        <w:tc>
          <w:tcPr>
            <w:vAlign w:val="center"/>
          </w:tcPr>
          <w:p>
            <w:pPr>
              <w:jc w:val="right"/>
            </w:pPr>
            <w:r>
              <w:rPr>
                <w:color w:val="000000"/>
                <w:sz w:val="24"/>
              </w:rPr>
              <w:t>32,144,877.66</w:t>
            </w:r>
          </w:p>
        </w:tc>
        <w:tc>
          <w:tcPr>
            <w:vAlign w:val="center"/>
          </w:tcPr>
          <w:p>
            <w:pPr>
              <w:jc w:val="right"/>
            </w:pPr>
            <w:r>
              <w:rPr>
                <w:color w:val="000000"/>
                <w:sz w:val="24"/>
              </w:rPr>
              <w:t>0.16</w:t>
            </w:r>
          </w:p>
        </w:tc>
      </w:tr>
      <w:tr>
        <w:tc>
          <w:tcPr>
            <w:vAlign w:val="center"/>
          </w:tcPr>
          <w:p>
            <w:pPr>
              <w:jc w:val="center"/>
            </w:pPr>
            <w:r>
              <w:rPr>
                <w:color w:val="000000"/>
                <w:sz w:val="24"/>
              </w:rPr>
              <w:t>23</w:t>
            </w:r>
          </w:p>
        </w:tc>
        <w:tc>
          <w:tcPr>
            <w:vAlign w:val="center"/>
          </w:tcPr>
          <w:p>
            <w:pPr>
              <w:jc w:val="center"/>
            </w:pPr>
            <w:r>
              <w:rPr>
                <w:color w:val="000000"/>
                <w:sz w:val="24"/>
              </w:rPr>
              <w:t>128018</w:t>
            </w:r>
          </w:p>
        </w:tc>
        <w:tc>
          <w:tcPr>
            <w:vAlign w:val="center"/>
          </w:tcPr>
          <w:p>
            <w:pPr>
              <w:jc w:val="center"/>
            </w:pPr>
            <w:r>
              <w:rPr>
                <w:color w:val="000000"/>
                <w:sz w:val="24"/>
              </w:rPr>
              <w:t>时达转债</w:t>
            </w:r>
          </w:p>
        </w:tc>
        <w:tc>
          <w:tcPr>
            <w:vAlign w:val="center"/>
          </w:tcPr>
          <w:p>
            <w:pPr>
              <w:jc w:val="right"/>
            </w:pPr>
            <w:r>
              <w:rPr>
                <w:color w:val="000000"/>
                <w:sz w:val="24"/>
              </w:rPr>
              <w:t>27,470,348.72</w:t>
            </w:r>
          </w:p>
        </w:tc>
        <w:tc>
          <w:tcPr>
            <w:vAlign w:val="center"/>
          </w:tcPr>
          <w:p>
            <w:pPr>
              <w:jc w:val="right"/>
            </w:pPr>
            <w:r>
              <w:rPr>
                <w:color w:val="000000"/>
                <w:sz w:val="24"/>
              </w:rPr>
              <w:t>0.13</w:t>
            </w:r>
          </w:p>
        </w:tc>
      </w:tr>
      <w:tr>
        <w:tc>
          <w:tcPr>
            <w:vAlign w:val="center"/>
          </w:tcPr>
          <w:p>
            <w:pPr>
              <w:jc w:val="center"/>
            </w:pPr>
            <w:r>
              <w:rPr>
                <w:color w:val="000000"/>
                <w:sz w:val="24"/>
              </w:rPr>
              <w:t>24</w:t>
            </w:r>
          </w:p>
        </w:tc>
        <w:tc>
          <w:tcPr>
            <w:vAlign w:val="center"/>
          </w:tcPr>
          <w:p>
            <w:pPr>
              <w:jc w:val="center"/>
            </w:pPr>
            <w:r>
              <w:rPr>
                <w:color w:val="000000"/>
                <w:sz w:val="24"/>
              </w:rPr>
              <w:t>110034</w:t>
            </w:r>
          </w:p>
        </w:tc>
        <w:tc>
          <w:tcPr>
            <w:vAlign w:val="center"/>
          </w:tcPr>
          <w:p>
            <w:pPr>
              <w:jc w:val="center"/>
            </w:pPr>
            <w:r>
              <w:rPr>
                <w:color w:val="000000"/>
                <w:sz w:val="24"/>
              </w:rPr>
              <w:t>九州转债</w:t>
            </w:r>
          </w:p>
        </w:tc>
        <w:tc>
          <w:tcPr>
            <w:vAlign w:val="center"/>
          </w:tcPr>
          <w:p>
            <w:pPr>
              <w:jc w:val="right"/>
            </w:pPr>
            <w:r>
              <w:rPr>
                <w:color w:val="000000"/>
                <w:sz w:val="24"/>
              </w:rPr>
              <w:t>25,997,078.70</w:t>
            </w:r>
          </w:p>
        </w:tc>
        <w:tc>
          <w:tcPr>
            <w:vAlign w:val="center"/>
          </w:tcPr>
          <w:p>
            <w:pPr>
              <w:jc w:val="right"/>
            </w:pPr>
            <w:r>
              <w:rPr>
                <w:color w:val="000000"/>
                <w:sz w:val="24"/>
              </w:rPr>
              <w:t>0.13</w:t>
            </w:r>
          </w:p>
        </w:tc>
      </w:tr>
      <w:tr>
        <w:tc>
          <w:tcPr>
            <w:vAlign w:val="center"/>
          </w:tcPr>
          <w:p>
            <w:pPr>
              <w:jc w:val="center"/>
            </w:pPr>
            <w:r>
              <w:rPr>
                <w:color w:val="000000"/>
                <w:sz w:val="24"/>
              </w:rPr>
              <w:t>25</w:t>
            </w:r>
          </w:p>
        </w:tc>
        <w:tc>
          <w:tcPr>
            <w:vAlign w:val="center"/>
          </w:tcPr>
          <w:p>
            <w:pPr>
              <w:jc w:val="center"/>
            </w:pPr>
            <w:r>
              <w:rPr>
                <w:color w:val="000000"/>
                <w:sz w:val="24"/>
              </w:rPr>
              <w:t>110048</w:t>
            </w:r>
          </w:p>
        </w:tc>
        <w:tc>
          <w:tcPr>
            <w:vAlign w:val="center"/>
          </w:tcPr>
          <w:p>
            <w:pPr>
              <w:jc w:val="center"/>
            </w:pPr>
            <w:r>
              <w:rPr>
                <w:color w:val="000000"/>
                <w:sz w:val="24"/>
              </w:rPr>
              <w:t>福能转债</w:t>
            </w:r>
          </w:p>
        </w:tc>
        <w:tc>
          <w:tcPr>
            <w:vAlign w:val="center"/>
          </w:tcPr>
          <w:p>
            <w:pPr>
              <w:jc w:val="right"/>
            </w:pPr>
            <w:r>
              <w:rPr>
                <w:color w:val="000000"/>
                <w:sz w:val="24"/>
              </w:rPr>
              <w:t>25,071,632.30</w:t>
            </w:r>
          </w:p>
        </w:tc>
        <w:tc>
          <w:tcPr>
            <w:vAlign w:val="center"/>
          </w:tcPr>
          <w:p>
            <w:pPr>
              <w:jc w:val="right"/>
            </w:pPr>
            <w:r>
              <w:rPr>
                <w:color w:val="000000"/>
                <w:sz w:val="24"/>
              </w:rPr>
              <w:t>0.12</w:t>
            </w:r>
          </w:p>
        </w:tc>
      </w:tr>
      <w:tr>
        <w:tc>
          <w:tcPr>
            <w:vAlign w:val="center"/>
          </w:tcPr>
          <w:p>
            <w:pPr>
              <w:jc w:val="center"/>
            </w:pPr>
            <w:r>
              <w:rPr>
                <w:color w:val="000000"/>
                <w:sz w:val="24"/>
              </w:rPr>
              <w:t>26</w:t>
            </w:r>
          </w:p>
        </w:tc>
        <w:tc>
          <w:tcPr>
            <w:vAlign w:val="center"/>
          </w:tcPr>
          <w:p>
            <w:pPr>
              <w:jc w:val="center"/>
            </w:pPr>
            <w:r>
              <w:rPr>
                <w:color w:val="000000"/>
                <w:sz w:val="24"/>
              </w:rPr>
              <w:t>128033</w:t>
            </w:r>
          </w:p>
        </w:tc>
        <w:tc>
          <w:tcPr>
            <w:vAlign w:val="center"/>
          </w:tcPr>
          <w:p>
            <w:pPr>
              <w:jc w:val="center"/>
            </w:pPr>
            <w:r>
              <w:rPr>
                <w:color w:val="000000"/>
                <w:sz w:val="24"/>
              </w:rPr>
              <w:t>迪龙转债</w:t>
            </w:r>
          </w:p>
        </w:tc>
        <w:tc>
          <w:tcPr>
            <w:vAlign w:val="center"/>
          </w:tcPr>
          <w:p>
            <w:pPr>
              <w:jc w:val="right"/>
            </w:pPr>
            <w:r>
              <w:rPr>
                <w:color w:val="000000"/>
                <w:sz w:val="24"/>
              </w:rPr>
              <w:t>23,146,238.40</w:t>
            </w:r>
          </w:p>
        </w:tc>
        <w:tc>
          <w:tcPr>
            <w:vAlign w:val="center"/>
          </w:tcPr>
          <w:p>
            <w:pPr>
              <w:jc w:val="right"/>
            </w:pPr>
            <w:r>
              <w:rPr>
                <w:color w:val="000000"/>
                <w:sz w:val="24"/>
              </w:rPr>
              <w:t>0.11</w:t>
            </w:r>
          </w:p>
        </w:tc>
      </w:tr>
      <w:tr>
        <w:tc>
          <w:tcPr>
            <w:vAlign w:val="center"/>
          </w:tcPr>
          <w:p>
            <w:pPr>
              <w:jc w:val="center"/>
            </w:pPr>
            <w:r>
              <w:rPr>
                <w:color w:val="000000"/>
                <w:sz w:val="24"/>
              </w:rPr>
              <w:t>27</w:t>
            </w:r>
          </w:p>
        </w:tc>
        <w:tc>
          <w:tcPr>
            <w:vAlign w:val="center"/>
          </w:tcPr>
          <w:p>
            <w:pPr>
              <w:jc w:val="center"/>
            </w:pPr>
            <w:r>
              <w:rPr>
                <w:color w:val="000000"/>
                <w:sz w:val="24"/>
              </w:rPr>
              <w:t>123011</w:t>
            </w:r>
          </w:p>
        </w:tc>
        <w:tc>
          <w:tcPr>
            <w:vAlign w:val="center"/>
          </w:tcPr>
          <w:p>
            <w:pPr>
              <w:jc w:val="center"/>
            </w:pPr>
            <w:r>
              <w:rPr>
                <w:color w:val="000000"/>
                <w:sz w:val="24"/>
              </w:rPr>
              <w:t>德尔转债</w:t>
            </w:r>
          </w:p>
        </w:tc>
        <w:tc>
          <w:tcPr>
            <w:vAlign w:val="center"/>
          </w:tcPr>
          <w:p>
            <w:pPr>
              <w:jc w:val="right"/>
            </w:pPr>
            <w:r>
              <w:rPr>
                <w:color w:val="000000"/>
                <w:sz w:val="24"/>
              </w:rPr>
              <w:t>22,189,197.81</w:t>
            </w:r>
          </w:p>
        </w:tc>
        <w:tc>
          <w:tcPr>
            <w:vAlign w:val="center"/>
          </w:tcPr>
          <w:p>
            <w:pPr>
              <w:jc w:val="right"/>
            </w:pPr>
            <w:r>
              <w:rPr>
                <w:color w:val="000000"/>
                <w:sz w:val="24"/>
              </w:rPr>
              <w:t>0.11</w:t>
            </w:r>
          </w:p>
        </w:tc>
      </w:tr>
      <w:tr>
        <w:tc>
          <w:tcPr>
            <w:vAlign w:val="center"/>
          </w:tcPr>
          <w:p>
            <w:pPr>
              <w:jc w:val="center"/>
            </w:pPr>
            <w:r>
              <w:rPr>
                <w:color w:val="000000"/>
                <w:sz w:val="24"/>
              </w:rPr>
              <w:t>28</w:t>
            </w:r>
          </w:p>
        </w:tc>
        <w:tc>
          <w:tcPr>
            <w:vAlign w:val="center"/>
          </w:tcPr>
          <w:p>
            <w:pPr>
              <w:jc w:val="center"/>
            </w:pPr>
            <w:r>
              <w:rPr>
                <w:color w:val="000000"/>
                <w:sz w:val="24"/>
              </w:rPr>
              <w:t>113519</w:t>
            </w:r>
          </w:p>
        </w:tc>
        <w:tc>
          <w:tcPr>
            <w:vAlign w:val="center"/>
          </w:tcPr>
          <w:p>
            <w:pPr>
              <w:jc w:val="center"/>
            </w:pPr>
            <w:r>
              <w:rPr>
                <w:color w:val="000000"/>
                <w:sz w:val="24"/>
              </w:rPr>
              <w:t>长久转债</w:t>
            </w:r>
          </w:p>
        </w:tc>
        <w:tc>
          <w:tcPr>
            <w:vAlign w:val="center"/>
          </w:tcPr>
          <w:p>
            <w:pPr>
              <w:jc w:val="right"/>
            </w:pPr>
            <w:r>
              <w:rPr>
                <w:color w:val="000000"/>
                <w:sz w:val="24"/>
              </w:rPr>
              <w:t>21,939,443.20</w:t>
            </w:r>
          </w:p>
        </w:tc>
        <w:tc>
          <w:tcPr>
            <w:vAlign w:val="center"/>
          </w:tcPr>
          <w:p>
            <w:pPr>
              <w:jc w:val="right"/>
            </w:pPr>
            <w:r>
              <w:rPr>
                <w:color w:val="000000"/>
                <w:sz w:val="24"/>
              </w:rPr>
              <w:t>0.11</w:t>
            </w:r>
          </w:p>
        </w:tc>
      </w:tr>
      <w:tr>
        <w:tc>
          <w:tcPr>
            <w:vAlign w:val="center"/>
          </w:tcPr>
          <w:p>
            <w:pPr>
              <w:jc w:val="center"/>
            </w:pPr>
            <w:r>
              <w:rPr>
                <w:color w:val="000000"/>
                <w:sz w:val="24"/>
              </w:rPr>
              <w:t>29</w:t>
            </w:r>
          </w:p>
        </w:tc>
        <w:tc>
          <w:tcPr>
            <w:vAlign w:val="center"/>
          </w:tcPr>
          <w:p>
            <w:pPr>
              <w:jc w:val="center"/>
            </w:pPr>
            <w:r>
              <w:rPr>
                <w:color w:val="000000"/>
                <w:sz w:val="24"/>
              </w:rPr>
              <w:t>128013</w:t>
            </w:r>
          </w:p>
        </w:tc>
        <w:tc>
          <w:tcPr>
            <w:vAlign w:val="center"/>
          </w:tcPr>
          <w:p>
            <w:pPr>
              <w:jc w:val="center"/>
            </w:pPr>
            <w:r>
              <w:rPr>
                <w:color w:val="000000"/>
                <w:sz w:val="24"/>
              </w:rPr>
              <w:t>洪涛转债</w:t>
            </w:r>
          </w:p>
        </w:tc>
        <w:tc>
          <w:tcPr>
            <w:vAlign w:val="center"/>
          </w:tcPr>
          <w:p>
            <w:pPr>
              <w:jc w:val="right"/>
            </w:pPr>
            <w:r>
              <w:rPr>
                <w:color w:val="000000"/>
                <w:sz w:val="24"/>
              </w:rPr>
              <w:t>20,110,460.00</w:t>
            </w:r>
          </w:p>
        </w:tc>
        <w:tc>
          <w:tcPr>
            <w:vAlign w:val="center"/>
          </w:tcPr>
          <w:p>
            <w:pPr>
              <w:jc w:val="right"/>
            </w:pPr>
            <w:r>
              <w:rPr>
                <w:color w:val="000000"/>
                <w:sz w:val="24"/>
              </w:rPr>
              <w:t>0.10</w:t>
            </w:r>
          </w:p>
        </w:tc>
      </w:tr>
      <w:tr>
        <w:tc>
          <w:tcPr>
            <w:vAlign w:val="center"/>
          </w:tcPr>
          <w:p>
            <w:pPr>
              <w:jc w:val="center"/>
            </w:pPr>
            <w:r>
              <w:rPr>
                <w:color w:val="000000"/>
                <w:sz w:val="24"/>
              </w:rPr>
              <w:t>30</w:t>
            </w:r>
          </w:p>
        </w:tc>
        <w:tc>
          <w:tcPr>
            <w:vAlign w:val="center"/>
          </w:tcPr>
          <w:p>
            <w:pPr>
              <w:jc w:val="center"/>
            </w:pPr>
            <w:r>
              <w:rPr>
                <w:color w:val="000000"/>
                <w:sz w:val="24"/>
              </w:rPr>
              <w:t>128019</w:t>
            </w:r>
          </w:p>
        </w:tc>
        <w:tc>
          <w:tcPr>
            <w:vAlign w:val="center"/>
          </w:tcPr>
          <w:p>
            <w:pPr>
              <w:jc w:val="center"/>
            </w:pPr>
            <w:r>
              <w:rPr>
                <w:color w:val="000000"/>
                <w:sz w:val="24"/>
              </w:rPr>
              <w:t>久立转2</w:t>
            </w:r>
          </w:p>
        </w:tc>
        <w:tc>
          <w:tcPr>
            <w:vAlign w:val="center"/>
          </w:tcPr>
          <w:p>
            <w:pPr>
              <w:jc w:val="right"/>
            </w:pPr>
            <w:r>
              <w:rPr>
                <w:color w:val="000000"/>
                <w:sz w:val="24"/>
              </w:rPr>
              <w:t>19,983,337.43</w:t>
            </w:r>
          </w:p>
        </w:tc>
        <w:tc>
          <w:tcPr>
            <w:vAlign w:val="center"/>
          </w:tcPr>
          <w:p>
            <w:pPr>
              <w:jc w:val="right"/>
            </w:pPr>
            <w:r>
              <w:rPr>
                <w:color w:val="000000"/>
                <w:sz w:val="24"/>
              </w:rPr>
              <w:t>0.10</w:t>
            </w:r>
          </w:p>
        </w:tc>
      </w:tr>
      <w:tr>
        <w:tc>
          <w:tcPr>
            <w:vAlign w:val="center"/>
          </w:tcPr>
          <w:p>
            <w:pPr>
              <w:jc w:val="center"/>
            </w:pPr>
            <w:r>
              <w:rPr>
                <w:color w:val="000000"/>
                <w:sz w:val="24"/>
              </w:rPr>
              <w:t>31</w:t>
            </w:r>
          </w:p>
        </w:tc>
        <w:tc>
          <w:tcPr>
            <w:vAlign w:val="center"/>
          </w:tcPr>
          <w:p>
            <w:pPr>
              <w:jc w:val="center"/>
            </w:pPr>
            <w:r>
              <w:rPr>
                <w:color w:val="000000"/>
                <w:sz w:val="24"/>
              </w:rPr>
              <w:t>128063</w:t>
            </w:r>
          </w:p>
        </w:tc>
        <w:tc>
          <w:tcPr>
            <w:vAlign w:val="center"/>
          </w:tcPr>
          <w:p>
            <w:pPr>
              <w:jc w:val="center"/>
            </w:pPr>
            <w:r>
              <w:rPr>
                <w:color w:val="000000"/>
                <w:sz w:val="24"/>
              </w:rPr>
              <w:t>未来转债</w:t>
            </w:r>
          </w:p>
        </w:tc>
        <w:tc>
          <w:tcPr>
            <w:vAlign w:val="center"/>
          </w:tcPr>
          <w:p>
            <w:pPr>
              <w:jc w:val="right"/>
            </w:pPr>
            <w:r>
              <w:rPr>
                <w:color w:val="000000"/>
                <w:sz w:val="24"/>
              </w:rPr>
              <w:t>19,001,802.60</w:t>
            </w:r>
          </w:p>
        </w:tc>
        <w:tc>
          <w:tcPr>
            <w:vAlign w:val="center"/>
          </w:tcPr>
          <w:p>
            <w:pPr>
              <w:jc w:val="right"/>
            </w:pPr>
            <w:r>
              <w:rPr>
                <w:color w:val="000000"/>
                <w:sz w:val="24"/>
              </w:rPr>
              <w:t>0.09</w:t>
            </w:r>
          </w:p>
        </w:tc>
      </w:tr>
      <w:tr>
        <w:tc>
          <w:tcPr>
            <w:vAlign w:val="center"/>
          </w:tcPr>
          <w:p>
            <w:pPr>
              <w:jc w:val="center"/>
            </w:pPr>
            <w:r>
              <w:rPr>
                <w:color w:val="000000"/>
                <w:sz w:val="24"/>
              </w:rPr>
              <w:t>32</w:t>
            </w:r>
          </w:p>
        </w:tc>
        <w:tc>
          <w:tcPr>
            <w:vAlign w:val="center"/>
          </w:tcPr>
          <w:p>
            <w:pPr>
              <w:jc w:val="center"/>
            </w:pPr>
            <w:r>
              <w:rPr>
                <w:color w:val="000000"/>
                <w:sz w:val="24"/>
              </w:rPr>
              <w:t>128042</w:t>
            </w:r>
          </w:p>
        </w:tc>
        <w:tc>
          <w:tcPr>
            <w:vAlign w:val="center"/>
          </w:tcPr>
          <w:p>
            <w:pPr>
              <w:jc w:val="center"/>
            </w:pPr>
            <w:r>
              <w:rPr>
                <w:color w:val="000000"/>
                <w:sz w:val="24"/>
              </w:rPr>
              <w:t>凯中转债</w:t>
            </w:r>
          </w:p>
        </w:tc>
        <w:tc>
          <w:tcPr>
            <w:vAlign w:val="center"/>
          </w:tcPr>
          <w:p>
            <w:pPr>
              <w:jc w:val="right"/>
            </w:pPr>
            <w:r>
              <w:rPr>
                <w:color w:val="000000"/>
                <w:sz w:val="24"/>
              </w:rPr>
              <w:t>18,456,094.64</w:t>
            </w:r>
          </w:p>
        </w:tc>
        <w:tc>
          <w:tcPr>
            <w:vAlign w:val="center"/>
          </w:tcPr>
          <w:p>
            <w:pPr>
              <w:jc w:val="right"/>
            </w:pPr>
            <w:r>
              <w:rPr>
                <w:color w:val="000000"/>
                <w:sz w:val="24"/>
              </w:rPr>
              <w:t>0.09</w:t>
            </w:r>
          </w:p>
        </w:tc>
      </w:tr>
      <w:tr>
        <w:tc>
          <w:tcPr>
            <w:vAlign w:val="center"/>
          </w:tcPr>
          <w:p>
            <w:pPr>
              <w:jc w:val="center"/>
            </w:pPr>
            <w:r>
              <w:rPr>
                <w:color w:val="000000"/>
                <w:sz w:val="24"/>
              </w:rPr>
              <w:t>33</w:t>
            </w:r>
          </w:p>
        </w:tc>
        <w:tc>
          <w:tcPr>
            <w:vAlign w:val="center"/>
          </w:tcPr>
          <w:p>
            <w:pPr>
              <w:jc w:val="center"/>
            </w:pPr>
            <w:r>
              <w:rPr>
                <w:color w:val="000000"/>
                <w:sz w:val="24"/>
              </w:rPr>
              <w:t>113012</w:t>
            </w:r>
          </w:p>
        </w:tc>
        <w:tc>
          <w:tcPr>
            <w:vAlign w:val="center"/>
          </w:tcPr>
          <w:p>
            <w:pPr>
              <w:jc w:val="center"/>
            </w:pPr>
            <w:r>
              <w:rPr>
                <w:color w:val="000000"/>
                <w:sz w:val="24"/>
              </w:rPr>
              <w:t>骆驼转债</w:t>
            </w:r>
          </w:p>
        </w:tc>
        <w:tc>
          <w:tcPr>
            <w:vAlign w:val="center"/>
          </w:tcPr>
          <w:p>
            <w:pPr>
              <w:jc w:val="right"/>
            </w:pPr>
            <w:r>
              <w:rPr>
                <w:color w:val="000000"/>
                <w:sz w:val="24"/>
              </w:rPr>
              <w:t>17,593,169.80</w:t>
            </w:r>
          </w:p>
        </w:tc>
        <w:tc>
          <w:tcPr>
            <w:vAlign w:val="center"/>
          </w:tcPr>
          <w:p>
            <w:pPr>
              <w:jc w:val="right"/>
            </w:pPr>
            <w:r>
              <w:rPr>
                <w:color w:val="000000"/>
                <w:sz w:val="24"/>
              </w:rPr>
              <w:t>0.09</w:t>
            </w:r>
          </w:p>
        </w:tc>
      </w:tr>
      <w:tr>
        <w:tc>
          <w:tcPr>
            <w:vAlign w:val="center"/>
          </w:tcPr>
          <w:p>
            <w:pPr>
              <w:jc w:val="center"/>
            </w:pPr>
            <w:r>
              <w:rPr>
                <w:color w:val="000000"/>
                <w:sz w:val="24"/>
              </w:rPr>
              <w:t>34</w:t>
            </w:r>
          </w:p>
        </w:tc>
        <w:tc>
          <w:tcPr>
            <w:vAlign w:val="center"/>
          </w:tcPr>
          <w:p>
            <w:pPr>
              <w:jc w:val="center"/>
            </w:pPr>
            <w:r>
              <w:rPr>
                <w:color w:val="000000"/>
                <w:sz w:val="24"/>
              </w:rPr>
              <w:t>128026</w:t>
            </w:r>
          </w:p>
        </w:tc>
        <w:tc>
          <w:tcPr>
            <w:vAlign w:val="center"/>
          </w:tcPr>
          <w:p>
            <w:pPr>
              <w:jc w:val="center"/>
            </w:pPr>
            <w:r>
              <w:rPr>
                <w:color w:val="000000"/>
                <w:sz w:val="24"/>
              </w:rPr>
              <w:t>众兴转债</w:t>
            </w:r>
          </w:p>
        </w:tc>
        <w:tc>
          <w:tcPr>
            <w:vAlign w:val="center"/>
          </w:tcPr>
          <w:p>
            <w:pPr>
              <w:jc w:val="right"/>
            </w:pPr>
            <w:r>
              <w:rPr>
                <w:color w:val="000000"/>
                <w:sz w:val="24"/>
              </w:rPr>
              <w:t>16,554,927.36</w:t>
            </w:r>
          </w:p>
        </w:tc>
        <w:tc>
          <w:tcPr>
            <w:vAlign w:val="center"/>
          </w:tcPr>
          <w:p>
            <w:pPr>
              <w:jc w:val="right"/>
            </w:pPr>
            <w:r>
              <w:rPr>
                <w:color w:val="000000"/>
                <w:sz w:val="24"/>
              </w:rPr>
              <w:t>0.08</w:t>
            </w:r>
          </w:p>
        </w:tc>
      </w:tr>
      <w:tr>
        <w:tc>
          <w:tcPr>
            <w:vAlign w:val="center"/>
          </w:tcPr>
          <w:p>
            <w:pPr>
              <w:jc w:val="center"/>
            </w:pPr>
            <w:r>
              <w:rPr>
                <w:color w:val="000000"/>
                <w:sz w:val="24"/>
              </w:rPr>
              <w:t>35</w:t>
            </w:r>
          </w:p>
        </w:tc>
        <w:tc>
          <w:tcPr>
            <w:vAlign w:val="center"/>
          </w:tcPr>
          <w:p>
            <w:pPr>
              <w:jc w:val="center"/>
            </w:pPr>
            <w:r>
              <w:rPr>
                <w:color w:val="000000"/>
                <w:sz w:val="24"/>
              </w:rPr>
              <w:t>128037</w:t>
            </w:r>
          </w:p>
        </w:tc>
        <w:tc>
          <w:tcPr>
            <w:vAlign w:val="center"/>
          </w:tcPr>
          <w:p>
            <w:pPr>
              <w:jc w:val="center"/>
            </w:pPr>
            <w:r>
              <w:rPr>
                <w:color w:val="000000"/>
                <w:sz w:val="24"/>
              </w:rPr>
              <w:t>岩土转债</w:t>
            </w:r>
          </w:p>
        </w:tc>
        <w:tc>
          <w:tcPr>
            <w:vAlign w:val="center"/>
          </w:tcPr>
          <w:p>
            <w:pPr>
              <w:jc w:val="right"/>
            </w:pPr>
            <w:r>
              <w:rPr>
                <w:color w:val="000000"/>
                <w:sz w:val="24"/>
              </w:rPr>
              <w:t>15,350,688.10</w:t>
            </w:r>
          </w:p>
        </w:tc>
        <w:tc>
          <w:tcPr>
            <w:vAlign w:val="center"/>
          </w:tcPr>
          <w:p>
            <w:pPr>
              <w:jc w:val="right"/>
            </w:pPr>
            <w:r>
              <w:rPr>
                <w:color w:val="000000"/>
                <w:sz w:val="24"/>
              </w:rPr>
              <w:t>0.07</w:t>
            </w:r>
          </w:p>
        </w:tc>
      </w:tr>
      <w:tr>
        <w:tc>
          <w:tcPr>
            <w:vAlign w:val="center"/>
          </w:tcPr>
          <w:p>
            <w:pPr>
              <w:jc w:val="center"/>
            </w:pPr>
            <w:r>
              <w:rPr>
                <w:color w:val="000000"/>
                <w:sz w:val="24"/>
              </w:rPr>
              <w:t>36</w:t>
            </w:r>
          </w:p>
        </w:tc>
        <w:tc>
          <w:tcPr>
            <w:vAlign w:val="center"/>
          </w:tcPr>
          <w:p>
            <w:pPr>
              <w:jc w:val="center"/>
            </w:pPr>
            <w:r>
              <w:rPr>
                <w:color w:val="000000"/>
                <w:sz w:val="24"/>
              </w:rPr>
              <w:t>113535</w:t>
            </w:r>
          </w:p>
        </w:tc>
        <w:tc>
          <w:tcPr>
            <w:vAlign w:val="center"/>
          </w:tcPr>
          <w:p>
            <w:pPr>
              <w:jc w:val="center"/>
            </w:pPr>
            <w:r>
              <w:rPr>
                <w:color w:val="000000"/>
                <w:sz w:val="24"/>
              </w:rPr>
              <w:t>大业转债</w:t>
            </w:r>
          </w:p>
        </w:tc>
        <w:tc>
          <w:tcPr>
            <w:vAlign w:val="center"/>
          </w:tcPr>
          <w:p>
            <w:pPr>
              <w:jc w:val="right"/>
            </w:pPr>
            <w:r>
              <w:rPr>
                <w:color w:val="000000"/>
                <w:sz w:val="24"/>
              </w:rPr>
              <w:t>15,222,648.40</w:t>
            </w:r>
          </w:p>
        </w:tc>
        <w:tc>
          <w:tcPr>
            <w:vAlign w:val="center"/>
          </w:tcPr>
          <w:p>
            <w:pPr>
              <w:jc w:val="right"/>
            </w:pPr>
            <w:r>
              <w:rPr>
                <w:color w:val="000000"/>
                <w:sz w:val="24"/>
              </w:rPr>
              <w:t>0.07</w:t>
            </w:r>
          </w:p>
        </w:tc>
      </w:tr>
      <w:tr>
        <w:tc>
          <w:tcPr>
            <w:vAlign w:val="center"/>
          </w:tcPr>
          <w:p>
            <w:pPr>
              <w:jc w:val="center"/>
            </w:pPr>
            <w:r>
              <w:rPr>
                <w:color w:val="000000"/>
                <w:sz w:val="24"/>
              </w:rPr>
              <w:t>37</w:t>
            </w:r>
          </w:p>
        </w:tc>
        <w:tc>
          <w:tcPr>
            <w:vAlign w:val="center"/>
          </w:tcPr>
          <w:p>
            <w:pPr>
              <w:jc w:val="center"/>
            </w:pPr>
            <w:r>
              <w:rPr>
                <w:color w:val="000000"/>
                <w:sz w:val="24"/>
              </w:rPr>
              <w:t>123023</w:t>
            </w:r>
          </w:p>
        </w:tc>
        <w:tc>
          <w:tcPr>
            <w:vAlign w:val="center"/>
          </w:tcPr>
          <w:p>
            <w:pPr>
              <w:jc w:val="center"/>
            </w:pPr>
            <w:r>
              <w:rPr>
                <w:color w:val="000000"/>
                <w:sz w:val="24"/>
              </w:rPr>
              <w:t>迪森转债</w:t>
            </w:r>
          </w:p>
        </w:tc>
        <w:tc>
          <w:tcPr>
            <w:vAlign w:val="center"/>
          </w:tcPr>
          <w:p>
            <w:pPr>
              <w:jc w:val="right"/>
            </w:pPr>
            <w:r>
              <w:rPr>
                <w:color w:val="000000"/>
                <w:sz w:val="24"/>
              </w:rPr>
              <w:t>15,203,653.88</w:t>
            </w:r>
          </w:p>
        </w:tc>
        <w:tc>
          <w:tcPr>
            <w:vAlign w:val="center"/>
          </w:tcPr>
          <w:p>
            <w:pPr>
              <w:jc w:val="right"/>
            </w:pPr>
            <w:r>
              <w:rPr>
                <w:color w:val="000000"/>
                <w:sz w:val="24"/>
              </w:rPr>
              <w:t>0.07</w:t>
            </w:r>
          </w:p>
        </w:tc>
      </w:tr>
      <w:tr>
        <w:tc>
          <w:tcPr>
            <w:vAlign w:val="center"/>
          </w:tcPr>
          <w:p>
            <w:pPr>
              <w:jc w:val="center"/>
            </w:pPr>
            <w:r>
              <w:rPr>
                <w:color w:val="000000"/>
                <w:sz w:val="24"/>
              </w:rPr>
              <w:t>38</w:t>
            </w:r>
          </w:p>
        </w:tc>
        <w:tc>
          <w:tcPr>
            <w:vAlign w:val="center"/>
          </w:tcPr>
          <w:p>
            <w:pPr>
              <w:jc w:val="center"/>
            </w:pPr>
            <w:r>
              <w:rPr>
                <w:color w:val="000000"/>
                <w:sz w:val="24"/>
              </w:rPr>
              <w:t>113025</w:t>
            </w:r>
          </w:p>
        </w:tc>
        <w:tc>
          <w:tcPr>
            <w:vAlign w:val="center"/>
          </w:tcPr>
          <w:p>
            <w:pPr>
              <w:jc w:val="center"/>
            </w:pPr>
            <w:r>
              <w:rPr>
                <w:color w:val="000000"/>
                <w:sz w:val="24"/>
              </w:rPr>
              <w:t>明泰转债</w:t>
            </w:r>
          </w:p>
        </w:tc>
        <w:tc>
          <w:tcPr>
            <w:vAlign w:val="center"/>
          </w:tcPr>
          <w:p>
            <w:pPr>
              <w:jc w:val="right"/>
            </w:pPr>
            <w:r>
              <w:rPr>
                <w:color w:val="000000"/>
                <w:sz w:val="24"/>
              </w:rPr>
              <w:t>15,146,687.50</w:t>
            </w:r>
          </w:p>
        </w:tc>
        <w:tc>
          <w:tcPr>
            <w:vAlign w:val="center"/>
          </w:tcPr>
          <w:p>
            <w:pPr>
              <w:jc w:val="right"/>
            </w:pPr>
            <w:r>
              <w:rPr>
                <w:color w:val="000000"/>
                <w:sz w:val="24"/>
              </w:rPr>
              <w:t>0.07</w:t>
            </w:r>
          </w:p>
        </w:tc>
      </w:tr>
      <w:tr>
        <w:tc>
          <w:tcPr>
            <w:vAlign w:val="center"/>
          </w:tcPr>
          <w:p>
            <w:pPr>
              <w:jc w:val="center"/>
            </w:pPr>
            <w:r>
              <w:rPr>
                <w:color w:val="000000"/>
                <w:sz w:val="24"/>
              </w:rPr>
              <w:t>39</w:t>
            </w:r>
          </w:p>
        </w:tc>
        <w:tc>
          <w:tcPr>
            <w:vAlign w:val="center"/>
          </w:tcPr>
          <w:p>
            <w:pPr>
              <w:jc w:val="center"/>
            </w:pPr>
            <w:r>
              <w:rPr>
                <w:color w:val="000000"/>
                <w:sz w:val="24"/>
              </w:rPr>
              <w:t>113528</w:t>
            </w:r>
          </w:p>
        </w:tc>
        <w:tc>
          <w:tcPr>
            <w:vAlign w:val="center"/>
          </w:tcPr>
          <w:p>
            <w:pPr>
              <w:jc w:val="center"/>
            </w:pPr>
            <w:r>
              <w:rPr>
                <w:color w:val="000000"/>
                <w:sz w:val="24"/>
              </w:rPr>
              <w:t>长城转债</w:t>
            </w:r>
          </w:p>
        </w:tc>
        <w:tc>
          <w:tcPr>
            <w:vAlign w:val="center"/>
          </w:tcPr>
          <w:p>
            <w:pPr>
              <w:jc w:val="right"/>
            </w:pPr>
            <w:r>
              <w:rPr>
                <w:color w:val="000000"/>
                <w:sz w:val="24"/>
              </w:rPr>
              <w:t>14,881,456.00</w:t>
            </w:r>
          </w:p>
        </w:tc>
        <w:tc>
          <w:tcPr>
            <w:vAlign w:val="center"/>
          </w:tcPr>
          <w:p>
            <w:pPr>
              <w:jc w:val="right"/>
            </w:pPr>
            <w:r>
              <w:rPr>
                <w:color w:val="000000"/>
                <w:sz w:val="24"/>
              </w:rPr>
              <w:t>0.07</w:t>
            </w:r>
          </w:p>
        </w:tc>
      </w:tr>
      <w:tr>
        <w:tc>
          <w:tcPr>
            <w:vAlign w:val="center"/>
          </w:tcPr>
          <w:p>
            <w:pPr>
              <w:jc w:val="center"/>
            </w:pPr>
            <w:r>
              <w:rPr>
                <w:color w:val="000000"/>
                <w:sz w:val="24"/>
              </w:rPr>
              <w:t>40</w:t>
            </w:r>
          </w:p>
        </w:tc>
        <w:tc>
          <w:tcPr>
            <w:vAlign w:val="center"/>
          </w:tcPr>
          <w:p>
            <w:pPr>
              <w:jc w:val="center"/>
            </w:pPr>
            <w:r>
              <w:rPr>
                <w:color w:val="000000"/>
                <w:sz w:val="24"/>
              </w:rPr>
              <w:t>128015</w:t>
            </w:r>
          </w:p>
        </w:tc>
        <w:tc>
          <w:tcPr>
            <w:vAlign w:val="center"/>
          </w:tcPr>
          <w:p>
            <w:pPr>
              <w:jc w:val="center"/>
            </w:pPr>
            <w:r>
              <w:rPr>
                <w:color w:val="000000"/>
                <w:sz w:val="24"/>
              </w:rPr>
              <w:t>久其转债</w:t>
            </w:r>
          </w:p>
        </w:tc>
        <w:tc>
          <w:tcPr>
            <w:vAlign w:val="center"/>
          </w:tcPr>
          <w:p>
            <w:pPr>
              <w:jc w:val="right"/>
            </w:pPr>
            <w:r>
              <w:rPr>
                <w:color w:val="000000"/>
                <w:sz w:val="24"/>
              </w:rPr>
              <w:t>13,798,560.20</w:t>
            </w:r>
          </w:p>
        </w:tc>
        <w:tc>
          <w:tcPr>
            <w:vAlign w:val="center"/>
          </w:tcPr>
          <w:p>
            <w:pPr>
              <w:jc w:val="right"/>
            </w:pPr>
            <w:r>
              <w:rPr>
                <w:color w:val="000000"/>
                <w:sz w:val="24"/>
              </w:rPr>
              <w:t>0.07</w:t>
            </w:r>
          </w:p>
        </w:tc>
      </w:tr>
      <w:tr>
        <w:tc>
          <w:tcPr>
            <w:vAlign w:val="center"/>
          </w:tcPr>
          <w:p>
            <w:pPr>
              <w:jc w:val="center"/>
            </w:pPr>
            <w:r>
              <w:rPr>
                <w:color w:val="000000"/>
                <w:sz w:val="24"/>
              </w:rPr>
              <w:t>41</w:t>
            </w:r>
          </w:p>
        </w:tc>
        <w:tc>
          <w:tcPr>
            <w:vAlign w:val="center"/>
          </w:tcPr>
          <w:p>
            <w:pPr>
              <w:jc w:val="center"/>
            </w:pPr>
            <w:r>
              <w:rPr>
                <w:color w:val="000000"/>
                <w:sz w:val="24"/>
              </w:rPr>
              <w:t>128044</w:t>
            </w:r>
          </w:p>
        </w:tc>
        <w:tc>
          <w:tcPr>
            <w:vAlign w:val="center"/>
          </w:tcPr>
          <w:p>
            <w:pPr>
              <w:jc w:val="center"/>
            </w:pPr>
            <w:r>
              <w:rPr>
                <w:color w:val="000000"/>
                <w:sz w:val="24"/>
              </w:rPr>
              <w:t>岭南转债</w:t>
            </w:r>
          </w:p>
        </w:tc>
        <w:tc>
          <w:tcPr>
            <w:vAlign w:val="center"/>
          </w:tcPr>
          <w:p>
            <w:pPr>
              <w:jc w:val="right"/>
            </w:pPr>
            <w:r>
              <w:rPr>
                <w:color w:val="000000"/>
                <w:sz w:val="24"/>
              </w:rPr>
              <w:t>13,524,586.50</w:t>
            </w:r>
          </w:p>
        </w:tc>
        <w:tc>
          <w:tcPr>
            <w:vAlign w:val="center"/>
          </w:tcPr>
          <w:p>
            <w:pPr>
              <w:jc w:val="right"/>
            </w:pPr>
            <w:r>
              <w:rPr>
                <w:color w:val="000000"/>
                <w:sz w:val="24"/>
              </w:rPr>
              <w:t>0.07</w:t>
            </w:r>
          </w:p>
        </w:tc>
      </w:tr>
      <w:tr>
        <w:tc>
          <w:tcPr>
            <w:vAlign w:val="center"/>
          </w:tcPr>
          <w:p>
            <w:pPr>
              <w:jc w:val="center"/>
            </w:pPr>
            <w:r>
              <w:rPr>
                <w:color w:val="000000"/>
                <w:sz w:val="24"/>
              </w:rPr>
              <w:t>42</w:t>
            </w:r>
          </w:p>
        </w:tc>
        <w:tc>
          <w:tcPr>
            <w:vAlign w:val="center"/>
          </w:tcPr>
          <w:p>
            <w:pPr>
              <w:jc w:val="center"/>
            </w:pPr>
            <w:r>
              <w:rPr>
                <w:color w:val="000000"/>
                <w:sz w:val="24"/>
              </w:rPr>
              <w:t>128023</w:t>
            </w:r>
          </w:p>
        </w:tc>
        <w:tc>
          <w:tcPr>
            <w:vAlign w:val="center"/>
          </w:tcPr>
          <w:p>
            <w:pPr>
              <w:jc w:val="center"/>
            </w:pPr>
            <w:r>
              <w:rPr>
                <w:color w:val="000000"/>
                <w:sz w:val="24"/>
              </w:rPr>
              <w:t>亚太转债</w:t>
            </w:r>
          </w:p>
        </w:tc>
        <w:tc>
          <w:tcPr>
            <w:vAlign w:val="center"/>
          </w:tcPr>
          <w:p>
            <w:pPr>
              <w:jc w:val="right"/>
            </w:pPr>
            <w:r>
              <w:rPr>
                <w:color w:val="000000"/>
                <w:sz w:val="24"/>
              </w:rPr>
              <w:t>11,770,711.60</w:t>
            </w:r>
          </w:p>
        </w:tc>
        <w:tc>
          <w:tcPr>
            <w:vAlign w:val="center"/>
          </w:tcPr>
          <w:p>
            <w:pPr>
              <w:jc w:val="right"/>
            </w:pPr>
            <w:r>
              <w:rPr>
                <w:color w:val="000000"/>
                <w:sz w:val="24"/>
              </w:rPr>
              <w:t>0.06</w:t>
            </w:r>
          </w:p>
        </w:tc>
      </w:tr>
      <w:tr>
        <w:tc>
          <w:tcPr>
            <w:vAlign w:val="center"/>
          </w:tcPr>
          <w:p>
            <w:pPr>
              <w:jc w:val="center"/>
            </w:pPr>
            <w:r>
              <w:rPr>
                <w:color w:val="000000"/>
                <w:sz w:val="24"/>
              </w:rPr>
              <w:t>43</w:t>
            </w:r>
          </w:p>
        </w:tc>
        <w:tc>
          <w:tcPr>
            <w:vAlign w:val="center"/>
          </w:tcPr>
          <w:p>
            <w:pPr>
              <w:jc w:val="center"/>
            </w:pPr>
            <w:r>
              <w:rPr>
                <w:color w:val="000000"/>
                <w:sz w:val="24"/>
              </w:rPr>
              <w:t>113016</w:t>
            </w:r>
          </w:p>
        </w:tc>
        <w:tc>
          <w:tcPr>
            <w:vAlign w:val="center"/>
          </w:tcPr>
          <w:p>
            <w:pPr>
              <w:jc w:val="center"/>
            </w:pPr>
            <w:r>
              <w:rPr>
                <w:color w:val="000000"/>
                <w:sz w:val="24"/>
              </w:rPr>
              <w:t>小康转债</w:t>
            </w:r>
          </w:p>
        </w:tc>
        <w:tc>
          <w:tcPr>
            <w:vAlign w:val="center"/>
          </w:tcPr>
          <w:p>
            <w:pPr>
              <w:jc w:val="right"/>
            </w:pPr>
            <w:r>
              <w:rPr>
                <w:color w:val="000000"/>
                <w:sz w:val="24"/>
              </w:rPr>
              <w:t>10,860,339.20</w:t>
            </w:r>
          </w:p>
        </w:tc>
        <w:tc>
          <w:tcPr>
            <w:vAlign w:val="center"/>
          </w:tcPr>
          <w:p>
            <w:pPr>
              <w:jc w:val="right"/>
            </w:pPr>
            <w:r>
              <w:rPr>
                <w:color w:val="000000"/>
                <w:sz w:val="24"/>
              </w:rPr>
              <w:t>0.05</w:t>
            </w:r>
          </w:p>
        </w:tc>
      </w:tr>
      <w:tr>
        <w:tc>
          <w:tcPr>
            <w:vAlign w:val="center"/>
          </w:tcPr>
          <w:p>
            <w:pPr>
              <w:jc w:val="center"/>
            </w:pPr>
            <w:r>
              <w:rPr>
                <w:color w:val="000000"/>
                <w:sz w:val="24"/>
              </w:rPr>
              <w:t>44</w:t>
            </w:r>
          </w:p>
        </w:tc>
        <w:tc>
          <w:tcPr>
            <w:vAlign w:val="center"/>
          </w:tcPr>
          <w:p>
            <w:pPr>
              <w:jc w:val="center"/>
            </w:pPr>
            <w:r>
              <w:rPr>
                <w:color w:val="000000"/>
                <w:sz w:val="24"/>
              </w:rPr>
              <w:t>123010</w:t>
            </w:r>
          </w:p>
        </w:tc>
        <w:tc>
          <w:tcPr>
            <w:vAlign w:val="center"/>
          </w:tcPr>
          <w:p>
            <w:pPr>
              <w:jc w:val="center"/>
            </w:pPr>
            <w:r>
              <w:rPr>
                <w:color w:val="000000"/>
                <w:sz w:val="24"/>
              </w:rPr>
              <w:t>博世转债</w:t>
            </w:r>
          </w:p>
        </w:tc>
        <w:tc>
          <w:tcPr>
            <w:vAlign w:val="center"/>
          </w:tcPr>
          <w:p>
            <w:pPr>
              <w:jc w:val="right"/>
            </w:pPr>
            <w:r>
              <w:rPr>
                <w:color w:val="000000"/>
                <w:sz w:val="24"/>
              </w:rPr>
              <w:t>6,512,533.61</w:t>
            </w:r>
          </w:p>
        </w:tc>
        <w:tc>
          <w:tcPr>
            <w:vAlign w:val="center"/>
          </w:tcPr>
          <w:p>
            <w:pPr>
              <w:jc w:val="right"/>
            </w:pPr>
            <w:r>
              <w:rPr>
                <w:color w:val="000000"/>
                <w:sz w:val="24"/>
              </w:rPr>
              <w:t>0.03</w:t>
            </w:r>
          </w:p>
        </w:tc>
      </w:tr>
      <w:tr>
        <w:tc>
          <w:tcPr>
            <w:vAlign w:val="center"/>
          </w:tcPr>
          <w:p>
            <w:pPr>
              <w:jc w:val="center"/>
            </w:pPr>
            <w:r>
              <w:rPr>
                <w:color w:val="000000"/>
                <w:sz w:val="24"/>
              </w:rPr>
              <w:t>45</w:t>
            </w:r>
          </w:p>
        </w:tc>
        <w:tc>
          <w:tcPr>
            <w:vAlign w:val="center"/>
          </w:tcPr>
          <w:p>
            <w:pPr>
              <w:jc w:val="center"/>
            </w:pPr>
            <w:r>
              <w:rPr>
                <w:color w:val="000000"/>
                <w:sz w:val="24"/>
              </w:rPr>
              <w:t>123028</w:t>
            </w:r>
          </w:p>
        </w:tc>
        <w:tc>
          <w:tcPr>
            <w:vAlign w:val="center"/>
          </w:tcPr>
          <w:p>
            <w:pPr>
              <w:jc w:val="center"/>
            </w:pPr>
            <w:r>
              <w:rPr>
                <w:color w:val="000000"/>
                <w:sz w:val="24"/>
              </w:rPr>
              <w:t>清水转债</w:t>
            </w:r>
          </w:p>
        </w:tc>
        <w:tc>
          <w:tcPr>
            <w:vAlign w:val="center"/>
          </w:tcPr>
          <w:p>
            <w:pPr>
              <w:jc w:val="right"/>
            </w:pPr>
            <w:r>
              <w:rPr>
                <w:color w:val="000000"/>
                <w:sz w:val="24"/>
              </w:rPr>
              <w:t>6,409,339.80</w:t>
            </w:r>
          </w:p>
        </w:tc>
        <w:tc>
          <w:tcPr>
            <w:vAlign w:val="center"/>
          </w:tcPr>
          <w:p>
            <w:pPr>
              <w:jc w:val="right"/>
            </w:pPr>
            <w:r>
              <w:rPr>
                <w:color w:val="000000"/>
                <w:sz w:val="24"/>
              </w:rPr>
              <w:t>0.03</w:t>
            </w:r>
          </w:p>
        </w:tc>
      </w:tr>
      <w:tr>
        <w:tc>
          <w:tcPr>
            <w:vAlign w:val="center"/>
          </w:tcPr>
          <w:p>
            <w:pPr>
              <w:jc w:val="center"/>
            </w:pPr>
            <w:r>
              <w:rPr>
                <w:color w:val="000000"/>
                <w:sz w:val="24"/>
              </w:rPr>
              <w:t>46</w:t>
            </w:r>
          </w:p>
        </w:tc>
        <w:tc>
          <w:tcPr>
            <w:vAlign w:val="center"/>
          </w:tcPr>
          <w:p>
            <w:pPr>
              <w:jc w:val="center"/>
            </w:pPr>
            <w:r>
              <w:rPr>
                <w:color w:val="000000"/>
                <w:sz w:val="24"/>
              </w:rPr>
              <w:t>120002</w:t>
            </w:r>
          </w:p>
        </w:tc>
        <w:tc>
          <w:tcPr>
            <w:vAlign w:val="center"/>
          </w:tcPr>
          <w:p>
            <w:pPr>
              <w:jc w:val="center"/>
            </w:pPr>
            <w:r>
              <w:rPr>
                <w:color w:val="000000"/>
                <w:sz w:val="24"/>
              </w:rPr>
              <w:t>18中原EB</w:t>
            </w:r>
          </w:p>
        </w:tc>
        <w:tc>
          <w:tcPr>
            <w:vAlign w:val="center"/>
          </w:tcPr>
          <w:p>
            <w:pPr>
              <w:jc w:val="right"/>
            </w:pPr>
            <w:r>
              <w:rPr>
                <w:color w:val="000000"/>
                <w:sz w:val="24"/>
              </w:rPr>
              <w:t>6,265,840.00</w:t>
            </w:r>
          </w:p>
        </w:tc>
        <w:tc>
          <w:tcPr>
            <w:vAlign w:val="center"/>
          </w:tcPr>
          <w:p>
            <w:pPr>
              <w:jc w:val="right"/>
            </w:pPr>
            <w:r>
              <w:rPr>
                <w:color w:val="000000"/>
                <w:sz w:val="24"/>
              </w:rPr>
              <w:t>0.03</w:t>
            </w:r>
          </w:p>
        </w:tc>
      </w:tr>
      <w:tr>
        <w:tc>
          <w:tcPr>
            <w:vAlign w:val="center"/>
          </w:tcPr>
          <w:p>
            <w:pPr>
              <w:jc w:val="center"/>
            </w:pPr>
            <w:r>
              <w:rPr>
                <w:color w:val="000000"/>
                <w:sz w:val="24"/>
              </w:rPr>
              <w:t>47</w:t>
            </w:r>
          </w:p>
        </w:tc>
        <w:tc>
          <w:tcPr>
            <w:vAlign w:val="center"/>
          </w:tcPr>
          <w:p>
            <w:pPr>
              <w:jc w:val="center"/>
            </w:pPr>
            <w:r>
              <w:rPr>
                <w:color w:val="000000"/>
                <w:sz w:val="24"/>
              </w:rPr>
              <w:t>113516</w:t>
            </w:r>
          </w:p>
        </w:tc>
        <w:tc>
          <w:tcPr>
            <w:vAlign w:val="center"/>
          </w:tcPr>
          <w:p>
            <w:pPr>
              <w:jc w:val="center"/>
            </w:pPr>
            <w:r>
              <w:rPr>
                <w:color w:val="000000"/>
                <w:sz w:val="24"/>
              </w:rPr>
              <w:t>苏农转债</w:t>
            </w:r>
          </w:p>
        </w:tc>
        <w:tc>
          <w:tcPr>
            <w:vAlign w:val="center"/>
          </w:tcPr>
          <w:p>
            <w:pPr>
              <w:jc w:val="right"/>
            </w:pPr>
            <w:r>
              <w:rPr>
                <w:color w:val="000000"/>
                <w:sz w:val="24"/>
              </w:rPr>
              <w:t>4,542,400.50</w:t>
            </w:r>
          </w:p>
        </w:tc>
        <w:tc>
          <w:tcPr>
            <w:vAlign w:val="center"/>
          </w:tcPr>
          <w:p>
            <w:pPr>
              <w:jc w:val="right"/>
            </w:pPr>
            <w:r>
              <w:rPr>
                <w:color w:val="000000"/>
                <w:sz w:val="24"/>
              </w:rPr>
              <w:t>0.02</w:t>
            </w:r>
          </w:p>
        </w:tc>
      </w:tr>
      <w:tr>
        <w:tc>
          <w:tcPr>
            <w:vAlign w:val="center"/>
          </w:tcPr>
          <w:p>
            <w:pPr>
              <w:jc w:val="center"/>
            </w:pPr>
            <w:r>
              <w:rPr>
                <w:color w:val="000000"/>
                <w:sz w:val="24"/>
              </w:rPr>
              <w:t>48</w:t>
            </w:r>
          </w:p>
        </w:tc>
        <w:tc>
          <w:tcPr>
            <w:vAlign w:val="center"/>
          </w:tcPr>
          <w:p>
            <w:pPr>
              <w:jc w:val="center"/>
            </w:pPr>
            <w:r>
              <w:rPr>
                <w:color w:val="000000"/>
                <w:sz w:val="24"/>
              </w:rPr>
              <w:t>113508</w:t>
            </w:r>
          </w:p>
        </w:tc>
        <w:tc>
          <w:tcPr>
            <w:vAlign w:val="center"/>
          </w:tcPr>
          <w:p>
            <w:pPr>
              <w:jc w:val="center"/>
            </w:pPr>
            <w:r>
              <w:rPr>
                <w:color w:val="000000"/>
                <w:sz w:val="24"/>
              </w:rPr>
              <w:t>新凤转债</w:t>
            </w:r>
          </w:p>
        </w:tc>
        <w:tc>
          <w:tcPr>
            <w:vAlign w:val="center"/>
          </w:tcPr>
          <w:p>
            <w:pPr>
              <w:jc w:val="right"/>
            </w:pPr>
            <w:r>
              <w:rPr>
                <w:color w:val="000000"/>
                <w:sz w:val="24"/>
              </w:rPr>
              <w:t>2,804,320.00</w:t>
            </w:r>
          </w:p>
        </w:tc>
        <w:tc>
          <w:tcPr>
            <w:vAlign w:val="center"/>
          </w:tcPr>
          <w:p>
            <w:pPr>
              <w:jc w:val="right"/>
            </w:pPr>
            <w:r>
              <w:rPr>
                <w:color w:val="000000"/>
                <w:sz w:val="24"/>
              </w:rPr>
              <w:t>0.01</w:t>
            </w:r>
          </w:p>
        </w:tc>
      </w:tr>
      <w:tr>
        <w:tc>
          <w:tcPr>
            <w:vAlign w:val="center"/>
          </w:tcPr>
          <w:p>
            <w:pPr>
              <w:jc w:val="center"/>
            </w:pPr>
            <w:r>
              <w:rPr>
                <w:color w:val="000000"/>
                <w:sz w:val="24"/>
              </w:rPr>
              <w:t>49</w:t>
            </w:r>
          </w:p>
        </w:tc>
        <w:tc>
          <w:tcPr>
            <w:vAlign w:val="center"/>
          </w:tcPr>
          <w:p>
            <w:pPr>
              <w:jc w:val="center"/>
            </w:pPr>
            <w:r>
              <w:rPr>
                <w:color w:val="000000"/>
                <w:sz w:val="24"/>
              </w:rPr>
              <w:t>132005</w:t>
            </w:r>
          </w:p>
        </w:tc>
        <w:tc>
          <w:tcPr>
            <w:vAlign w:val="center"/>
          </w:tcPr>
          <w:p>
            <w:pPr>
              <w:jc w:val="center"/>
            </w:pPr>
            <w:r>
              <w:rPr>
                <w:color w:val="000000"/>
                <w:sz w:val="24"/>
              </w:rPr>
              <w:t>15国资EB</w:t>
            </w:r>
          </w:p>
        </w:tc>
        <w:tc>
          <w:tcPr>
            <w:vAlign w:val="center"/>
          </w:tcPr>
          <w:p>
            <w:pPr>
              <w:jc w:val="right"/>
            </w:pPr>
            <w:r>
              <w:rPr>
                <w:color w:val="000000"/>
                <w:sz w:val="24"/>
              </w:rPr>
              <w:t>1,898,115.50</w:t>
            </w:r>
          </w:p>
        </w:tc>
        <w:tc>
          <w:tcPr>
            <w:vAlign w:val="center"/>
          </w:tcPr>
          <w:p>
            <w:pPr>
              <w:jc w:val="right"/>
            </w:pPr>
            <w:r>
              <w:rPr>
                <w:color w:val="000000"/>
                <w:sz w:val="24"/>
              </w:rPr>
              <w:t>0.01</w:t>
            </w:r>
          </w:p>
        </w:tc>
      </w:tr>
      <w:tr>
        <w:tc>
          <w:tcPr>
            <w:vAlign w:val="center"/>
          </w:tcPr>
          <w:p>
            <w:pPr>
              <w:jc w:val="center"/>
            </w:pPr>
            <w:r>
              <w:rPr>
                <w:color w:val="000000"/>
                <w:sz w:val="24"/>
              </w:rPr>
              <w:t>50</w:t>
            </w:r>
          </w:p>
        </w:tc>
        <w:tc>
          <w:tcPr>
            <w:vAlign w:val="center"/>
          </w:tcPr>
          <w:p>
            <w:pPr>
              <w:jc w:val="center"/>
            </w:pPr>
            <w:r>
              <w:rPr>
                <w:color w:val="000000"/>
                <w:sz w:val="24"/>
              </w:rPr>
              <w:t>110051</w:t>
            </w:r>
          </w:p>
        </w:tc>
        <w:tc>
          <w:tcPr>
            <w:vAlign w:val="center"/>
          </w:tcPr>
          <w:p>
            <w:pPr>
              <w:jc w:val="center"/>
            </w:pPr>
            <w:r>
              <w:rPr>
                <w:color w:val="000000"/>
                <w:sz w:val="24"/>
              </w:rPr>
              <w:t>中天转债</w:t>
            </w:r>
          </w:p>
        </w:tc>
        <w:tc>
          <w:tcPr>
            <w:vAlign w:val="center"/>
          </w:tcPr>
          <w:p>
            <w:pPr>
              <w:jc w:val="right"/>
            </w:pPr>
            <w:r>
              <w:rPr>
                <w:color w:val="000000"/>
                <w:sz w:val="24"/>
              </w:rPr>
              <w:t>840,928.60</w:t>
            </w:r>
          </w:p>
        </w:tc>
        <w:tc>
          <w:tcPr>
            <w:vAlign w:val="center"/>
          </w:tcPr>
          <w:p>
            <w:pPr>
              <w:jc w:val="right"/>
            </w:pPr>
            <w:r>
              <w:rPr>
                <w:color w:val="000000"/>
                <w:sz w:val="24"/>
              </w:rPr>
              <w:t>0.00</w:t>
            </w:r>
          </w:p>
        </w:tc>
      </w:tr>
      <w:tr>
        <w:tc>
          <w:tcPr>
            <w:vAlign w:val="center"/>
          </w:tcPr>
          <w:p>
            <w:pPr>
              <w:jc w:val="center"/>
            </w:pPr>
            <w:r>
              <w:rPr>
                <w:color w:val="000000"/>
                <w:sz w:val="24"/>
              </w:rPr>
              <w:t>51</w:t>
            </w:r>
          </w:p>
        </w:tc>
        <w:tc>
          <w:tcPr>
            <w:vAlign w:val="center"/>
          </w:tcPr>
          <w:p>
            <w:pPr>
              <w:jc w:val="center"/>
            </w:pPr>
            <w:r>
              <w:rPr>
                <w:color w:val="000000"/>
                <w:sz w:val="24"/>
              </w:rPr>
              <w:t>113030</w:t>
            </w:r>
          </w:p>
        </w:tc>
        <w:tc>
          <w:tcPr>
            <w:vAlign w:val="center"/>
          </w:tcPr>
          <w:p>
            <w:pPr>
              <w:jc w:val="center"/>
            </w:pPr>
            <w:r>
              <w:rPr>
                <w:color w:val="000000"/>
                <w:sz w:val="24"/>
              </w:rPr>
              <w:t>东风转债</w:t>
            </w:r>
          </w:p>
        </w:tc>
        <w:tc>
          <w:tcPr>
            <w:vAlign w:val="center"/>
          </w:tcPr>
          <w:p>
            <w:pPr>
              <w:jc w:val="right"/>
            </w:pPr>
            <w:r>
              <w:rPr>
                <w:color w:val="000000"/>
                <w:sz w:val="24"/>
              </w:rPr>
              <w:t>31,612.00</w:t>
            </w:r>
          </w:p>
        </w:tc>
        <w:tc>
          <w:tcPr>
            <w:vAlign w:val="center"/>
          </w:tcPr>
          <w:p>
            <w:pPr>
              <w:jc w:val="right"/>
            </w:pPr>
            <w:r>
              <w:rPr>
                <w:color w:val="000000"/>
                <w:sz w:val="24"/>
              </w:rPr>
              <w:t>0.00</w:t>
            </w:r>
          </w:p>
        </w:tc>
      </w:tr>
    </w:tbl>
    <w:p w:rsidP="001D5CD0" w:rsidR="00F016DD" w:rsidRDefault="00F016DD" w:rsidRPr="00E7356F">
      <w:pPr>
        <w:autoSpaceDE w:val="0"/>
        <w:autoSpaceDN w:val="0"/>
        <w:adjustRightInd w:val="0"/>
        <w:spacing w:line="360" w:lineRule="auto"/>
        <w:jc w:val="left"/>
        <w:rPr>
          <w:rFonts w:ascii="宋体"/>
          <w:bCs/>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5.11.5</w:t>
      </w:r>
      <w:r w:rsidRPr="00E7356F">
        <w:rPr>
          <w:rFonts w:ascii="宋体" w:hAnsi="宋体" w:hint="eastAsia"/>
          <w:bCs/>
          <w:sz w:val="24"/>
        </w:rPr>
        <w:t>报告期末前十名股票中存在流通受限情况的说明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gramStart"/>
      <w:r w:rsidRPr="00DF18FE">
        <w:rPr>
          <w:color w:val="000000"/>
          <w:sz w:val="24"/>
        </w:rPr>
        <w:t/>
      </w:r>
      <w:proofErr w:type="gramEnd"/>
      <w:r w:rsidRPr="00DF18FE">
        <w:rPr>
          <w:color w:val="000000"/>
          <w:sz w:val="24"/>
        </w:rPr>
        <w:t>本基金本报告期末前十名股票中不存在流通受限情况。</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6  </w:t>
      </w:r>
      <w:r w:rsidRPr="0078105B">
        <w:rPr>
          <w:rFonts w:ascii="宋体" w:cs="Arial" w:hAnsi="宋体" w:hint="eastAsia"/>
          <w:color w:val="000000"/>
          <w:kern w:val="0"/>
          <w:sz w:val="24"/>
          <w:szCs w:val="24"/>
        </w:rPr>
        <w:t>开放式基金份额变动</w:t>
      </w:r>
    </w:p>
    <w:p w:rsidP="000B7913" w:rsidR="000B7913" w:rsidRDefault="000B7913" w:rsidRPr="000B7913">
      <w:pPr>
        <w:autoSpaceDE w:val="0"/>
        <w:autoSpaceDN w:val="0"/>
        <w:adjustRightInd w:val="0"/>
        <w:spacing w:before="29" w:line="288" w:lineRule="auto"/>
        <w:ind w:left="15" w:right="480"/>
        <w:jc w:val="right"/>
        <w:rPr>
          <w:rFonts w:eastAsiaTheme="minorEastAsia"/>
          <w:color w:themeColor="text1" w:val="000000"/>
          <w:kern w:val="0"/>
          <w:sz w:val="24"/>
        </w:rPr>
      </w:pPr>
      <w:r w:rsidRPr="000B7913">
        <w:rPr>
          <w:rFonts w:eastAsiaTheme="minorEastAsia"/>
          <w:color w:themeColor="text1" w:val="000000"/>
          <w:kern w:val="0"/>
          <w:sz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2199"/>
        <w:gridCol w:w="2126"/>
        <w:gridCol w:w="2126"/>
        <w:gridCol w:w="2183"/>
      </w:tblGrid>
      <w:tr w:rsidR="000B7913" w:rsidRPr="000B7913" w:rsidTr="00FF096F">
        <w:tc>
          <w:tcPr>
            <w:tcW w:type="dxa" w:w="2199"/>
            <w:vAlign w:val="center"/>
          </w:tcPr>
          <w:p w:rsidP="00D97EDE" w:rsidR="000B7913" w:rsidRDefault="000B7913" w:rsidRPr="000B7913">
            <w:pPr>
              <w:autoSpaceDE w:val="0"/>
              <w:autoSpaceDN w:val="0"/>
              <w:adjustRightInd w:val="0"/>
              <w:spacing w:before="29" w:line="360" w:lineRule="auto"/>
              <w:ind w:left="17"/>
              <w:jc w:val="center"/>
              <w:rPr>
                <w:rFonts w:eastAsiaTheme="minorEastAsia"/>
                <w:color w:themeColor="text1" w:val="000000"/>
                <w:kern w:val="0"/>
                <w:sz w:val="24"/>
              </w:rPr>
            </w:pPr>
            <w:r w:rsidRPr="000B7913">
              <w:rPr>
                <w:rFonts w:eastAsiaTheme="minorEastAsia"/>
                <w:color w:themeColor="text1" w:val="000000"/>
                <w:kern w:val="0"/>
                <w:sz w:val="24"/>
              </w:rPr>
              <w:t>项目</w:t>
            </w:r>
            <w:r w:rsidRPr="000B7913">
              <w:rPr>
                <w:color w:themeColor="text1" w:val="000000"/>
                <w:kern w:val="0"/>
                <w:sz w:val="24"/>
              </w:rPr>
              <w:t/>
            </w:r>
            <w:proofErr w:type="spellStart"/>
            <w:r w:rsidRPr="000B7913">
              <w:rPr>
                <w:color w:themeColor="text1" w:val="000000"/>
                <w:kern w:val="0"/>
                <w:sz w:val="24"/>
              </w:rPr>
              <w:t/>
            </w:r>
            <w:proofErr w:type="spellEnd"/>
            <w:r w:rsidRPr="000B7913">
              <w:rPr>
                <w:color w:themeColor="text1" w:val="000000"/>
                <w:kern w:val="0"/>
                <w:sz w:val="24"/>
              </w:rPr>
              <w:t/>
            </w:r>
          </w:p>
        </w:tc>
        <w:tc>
          <w:tcPr>
            <w:tcW w:type="dxa" w:w="2126"/>
            <w:vAlign w:val="center"/>
          </w:tcPr>
          <w:p w:rsidP="00D97EDE" w:rsidR="000B7913" w:rsidRDefault="000B7913" w:rsidRPr="000B7913">
            <w:pPr>
              <w:autoSpaceDE w:val="0"/>
              <w:autoSpaceDN w:val="0"/>
              <w:adjustRightInd w:val="0"/>
              <w:spacing w:before="29" w:line="360" w:lineRule="auto"/>
              <w:ind w:left="17"/>
              <w:jc w:val="center"/>
              <w:rPr>
                <w:rFonts w:eastAsiaTheme="minorEastAsia"/>
                <w:color w:themeColor="text1" w:val="000000"/>
                <w:sz w:val="24"/>
              </w:rPr>
            </w:pPr>
            <w:r w:rsidRPr="000B7913">
              <w:rPr>
                <w:rFonts w:eastAsiaTheme="minorEastAsia"/>
                <w:color w:themeColor="text1" w:val="000000"/>
                <w:kern w:val="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易方达稳健收益债券A</w:t>
            </w:r>
          </w:p>
        </w:tc>
        <w:tc>
          <w:tcPr>
            <w:tcW w:type="dxa" w:w="2126"/>
            <w:vAlign w:val="center"/>
          </w:tcPr>
          <w:p w:rsidP="00D97EDE" w:rsidR="000B7913" w:rsidRDefault="000B7913" w:rsidRPr="000B7913">
            <w:pPr>
              <w:autoSpaceDE w:val="0"/>
              <w:autoSpaceDN w:val="0"/>
              <w:adjustRightInd w:val="0"/>
              <w:spacing w:before="29" w:line="360" w:lineRule="auto"/>
              <w:ind w:left="17"/>
              <w:jc w:val="center"/>
              <w:rPr>
                <w:rFonts w:eastAsiaTheme="minorEastAsia"/>
                <w:color w:themeColor="text1" w:val="000000"/>
                <w:sz w:val="24"/>
              </w:rPr>
            </w:pPr>
            <w:r w:rsidRPr="000B7913">
              <w:rPr>
                <w:rFonts w:eastAsiaTheme="minorEastAsia"/>
                <w:color w:themeColor="text1" w:val="000000"/>
                <w:kern w:val="0"/>
                <w:sz w:val="24"/>
              </w:rPr>
              <w:t/>
            </w:r>
            <w:r w:rsidRPr="000B7913">
              <w:rPr>
                <w:rFonts w:eastAsiaTheme="minorEastAsia"/>
                <w:color w:themeColor="text1" w:val="000000"/>
                <w:sz w:val="24"/>
              </w:rPr>
              <w:t>易方达稳健收益债券B</w:t>
            </w:r>
          </w:p>
        </w:tc>
        <w:tc>
          <w:tcPr>
            <w:tcW w:type="dxa" w:w="2183"/>
            <w:vAlign w:val="center"/>
          </w:tcPr>
          <w:p w:rsidP="00D97EDE" w:rsidR="000B7913" w:rsidRDefault="000B7913" w:rsidRPr="000B7913">
            <w:pPr>
              <w:autoSpaceDE w:val="0"/>
              <w:autoSpaceDN w:val="0"/>
              <w:adjustRightInd w:val="0"/>
              <w:spacing w:before="29" w:line="360" w:lineRule="auto"/>
              <w:ind w:left="17"/>
              <w:jc w:val="center"/>
              <w:rPr>
                <w:rFonts w:eastAsiaTheme="minorEastAsia"/>
                <w:color w:themeColor="text1" w:val="000000"/>
                <w:sz w:val="24"/>
              </w:rPr>
            </w:pPr>
            <w:r w:rsidRPr="000B7913">
              <w:rPr>
                <w:rFonts w:eastAsiaTheme="minorEastAsia"/>
                <w:color w:themeColor="text1" w:val="000000"/>
                <w:kern w:val="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易方达稳健收益债券C</w:t>
            </w:r>
          </w:p>
        </w:tc>
      </w:tr>
      <w:tr w:rsidR="000B7913" w:rsidRPr="000B7913" w:rsidTr="00FF096F">
        <w:tc>
          <w:tcPr>
            <w:tcW w:type="dxa" w:w="2199"/>
            <w:vAlign w:val="center"/>
          </w:tcPr>
          <w:p w:rsidP="00D97EDE" w:rsidR="000B7913" w:rsidRDefault="000B7913" w:rsidRPr="000B7913">
            <w:pPr>
              <w:autoSpaceDE w:val="0"/>
              <w:autoSpaceDN w:val="0"/>
              <w:adjustRightInd w:val="0"/>
              <w:spacing w:before="29" w:line="360" w:lineRule="auto"/>
              <w:ind w:left="17"/>
              <w:jc w:val="left"/>
              <w:rPr>
                <w:rFonts w:eastAsiaTheme="minorEastAsia"/>
                <w:color w:themeColor="text1" w:val="000000"/>
                <w:kern w:val="0"/>
                <w:sz w:val="24"/>
              </w:rPr>
            </w:pPr>
            <w:r w:rsidRPr="000B7913">
              <w:rPr>
                <w:rFonts w:eastAsiaTheme="minorEastAsia"/>
                <w:color w:themeColor="text1" w:val="000000"/>
                <w:kern w:val="0"/>
                <w:sz w:val="24"/>
              </w:rPr>
              <w:lastRenderedPageBreak/>
              <w:t>报告期期</w:t>
            </w:r>
            <w:proofErr w:type="gramStart"/>
            <w:r w:rsidRPr="000B7913">
              <w:rPr>
                <w:rFonts w:eastAsiaTheme="minorEastAsia"/>
                <w:color w:themeColor="text1" w:val="000000"/>
                <w:kern w:val="0"/>
                <w:sz w:val="24"/>
              </w:rPr>
              <w:t>初基金</w:t>
            </w:r>
            <w:proofErr w:type="gramEnd"/>
            <w:r w:rsidRPr="000B7913">
              <w:rPr>
                <w:rFonts w:eastAsiaTheme="minorEastAsia"/>
                <w:color w:themeColor="text1" w:val="000000"/>
                <w:kern w:val="0"/>
                <w:sz w:val="24"/>
              </w:rPr>
              <w:t>份额总额</w:t>
            </w:r>
          </w:p>
        </w:tc>
        <w:tc>
          <w:tcPr>
            <w:tcW w:type="dxa" w:w="2126"/>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3,538,081,558.25</w:t>
            </w:r>
          </w:p>
        </w:tc>
        <w:tc>
          <w:tcPr>
            <w:tcW w:type="dxa" w:w="2126"/>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13,949,185,729.41</w:t>
            </w:r>
          </w:p>
        </w:tc>
        <w:tc>
          <w:tcPr>
            <w:tcW w:type="dxa" w:w="2183"/>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20,017,493.08</w:t>
            </w:r>
          </w:p>
        </w:tc>
      </w:tr>
      <w:tr w:rsidR="000B7913" w:rsidRPr="000B7913" w:rsidTr="00FF096F">
        <w:tc>
          <w:tcPr>
            <w:tcW w:type="dxa" w:w="2199"/>
            <w:vAlign w:val="center"/>
          </w:tcPr>
          <w:p w:rsidP="00D97EDE" w:rsidR="000B7913" w:rsidRDefault="000B7913" w:rsidRPr="000B7913">
            <w:pPr>
              <w:autoSpaceDE w:val="0"/>
              <w:autoSpaceDN w:val="0"/>
              <w:adjustRightInd w:val="0"/>
              <w:spacing w:before="29" w:line="360" w:lineRule="auto"/>
              <w:ind w:left="17"/>
              <w:jc w:val="left"/>
              <w:rPr>
                <w:rFonts w:eastAsiaTheme="minorEastAsia"/>
                <w:color w:themeColor="text1" w:val="000000"/>
                <w:kern w:val="0"/>
                <w:sz w:val="24"/>
              </w:rPr>
            </w:pPr>
            <w:r w:rsidRPr="000B7913">
              <w:rPr>
                <w:rFonts w:eastAsiaTheme="minorEastAsia"/>
                <w:color w:themeColor="text1" w:val="000000"/>
                <w:kern w:val="0"/>
                <w:sz w:val="24"/>
              </w:rPr>
              <w:t/>
            </w:r>
            <w:proofErr w:type="spellStart"/>
            <w:r w:rsidRPr="000B7913">
              <w:rPr>
                <w:rFonts w:eastAsiaTheme="minorEastAsia"/>
                <w:color w:themeColor="text1" w:val="000000"/>
                <w:kern w:val="0"/>
                <w:sz w:val="24"/>
              </w:rPr>
              <w:t/>
            </w:r>
            <w:r w:rsidRPr="000B7913">
              <w:rPr>
                <w:rFonts w:eastAsiaTheme="minorEastAsia"/>
                <w:color w:themeColor="text1" w:val="000000"/>
                <w:sz w:val="24"/>
              </w:rPr>
              <w:t/>
            </w:r>
            <w:proofErr w:type="spellEnd"/>
            <w:r w:rsidRPr="000B7913">
              <w:rPr>
                <w:rFonts w:eastAsiaTheme="minorEastAsia"/>
                <w:color w:themeColor="text1" w:val="000000"/>
                <w:kern w:val="0"/>
                <w:sz w:val="24"/>
              </w:rPr>
              <w:t>报告期</w:t>
            </w:r>
            <w:r w:rsidRPr="000B7913">
              <w:rPr>
                <w:rFonts w:eastAsiaTheme="minorEastAsia"/>
                <w:color w:themeColor="text1" w:val="000000"/>
                <w:kern w:val="0"/>
                <w:sz w:val="24"/>
              </w:rPr>
              <w:t>基金总申购份额</w:t>
            </w:r>
          </w:p>
        </w:tc>
        <w:tc>
          <w:tcPr>
            <w:tcW w:type="dxa" w:w="2126"/>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746,405,488.66</w:t>
            </w:r>
          </w:p>
        </w:tc>
        <w:tc>
          <w:tcPr>
            <w:tcW w:type="dxa" w:w="2126"/>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2,296,623,484.75</w:t>
            </w:r>
          </w:p>
        </w:tc>
        <w:tc>
          <w:tcPr>
            <w:tcW w:type="dxa" w:w="2183"/>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5,340,833.35</w:t>
            </w:r>
          </w:p>
        </w:tc>
      </w:tr>
      <w:tr w:rsidR="000B7913" w:rsidRPr="000B7913" w:rsidTr="00FF096F">
        <w:tc>
          <w:tcPr>
            <w:tcW w:type="dxa" w:w="2199"/>
            <w:vAlign w:val="center"/>
          </w:tcPr>
          <w:p w:rsidP="00D97EDE" w:rsidR="000B7913" w:rsidRDefault="000B7913" w:rsidRPr="000B7913">
            <w:pPr>
              <w:autoSpaceDE w:val="0"/>
              <w:autoSpaceDN w:val="0"/>
              <w:adjustRightInd w:val="0"/>
              <w:spacing w:before="29" w:line="360" w:lineRule="auto"/>
              <w:ind w:left="17"/>
              <w:jc w:val="left"/>
              <w:rPr>
                <w:rFonts w:eastAsiaTheme="minorEastAsia"/>
                <w:color w:themeColor="text1" w:val="000000"/>
                <w:kern w:val="0"/>
                <w:sz w:val="24"/>
              </w:rPr>
            </w:pPr>
            <w:r w:rsidRPr="000B7913">
              <w:rPr>
                <w:rFonts w:eastAsiaTheme="minorEastAsia"/>
                <w:color w:themeColor="text1" w:val="000000"/>
                <w:kern w:val="0"/>
                <w:sz w:val="24"/>
              </w:rPr>
              <w:t>减：</w:t>
            </w:r>
            <w:r w:rsidRPr="000B7913">
              <w:rPr>
                <w:rFonts w:eastAsiaTheme="minorEastAsia"/>
                <w:color w:themeColor="text1" w:val="000000"/>
                <w:kern w:val="0"/>
                <w:sz w:val="24"/>
              </w:rPr>
              <w:t/>
            </w:r>
            <w:proofErr w:type="spellStart"/>
            <w:r w:rsidRPr="000B7913">
              <w:rPr>
                <w:rFonts w:eastAsiaTheme="minorEastAsia"/>
                <w:color w:themeColor="text1" w:val="000000"/>
                <w:kern w:val="0"/>
                <w:sz w:val="24"/>
              </w:rPr>
              <w:t/>
            </w:r>
            <w:r w:rsidRPr="000B7913">
              <w:rPr>
                <w:rFonts w:eastAsiaTheme="minorEastAsia"/>
                <w:color w:themeColor="text1" w:val="000000"/>
                <w:sz w:val="24"/>
              </w:rPr>
              <w:t/>
            </w:r>
            <w:proofErr w:type="spellEnd"/>
            <w:r w:rsidRPr="000B7913">
              <w:rPr>
                <w:rFonts w:eastAsiaTheme="minorEastAsia"/>
                <w:color w:themeColor="text1" w:val="000000"/>
                <w:kern w:val="0"/>
                <w:sz w:val="24"/>
              </w:rPr>
              <w:t>报告期</w:t>
            </w:r>
            <w:r w:rsidRPr="000B7913">
              <w:rPr>
                <w:rFonts w:eastAsiaTheme="minorEastAsia"/>
                <w:color w:themeColor="text1" w:val="000000"/>
                <w:kern w:val="0"/>
                <w:sz w:val="24"/>
              </w:rPr>
              <w:t>基金总赎回份额</w:t>
            </w:r>
          </w:p>
        </w:tc>
        <w:tc>
          <w:tcPr>
            <w:tcW w:type="dxa" w:w="2126"/>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1,338,582,675.13</w:t>
            </w:r>
          </w:p>
        </w:tc>
        <w:tc>
          <w:tcPr>
            <w:tcW w:type="dxa" w:w="2126"/>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3,848,270,594.57</w:t>
            </w:r>
          </w:p>
        </w:tc>
        <w:tc>
          <w:tcPr>
            <w:tcW w:type="dxa" w:w="2183"/>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9,630,401.27</w:t>
            </w:r>
          </w:p>
        </w:tc>
      </w:tr>
      <w:tr w:rsidR="000B7913" w:rsidRPr="000B7913" w:rsidTr="00FF096F">
        <w:tc>
          <w:tcPr>
            <w:tcW w:type="dxa" w:w="2199"/>
            <w:vAlign w:val="center"/>
          </w:tcPr>
          <w:p w:rsidP="00D97EDE" w:rsidR="000B7913" w:rsidRDefault="000B7913" w:rsidRPr="000B7913">
            <w:pPr>
              <w:autoSpaceDE w:val="0"/>
              <w:autoSpaceDN w:val="0"/>
              <w:adjustRightInd w:val="0"/>
              <w:spacing w:before="29" w:line="360" w:lineRule="auto"/>
              <w:ind w:left="17"/>
              <w:jc w:val="left"/>
              <w:rPr>
                <w:rFonts w:eastAsiaTheme="minorEastAsia"/>
                <w:color w:themeColor="text1" w:val="000000"/>
                <w:kern w:val="0"/>
                <w:sz w:val="24"/>
              </w:rPr>
            </w:pPr>
            <w:r w:rsidRPr="000B7913">
              <w:rPr>
                <w:rFonts w:eastAsiaTheme="minorEastAsia"/>
                <w:color w:themeColor="text1" w:val="000000"/>
                <w:kern w:val="0"/>
                <w:sz w:val="24"/>
              </w:rPr>
              <w:t/>
            </w:r>
            <w:proofErr w:type="spellStart"/>
            <w:r w:rsidRPr="000B7913">
              <w:rPr>
                <w:rFonts w:eastAsiaTheme="minorEastAsia"/>
                <w:color w:themeColor="text1" w:val="000000"/>
                <w:kern w:val="0"/>
                <w:sz w:val="24"/>
              </w:rPr>
              <w:t/>
            </w:r>
            <w:r w:rsidRPr="000B7913">
              <w:rPr>
                <w:rFonts w:eastAsiaTheme="minorEastAsia"/>
                <w:color w:themeColor="text1" w:val="000000"/>
                <w:sz w:val="24"/>
              </w:rPr>
              <w:t/>
            </w:r>
            <w:proofErr w:type="spellEnd"/>
            <w:r w:rsidRPr="000B7913">
              <w:rPr>
                <w:rFonts w:eastAsiaTheme="minorEastAsia"/>
                <w:color w:themeColor="text1" w:val="000000"/>
                <w:kern w:val="0"/>
                <w:sz w:val="24"/>
              </w:rPr>
              <w:t>报告期</w:t>
            </w:r>
            <w:r w:rsidRPr="000B7913">
              <w:rPr>
                <w:rFonts w:eastAsiaTheme="minorEastAsia"/>
                <w:color w:themeColor="text1" w:val="000000"/>
                <w:kern w:val="0"/>
                <w:sz w:val="24"/>
              </w:rPr>
              <w:t>基金拆分变动份额</w:t>
            </w:r>
            <w:r w:rsidR="00A6504D" w:rsidRPr="00A6504D">
              <w:rPr>
                <w:rFonts w:eastAsiaTheme="minorEastAsia" w:hint="eastAsia"/>
                <w:color w:themeColor="text1" w:val="000000"/>
                <w:kern w:val="0"/>
                <w:sz w:val="24"/>
              </w:rPr>
              <w:t>（份额减少以“</w:t>
            </w:r>
            <w:r w:rsidR="00A6504D" w:rsidRPr="00A6504D">
              <w:rPr>
                <w:rFonts w:eastAsiaTheme="minorEastAsia" w:hint="eastAsia"/>
                <w:color w:themeColor="text1" w:val="000000"/>
                <w:kern w:val="0"/>
                <w:sz w:val="24"/>
              </w:rPr>
              <w:t>-</w:t>
            </w:r>
            <w:r w:rsidR="00A6504D" w:rsidRPr="00A6504D">
              <w:rPr>
                <w:rFonts w:eastAsiaTheme="minorEastAsia" w:hint="eastAsia"/>
                <w:color w:themeColor="text1" w:val="000000"/>
                <w:kern w:val="0"/>
                <w:sz w:val="24"/>
              </w:rPr>
              <w:t>”填列）</w:t>
            </w:r>
          </w:p>
        </w:tc>
        <w:tc>
          <w:tcPr>
            <w:tcW w:type="dxa" w:w="2126"/>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w:t>
            </w:r>
          </w:p>
        </w:tc>
        <w:tc>
          <w:tcPr>
            <w:tcW w:type="dxa" w:w="2126"/>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w:t>
            </w:r>
          </w:p>
        </w:tc>
        <w:tc>
          <w:tcPr>
            <w:tcW w:type="dxa" w:w="2183"/>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w:t>
            </w:r>
          </w:p>
        </w:tc>
      </w:tr>
      <w:tr w:rsidR="000B7913" w:rsidRPr="000B7913" w:rsidTr="00FF096F">
        <w:tc>
          <w:tcPr>
            <w:tcW w:type="dxa" w:w="2199"/>
            <w:vAlign w:val="center"/>
          </w:tcPr>
          <w:p w:rsidP="00D97EDE" w:rsidR="000B7913" w:rsidRDefault="000B7913" w:rsidRPr="000B7913">
            <w:pPr>
              <w:autoSpaceDE w:val="0"/>
              <w:autoSpaceDN w:val="0"/>
              <w:adjustRightInd w:val="0"/>
              <w:spacing w:before="29" w:line="360" w:lineRule="auto"/>
              <w:ind w:left="17"/>
              <w:jc w:val="left"/>
              <w:rPr>
                <w:rFonts w:eastAsiaTheme="minorEastAsia"/>
                <w:color w:themeColor="text1" w:val="000000"/>
                <w:kern w:val="0"/>
                <w:sz w:val="24"/>
              </w:rPr>
            </w:pPr>
            <w:r w:rsidRPr="000B7913">
              <w:rPr>
                <w:rFonts w:eastAsiaTheme="minorEastAsia"/>
                <w:color w:themeColor="text1" w:val="000000"/>
                <w:kern w:val="0"/>
                <w:sz w:val="24"/>
              </w:rPr>
              <w:t>报告期期末基金份额总额</w:t>
            </w:r>
          </w:p>
        </w:tc>
        <w:tc>
          <w:tcPr>
            <w:tcW w:type="dxa" w:w="2126"/>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2,945,904,371.78</w:t>
            </w:r>
          </w:p>
        </w:tc>
        <w:tc>
          <w:tcPr>
            <w:tcW w:type="dxa" w:w="2126"/>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12,397,538,619.59</w:t>
            </w:r>
          </w:p>
        </w:tc>
        <w:tc>
          <w:tcPr>
            <w:tcW w:type="dxa" w:w="2183"/>
            <w:vAlign w:val="center"/>
          </w:tcPr>
          <w:p w:rsidP="00D97EDE" w:rsidR="000B7913" w:rsidRDefault="000B7913" w:rsidRPr="000B7913">
            <w:pPr>
              <w:autoSpaceDE w:val="0"/>
              <w:autoSpaceDN w:val="0"/>
              <w:adjustRightInd w:val="0"/>
              <w:spacing w:before="29" w:line="360" w:lineRule="auto"/>
              <w:ind w:left="17"/>
              <w:jc w:val="right"/>
              <w:rPr>
                <w:rFonts w:eastAsiaTheme="minorEastAsia"/>
                <w:color w:themeColor="text1" w:val="000000"/>
                <w:sz w:val="24"/>
              </w:rPr>
            </w:pPr>
            <w:r w:rsidRPr="000B7913">
              <w:rPr>
                <w:rFonts w:eastAsiaTheme="minorEastAsia"/>
                <w:color w:themeColor="text1" w:val="000000"/>
                <w:sz w:val="24"/>
              </w:rPr>
              <w:t/>
            </w:r>
            <w:proofErr w:type="spellStart"/>
            <w:r w:rsidRPr="000B7913">
              <w:rPr>
                <w:rFonts w:eastAsiaTheme="minorEastAsia"/>
                <w:color w:themeColor="text1" w:val="000000"/>
                <w:sz w:val="24"/>
              </w:rPr>
              <w:t/>
            </w:r>
            <w:proofErr w:type="spellEnd"/>
            <w:r w:rsidRPr="000B7913">
              <w:rPr>
                <w:rFonts w:eastAsiaTheme="minorEastAsia"/>
                <w:color w:themeColor="text1" w:val="000000"/>
                <w:sz w:val="24"/>
              </w:rPr>
              <w:t>15,727,925.16</w:t>
            </w:r>
          </w:p>
        </w:tc>
      </w:tr>
    </w:tbl>
    <w:p w:rsidP="00B54884" w:rsidR="00F016DD" w:rsidRDefault="00F016DD">
      <w:pPr>
        <w:pStyle w:val="1"/>
        <w:tabs>
          <w:tab w:pos="4156" w:val="center"/>
          <w:tab w:pos="8312" w:val="right"/>
        </w:tabs>
        <w:spacing w:after="312" w:afterLines="100" w:before="312" w:beforeLines="100" w:line="360" w:lineRule="auto"/>
        <w:jc w:val="center"/>
        <w:rPr>
          <w:rFonts w:ascii="方正仿宋简体"/>
          <w:sz w:val="24"/>
          <w:szCs w:val="24"/>
        </w:rPr>
      </w:pPr>
      <w:r w:rsidRPr="00AB67DE">
        <w:rPr>
          <w:rFonts w:ascii="宋体"/>
          <w:color w:val="000000"/>
          <w:kern w:val="0"/>
          <w:sz w:val="24"/>
          <w:szCs w:val="24"/>
        </w:rPr>
        <w:t/>
      </w:r>
      <w:proofErr w:type="spellStart"/>
      <w:r w:rsidRPr="00AB67DE">
        <w:rPr>
          <w:rFonts w:ascii="宋体" w:hAnsi="宋体"/>
          <w:color w:val="000000"/>
          <w:kern w:val="0"/>
          <w:sz w:val="24"/>
          <w:szCs w:val="24"/>
        </w:rPr>
        <w:t/>
      </w:r>
      <w:proofErr w:type="spellEnd"/>
      <w:r w:rsidRPr="00AB67DE">
        <w:rPr>
          <w:rFonts w:ascii="宋体" w:hAnsi="宋体"/>
          <w:color w:val="000000"/>
          <w:kern w:val="0"/>
          <w:sz w:val="24"/>
          <w:szCs w:val="24"/>
        </w:rPr>
        <w:t/>
      </w:r>
      <w:r w:rsidRPr="00AB67DE">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w:r>
      <w:r w:rsidRPr="00AB67DE">
        <w:rPr>
          <w:rFonts w:ascii="宋体" w:cs="Arial"/>
          <w:color w:val="000000"/>
          <w:kern w:val="0"/>
          <w:sz w:val="24"/>
          <w:szCs w:val="24"/>
        </w:rPr>
        <w:t>7</w:t>
      </w:r>
      <w:r w:rsidR="0066098B" w:rsidRPr="0078105B">
        <w:rPr>
          <w:rFonts w:ascii="宋体" w:cs="Arial" w:hAnsi="宋体"/>
          <w:color w:val="000000"/>
          <w:kern w:val="0"/>
          <w:sz w:val="24"/>
          <w:szCs w:val="24"/>
        </w:rPr>
        <w:t xml:space="preserve">  </w:t>
      </w:r>
      <w:r w:rsidRPr="0016464C">
        <w:rPr>
          <w:rFonts w:ascii="方正仿宋简体" w:hint="eastAsia"/>
          <w:sz w:val="24"/>
          <w:szCs w:val="24"/>
        </w:rPr>
        <w:t>基金管理人运用</w:t>
      </w:r>
      <w:proofErr w:type="gramStart"/>
      <w:r w:rsidRPr="0016464C">
        <w:rPr>
          <w:rFonts w:ascii="方正仿宋简体" w:hint="eastAsia"/>
          <w:sz w:val="24"/>
          <w:szCs w:val="24"/>
        </w:rPr>
        <w:t>固有资金</w:t>
      </w:r>
      <w:proofErr w:type="gramEnd"/>
      <w:r w:rsidRPr="0016464C">
        <w:rPr>
          <w:rFonts w:ascii="方正仿宋简体" w:hint="eastAsia"/>
          <w:sz w:val="24"/>
          <w:szCs w:val="24"/>
        </w:rPr>
        <w:t>投资本基金情况</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7.1 </w:t>
      </w:r>
      <w:r>
        <w:rPr>
          <w:rFonts w:hint="eastAsia"/>
          <w:b/>
          <w:sz w:val="24"/>
        </w:rPr>
        <w:t>基</w:t>
      </w:r>
      <w:r w:rsidRPr="00B404F1">
        <w:rPr>
          <w:rFonts w:hint="eastAsia"/>
          <w:b/>
          <w:sz w:val="24"/>
        </w:rPr>
        <w:t>金管理人持有本基金份额变动情况</w:t>
      </w:r>
    </w:p>
    <w:p w:rsidP="00DF18FE" w:rsidR="00F016DD" w:rsidRDefault="00CC78C7" w:rsidRPr="00DF18FE">
      <w:pPr>
        <w:spacing w:line="360" w:lineRule="auto"/>
        <w:ind w:firstLine="480" w:firstLineChars="200"/>
        <w:rPr>
          <w:color w:val="000000"/>
          <w:sz w:val="24"/>
        </w:rPr>
      </w:pPr>
      <w:r w:rsidRPr="00DF18FE">
        <w:rPr>
          <w:color w:val="000000"/>
          <w:sz w:val="24"/>
        </w:rPr>
        <w:t/>
      </w:r>
      <w:r w:rsidRPr="00EA6415">
        <w:rPr>
          <w:color w:val="000000"/>
          <w:sz w:val="24"/>
        </w:rPr>
        <w:t/>
      </w: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本报告期内基金管理人未持有本基金份额。</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7.2 </w:t>
      </w:r>
      <w:r>
        <w:rPr>
          <w:rFonts w:hint="eastAsia"/>
          <w:b/>
          <w:sz w:val="24"/>
        </w:rPr>
        <w:t>基</w:t>
      </w:r>
      <w:r w:rsidRPr="00B404F1">
        <w:rPr>
          <w:rFonts w:hint="eastAsia"/>
          <w:b/>
          <w:sz w:val="24"/>
        </w:rPr>
        <w:t>金管理人运用固有资金投资本基金交易明细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本报告期内基金管理人未运用固有资金申购、赎回、买卖本基金份额。</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color w:val="000000"/>
          <w:kern w:val="0"/>
          <w:sz w:val="24"/>
          <w:szCs w:val="24"/>
        </w:rPr>
        <w:t/>
      </w:r>
      <w:r w:rsidRPr="0078105B">
        <w:rPr>
          <w:rFonts w:ascii="宋体" w:cs="Arial" w:hAnsi="宋体"/>
          <w:color w:val="000000"/>
          <w:kern w:val="0"/>
          <w:sz w:val="24"/>
          <w:szCs w:val="24"/>
        </w:rPr>
        <w:t>8</w:t>
      </w:r>
      <w:r w:rsidR="0066098B" w:rsidRPr="0078105B">
        <w:rPr>
          <w:rFonts w:ascii="宋体" w:cs="Arial" w:hAnsi="宋体"/>
          <w:color w:val="000000"/>
          <w:kern w:val="0"/>
          <w:sz w:val="24"/>
          <w:szCs w:val="24"/>
        </w:rPr>
        <w:t xml:space="preserve">  </w:t>
      </w:r>
      <w:r w:rsidRPr="0078105B">
        <w:rPr>
          <w:rFonts w:ascii="宋体" w:cs="Arial" w:hAnsi="宋体" w:hint="eastAsia"/>
          <w:color w:val="000000"/>
          <w:kern w:val="0"/>
          <w:sz w:val="24"/>
          <w:szCs w:val="24"/>
        </w:rPr>
        <w:t>备查文件目录</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8.1</w:t>
      </w:r>
      <w:r w:rsidRPr="00E8153C">
        <w:rPr>
          <w:color w:val="000000"/>
          <w:kern w:val="0"/>
          <w:sz w:val="24"/>
        </w:rPr>
        <w:t>备查文件目录</w:t>
      </w:r>
    </w:p>
    <w:p>
      <w:pPr>
        <w:spacing w:line="360" w:lineRule="auto"/>
        <w:ind w:firstLine="480" w:firstLineChars="200"/>
        <w:rPr>
          <w:color w:val="000000"/>
          <w:sz w:val="24"/>
        </w:rPr>
      </w:pPr>
      <w:r>
        <w:rPr>
          <w:color w:val="000000"/>
          <w:sz w:val="24"/>
        </w:rPr>
        <w:t>1.中国证监会批准易方达月月收益中短期债券投资基金募集的文件；</w:t>
      </w:r>
    </w:p>
    <w:p>
      <w:pPr>
        <w:spacing w:line="360" w:lineRule="auto"/>
        <w:ind w:firstLine="480" w:firstLineChars="200"/>
        <w:rPr>
          <w:color w:val="000000"/>
          <w:sz w:val="24"/>
        </w:rPr>
      </w:pPr>
      <w:r>
        <w:rPr>
          <w:color w:val="000000"/>
          <w:sz w:val="24"/>
        </w:rPr>
        <w:t>2.中国证监会核准易方达月月收益中短期债券投资基金基金份额持有人大会决议的批复；</w:t>
      </w:r>
    </w:p>
    <w:p>
      <w:pPr>
        <w:spacing w:line="360" w:lineRule="auto"/>
        <w:ind w:firstLine="480" w:firstLineChars="200"/>
        <w:rPr>
          <w:color w:val="000000"/>
          <w:sz w:val="24"/>
        </w:rPr>
      </w:pPr>
      <w:r>
        <w:rPr>
          <w:color w:val="000000"/>
          <w:sz w:val="24"/>
        </w:rPr>
        <w:t>3.《易方达稳健收益债券型证券投资基金基金合同》；</w:t>
      </w:r>
    </w:p>
    <w:p>
      <w:pPr>
        <w:spacing w:line="360" w:lineRule="auto"/>
        <w:ind w:firstLine="480" w:firstLineChars="200"/>
        <w:rPr>
          <w:color w:val="000000"/>
          <w:sz w:val="24"/>
        </w:rPr>
      </w:pPr>
      <w:r>
        <w:rPr>
          <w:color w:val="000000"/>
          <w:sz w:val="24"/>
        </w:rPr>
        <w:t>4.《易方达稳健收益债券型证券投资基金托管协议》；</w:t>
      </w:r>
    </w:p>
    <w:p>
      <w:pPr>
        <w:spacing w:line="360" w:lineRule="auto"/>
        <w:ind w:firstLine="480" w:firstLineChars="200"/>
        <w:rPr>
          <w:color w:val="000000"/>
          <w:sz w:val="24"/>
        </w:rPr>
      </w:pPr>
      <w:r>
        <w:rPr>
          <w:color w:val="000000"/>
          <w:sz w:val="24"/>
        </w:rPr>
        <w:t>5.《易方达基金管理有限公司开放式基金业务规则》；</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6.基金管理人业务资格批件和营业执照。</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8.2</w:t>
      </w:r>
      <w:r w:rsidRPr="00E8153C">
        <w:rPr>
          <w:color w:val="000000"/>
          <w:kern w:val="0"/>
          <w:sz w:val="24"/>
        </w:rPr>
        <w:t>存放地点</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广州市天河区珠江新城珠江东路30号广州银行大厦40-43楼。</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8.3</w:t>
      </w:r>
      <w:r w:rsidRPr="00E8153C">
        <w:rPr>
          <w:color w:val="000000"/>
          <w:kern w:val="0"/>
          <w:sz w:val="24"/>
        </w:rPr>
        <w:t>查阅方式</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投资者可在营业时间免费查阅，也可按工本费购买复印件。</w:t>
      </w:r>
    </w:p>
    <w:p w:rsidP="00FB3C94" w:rsidR="00F016DD" w:rsidRDefault="00F016DD" w:rsidRPr="0078105B">
      <w:pPr>
        <w:spacing w:line="360" w:lineRule="auto"/>
        <w:ind w:left="840"/>
        <w:jc w:val="right"/>
        <w:rPr>
          <w:rFonts w:ascii="宋体"/>
          <w:color w:val="000000"/>
          <w:sz w:val="24"/>
        </w:rPr>
      </w:pPr>
    </w:p>
    <w:p w:rsidP="00053FFD" w:rsidR="00F016DD" w:rsidRDefault="00F016DD" w:rsidRPr="0078105B">
      <w:pPr>
        <w:spacing w:line="360" w:lineRule="auto"/>
        <w:ind w:left="840"/>
        <w:jc w:val="center"/>
        <w:rPr>
          <w:rFonts w:ascii="宋体"/>
          <w:b/>
          <w:color w:val="000000"/>
          <w:sz w:val="24"/>
        </w:rPr>
      </w:pPr>
    </w:p>
    <w:p w:rsidP="00B1493B" w:rsidR="00F016DD" w:rsidRDefault="00F016DD" w:rsidRPr="0078105B">
      <w:pPr>
        <w:spacing w:line="360" w:lineRule="auto"/>
        <w:jc w:val="right"/>
        <w:rPr>
          <w:rFonts w:ascii="宋体" w:hAnsi="宋体"/>
          <w:b/>
          <w:bCs/>
          <w:sz w:val="24"/>
        </w:rPr>
      </w:pPr>
      <w:r w:rsidRPr="0078105B">
        <w:rPr>
          <w:rFonts w:asci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易方达基金管理有限公司</w:t>
      </w:r>
    </w:p>
    <w:p w:rsidP="00B1493B" w:rsidR="00F016DD" w:rsidRDefault="00F016DD" w:rsidRPr="0078105B">
      <w:pPr>
        <w:spacing w:line="360" w:lineRule="auto"/>
        <w:jc w:val="right"/>
        <w:rPr>
          <w:rFonts w:ascii="宋体" w:hAnsi="宋体"/>
          <w:b/>
          <w:bCs/>
          <w:sz w:val="24"/>
        </w:rPr>
      </w:pPr>
      <w:r w:rsidRPr="0078105B">
        <w:rPr>
          <w:rFonts w:ascii="宋体" w:hAns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二〇二〇年十月二十八日</w:t>
      </w:r>
    </w:p>
    <w:sectPr w:rsidR="00F016DD" w:rsidRPr="0078105B" w:rsidSect="00A8324F">
      <w:footerReference r:id="rId13" w:type="even"/>
      <w:footerReference r:id="rId14"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E03" w:rsidRDefault="00DE2E03">
      <w:r>
        <w:separator/>
      </w:r>
    </w:p>
  </w:endnote>
  <w:endnote w:type="continuationSeparator" w:id="0">
    <w:p w:rsidR="00DE2E03" w:rsidRDefault="00DE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7094A" w:rsidR="00B92936" w:rsidRDefault="00B92936" w:rsidRPr="001D0DB0">
    <w:pPr>
      <w:pStyle w:val="a6"/>
      <w:jc w:val="center"/>
    </w:pPr>
    <w:r>
      <w:rPr>
        <w:rFonts w:hint="eastAsia"/>
        <w:szCs w:val="21"/>
      </w:rPr>
      <w:t>第</w:t>
    </w:r>
    <w:r>
      <w:rPr>
        <w:szCs w:val="21"/>
      </w:rPr>
      <w:fldChar w:fldCharType="begin"/>
    </w:r>
    <w:r>
      <w:rPr>
        <w:szCs w:val="21"/>
      </w:rPr>
      <w:instrText xml:space="preserve"> PAGE </w:instrText>
    </w:r>
    <w:r>
      <w:rPr>
        <w:szCs w:val="21"/>
      </w:rPr>
      <w:fldChar w:fldCharType="separate"/>
    </w:r>
    <w:r w:rsidR="00DD5A85">
      <w:rPr>
        <w:noProof/>
        <w:szCs w:val="21"/>
      </w:rPr>
      <w:t>1</w:t>
    </w:r>
    <w:r>
      <w:rPr>
        <w:szCs w:val="21"/>
      </w:rPr>
      <w:fldChar w:fldCharType="end"/>
    </w:r>
    <w:proofErr w:type="gramStart"/>
    <w:r>
      <w:rPr>
        <w:rFonts w:hint="eastAsia"/>
        <w:szCs w:val="21"/>
      </w:rPr>
      <w:t>页共</w:t>
    </w:r>
    <w:proofErr w:type="gramEnd"/>
    <w:r>
      <w:rPr>
        <w:szCs w:val="21"/>
      </w:rPr>
      <w:fldChar w:fldCharType="begin"/>
    </w:r>
    <w:r>
      <w:rPr>
        <w:szCs w:val="21"/>
      </w:rPr>
      <w:instrText xml:space="preserve"> NUMPAGES </w:instrText>
    </w:r>
    <w:r>
      <w:rPr>
        <w:szCs w:val="21"/>
      </w:rPr>
      <w:fldChar w:fldCharType="separate"/>
    </w:r>
    <w:r w:rsidR="00DD5A85">
      <w:rPr>
        <w:noProof/>
        <w:szCs w:val="21"/>
      </w:rPr>
      <w:t>32</w:t>
    </w:r>
    <w:r>
      <w:rPr>
        <w:szCs w:val="21"/>
      </w:rPr>
      <w:fldChar w:fldCharType="end"/>
    </w:r>
    <w:r>
      <w:rPr>
        <w:rFonts w:hint="eastAsia"/>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B92936" w:rsidRDefault="00B92936">
    <w:pPr>
      <w:pStyle w:val="a6"/>
      <w:framePr w:hAnchor="margin" w:vAnchor="text" w:wrap="around" w:xAlign="center" w:y="1"/>
      <w:rPr>
        <w:rStyle w:val="a7"/>
      </w:rPr>
    </w:pPr>
    <w:r>
      <w:rPr>
        <w:rStyle w:val="a7"/>
      </w:rPr>
      <w:fldChar w:fldCharType="begin"/>
    </w:r>
    <w:r>
      <w:rPr>
        <w:rStyle w:val="a7"/>
      </w:rPr>
      <w:instrText xml:space="preserve">PAGE  </w:instrText>
    </w:r>
    <w:r>
      <w:rPr>
        <w:rStyle w:val="a7"/>
      </w:rPr>
      <w:fldChar w:fldCharType="end"/>
    </w:r>
  </w:p>
  <w:p w:rsidR="00B92936" w:rsidRDefault="00B92936">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B92936" w:rsidRDefault="00B92936">
    <w:pPr>
      <w:pStyle w:val="a6"/>
      <w:framePr w:hAnchor="margin" w:vAnchor="text" w:wrap="around" w:xAlign="center" w:y="1"/>
      <w:rPr>
        <w:rStyle w:val="a7"/>
      </w:rPr>
    </w:pPr>
    <w:r>
      <w:rPr>
        <w:rStyle w:val="a7"/>
      </w:rPr>
      <w:fldChar w:fldCharType="begin"/>
    </w:r>
    <w:r>
      <w:rPr>
        <w:rStyle w:val="a7"/>
      </w:rPr>
      <w:instrText xml:space="preserve">PAGE  </w:instrText>
    </w:r>
    <w:r>
      <w:rPr>
        <w:rStyle w:val="a7"/>
      </w:rPr>
      <w:fldChar w:fldCharType="separate"/>
    </w:r>
    <w:r w:rsidR="00DD5A85">
      <w:rPr>
        <w:rStyle w:val="a7"/>
        <w:noProof/>
      </w:rPr>
      <w:t>9</w:t>
    </w:r>
    <w:r>
      <w:rPr>
        <w:rStyle w:val="a7"/>
      </w:rPr>
      <w:fldChar w:fldCharType="end"/>
    </w:r>
  </w:p>
  <w:p w:rsidR="00B92936" w:rsidRDefault="00B92936">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DE2E03" w:rsidRDefault="00DE2E03">
      <w:r>
        <w:separator/>
      </w:r>
    </w:p>
  </w:footnote>
  <w:footnote w:id="0" w:type="continuationSeparator">
    <w:p w:rsidR="00DE2E03" w:rsidRDefault="00DE2E0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207F2" w:rsidR="00B92936" w:rsidRDefault="00B92936" w:rsidRPr="00DA451D">
    <w:pPr>
      <w:pStyle w:val="a9"/>
      <w:pBdr>
        <w:bottom w:color="auto" w:space="0" w:sz="6" w:val="single"/>
      </w:pBdr>
      <w:jc w:val="right"/>
    </w:pPr>
    <w:r w:rsidRPr="00DA451D">
      <w:t/>
    </w:r>
    <w:proofErr w:type="spellStart"/>
    <w:proofErr w:type="gramStart"/>
    <w:r w:rsidRPr="00DA451D">
      <w:t/>
    </w:r>
    <w:proofErr w:type="spellEnd"/>
    <w:proofErr w:type="gramEnd"/>
    <w:r w:rsidRPr="00DA451D">
      <w:t>易方达稳健收益债券型证券投资基金</w:t>
    </w:r>
    <w:proofErr w:type="spellStart"/>
    <w:r w:rsidRPr="00DA451D">
      <w:t/>
    </w:r>
    <w:proofErr w:type="spellEnd"/>
    <w:r w:rsidRPr="00DA451D">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cs="Times New Roman" w:hAnsi="宋体" w:hint="default"/>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lvlOverride w:ilvl="2">
      <w:lvl w:ilvl="2">
        <w:start w:val="1"/>
        <w:numFmt w:val="decimal"/>
        <w:lvlText w:val="%1.%2.%3"/>
        <w:lvlJc w:val="left"/>
        <w:pPr>
          <w:tabs>
            <w:tab w:pos="1418" w:val="num"/>
          </w:tabs>
          <w:ind w:hanging="567" w:left="1418"/>
        </w:pPr>
        <w:rPr>
          <w:rFonts w:cs="Times New Roman"/>
        </w:r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0A18"/>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5DBA"/>
    <w:rsid w:val="00037B55"/>
    <w:rsid w:val="00037C73"/>
    <w:rsid w:val="00042065"/>
    <w:rsid w:val="00043FD2"/>
    <w:rsid w:val="00045558"/>
    <w:rsid w:val="00045BA9"/>
    <w:rsid w:val="00046D1F"/>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4FE0"/>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B7913"/>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4276"/>
    <w:rsid w:val="002346BB"/>
    <w:rsid w:val="002359EB"/>
    <w:rsid w:val="0023649E"/>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6865"/>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516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1058"/>
    <w:rsid w:val="003F1274"/>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36E07"/>
    <w:rsid w:val="004408EC"/>
    <w:rsid w:val="00440F74"/>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0705"/>
    <w:rsid w:val="004C3A16"/>
    <w:rsid w:val="004C634A"/>
    <w:rsid w:val="004C660B"/>
    <w:rsid w:val="004D050C"/>
    <w:rsid w:val="004D23D9"/>
    <w:rsid w:val="004D29A9"/>
    <w:rsid w:val="004D3537"/>
    <w:rsid w:val="004D4D4E"/>
    <w:rsid w:val="004D614E"/>
    <w:rsid w:val="004D650F"/>
    <w:rsid w:val="004D667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36E7"/>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428F"/>
    <w:rsid w:val="005C435D"/>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47504"/>
    <w:rsid w:val="00651B78"/>
    <w:rsid w:val="0065237A"/>
    <w:rsid w:val="00652FF5"/>
    <w:rsid w:val="0065303C"/>
    <w:rsid w:val="00653246"/>
    <w:rsid w:val="00654382"/>
    <w:rsid w:val="006548FA"/>
    <w:rsid w:val="00655C8C"/>
    <w:rsid w:val="0066098B"/>
    <w:rsid w:val="00661244"/>
    <w:rsid w:val="006640DF"/>
    <w:rsid w:val="00666A3C"/>
    <w:rsid w:val="00667519"/>
    <w:rsid w:val="006676A0"/>
    <w:rsid w:val="00670857"/>
    <w:rsid w:val="00670868"/>
    <w:rsid w:val="00670C6E"/>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97D50"/>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0F90"/>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36B2"/>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04D"/>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272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580D"/>
    <w:rsid w:val="00B06019"/>
    <w:rsid w:val="00B0700F"/>
    <w:rsid w:val="00B1493B"/>
    <w:rsid w:val="00B15119"/>
    <w:rsid w:val="00B17169"/>
    <w:rsid w:val="00B23996"/>
    <w:rsid w:val="00B23CB2"/>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37C9"/>
    <w:rsid w:val="00B84643"/>
    <w:rsid w:val="00B90452"/>
    <w:rsid w:val="00B90780"/>
    <w:rsid w:val="00B916D6"/>
    <w:rsid w:val="00B91AD8"/>
    <w:rsid w:val="00B9209B"/>
    <w:rsid w:val="00B9240D"/>
    <w:rsid w:val="00B92936"/>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15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A9E"/>
    <w:rsid w:val="00D52289"/>
    <w:rsid w:val="00D554CA"/>
    <w:rsid w:val="00D55A37"/>
    <w:rsid w:val="00D55B7E"/>
    <w:rsid w:val="00D564C7"/>
    <w:rsid w:val="00D64354"/>
    <w:rsid w:val="00D64D5A"/>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5A85"/>
    <w:rsid w:val="00DD74FC"/>
    <w:rsid w:val="00DE117F"/>
    <w:rsid w:val="00DE1769"/>
    <w:rsid w:val="00DE1A17"/>
    <w:rsid w:val="00DE2E03"/>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43A5C"/>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2FDE"/>
    <w:rsid w:val="00F645D2"/>
    <w:rsid w:val="00F654E6"/>
    <w:rsid w:val="00F662CD"/>
    <w:rsid w:val="00F67E39"/>
    <w:rsid w:val="00F703A8"/>
    <w:rsid w:val="00F707F1"/>
    <w:rsid w:val="00F7094A"/>
    <w:rsid w:val="00F710BE"/>
    <w:rsid w:val="00F72579"/>
    <w:rsid w:val="00F804B9"/>
    <w:rsid w:val="00F80AE2"/>
    <w:rsid w:val="00F8220B"/>
    <w:rsid w:val="00F8265F"/>
    <w:rsid w:val="00F83FF9"/>
    <w:rsid w:val="00F856B1"/>
    <w:rsid w:val="00F85FCB"/>
    <w:rsid w:val="00F870C3"/>
    <w:rsid w:val="00F91B52"/>
    <w:rsid w:val="00F948C8"/>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A45"/>
    <w:rsid w:val="00FE1E47"/>
    <w:rsid w:val="00FE275D"/>
    <w:rsid w:val="00FE4F1A"/>
    <w:rsid w:val="00FE65AC"/>
    <w:rsid w:val="00FE7FBD"/>
    <w:rsid w:val="00FF096F"/>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Normal Indent" w:semiHidden="0" w:uiPriority="0" w:unhideWhenUsed="0"/>
    <w:lsdException w:name="annotation text" w:uiPriority="0"/>
    <w:lsdException w:locked="1" w:name="header" w:semiHidden="0" w:uiPriority="0" w:unhideWhenUsed="0"/>
    <w:lsdException w:locked="1" w:name="caption" w:qFormat="1" w:uiPriority="0"/>
    <w:lsdException w:name="annotation reference"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6A4828"/>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180952"/>
    <w:rPr>
      <w:b/>
      <w:kern w:val="44"/>
      <w:sz w:val="44"/>
    </w:rPr>
  </w:style>
  <w:style w:customStyle="1" w:styleId="2Char" w:type="character">
    <w:name w:val="标题 2 Char"/>
    <w:link w:val="2"/>
    <w:uiPriority w:val="99"/>
    <w:semiHidden/>
    <w:locked/>
    <w:rsid w:val="00AB1112"/>
    <w:rPr>
      <w:rFonts w:ascii="Cambria" w:eastAsia="宋体" w:hAnsi="Cambria"/>
      <w:b/>
      <w:sz w:val="32"/>
    </w:rPr>
  </w:style>
  <w:style w:styleId="a0" w:type="paragraph">
    <w:name w:val="Normal Indent"/>
    <w:basedOn w:val="a"/>
    <w:uiPriority w:val="99"/>
    <w:rsid w:val="006A4828"/>
    <w:pPr>
      <w:ind w:firstLine="420" w:firstLineChars="200"/>
    </w:pPr>
  </w:style>
  <w:style w:styleId="a4" w:type="paragraph">
    <w:name w:val="Body Text Indent"/>
    <w:basedOn w:val="a"/>
    <w:link w:val="Char"/>
    <w:uiPriority w:val="99"/>
    <w:rsid w:val="006A4828"/>
    <w:pPr>
      <w:widowControl/>
      <w:spacing w:after="100" w:afterAutospacing="1" w:before="100" w:beforeAutospacing="1"/>
      <w:jc w:val="left"/>
    </w:pPr>
    <w:rPr>
      <w:kern w:val="0"/>
      <w:sz w:val="24"/>
    </w:rPr>
  </w:style>
  <w:style w:customStyle="1" w:styleId="Char" w:type="character">
    <w:name w:val="正文文本缩进 Char"/>
    <w:link w:val="a4"/>
    <w:uiPriority w:val="99"/>
    <w:semiHidden/>
    <w:locked/>
    <w:rsid w:val="00AB1112"/>
    <w:rPr>
      <w:sz w:val="24"/>
    </w:rPr>
  </w:style>
  <w:style w:styleId="a5" w:type="paragraph">
    <w:name w:val="Plain Text"/>
    <w:basedOn w:val="a"/>
    <w:link w:val="Char0"/>
    <w:uiPriority w:val="99"/>
    <w:rsid w:val="006A4828"/>
    <w:rPr>
      <w:rFonts w:ascii="宋体" w:hAnsi="Courier New"/>
      <w:szCs w:val="21"/>
    </w:rPr>
  </w:style>
  <w:style w:customStyle="1" w:styleId="Char0" w:type="character">
    <w:name w:val="纯文本 Char"/>
    <w:link w:val="a5"/>
    <w:uiPriority w:val="99"/>
    <w:locked/>
    <w:rsid w:val="009A045B"/>
    <w:rPr>
      <w:rFonts w:ascii="宋体" w:hAnsi="Courier New"/>
      <w:kern w:val="2"/>
      <w:sz w:val="21"/>
    </w:rPr>
  </w:style>
  <w:style w:styleId="20" w:type="paragraph">
    <w:name w:val="Body Text Indent 2"/>
    <w:basedOn w:val="a"/>
    <w:link w:val="2Char0"/>
    <w:uiPriority w:val="99"/>
    <w:rsid w:val="006A4828"/>
    <w:pPr>
      <w:spacing w:line="560" w:lineRule="exact"/>
      <w:ind w:firstLine="480" w:firstLineChars="200"/>
    </w:pPr>
    <w:rPr>
      <w:kern w:val="0"/>
      <w:sz w:val="24"/>
    </w:rPr>
  </w:style>
  <w:style w:customStyle="1" w:styleId="2Char0" w:type="character">
    <w:name w:val="正文文本缩进 2 Char"/>
    <w:link w:val="20"/>
    <w:uiPriority w:val="99"/>
    <w:semiHidden/>
    <w:locked/>
    <w:rsid w:val="00AB1112"/>
    <w:rPr>
      <w:sz w:val="24"/>
    </w:rPr>
  </w:style>
  <w:style w:styleId="a6" w:type="paragraph">
    <w:name w:val="footer"/>
    <w:basedOn w:val="a"/>
    <w:link w:val="Char1"/>
    <w:uiPriority w:val="99"/>
    <w:rsid w:val="006A4828"/>
    <w:pPr>
      <w:tabs>
        <w:tab w:pos="4153" w:val="center"/>
        <w:tab w:pos="8306" w:val="right"/>
      </w:tabs>
      <w:snapToGrid w:val="0"/>
      <w:jc w:val="left"/>
    </w:pPr>
    <w:rPr>
      <w:kern w:val="0"/>
      <w:sz w:val="18"/>
      <w:szCs w:val="18"/>
    </w:rPr>
  </w:style>
  <w:style w:customStyle="1" w:styleId="Char1" w:type="character">
    <w:name w:val="页脚 Char"/>
    <w:link w:val="a6"/>
    <w:uiPriority w:val="99"/>
    <w:semiHidden/>
    <w:locked/>
    <w:rsid w:val="00AB1112"/>
    <w:rPr>
      <w:sz w:val="18"/>
    </w:rPr>
  </w:style>
  <w:style w:styleId="a7" w:type="character">
    <w:name w:val="page number"/>
    <w:uiPriority w:val="99"/>
    <w:rsid w:val="006A4828"/>
    <w:rPr>
      <w:rFonts w:cs="Times New Roman"/>
    </w:rPr>
  </w:style>
  <w:style w:styleId="a8" w:type="character">
    <w:name w:val="Hyperlink"/>
    <w:uiPriority w:val="99"/>
    <w:rsid w:val="006A4828"/>
    <w:rPr>
      <w:rFonts w:cs="Times New Roman"/>
      <w:color w:val="0000FF"/>
      <w:u w:val="single"/>
    </w:rPr>
  </w:style>
  <w:style w:styleId="3" w:type="paragraph">
    <w:name w:val="Body Text Indent 3"/>
    <w:basedOn w:val="a"/>
    <w:link w:val="3Char"/>
    <w:uiPriority w:val="99"/>
    <w:rsid w:val="006A4828"/>
    <w:pPr>
      <w:spacing w:line="560" w:lineRule="exact"/>
      <w:ind w:firstLine="420" w:firstLineChars="200"/>
    </w:pPr>
    <w:rPr>
      <w:kern w:val="0"/>
      <w:sz w:val="16"/>
      <w:szCs w:val="16"/>
    </w:rPr>
  </w:style>
  <w:style w:customStyle="1" w:styleId="3Char" w:type="character">
    <w:name w:val="正文文本缩进 3 Char"/>
    <w:link w:val="3"/>
    <w:uiPriority w:val="99"/>
    <w:semiHidden/>
    <w:locked/>
    <w:rsid w:val="00AB1112"/>
    <w:rPr>
      <w:sz w:val="16"/>
    </w:rPr>
  </w:style>
  <w:style w:styleId="a9" w:type="paragraph">
    <w:name w:val="header"/>
    <w:basedOn w:val="a"/>
    <w:link w:val="Char2"/>
    <w:uiPriority w:val="99"/>
    <w:rsid w:val="006A4828"/>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1207F2"/>
    <w:rPr>
      <w:kern w:val="2"/>
      <w:sz w:val="18"/>
    </w:rPr>
  </w:style>
  <w:style w:customStyle="1" w:styleId="10" w:type="character">
    <w:name w:val="已访问的超链接1"/>
    <w:uiPriority w:val="99"/>
    <w:rsid w:val="006A4828"/>
    <w:rPr>
      <w:color w:val="800080"/>
      <w:u w:val="single"/>
    </w:rPr>
  </w:style>
  <w:style w:styleId="aa" w:type="paragraph">
    <w:name w:val="List"/>
    <w:basedOn w:val="ab"/>
    <w:uiPriority w:val="99"/>
    <w:rsid w:val="006A4828"/>
    <w:pPr>
      <w:spacing w:after="220" w:line="220" w:lineRule="atLeast"/>
      <w:ind w:hanging="360" w:left="1440"/>
    </w:pPr>
    <w:rPr>
      <w:szCs w:val="20"/>
    </w:rPr>
  </w:style>
  <w:style w:styleId="ab" w:type="paragraph">
    <w:name w:val="Body Text"/>
    <w:basedOn w:val="a"/>
    <w:link w:val="Char3"/>
    <w:uiPriority w:val="99"/>
    <w:rsid w:val="006A4828"/>
    <w:pPr>
      <w:spacing w:after="120"/>
    </w:pPr>
    <w:rPr>
      <w:kern w:val="0"/>
      <w:sz w:val="24"/>
    </w:rPr>
  </w:style>
  <w:style w:customStyle="1" w:styleId="Char3" w:type="character">
    <w:name w:val="正文文本 Char"/>
    <w:link w:val="ab"/>
    <w:uiPriority w:val="99"/>
    <w:semiHidden/>
    <w:locked/>
    <w:rsid w:val="00AB1112"/>
    <w:rPr>
      <w:sz w:val="24"/>
    </w:rPr>
  </w:style>
  <w:style w:styleId="ac" w:type="paragraph">
    <w:name w:val="Date"/>
    <w:basedOn w:val="a"/>
    <w:next w:val="a"/>
    <w:link w:val="Char4"/>
    <w:uiPriority w:val="99"/>
    <w:rsid w:val="006A4828"/>
    <w:rPr>
      <w:sz w:val="24"/>
      <w:szCs w:val="20"/>
    </w:rPr>
  </w:style>
  <w:style w:customStyle="1" w:styleId="Char4" w:type="character">
    <w:name w:val="日期 Char"/>
    <w:link w:val="ac"/>
    <w:uiPriority w:val="99"/>
    <w:locked/>
    <w:rsid w:val="00D66685"/>
    <w:rPr>
      <w:kern w:val="2"/>
      <w:sz w:val="24"/>
    </w:rPr>
  </w:style>
  <w:style w:customStyle="1" w:styleId="c1" w:type="character">
    <w:name w:val="c1"/>
    <w:uiPriority w:val="99"/>
    <w:rsid w:val="006A4828"/>
    <w:rPr>
      <w:color w:val="000000"/>
      <w:sz w:val="18"/>
    </w:rPr>
  </w:style>
  <w:style w:styleId="11" w:type="paragraph">
    <w:name w:val="index 1"/>
    <w:basedOn w:val="a"/>
    <w:next w:val="a"/>
    <w:autoRedefine/>
    <w:uiPriority w:val="99"/>
    <w:semiHidden/>
    <w:rsid w:val="006A4828"/>
    <w:pPr>
      <w:jc w:val="right"/>
    </w:pPr>
    <w:rPr>
      <w:color w:val="008000"/>
    </w:rPr>
  </w:style>
  <w:style w:customStyle="1" w:styleId="font5" w:type="paragraph">
    <w:name w:val="font5"/>
    <w:basedOn w:val="a"/>
    <w:uiPriority w:val="99"/>
    <w:rsid w:val="006A4828"/>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link w:val="Char5"/>
    <w:uiPriority w:val="99"/>
    <w:semiHidden/>
    <w:rsid w:val="006A4828"/>
    <w:rPr>
      <w:kern w:val="0"/>
      <w:sz w:val="2"/>
      <w:szCs w:val="20"/>
    </w:rPr>
  </w:style>
  <w:style w:customStyle="1" w:styleId="Char5" w:type="character">
    <w:name w:val="批注框文本 Char"/>
    <w:link w:val="ad"/>
    <w:uiPriority w:val="99"/>
    <w:semiHidden/>
    <w:locked/>
    <w:rsid w:val="00AB1112"/>
    <w:rPr>
      <w:sz w:val="2"/>
    </w:rPr>
  </w:style>
  <w:style w:styleId="ae" w:type="character">
    <w:name w:val="annotation reference"/>
    <w:semiHidden/>
    <w:rsid w:val="006A4828"/>
    <w:rPr>
      <w:rFonts w:cs="Times New Roman"/>
      <w:sz w:val="21"/>
    </w:rPr>
  </w:style>
  <w:style w:styleId="af" w:type="paragraph">
    <w:name w:val="annotation text"/>
    <w:basedOn w:val="a"/>
    <w:link w:val="Char6"/>
    <w:semiHidden/>
    <w:rsid w:val="006A4828"/>
    <w:pPr>
      <w:jc w:val="left"/>
    </w:pPr>
    <w:rPr>
      <w:kern w:val="0"/>
      <w:sz w:val="24"/>
    </w:rPr>
  </w:style>
  <w:style w:customStyle="1" w:styleId="Char6" w:type="character">
    <w:name w:val="批注文字 Char"/>
    <w:link w:val="af"/>
    <w:uiPriority w:val="99"/>
    <w:semiHidden/>
    <w:locked/>
    <w:rsid w:val="00AB1112"/>
    <w:rPr>
      <w:sz w:val="24"/>
    </w:rPr>
  </w:style>
  <w:style w:styleId="af0" w:type="paragraph">
    <w:name w:val="annotation subject"/>
    <w:basedOn w:val="af"/>
    <w:next w:val="af"/>
    <w:link w:val="Char7"/>
    <w:uiPriority w:val="99"/>
    <w:semiHidden/>
    <w:rsid w:val="006A4828"/>
    <w:rPr>
      <w:b/>
      <w:bCs/>
    </w:rPr>
  </w:style>
  <w:style w:customStyle="1" w:styleId="Char7" w:type="character">
    <w:name w:val="批注主题 Char"/>
    <w:link w:val="af0"/>
    <w:uiPriority w:val="99"/>
    <w:semiHidden/>
    <w:locked/>
    <w:rsid w:val="00AB1112"/>
    <w:rPr>
      <w:b/>
      <w:sz w:val="24"/>
    </w:rPr>
  </w:style>
  <w:style w:customStyle="1" w:styleId="Char8" w:type="paragraph">
    <w:name w:val="Char"/>
    <w:basedOn w:val="a"/>
    <w:uiPriority w:val="99"/>
    <w:rsid w:val="006A4828"/>
  </w:style>
  <w:style w:styleId="af1" w:type="paragraph">
    <w:name w:val="Document Map"/>
    <w:basedOn w:val="a"/>
    <w:link w:val="Char9"/>
    <w:uiPriority w:val="99"/>
    <w:semiHidden/>
    <w:rsid w:val="000A549A"/>
    <w:pPr>
      <w:shd w:color="auto" w:fill="000080" w:val="clear"/>
    </w:pPr>
    <w:rPr>
      <w:kern w:val="0"/>
      <w:sz w:val="2"/>
      <w:szCs w:val="20"/>
    </w:rPr>
  </w:style>
  <w:style w:customStyle="1" w:styleId="Char9" w:type="character">
    <w:name w:val="文档结构图 Char"/>
    <w:link w:val="af1"/>
    <w:uiPriority w:val="99"/>
    <w:semiHidden/>
    <w:locked/>
    <w:rsid w:val="00AB1112"/>
    <w:rPr>
      <w:sz w:val="2"/>
    </w:r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a"/>
    <w:uiPriority w:val="99"/>
    <w:rsid w:val="000B251E"/>
    <w:pPr>
      <w:snapToGrid w:val="0"/>
      <w:jc w:val="left"/>
    </w:pPr>
    <w:rPr>
      <w:sz w:val="18"/>
      <w:szCs w:val="18"/>
    </w:rPr>
  </w:style>
  <w:style w:customStyle="1" w:styleId="Chara" w:type="character">
    <w:name w:val="脚注文本 Char"/>
    <w:link w:val="af3"/>
    <w:uiPriority w:val="99"/>
    <w:locked/>
    <w:rsid w:val="00CB481C"/>
    <w:rPr>
      <w:kern w:val="2"/>
      <w:sz w:val="18"/>
    </w:rPr>
  </w:style>
  <w:style w:styleId="af4" w:type="character">
    <w:name w:val="footnote reference"/>
    <w:uiPriority w:val="99"/>
    <w:rsid w:val="000B251E"/>
    <w:rPr>
      <w:rFonts w:cs="Times New Roman"/>
      <w:vertAlign w:val="superscript"/>
    </w:rPr>
  </w:style>
  <w:style w:styleId="af5" w:type="paragraph">
    <w:name w:val="Normal (Web)"/>
    <w:basedOn w:val="a"/>
    <w:uiPriority w:val="99"/>
    <w:rsid w:val="00B25807"/>
    <w:pPr>
      <w:widowControl/>
      <w:spacing w:after="100" w:afterAutospacing="1" w:before="100" w:beforeAutospacing="1"/>
      <w:jc w:val="left"/>
    </w:pPr>
    <w:rPr>
      <w:rFonts w:ascii="宋体" w:hAnsi="宋体"/>
      <w:kern w:val="0"/>
      <w:sz w:val="24"/>
    </w:rPr>
  </w:style>
  <w:style w:customStyle="1" w:styleId="Char10" w:type="paragraph">
    <w:name w:val="Char1"/>
    <w:basedOn w:val="a"/>
    <w:uiPriority w:val="99"/>
    <w:rsid w:val="00D97213"/>
  </w:style>
  <w:style w:customStyle="1" w:styleId="t1" w:type="character">
    <w:name w:val="t1"/>
    <w:uiPriority w:val="99"/>
    <w:rsid w:val="002D2A00"/>
    <w:rPr>
      <w:color w:val="990000"/>
    </w:rPr>
  </w:style>
  <w:style w:customStyle="1" w:styleId="Default" w:type="paragraph">
    <w:name w:val="Default"/>
    <w:uiPriority w:val="99"/>
    <w:rsid w:val="00CB481C"/>
    <w:pPr>
      <w:widowControl w:val="0"/>
      <w:autoSpaceDE w:val="0"/>
      <w:autoSpaceDN w:val="0"/>
      <w:adjustRightInd w:val="0"/>
    </w:pPr>
    <w:rPr>
      <w:rFonts w:ascii="FangSong" w:cs="FangSong" w:hAnsi="FangSong"/>
      <w:color w:val="000000"/>
      <w:sz w:val="24"/>
      <w:szCs w:val="24"/>
    </w:rPr>
  </w:style>
  <w:style w:customStyle="1" w:styleId="5" w:type="numbering">
    <w:name w:val="样式5"/>
    <w:rsid w:val="00C00FED"/>
    <w:pPr>
      <w:numPr>
        <w:numId w:val="8"/>
      </w:numPr>
    </w:pPr>
  </w:style>
  <w:style w:styleId="af6" w:type="character">
    <w:name w:val="Strong"/>
    <w:uiPriority w:val="22"/>
    <w:qFormat/>
    <w:locked/>
    <w:rsid w:val="00AE24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3674">
      <w:bodyDiv w:val="1"/>
      <w:marLeft w:val="0"/>
      <w:marRight w:val="0"/>
      <w:marTop w:val="0"/>
      <w:marBottom w:val="0"/>
      <w:divBdr>
        <w:top w:val="none" w:sz="0" w:space="0" w:color="auto"/>
        <w:left w:val="none" w:sz="0" w:space="0" w:color="auto"/>
        <w:bottom w:val="none" w:sz="0" w:space="0" w:color="auto"/>
        <w:right w:val="none" w:sz="0" w:space="0" w:color="auto"/>
      </w:divBdr>
    </w:div>
    <w:div w:id="463154721">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001666070">
      <w:bodyDiv w:val="1"/>
      <w:marLeft w:val="0"/>
      <w:marRight w:val="0"/>
      <w:marTop w:val="0"/>
      <w:marBottom w:val="0"/>
      <w:divBdr>
        <w:top w:val="none" w:sz="0" w:space="0" w:color="auto"/>
        <w:left w:val="none" w:sz="0" w:space="0" w:color="auto"/>
        <w:bottom w:val="none" w:sz="0" w:space="0" w:color="auto"/>
        <w:right w:val="none" w:sz="0" w:space="0" w:color="auto"/>
      </w:divBdr>
    </w:div>
    <w:div w:id="1207520531">
      <w:bodyDiv w:val="1"/>
      <w:marLeft w:val="0"/>
      <w:marRight w:val="0"/>
      <w:marTop w:val="0"/>
      <w:marBottom w:val="0"/>
      <w:divBdr>
        <w:top w:val="none" w:sz="0" w:space="0" w:color="auto"/>
        <w:left w:val="none" w:sz="0" w:space="0" w:color="auto"/>
        <w:bottom w:val="none" w:sz="0" w:space="0" w:color="auto"/>
        <w:right w:val="none" w:sz="0" w:space="0" w:color="auto"/>
      </w:divBdr>
    </w:div>
    <w:div w:id="1347707963">
      <w:bodyDiv w:val="1"/>
      <w:marLeft w:val="0"/>
      <w:marRight w:val="0"/>
      <w:marTop w:val="0"/>
      <w:marBottom w:val="0"/>
      <w:divBdr>
        <w:top w:val="none" w:sz="0" w:space="0" w:color="auto"/>
        <w:left w:val="none" w:sz="0" w:space="0" w:color="auto"/>
        <w:bottom w:val="none" w:sz="0" w:space="0" w:color="auto"/>
        <w:right w:val="none" w:sz="0" w:space="0" w:color="auto"/>
      </w:divBdr>
    </w:div>
    <w:div w:id="180939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media/image3.jpeg" Type="http://schemas.openxmlformats.org/officeDocument/2006/relationships/image"/>
<Relationship Id="rId13" Target="footer2.xml" Type="http://schemas.openxmlformats.org/officeDocument/2006/relationships/footer"/>
<Relationship Id="rId14" Target="footer3.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abc季报.dot</Template>
  <TotalTime>440</TotalTime>
  <Pages>32</Pages>
  <Words>4931</Words>
  <Characters>28108</Characters>
  <Application>Microsoft Office Word</Application>
  <DocSecurity>0</DocSecurity>
  <Lines>234</Lines>
  <Paragraphs>65</Paragraphs>
  <ScaleCrop>false</ScaleCrop>
  <Company>TRT. Ltd. Co.</Company>
  <LinksUpToDate>false</LinksUpToDate>
  <CharactersWithSpaces>32974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sirong han</cp:lastModifiedBy>
  <cp:lastPrinted>2007-07-19T00:46:00Z</cp:lastPrinted>
  <dcterms:modified xsi:type="dcterms:W3CDTF">2020-10-20T06:26:00Z</dcterms:modified>
  <cp:revision>188</cp:revision>
</cp:coreProperties>
</file>