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196812" w:rsidR="00EA3F40" w:rsidRDefault="00EA3F40" w:rsidRPr="0097021E">
      <w:pPr>
        <w:autoSpaceDE w:val="0"/>
        <w:autoSpaceDN w:val="0"/>
        <w:adjustRightInd w:val="0"/>
        <w:spacing w:line="360" w:lineRule="auto"/>
        <w:jc w:val="left"/>
        <w:rPr>
          <w:rFonts w:ascii="宋体" w:cs="Arial"/>
          <w:color w:val="000000"/>
          <w:kern w:val="0"/>
          <w:sz w:val="24"/>
        </w:rPr>
      </w:pPr>
    </w:p>
    <w:p w:rsidP="0002085F" w:rsidR="00EA3F40" w:rsidRDefault="00EA3F40" w:rsidRPr="0097021E">
      <w:pPr>
        <w:spacing w:line="360" w:lineRule="auto"/>
        <w:jc w:val="center"/>
        <w:rPr>
          <w:rFonts w:ascii="宋体" w:hAnsi="宋体"/>
          <w:b/>
          <w:sz w:val="36"/>
          <w:szCs w:val="36"/>
        </w:rPr>
      </w:pPr>
      <w:r w:rsidRPr="0097021E">
        <w:rPr>
          <w:rFonts w:ascii="宋体"/>
          <w:b/>
          <w:sz w:val="36"/>
          <w:szCs w:val="36"/>
        </w:rPr>
        <w:t/>
      </w:r>
      <w:r w:rsidRPr="0097021E">
        <w:rPr>
          <w:rFonts w:ascii="宋体" w:hAnsi="宋体"/>
          <w:b/>
          <w:sz w:val="36"/>
          <w:szCs w:val="36"/>
        </w:rPr>
        <w:t>易方达货币市场基金</w:t>
      </w:r>
    </w:p>
    <w:p w:rsidP="0002085F" w:rsidR="00EA3F40" w:rsidRDefault="00EA3F40" w:rsidRPr="0097021E">
      <w:pPr>
        <w:spacing w:line="360" w:lineRule="auto"/>
        <w:jc w:val="center"/>
        <w:rPr>
          <w:rFonts w:ascii="宋体" w:hAnsi="宋体"/>
          <w:b/>
          <w:sz w:val="36"/>
          <w:szCs w:val="36"/>
        </w:rPr>
      </w:pPr>
      <w:r w:rsidRPr="0097021E">
        <w:rPr>
          <w:rFonts w:ascii="宋体" w:hAnsi="宋体"/>
          <w:b/>
          <w:sz w:val="36"/>
          <w:szCs w:val="36"/>
        </w:rPr>
        <w:t>2020年第3季度报告</w:t>
      </w:r>
    </w:p>
    <w:p w:rsidP="0002085F" w:rsidR="00EA3F40" w:rsidRDefault="00EA3F40" w:rsidRPr="00936106">
      <w:pPr>
        <w:spacing w:line="360" w:lineRule="auto"/>
        <w:jc w:val="center"/>
        <w:rPr>
          <w:rFonts w:ascii="宋体" w:hAnsi="宋体"/>
          <w:b/>
          <w:sz w:val="24"/>
          <w:szCs w:val="36"/>
        </w:rPr>
      </w:pPr>
      <w:r w:rsidRPr="00936106">
        <w:rPr>
          <w:rFonts w:ascii="宋体"/>
          <w:b/>
          <w:sz w:val="24"/>
          <w:szCs w:val="36"/>
        </w:rPr>
        <w:t/>
      </w:r>
      <w:r w:rsidRPr="00936106">
        <w:rPr>
          <w:rFonts w:ascii="宋体" w:hAnsi="宋体"/>
          <w:b/>
          <w:sz w:val="24"/>
          <w:szCs w:val="36"/>
        </w:rPr>
        <w:t>2020年9月30日</w:t>
      </w: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jc w:val="center"/>
        <w:rPr>
          <w:rFonts w:ascii="宋体"/>
          <w:b/>
          <w:color w:val="000000"/>
          <w:sz w:val="24"/>
        </w:rPr>
      </w:pPr>
    </w:p>
    <w:p w:rsidP="00196812" w:rsidR="00EA3F40" w:rsidRDefault="00EA3F40" w:rsidRPr="0097021E">
      <w:pPr>
        <w:spacing w:line="360" w:lineRule="auto"/>
        <w:rPr>
          <w:rFonts w:ascii="宋体"/>
          <w:b/>
          <w:color w:val="000000"/>
          <w:sz w:val="24"/>
        </w:rPr>
      </w:pPr>
    </w:p>
    <w:p w:rsidP="009216A0" w:rsidR="00EA3F40" w:rsidRDefault="00EA3F40" w:rsidRPr="0097021E">
      <w:pPr>
        <w:spacing w:line="360" w:lineRule="auto"/>
        <w:ind w:firstLine="2168" w:firstLineChars="900"/>
        <w:rPr>
          <w:rFonts w:ascii="宋体" w:hAnsi="宋体"/>
          <w:b/>
          <w:color w:val="000000"/>
          <w:sz w:val="24"/>
        </w:rPr>
      </w:pPr>
      <w:r w:rsidRPr="0097021E">
        <w:rPr>
          <w:rFonts w:ascii="宋体" w:hAnsi="宋体" w:hint="eastAsia"/>
          <w:b/>
          <w:color w:val="000000"/>
          <w:sz w:val="24"/>
        </w:rPr>
        <w:t>基金管理人：</w:t>
      </w:r>
      <w:r w:rsidRPr="0097021E">
        <w:rPr>
          <w:rFonts w:ascii="宋体"/>
          <w:b/>
          <w:color w:val="000000"/>
          <w:sz w:val="24"/>
        </w:rPr>
        <w:t/>
      </w:r>
      <w:r w:rsidRPr="0097021E">
        <w:rPr>
          <w:rFonts w:ascii="宋体" w:hAnsi="宋体"/>
          <w:b/>
          <w:color w:val="000000"/>
          <w:sz w:val="24"/>
        </w:rPr>
        <w:t>易方达基金管理有限公司</w:t>
      </w:r>
    </w:p>
    <w:p w:rsidP="009216A0" w:rsidR="00EA3F40" w:rsidRDefault="00EA3F40" w:rsidRPr="0097021E">
      <w:pPr>
        <w:spacing w:line="360" w:lineRule="auto"/>
        <w:ind w:firstLine="2168" w:firstLineChars="900"/>
        <w:rPr>
          <w:rFonts w:ascii="宋体" w:hAnsi="宋体"/>
          <w:b/>
          <w:color w:val="000000"/>
          <w:sz w:val="24"/>
        </w:rPr>
      </w:pPr>
      <w:r w:rsidRPr="0097021E">
        <w:rPr>
          <w:rFonts w:ascii="宋体" w:hAnsi="宋体" w:hint="eastAsia"/>
          <w:b/>
          <w:color w:val="000000"/>
          <w:sz w:val="24"/>
        </w:rPr>
        <w:t>基金托管人：</w:t>
      </w:r>
      <w:r w:rsidRPr="0097021E">
        <w:rPr>
          <w:rFonts w:ascii="宋体"/>
          <w:b/>
          <w:color w:val="000000"/>
          <w:sz w:val="24"/>
        </w:rPr>
        <w:t/>
      </w:r>
      <w:r w:rsidRPr="0097021E">
        <w:rPr>
          <w:rFonts w:ascii="宋体" w:hAnsi="宋体"/>
          <w:b/>
          <w:color w:val="000000"/>
          <w:sz w:val="24"/>
        </w:rPr>
        <w:t>中国银行股份有限公司</w:t>
      </w:r>
    </w:p>
    <w:p w:rsidP="009216A0" w:rsidR="00EA3F40" w:rsidRDefault="00EA3F40" w:rsidRPr="0097021E">
      <w:pPr>
        <w:spacing w:line="360" w:lineRule="auto"/>
        <w:ind w:firstLine="2168" w:firstLineChars="900"/>
        <w:rPr>
          <w:rFonts w:ascii="宋体" w:hAnsi="宋体"/>
          <w:b/>
          <w:color w:val="000000"/>
          <w:sz w:val="24"/>
        </w:rPr>
        <w:sectPr w:rsidR="00EA3F40" w:rsidRPr="0097021E" w:rsidSect="005633AD">
          <w:headerReference r:id="rId8" w:type="default"/>
          <w:footerReference r:id="rId9" w:type="default"/>
          <w:pgSz w:h="15840" w:w="11926"/>
          <w:pgMar w:bottom="851" w:footer="992" w:gutter="0" w:header="851" w:left="1418" w:right="1418" w:top="1418"/>
          <w:cols w:space="720"/>
          <w:noEndnote/>
        </w:sectPr>
      </w:pPr>
      <w:r w:rsidRPr="0097021E">
        <w:rPr>
          <w:rFonts w:ascii="宋体" w:hAnsi="宋体" w:hint="eastAsia"/>
          <w:b/>
          <w:color w:val="000000"/>
          <w:sz w:val="24"/>
        </w:rPr>
        <w:t>报告送出日期：</w:t>
      </w:r>
      <w:r w:rsidRPr="0097021E">
        <w:rPr>
          <w:rFonts w:ascii="宋体"/>
          <w:b/>
          <w:color w:val="000000"/>
          <w:sz w:val="24"/>
        </w:rPr>
        <w:t/>
      </w:r>
      <w:r w:rsidRPr="0097021E">
        <w:rPr>
          <w:rFonts w:ascii="宋体" w:hAnsi="宋体"/>
          <w:b/>
          <w:color w:val="000000"/>
          <w:sz w:val="24"/>
        </w:rPr>
        <w:t>二〇二〇年十月二十八日</w:t>
      </w:r>
    </w:p>
    <w:p w:rsidP="00E23C1B" w:rsidR="00EA3F40" w:rsidRDefault="00EA3F40" w:rsidRPr="0097021E">
      <w:pPr>
        <w:pStyle w:val="1"/>
        <w:spacing w:after="312" w:afterLines="100" w:before="312" w:beforeLines="100" w:line="360" w:lineRule="auto"/>
        <w:jc w:val="center"/>
        <w:rPr>
          <w:rFonts w:ascii="宋体" w:cs="Arial"/>
          <w:b w:val="0"/>
          <w:color w:val="000000"/>
          <w:kern w:val="0"/>
          <w:sz w:val="24"/>
          <w:szCs w:val="24"/>
        </w:rPr>
      </w:pPr>
      <w:r w:rsidRPr="0097021E">
        <w:rPr>
          <w:rFonts w:ascii="宋体" w:cs="Arial" w:hAnsi="宋体" w:hint="eastAsia"/>
          <w:color w:val="000000"/>
          <w:kern w:val="0"/>
          <w:sz w:val="24"/>
          <w:szCs w:val="24"/>
        </w:rPr>
        <w:lastRenderedPageBreak/>
        <w:t>§</w:t>
      </w:r>
      <w:r w:rsidRPr="0097021E">
        <w:rPr>
          <w:rFonts w:ascii="宋体" w:cs="Arial" w:hAnsi="宋体"/>
          <w:color w:val="000000"/>
          <w:kern w:val="0"/>
          <w:sz w:val="24"/>
          <w:szCs w:val="24"/>
        </w:rPr>
        <w:t xml:space="preserve">1  </w:t>
      </w:r>
      <w:r w:rsidRPr="0097021E">
        <w:rPr>
          <w:rFonts w:ascii="宋体" w:cs="Arial" w:hAnsi="宋体" w:hint="eastAsia"/>
          <w:color w:val="000000"/>
          <w:kern w:val="0"/>
          <w:sz w:val="24"/>
          <w:szCs w:val="24"/>
        </w:rPr>
        <w:t>重要提示</w:t>
      </w:r>
    </w:p>
    <w:p>
      <w:pPr>
        <w:adjustRightInd w:val="0"/>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line="360" w:lineRule="auto"/>
        <w:ind w:firstLine="480" w:firstLineChars="200"/>
        <w:rPr>
          <w:color w:val="000000"/>
          <w:sz w:val="24"/>
        </w:rPr>
      </w:pPr>
      <w:r>
        <w:rPr>
          <w:color w:val="000000"/>
          <w:sz w:val="24"/>
        </w:rPr>
        <w:t xml:space="preserve">基金托管人中国银行股份有限公司根据本基金合同规定，于2020年10月26日复核了本报告中的财务指标、净值表现和投资组合报告等内容，保证复核内容不存在虚假记载、误导性陈述或者重大遗漏。 </w:t>
      </w:r>
    </w:p>
    <w:p>
      <w:pPr>
        <w:adjustRightInd w:val="0"/>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line="360" w:lineRule="auto"/>
        <w:ind w:firstLine="480" w:firstLineChars="200"/>
        <w:rPr>
          <w:color w:val="000000"/>
          <w:sz w:val="24"/>
        </w:rPr>
      </w:pPr>
      <w:r>
        <w:rPr>
          <w:color w:val="000000"/>
          <w:sz w:val="24"/>
        </w:rPr>
        <w:t>本报告中财务资料未经审计。</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本报告期自2020年7月1日起至9月30日止。</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2  </w:t>
      </w:r>
      <w:r w:rsidRPr="0097021E">
        <w:rPr>
          <w:rFonts w:ascii="宋体" w:cs="Arial" w:hAnsi="宋体" w:hint="eastAsia"/>
          <w:color w:val="000000"/>
          <w:kern w:val="0"/>
          <w:sz w:val="24"/>
          <w:szCs w:val="24"/>
        </w:rPr>
        <w:t>基金产品概况</w:t>
      </w:r>
    </w:p>
    <w:tbl>
      <w:tblPr>
        <w:tblW w:type="dxa" w:w="973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300"/>
        <w:gridCol w:w="1150"/>
        <w:gridCol w:w="1150"/>
        <w:gridCol w:w="2301"/>
      </w:tblGrid>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kern w:val="0"/>
                <w:sz w:val="24"/>
              </w:rPr>
            </w:pPr>
            <w:r w:rsidRPr="00613409">
              <w:rPr>
                <w:kern w:val="0"/>
                <w:sz w:val="24"/>
              </w:rPr>
              <w:t>基金简称</w:t>
            </w:r>
          </w:p>
        </w:tc>
        <w:tc>
          <w:tcPr>
            <w:tcW w:type="dxa" w:w="6901"/>
            <w:gridSpan w:val="4"/>
          </w:tcPr>
          <w:p w:rsidP="00196812" w:rsidR="00EA3F40" w:rsidRDefault="00EA3F40" w:rsidRPr="00613409">
            <w:pPr>
              <w:adjustRightInd w:val="0"/>
              <w:spacing w:before="29" w:line="360" w:lineRule="auto"/>
              <w:ind w:left="17"/>
              <w:jc w:val="left"/>
              <w:rPr>
                <w:color w:val="000000"/>
                <w:kern w:val="0"/>
                <w:sz w:val="24"/>
              </w:rPr>
            </w:pPr>
            <w:r w:rsidRPr="00613409">
              <w:rPr>
                <w:color w:val="000000"/>
                <w:kern w:val="0"/>
                <w:sz w:val="24"/>
              </w:rPr>
              <w:t>易方达货币</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kern w:val="0"/>
                <w:sz w:val="24"/>
              </w:rPr>
            </w:pPr>
            <w:r w:rsidRPr="00613409">
              <w:rPr>
                <w:kern w:val="0"/>
                <w:sz w:val="24"/>
              </w:rPr>
              <w:t>基金主代码</w:t>
            </w:r>
          </w:p>
        </w:tc>
        <w:tc>
          <w:tcPr>
            <w:tcW w:type="dxa" w:w="6901"/>
            <w:gridSpan w:val="4"/>
          </w:tcPr>
          <w:p w:rsidP="00196812" w:rsidR="00EA3F40" w:rsidRDefault="00EA3F40" w:rsidRPr="00613409">
            <w:pPr>
              <w:adjustRightInd w:val="0"/>
              <w:spacing w:before="29" w:line="360" w:lineRule="auto"/>
              <w:ind w:left="17"/>
              <w:jc w:val="left"/>
              <w:rPr>
                <w:color w:val="000000"/>
                <w:kern w:val="0"/>
                <w:sz w:val="24"/>
              </w:rPr>
            </w:pPr>
            <w:r w:rsidRPr="00613409">
              <w:rPr>
                <w:color w:val="000000"/>
                <w:kern w:val="0"/>
                <w:sz w:val="24"/>
              </w:rPr>
              <w:t>110006</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基金运作方式</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契约型开放式</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基金合同生效日</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2005年2月2日</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报告期末基金份额总额</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18,096,681,977.35</w:t>
            </w:r>
            <w:r w:rsidRPr="00613409">
              <w:rPr>
                <w:color w:val="000000"/>
                <w:kern w:val="0"/>
                <w:sz w:val="24"/>
              </w:rPr>
              <w:t>份</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投资目标</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在确保本金安全和高流动性的前提下，追求超过基准的回报。</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投资策略</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在保持安全性和流动性的前提下尽可能提升组合的收益。</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业绩比较基准</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税后活期存款利率(即活期存款利率×(1－利息税率))</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kern w:val="0"/>
                <w:sz w:val="24"/>
              </w:rPr>
            </w:pPr>
            <w:r w:rsidRPr="00613409">
              <w:rPr>
                <w:kern w:val="0"/>
                <w:sz w:val="24"/>
              </w:rPr>
              <w:t>风险收益特征</w:t>
            </w:r>
          </w:p>
        </w:tc>
        <w:tc>
          <w:tcPr>
            <w:tcW w:type="dxa" w:w="6901"/>
            <w:gridSpan w:val="4"/>
          </w:tcPr>
          <w:p w:rsidP="00196812" w:rsidR="00EA3F40" w:rsidRDefault="00EA3F40" w:rsidRPr="00613409">
            <w:pPr>
              <w:adjustRightInd w:val="0"/>
              <w:spacing w:before="29" w:line="360" w:lineRule="auto"/>
              <w:ind w:left="17"/>
              <w:jc w:val="left"/>
              <w:rPr>
                <w:color w:val="000000"/>
                <w:kern w:val="0"/>
                <w:sz w:val="24"/>
              </w:rPr>
            </w:pPr>
            <w:r w:rsidRPr="00613409">
              <w:rPr>
                <w:color w:val="000000"/>
                <w:kern w:val="0"/>
                <w:sz w:val="24"/>
              </w:rPr>
              <w:t>本基金属于证券投资基金中高流动性、低风险的品种，其预期风险和预期收益率都低于股票基金、债券基金和混合基金。</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基金管理人</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易方达基金管理有限公司</w:t>
            </w:r>
          </w:p>
        </w:tc>
      </w:tr>
      <w:tr w:rsidR="00EA3F40" w:rsidRPr="0097021E" w:rsidTr="001669F2">
        <w:trPr>
          <w:jc w:val="center"/>
        </w:trPr>
        <w:tc>
          <w:tcPr>
            <w:tcW w:type="dxa" w:w="2835"/>
          </w:tcPr>
          <w:p w:rsidP="00196812" w:rsidR="00EA3F40" w:rsidRDefault="00EA3F40" w:rsidRPr="00613409">
            <w:pPr>
              <w:adjustRightInd w:val="0"/>
              <w:spacing w:before="29" w:line="360" w:lineRule="auto"/>
              <w:ind w:left="17"/>
              <w:jc w:val="left"/>
              <w:rPr>
                <w:sz w:val="24"/>
              </w:rPr>
            </w:pPr>
            <w:r w:rsidRPr="00613409">
              <w:rPr>
                <w:kern w:val="0"/>
                <w:sz w:val="24"/>
              </w:rPr>
              <w:t>基金托管人</w:t>
            </w:r>
          </w:p>
        </w:tc>
        <w:tc>
          <w:tcPr>
            <w:tcW w:type="dxa" w:w="6901"/>
            <w:gridSpan w:val="4"/>
          </w:tcPr>
          <w:p w:rsidP="00196812" w:rsidR="00EA3F40" w:rsidRDefault="00EA3F40" w:rsidRPr="00613409">
            <w:pPr>
              <w:adjustRightInd w:val="0"/>
              <w:spacing w:before="29" w:line="360" w:lineRule="auto"/>
              <w:ind w:left="17"/>
              <w:jc w:val="left"/>
              <w:rPr>
                <w:color w:val="000000"/>
                <w:sz w:val="24"/>
              </w:rPr>
            </w:pPr>
            <w:r w:rsidRPr="00613409">
              <w:rPr>
                <w:color w:val="000000"/>
                <w:kern w:val="0"/>
                <w:sz w:val="24"/>
              </w:rPr>
              <w:t>中国银行股份有限公司</w:t>
            </w:r>
          </w:p>
        </w:tc>
      </w:tr>
      <w:tr w:rsidR="00EA3F40" w:rsidRPr="0097021E" w:rsidTr="001669F2">
        <w:trPr>
          <w:jc w:val="center"/>
        </w:trPr>
        <w:tc>
          <w:tcPr>
            <w:tcW w:type="dxa" w:w="2835"/>
          </w:tcPr>
          <w:p w:rsidP="00D271A9" w:rsidR="00EA3F40" w:rsidRDefault="00EA3F40" w:rsidRPr="00613409">
            <w:pPr>
              <w:adjustRightInd w:val="0"/>
              <w:spacing w:before="29" w:line="360" w:lineRule="auto"/>
              <w:ind w:left="17"/>
              <w:jc w:val="left"/>
              <w:rPr>
                <w:kern w:val="0"/>
                <w:sz w:val="24"/>
              </w:rPr>
            </w:pPr>
            <w:r w:rsidRPr="00613409">
              <w:rPr>
                <w:color w:val="000000"/>
                <w:sz w:val="24"/>
              </w:rPr>
              <w:t>下属</w:t>
            </w:r>
            <w:r w:rsidR="00D271A9" w:rsidRPr="00613409">
              <w:rPr>
                <w:color w:val="000000"/>
                <w:sz w:val="24"/>
              </w:rPr>
              <w:t>分</w:t>
            </w:r>
            <w:r w:rsidRPr="00613409">
              <w:rPr>
                <w:color w:val="000000"/>
                <w:sz w:val="24"/>
              </w:rPr>
              <w:t>级基金的基金简称</w:t>
            </w:r>
          </w:p>
        </w:tc>
        <w:tc>
          <w:tcPr>
            <w:tcW w:type="dxa" w:w="2300"/>
            <w:vAlign w:val="center"/>
          </w:tcPr>
          <w:p w:rsidP="00196812" w:rsidR="00EA3F40" w:rsidRDefault="00EA3F40" w:rsidRPr="00613409">
            <w:pPr>
              <w:spacing w:line="360" w:lineRule="auto"/>
              <w:jc w:val="left"/>
              <w:rPr>
                <w:sz w:val="24"/>
              </w:rPr>
            </w:pPr>
            <w:r w:rsidRPr="00613409">
              <w:rPr>
                <w:color w:val="000000"/>
                <w:kern w:val="0"/>
                <w:sz w:val="24"/>
              </w:rPr>
              <w:t/>
            </w:r>
            <w:r w:rsidRPr="00613409">
              <w:rPr>
                <w:sz w:val="24"/>
              </w:rPr>
              <w:t>易方达货币A</w:t>
            </w:r>
          </w:p>
        </w:tc>
        <w:tc>
          <w:tcPr>
            <w:tcW w:type="dxa" w:w="2300"/>
            <w:gridSpan w:val="2"/>
            <w:vAlign w:val="center"/>
          </w:tcPr>
          <w:p w:rsidP="00196812" w:rsidR="00EA3F40" w:rsidRDefault="00EA3F40" w:rsidRPr="00613409">
            <w:pPr>
              <w:spacing w:line="360" w:lineRule="auto"/>
              <w:jc w:val="left"/>
              <w:rPr>
                <w:sz w:val="24"/>
              </w:rPr>
            </w:pPr>
            <w:r w:rsidRPr="00613409">
              <w:rPr>
                <w:color w:val="000000"/>
                <w:kern w:val="0"/>
                <w:sz w:val="24"/>
              </w:rPr>
              <w:t/>
            </w:r>
            <w:r w:rsidRPr="00613409">
              <w:rPr>
                <w:sz w:val="24"/>
              </w:rPr>
              <w:t>易方达货币B</w:t>
            </w:r>
          </w:p>
        </w:tc>
        <w:tc>
          <w:tcPr>
            <w:tcW w:type="dxa" w:w="2301"/>
            <w:vAlign w:val="center"/>
          </w:tcPr>
          <w:p w:rsidP="00025C5D" w:rsidR="00EA3F40" w:rsidRDefault="00EA3F40" w:rsidRPr="00613409">
            <w:pPr>
              <w:spacing w:line="360" w:lineRule="auto"/>
              <w:jc w:val="left"/>
              <w:rPr>
                <w:sz w:val="24"/>
              </w:rPr>
            </w:pPr>
            <w:r w:rsidRPr="00613409">
              <w:rPr>
                <w:color w:val="000000"/>
                <w:kern w:val="0"/>
                <w:sz w:val="24"/>
              </w:rPr>
              <w:t/>
            </w:r>
            <w:r w:rsidRPr="00613409">
              <w:rPr>
                <w:sz w:val="24"/>
              </w:rPr>
              <w:t>易方达货币E</w:t>
            </w:r>
          </w:p>
        </w:tc>
      </w:tr>
      <w:tr w:rsidR="00E325AB" w:rsidRPr="0097021E" w:rsidTr="00546492">
        <w:trPr>
          <w:jc w:val="center"/>
        </w:trPr>
        <w:tc>
          <w:tcPr>
            <w:tcW w:type="dxa" w:w="2835"/>
            <w:vAlign w:val="center"/>
          </w:tcPr>
          <w:p w:rsidP="00D271A9" w:rsidR="00E325AB" w:rsidRDefault="00E325AB" w:rsidRPr="00613409">
            <w:pPr>
              <w:adjustRightInd w:val="0"/>
              <w:spacing w:before="29" w:line="360" w:lineRule="auto"/>
              <w:ind w:left="17"/>
              <w:rPr>
                <w:color w:val="000000"/>
                <w:sz w:val="24"/>
              </w:rPr>
            </w:pPr>
            <w:r w:rsidRPr="00613409">
              <w:rPr>
                <w:color w:val="000000"/>
                <w:sz w:val="24"/>
              </w:rPr>
              <w:t>下属</w:t>
            </w:r>
            <w:r w:rsidR="00D271A9" w:rsidRPr="00613409">
              <w:rPr>
                <w:color w:val="000000"/>
                <w:sz w:val="24"/>
              </w:rPr>
              <w:t>分</w:t>
            </w:r>
            <w:r w:rsidR="00E067CB">
              <w:rPr>
                <w:color w:val="000000"/>
                <w:sz w:val="24"/>
              </w:rPr>
              <w:t>级基金</w:t>
            </w:r>
            <w:r w:rsidRPr="00613409">
              <w:rPr>
                <w:color w:val="000000"/>
                <w:sz w:val="24"/>
              </w:rPr>
              <w:t>场内简称</w:t>
            </w:r>
          </w:p>
        </w:tc>
        <w:tc>
          <w:tcPr>
            <w:tcW w:type="dxa" w:w="2300"/>
            <w:vAlign w:val="center"/>
          </w:tcPr>
          <w:p w:rsidP="00546492" w:rsidR="00E325AB" w:rsidRDefault="00E325AB" w:rsidRPr="00613409">
            <w:pPr>
              <w:spacing w:line="360" w:lineRule="auto"/>
              <w:jc w:val="left"/>
              <w:rPr>
                <w:color w:val="000000"/>
                <w:kern w:val="0"/>
                <w:sz w:val="24"/>
              </w:rPr>
            </w:pPr>
            <w:r w:rsidRPr="00613409">
              <w:rPr>
                <w:sz w:val="24"/>
              </w:rPr>
              <w:t>-</w:t>
            </w:r>
          </w:p>
        </w:tc>
        <w:tc>
          <w:tcPr>
            <w:tcW w:type="dxa" w:w="2300"/>
            <w:gridSpan w:val="2"/>
            <w:vAlign w:val="center"/>
          </w:tcPr>
          <w:p w:rsidP="00546492" w:rsidR="00E325AB" w:rsidRDefault="00E325AB" w:rsidRPr="00613409">
            <w:pPr>
              <w:spacing w:line="360" w:lineRule="auto"/>
              <w:jc w:val="left"/>
              <w:rPr>
                <w:color w:val="000000"/>
                <w:kern w:val="0"/>
                <w:sz w:val="24"/>
              </w:rPr>
            </w:pPr>
            <w:r w:rsidRPr="00613409">
              <w:rPr>
                <w:sz w:val="24"/>
              </w:rPr>
              <w:t>-</w:t>
            </w:r>
          </w:p>
        </w:tc>
        <w:tc>
          <w:tcPr>
            <w:tcW w:type="dxa" w:w="2301"/>
            <w:vAlign w:val="center"/>
          </w:tcPr>
          <w:p w:rsidP="00546492" w:rsidR="00E325AB" w:rsidRDefault="00E325AB" w:rsidRPr="00613409">
            <w:pPr>
              <w:spacing w:line="360" w:lineRule="auto"/>
              <w:jc w:val="left"/>
              <w:rPr>
                <w:color w:val="000000"/>
                <w:kern w:val="0"/>
                <w:sz w:val="24"/>
              </w:rPr>
            </w:pPr>
            <w:r w:rsidRPr="00613409">
              <w:rPr>
                <w:sz w:val="24"/>
              </w:rPr>
              <w:t>易货币、易方达货币ETF</w:t>
            </w:r>
          </w:p>
        </w:tc>
      </w:tr>
      <w:tr w:rsidR="00E325AB" w:rsidRPr="0097021E" w:rsidTr="001669F2">
        <w:trPr>
          <w:jc w:val="center"/>
        </w:trPr>
        <w:tc>
          <w:tcPr>
            <w:tcW w:type="dxa" w:w="2835"/>
          </w:tcPr>
          <w:p w:rsidP="00D271A9" w:rsidR="00E325AB" w:rsidRDefault="00E325AB" w:rsidRPr="00613409">
            <w:pPr>
              <w:adjustRightInd w:val="0"/>
              <w:spacing w:before="29" w:line="360" w:lineRule="auto"/>
              <w:ind w:left="17"/>
              <w:jc w:val="left"/>
              <w:rPr>
                <w:color w:val="000000"/>
                <w:sz w:val="24"/>
              </w:rPr>
            </w:pPr>
            <w:r w:rsidRPr="00613409">
              <w:rPr>
                <w:color w:val="000000"/>
                <w:sz w:val="24"/>
              </w:rPr>
              <w:lastRenderedPageBreak/>
              <w:t>下属</w:t>
            </w:r>
            <w:r w:rsidR="00D271A9" w:rsidRPr="00613409">
              <w:rPr>
                <w:color w:val="000000"/>
                <w:sz w:val="24"/>
              </w:rPr>
              <w:t>分</w:t>
            </w:r>
            <w:r w:rsidRPr="00613409">
              <w:rPr>
                <w:color w:val="000000"/>
                <w:sz w:val="24"/>
              </w:rPr>
              <w:t>级基金的交易代码</w:t>
            </w:r>
          </w:p>
        </w:tc>
        <w:tc>
          <w:tcPr>
            <w:tcW w:type="dxa" w:w="2300"/>
            <w:vAlign w:val="center"/>
          </w:tcPr>
          <w:p w:rsidP="00196812" w:rsidR="00E325AB" w:rsidRDefault="00E325AB" w:rsidRPr="00613409">
            <w:pPr>
              <w:spacing w:line="360" w:lineRule="auto"/>
              <w:jc w:val="left"/>
              <w:rPr>
                <w:sz w:val="24"/>
              </w:rPr>
            </w:pPr>
            <w:r w:rsidRPr="00613409">
              <w:rPr>
                <w:color w:val="000000"/>
                <w:kern w:val="0"/>
                <w:sz w:val="24"/>
              </w:rPr>
              <w:t/>
            </w:r>
            <w:r w:rsidRPr="00613409">
              <w:rPr>
                <w:sz w:val="24"/>
              </w:rPr>
              <w:t>110006</w:t>
            </w:r>
          </w:p>
        </w:tc>
        <w:tc>
          <w:tcPr>
            <w:tcW w:type="dxa" w:w="2300"/>
            <w:gridSpan w:val="2"/>
            <w:vAlign w:val="center"/>
          </w:tcPr>
          <w:p w:rsidP="00196812" w:rsidR="00E325AB" w:rsidRDefault="00E325AB" w:rsidRPr="00613409">
            <w:pPr>
              <w:spacing w:line="360" w:lineRule="auto"/>
              <w:jc w:val="left"/>
              <w:rPr>
                <w:sz w:val="24"/>
              </w:rPr>
            </w:pPr>
            <w:r w:rsidRPr="00613409">
              <w:rPr>
                <w:color w:val="000000"/>
                <w:kern w:val="0"/>
                <w:sz w:val="24"/>
              </w:rPr>
              <w:t/>
            </w:r>
            <w:r w:rsidRPr="00613409">
              <w:rPr>
                <w:sz w:val="24"/>
              </w:rPr>
              <w:t>110016</w:t>
            </w:r>
          </w:p>
        </w:tc>
        <w:tc>
          <w:tcPr>
            <w:tcW w:type="dxa" w:w="2301"/>
            <w:vAlign w:val="center"/>
          </w:tcPr>
          <w:p w:rsidP="001669F2" w:rsidR="00E325AB" w:rsidRDefault="00E325AB" w:rsidRPr="00613409">
            <w:pPr>
              <w:spacing w:line="360" w:lineRule="auto"/>
              <w:jc w:val="left"/>
              <w:rPr>
                <w:sz w:val="24"/>
              </w:rPr>
            </w:pPr>
            <w:r w:rsidRPr="00613409">
              <w:rPr>
                <w:color w:val="000000"/>
                <w:kern w:val="0"/>
                <w:sz w:val="24"/>
              </w:rPr>
              <w:t/>
            </w:r>
            <w:r w:rsidRPr="00613409">
              <w:rPr>
                <w:sz w:val="24"/>
              </w:rPr>
              <w:t>511800</w:t>
            </w:r>
          </w:p>
        </w:tc>
      </w:tr>
      <w:tr w:rsidR="00E325AB" w:rsidRPr="0097021E" w:rsidTr="001669F2">
        <w:trPr>
          <w:jc w:val="center"/>
        </w:trPr>
        <w:tc>
          <w:tcPr>
            <w:tcW w:type="dxa" w:w="2835"/>
          </w:tcPr>
          <w:p w:rsidP="00D271A9" w:rsidR="00E325AB" w:rsidRDefault="00E325AB" w:rsidRPr="00613409">
            <w:pPr>
              <w:adjustRightInd w:val="0"/>
              <w:spacing w:before="29" w:line="360" w:lineRule="auto"/>
              <w:ind w:left="17"/>
              <w:jc w:val="left"/>
              <w:rPr>
                <w:color w:val="000000"/>
                <w:sz w:val="24"/>
              </w:rPr>
            </w:pPr>
            <w:r w:rsidRPr="00613409">
              <w:rPr>
                <w:color w:val="000000"/>
                <w:sz w:val="24"/>
              </w:rPr>
              <w:t>报告期末下属</w:t>
            </w:r>
            <w:r w:rsidR="00D271A9" w:rsidRPr="00613409">
              <w:rPr>
                <w:color w:val="000000"/>
                <w:sz w:val="24"/>
              </w:rPr>
              <w:t>分</w:t>
            </w:r>
            <w:r w:rsidRPr="00613409">
              <w:rPr>
                <w:color w:val="000000"/>
                <w:sz w:val="24"/>
              </w:rPr>
              <w:t>级基金的份额总额</w:t>
            </w:r>
          </w:p>
        </w:tc>
        <w:tc>
          <w:tcPr>
            <w:tcW w:type="dxa" w:w="2300"/>
            <w:vAlign w:val="center"/>
          </w:tcPr>
          <w:p w:rsidP="00196812" w:rsidR="00E325AB" w:rsidRDefault="00E325AB" w:rsidRPr="00613409">
            <w:pPr>
              <w:spacing w:line="360" w:lineRule="auto"/>
              <w:jc w:val="left"/>
              <w:rPr>
                <w:sz w:val="24"/>
              </w:rPr>
            </w:pPr>
            <w:r w:rsidRPr="00613409">
              <w:rPr>
                <w:color w:val="000000"/>
                <w:kern w:val="0"/>
                <w:sz w:val="24"/>
              </w:rPr>
              <w:t/>
            </w:r>
            <w:r w:rsidRPr="00613409">
              <w:rPr>
                <w:sz w:val="24"/>
              </w:rPr>
              <w:t>1,530,442,623.12</w:t>
            </w:r>
            <w:r w:rsidRPr="00613409">
              <w:rPr>
                <w:sz w:val="24"/>
              </w:rPr>
              <w:t>份</w:t>
            </w:r>
          </w:p>
        </w:tc>
        <w:tc>
          <w:tcPr>
            <w:tcW w:type="dxa" w:w="2300"/>
            <w:gridSpan w:val="2"/>
            <w:vAlign w:val="center"/>
          </w:tcPr>
          <w:p w:rsidP="00196812" w:rsidR="00E325AB" w:rsidRDefault="00E325AB" w:rsidRPr="00613409">
            <w:pPr>
              <w:spacing w:line="360" w:lineRule="auto"/>
              <w:jc w:val="left"/>
              <w:rPr>
                <w:sz w:val="24"/>
              </w:rPr>
            </w:pPr>
            <w:r w:rsidRPr="00613409">
              <w:rPr>
                <w:color w:val="000000"/>
                <w:kern w:val="0"/>
                <w:sz w:val="24"/>
              </w:rPr>
              <w:t/>
            </w:r>
            <w:r w:rsidRPr="00613409">
              <w:rPr>
                <w:sz w:val="24"/>
              </w:rPr>
              <w:t>16,265,938,574.39</w:t>
            </w:r>
            <w:r w:rsidRPr="00613409">
              <w:rPr>
                <w:sz w:val="24"/>
              </w:rPr>
              <w:t>份</w:t>
            </w:r>
          </w:p>
        </w:tc>
        <w:tc>
          <w:tcPr>
            <w:tcW w:type="dxa" w:w="2301"/>
            <w:vAlign w:val="center"/>
          </w:tcPr>
          <w:p w:rsidP="00025C5D" w:rsidR="00E325AB" w:rsidRDefault="00E325AB" w:rsidRPr="00613409">
            <w:pPr>
              <w:spacing w:line="360" w:lineRule="auto"/>
              <w:jc w:val="left"/>
              <w:rPr>
                <w:sz w:val="24"/>
              </w:rPr>
            </w:pPr>
            <w:r w:rsidRPr="00613409">
              <w:rPr>
                <w:color w:val="000000"/>
                <w:kern w:val="0"/>
                <w:sz w:val="24"/>
              </w:rPr>
              <w:t/>
            </w:r>
            <w:r w:rsidRPr="00613409">
              <w:rPr>
                <w:sz w:val="24"/>
              </w:rPr>
              <w:t>300,300,779.84</w:t>
            </w:r>
            <w:r w:rsidRPr="00613409">
              <w:rPr>
                <w:sz w:val="24"/>
              </w:rPr>
              <w:t>份</w:t>
            </w:r>
          </w:p>
        </w:tc>
      </w:tr>
    </w:tbl>
    <w:p>
      <w:pPr>
        <w:adjustRightInd w:val="0"/>
        <w:spacing w:line="360" w:lineRule="auto"/>
        <w:ind w:firstLine="480" w:firstLineChars="200"/>
        <w:rPr>
          <w:color w:val="000000"/>
          <w:sz w:val="24"/>
        </w:rPr>
      </w:pPr>
      <w:r>
        <w:rPr>
          <w:color w:val="000000"/>
          <w:sz w:val="24"/>
        </w:rPr>
        <w:t>注：1.易方达货币市场基金E类基金份额上市交易。</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2.自2014年11月21日起，易方达货币市场基金增设E类份额类别，基金份额面值为100元，本表所列E类份额数据面值已折算为1元。</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3  </w:t>
      </w:r>
      <w:r w:rsidRPr="0097021E">
        <w:rPr>
          <w:rFonts w:ascii="宋体" w:cs="Arial" w:hAnsi="宋体" w:hint="eastAsia"/>
          <w:color w:val="000000"/>
          <w:kern w:val="0"/>
          <w:sz w:val="24"/>
          <w:szCs w:val="24"/>
        </w:rPr>
        <w:t>主要财务指标和基金净值表现</w:t>
      </w:r>
    </w:p>
    <w:p w:rsidP="009A755D"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3.1 </w:t>
      </w:r>
      <w:r w:rsidRPr="0097021E">
        <w:rPr>
          <w:rFonts w:ascii="宋体" w:cs="Arial" w:hAnsi="宋体" w:hint="eastAsia"/>
          <w:b/>
          <w:color w:val="000000"/>
          <w:kern w:val="0"/>
          <w:sz w:val="24"/>
        </w:rPr>
        <w:t>主要财务指标</w:t>
      </w:r>
    </w:p>
    <w:p w:rsidP="00196812" w:rsidR="00EA3F40" w:rsidRDefault="00EA3F40" w:rsidRPr="0097021E">
      <w:pPr>
        <w:autoSpaceDE w:val="0"/>
        <w:autoSpaceDN w:val="0"/>
        <w:adjustRightInd w:val="0"/>
        <w:spacing w:before="29" w:line="360" w:lineRule="auto"/>
        <w:ind w:left="15"/>
        <w:jc w:val="right"/>
        <w:rPr>
          <w:rFonts w:ascii="宋体" w:cs="Arial"/>
          <w:color w:val="000000"/>
          <w:kern w:val="0"/>
          <w:sz w:val="24"/>
        </w:rPr>
      </w:pPr>
      <w:r w:rsidRPr="0097021E">
        <w:rPr>
          <w:rFonts w:ascii="宋体" w:cs="Arial" w:hAnsi="宋体" w:hint="eastAsia"/>
          <w:color w:val="000000"/>
          <w:kern w:val="0"/>
          <w:sz w:val="24"/>
        </w:rPr>
        <w:t>单位：人民币元</w:t>
      </w:r>
    </w:p>
    <w:tbl>
      <w:tblPr>
        <w:tblW w:type="dxa" w:w="9594"/>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1855"/>
        <w:gridCol w:w="1856"/>
      </w:tblGrid>
      <w:tr w:rsidR="00EA3F40" w:rsidRPr="00613409" w:rsidTr="00025C5D">
        <w:trPr>
          <w:jc w:val="center"/>
        </w:trPr>
        <w:tc>
          <w:tcPr>
            <w:tcW w:type="dxa" w:w="3402"/>
            <w:vMerge w:val="restart"/>
            <w:vAlign w:val="center"/>
          </w:tcPr>
          <w:p w:rsidP="00196812" w:rsidR="00EA3F40" w:rsidRDefault="00EA3F40" w:rsidRPr="00613409">
            <w:pPr>
              <w:adjustRightInd w:val="0"/>
              <w:spacing w:before="29" w:line="360" w:lineRule="auto"/>
              <w:ind w:left="17"/>
              <w:jc w:val="center"/>
              <w:rPr>
                <w:kern w:val="0"/>
                <w:sz w:val="24"/>
              </w:rPr>
            </w:pPr>
            <w:r w:rsidRPr="00613409">
              <w:rPr>
                <w:kern w:val="0"/>
                <w:sz w:val="24"/>
              </w:rPr>
              <w:t>主要财务指标</w:t>
            </w:r>
          </w:p>
        </w:tc>
        <w:tc>
          <w:tcPr>
            <w:tcW w:type="dxa" w:w="6192"/>
            <w:gridSpan w:val="3"/>
            <w:vAlign w:val="center"/>
          </w:tcPr>
          <w:p w:rsidP="00196812" w:rsidR="00EA3F40" w:rsidRDefault="00EA3F40" w:rsidRPr="00613409">
            <w:pPr>
              <w:adjustRightInd w:val="0"/>
              <w:spacing w:before="29" w:line="360" w:lineRule="auto"/>
              <w:ind w:left="17"/>
              <w:jc w:val="center"/>
              <w:rPr>
                <w:color w:val="000000"/>
                <w:sz w:val="24"/>
              </w:rPr>
            </w:pPr>
            <w:r w:rsidRPr="00613409">
              <w:rPr>
                <w:color w:val="000000"/>
                <w:sz w:val="24"/>
              </w:rPr>
              <w:t>报告期</w:t>
            </w:r>
            <w:r w:rsidRPr="00613409">
              <w:rPr>
                <w:color w:val="000000"/>
                <w:sz w:val="24"/>
              </w:rPr>
              <w:t>(2020年7月1日-2020年9月30日)</w:t>
            </w:r>
          </w:p>
        </w:tc>
      </w:tr>
      <w:tr w:rsidR="00EA3F40" w:rsidRPr="00613409" w:rsidTr="00025C5D">
        <w:trPr>
          <w:jc w:val="center"/>
        </w:trPr>
        <w:tc>
          <w:tcPr>
            <w:tcW w:type="dxa" w:w="3402"/>
            <w:vMerge/>
            <w:vAlign w:val="center"/>
          </w:tcPr>
          <w:p w:rsidP="00196812" w:rsidR="00EA3F40" w:rsidRDefault="00EA3F40" w:rsidRPr="00613409">
            <w:pPr>
              <w:adjustRightInd w:val="0"/>
              <w:spacing w:before="29" w:line="360" w:lineRule="auto"/>
              <w:ind w:left="17"/>
              <w:jc w:val="center"/>
              <w:rPr>
                <w:kern w:val="0"/>
                <w:sz w:val="24"/>
              </w:rPr>
            </w:pPr>
          </w:p>
        </w:tc>
        <w:tc>
          <w:tcPr>
            <w:tcW w:type="dxa" w:w="2481"/>
            <w:vAlign w:val="center"/>
          </w:tcPr>
          <w:p w:rsidP="00196812" w:rsidR="00EA3F40" w:rsidRDefault="00EA3F40" w:rsidRPr="00613409">
            <w:pPr>
              <w:adjustRightInd w:val="0"/>
              <w:spacing w:before="29" w:line="360" w:lineRule="auto"/>
              <w:ind w:left="17"/>
              <w:jc w:val="center"/>
              <w:rPr>
                <w:color w:val="000000"/>
                <w:sz w:val="24"/>
              </w:rPr>
            </w:pPr>
            <w:r w:rsidRPr="00613409">
              <w:rPr>
                <w:color w:val="000000"/>
                <w:kern w:val="0"/>
                <w:sz w:val="24"/>
              </w:rPr>
              <w:t/>
            </w:r>
            <w:r w:rsidRPr="00613409">
              <w:rPr>
                <w:sz w:val="24"/>
              </w:rPr>
              <w:t>易方达货币A</w:t>
            </w:r>
          </w:p>
        </w:tc>
        <w:tc>
          <w:tcPr>
            <w:tcW w:type="dxa" w:w="1855"/>
            <w:vAlign w:val="center"/>
          </w:tcPr>
          <w:p w:rsidP="00196812" w:rsidR="00EA3F40" w:rsidRDefault="00EA3F40" w:rsidRPr="00613409">
            <w:pPr>
              <w:adjustRightInd w:val="0"/>
              <w:spacing w:before="29" w:line="360" w:lineRule="auto"/>
              <w:ind w:left="17"/>
              <w:jc w:val="center"/>
              <w:rPr>
                <w:color w:val="000000"/>
                <w:sz w:val="24"/>
              </w:rPr>
            </w:pPr>
            <w:r w:rsidRPr="00613409">
              <w:rPr>
                <w:color w:val="000000"/>
                <w:kern w:val="0"/>
                <w:sz w:val="24"/>
              </w:rPr>
              <w:t/>
            </w:r>
            <w:r w:rsidRPr="00613409">
              <w:rPr>
                <w:sz w:val="24"/>
              </w:rPr>
              <w:t>易方达货币B</w:t>
            </w:r>
          </w:p>
        </w:tc>
        <w:tc>
          <w:tcPr>
            <w:tcW w:type="dxa" w:w="1856"/>
            <w:vAlign w:val="center"/>
          </w:tcPr>
          <w:p w:rsidP="00025C5D" w:rsidR="00EA3F40" w:rsidRDefault="00EA3F40" w:rsidRPr="00613409">
            <w:pPr>
              <w:adjustRightInd w:val="0"/>
              <w:spacing w:before="29" w:line="360" w:lineRule="auto"/>
              <w:ind w:left="17"/>
              <w:jc w:val="center"/>
              <w:rPr>
                <w:color w:val="000000"/>
                <w:sz w:val="24"/>
              </w:rPr>
            </w:pPr>
            <w:r w:rsidRPr="00613409">
              <w:rPr>
                <w:color w:val="000000"/>
                <w:kern w:val="0"/>
                <w:sz w:val="24"/>
              </w:rPr>
              <w:t/>
            </w:r>
            <w:r w:rsidRPr="00613409">
              <w:rPr>
                <w:sz w:val="24"/>
              </w:rPr>
              <w:t>易方达货币E</w:t>
            </w:r>
          </w:p>
        </w:tc>
      </w:tr>
      <w:tr w:rsidR="00EA3F40" w:rsidRPr="00613409" w:rsidTr="00025C5D">
        <w:trPr>
          <w:trHeight w:val="840"/>
          <w:jc w:val="center"/>
        </w:trPr>
        <w:tc>
          <w:tcPr>
            <w:tcW w:type="dxa" w:w="3402"/>
          </w:tcPr>
          <w:p w:rsidP="00196812" w:rsidR="00EA3F40" w:rsidRDefault="00EA3F40" w:rsidRPr="00613409">
            <w:pPr>
              <w:adjustRightInd w:val="0"/>
              <w:spacing w:before="29" w:line="360" w:lineRule="auto"/>
              <w:ind w:left="17"/>
              <w:rPr>
                <w:kern w:val="0"/>
                <w:sz w:val="24"/>
              </w:rPr>
            </w:pPr>
            <w:r w:rsidRPr="00613409">
              <w:rPr>
                <w:kern w:val="0"/>
                <w:sz w:val="24"/>
              </w:rPr>
              <w:t>1.</w:t>
            </w:r>
            <w:r w:rsidRPr="00613409">
              <w:rPr>
                <w:kern w:val="0"/>
                <w:sz w:val="24"/>
              </w:rPr>
              <w:t>本期已实现收益</w:t>
            </w:r>
          </w:p>
        </w:tc>
        <w:tc>
          <w:tcPr>
            <w:tcW w:type="dxa" w:w="2481"/>
            <w:vAlign w:val="bottom"/>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6,516,956.92</w:t>
            </w:r>
          </w:p>
        </w:tc>
        <w:tc>
          <w:tcPr>
            <w:tcW w:type="dxa" w:w="1855"/>
            <w:vAlign w:val="bottom"/>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183,180,406.90</w:t>
            </w:r>
          </w:p>
        </w:tc>
        <w:tc>
          <w:tcPr>
            <w:tcW w:type="dxa" w:w="1856"/>
            <w:vAlign w:val="bottom"/>
          </w:tcPr>
          <w:p w:rsidP="00025C5D" w:rsidR="00EA3F40" w:rsidRDefault="00EA3F40" w:rsidRPr="00613409">
            <w:pPr>
              <w:adjustRightInd w:val="0"/>
              <w:spacing w:before="29" w:line="360" w:lineRule="auto"/>
              <w:ind w:left="17"/>
              <w:jc w:val="right"/>
              <w:rPr>
                <w:color w:val="000000"/>
                <w:sz w:val="24"/>
              </w:rPr>
            </w:pPr>
            <w:r w:rsidRPr="00613409">
              <w:rPr>
                <w:color w:val="000000"/>
                <w:sz w:val="24"/>
              </w:rPr>
              <w:t>1,213,925.17</w:t>
            </w:r>
          </w:p>
        </w:tc>
      </w:tr>
      <w:tr w:rsidR="00EA3F40" w:rsidRPr="00613409" w:rsidTr="00025C5D">
        <w:trPr>
          <w:jc w:val="center"/>
        </w:trPr>
        <w:tc>
          <w:tcPr>
            <w:tcW w:type="dxa" w:w="3402"/>
          </w:tcPr>
          <w:p w:rsidP="00196812" w:rsidR="00EA3F40" w:rsidRDefault="00EA3F40" w:rsidRPr="00613409">
            <w:pPr>
              <w:adjustRightInd w:val="0"/>
              <w:spacing w:before="29" w:line="360" w:lineRule="auto"/>
              <w:ind w:left="17"/>
              <w:rPr>
                <w:kern w:val="0"/>
                <w:sz w:val="24"/>
              </w:rPr>
            </w:pPr>
            <w:r w:rsidRPr="00613409">
              <w:rPr>
                <w:kern w:val="0"/>
                <w:sz w:val="24"/>
              </w:rPr>
              <w:t>2.</w:t>
            </w:r>
            <w:r w:rsidRPr="00613409">
              <w:rPr>
                <w:kern w:val="0"/>
                <w:sz w:val="24"/>
              </w:rPr>
              <w:t>本期利润</w:t>
            </w:r>
          </w:p>
        </w:tc>
        <w:tc>
          <w:tcPr>
            <w:tcW w:type="dxa" w:w="2481"/>
            <w:vAlign w:val="bottom"/>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6,516,956.92</w:t>
            </w:r>
          </w:p>
        </w:tc>
        <w:tc>
          <w:tcPr>
            <w:tcW w:type="dxa" w:w="1855"/>
            <w:vAlign w:val="bottom"/>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183,180,406.90</w:t>
            </w:r>
          </w:p>
        </w:tc>
        <w:tc>
          <w:tcPr>
            <w:tcW w:type="dxa" w:w="1856"/>
            <w:vAlign w:val="bottom"/>
          </w:tcPr>
          <w:p w:rsidP="00025C5D" w:rsidR="00EA3F40" w:rsidRDefault="00EA3F40" w:rsidRPr="00613409">
            <w:pPr>
              <w:adjustRightInd w:val="0"/>
              <w:spacing w:before="29" w:line="360" w:lineRule="auto"/>
              <w:ind w:left="17"/>
              <w:jc w:val="right"/>
              <w:rPr>
                <w:color w:val="000000"/>
                <w:sz w:val="24"/>
              </w:rPr>
            </w:pPr>
            <w:r w:rsidRPr="00613409">
              <w:rPr>
                <w:color w:val="000000"/>
                <w:sz w:val="24"/>
              </w:rPr>
              <w:t>1,213,925.17</w:t>
            </w:r>
          </w:p>
        </w:tc>
      </w:tr>
      <w:tr w:rsidR="00EA3F40" w:rsidRPr="00613409" w:rsidTr="00025C5D">
        <w:trPr>
          <w:jc w:val="center"/>
        </w:trPr>
        <w:tc>
          <w:tcPr>
            <w:tcW w:type="dxa" w:w="3402"/>
          </w:tcPr>
          <w:p w:rsidP="00196812" w:rsidR="00EA3F40" w:rsidRDefault="00EA3F40" w:rsidRPr="00613409">
            <w:pPr>
              <w:adjustRightInd w:val="0"/>
              <w:spacing w:before="29" w:line="360" w:lineRule="auto"/>
              <w:ind w:left="17"/>
              <w:rPr>
                <w:kern w:val="0"/>
                <w:sz w:val="24"/>
              </w:rPr>
            </w:pPr>
            <w:r w:rsidRPr="00613409">
              <w:rPr>
                <w:kern w:val="0"/>
                <w:sz w:val="24"/>
              </w:rPr>
              <w:t>3.</w:t>
            </w:r>
            <w:r w:rsidRPr="00613409">
              <w:rPr>
                <w:kern w:val="0"/>
                <w:sz w:val="24"/>
              </w:rPr>
              <w:t>期末基金资产净值</w:t>
            </w:r>
          </w:p>
        </w:tc>
        <w:tc>
          <w:tcPr>
            <w:tcW w:type="dxa" w:w="2481"/>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1,530,442,623.12</w:t>
            </w:r>
          </w:p>
        </w:tc>
        <w:tc>
          <w:tcPr>
            <w:tcW w:type="dxa" w:w="1855"/>
          </w:tcPr>
          <w:p w:rsidP="00196812" w:rsidR="00EA3F40" w:rsidRDefault="00EA3F40" w:rsidRPr="00613409">
            <w:pPr>
              <w:adjustRightInd w:val="0"/>
              <w:spacing w:before="29" w:line="360" w:lineRule="auto"/>
              <w:ind w:left="17"/>
              <w:jc w:val="right"/>
              <w:rPr>
                <w:color w:val="000000"/>
                <w:sz w:val="24"/>
              </w:rPr>
            </w:pPr>
            <w:r w:rsidRPr="00613409">
              <w:rPr>
                <w:color w:val="000000"/>
                <w:sz w:val="24"/>
              </w:rPr>
              <w:t>16,265,938,574.39</w:t>
            </w:r>
          </w:p>
        </w:tc>
        <w:tc>
          <w:tcPr>
            <w:tcW w:type="dxa" w:w="1856"/>
          </w:tcPr>
          <w:p w:rsidP="00025C5D" w:rsidR="00EA3F40" w:rsidRDefault="00EA3F40" w:rsidRPr="00613409">
            <w:pPr>
              <w:adjustRightInd w:val="0"/>
              <w:spacing w:before="29" w:line="360" w:lineRule="auto"/>
              <w:ind w:left="17"/>
              <w:jc w:val="right"/>
              <w:rPr>
                <w:color w:val="000000"/>
                <w:sz w:val="24"/>
              </w:rPr>
            </w:pPr>
            <w:r w:rsidRPr="00613409">
              <w:rPr>
                <w:color w:val="000000"/>
                <w:sz w:val="24"/>
              </w:rPr>
              <w:t>300,300,779.84</w:t>
            </w:r>
          </w:p>
        </w:tc>
      </w:tr>
    </w:tbl>
    <w:p>
      <w:pPr>
        <w:adjustRightInd w:val="0"/>
        <w:spacing w:line="360" w:lineRule="auto"/>
        <w:ind w:firstLine="480" w:firstLineChars="200"/>
        <w:rPr>
          <w:color w:val="000000"/>
          <w:sz w:val="24"/>
        </w:rPr>
      </w:pPr>
      <w:r>
        <w:rPr>
          <w:color w:val="000000"/>
          <w:sz w:val="24"/>
        </w:rPr>
        <w:t>注：1.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pPr>
        <w:adjustRightInd w:val="0"/>
        <w:spacing w:line="360" w:lineRule="auto"/>
        <w:ind w:firstLine="480" w:firstLineChars="200"/>
        <w:rPr>
          <w:color w:val="000000"/>
          <w:sz w:val="24"/>
        </w:rPr>
      </w:pPr>
      <w:r>
        <w:rPr>
          <w:color w:val="000000"/>
          <w:sz w:val="24"/>
        </w:rPr>
        <w:t>2.本基金自成立起至2014年11月20日，利润分配是按月结转份额；自2014年11月21日起至今，利润分配是按日结转份额。</w:t>
      </w:r>
    </w:p>
    <w:p>
      <w:pPr>
        <w:adjustRightInd w:val="0"/>
        <w:spacing w:line="360" w:lineRule="auto"/>
        <w:ind w:firstLine="480" w:firstLineChars="200"/>
        <w:rPr>
          <w:color w:val="000000"/>
          <w:sz w:val="24"/>
        </w:rPr>
      </w:pPr>
      <w:r>
        <w:rPr>
          <w:color w:val="000000"/>
          <w:sz w:val="24"/>
        </w:rPr>
        <w:t>3.根据《关于易方达货币市场基金实施基金份额分级的公告》，本基金于2006年7月18日实施分级，分级后本基金设两级基金份额：A级基金份额和B级基金份额，升级后的B级基金份额从2006年7月19日起享受B级基金收益。</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4.自2014年11月21日起，本基金增设E类份额类别。</w:t>
      </w:r>
    </w:p>
    <w:p w:rsidP="009A755D"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3.2 </w:t>
      </w:r>
      <w:r w:rsidRPr="0097021E">
        <w:rPr>
          <w:rFonts w:ascii="宋体" w:cs="Arial" w:hAnsi="宋体" w:hint="eastAsia"/>
          <w:b/>
          <w:color w:val="000000"/>
          <w:kern w:val="0"/>
          <w:sz w:val="24"/>
        </w:rPr>
        <w:t>基金净值表现</w:t>
      </w:r>
    </w:p>
    <w:p w:rsidP="009A755D" w:rsidR="00EA3F40" w:rsidRDefault="00EA3F40" w:rsidRPr="0097021E">
      <w:pPr>
        <w:spacing w:line="360" w:lineRule="auto"/>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cs="Arial" w:hAnsi="宋体"/>
            <w:b/>
            <w:color w:val="000000"/>
            <w:kern w:val="0"/>
            <w:sz w:val="24"/>
          </w:rPr>
          <w:t>3.2.1</w:t>
        </w:r>
      </w:smartTag>
      <w:r w:rsidRPr="0097021E">
        <w:rPr>
          <w:rFonts w:ascii="宋体" w:cs="Arial" w:hAnsi="宋体"/>
          <w:b/>
          <w:color w:val="000000"/>
          <w:kern w:val="0"/>
          <w:sz w:val="24"/>
        </w:rPr>
        <w:t xml:space="preserve"> </w:t>
      </w:r>
      <w:r w:rsidRPr="0097021E">
        <w:rPr>
          <w:rFonts w:ascii="宋体" w:cs="Arial" w:hAnsi="宋体" w:hint="eastAsia"/>
          <w:b/>
          <w:color w:val="000000"/>
          <w:kern w:val="0"/>
          <w:sz w:val="24"/>
        </w:rPr>
        <w:t>本报告期基金份额净值收益率及其与同期业绩比较基准收益率的比较</w:t>
      </w:r>
    </w:p>
    <w:p w:rsidP="00613409" w:rsidR="00EA3F40" w:rsidRDefault="00EA3F40" w:rsidRPr="00613409">
      <w:pPr>
        <w:pStyle w:val="20"/>
        <w:spacing w:line="360" w:lineRule="auto"/>
        <w:ind w:firstLine="0" w:firstLineChars="0"/>
        <w:rPr>
          <w:b/>
          <w:sz w:val="24"/>
        </w:rPr>
      </w:pPr>
      <w:r w:rsidRPr="00613409">
        <w:rPr>
          <w:b/>
          <w:color w:val="000000"/>
          <w:sz w:val="24"/>
        </w:rPr>
        <w:t/>
      </w:r>
      <w:r w:rsidRPr="00613409">
        <w:rPr>
          <w:rFonts w:cs="宋体"/>
          <w:b/>
          <w:color w:val="000000"/>
          <w:sz w:val="24"/>
        </w:rPr>
        <w:t/>
      </w:r>
      <w:r w:rsidRPr="00613409">
        <w:rPr>
          <w:b/>
          <w:color w:val="000000"/>
          <w:sz w:val="24"/>
        </w:rPr>
        <w:t/>
      </w:r>
      <w:r w:rsidRPr="00613409">
        <w:rPr>
          <w:b/>
          <w:sz w:val="24"/>
        </w:rPr>
        <w:t>易方达货币A</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EA3F40" w:rsidRPr="0097021E" w:rsidTr="00841A22">
        <w:tc>
          <w:tcPr>
            <w:tcW w:type="dxa" w:w="1328"/>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0.4248%</w:t>
            </w:r>
          </w:p>
        </w:tc>
        <w:tc>
          <w:tcPr>
            <w:vAlign w:val="center"/>
          </w:tcPr>
          <w:p>
            <w:pPr>
              <w:jc w:val="center"/>
            </w:pPr>
            <w:r>
              <w:rPr>
                <w:color w:val="000000"/>
                <w:kern w:val="2"/>
                <w:sz w:val="24"/>
              </w:rPr>
              <w:t>0.0009%</w:t>
            </w:r>
          </w:p>
        </w:tc>
        <w:tc>
          <w:tcPr>
            <w:vAlign w:val="center"/>
          </w:tcPr>
          <w:p>
            <w:pPr>
              <w:jc w:val="center"/>
            </w:pPr>
            <w:r>
              <w:rPr>
                <w:color w:val="000000"/>
                <w:kern w:val="2"/>
                <w:sz w:val="24"/>
              </w:rPr>
              <w:t>0.0880%</w:t>
            </w:r>
          </w:p>
        </w:tc>
        <w:tc>
          <w:tcPr>
            <w:vAlign w:val="center"/>
          </w:tcPr>
          <w:p>
            <w:pPr>
              <w:jc w:val="center"/>
            </w:pPr>
            <w:r>
              <w:rPr>
                <w:color w:val="000000"/>
                <w:kern w:val="2"/>
                <w:sz w:val="24"/>
              </w:rPr>
              <w:t>0.0000%</w:t>
            </w:r>
          </w:p>
        </w:tc>
        <w:tc>
          <w:tcPr>
            <w:vAlign w:val="center"/>
          </w:tcPr>
          <w:p>
            <w:pPr>
              <w:jc w:val="center"/>
            </w:pPr>
            <w:r>
              <w:rPr>
                <w:color w:val="000000"/>
                <w:kern w:val="2"/>
                <w:sz w:val="24"/>
              </w:rPr>
              <w:t>0.3368%</w:t>
            </w:r>
          </w:p>
        </w:tc>
        <w:tc>
          <w:tcPr>
            <w:vAlign w:val="center"/>
          </w:tcPr>
          <w:p>
            <w:pPr>
              <w:jc w:val="center"/>
            </w:pPr>
            <w:r>
              <w:rPr>
                <w:color w:val="000000"/>
                <w:kern w:val="2"/>
                <w:sz w:val="24"/>
              </w:rPr>
              <w:t>0.0009%</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0.7807%</w:t>
            </w:r>
          </w:p>
        </w:tc>
        <w:tc>
          <w:tcPr>
            <w:vAlign w:val="center"/>
          </w:tcPr>
          <w:p>
            <w:pPr>
              <w:jc w:val="center"/>
            </w:pPr>
            <w:r>
              <w:rPr>
                <w:color w:val="000000"/>
                <w:kern w:val="2"/>
                <w:sz w:val="24"/>
              </w:rPr>
              <w:t>0.0014%</w:t>
            </w:r>
          </w:p>
        </w:tc>
        <w:tc>
          <w:tcPr>
            <w:vAlign w:val="center"/>
          </w:tcPr>
          <w:p>
            <w:pPr>
              <w:jc w:val="center"/>
            </w:pPr>
            <w:r>
              <w:rPr>
                <w:color w:val="000000"/>
                <w:kern w:val="2"/>
                <w:sz w:val="24"/>
              </w:rPr>
              <w:t>0.1752%</w:t>
            </w:r>
          </w:p>
        </w:tc>
        <w:tc>
          <w:tcPr>
            <w:vAlign w:val="center"/>
          </w:tcPr>
          <w:p>
            <w:pPr>
              <w:jc w:val="center"/>
            </w:pPr>
            <w:r>
              <w:rPr>
                <w:color w:val="000000"/>
                <w:kern w:val="2"/>
                <w:sz w:val="24"/>
              </w:rPr>
              <w:t>0.0000%</w:t>
            </w:r>
          </w:p>
        </w:tc>
        <w:tc>
          <w:tcPr>
            <w:vAlign w:val="center"/>
          </w:tcPr>
          <w:p>
            <w:pPr>
              <w:jc w:val="center"/>
            </w:pPr>
            <w:r>
              <w:rPr>
                <w:color w:val="000000"/>
                <w:kern w:val="2"/>
                <w:sz w:val="24"/>
              </w:rPr>
              <w:t>0.6055%</w:t>
            </w:r>
          </w:p>
        </w:tc>
        <w:tc>
          <w:tcPr>
            <w:vAlign w:val="center"/>
          </w:tcPr>
          <w:p>
            <w:pPr>
              <w:jc w:val="center"/>
            </w:pPr>
            <w:r>
              <w:rPr>
                <w:color w:val="000000"/>
                <w:kern w:val="2"/>
                <w:sz w:val="24"/>
              </w:rPr>
              <w:t>0.0014%</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1.8786%</w:t>
            </w:r>
          </w:p>
        </w:tc>
        <w:tc>
          <w:tcPr>
            <w:vAlign w:val="center"/>
          </w:tcPr>
          <w:p>
            <w:pPr>
              <w:jc w:val="center"/>
            </w:pPr>
            <w:r>
              <w:rPr>
                <w:color w:val="000000"/>
                <w:kern w:val="2"/>
                <w:sz w:val="24"/>
              </w:rPr>
              <w:t>0.0016%</w:t>
            </w:r>
          </w:p>
        </w:tc>
        <w:tc>
          <w:tcPr>
            <w:vAlign w:val="center"/>
          </w:tcPr>
          <w:p>
            <w:pPr>
              <w:jc w:val="center"/>
            </w:pPr>
            <w:r>
              <w:rPr>
                <w:color w:val="000000"/>
                <w:kern w:val="2"/>
                <w:sz w:val="24"/>
              </w:rPr>
              <w:t>0.3509%</w:t>
            </w:r>
          </w:p>
        </w:tc>
        <w:tc>
          <w:tcPr>
            <w:vAlign w:val="center"/>
          </w:tcPr>
          <w:p>
            <w:pPr>
              <w:jc w:val="center"/>
            </w:pPr>
            <w:r>
              <w:rPr>
                <w:color w:val="000000"/>
                <w:kern w:val="2"/>
                <w:sz w:val="24"/>
              </w:rPr>
              <w:t>0.0000%</w:t>
            </w:r>
          </w:p>
        </w:tc>
        <w:tc>
          <w:tcPr>
            <w:vAlign w:val="center"/>
          </w:tcPr>
          <w:p>
            <w:pPr>
              <w:jc w:val="center"/>
            </w:pPr>
            <w:r>
              <w:rPr>
                <w:color w:val="000000"/>
                <w:kern w:val="2"/>
                <w:sz w:val="24"/>
              </w:rPr>
              <w:t>1.5277%</w:t>
            </w:r>
          </w:p>
        </w:tc>
        <w:tc>
          <w:tcPr>
            <w:vAlign w:val="center"/>
          </w:tcPr>
          <w:p>
            <w:pPr>
              <w:jc w:val="center"/>
            </w:pPr>
            <w:r>
              <w:rPr>
                <w:color w:val="000000"/>
                <w:kern w:val="2"/>
                <w:sz w:val="24"/>
              </w:rPr>
              <w:t>0.0016%</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7.6914%</w:t>
            </w:r>
          </w:p>
        </w:tc>
        <w:tc>
          <w:tcPr>
            <w:vAlign w:val="center"/>
          </w:tcPr>
          <w:p>
            <w:pPr>
              <w:jc w:val="center"/>
            </w:pPr>
            <w:r>
              <w:rPr>
                <w:color w:val="000000"/>
                <w:kern w:val="2"/>
                <w:sz w:val="24"/>
              </w:rPr>
              <w:t>0.0026%</w:t>
            </w:r>
          </w:p>
        </w:tc>
        <w:tc>
          <w:tcPr>
            <w:vAlign w:val="center"/>
          </w:tcPr>
          <w:p>
            <w:pPr>
              <w:jc w:val="center"/>
            </w:pPr>
            <w:r>
              <w:rPr>
                <w:color w:val="000000"/>
                <w:kern w:val="2"/>
                <w:sz w:val="24"/>
              </w:rPr>
              <w:t>1.0558%</w:t>
            </w:r>
          </w:p>
        </w:tc>
        <w:tc>
          <w:tcPr>
            <w:vAlign w:val="center"/>
          </w:tcPr>
          <w:p>
            <w:pPr>
              <w:jc w:val="center"/>
            </w:pPr>
            <w:r>
              <w:rPr>
                <w:color w:val="000000"/>
                <w:kern w:val="2"/>
                <w:sz w:val="24"/>
              </w:rPr>
              <w:t>0.0000%</w:t>
            </w:r>
          </w:p>
        </w:tc>
        <w:tc>
          <w:tcPr>
            <w:vAlign w:val="center"/>
          </w:tcPr>
          <w:p>
            <w:pPr>
              <w:jc w:val="center"/>
            </w:pPr>
            <w:r>
              <w:rPr>
                <w:color w:val="000000"/>
                <w:kern w:val="2"/>
                <w:sz w:val="24"/>
              </w:rPr>
              <w:t>6.6356%</w:t>
            </w:r>
          </w:p>
        </w:tc>
        <w:tc>
          <w:tcPr>
            <w:vAlign w:val="center"/>
          </w:tcPr>
          <w:p>
            <w:pPr>
              <w:jc w:val="center"/>
            </w:pPr>
            <w:r>
              <w:rPr>
                <w:color w:val="000000"/>
                <w:kern w:val="2"/>
                <w:sz w:val="24"/>
              </w:rPr>
              <w:t>0.0026%</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13.8774%</w:t>
            </w:r>
          </w:p>
        </w:tc>
        <w:tc>
          <w:tcPr>
            <w:vAlign w:val="center"/>
          </w:tcPr>
          <w:p>
            <w:pPr>
              <w:jc w:val="center"/>
            </w:pPr>
            <w:r>
              <w:rPr>
                <w:color w:val="000000"/>
                <w:kern w:val="2"/>
                <w:sz w:val="24"/>
              </w:rPr>
              <w:t>0.0024%</w:t>
            </w:r>
          </w:p>
        </w:tc>
        <w:tc>
          <w:tcPr>
            <w:vAlign w:val="center"/>
          </w:tcPr>
          <w:p>
            <w:pPr>
              <w:jc w:val="center"/>
            </w:pPr>
            <w:r>
              <w:rPr>
                <w:color w:val="000000"/>
                <w:kern w:val="2"/>
                <w:sz w:val="24"/>
              </w:rPr>
              <w:t>1.7656%</w:t>
            </w:r>
          </w:p>
        </w:tc>
        <w:tc>
          <w:tcPr>
            <w:vAlign w:val="center"/>
          </w:tcPr>
          <w:p>
            <w:pPr>
              <w:jc w:val="center"/>
            </w:pPr>
            <w:r>
              <w:rPr>
                <w:color w:val="000000"/>
                <w:kern w:val="2"/>
                <w:sz w:val="24"/>
              </w:rPr>
              <w:t>0.0000%</w:t>
            </w:r>
          </w:p>
        </w:tc>
        <w:tc>
          <w:tcPr>
            <w:vAlign w:val="center"/>
          </w:tcPr>
          <w:p>
            <w:pPr>
              <w:jc w:val="center"/>
            </w:pPr>
            <w:r>
              <w:rPr>
                <w:color w:val="000000"/>
                <w:kern w:val="2"/>
                <w:sz w:val="24"/>
              </w:rPr>
              <w:t>12.1118%</w:t>
            </w:r>
          </w:p>
        </w:tc>
        <w:tc>
          <w:tcPr>
            <w:vAlign w:val="center"/>
          </w:tcPr>
          <w:p>
            <w:pPr>
              <w:jc w:val="center"/>
            </w:pPr>
            <w:r>
              <w:rPr>
                <w:color w:val="000000"/>
                <w:kern w:val="2"/>
                <w:sz w:val="24"/>
              </w:rPr>
              <w:t>0.0024%</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58.4928%</w:t>
            </w:r>
          </w:p>
        </w:tc>
        <w:tc>
          <w:tcPr>
            <w:vAlign w:val="center"/>
          </w:tcPr>
          <w:p>
            <w:pPr>
              <w:jc w:val="center"/>
            </w:pPr>
            <w:r>
              <w:rPr>
                <w:color w:val="000000"/>
                <w:kern w:val="2"/>
                <w:sz w:val="24"/>
              </w:rPr>
              <w:t>0.0064%</w:t>
            </w:r>
          </w:p>
        </w:tc>
        <w:tc>
          <w:tcPr>
            <w:vAlign w:val="center"/>
          </w:tcPr>
          <w:p>
            <w:pPr>
              <w:jc w:val="center"/>
            </w:pPr>
            <w:r>
              <w:rPr>
                <w:color w:val="000000"/>
                <w:kern w:val="2"/>
                <w:sz w:val="24"/>
              </w:rPr>
              <w:t>14.6774%</w:t>
            </w:r>
          </w:p>
        </w:tc>
        <w:tc>
          <w:tcPr>
            <w:vAlign w:val="center"/>
          </w:tcPr>
          <w:p>
            <w:pPr>
              <w:jc w:val="center"/>
            </w:pPr>
            <w:r>
              <w:rPr>
                <w:color w:val="000000"/>
                <w:kern w:val="2"/>
                <w:sz w:val="24"/>
              </w:rPr>
              <w:t>0.0029%</w:t>
            </w:r>
          </w:p>
        </w:tc>
        <w:tc>
          <w:tcPr>
            <w:vAlign w:val="center"/>
          </w:tcPr>
          <w:p>
            <w:pPr>
              <w:jc w:val="center"/>
            </w:pPr>
            <w:r>
              <w:rPr>
                <w:color w:val="000000"/>
                <w:kern w:val="2"/>
                <w:sz w:val="24"/>
              </w:rPr>
              <w:t>43.8154%</w:t>
            </w:r>
          </w:p>
        </w:tc>
        <w:tc>
          <w:tcPr>
            <w:vAlign w:val="center"/>
          </w:tcPr>
          <w:p>
            <w:pPr>
              <w:jc w:val="center"/>
            </w:pPr>
            <w:r>
              <w:rPr>
                <w:color w:val="000000"/>
                <w:kern w:val="2"/>
                <w:sz w:val="24"/>
              </w:rPr>
              <w:t>0.0035%</w:t>
            </w:r>
          </w:p>
        </w:tc>
      </w:tr>
    </w:tbl>
    <w:p w:rsidP="00613409" w:rsidR="00EA3F40" w:rsidRDefault="00EA3F40" w:rsidRPr="00613409">
      <w:pPr>
        <w:pStyle w:val="20"/>
        <w:spacing w:line="360" w:lineRule="auto"/>
        <w:ind w:firstLine="0" w:firstLineChars="0"/>
        <w:rPr>
          <w:b/>
          <w:color w:val="000000"/>
          <w:sz w:val="24"/>
        </w:rPr>
      </w:pPr>
      <w:r w:rsidRPr="00613409">
        <w:rPr>
          <w:b/>
          <w:color w:val="000000"/>
          <w:sz w:val="24"/>
        </w:rPr>
        <w:t>易方达货币B</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EA3F40" w:rsidRPr="0097021E" w:rsidTr="00841A22">
        <w:tc>
          <w:tcPr>
            <w:tcW w:type="dxa" w:w="1328"/>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0.4853%</w:t>
            </w:r>
          </w:p>
        </w:tc>
        <w:tc>
          <w:tcPr>
            <w:vAlign w:val="center"/>
          </w:tcPr>
          <w:p>
            <w:pPr>
              <w:jc w:val="center"/>
            </w:pPr>
            <w:r>
              <w:rPr>
                <w:color w:val="000000"/>
                <w:kern w:val="2"/>
                <w:sz w:val="24"/>
              </w:rPr>
              <w:t>0.0009%</w:t>
            </w:r>
          </w:p>
        </w:tc>
        <w:tc>
          <w:tcPr>
            <w:vAlign w:val="center"/>
          </w:tcPr>
          <w:p>
            <w:pPr>
              <w:jc w:val="center"/>
            </w:pPr>
            <w:r>
              <w:rPr>
                <w:color w:val="000000"/>
                <w:kern w:val="2"/>
                <w:sz w:val="24"/>
              </w:rPr>
              <w:t>0.0880%</w:t>
            </w:r>
          </w:p>
        </w:tc>
        <w:tc>
          <w:tcPr>
            <w:vAlign w:val="center"/>
          </w:tcPr>
          <w:p>
            <w:pPr>
              <w:jc w:val="center"/>
            </w:pPr>
            <w:r>
              <w:rPr>
                <w:color w:val="000000"/>
                <w:kern w:val="2"/>
                <w:sz w:val="24"/>
              </w:rPr>
              <w:t>0.0000%</w:t>
            </w:r>
          </w:p>
        </w:tc>
        <w:tc>
          <w:tcPr>
            <w:vAlign w:val="center"/>
          </w:tcPr>
          <w:p>
            <w:pPr>
              <w:jc w:val="center"/>
            </w:pPr>
            <w:r>
              <w:rPr>
                <w:color w:val="000000"/>
                <w:kern w:val="2"/>
                <w:sz w:val="24"/>
              </w:rPr>
              <w:t>0.3973%</w:t>
            </w:r>
          </w:p>
        </w:tc>
        <w:tc>
          <w:tcPr>
            <w:vAlign w:val="center"/>
          </w:tcPr>
          <w:p>
            <w:pPr>
              <w:jc w:val="center"/>
            </w:pPr>
            <w:r>
              <w:rPr>
                <w:color w:val="000000"/>
                <w:kern w:val="2"/>
                <w:sz w:val="24"/>
              </w:rPr>
              <w:t>0.0009%</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0.9017%</w:t>
            </w:r>
          </w:p>
        </w:tc>
        <w:tc>
          <w:tcPr>
            <w:vAlign w:val="center"/>
          </w:tcPr>
          <w:p>
            <w:pPr>
              <w:jc w:val="center"/>
            </w:pPr>
            <w:r>
              <w:rPr>
                <w:color w:val="000000"/>
                <w:kern w:val="2"/>
                <w:sz w:val="24"/>
              </w:rPr>
              <w:t>0.0014%</w:t>
            </w:r>
          </w:p>
        </w:tc>
        <w:tc>
          <w:tcPr>
            <w:vAlign w:val="center"/>
          </w:tcPr>
          <w:p>
            <w:pPr>
              <w:jc w:val="center"/>
            </w:pPr>
            <w:r>
              <w:rPr>
                <w:color w:val="000000"/>
                <w:kern w:val="2"/>
                <w:sz w:val="24"/>
              </w:rPr>
              <w:t>0.1752%</w:t>
            </w:r>
          </w:p>
        </w:tc>
        <w:tc>
          <w:tcPr>
            <w:vAlign w:val="center"/>
          </w:tcPr>
          <w:p>
            <w:pPr>
              <w:jc w:val="center"/>
            </w:pPr>
            <w:r>
              <w:rPr>
                <w:color w:val="000000"/>
                <w:kern w:val="2"/>
                <w:sz w:val="24"/>
              </w:rPr>
              <w:t>0.0000%</w:t>
            </w:r>
          </w:p>
        </w:tc>
        <w:tc>
          <w:tcPr>
            <w:vAlign w:val="center"/>
          </w:tcPr>
          <w:p>
            <w:pPr>
              <w:jc w:val="center"/>
            </w:pPr>
            <w:r>
              <w:rPr>
                <w:color w:val="000000"/>
                <w:kern w:val="2"/>
                <w:sz w:val="24"/>
              </w:rPr>
              <w:t>0.7265%</w:t>
            </w:r>
          </w:p>
        </w:tc>
        <w:tc>
          <w:tcPr>
            <w:vAlign w:val="center"/>
          </w:tcPr>
          <w:p>
            <w:pPr>
              <w:jc w:val="center"/>
            </w:pPr>
            <w:r>
              <w:rPr>
                <w:color w:val="000000"/>
                <w:kern w:val="2"/>
                <w:sz w:val="24"/>
              </w:rPr>
              <w:t>0.0014%</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2.1235%</w:t>
            </w:r>
          </w:p>
        </w:tc>
        <w:tc>
          <w:tcPr>
            <w:vAlign w:val="center"/>
          </w:tcPr>
          <w:p>
            <w:pPr>
              <w:jc w:val="center"/>
            </w:pPr>
            <w:r>
              <w:rPr>
                <w:color w:val="000000"/>
                <w:kern w:val="2"/>
                <w:sz w:val="24"/>
              </w:rPr>
              <w:t>0.0016%</w:t>
            </w:r>
          </w:p>
        </w:tc>
        <w:tc>
          <w:tcPr>
            <w:vAlign w:val="center"/>
          </w:tcPr>
          <w:p>
            <w:pPr>
              <w:jc w:val="center"/>
            </w:pPr>
            <w:r>
              <w:rPr>
                <w:color w:val="000000"/>
                <w:kern w:val="2"/>
                <w:sz w:val="24"/>
              </w:rPr>
              <w:t>0.3509%</w:t>
            </w:r>
          </w:p>
        </w:tc>
        <w:tc>
          <w:tcPr>
            <w:vAlign w:val="center"/>
          </w:tcPr>
          <w:p>
            <w:pPr>
              <w:jc w:val="center"/>
            </w:pPr>
            <w:r>
              <w:rPr>
                <w:color w:val="000000"/>
                <w:kern w:val="2"/>
                <w:sz w:val="24"/>
              </w:rPr>
              <w:t>0.0000%</w:t>
            </w:r>
          </w:p>
        </w:tc>
        <w:tc>
          <w:tcPr>
            <w:vAlign w:val="center"/>
          </w:tcPr>
          <w:p>
            <w:pPr>
              <w:jc w:val="center"/>
            </w:pPr>
            <w:r>
              <w:rPr>
                <w:color w:val="000000"/>
                <w:kern w:val="2"/>
                <w:sz w:val="24"/>
              </w:rPr>
              <w:t>1.7726%</w:t>
            </w:r>
          </w:p>
        </w:tc>
        <w:tc>
          <w:tcPr>
            <w:vAlign w:val="center"/>
          </w:tcPr>
          <w:p>
            <w:pPr>
              <w:jc w:val="center"/>
            </w:pPr>
            <w:r>
              <w:rPr>
                <w:color w:val="000000"/>
                <w:kern w:val="2"/>
                <w:sz w:val="24"/>
              </w:rPr>
              <w:t>0.0016%</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8.4698%</w:t>
            </w:r>
          </w:p>
        </w:tc>
        <w:tc>
          <w:tcPr>
            <w:vAlign w:val="center"/>
          </w:tcPr>
          <w:p>
            <w:pPr>
              <w:jc w:val="center"/>
            </w:pPr>
            <w:r>
              <w:rPr>
                <w:color w:val="000000"/>
                <w:kern w:val="2"/>
                <w:sz w:val="24"/>
              </w:rPr>
              <w:t>0.0026%</w:t>
            </w:r>
          </w:p>
        </w:tc>
        <w:tc>
          <w:tcPr>
            <w:vAlign w:val="center"/>
          </w:tcPr>
          <w:p>
            <w:pPr>
              <w:jc w:val="center"/>
            </w:pPr>
            <w:r>
              <w:rPr>
                <w:color w:val="000000"/>
                <w:kern w:val="2"/>
                <w:sz w:val="24"/>
              </w:rPr>
              <w:t>1.0558%</w:t>
            </w:r>
          </w:p>
        </w:tc>
        <w:tc>
          <w:tcPr>
            <w:vAlign w:val="center"/>
          </w:tcPr>
          <w:p>
            <w:pPr>
              <w:jc w:val="center"/>
            </w:pPr>
            <w:r>
              <w:rPr>
                <w:color w:val="000000"/>
                <w:kern w:val="2"/>
                <w:sz w:val="24"/>
              </w:rPr>
              <w:t>0.0000%</w:t>
            </w:r>
          </w:p>
        </w:tc>
        <w:tc>
          <w:tcPr>
            <w:vAlign w:val="center"/>
          </w:tcPr>
          <w:p>
            <w:pPr>
              <w:jc w:val="center"/>
            </w:pPr>
            <w:r>
              <w:rPr>
                <w:color w:val="000000"/>
                <w:kern w:val="2"/>
                <w:sz w:val="24"/>
              </w:rPr>
              <w:t>7.4140%</w:t>
            </w:r>
          </w:p>
        </w:tc>
        <w:tc>
          <w:tcPr>
            <w:vAlign w:val="center"/>
          </w:tcPr>
          <w:p>
            <w:pPr>
              <w:jc w:val="center"/>
            </w:pPr>
            <w:r>
              <w:rPr>
                <w:color w:val="000000"/>
                <w:kern w:val="2"/>
                <w:sz w:val="24"/>
              </w:rPr>
              <w:t>0.0026%</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15.2530%</w:t>
            </w:r>
          </w:p>
        </w:tc>
        <w:tc>
          <w:tcPr>
            <w:vAlign w:val="center"/>
          </w:tcPr>
          <w:p>
            <w:pPr>
              <w:jc w:val="center"/>
            </w:pPr>
            <w:r>
              <w:rPr>
                <w:color w:val="000000"/>
                <w:kern w:val="2"/>
                <w:sz w:val="24"/>
              </w:rPr>
              <w:t>0.0024%</w:t>
            </w:r>
          </w:p>
        </w:tc>
        <w:tc>
          <w:tcPr>
            <w:vAlign w:val="center"/>
          </w:tcPr>
          <w:p>
            <w:pPr>
              <w:jc w:val="center"/>
            </w:pPr>
            <w:r>
              <w:rPr>
                <w:color w:val="000000"/>
                <w:kern w:val="2"/>
                <w:sz w:val="24"/>
              </w:rPr>
              <w:t>1.7656%</w:t>
            </w:r>
          </w:p>
        </w:tc>
        <w:tc>
          <w:tcPr>
            <w:vAlign w:val="center"/>
          </w:tcPr>
          <w:p>
            <w:pPr>
              <w:jc w:val="center"/>
            </w:pPr>
            <w:r>
              <w:rPr>
                <w:color w:val="000000"/>
                <w:kern w:val="2"/>
                <w:sz w:val="24"/>
              </w:rPr>
              <w:t>0.0000%</w:t>
            </w:r>
          </w:p>
        </w:tc>
        <w:tc>
          <w:tcPr>
            <w:vAlign w:val="center"/>
          </w:tcPr>
          <w:p>
            <w:pPr>
              <w:jc w:val="center"/>
            </w:pPr>
            <w:r>
              <w:rPr>
                <w:color w:val="000000"/>
                <w:kern w:val="2"/>
                <w:sz w:val="24"/>
              </w:rPr>
              <w:t>13.4874%</w:t>
            </w:r>
          </w:p>
        </w:tc>
        <w:tc>
          <w:tcPr>
            <w:vAlign w:val="center"/>
          </w:tcPr>
          <w:p>
            <w:pPr>
              <w:jc w:val="center"/>
            </w:pPr>
            <w:r>
              <w:rPr>
                <w:color w:val="000000"/>
                <w:kern w:val="2"/>
                <w:sz w:val="24"/>
              </w:rPr>
              <w:t>0.0024%</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58.9846%</w:t>
            </w:r>
          </w:p>
        </w:tc>
        <w:tc>
          <w:tcPr>
            <w:vAlign w:val="center"/>
          </w:tcPr>
          <w:p>
            <w:pPr>
              <w:jc w:val="center"/>
            </w:pPr>
            <w:r>
              <w:rPr>
                <w:color w:val="000000"/>
                <w:kern w:val="2"/>
                <w:sz w:val="24"/>
              </w:rPr>
              <w:t>0.0066%</w:t>
            </w:r>
          </w:p>
        </w:tc>
        <w:tc>
          <w:tcPr>
            <w:vAlign w:val="center"/>
          </w:tcPr>
          <w:p>
            <w:pPr>
              <w:jc w:val="center"/>
            </w:pPr>
            <w:r>
              <w:rPr>
                <w:color w:val="000000"/>
                <w:kern w:val="2"/>
                <w:sz w:val="24"/>
              </w:rPr>
              <w:t>11.9994%</w:t>
            </w:r>
          </w:p>
        </w:tc>
        <w:tc>
          <w:tcPr>
            <w:vAlign w:val="center"/>
          </w:tcPr>
          <w:p>
            <w:pPr>
              <w:jc w:val="center"/>
            </w:pPr>
            <w:r>
              <w:rPr>
                <w:color w:val="000000"/>
                <w:kern w:val="2"/>
                <w:sz w:val="24"/>
              </w:rPr>
              <w:t>0.0029%</w:t>
            </w:r>
          </w:p>
        </w:tc>
        <w:tc>
          <w:tcPr>
            <w:vAlign w:val="center"/>
          </w:tcPr>
          <w:p>
            <w:pPr>
              <w:jc w:val="center"/>
            </w:pPr>
            <w:r>
              <w:rPr>
                <w:color w:val="000000"/>
                <w:kern w:val="2"/>
                <w:sz w:val="24"/>
              </w:rPr>
              <w:t>46.9852%</w:t>
            </w:r>
          </w:p>
        </w:tc>
        <w:tc>
          <w:tcPr>
            <w:vAlign w:val="center"/>
          </w:tcPr>
          <w:p>
            <w:pPr>
              <w:jc w:val="center"/>
            </w:pPr>
            <w:r>
              <w:rPr>
                <w:color w:val="000000"/>
                <w:kern w:val="2"/>
                <w:sz w:val="24"/>
              </w:rPr>
              <w:t>0.0037%</w:t>
            </w:r>
          </w:p>
        </w:tc>
      </w:tr>
    </w:tbl>
    <w:p w:rsidP="00613409" w:rsidR="00EA3F40" w:rsidRDefault="00EA3F40" w:rsidRPr="00613409">
      <w:pPr>
        <w:pStyle w:val="20"/>
        <w:spacing w:line="360" w:lineRule="auto"/>
        <w:ind w:firstLine="0" w:firstLineChars="0"/>
        <w:rPr>
          <w:b/>
          <w:color w:val="000000"/>
          <w:sz w:val="24"/>
        </w:rPr>
      </w:pPr>
      <w:r w:rsidRPr="00613409">
        <w:rPr>
          <w:b/>
          <w:color w:val="000000"/>
          <w:sz w:val="24"/>
        </w:rPr>
        <w:t>易方达货币E</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EA3F40" w:rsidRPr="0097021E" w:rsidTr="00841A22">
        <w:tc>
          <w:tcPr>
            <w:tcW w:type="dxa" w:w="1328"/>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阶段</w:t>
            </w:r>
            <w:r w:rsidRPr="00613409">
              <w:rPr>
                <w:rFonts w:ascii="Times New Roman" w:hAnsi="Times New Roman"/>
                <w:color w:val="000000"/>
                <w:szCs w:val="24"/>
              </w:rPr>
              <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type="dxa" w:w="1329"/>
            <w:vAlign w:val="center"/>
          </w:tcPr>
          <w:p w:rsidP="00841A22" w:rsidR="00EA3F40" w:rsidRDefault="00EA3F40" w:rsidRPr="00613409">
            <w:pPr>
              <w:pStyle w:val="ab"/>
              <w:adjustRightInd w:val="0"/>
              <w:snapToGrid w:val="0"/>
              <w:spacing w:after="0" w:afterAutospacing="0" w:before="0" w:before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0.4247%</w:t>
            </w:r>
          </w:p>
        </w:tc>
        <w:tc>
          <w:tcPr>
            <w:vAlign w:val="center"/>
          </w:tcPr>
          <w:p>
            <w:pPr>
              <w:jc w:val="center"/>
            </w:pPr>
            <w:r>
              <w:rPr>
                <w:color w:val="000000"/>
                <w:kern w:val="2"/>
                <w:sz w:val="24"/>
              </w:rPr>
              <w:t>0.0009%</w:t>
            </w:r>
          </w:p>
        </w:tc>
        <w:tc>
          <w:tcPr>
            <w:vAlign w:val="center"/>
          </w:tcPr>
          <w:p>
            <w:pPr>
              <w:jc w:val="center"/>
            </w:pPr>
            <w:r>
              <w:rPr>
                <w:color w:val="000000"/>
                <w:kern w:val="2"/>
                <w:sz w:val="24"/>
              </w:rPr>
              <w:t>0.0880%</w:t>
            </w:r>
          </w:p>
        </w:tc>
        <w:tc>
          <w:tcPr>
            <w:vAlign w:val="center"/>
          </w:tcPr>
          <w:p>
            <w:pPr>
              <w:jc w:val="center"/>
            </w:pPr>
            <w:r>
              <w:rPr>
                <w:color w:val="000000"/>
                <w:kern w:val="2"/>
                <w:sz w:val="24"/>
              </w:rPr>
              <w:t>0.0000%</w:t>
            </w:r>
          </w:p>
        </w:tc>
        <w:tc>
          <w:tcPr>
            <w:vAlign w:val="center"/>
          </w:tcPr>
          <w:p>
            <w:pPr>
              <w:jc w:val="center"/>
            </w:pPr>
            <w:r>
              <w:rPr>
                <w:color w:val="000000"/>
                <w:kern w:val="2"/>
                <w:sz w:val="24"/>
              </w:rPr>
              <w:t>0.3367%</w:t>
            </w:r>
          </w:p>
        </w:tc>
        <w:tc>
          <w:tcPr>
            <w:vAlign w:val="center"/>
          </w:tcPr>
          <w:p>
            <w:pPr>
              <w:jc w:val="center"/>
            </w:pPr>
            <w:r>
              <w:rPr>
                <w:color w:val="000000"/>
                <w:kern w:val="2"/>
                <w:sz w:val="24"/>
              </w:rPr>
              <w:t>0.0009%</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0.7803%</w:t>
            </w:r>
          </w:p>
        </w:tc>
        <w:tc>
          <w:tcPr>
            <w:vAlign w:val="center"/>
          </w:tcPr>
          <w:p>
            <w:pPr>
              <w:jc w:val="center"/>
            </w:pPr>
            <w:r>
              <w:rPr>
                <w:color w:val="000000"/>
                <w:kern w:val="2"/>
                <w:sz w:val="24"/>
              </w:rPr>
              <w:t>0.0014%</w:t>
            </w:r>
          </w:p>
        </w:tc>
        <w:tc>
          <w:tcPr>
            <w:vAlign w:val="center"/>
          </w:tcPr>
          <w:p>
            <w:pPr>
              <w:jc w:val="center"/>
            </w:pPr>
            <w:r>
              <w:rPr>
                <w:color w:val="000000"/>
                <w:kern w:val="2"/>
                <w:sz w:val="24"/>
              </w:rPr>
              <w:t>0.1752%</w:t>
            </w:r>
          </w:p>
        </w:tc>
        <w:tc>
          <w:tcPr>
            <w:vAlign w:val="center"/>
          </w:tcPr>
          <w:p>
            <w:pPr>
              <w:jc w:val="center"/>
            </w:pPr>
            <w:r>
              <w:rPr>
                <w:color w:val="000000"/>
                <w:kern w:val="2"/>
                <w:sz w:val="24"/>
              </w:rPr>
              <w:t>0.0000%</w:t>
            </w:r>
          </w:p>
        </w:tc>
        <w:tc>
          <w:tcPr>
            <w:vAlign w:val="center"/>
          </w:tcPr>
          <w:p>
            <w:pPr>
              <w:jc w:val="center"/>
            </w:pPr>
            <w:r>
              <w:rPr>
                <w:color w:val="000000"/>
                <w:kern w:val="2"/>
                <w:sz w:val="24"/>
              </w:rPr>
              <w:t>0.6051%</w:t>
            </w:r>
          </w:p>
        </w:tc>
        <w:tc>
          <w:tcPr>
            <w:vAlign w:val="center"/>
          </w:tcPr>
          <w:p>
            <w:pPr>
              <w:jc w:val="center"/>
            </w:pPr>
            <w:r>
              <w:rPr>
                <w:color w:val="000000"/>
                <w:kern w:val="2"/>
                <w:sz w:val="24"/>
              </w:rPr>
              <w:t>0.0014%</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1.8755%</w:t>
            </w:r>
          </w:p>
        </w:tc>
        <w:tc>
          <w:tcPr>
            <w:vAlign w:val="center"/>
          </w:tcPr>
          <w:p>
            <w:pPr>
              <w:jc w:val="center"/>
            </w:pPr>
            <w:r>
              <w:rPr>
                <w:color w:val="000000"/>
                <w:kern w:val="2"/>
                <w:sz w:val="24"/>
              </w:rPr>
              <w:t>0.0016%</w:t>
            </w:r>
          </w:p>
        </w:tc>
        <w:tc>
          <w:tcPr>
            <w:vAlign w:val="center"/>
          </w:tcPr>
          <w:p>
            <w:pPr>
              <w:jc w:val="center"/>
            </w:pPr>
            <w:r>
              <w:rPr>
                <w:color w:val="000000"/>
                <w:kern w:val="2"/>
                <w:sz w:val="24"/>
              </w:rPr>
              <w:t>0.3509%</w:t>
            </w:r>
          </w:p>
        </w:tc>
        <w:tc>
          <w:tcPr>
            <w:vAlign w:val="center"/>
          </w:tcPr>
          <w:p>
            <w:pPr>
              <w:jc w:val="center"/>
            </w:pPr>
            <w:r>
              <w:rPr>
                <w:color w:val="000000"/>
                <w:kern w:val="2"/>
                <w:sz w:val="24"/>
              </w:rPr>
              <w:t>0.0000%</w:t>
            </w:r>
          </w:p>
        </w:tc>
        <w:tc>
          <w:tcPr>
            <w:vAlign w:val="center"/>
          </w:tcPr>
          <w:p>
            <w:pPr>
              <w:jc w:val="center"/>
            </w:pPr>
            <w:r>
              <w:rPr>
                <w:color w:val="000000"/>
                <w:kern w:val="2"/>
                <w:sz w:val="24"/>
              </w:rPr>
              <w:t>1.5246%</w:t>
            </w:r>
          </w:p>
        </w:tc>
        <w:tc>
          <w:tcPr>
            <w:vAlign w:val="center"/>
          </w:tcPr>
          <w:p>
            <w:pPr>
              <w:jc w:val="center"/>
            </w:pPr>
            <w:r>
              <w:rPr>
                <w:color w:val="000000"/>
                <w:kern w:val="2"/>
                <w:sz w:val="24"/>
              </w:rPr>
              <w:t>0.0016%</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7.6713%</w:t>
            </w:r>
          </w:p>
        </w:tc>
        <w:tc>
          <w:tcPr>
            <w:vAlign w:val="center"/>
          </w:tcPr>
          <w:p>
            <w:pPr>
              <w:jc w:val="center"/>
            </w:pPr>
            <w:r>
              <w:rPr>
                <w:color w:val="000000"/>
                <w:kern w:val="2"/>
                <w:sz w:val="24"/>
              </w:rPr>
              <w:t>0.0026%</w:t>
            </w:r>
          </w:p>
        </w:tc>
        <w:tc>
          <w:tcPr>
            <w:vAlign w:val="center"/>
          </w:tcPr>
          <w:p>
            <w:pPr>
              <w:jc w:val="center"/>
            </w:pPr>
            <w:r>
              <w:rPr>
                <w:color w:val="000000"/>
                <w:kern w:val="2"/>
                <w:sz w:val="24"/>
              </w:rPr>
              <w:t>1.0558%</w:t>
            </w:r>
          </w:p>
        </w:tc>
        <w:tc>
          <w:tcPr>
            <w:vAlign w:val="center"/>
          </w:tcPr>
          <w:p>
            <w:pPr>
              <w:jc w:val="center"/>
            </w:pPr>
            <w:r>
              <w:rPr>
                <w:color w:val="000000"/>
                <w:kern w:val="2"/>
                <w:sz w:val="24"/>
              </w:rPr>
              <w:t>0.0000%</w:t>
            </w:r>
          </w:p>
        </w:tc>
        <w:tc>
          <w:tcPr>
            <w:vAlign w:val="center"/>
          </w:tcPr>
          <w:p>
            <w:pPr>
              <w:jc w:val="center"/>
            </w:pPr>
            <w:r>
              <w:rPr>
                <w:color w:val="000000"/>
                <w:kern w:val="2"/>
                <w:sz w:val="24"/>
              </w:rPr>
              <w:t>6.6155%</w:t>
            </w:r>
          </w:p>
        </w:tc>
        <w:tc>
          <w:tcPr>
            <w:vAlign w:val="center"/>
          </w:tcPr>
          <w:p>
            <w:pPr>
              <w:jc w:val="center"/>
            </w:pPr>
            <w:r>
              <w:rPr>
                <w:color w:val="000000"/>
                <w:kern w:val="2"/>
                <w:sz w:val="24"/>
              </w:rPr>
              <w:t>0.0026%</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13.8526%</w:t>
            </w:r>
          </w:p>
        </w:tc>
        <w:tc>
          <w:tcPr>
            <w:vAlign w:val="center"/>
          </w:tcPr>
          <w:p>
            <w:pPr>
              <w:jc w:val="center"/>
            </w:pPr>
            <w:r>
              <w:rPr>
                <w:color w:val="000000"/>
                <w:kern w:val="2"/>
                <w:sz w:val="24"/>
              </w:rPr>
              <w:t>0.0024%</w:t>
            </w:r>
          </w:p>
        </w:tc>
        <w:tc>
          <w:tcPr>
            <w:vAlign w:val="center"/>
          </w:tcPr>
          <w:p>
            <w:pPr>
              <w:jc w:val="center"/>
            </w:pPr>
            <w:r>
              <w:rPr>
                <w:color w:val="000000"/>
                <w:kern w:val="2"/>
                <w:sz w:val="24"/>
              </w:rPr>
              <w:t>1.7656%</w:t>
            </w:r>
          </w:p>
        </w:tc>
        <w:tc>
          <w:tcPr>
            <w:vAlign w:val="center"/>
          </w:tcPr>
          <w:p>
            <w:pPr>
              <w:jc w:val="center"/>
            </w:pPr>
            <w:r>
              <w:rPr>
                <w:color w:val="000000"/>
                <w:kern w:val="2"/>
                <w:sz w:val="24"/>
              </w:rPr>
              <w:t>0.0000%</w:t>
            </w:r>
          </w:p>
        </w:tc>
        <w:tc>
          <w:tcPr>
            <w:vAlign w:val="center"/>
          </w:tcPr>
          <w:p>
            <w:pPr>
              <w:jc w:val="center"/>
            </w:pPr>
            <w:r>
              <w:rPr>
                <w:color w:val="000000"/>
                <w:kern w:val="2"/>
                <w:sz w:val="24"/>
              </w:rPr>
              <w:t>12.0870%</w:t>
            </w:r>
          </w:p>
        </w:tc>
        <w:tc>
          <w:tcPr>
            <w:vAlign w:val="center"/>
          </w:tcPr>
          <w:p>
            <w:pPr>
              <w:jc w:val="center"/>
            </w:pPr>
            <w:r>
              <w:rPr>
                <w:color w:val="000000"/>
                <w:kern w:val="2"/>
                <w:sz w:val="24"/>
              </w:rPr>
              <w:t>0.0024%</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17.1620%</w:t>
            </w:r>
          </w:p>
        </w:tc>
        <w:tc>
          <w:tcPr>
            <w:vAlign w:val="center"/>
          </w:tcPr>
          <w:p>
            <w:pPr>
              <w:jc w:val="center"/>
            </w:pPr>
            <w:r>
              <w:rPr>
                <w:color w:val="000000"/>
                <w:kern w:val="2"/>
                <w:sz w:val="24"/>
              </w:rPr>
              <w:t>0.0036%</w:t>
            </w:r>
          </w:p>
        </w:tc>
        <w:tc>
          <w:tcPr>
            <w:vAlign w:val="center"/>
          </w:tcPr>
          <w:p>
            <w:pPr>
              <w:jc w:val="center"/>
            </w:pPr>
            <w:r>
              <w:rPr>
                <w:color w:val="000000"/>
                <w:kern w:val="2"/>
                <w:sz w:val="24"/>
              </w:rPr>
              <w:t>2.0666%</w:t>
            </w:r>
          </w:p>
        </w:tc>
        <w:tc>
          <w:tcPr>
            <w:vAlign w:val="center"/>
          </w:tcPr>
          <w:p>
            <w:pPr>
              <w:jc w:val="center"/>
            </w:pPr>
            <w:r>
              <w:rPr>
                <w:color w:val="000000"/>
                <w:kern w:val="2"/>
                <w:sz w:val="24"/>
              </w:rPr>
              <w:t>0.0000%</w:t>
            </w:r>
          </w:p>
        </w:tc>
        <w:tc>
          <w:tcPr>
            <w:vAlign w:val="center"/>
          </w:tcPr>
          <w:p>
            <w:pPr>
              <w:jc w:val="center"/>
            </w:pPr>
            <w:r>
              <w:rPr>
                <w:color w:val="000000"/>
                <w:kern w:val="2"/>
                <w:sz w:val="24"/>
              </w:rPr>
              <w:t>15.0954%</w:t>
            </w:r>
          </w:p>
        </w:tc>
        <w:tc>
          <w:tcPr>
            <w:vAlign w:val="center"/>
          </w:tcPr>
          <w:p>
            <w:pPr>
              <w:jc w:val="center"/>
            </w:pPr>
            <w:r>
              <w:rPr>
                <w:color w:val="000000"/>
                <w:kern w:val="2"/>
                <w:sz w:val="24"/>
              </w:rPr>
              <w:t>0.0036%</w:t>
            </w:r>
          </w:p>
        </w:tc>
      </w:tr>
    </w:tbl>
    <w:p w:rsidP="009A755D" w:rsidR="00EA3F40" w:rsidRDefault="00EA3F40" w:rsidRPr="0097021E">
      <w:pPr>
        <w:spacing w:line="360" w:lineRule="auto"/>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cs="Arial" w:hAnsi="宋体"/>
            <w:b/>
            <w:color w:val="000000"/>
            <w:kern w:val="0"/>
            <w:sz w:val="24"/>
          </w:rPr>
          <w:t>3.2.2</w:t>
        </w:r>
        <w:r w:rsidR="001136E5" w:rsidRPr="00370BEA">
          <w:rPr>
            <w:rStyle w:val="af"/>
            <w:rFonts w:hint="eastAsia"/>
            <w:color w:val="000000"/>
            <w:sz w:val="24"/>
            <w:shd w:color="auto" w:fill="FFFFFF" w:val="clear"/>
          </w:rPr>
          <w:t>自基金合同生效以来</w:t>
        </w:r>
      </w:smartTag>
      <w:r w:rsidRPr="0097021E">
        <w:rPr>
          <w:rFonts w:ascii="宋体" w:cs="Arial" w:hAnsi="宋体" w:hint="eastAsia"/>
          <w:b/>
          <w:color w:val="000000"/>
          <w:kern w:val="0"/>
          <w:sz w:val="24"/>
        </w:rPr>
        <w:t>基金累计净值收益率变动及其与同期业绩比较基准收益率变动的比较</w:t>
      </w:r>
    </w:p>
    <w:p w:rsidP="009A755D" w:rsidR="00EA3F40" w:rsidRDefault="00EA3F40" w:rsidRPr="00613409">
      <w:pPr>
        <w:spacing w:line="360" w:lineRule="auto"/>
        <w:jc w:val="center"/>
        <w:rPr>
          <w:sz w:val="24"/>
        </w:rPr>
      </w:pPr>
      <w:r w:rsidRPr="00613409">
        <w:rPr>
          <w:sz w:val="24"/>
        </w:rPr>
        <w:t>易方达货币市场基金</w:t>
      </w:r>
    </w:p>
    <w:p w:rsidP="00CB6152" w:rsidR="00CB6152" w:rsidRDefault="00EA3F40" w:rsidRPr="00CB6152">
      <w:pPr>
        <w:pStyle w:val="a6"/>
        <w:snapToGrid w:val="0"/>
        <w:spacing w:line="360" w:lineRule="auto"/>
        <w:jc w:val="center"/>
        <w:rPr>
          <w:rFonts w:ascii="Times New Roman" w:hAnsi="Times New Roman"/>
          <w:color w:val="000000"/>
          <w:sz w:val="24"/>
          <w:szCs w:val="24"/>
        </w:rPr>
      </w:pPr>
      <w:r w:rsidRPr="00613409">
        <w:rPr>
          <w:rFonts w:ascii="Times New Roman" w:hAnsi="Times New Roman"/>
          <w:sz w:val="24"/>
          <w:szCs w:val="24"/>
        </w:rPr>
        <w:t>累计净值收益率与业绩比较基准收益率的历史走势对比图</w:t>
      </w:r>
    </w:p>
    <w:p w:rsidP="00CB6152" w:rsidR="00CB6152" w:rsidRDefault="00EA3F40" w:rsidRPr="00CB6152">
      <w:pPr>
        <w:snapToGrid w:val="0"/>
        <w:spacing w:line="360" w:lineRule="auto"/>
        <w:rPr>
          <w:rFonts w:hAnsi="宋体"/>
          <w:color w:val="000000"/>
          <w:sz w:val="24"/>
        </w:rPr>
      </w:pPr>
      <w:r w:rsidRPr="00613409">
        <w:rPr>
          <w:color w:val="000000"/>
          <w:kern w:val="0"/>
          <w:sz w:val="24"/>
        </w:rPr>
        <w:t>易方达货币A</w:t>
      </w:r>
    </w:p>
    <w:p w:rsidP="00CB6152" w:rsidR="00EA3F40" w:rsidRDefault="00CB6152" w:rsidRPr="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（2005年2月2日至2020年9月30日）</w:t>
      </w:r>
    </w:p>
    <w:p w:rsidP="00196812" w:rsidR="00EA3F40" w:rsidRDefault="008F4C2B" w:rsidRPr="007600BC">
      <w:pPr>
        <w:tabs>
          <w:tab w:pos="0" w:val="left"/>
        </w:tabs>
        <w:spacing w:line="360" w:lineRule="auto"/>
        <w:jc w:val="center"/>
        <w:rPr>
          <w:rFonts w:ascii="宋体"/>
          <w:color w:val="000000"/>
          <w:sz w:val="24"/>
        </w:rPr>
      </w:pPr>
      <w:r>
        <w:rPr>
          <w:rFonts w:ascii="宋体"/>
          <w:noProof/>
          <w:color w:val="000000"/>
          <w:sz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52.25pt;height:267pt;visibility:visible" type="#_x0000_t75">
            <v:imagedata o:title="" r:id="rId10"/>
          </v:shape>
        </w:pict>
      </w:r>
    </w:p>
    <w:p w:rsidP="00613409" w:rsidR="00EA3F40" w:rsidRDefault="00613409" w:rsidRPr="0097021E">
      <w:pPr>
        <w:tabs>
          <w:tab w:pos="825" w:val="left"/>
        </w:tabs>
        <w:adjustRightInd w:val="0"/>
        <w:snapToGrid w:val="0"/>
        <w:spacing w:line="360" w:lineRule="auto"/>
        <w:rPr>
          <w:rFonts w:ascii="宋体"/>
          <w:color w:val="000000"/>
          <w:sz w:val="24"/>
        </w:rPr>
      </w:pPr>
      <w:r>
        <w:rPr>
          <w:rFonts w:ascii="宋体"/>
          <w:color w:val="000000"/>
          <w:sz w:val="24"/>
        </w:rPr>
        <w:tab/>
      </w:r>
    </w:p>
    <w:p w:rsidP="00CB6152" w:rsidR="00CB6152" w:rsidRDefault="00EA3F40" w:rsidRPr="00CB6152">
      <w:pPr>
        <w:snapToGrid w:val="0"/>
        <w:spacing w:before="312" w:beforeLines="100" w:line="360" w:lineRule="auto"/>
        <w:rPr>
          <w:rFonts w:hAnsi="宋体"/>
          <w:color w:val="000000"/>
          <w:sz w:val="24"/>
        </w:rPr>
      </w:pPr>
      <w:r w:rsidRPr="00613409">
        <w:rPr>
          <w:color w:val="000000"/>
          <w:kern w:val="0"/>
          <w:sz w:val="24"/>
        </w:rPr>
        <w:t>易方达货币B</w:t>
      </w:r>
    </w:p>
    <w:p w:rsidP="00CB6152" w:rsidR="00EA3F40" w:rsidRDefault="00CB6152" w:rsidRPr="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（2006年7月19日至2020年9月30日）</w:t>
      </w:r>
    </w:p>
    <w:p w:rsidP="00196812" w:rsidR="00EA3F40" w:rsidRDefault="008F4C2B" w:rsidRPr="0097021E">
      <w:pPr>
        <w:snapToGrid w:val="0"/>
        <w:spacing w:line="360" w:lineRule="auto"/>
        <w:jc w:val="center"/>
        <w:rPr>
          <w:rFonts w:ascii="宋体"/>
          <w:color w:val="000000"/>
          <w:sz w:val="24"/>
        </w:rPr>
      </w:pPr>
      <w:r>
        <w:rPr>
          <w:rFonts w:ascii="宋体"/>
          <w:noProof/>
          <w:color w:val="000000"/>
          <w:sz w:val="24"/>
        </w:rPr>
        <w:lastRenderedPageBreak/>
        <w:pict>
          <v:shape id="图片 2" o:spid="_x0000_i1026" style="width:452.25pt;height:267pt;visibility:visible" type="#_x0000_t75">
            <v:imagedata o:title="" r:id="rId11"/>
          </v:shape>
        </w:pict>
      </w:r>
    </w:p>
    <w:p w:rsidP="00CB6152" w:rsidR="00CB6152" w:rsidRDefault="00EA3F40" w:rsidRPr="00CB6152">
      <w:pPr>
        <w:snapToGrid w:val="0"/>
        <w:spacing w:before="312" w:beforeLines="100" w:line="360" w:lineRule="auto"/>
        <w:rPr>
          <w:rFonts w:hAnsi="宋体"/>
          <w:color w:val="000000"/>
          <w:sz w:val="24"/>
        </w:rPr>
      </w:pPr>
      <w:r w:rsidRPr="00613409">
        <w:rPr>
          <w:color w:val="000000"/>
          <w:kern w:val="0"/>
          <w:sz w:val="24"/>
        </w:rPr>
        <w:t>易方达货币E</w:t>
      </w:r>
    </w:p>
    <w:p w:rsidP="00CB6152" w:rsidR="00EA3F40" w:rsidRDefault="00CB6152" w:rsidRPr="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（2014年11月27日至2020年9月30日）</w:t>
      </w:r>
    </w:p>
    <w:p w:rsidP="00220437" w:rsidR="00EA3F40" w:rsidRDefault="008F4C2B" w:rsidRPr="000A39AB">
      <w:pPr>
        <w:autoSpaceDE w:val="0"/>
        <w:autoSpaceDN w:val="0"/>
        <w:adjustRightInd w:val="0"/>
        <w:spacing w:line="360" w:lineRule="auto"/>
        <w:jc w:val="center"/>
        <w:rPr>
          <w:rFonts w:ascii="宋体"/>
          <w:color w:val="000000"/>
          <w:sz w:val="24"/>
        </w:rPr>
      </w:pPr>
      <w:r>
        <w:rPr>
          <w:rFonts w:ascii="宋体"/>
          <w:noProof/>
          <w:color w:val="000000"/>
          <w:sz w:val="24"/>
        </w:rPr>
        <w:pict>
          <v:shape id="图片 6" o:spid="_x0000_i1027" style="width:452.25pt;height:267pt;visibility:visible" type="#_x0000_t75">
            <v:imagedata o:title="" r:id="rId12"/>
          </v:shape>
        </w:pict>
      </w:r>
    </w:p>
    <w:p>
      <w:pPr>
        <w:adjustRightInd w:val="0"/>
        <w:spacing w:line="360" w:lineRule="auto"/>
        <w:ind w:firstLine="480" w:firstLineChars="200"/>
        <w:rPr>
          <w:color w:val="000000"/>
          <w:sz w:val="24"/>
        </w:rPr>
      </w:pPr>
      <w:r>
        <w:rPr>
          <w:color w:val="000000"/>
          <w:sz w:val="24"/>
        </w:rPr>
        <w:t>注：1.根据2008年12月25日《易方达基金管理有限公司关于变更易方达货币市场基金业绩比较基准的公告》，自2009年1月1日起，本基金原约定的业绩比较基准“一年期银行定期储蓄存款的税后利率：（1－利息税率）×一年期银行定期储蓄存款利率”,变更为：“税后活期存款利率(即活期存款利率×(1－利息税率))”。</w:t>
      </w:r>
    </w:p>
    <w:p>
      <w:pPr>
        <w:adjustRightInd w:val="0"/>
        <w:spacing w:line="360" w:lineRule="auto"/>
        <w:ind w:firstLine="480" w:firstLineChars="200"/>
        <w:rPr>
          <w:color w:val="000000"/>
          <w:sz w:val="24"/>
        </w:rPr>
      </w:pPr>
      <w:r>
        <w:rPr>
          <w:color w:val="000000"/>
          <w:sz w:val="24"/>
        </w:rPr>
        <w:t>2.根据《关于易方达货币市场基金实施基金份额分级的公告》，本基金于2006年7月18日实施分级，分级后本基金设两级基金份额：A级基金份额和B级基金份额，升级后的B级基金份额从2006年7月19日起享受B级基金收益。</w:t>
      </w:r>
    </w:p>
    <w:p>
      <w:pPr>
        <w:adjustRightInd w:val="0"/>
        <w:spacing w:line="360" w:lineRule="auto"/>
        <w:ind w:firstLine="480" w:firstLineChars="200"/>
        <w:rPr>
          <w:color w:val="000000"/>
          <w:sz w:val="24"/>
        </w:rPr>
      </w:pPr>
      <w:r>
        <w:rPr>
          <w:color w:val="000000"/>
          <w:sz w:val="24"/>
        </w:rPr>
        <w:t>3.自2014年11月21日起，本基金增设E类份额类别，份额申购首次确认日为2014年11月27日，增设当期的相关数据和指标按实际存续期计算。</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4.自基金合同生效至报告期末，A类基金份额净值收益率为58.4928%，同期业绩比较基准收益率为14.6774%。B类基金份额净值收益率为58.9846%，同期业绩比较基准收益率为11.9994%。E类基金份额净值收益率为17.1620%，同期业绩比较基准收益率为2.0666%。</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4  </w:t>
      </w:r>
      <w:r w:rsidRPr="0097021E">
        <w:rPr>
          <w:rFonts w:ascii="宋体" w:cs="Arial" w:hAnsi="宋体" w:hint="eastAsia"/>
          <w:color w:val="000000"/>
          <w:kern w:val="0"/>
          <w:sz w:val="24"/>
          <w:szCs w:val="24"/>
        </w:rPr>
        <w:t>管理人报告</w:t>
      </w:r>
    </w:p>
    <w:p w:rsidP="00E23C1B" w:rsidR="00E23C1B" w:rsidRDefault="00EA3F40" w:rsidRPr="0078105B">
      <w:pPr>
        <w:autoSpaceDE w:val="0"/>
        <w:autoSpaceDN w:val="0"/>
        <w:adjustRightInd w:val="0"/>
        <w:spacing w:line="360" w:lineRule="auto"/>
        <w:jc w:val="left"/>
        <w:rPr>
          <w:rFonts w:ascii="宋体" w:cs="Arial"/>
          <w:b/>
          <w:color w:val="000000"/>
          <w:kern w:val="0"/>
          <w:sz w:val="24"/>
        </w:rPr>
      </w:pPr>
      <w:r w:rsidRPr="0097021E">
        <w:rPr>
          <w:rFonts w:ascii="宋体" w:cs="Arial" w:hAnsi="宋体"/>
          <w:b/>
          <w:color w:val="000000"/>
          <w:kern w:val="0"/>
          <w:sz w:val="24"/>
        </w:rPr>
        <w:t xml:space="preserve">4.1 </w:t>
      </w:r>
      <w:r w:rsidRPr="0097021E">
        <w:rPr>
          <w:rFonts w:ascii="宋体" w:cs="Arial" w:hAnsi="宋体" w:hint="eastAsia"/>
          <w:b/>
          <w:color w:val="000000"/>
          <w:kern w:val="0"/>
          <w:sz w:val="24"/>
        </w:rPr>
        <w:t>基金经理</w:t>
      </w:r>
      <w:r w:rsidR="007C3671">
        <w:rPr>
          <w:rFonts w:ascii="宋体" w:cs="Arial" w:hAnsi="宋体" w:hint="eastAsia"/>
          <w:b/>
          <w:color w:val="000000"/>
          <w:kern w:val="0"/>
          <w:sz w:val="24"/>
        </w:rPr>
        <w:t>（</w:t>
      </w:r>
      <w:r w:rsidR="007C3671" w:rsidRPr="0097021E">
        <w:rPr>
          <w:rFonts w:ascii="宋体" w:cs="Arial" w:hAnsi="宋体" w:hint="eastAsia"/>
          <w:b/>
          <w:color w:val="000000"/>
          <w:kern w:val="0"/>
          <w:sz w:val="24"/>
        </w:rPr>
        <w:t>或基金经理小组</w:t>
      </w:r>
      <w:r w:rsidR="007C3671">
        <w:rPr>
          <w:rFonts w:ascii="宋体" w:cs="Arial" w:hAnsi="宋体" w:hint="eastAsia"/>
          <w:b/>
          <w:color w:val="000000"/>
          <w:kern w:val="0"/>
          <w:sz w:val="24"/>
        </w:rPr>
        <w:t>）</w:t>
      </w:r>
      <w:r w:rsidRPr="0097021E">
        <w:rPr>
          <w:rFonts w:ascii="宋体" w:cs="Arial" w:hAnsi="宋体" w:hint="eastAsia"/>
          <w:b/>
          <w:color w:val="000000"/>
          <w:kern w:val="0"/>
          <w:sz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E23C1B" w:rsidRPr="0078105B" w:rsidTr="002E41BD">
        <w:trPr>
          <w:cantSplit/>
        </w:trPr>
        <w:tc>
          <w:tcPr>
            <w:tcW w:type="dxa" w:w="567"/>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E23C1B" w:rsidRPr="0078105B" w:rsidTr="002E41BD">
        <w:trPr>
          <w:cantSplit/>
        </w:trPr>
        <w:tc>
          <w:tcPr>
            <w:tcW w:type="dxa" w:w="567"/>
            <w:vMerge/>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p>
        </w:tc>
        <w:tc>
          <w:tcPr>
            <w:tcW w:type="dxa" w:w="2835"/>
            <w:vMerge/>
          </w:tcPr>
          <w:p w:rsidP="002E41BD" w:rsidR="00E23C1B" w:rsidRDefault="00E23C1B"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2E41BD" w:rsidR="00E23C1B" w:rsidRDefault="00E23C1B"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石大怿</w:t>
            </w:r>
          </w:p>
        </w:tc>
        <w:tc>
          <w:tcPr>
            <w:vAlign w:val="center"/>
          </w:tcPr>
          <w:p>
            <w:pPr>
              <w:jc w:val="left"/>
            </w:pPr>
            <w:r>
              <w:rPr>
                <w:color w:val="000000"/>
                <w:sz w:val="24"/>
              </w:rPr>
              <w:t>本基金的基金经理、易方达月月利理财债券型证券投资基金的基金经理、易方达天天理财货币市场基金的基金经理、易方达保证金收益货币市场基金的基金经理、易方达易理财货币市场基金的基金经理、易方达财富快线货币市场基金的基金经理、易方达天天增利货币市场基金的基金经理、易方达龙宝货币市场基金的基金经理、易方达现金增利货币市场基金的基金经理、易方达天天发货币市场基金的基金经理、易方达掌柜季季盈理财债券型证券投资基金的基金经理、易方达安瑞短债债券型证券投资基金的基金经理、易方达恒安定期开放债券型发起式证券投资基金的基金经理助理</w:t>
            </w:r>
          </w:p>
        </w:tc>
        <w:tc>
          <w:tcPr>
            <w:vAlign w:val="center"/>
          </w:tcPr>
          <w:p>
            <w:pPr>
              <w:jc w:val="center"/>
            </w:pPr>
            <w:r>
              <w:rPr>
                <w:color w:val="000000"/>
                <w:sz w:val="24"/>
              </w:rPr>
              <w:t>2013-04-22</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硕士研究生，具有基金从业资格。曾任南方基金管理有限公司交易管理部交易员，易方达基金管理有限公司集中交易室债券交易员、易方达双月利理财债券型证券投资基金基金经理。</w:t>
            </w:r>
          </w:p>
        </w:tc>
      </w:tr>
    </w:tbl>
    <w:p>
      <w:pPr>
        <w:autoSpaceDE w:val="0"/>
        <w:autoSpaceDN w:val="0"/>
        <w:adjustRightInd w:val="0"/>
        <w:spacing w:line="360" w:lineRule="auto"/>
        <w:ind w:firstLine="480" w:firstLineChars="200"/>
        <w:jc w:val="left"/>
        <w:rPr>
          <w:color w:val="000000"/>
          <w:sz w:val="24"/>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E23C1B" w:rsidR="00EA3F40" w:rsidRDefault="00E23C1B" w:rsidRPr="00613409">
      <w:pPr>
        <w:autoSpaceDE w:val="0"/>
        <w:autoSpaceDN w:val="0"/>
        <w:adjustRightInd w:val="0"/>
        <w:spacing w:line="360" w:lineRule="auto"/>
        <w:ind w:firstLine="480" w:firstLineChars="200"/>
        <w:jc w:val="left"/>
        <w:rPr>
          <w:color w:val="000000"/>
          <w:sz w:val="24"/>
        </w:rPr>
      </w:pPr>
      <w:r w:rsidRPr="00DF18FE">
        <w:rPr>
          <w:color w:val="000000"/>
          <w:sz w:val="24"/>
        </w:rPr>
        <w:t>2.证券从业的含义遵从《证券业从业人员资格管理办法》的相关规定。</w:t>
      </w:r>
    </w:p>
    <w:p w:rsidP="009A755D"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4.2 </w:t>
      </w:r>
      <w:r w:rsidRPr="0044342F">
        <w:rPr>
          <w:rFonts w:ascii="宋体" w:cs="Arial" w:hAnsi="宋体" w:hint="eastAsia"/>
          <w:b/>
          <w:color w:val="000000"/>
          <w:kern w:val="0"/>
          <w:sz w:val="24"/>
        </w:rPr>
        <w:t>管理人对报告期内本基金运作遵规守信情况的说明</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A755D" w:rsidR="00EA3F40" w:rsidRDefault="00EA3F40" w:rsidRPr="0097021E">
      <w:pPr>
        <w:autoSpaceDE w:val="0"/>
        <w:autoSpaceDN w:val="0"/>
        <w:adjustRightInd w:val="0"/>
        <w:spacing w:line="360" w:lineRule="auto"/>
        <w:jc w:val="left"/>
        <w:rPr>
          <w:rFonts w:ascii="宋体" w:cs="Arial"/>
          <w:b/>
          <w:color w:val="000000"/>
          <w:kern w:val="0"/>
          <w:sz w:val="24"/>
        </w:rPr>
      </w:pPr>
      <w:r w:rsidRPr="0097021E">
        <w:rPr>
          <w:rFonts w:ascii="宋体" w:cs="Arial" w:hAnsi="宋体"/>
          <w:b/>
          <w:color w:val="000000"/>
          <w:kern w:val="0"/>
          <w:sz w:val="24"/>
        </w:rPr>
        <w:t xml:space="preserve">4.3 </w:t>
      </w:r>
      <w:r w:rsidRPr="0097021E">
        <w:rPr>
          <w:rFonts w:ascii="宋体" w:cs="Arial" w:hAnsi="宋体" w:hint="eastAsia"/>
          <w:b/>
          <w:color w:val="000000"/>
          <w:kern w:val="0"/>
          <w:sz w:val="24"/>
        </w:rPr>
        <w:t>公平交易专项说明</w:t>
      </w:r>
    </w:p>
    <w:p w:rsidP="009A755D" w:rsidR="00EA3F40" w:rsidRDefault="00EA3F40" w:rsidRPr="0097021E">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hAnsi="宋体"/>
            <w:sz w:val="24"/>
          </w:rPr>
          <w:t>4.3.1</w:t>
        </w:r>
      </w:smartTag>
      <w:r w:rsidRPr="0097021E">
        <w:rPr>
          <w:rFonts w:ascii="宋体" w:hAnsi="宋体"/>
          <w:sz w:val="24"/>
        </w:rPr>
        <w:t xml:space="preserve"> </w:t>
      </w:r>
      <w:r w:rsidRPr="0097021E">
        <w:rPr>
          <w:rFonts w:ascii="宋体" w:hAnsi="宋体" w:hint="eastAsia"/>
          <w:sz w:val="24"/>
        </w:rPr>
        <w:t>公平交易制度的执行情况</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A755D" w:rsidR="00EA3F40" w:rsidRDefault="00EA3F40" w:rsidRPr="0097021E">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97021E">
          <w:rPr>
            <w:rFonts w:ascii="宋体" w:hAnsi="宋体"/>
            <w:sz w:val="24"/>
          </w:rPr>
          <w:t>4.3.2</w:t>
        </w:r>
      </w:smartTag>
      <w:r w:rsidRPr="0097021E">
        <w:rPr>
          <w:rFonts w:ascii="宋体" w:hAnsi="宋体"/>
          <w:sz w:val="24"/>
        </w:rPr>
        <w:t xml:space="preserve"> </w:t>
      </w:r>
      <w:r w:rsidRPr="0097021E">
        <w:rPr>
          <w:rFonts w:ascii="宋体" w:hAnsi="宋体" w:hint="eastAsia"/>
          <w:sz w:val="24"/>
        </w:rPr>
        <w:t>异常交易行为的专项说明</w:t>
      </w:r>
    </w:p>
    <w:p>
      <w:pPr>
        <w:adjustRightInd w:val="0"/>
        <w:spacing w:line="360" w:lineRule="auto"/>
        <w:ind w:firstLine="480" w:firstLineChars="200"/>
        <w:rPr>
          <w:color w:val="00000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8F4C2B" w:rsidR="00EA3F40" w:rsidRDefault="00EA3F40" w:rsidRPr="008F4C2B">
      <w:pPr>
        <w:adjustRightInd w:val="0"/>
        <w:spacing w:line="360" w:lineRule="auto"/>
        <w:ind w:firstLine="480" w:firstLineChars="200"/>
        <w:rPr>
          <w:color w:val="000000"/>
          <w:sz w:val="24"/>
        </w:rPr>
      </w:pPr>
      <w:r w:rsidRPr="001752C7">
        <w:rPr>
          <w:color w:val="000000"/>
          <w:sz w:val="24"/>
        </w:rPr>
        <w:t>本报告期内，未发现本基金有可能导致不公平交易和利益输送的异常交易。</w:t>
      </w:r>
      <w:r w:rsidR="008F4C2B" w:rsidRPr="008F4C2B">
        <w:rPr>
          <w:color w:val="000000"/>
          <w:sz w:val="24"/>
        </w:rPr>
        <w:t xml:space="preserve"> </w:t>
      </w:r>
    </w:p>
    <w:p w:rsidP="009A755D" w:rsidR="00EA3F40" w:rsidRDefault="00EA3F40" w:rsidRPr="008F4C2B">
      <w:pPr>
        <w:spacing w:line="360" w:lineRule="auto"/>
        <w:rPr>
          <w:rFonts w:ascii="宋体" w:cs="Arial" w:hAnsi="宋体"/>
          <w:b/>
          <w:color w:val="000000"/>
          <w:kern w:val="0"/>
          <w:sz w:val="24"/>
        </w:rPr>
      </w:pPr>
      <w:r w:rsidRPr="008F4C2B">
        <w:rPr>
          <w:rFonts w:ascii="宋体" w:cs="Arial" w:hAnsi="宋体"/>
          <w:b/>
          <w:color w:val="000000"/>
          <w:kern w:val="0"/>
          <w:sz w:val="24"/>
        </w:rPr>
        <w:t>4.4</w:t>
      </w:r>
      <w:r w:rsidR="008F4C2B">
        <w:rPr>
          <w:rFonts w:ascii="宋体" w:cs="Arial" w:hAnsi="宋体" w:hint="eastAsia"/>
          <w:b/>
          <w:color w:val="000000"/>
          <w:kern w:val="0"/>
          <w:sz w:val="24"/>
        </w:rPr>
        <w:t xml:space="preserve"> </w:t>
      </w:r>
      <w:r w:rsidRPr="008F4C2B">
        <w:rPr>
          <w:rFonts w:ascii="宋体" w:cs="Arial" w:hAnsi="宋体" w:hint="eastAsia"/>
          <w:b/>
          <w:color w:val="000000"/>
          <w:kern w:val="0"/>
          <w:sz w:val="24"/>
        </w:rPr>
        <w:t>报告期内基金投资策略和运作分析</w:t>
      </w:r>
    </w:p>
    <w:p>
      <w:pPr>
        <w:adjustRightInd w:val="0"/>
        <w:spacing w:line="360" w:lineRule="auto"/>
        <w:ind w:firstLine="480" w:firstLineChars="200"/>
        <w:rPr>
          <w:color w:val="000000"/>
          <w:sz w:val="24"/>
        </w:rPr>
      </w:pPr>
      <w:r>
        <w:rPr>
          <w:color w:val="000000"/>
          <w:sz w:val="24"/>
        </w:rPr>
        <w:t>2020年三季度,国内宏观经济仍处于复苏状态，7月工业增加值同比增长4.8%，低于预期，但8月工业增加值同比增长5.6%，表现较好，总体来看，虽然经济回升的速度在放缓，但是仍然处于持续回升的过程中。投资数据方面，2020年1-8月份全国固定资产投资同比下降0.3%，降幅比1-6月份收窄2.8个百分点，投资增速有所回落，但仍保持较高水平，结构上房地产和制造业投资表现持续较好，基建投资较弱，可能是受到雨水天气的影响。消费数据方面，7月社会消费品零售总额同比下降1.1%，8月同比转正增长0.5%，也呈现持续恢复的态势。通胀方面，7月和8月CPI同比分别上涨2.7%和2.4%，基本符合预期，结构上主要是食品高于预期，而非食品低于预期。中上游价格月度环比连续两个月小幅回落但仍为正，这反映出供需平衡有所改善，但需求回升的速度可能也在放缓。金融数据方面，7月新增社会融资数据略低于市场预期，8月社融数据大幅超出市场预期，主要是由于政府债的大幅增长，同时财政存款也大幅超季节性增长，二者互相抵消之后的社融月度环比增速继续小幅回落，随着疫情的控制以及经济的持续恢复，信贷扩张的力度相比3月份持续有所放缓，但目前来看仍维持偏宽松的水平。</w:t>
      </w:r>
    </w:p>
    <w:p>
      <w:pPr>
        <w:adjustRightInd w:val="0"/>
        <w:spacing w:line="360" w:lineRule="auto"/>
        <w:ind w:firstLine="480" w:firstLineChars="200"/>
        <w:rPr>
          <w:color w:val="000000"/>
          <w:sz w:val="24"/>
        </w:rPr>
      </w:pPr>
      <w:r>
        <w:rPr>
          <w:color w:val="000000"/>
          <w:sz w:val="24"/>
        </w:rPr>
        <w:t>随着经济持续修复以及央行货币政策逐渐回归常态，债券市场在三季度收益率延续震荡上行的走势。季度初在股市大涨的背景下，长端利率快速上行，随后随着风险偏好的回落和部分配置力量出现，债市有所回暖，长端利率向下修复。进入8月，伴随经济指标短期呈现出较积极的变化，再加上市场机构对后市流动性的担忧，中短端利率上行幅度大于长端，债券收益率曲线呈现熊平走势。直到月末附近，资金面紧张态势才有所好转，短端利率上行斜率才略有趋缓。总体来看，货币市场利率水平在三季度呈震荡上行的走势，货币市场基金的收益率也逐渐回升。</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操作方面，报告期内基金以同业存单、短期存款和短期逆回购为主要配置资产，在三季度组合保持了较低的剩余期限和杠杆率。总体来看，组合在三季度保持了较好的流动性和较稳定的收益率。</w:t>
      </w:r>
    </w:p>
    <w:p w:rsidP="009A755D" w:rsidR="00EA3F40" w:rsidRDefault="00EA3F40" w:rsidRPr="008F4C2B">
      <w:pPr>
        <w:spacing w:line="360" w:lineRule="auto"/>
        <w:rPr>
          <w:rFonts w:ascii="宋体" w:cs="Arial" w:hAnsi="宋体"/>
          <w:b/>
          <w:color w:val="000000"/>
          <w:kern w:val="0"/>
          <w:sz w:val="24"/>
        </w:rPr>
      </w:pPr>
      <w:r w:rsidRPr="008F4C2B">
        <w:rPr>
          <w:rFonts w:ascii="宋体" w:cs="Arial" w:hAnsi="宋体"/>
          <w:b/>
          <w:color w:val="000000"/>
          <w:kern w:val="0"/>
          <w:sz w:val="24"/>
        </w:rPr>
        <w:t>4.</w:t>
      </w:r>
      <w:r w:rsidR="008F4C2B">
        <w:rPr>
          <w:rFonts w:ascii="宋体" w:cs="Arial" w:hAnsi="宋体"/>
          <w:b/>
          <w:color w:val="000000"/>
          <w:kern w:val="0"/>
          <w:sz w:val="24"/>
        </w:rPr>
        <w:t>5</w:t>
      </w:r>
      <w:r w:rsidR="008F4C2B">
        <w:rPr>
          <w:rFonts w:ascii="宋体" w:cs="Arial" w:hAnsi="宋体" w:hint="eastAsia"/>
          <w:b/>
          <w:color w:val="000000"/>
          <w:kern w:val="0"/>
          <w:sz w:val="24"/>
        </w:rPr>
        <w:t xml:space="preserve"> </w:t>
      </w:r>
      <w:r w:rsidRPr="008F4C2B">
        <w:rPr>
          <w:rFonts w:ascii="宋体" w:cs="Arial" w:hAnsi="宋体" w:hint="eastAsia"/>
          <w:b/>
          <w:color w:val="000000"/>
          <w:kern w:val="0"/>
          <w:sz w:val="24"/>
        </w:rPr>
        <w:t>报告期内基金的业绩表现</w:t>
      </w:r>
    </w:p>
    <w:p w:rsidP="008F4C2B" w:rsidR="00EA3F40" w:rsidRDefault="00EA3F40">
      <w:pPr>
        <w:adjustRightInd w:val="0"/>
        <w:spacing w:line="360" w:lineRule="auto"/>
        <w:ind w:firstLine="480" w:firstLineChars="200"/>
        <w:rPr>
          <w:color w:val="000000"/>
          <w:sz w:val="24"/>
        </w:rPr>
      </w:pPr>
      <w:bookmarkStart w:id="0" w:name="_Toc255486598"/>
      <w:bookmarkStart w:id="1" w:name="_Toc245193825"/>
      <w:r w:rsidRPr="001752C7">
        <w:rPr>
          <w:color w:val="000000"/>
          <w:sz w:val="24"/>
        </w:rPr>
        <w:t>本基金本报告期内A类基金份额净值收益率为0.4248%，同期业绩比较基准收益率为0.0880%；B类基金份额净值收益率为0.4853%，同期业绩比较基准收益率为0.0880%；E类基金份额净值收益率为0.4247%，同期业绩比较基准收益率为0.0880%。</w:t>
      </w:r>
      <w:bookmarkEnd w:id="0"/>
      <w:bookmarkEnd w:id="1"/>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lastRenderedPageBreak/>
        <w:t>§</w:t>
      </w:r>
      <w:r w:rsidRPr="0097021E">
        <w:rPr>
          <w:rFonts w:ascii="宋体" w:cs="Arial" w:hAnsi="宋体"/>
          <w:color w:val="000000"/>
          <w:kern w:val="0"/>
          <w:sz w:val="24"/>
          <w:szCs w:val="24"/>
        </w:rPr>
        <w:t xml:space="preserve">5  </w:t>
      </w:r>
      <w:r w:rsidRPr="0097021E">
        <w:rPr>
          <w:rFonts w:ascii="宋体" w:cs="Arial" w:hAnsi="宋体" w:hint="eastAsia"/>
          <w:color w:val="000000"/>
          <w:kern w:val="0"/>
          <w:sz w:val="24"/>
          <w:szCs w:val="24"/>
        </w:rPr>
        <w:t>投资组合报告</w:t>
      </w:r>
    </w:p>
    <w:p w:rsidP="003A0EC1"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5.1 </w:t>
      </w:r>
      <w:r w:rsidRPr="0097021E">
        <w:rPr>
          <w:rFonts w:ascii="宋体" w:cs="Arial" w:hAnsi="宋体" w:hint="eastAsia"/>
          <w:b/>
          <w:color w:val="000000"/>
          <w:kern w:val="0"/>
          <w:sz w:val="24"/>
        </w:rPr>
        <w:t>报告期末基金资产组合情况</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3119"/>
        <w:gridCol w:w="1843"/>
      </w:tblGrid>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序号</w:t>
            </w:r>
          </w:p>
        </w:tc>
        <w:tc>
          <w:tcPr>
            <w:tcW w:type="dxa" w:w="3357"/>
            <w:vAlign w:val="center"/>
          </w:tcPr>
          <w:p w:rsidP="00196812" w:rsidR="00EA3F40" w:rsidRDefault="00EA3F40" w:rsidRPr="00613409">
            <w:pPr>
              <w:spacing w:before="29" w:line="360" w:lineRule="auto"/>
              <w:ind w:left="17"/>
              <w:jc w:val="center"/>
              <w:rPr>
                <w:color w:val="000000"/>
                <w:sz w:val="24"/>
              </w:rPr>
            </w:pPr>
            <w:r w:rsidRPr="00613409">
              <w:rPr>
                <w:color w:val="000000"/>
                <w:sz w:val="24"/>
              </w:rPr>
              <w:t>项目</w:t>
            </w:r>
          </w:p>
        </w:tc>
        <w:tc>
          <w:tcPr>
            <w:tcW w:type="dxa" w:w="3119"/>
            <w:vAlign w:val="center"/>
          </w:tcPr>
          <w:p w:rsidP="007C3671" w:rsidR="00EA3F40" w:rsidRDefault="00EA3F40" w:rsidRPr="00613409">
            <w:pPr>
              <w:spacing w:before="29" w:line="360" w:lineRule="auto"/>
              <w:ind w:left="17"/>
              <w:jc w:val="center"/>
              <w:rPr>
                <w:color w:val="000000"/>
                <w:sz w:val="24"/>
              </w:rPr>
            </w:pPr>
            <w:r w:rsidRPr="00613409">
              <w:rPr>
                <w:color w:val="000000"/>
                <w:sz w:val="24"/>
              </w:rPr>
              <w:t>金额</w:t>
            </w:r>
            <w:r w:rsidR="007C3671" w:rsidRPr="00613409">
              <w:rPr>
                <w:color w:val="000000"/>
                <w:sz w:val="24"/>
              </w:rPr>
              <w:t>（元）</w:t>
            </w:r>
          </w:p>
        </w:tc>
        <w:tc>
          <w:tcPr>
            <w:tcW w:type="dxa" w:w="1843"/>
            <w:vAlign w:val="center"/>
          </w:tcPr>
          <w:p w:rsidP="007C3671" w:rsidR="00EA3F40" w:rsidRDefault="00EA3F40" w:rsidRPr="00613409">
            <w:pPr>
              <w:spacing w:before="29" w:line="360" w:lineRule="auto"/>
              <w:ind w:left="17"/>
              <w:jc w:val="center"/>
              <w:rPr>
                <w:color w:val="000000"/>
                <w:sz w:val="24"/>
              </w:rPr>
            </w:pPr>
            <w:r w:rsidRPr="00613409">
              <w:rPr>
                <w:color w:val="000000"/>
                <w:sz w:val="24"/>
              </w:rPr>
              <w:t>占基金总资产的比例</w:t>
            </w:r>
            <w:r w:rsidR="007C3671" w:rsidRPr="00613409">
              <w:rPr>
                <w:color w:val="000000"/>
                <w:sz w:val="24"/>
              </w:rPr>
              <w:t>（</w:t>
            </w:r>
            <w:r w:rsidR="007C3671" w:rsidRPr="00613409">
              <w:rPr>
                <w:color w:val="000000"/>
                <w:sz w:val="24"/>
              </w:rPr>
              <w:t>%</w:t>
            </w:r>
            <w:r w:rsidR="007C3671" w:rsidRPr="00613409">
              <w:rPr>
                <w:color w:val="000000"/>
                <w:sz w:val="24"/>
              </w:rPr>
              <w:t>）</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1</w:t>
            </w: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固定收益投资</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8,981,883,680.15</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49.09</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其中：债券</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8,981,883,680.15</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49.09</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p>
        </w:tc>
        <w:tc>
          <w:tcPr>
            <w:tcW w:type="dxa" w:w="3357"/>
            <w:vAlign w:val="center"/>
          </w:tcPr>
          <w:p w:rsidP="009216A0" w:rsidR="00EA3F40" w:rsidRDefault="00EA3F40" w:rsidRPr="00613409">
            <w:pPr>
              <w:autoSpaceDE w:val="0"/>
              <w:autoSpaceDN w:val="0"/>
              <w:adjustRightInd w:val="0"/>
              <w:spacing w:before="29" w:line="360" w:lineRule="auto"/>
              <w:ind w:firstLine="720" w:firstLineChars="300" w:left="17"/>
              <w:jc w:val="left"/>
              <w:rPr>
                <w:color w:val="000000"/>
                <w:sz w:val="24"/>
              </w:rPr>
            </w:pPr>
            <w:r w:rsidRPr="00613409">
              <w:rPr>
                <w:color w:val="000000"/>
                <w:sz w:val="24"/>
              </w:rPr>
              <w:t>资产支持证券</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2</w:t>
            </w: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买入返售金融资产</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4,061,797,054.79</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
            </w:r>
            <w:r w:rsidRPr="00613409">
              <w:rPr>
                <w:color w:val="000000"/>
                <w:sz w:val="24"/>
              </w:rPr>
              <w:lastRenderedPageBreak/>
              <w:t>22.20</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其中：买断式回购的买入返售金融资产</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3</w:t>
            </w:r>
          </w:p>
        </w:tc>
        <w:tc>
          <w:tcPr>
            <w:tcW w:type="dxa" w:w="3357"/>
            <w:vAlign w:val="center"/>
          </w:tcPr>
          <w:p w:rsidP="00196812" w:rsidR="00EA3F40" w:rsidRDefault="00EA3F40" w:rsidRPr="00613409">
            <w:pPr>
              <w:spacing w:before="29" w:line="360" w:lineRule="auto"/>
              <w:ind w:left="17"/>
              <w:jc w:val="left"/>
              <w:rPr>
                <w:sz w:val="24"/>
              </w:rPr>
            </w:pPr>
            <w:r w:rsidRPr="00613409">
              <w:rPr>
                <w:color w:val="000000"/>
                <w:sz w:val="24"/>
              </w:rPr>
              <w:t>银行存款和结算备付金合计</w:t>
            </w:r>
          </w:p>
        </w:tc>
        <w:tc>
          <w:tcPr>
            <w:tcW w:type="dxa" w:w="3119"/>
            <w:vAlign w:val="center"/>
          </w:tcPr>
          <w:p w:rsidP="00196812" w:rsidR="00EA3F40" w:rsidRDefault="00EA3F40" w:rsidRPr="00613409">
            <w:pPr>
              <w:spacing w:before="29" w:line="360" w:lineRule="auto"/>
              <w:ind w:left="17"/>
              <w:jc w:val="right"/>
              <w:rPr>
                <w:color w:val="000000"/>
                <w:sz w:val="24"/>
              </w:rPr>
            </w:pPr>
            <w:r w:rsidRPr="00613409">
              <w:rPr>
                <w:color w:val="000000"/>
                <w:sz w:val="24"/>
              </w:rPr>
              <w:t>4,113,770,487.98</w:t>
            </w:r>
          </w:p>
        </w:tc>
        <w:tc>
          <w:tcPr>
            <w:tcW w:type="dxa" w:w="1843"/>
            <w:vAlign w:val="center"/>
          </w:tcPr>
          <w:p w:rsidP="00196812" w:rsidR="00EA3F40" w:rsidRDefault="00EA3F40" w:rsidRPr="00613409">
            <w:pPr>
              <w:spacing w:before="29" w:line="360" w:lineRule="auto"/>
              <w:ind w:left="17"/>
              <w:jc w:val="right"/>
              <w:rPr>
                <w:color w:val="000000"/>
                <w:sz w:val="24"/>
              </w:rPr>
            </w:pPr>
            <w:r w:rsidRPr="00613409">
              <w:rPr>
                <w:color w:val="000000"/>
                <w:sz w:val="24"/>
              </w:rPr>
              <w:t>22.48</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4</w:t>
            </w:r>
          </w:p>
        </w:tc>
        <w:tc>
          <w:tcPr>
            <w:tcW w:type="dxa" w:w="3357"/>
            <w:vAlign w:val="center"/>
          </w:tcPr>
          <w:p w:rsidP="00196812" w:rsidR="00EA3F40" w:rsidRDefault="00EA3F40" w:rsidRPr="00613409">
            <w:pPr>
              <w:spacing w:line="360" w:lineRule="auto"/>
              <w:jc w:val="left"/>
              <w:rPr>
                <w:sz w:val="24"/>
              </w:rPr>
            </w:pPr>
            <w:r w:rsidRPr="00613409">
              <w:rPr>
                <w:color w:val="000000"/>
                <w:sz w:val="24"/>
              </w:rPr>
              <w:t>其他资产</w:t>
            </w:r>
          </w:p>
        </w:tc>
        <w:tc>
          <w:tcPr>
            <w:tcW w:type="dxa" w:w="3119"/>
            <w:vAlign w:val="center"/>
          </w:tcPr>
          <w:p w:rsidP="00196812" w:rsidR="00EA3F40" w:rsidRDefault="00EA3F40" w:rsidRPr="00613409">
            <w:pPr>
              <w:spacing w:line="360" w:lineRule="auto"/>
              <w:jc w:val="right"/>
              <w:rPr>
                <w:color w:val="000000"/>
                <w:sz w:val="24"/>
              </w:rPr>
            </w:pPr>
            <w:r w:rsidRPr="00613409">
              <w:rPr>
                <w:color w:val="000000"/>
                <w:sz w:val="24"/>
              </w:rPr>
              <w:t>1,140,642,296.87</w:t>
            </w:r>
          </w:p>
        </w:tc>
        <w:tc>
          <w:tcPr>
            <w:tcW w:type="dxa" w:w="1843"/>
            <w:vAlign w:val="center"/>
          </w:tcPr>
          <w:p w:rsidP="00196812" w:rsidR="00EA3F40" w:rsidRDefault="00EA3F40" w:rsidRPr="00613409">
            <w:pPr>
              <w:spacing w:line="360" w:lineRule="auto"/>
              <w:jc w:val="right"/>
              <w:rPr>
                <w:color w:val="000000"/>
                <w:sz w:val="24"/>
              </w:rPr>
            </w:pPr>
            <w:r w:rsidRPr="00613409">
              <w:rPr>
                <w:color w:val="000000"/>
                <w:sz w:val="24"/>
              </w:rPr>
              <w:t>6.23</w:t>
            </w:r>
          </w:p>
        </w:tc>
      </w:tr>
      <w:tr w:rsidR="00EA3F40" w:rsidRPr="0097021E" w:rsidTr="00340456">
        <w:tc>
          <w:tcPr>
            <w:tcW w:type="dxa" w:w="720"/>
            <w:vAlign w:val="center"/>
          </w:tcPr>
          <w:p w:rsidP="00196812" w:rsidR="00EA3F40" w:rsidRDefault="00EA3F40" w:rsidRPr="00613409">
            <w:pPr>
              <w:spacing w:before="29" w:line="360" w:lineRule="auto"/>
              <w:ind w:left="17"/>
              <w:jc w:val="center"/>
              <w:rPr>
                <w:color w:val="000000"/>
                <w:sz w:val="24"/>
              </w:rPr>
            </w:pPr>
            <w:r w:rsidRPr="00613409">
              <w:rPr>
                <w:color w:val="000000"/>
                <w:sz w:val="24"/>
              </w:rPr>
              <w:t/>
            </w:r>
            <w:r w:rsidRPr="00613409">
              <w:rPr>
                <w:color w:val="000000"/>
                <w:sz w:val="24"/>
              </w:rPr>
              <w:lastRenderedPageBreak/>
              <w:t>5</w:t>
            </w:r>
          </w:p>
        </w:tc>
        <w:tc>
          <w:tcPr>
            <w:tcW w:type="dxa" w:w="3357"/>
            <w:vAlign w:val="center"/>
          </w:tcPr>
          <w:p w:rsidP="00196812" w:rsidR="00EA3F40" w:rsidRDefault="00EA3F40" w:rsidRPr="00613409">
            <w:pPr>
              <w:spacing w:line="360" w:lineRule="auto"/>
              <w:jc w:val="left"/>
              <w:rPr>
                <w:sz w:val="24"/>
              </w:rPr>
            </w:pPr>
            <w:r w:rsidRPr="00613409">
              <w:rPr>
                <w:color w:val="000000"/>
                <w:sz w:val="24"/>
              </w:rPr>
              <w:lastRenderedPageBreak/>
              <w:t>合计</w:t>
            </w:r>
          </w:p>
        </w:tc>
        <w:tc>
          <w:tcPr>
            <w:tcW w:type="dxa" w:w="3119"/>
            <w:vAlign w:val="center"/>
          </w:tcPr>
          <w:p w:rsidP="00196812" w:rsidR="00EA3F40" w:rsidRDefault="00EA3F40" w:rsidRPr="00613409">
            <w:pPr>
              <w:spacing w:line="360" w:lineRule="auto"/>
              <w:jc w:val="right"/>
              <w:rPr>
                <w:color w:val="000000"/>
                <w:sz w:val="24"/>
              </w:rPr>
            </w:pPr>
            <w:r w:rsidRPr="00613409">
              <w:rPr>
                <w:color w:val="000000"/>
                <w:sz w:val="24"/>
              </w:rPr>
              <w:t>18,298,093,519.79</w:t>
            </w:r>
          </w:p>
        </w:tc>
        <w:tc>
          <w:tcPr>
            <w:tcW w:type="dxa" w:w="1843"/>
            <w:vAlign w:val="center"/>
          </w:tcPr>
          <w:p w:rsidP="00196812" w:rsidR="00EA3F40" w:rsidRDefault="00EA3F40" w:rsidRPr="00613409">
            <w:pPr>
              <w:spacing w:line="360" w:lineRule="auto"/>
              <w:jc w:val="right"/>
              <w:rPr>
                <w:color w:val="000000"/>
                <w:sz w:val="24"/>
              </w:rPr>
            </w:pPr>
            <w:r w:rsidRPr="00613409">
              <w:rPr>
                <w:color w:val="000000"/>
                <w:sz w:val="24"/>
              </w:rPr>
              <w:t/>
            </w:r>
            <w:r w:rsidRPr="00613409">
              <w:rPr>
                <w:color w:val="000000"/>
                <w:sz w:val="24"/>
              </w:rPr>
              <w:lastRenderedPageBreak/>
              <w:t>100.00</w:t>
            </w:r>
          </w:p>
        </w:tc>
      </w:tr>
    </w:tbl>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5.2 </w:t>
      </w:r>
      <w:r w:rsidRPr="0097021E">
        <w:rPr>
          <w:rFonts w:ascii="宋体" w:cs="Arial" w:hAnsi="宋体" w:hint="eastAsia"/>
          <w:b/>
          <w:color w:val="000000"/>
          <w:kern w:val="0"/>
          <w:sz w:val="24"/>
        </w:rPr>
        <w:t>报告期债券回购融资情况</w:t>
      </w:r>
    </w:p>
    <w:tbl>
      <w:tblPr>
        <w:tblW w:type="auto" w:w="0"/>
        <w:tblInd w:type="dxa" w:w="108"/>
        <w:tblLayout w:type="fixed"/>
        <w:tblLook w:firstColumn="0" w:firstRow="0" w:lastColumn="0" w:lastRow="0" w:noHBand="0" w:noVBand="0" w:val="0000"/>
      </w:tblPr>
      <w:tblGrid>
        <w:gridCol w:w="861"/>
        <w:gridCol w:w="3108"/>
        <w:gridCol w:w="2977"/>
        <w:gridCol w:w="2126"/>
      </w:tblGrid>
      <w:tr w:rsidR="00EA3F40" w:rsidRPr="0097021E" w:rsidTr="00F11244">
        <w:tc>
          <w:tcPr>
            <w:tcW w:type="dxa" w:w="861"/>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kern w:val="0"/>
                <w:sz w:val="24"/>
              </w:rPr>
            </w:pPr>
            <w:r w:rsidRPr="00613409">
              <w:rPr>
                <w:color w:val="000000"/>
                <w:kern w:val="0"/>
                <w:sz w:val="24"/>
              </w:rPr>
              <w:t>序号</w:t>
            </w:r>
          </w:p>
        </w:tc>
        <w:tc>
          <w:tcPr>
            <w:tcW w:type="dxa" w:w="3108"/>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kern w:val="0"/>
                <w:sz w:val="24"/>
              </w:rPr>
            </w:pPr>
            <w:r w:rsidRPr="00613409">
              <w:rPr>
                <w:color w:val="000000"/>
                <w:kern w:val="0"/>
                <w:sz w:val="24"/>
              </w:rPr>
              <w:t>项目</w:t>
            </w:r>
          </w:p>
        </w:tc>
        <w:tc>
          <w:tcPr>
            <w:tcW w:type="dxa" w:w="5103"/>
            <w:gridSpan w:val="2"/>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kern w:val="0"/>
                <w:sz w:val="24"/>
              </w:rPr>
            </w:pPr>
            <w:r w:rsidRPr="00613409">
              <w:rPr>
                <w:color w:val="000000"/>
                <w:kern w:val="0"/>
                <w:sz w:val="24"/>
              </w:rPr>
              <w:t>占基金资产净值的比例（％）</w:t>
            </w:r>
          </w:p>
        </w:tc>
      </w:tr>
      <w:tr w:rsidR="00EA3F40" w:rsidRPr="0097021E" w:rsidTr="00F11244">
        <w:tc>
          <w:tcPr>
            <w:tcW w:type="dxa" w:w="861"/>
            <w:tcBorders>
              <w:top w:color="000000" w:space="0" w:sz="8" w:val="single"/>
              <w:left w:color="000000" w:space="0" w:sz="8" w:val="single"/>
              <w:right w:color="000000" w:space="0" w:sz="8" w:val="single"/>
            </w:tcBorders>
            <w:vAlign w:val="center"/>
          </w:tcPr>
          <w:p w:rsidP="00196812" w:rsidR="00EA3F40" w:rsidRDefault="00EA3F40" w:rsidRPr="00613409">
            <w:pPr>
              <w:spacing w:line="360" w:lineRule="auto"/>
              <w:rPr>
                <w:color w:val="000000"/>
                <w:kern w:val="0"/>
                <w:sz w:val="24"/>
              </w:rPr>
            </w:pPr>
            <w:r w:rsidRPr="00613409">
              <w:rPr>
                <w:color w:val="000000"/>
                <w:kern w:val="0"/>
                <w:sz w:val="24"/>
              </w:rPr>
              <w:t>1</w:t>
            </w: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报告期内债券回购融资余额</w:t>
            </w:r>
          </w:p>
        </w:tc>
        <w:tc>
          <w:tcPr>
            <w:tcW w:type="dxa" w:w="5103"/>
            <w:gridSpan w:val="2"/>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4.03</w:t>
            </w:r>
          </w:p>
        </w:tc>
      </w:tr>
      <w:tr w:rsidR="00EA3F40" w:rsidRPr="0097021E" w:rsidTr="00F11244">
        <w:trPr>
          <w:trHeight w:val="712"/>
        </w:trPr>
        <w:tc>
          <w:tcPr>
            <w:tcW w:type="dxa" w:w="861"/>
            <w:tcBorders>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sz w:val="24"/>
              </w:rPr>
            </w:pP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其中：买断式回购融资</w:t>
            </w:r>
          </w:p>
        </w:tc>
        <w:tc>
          <w:tcPr>
            <w:tcW w:type="dxa" w:w="5103"/>
            <w:gridSpan w:val="2"/>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w:t>
            </w:r>
          </w:p>
        </w:tc>
      </w:tr>
      <w:tr w:rsidR="00EA3F40" w:rsidRPr="0097021E" w:rsidTr="00F11244">
        <w:tc>
          <w:tcPr>
            <w:tcW w:type="dxa" w:w="861"/>
            <w:tcBorders>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sz w:val="24"/>
              </w:rPr>
            </w:pPr>
            <w:r w:rsidRPr="00613409">
              <w:rPr>
                <w:color w:val="000000"/>
                <w:kern w:val="0"/>
                <w:sz w:val="24"/>
              </w:rPr>
              <w:t>序号</w:t>
            </w: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项目</w:t>
            </w:r>
          </w:p>
        </w:tc>
        <w:tc>
          <w:tcPr>
            <w:tcW w:type="dxa" w:w="2977"/>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金额</w:t>
            </w:r>
          </w:p>
        </w:tc>
        <w:tc>
          <w:tcPr>
            <w:tcW w:type="dxa" w:w="2126"/>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color w:val="000000"/>
                <w:kern w:val="0"/>
                <w:sz w:val="24"/>
              </w:rPr>
              <w:t>占基金资产净值的比例（％）</w:t>
            </w:r>
          </w:p>
        </w:tc>
      </w:tr>
      <w:tr w:rsidR="00EA3F40" w:rsidRPr="0097021E" w:rsidTr="00F11244">
        <w:tc>
          <w:tcPr>
            <w:tcW w:type="dxa" w:w="861"/>
            <w:vMerge w:val="restart"/>
            <w:tcBorders>
              <w:top w:color="000000" w:space="0" w:sz="8" w:val="single"/>
              <w:left w:color="000000" w:space="0" w:sz="8" w:val="single"/>
              <w:right w:color="000000" w:space="0" w:sz="8" w:val="single"/>
            </w:tcBorders>
            <w:vAlign w:val="center"/>
          </w:tcPr>
          <w:p w:rsidP="00196812" w:rsidR="00EA3F40" w:rsidRDefault="00EA3F40" w:rsidRPr="00613409">
            <w:pPr>
              <w:spacing w:line="360" w:lineRule="auto"/>
              <w:rPr>
                <w:color w:val="000000"/>
                <w:sz w:val="24"/>
              </w:rPr>
            </w:pPr>
            <w:r w:rsidRPr="00613409">
              <w:rPr>
                <w:color w:val="000000"/>
                <w:sz w:val="24"/>
              </w:rPr>
              <w:t>2</w:t>
            </w: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报告期末债券回购融资余额</w:t>
            </w:r>
          </w:p>
        </w:tc>
        <w:tc>
          <w:tcPr>
            <w:tcW w:type="dxa" w:w="2977"/>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135,359,676.96</w:t>
            </w:r>
          </w:p>
        </w:tc>
        <w:tc>
          <w:tcPr>
            <w:tcW w:type="dxa" w:w="2126"/>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0.75</w:t>
            </w:r>
          </w:p>
        </w:tc>
      </w:tr>
      <w:tr w:rsidR="00EA3F40" w:rsidRPr="0097021E" w:rsidTr="00F11244">
        <w:tc>
          <w:tcPr>
            <w:tcW w:type="dxa" w:w="861"/>
            <w:vMerge/>
            <w:tcBorders>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color w:val="000000"/>
                <w:sz w:val="24"/>
              </w:rPr>
            </w:pPr>
          </w:p>
        </w:tc>
        <w:tc>
          <w:tcPr>
            <w:tcW w:type="dxa" w:w="3108"/>
            <w:tcBorders>
              <w:top w:color="000000" w:space="0" w:sz="8" w:val="single"/>
              <w:left w:color="000000" w:space="0" w:sz="8" w:val="single"/>
              <w:bottom w:color="000000" w:space="0" w:sz="8" w:val="single"/>
              <w:right w:color="000000" w:space="0" w:sz="8" w:val="single"/>
            </w:tcBorders>
          </w:tcPr>
          <w:p w:rsidP="00196812" w:rsidR="00EA3F40" w:rsidRDefault="00EA3F40" w:rsidRPr="00613409">
            <w:pPr>
              <w:spacing w:line="360" w:lineRule="auto"/>
              <w:rPr>
                <w:sz w:val="24"/>
              </w:rPr>
            </w:pPr>
            <w:r w:rsidRPr="00613409">
              <w:rPr>
                <w:sz w:val="24"/>
              </w:rPr>
              <w:t>其中：买断式回购融资</w:t>
            </w:r>
          </w:p>
        </w:tc>
        <w:tc>
          <w:tcPr>
            <w:tcW w:type="dxa" w:w="2977"/>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w:t>
            </w:r>
          </w:p>
        </w:tc>
        <w:tc>
          <w:tcPr>
            <w:tcW w:type="dxa" w:w="2126"/>
            <w:tcBorders>
              <w:top w:color="000000" w:space="0" w:sz="8" w:val="single"/>
              <w:left w:color="000000" w:space="0" w:sz="8" w:val="single"/>
              <w:bottom w:color="000000" w:space="0" w:sz="8" w:val="single"/>
              <w:right w:color="000000" w:space="0" w:sz="8" w:val="single"/>
            </w:tcBorders>
            <w:vAlign w:val="center"/>
          </w:tcPr>
          <w:p w:rsidP="00196812" w:rsidR="00EA3F40" w:rsidRDefault="00EA3F40" w:rsidRPr="00613409">
            <w:pPr>
              <w:spacing w:line="360" w:lineRule="auto"/>
              <w:rPr>
                <w:sz w:val="24"/>
              </w:rPr>
            </w:pPr>
            <w:r w:rsidRPr="00613409">
              <w:rPr>
                <w:sz w:val="24"/>
              </w:rPr>
              <w:t>-</w:t>
            </w:r>
          </w:p>
        </w:tc>
      </w:tr>
    </w:tbl>
    <w:p w:rsidP="00613409" w:rsidR="00EA3F40" w:rsidRDefault="00EA3F40" w:rsidRPr="00613409">
      <w:pPr>
        <w:adjustRightInd w:val="0"/>
        <w:spacing w:line="360" w:lineRule="auto"/>
        <w:ind w:firstLine="480" w:firstLineChars="200"/>
        <w:rPr>
          <w:color w:val="000000"/>
          <w:sz w:val="24"/>
        </w:rPr>
      </w:pPr>
      <w:r w:rsidRPr="001752C7">
        <w:rPr>
          <w:color w:val="000000"/>
          <w:sz w:val="24"/>
        </w:rPr>
        <w:t>注：上表中报告期内债券回购融资余额占基金资产净值的比例为报告期内每个交易日融资余额占基金资产净值比例的简单平均值。</w:t>
      </w:r>
    </w:p>
    <w:p w:rsidP="00196812" w:rsidR="00EA3F40" w:rsidRDefault="00EA3F40" w:rsidRPr="003A0EC1">
      <w:pPr>
        <w:spacing w:line="360" w:lineRule="auto"/>
        <w:rPr>
          <w:rFonts w:ascii="宋体" w:cs="Arial"/>
          <w:b/>
          <w:color w:val="000000"/>
          <w:kern w:val="0"/>
          <w:sz w:val="24"/>
        </w:rPr>
      </w:pPr>
      <w:r w:rsidRPr="003A0EC1">
        <w:rPr>
          <w:rFonts w:ascii="宋体" w:cs="Arial"/>
          <w:b/>
          <w:color w:val="000000"/>
          <w:kern w:val="0"/>
          <w:sz w:val="24"/>
        </w:rPr>
        <w:t/>
      </w:r>
      <w:r w:rsidRPr="003A0EC1">
        <w:rPr>
          <w:rFonts w:ascii="宋体" w:cs="Arial" w:hAnsi="宋体"/>
          <w:b/>
          <w:color w:val="000000"/>
          <w:kern w:val="0"/>
          <w:sz w:val="24"/>
        </w:rPr>
        <w:t/>
      </w:r>
      <w:r w:rsidRPr="003A0EC1">
        <w:rPr>
          <w:rFonts w:ascii="宋体" w:cs="Arial" w:hAnsi="宋体" w:hint="eastAsia"/>
          <w:b/>
          <w:color w:val="000000"/>
          <w:kern w:val="0"/>
          <w:sz w:val="24"/>
        </w:rPr>
        <w:t>债券正回购的资金余额超过基金资产净值的</w:t>
      </w:r>
      <w:r w:rsidRPr="003A0EC1">
        <w:rPr>
          <w:rFonts w:ascii="宋体" w:cs="Arial" w:hAnsi="宋体"/>
          <w:b/>
          <w:color w:val="000000"/>
          <w:kern w:val="0"/>
          <w:sz w:val="24"/>
        </w:rPr>
        <w:t>20</w:t>
      </w:r>
      <w:r w:rsidRPr="003A0EC1">
        <w:rPr>
          <w:rFonts w:ascii="宋体" w:cs="Arial" w:hAnsi="宋体" w:hint="eastAsia"/>
          <w:b/>
          <w:color w:val="000000"/>
          <w:kern w:val="0"/>
          <w:sz w:val="24"/>
        </w:rPr>
        <w:t>％的说明</w:t>
      </w:r>
    </w:p>
    <w:tbl>
      <w:tblPr>
        <w:tblW w:type="dxa" w:w="92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937"/>
        <w:gridCol w:w="1964"/>
        <w:gridCol w:w="2344"/>
        <w:gridCol w:w="1842"/>
        <w:gridCol w:w="2127"/>
      </w:tblGrid>
      <w:tr w:rsidR="00EA3F40" w:rsidRPr="0097021E" w:rsidTr="00F11244">
        <w:tc>
          <w:tcPr>
            <w:tcW w:type="dxa" w:w="937"/>
            <w:vAlign w:val="center"/>
          </w:tcPr>
          <w:p w:rsidP="00196812" w:rsidR="00EA3F40" w:rsidRDefault="00EA3F40" w:rsidRPr="00613409">
            <w:pPr>
              <w:spacing w:line="360" w:lineRule="auto"/>
              <w:rPr>
                <w:sz w:val="24"/>
              </w:rPr>
            </w:pPr>
            <w:r w:rsidRPr="00613409">
              <w:rPr>
                <w:sz w:val="24"/>
              </w:rPr>
              <w:t>序号</w:t>
            </w:r>
          </w:p>
        </w:tc>
        <w:tc>
          <w:tcPr>
            <w:tcW w:type="dxa" w:w="1964"/>
            <w:vAlign w:val="center"/>
          </w:tcPr>
          <w:p w:rsidP="00196812" w:rsidR="00EA3F40" w:rsidRDefault="00EA3F40" w:rsidRPr="00613409">
            <w:pPr>
              <w:spacing w:line="360" w:lineRule="auto"/>
              <w:rPr>
                <w:sz w:val="24"/>
              </w:rPr>
            </w:pPr>
            <w:r w:rsidRPr="00613409">
              <w:rPr>
                <w:sz w:val="24"/>
              </w:rPr>
              <w:t>发生日期</w:t>
            </w:r>
          </w:p>
        </w:tc>
        <w:tc>
          <w:tcPr>
            <w:tcW w:type="dxa" w:w="2344"/>
            <w:vAlign w:val="center"/>
          </w:tcPr>
          <w:p w:rsidP="00196812" w:rsidR="00EA3F40" w:rsidRDefault="00EA3F40" w:rsidRPr="00613409">
            <w:pPr>
              <w:spacing w:line="360" w:lineRule="auto"/>
              <w:rPr>
                <w:sz w:val="24"/>
              </w:rPr>
            </w:pPr>
            <w:r w:rsidRPr="00613409">
              <w:rPr>
                <w:sz w:val="24"/>
              </w:rPr>
              <w:t>融资余额占基金资产净值的比例（</w:t>
            </w:r>
            <w:r w:rsidRPr="00613409">
              <w:rPr>
                <w:sz w:val="24"/>
              </w:rPr>
              <w:t>%</w:t>
            </w:r>
            <w:r w:rsidRPr="00613409">
              <w:rPr>
                <w:sz w:val="24"/>
              </w:rPr>
              <w:t>）</w:t>
            </w:r>
          </w:p>
        </w:tc>
        <w:tc>
          <w:tcPr>
            <w:tcW w:type="dxa" w:w="1842"/>
            <w:vAlign w:val="center"/>
          </w:tcPr>
          <w:p w:rsidP="00196812" w:rsidR="00EA3F40" w:rsidRDefault="00EA3F40" w:rsidRPr="00613409">
            <w:pPr>
              <w:spacing w:line="360" w:lineRule="auto"/>
              <w:rPr>
                <w:sz w:val="24"/>
              </w:rPr>
            </w:pPr>
            <w:r w:rsidRPr="00613409">
              <w:rPr>
                <w:sz w:val="24"/>
              </w:rPr>
              <w:t>原因</w:t>
            </w:r>
          </w:p>
        </w:tc>
        <w:tc>
          <w:tcPr>
            <w:tcW w:type="dxa" w:w="2127"/>
            <w:vAlign w:val="center"/>
          </w:tcPr>
          <w:p w:rsidP="00196812" w:rsidR="00EA3F40" w:rsidRDefault="00EA3F40" w:rsidRPr="00613409">
            <w:pPr>
              <w:spacing w:line="360" w:lineRule="auto"/>
              <w:rPr>
                <w:sz w:val="24"/>
              </w:rPr>
            </w:pPr>
            <w:r w:rsidRPr="00613409">
              <w:rPr>
                <w:sz w:val="24"/>
              </w:rPr>
              <w:t>调整期</w:t>
            </w:r>
          </w:p>
        </w:tc>
      </w:tr>
      <w:tr>
        <w:tc>
          <w:tcPr>
            <w:vAlign w:val="center"/>
          </w:tcPr>
          <w:p>
            <w:pPr>
              <w:jc w:val="center"/>
            </w:pPr>
            <w:r>
              <w:rPr>
                <w:color w:val="000000"/>
                <w:sz w:val="24"/>
              </w:rPr>
              <w:t>1</w:t>
            </w:r>
          </w:p>
        </w:tc>
        <w:tc>
          <w:tcPr>
            <w:vAlign w:val="center"/>
          </w:tcPr>
          <w:p>
            <w:pPr>
              <w:jc w:val="center"/>
            </w:pPr>
            <w:r>
              <w:rPr>
                <w:color w:val="000000"/>
                <w:sz w:val="24"/>
              </w:rPr>
              <w:t>2020-09-29</w:t>
            </w:r>
          </w:p>
        </w:tc>
        <w:tc>
          <w:tcPr>
            <w:vAlign w:val="center"/>
          </w:tcPr>
          <w:p>
            <w:pPr>
              <w:jc w:val="center"/>
            </w:pPr>
            <w:r>
              <w:rPr>
                <w:color w:val="000000"/>
                <w:sz w:val="24"/>
              </w:rPr>
              <w:t>33.44</w:t>
            </w:r>
          </w:p>
        </w:tc>
        <w:tc>
          <w:tcPr>
            <w:vAlign w:val="center"/>
          </w:tcPr>
          <w:p>
            <w:pPr>
              <w:jc w:val="center"/>
            </w:pPr>
            <w:r>
              <w:rPr>
                <w:color w:val="000000"/>
                <w:sz w:val="24"/>
              </w:rPr>
              <w:t>遭遇大额赎回</w:t>
            </w:r>
          </w:p>
        </w:tc>
        <w:tc>
          <w:tcPr>
            <w:vAlign w:val="center"/>
          </w:tcPr>
          <w:p>
            <w:pPr>
              <w:jc w:val="center"/>
            </w:pPr>
            <w:r>
              <w:rPr>
                <w:color w:val="000000"/>
                <w:sz w:val="24"/>
              </w:rPr>
              <w:t>发生日后1个交易日</w:t>
            </w:r>
          </w:p>
        </w:tc>
      </w:tr>
    </w:tbl>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 </w:t>
      </w:r>
      <w:r w:rsidRPr="0097021E">
        <w:rPr>
          <w:rFonts w:ascii="宋体" w:cs="Arial" w:hAnsi="宋体" w:hint="eastAsia"/>
          <w:b/>
          <w:color w:val="000000"/>
          <w:kern w:val="0"/>
          <w:sz w:val="24"/>
        </w:rPr>
        <w:t>基金投资组合平均剩余期限</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5.3.1 </w:t>
      </w:r>
      <w:r w:rsidRPr="0097021E">
        <w:rPr>
          <w:rFonts w:ascii="宋体" w:cs="Arial" w:hAnsi="宋体" w:hint="eastAsia"/>
          <w:b/>
          <w:color w:val="000000"/>
          <w:kern w:val="0"/>
          <w:sz w:val="24"/>
        </w:rPr>
        <w:t>投资组合平均剩余期限基本情况</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056"/>
        <w:gridCol w:w="5016"/>
      </w:tblGrid>
      <w:tr w:rsidR="00EA3F40" w:rsidRPr="0097021E" w:rsidTr="00C526E2">
        <w:tc>
          <w:tcPr>
            <w:tcW w:type="dxa" w:w="4056"/>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项目</w:t>
            </w:r>
            <w:r w:rsidRPr="00613409">
              <w:rPr>
                <w:color w:val="000000"/>
                <w:kern w:val="0"/>
                <w:sz w:val="24"/>
              </w:rPr>
              <w:t/>
            </w:r>
          </w:p>
        </w:tc>
        <w:tc>
          <w:tcPr>
            <w:tcW w:type="dxa" w:w="5016"/>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天数</w:t>
            </w:r>
          </w:p>
        </w:tc>
      </w:tr>
      <w:tr w:rsidR="00EA3F40" w:rsidRPr="0097021E" w:rsidTr="00C526E2">
        <w:tc>
          <w:tcPr>
            <w:tcW w:type="dxa" w:w="4056"/>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报告期末投资组合平均剩余期限</w:t>
            </w:r>
          </w:p>
        </w:tc>
        <w:tc>
          <w:tcPr>
            <w:tcW w:type="dxa" w:w="5016"/>
            <w:vAlign w:val="center"/>
          </w:tcPr>
          <w:p w:rsidP="00196812" w:rsidR="00EA3F40" w:rsidRDefault="00EA3F40" w:rsidRPr="00613409">
            <w:pPr>
              <w:spacing w:line="360" w:lineRule="auto"/>
              <w:ind w:right="120"/>
              <w:jc w:val="right"/>
              <w:rPr>
                <w:sz w:val="24"/>
              </w:rPr>
            </w:pPr>
            <w:r w:rsidRPr="00613409">
              <w:rPr>
                <w:color w:val="000000"/>
                <w:sz w:val="24"/>
              </w:rPr>
              <w:t/>
            </w:r>
            <w:r w:rsidRPr="00613409">
              <w:rPr>
                <w:sz w:val="24"/>
              </w:rPr>
              <w:t>79</w:t>
            </w:r>
          </w:p>
        </w:tc>
      </w:tr>
      <w:tr w:rsidR="00EA3F40" w:rsidRPr="0097021E" w:rsidTr="00C526E2">
        <w:tc>
          <w:tcPr>
            <w:tcW w:type="dxa" w:w="4056"/>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报告期内投资组合平均剩余期限最高值</w:t>
            </w:r>
          </w:p>
        </w:tc>
        <w:tc>
          <w:tcPr>
            <w:tcW w:type="dxa" w:w="5016"/>
            <w:vAlign w:val="center"/>
          </w:tcPr>
          <w:p w:rsidP="00196812" w:rsidR="00EA3F40" w:rsidRDefault="00EA3F40" w:rsidRPr="00613409">
            <w:pPr>
              <w:spacing w:line="360" w:lineRule="auto"/>
              <w:jc w:val="right"/>
              <w:rPr>
                <w:sz w:val="24"/>
              </w:rPr>
            </w:pPr>
            <w:r w:rsidRPr="00613409">
              <w:rPr>
                <w:color w:val="000000"/>
                <w:sz w:val="24"/>
              </w:rPr>
              <w:t/>
            </w:r>
            <w:r w:rsidRPr="00613409">
              <w:rPr>
                <w:sz w:val="24"/>
              </w:rPr>
              <w:t>79</w:t>
            </w:r>
          </w:p>
        </w:tc>
      </w:tr>
      <w:tr w:rsidR="00EA3F40" w:rsidRPr="0097021E" w:rsidTr="00C526E2">
        <w:tc>
          <w:tcPr>
            <w:tcW w:type="dxa" w:w="4056"/>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报告期内投资组合平均剩余期限最低值</w:t>
            </w:r>
          </w:p>
        </w:tc>
        <w:tc>
          <w:tcPr>
            <w:tcW w:type="dxa" w:w="5016"/>
            <w:vAlign w:val="center"/>
          </w:tcPr>
          <w:p w:rsidP="00196812" w:rsidR="00EA3F40" w:rsidRDefault="00EA3F40" w:rsidRPr="00613409">
            <w:pPr>
              <w:spacing w:line="360" w:lineRule="auto"/>
              <w:ind w:right="120"/>
              <w:jc w:val="right"/>
              <w:rPr>
                <w:sz w:val="24"/>
              </w:rPr>
            </w:pPr>
            <w:r w:rsidRPr="00613409">
              <w:rPr>
                <w:color w:val="000000"/>
                <w:sz w:val="24"/>
              </w:rPr>
              <w:t/>
            </w:r>
            <w:r w:rsidRPr="00613409">
              <w:rPr>
                <w:sz w:val="24"/>
              </w:rPr>
              <w:t>19</w:t>
            </w:r>
          </w:p>
        </w:tc>
      </w:tr>
    </w:tbl>
    <w:p w:rsidP="00546492" w:rsidR="00546492" w:rsidRDefault="00546492" w:rsidRPr="00546492">
      <w:pPr>
        <w:spacing w:line="360" w:lineRule="auto"/>
        <w:rPr>
          <w:rFonts w:ascii="宋体" w:cs="Arial" w:hAnsi="宋体"/>
          <w:b/>
          <w:color w:val="000000"/>
          <w:kern w:val="0"/>
          <w:sz w:val="24"/>
        </w:rPr>
      </w:pPr>
      <w:r w:rsidRPr="00546492">
        <w:rPr>
          <w:rFonts w:ascii="宋体" w:cs="Arial" w:hAnsi="宋体" w:hint="eastAsia"/>
          <w:b/>
          <w:color w:val="000000"/>
          <w:kern w:val="0"/>
          <w:sz w:val="24"/>
        </w:rPr>
        <w:t>报告期内投资组合平均剩余期限超过</w:t>
      </w:r>
      <w:r w:rsidRPr="00546492">
        <w:rPr>
          <w:rFonts w:ascii="宋体" w:cs="Arial" w:hAnsi="宋体"/>
          <w:b/>
          <w:color w:val="000000"/>
          <w:kern w:val="0"/>
          <w:sz w:val="24"/>
        </w:rPr>
        <w:t>1</w:t>
      </w:r>
      <w:r w:rsidRPr="00546492">
        <w:rPr>
          <w:rFonts w:ascii="宋体" w:cs="Arial" w:hAnsi="宋体" w:hint="eastAsia"/>
          <w:b/>
          <w:color w:val="000000"/>
          <w:kern w:val="0"/>
          <w:sz w:val="24"/>
        </w:rPr>
        <w:t>20天情况说明</w:t>
      </w:r>
    </w:p>
    <w:p w:rsidP="00613409" w:rsidR="00546492" w:rsidRDefault="00546492" w:rsidRPr="00546492">
      <w:pPr>
        <w:adjustRightInd w:val="0"/>
        <w:spacing w:line="360" w:lineRule="auto"/>
        <w:ind w:firstLine="480" w:firstLineChars="200"/>
        <w:rPr>
          <w:color w:val="000000"/>
          <w:sz w:val="24"/>
        </w:rPr>
      </w:pPr>
      <w:r w:rsidRPr="00546492">
        <w:rPr>
          <w:color w:val="000000"/>
          <w:sz w:val="24"/>
        </w:rPr>
        <w:lastRenderedPageBreak/>
        <w:t>本报告期内本货币市场基金投资组合平均剩余期限未超过120天。</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5.3.2 </w:t>
      </w:r>
      <w:r w:rsidRPr="0097021E">
        <w:rPr>
          <w:rFonts w:ascii="宋体" w:cs="Arial" w:hAnsi="宋体" w:hint="eastAsia"/>
          <w:b/>
          <w:color w:val="000000"/>
          <w:kern w:val="0"/>
          <w:sz w:val="24"/>
        </w:rPr>
        <w:t>报告期末投资组合平均剩余期限分布比例</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851"/>
        <w:gridCol w:w="3351"/>
        <w:gridCol w:w="2529"/>
        <w:gridCol w:w="2431"/>
      </w:tblGrid>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序号</w:t>
            </w:r>
          </w:p>
        </w:tc>
        <w:tc>
          <w:tcPr>
            <w:tcW w:type="dxa" w:w="335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平均剩余期限</w:t>
            </w:r>
            <w:r w:rsidRPr="007A1ACF">
              <w:rPr>
                <w:color w:val="000000"/>
                <w:kern w:val="0"/>
                <w:sz w:val="24"/>
              </w:rPr>
              <w:t/>
            </w:r>
          </w:p>
        </w:tc>
        <w:tc>
          <w:tcPr>
            <w:tcW w:type="dxa" w:w="2529"/>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各期限资产占基金资产净值的比例（</w:t>
            </w:r>
            <w:r w:rsidRPr="007A1ACF">
              <w:rPr>
                <w:color w:val="000000"/>
                <w:kern w:val="0"/>
                <w:sz w:val="24"/>
              </w:rPr>
              <w:t>%</w:t>
            </w:r>
            <w:r w:rsidRPr="007A1ACF">
              <w:rPr>
                <w:color w:val="000000"/>
                <w:kern w:val="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kern w:val="0"/>
                <w:sz w:val="24"/>
              </w:rPr>
              <w:t>各期限负债占基金资产净值的比例（％）</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kern w:val="0"/>
                <w:sz w:val="24"/>
              </w:rPr>
            </w:pPr>
            <w:r w:rsidRPr="007A1ACF">
              <w:rPr>
                <w:color w:val="000000"/>
                <w:sz w:val="24"/>
              </w:rPr>
              <w:t>1</w:t>
            </w: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天以内</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27.25</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0.75</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r w:rsidRPr="007A1ACF">
              <w:rPr>
                <w:color w:val="000000"/>
                <w:sz w:val="24"/>
              </w:rPr>
              <w:t>2</w:t>
            </w: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天（含）</w:t>
            </w:r>
            <w:r w:rsidRPr="007A1ACF">
              <w:rPr>
                <w:color w:val="000000"/>
                <w:sz w:val="24"/>
              </w:rPr>
              <w:t>—60</w:t>
            </w:r>
            <w:r w:rsidRPr="007A1ACF">
              <w:rPr>
                <w:color w:val="000000"/>
                <w:sz w:val="24"/>
              </w:rPr>
              <w:t>天</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
            </w:r>
            <w:r w:rsidRPr="007A1ACF">
              <w:rPr>
                <w:color w:val="000000"/>
                <w:sz w:val="24"/>
              </w:rPr>
              <w:lastRenderedPageBreak/>
              <w:t>2.87</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lastRenderedPageBreak/>
              <w:t/>
            </w:r>
            <w:r w:rsidRPr="007A1ACF">
              <w:rPr>
                <w:color w:val="000000"/>
                <w:sz w:val="24"/>
              </w:rPr>
              <w:lastRenderedPageBreak/>
              <w:t>-</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r w:rsidRPr="007A1ACF">
              <w:rPr>
                <w:color w:val="000000"/>
                <w:sz w:val="24"/>
              </w:rPr>
              <w:t>3</w:t>
            </w: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sz w:val="24"/>
              </w:rPr>
            </w:pPr>
            <w:r w:rsidRPr="007A1ACF">
              <w:rPr>
                <w:color w:val="000000"/>
                <w:sz w:val="24"/>
              </w:rPr>
              <w:t>60</w:t>
            </w:r>
            <w:r w:rsidRPr="007A1ACF">
              <w:rPr>
                <w:color w:val="000000"/>
                <w:sz w:val="24"/>
              </w:rPr>
              <w:t>天（含）</w:t>
            </w:r>
            <w:r w:rsidRPr="007A1ACF">
              <w:rPr>
                <w:color w:val="000000"/>
                <w:sz w:val="24"/>
              </w:rPr>
              <w:t>—90</w:t>
            </w:r>
            <w:r w:rsidRPr="007A1ACF">
              <w:rPr>
                <w:color w:val="000000"/>
                <w:sz w:val="24"/>
              </w:rPr>
              <w:t>天</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35.75</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C526E2">
        <w:tc>
          <w:tcPr>
            <w:tcW w:type="dxa" w:w="851"/>
            <w:vAlign w:val="center"/>
          </w:tcPr>
          <w:p w:rsidP="00196812" w:rsidR="00EA3F40" w:rsidRDefault="00EA3F40" w:rsidRPr="007A1ACF">
            <w:pPr>
              <w:autoSpaceDE w:val="0"/>
              <w:autoSpaceDN w:val="0"/>
              <w:adjustRightInd w:val="0"/>
              <w:spacing w:before="29" w:line="360" w:lineRule="auto"/>
              <w:ind w:left="15"/>
              <w:jc w:val="center"/>
              <w:rPr>
                <w:color w:val="000000"/>
                <w:sz w:val="24"/>
              </w:rPr>
            </w:pPr>
          </w:p>
        </w:tc>
        <w:tc>
          <w:tcPr>
            <w:tcW w:type="dxa" w:w="3351"/>
            <w:vAlign w:val="center"/>
          </w:tcPr>
          <w:p w:rsidP="00196812" w:rsidR="00EA3F40" w:rsidRDefault="00EA3F40" w:rsidRPr="007A1ACF">
            <w:pPr>
              <w:autoSpaceDE w:val="0"/>
              <w:autoSpaceDN w:val="0"/>
              <w:adjustRightInd w:val="0"/>
              <w:spacing w:before="29" w:line="360" w:lineRule="auto"/>
              <w:ind w:left="15"/>
              <w:jc w:val="left"/>
              <w:rPr>
                <w:color w:val="00000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type="dxa" w:w="2529"/>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type="dxa" w:w="2431"/>
            <w:vAlign w:val="center"/>
          </w:tcPr>
          <w:p w:rsidP="00196812" w:rsidR="00EA3F40" w:rsidRDefault="00EA3F40" w:rsidRPr="007A1ACF">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546492" w:rsidRPr="0097021E" w:rsidTr="00C526E2">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r w:rsidRPr="007A1ACF">
              <w:rPr>
                <w:color w:val="000000"/>
                <w:sz w:val="24"/>
              </w:rPr>
              <w:t>4</w:t>
            </w: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90</w:t>
            </w:r>
            <w:r w:rsidRPr="009F2322">
              <w:rPr>
                <w:color w:val="000000"/>
                <w:sz w:val="24"/>
              </w:rPr>
              <w:t>天（含）</w:t>
            </w:r>
            <w:r w:rsidRPr="009F2322">
              <w:rPr>
                <w:color w:val="000000"/>
                <w:sz w:val="24"/>
              </w:rPr>
              <w:t>—120</w:t>
            </w:r>
            <w:r w:rsidRPr="009F2322">
              <w:rPr>
                <w:color w:val="000000"/>
                <w:sz w:val="24"/>
              </w:rPr>
              <w:t>天</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5.79</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C526E2">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C526E2">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r w:rsidRPr="007A1ACF">
              <w:rPr>
                <w:color w:val="000000"/>
                <w:sz w:val="24"/>
              </w:rPr>
              <w:t>5</w:t>
            </w: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120</w:t>
            </w:r>
            <w:r w:rsidRPr="009F2322">
              <w:rPr>
                <w:color w:val="000000"/>
                <w:sz w:val="24"/>
              </w:rPr>
              <w:t>天（含）</w:t>
            </w:r>
            <w:r w:rsidRPr="009F2322">
              <w:rPr>
                <w:color w:val="000000"/>
                <w:sz w:val="24"/>
              </w:rPr>
              <w:t>—397</w:t>
            </w:r>
            <w:r w:rsidRPr="009F2322">
              <w:rPr>
                <w:color w:val="000000"/>
                <w:sz w:val="24"/>
              </w:rPr>
              <w:t>天（含）</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
            </w:r>
            <w:r w:rsidRPr="009F2322">
              <w:rPr>
                <w:color w:val="000000"/>
                <w:sz w:val="24"/>
              </w:rPr>
              <w:lastRenderedPageBreak/>
              <w:t>23.15</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lastRenderedPageBreak/>
              <w:t/>
            </w:r>
            <w:r w:rsidRPr="009F2322">
              <w:rPr>
                <w:color w:val="000000"/>
                <w:sz w:val="24"/>
              </w:rPr>
              <w:lastRenderedPageBreak/>
              <w:t>-</w:t>
            </w:r>
          </w:p>
        </w:tc>
      </w:tr>
      <w:tr w:rsidR="00546492" w:rsidRPr="0097021E" w:rsidTr="00C526E2">
        <w:tc>
          <w:tcPr>
            <w:tcW w:type="dxa" w:w="851"/>
            <w:vAlign w:val="center"/>
          </w:tcPr>
          <w:p w:rsidP="00196812" w:rsidR="00546492" w:rsidRDefault="00546492" w:rsidRPr="007A1ACF">
            <w:pPr>
              <w:autoSpaceDE w:val="0"/>
              <w:autoSpaceDN w:val="0"/>
              <w:adjustRightInd w:val="0"/>
              <w:spacing w:before="29" w:line="360" w:lineRule="auto"/>
              <w:ind w:left="15"/>
              <w:jc w:val="center"/>
              <w:rPr>
                <w:color w:val="000000"/>
                <w:sz w:val="24"/>
              </w:rPr>
            </w:pPr>
          </w:p>
        </w:tc>
        <w:tc>
          <w:tcPr>
            <w:tcW w:type="dxa" w:w="3351"/>
            <w:vAlign w:val="center"/>
          </w:tcPr>
          <w:p w:rsidP="00546492" w:rsidR="00546492" w:rsidRDefault="00546492" w:rsidRPr="009F232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C526E2">
        <w:tc>
          <w:tcPr>
            <w:tcW w:type="dxa" w:w="4202"/>
            <w:gridSpan w:val="2"/>
            <w:vAlign w:val="center"/>
          </w:tcPr>
          <w:p w:rsidP="00196812" w:rsidR="00546492" w:rsidRDefault="00546492" w:rsidRPr="007A1ACF">
            <w:pPr>
              <w:autoSpaceDE w:val="0"/>
              <w:autoSpaceDN w:val="0"/>
              <w:adjustRightInd w:val="0"/>
              <w:spacing w:before="29" w:line="360" w:lineRule="auto"/>
              <w:ind w:left="15"/>
              <w:jc w:val="center"/>
              <w:rPr>
                <w:color w:val="000000"/>
                <w:sz w:val="24"/>
              </w:rPr>
            </w:pPr>
            <w:r w:rsidRPr="007A1ACF">
              <w:rPr>
                <w:color w:val="000000"/>
                <w:sz w:val="24"/>
              </w:rPr>
              <w:t>合计</w:t>
            </w:r>
          </w:p>
        </w:tc>
        <w:tc>
          <w:tcPr>
            <w:tcW w:type="dxa" w:w="2529"/>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94.81</w:t>
            </w:r>
          </w:p>
        </w:tc>
        <w:tc>
          <w:tcPr>
            <w:tcW w:type="dxa" w:w="2431"/>
            <w:vAlign w:val="center"/>
          </w:tcPr>
          <w:p w:rsidP="00546492" w:rsidR="00546492" w:rsidRDefault="00546492" w:rsidRPr="009F2322">
            <w:pPr>
              <w:autoSpaceDE w:val="0"/>
              <w:autoSpaceDN w:val="0"/>
              <w:adjustRightInd w:val="0"/>
              <w:spacing w:before="29" w:line="360" w:lineRule="auto"/>
              <w:ind w:left="15"/>
              <w:jc w:val="right"/>
              <w:rPr>
                <w:color w:val="000000"/>
                <w:kern w:val="0"/>
                <w:sz w:val="24"/>
              </w:rPr>
            </w:pPr>
            <w:r w:rsidRPr="009F2322">
              <w:rPr>
                <w:color w:val="000000"/>
                <w:sz w:val="24"/>
              </w:rPr>
              <w:t>0.75</w:t>
            </w:r>
          </w:p>
        </w:tc>
      </w:tr>
    </w:tbl>
    <w:p w:rsidP="007A1ACF" w:rsidR="007A1ACF" w:rsidRDefault="007A1ACF" w:rsidRPr="007A1ACF">
      <w:pPr>
        <w:spacing w:line="360" w:lineRule="auto"/>
        <w:rPr>
          <w:rFonts w:ascii="宋体" w:cs="Arial" w:hAnsi="宋体"/>
          <w:b/>
          <w:color w:val="000000"/>
          <w:kern w:val="0"/>
          <w:sz w:val="24"/>
        </w:rPr>
      </w:pPr>
      <w:r w:rsidRPr="007A1ACF">
        <w:rPr>
          <w:rFonts w:ascii="宋体" w:cs="Arial" w:hAnsi="宋体" w:hint="eastAsia"/>
          <w:b/>
          <w:color w:val="000000"/>
          <w:kern w:val="0"/>
          <w:sz w:val="24"/>
        </w:rPr>
        <w:t>5.4</w:t>
      </w:r>
      <w:r>
        <w:rPr>
          <w:rFonts w:ascii="宋体" w:hAnsi="宋体" w:hint="eastAsia"/>
          <w:b/>
          <w:color w:val="000000"/>
          <w:sz w:val="24"/>
        </w:rPr>
        <w:t>报告期内投资组合平均剩余存续期超过240天情况说明</w:t>
      </w:r>
    </w:p>
    <w:p w:rsidP="00613409" w:rsidR="007A1ACF" w:rsidRDefault="007A1ACF" w:rsidRPr="007A1ACF">
      <w:pPr>
        <w:adjustRightInd w:val="0"/>
        <w:spacing w:line="360" w:lineRule="auto"/>
        <w:ind w:firstLine="480" w:firstLineChars="200"/>
        <w:rPr>
          <w:color w:val="000000"/>
          <w:sz w:val="24"/>
        </w:rPr>
      </w:pPr>
      <w:r w:rsidRPr="007A1ACF">
        <w:rPr>
          <w:color w:val="000000"/>
          <w:sz w:val="24"/>
        </w:rPr>
        <w:t>本报告期内本货币市场基金投资组合平均剩余存续期未超过240天。</w:t>
      </w:r>
    </w:p>
    <w:p w:rsidP="00710B11" w:rsidR="00710B11" w:rsidRDefault="00EA3F40" w:rsidRPr="00675D72">
      <w:pPr>
        <w:spacing w:line="360" w:lineRule="auto"/>
        <w:rPr>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5</w:t>
      </w:r>
      <w:r w:rsidRPr="0097021E">
        <w:rPr>
          <w:rFonts w:ascii="宋体" w:cs="Arial" w:hAnsi="宋体"/>
          <w:b/>
          <w:color w:val="000000"/>
          <w:kern w:val="0"/>
          <w:sz w:val="24"/>
        </w:rPr>
        <w:t xml:space="preserve"> </w:t>
      </w:r>
      <w:r w:rsidRPr="0097021E">
        <w:rPr>
          <w:rFonts w:ascii="宋体" w:cs="Arial" w:hAnsi="宋体" w:hint="eastAsia"/>
          <w:b/>
          <w:color w:val="000000"/>
          <w:kern w:val="0"/>
          <w:sz w:val="24"/>
        </w:rPr>
        <w:t>报告期末按债券品种分类的债券投资组合</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3119"/>
        <w:gridCol w:w="1984"/>
      </w:tblGrid>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序号</w:t>
            </w:r>
          </w:p>
        </w:tc>
        <w:tc>
          <w:tcPr>
            <w:tcW w:type="dxa" w:w="3260"/>
            <w:vAlign w:val="center"/>
          </w:tcPr>
          <w:p w:rsidP="00546492" w:rsidR="00710B11" w:rsidRDefault="00710B11" w:rsidRPr="00675D72">
            <w:pPr>
              <w:spacing w:before="29" w:line="360" w:lineRule="auto"/>
              <w:ind w:left="17"/>
              <w:jc w:val="center"/>
              <w:rPr>
                <w:color w:val="000000"/>
                <w:sz w:val="24"/>
              </w:rPr>
            </w:pPr>
            <w:r w:rsidRPr="00675D72">
              <w:rPr>
                <w:color w:val="000000"/>
                <w:sz w:val="24"/>
              </w:rPr>
              <w:t>债券品种</w:t>
            </w:r>
            <w:r w:rsidRPr="00675D72">
              <w:rPr>
                <w:color w:val="000000"/>
                <w:sz w:val="24"/>
              </w:rPr>
              <w:t/>
            </w:r>
          </w:p>
        </w:tc>
        <w:tc>
          <w:tcPr>
            <w:tcW w:type="dxa" w:w="3119"/>
            <w:vAlign w:val="center"/>
          </w:tcPr>
          <w:p w:rsidP="00546492" w:rsidR="00710B11" w:rsidRDefault="00710B11" w:rsidRPr="00675D72">
            <w:pPr>
              <w:spacing w:before="29" w:line="360" w:lineRule="auto"/>
              <w:ind w:left="17"/>
              <w:jc w:val="center"/>
              <w:rPr>
                <w:color w:val="000000"/>
                <w:sz w:val="24"/>
              </w:rPr>
            </w:pPr>
            <w:r w:rsidRPr="00675D72">
              <w:rPr>
                <w:color w:val="000000"/>
                <w:sz w:val="24"/>
              </w:rPr>
              <w:t>摊余成本（元）</w:t>
            </w:r>
          </w:p>
        </w:tc>
        <w:tc>
          <w:tcPr>
            <w:tcW w:type="dxa" w:w="1984"/>
            <w:vAlign w:val="center"/>
          </w:tcPr>
          <w:p w:rsidP="00546492" w:rsidR="00710B11" w:rsidRDefault="00710B11" w:rsidRPr="00675D72">
            <w:pPr>
              <w:spacing w:before="29" w:line="360" w:lineRule="auto"/>
              <w:ind w:left="17"/>
              <w:jc w:val="center"/>
              <w:rPr>
                <w:color w:val="000000"/>
                <w:sz w:val="24"/>
              </w:rPr>
            </w:pPr>
            <w:r w:rsidRPr="00675D72">
              <w:rPr>
                <w:color w:val="000000"/>
                <w:sz w:val="24"/>
              </w:rPr>
              <w:t>占基金资产净值</w:t>
            </w:r>
            <w:r w:rsidRPr="00675D72">
              <w:rPr>
                <w:color w:val="000000"/>
                <w:sz w:val="24"/>
              </w:rPr>
              <w:lastRenderedPageBreak/>
              <w:t>比例</w:t>
            </w:r>
            <w:r w:rsidRPr="00675D72">
              <w:rPr>
                <w:color w:val="000000"/>
                <w:sz w:val="24"/>
              </w:rPr>
              <w:t>(</w:t>
            </w:r>
            <w:r w:rsidRPr="00675D72">
              <w:rPr>
                <w:color w:val="000000"/>
                <w:sz w:val="24"/>
              </w:rPr>
              <w:t>％</w:t>
            </w: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lastRenderedPageBreak/>
              <w:t>1</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国家债券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2</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央行票据</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3</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金融债券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1,101,717,932.85</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6.09</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其中：政策性金融债</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1,101,717,932.85</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6.09</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4</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企业债券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lastRenderedPageBreak/>
              <w:t>5</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企业短期融资券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6</w:t>
            </w:r>
          </w:p>
        </w:tc>
        <w:tc>
          <w:tcPr>
            <w:tcW w:type="dxa" w:w="3260"/>
            <w:vAlign w:val="center"/>
          </w:tcPr>
          <w:p w:rsidP="00C91200" w:rsidR="00710B11" w:rsidRDefault="00710B11" w:rsidRPr="00675D72">
            <w:pPr>
              <w:spacing w:before="29" w:line="360" w:lineRule="auto"/>
              <w:ind w:left="17"/>
              <w:jc w:val="left"/>
              <w:rPr>
                <w:color w:val="000000"/>
                <w:sz w:val="24"/>
              </w:rPr>
            </w:pPr>
            <w:r w:rsidRPr="00675D72">
              <w:rPr>
                <w:color w:val="000000"/>
                <w:sz w:val="24"/>
              </w:rPr>
              <w:t>中期票据</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7</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同业存单</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7,880,165,747.30</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43.54</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8</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其他</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t>9</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合计</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8,981,883,680.15</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
            </w:r>
            <w:r w:rsidRPr="00675D72">
              <w:rPr>
                <w:color w:val="000000"/>
                <w:sz w:val="24"/>
              </w:rPr>
              <w:lastRenderedPageBreak/>
              <w:t>49.63</w:t>
            </w:r>
          </w:p>
        </w:tc>
      </w:tr>
      <w:tr w:rsidR="00710B11" w:rsidRPr="00675D72" w:rsidTr="00546492">
        <w:tc>
          <w:tcPr>
            <w:tcW w:type="dxa" w:w="817"/>
            <w:vAlign w:val="center"/>
          </w:tcPr>
          <w:p w:rsidP="00546492" w:rsidR="00710B11" w:rsidRDefault="00710B11" w:rsidRPr="00675D72">
            <w:pPr>
              <w:spacing w:before="29" w:line="360" w:lineRule="auto"/>
              <w:ind w:left="17"/>
              <w:jc w:val="center"/>
              <w:rPr>
                <w:color w:val="000000"/>
                <w:sz w:val="24"/>
              </w:rPr>
            </w:pPr>
            <w:r w:rsidRPr="00675D72">
              <w:rPr>
                <w:color w:val="000000"/>
                <w:sz w:val="24"/>
              </w:rPr>
              <w:lastRenderedPageBreak/>
              <w:t>10</w:t>
            </w:r>
          </w:p>
        </w:tc>
        <w:tc>
          <w:tcPr>
            <w:tcW w:type="dxa" w:w="3260"/>
            <w:vAlign w:val="center"/>
          </w:tcPr>
          <w:p w:rsidP="00546492" w:rsidR="00710B11" w:rsidRDefault="00710B11" w:rsidRPr="00675D72">
            <w:pPr>
              <w:spacing w:before="29" w:line="360" w:lineRule="auto"/>
              <w:ind w:left="17"/>
              <w:jc w:val="left"/>
              <w:rPr>
                <w:color w:val="000000"/>
                <w:sz w:val="24"/>
              </w:rPr>
            </w:pPr>
            <w:r w:rsidRPr="00675D72">
              <w:rPr>
                <w:color w:val="000000"/>
                <w:sz w:val="24"/>
              </w:rPr>
              <w:t>剩余存续期超过</w:t>
            </w:r>
            <w:r w:rsidRPr="00675D72">
              <w:rPr>
                <w:color w:val="000000"/>
                <w:sz w:val="24"/>
              </w:rPr>
              <w:t>397</w:t>
            </w:r>
            <w:r w:rsidRPr="00675D72">
              <w:rPr>
                <w:color w:val="000000"/>
                <w:sz w:val="24"/>
              </w:rPr>
              <w:t>天的浮动利率债券</w:t>
            </w:r>
          </w:p>
        </w:tc>
        <w:tc>
          <w:tcPr>
            <w:tcW w:type="dxa" w:w="3119"/>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c>
          <w:tcPr>
            <w:tcW w:type="dxa" w:w="1984"/>
            <w:vAlign w:val="center"/>
          </w:tcPr>
          <w:p w:rsidP="00546492" w:rsidR="00710B11" w:rsidRDefault="00710B11" w:rsidRPr="00675D72">
            <w:pPr>
              <w:spacing w:before="29" w:line="360" w:lineRule="auto"/>
              <w:ind w:left="17"/>
              <w:jc w:val="right"/>
              <w:rPr>
                <w:color w:val="000000"/>
                <w:sz w:val="24"/>
              </w:rPr>
            </w:pPr>
            <w:r w:rsidRPr="00675D72">
              <w:rPr>
                <w:color w:val="000000"/>
                <w:sz w:val="24"/>
              </w:rPr>
              <w:t>-</w:t>
            </w:r>
          </w:p>
        </w:tc>
      </w:tr>
    </w:tbl>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6</w:t>
      </w:r>
      <w:r w:rsidRPr="0097021E">
        <w:rPr>
          <w:rFonts w:ascii="宋体" w:cs="Arial" w:hAnsi="宋体"/>
          <w:b/>
          <w:color w:val="000000"/>
          <w:kern w:val="0"/>
          <w:sz w:val="24"/>
        </w:rPr>
        <w:t xml:space="preserve"> </w:t>
      </w:r>
      <w:r w:rsidR="00AD6777">
        <w:rPr>
          <w:rFonts w:ascii="宋体" w:cs="Arial" w:hAnsi="宋体" w:hint="eastAsia"/>
          <w:b/>
          <w:color w:val="000000"/>
          <w:kern w:val="0"/>
          <w:sz w:val="24"/>
        </w:rPr>
        <w:t>报告期末按摊余成本占基金资产净值比例大小排名</w:t>
      </w:r>
      <w:r w:rsidRPr="0097021E">
        <w:rPr>
          <w:rFonts w:ascii="宋体" w:cs="Arial" w:hAnsi="宋体" w:hint="eastAsia"/>
          <w:b/>
          <w:color w:val="000000"/>
          <w:kern w:val="0"/>
          <w:sz w:val="24"/>
        </w:rPr>
        <w:t>的前十名债券投资明细</w:t>
      </w:r>
    </w:p>
    <w:tbl>
      <w:tblPr>
        <w:tblW w:type="auto" w:w="0"/>
        <w:tblInd w:type="dxa" w:w="1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0" w:val="00A0"/>
      </w:tblPr>
      <w:tblGrid>
        <w:gridCol w:w="1227"/>
        <w:gridCol w:w="1226"/>
        <w:gridCol w:w="1226"/>
        <w:gridCol w:w="2047"/>
        <w:gridCol w:w="1840"/>
        <w:gridCol w:w="1721"/>
      </w:tblGrid>
      <w:tr w:rsidR="00EA3F40" w:rsidRPr="0097021E" w:rsidTr="00053472">
        <w:tc>
          <w:tcPr>
            <w:tcW w:type="dxa" w:w="126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type="dxa" w:w="126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债券代码</w:t>
            </w:r>
          </w:p>
        </w:tc>
        <w:tc>
          <w:tcPr>
            <w:tcW w:type="dxa" w:w="126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债券名称</w:t>
            </w:r>
          </w:p>
        </w:tc>
        <w:tc>
          <w:tcPr>
            <w:tcW w:type="dxa" w:w="2119"/>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债券数量</w:t>
            </w:r>
          </w:p>
          <w:p w:rsidP="007C3671" w:rsidR="00EA3F40" w:rsidRDefault="007C3671"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（张）</w:t>
            </w:r>
          </w:p>
        </w:tc>
        <w:tc>
          <w:tcPr>
            <w:tcW w:type="dxa" w:w="1787"/>
            <w:vAlign w:val="center"/>
          </w:tcPr>
          <w:p w:rsidP="007C3671"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摊余成本</w:t>
            </w:r>
            <w:r w:rsidR="007C3671" w:rsidRPr="00613409">
              <w:rPr>
                <w:color w:val="000000"/>
                <w:kern w:val="0"/>
                <w:sz w:val="24"/>
              </w:rPr>
              <w:t>（元）</w:t>
            </w:r>
          </w:p>
        </w:tc>
        <w:tc>
          <w:tcPr>
            <w:tcW w:type="dxa" w:w="1595"/>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112006193</w:t>
            </w:r>
          </w:p>
        </w:tc>
        <w:tc>
          <w:tcPr>
            <w:vAlign w:val="center"/>
          </w:tcPr>
          <w:p>
            <w:pPr>
              <w:jc w:val="center"/>
            </w:pPr>
            <w:r>
              <w:rPr>
                <w:color w:val="000000"/>
                <w:sz w:val="24"/>
              </w:rPr>
              <w:t>20交通银行CD193</w:t>
            </w:r>
          </w:p>
        </w:tc>
        <w:tc>
          <w:tcPr>
            <w:vAlign w:val="center"/>
          </w:tcPr>
          <w:p>
            <w:pPr>
              <w:jc w:val="right"/>
            </w:pPr>
            <w:r>
              <w:rPr>
                <w:color w:val="000000"/>
                <w:sz w:val="24"/>
              </w:rPr>
              <w:t>13,000,000</w:t>
            </w:r>
          </w:p>
        </w:tc>
        <w:tc>
          <w:tcPr>
            <w:vAlign w:val="center"/>
          </w:tcPr>
          <w:p>
            <w:pPr>
              <w:jc w:val="right"/>
            </w:pPr>
            <w:r>
              <w:rPr>
                <w:color w:val="000000"/>
                <w:sz w:val="24"/>
              </w:rPr>
              <w:t>1,271,910,078.31</w:t>
            </w:r>
          </w:p>
        </w:tc>
        <w:tc>
          <w:tcPr>
            <w:vAlign w:val="center"/>
          </w:tcPr>
          <w:p>
            <w:pPr>
              <w:jc w:val="right"/>
            </w:pPr>
            <w:r>
              <w:rPr>
                <w:color w:val="000000"/>
                <w:sz w:val="24"/>
              </w:rPr>
              <w:t>7.03</w:t>
            </w:r>
          </w:p>
        </w:tc>
      </w:tr>
      <w:tr>
        <w:tc>
          <w:tcPr>
            <w:vAlign w:val="center"/>
          </w:tcPr>
          <w:p>
            <w:pPr>
              <w:jc w:val="center"/>
            </w:pPr>
            <w:r>
              <w:rPr>
                <w:color w:val="000000"/>
                <w:sz w:val="24"/>
              </w:rPr>
              <w:t>2</w:t>
            </w:r>
          </w:p>
        </w:tc>
        <w:tc>
          <w:tcPr>
            <w:vAlign w:val="center"/>
          </w:tcPr>
          <w:p>
            <w:pPr>
              <w:jc w:val="center"/>
            </w:pPr>
            <w:r>
              <w:rPr>
                <w:color w:val="000000"/>
                <w:sz w:val="24"/>
              </w:rPr>
              <w:t>200201</w:t>
            </w:r>
          </w:p>
        </w:tc>
        <w:tc>
          <w:tcPr>
            <w:vAlign w:val="center"/>
          </w:tcPr>
          <w:p>
            <w:pPr>
              <w:jc w:val="center"/>
            </w:pPr>
            <w:r>
              <w:rPr>
                <w:color w:val="000000"/>
                <w:sz w:val="24"/>
              </w:rPr>
              <w:t>20国开01</w:t>
            </w:r>
          </w:p>
        </w:tc>
        <w:tc>
          <w:tcPr>
            <w:vAlign w:val="center"/>
          </w:tcPr>
          <w:p>
            <w:pPr>
              <w:jc w:val="right"/>
            </w:pPr>
            <w:r>
              <w:rPr>
                <w:color w:val="000000"/>
                <w:sz w:val="24"/>
              </w:rPr>
              <w:t>7,300,000</w:t>
            </w:r>
          </w:p>
        </w:tc>
        <w:tc>
          <w:tcPr>
            <w:vAlign w:val="center"/>
          </w:tcPr>
          <w:p>
            <w:pPr>
              <w:jc w:val="right"/>
            </w:pPr>
            <w:r>
              <w:rPr>
                <w:color w:val="000000"/>
                <w:sz w:val="24"/>
              </w:rPr>
              <w:t>729,981,333.05</w:t>
            </w:r>
          </w:p>
        </w:tc>
        <w:tc>
          <w:tcPr>
            <w:vAlign w:val="center"/>
          </w:tcPr>
          <w:p>
            <w:pPr>
              <w:jc w:val="right"/>
            </w:pPr>
            <w:r>
              <w:rPr>
                <w:color w:val="000000"/>
                <w:sz w:val="24"/>
              </w:rPr>
              <w:t>4.03</w:t>
            </w:r>
          </w:p>
        </w:tc>
      </w:tr>
      <w:tr>
        <w:tc>
          <w:tcPr>
            <w:vAlign w:val="center"/>
          </w:tcPr>
          <w:p>
            <w:pPr>
              <w:jc w:val="center"/>
            </w:pPr>
            <w:r>
              <w:rPr>
                <w:color w:val="000000"/>
                <w:sz w:val="24"/>
              </w:rPr>
              <w:t>3</w:t>
            </w:r>
          </w:p>
        </w:tc>
        <w:tc>
          <w:tcPr>
            <w:vAlign w:val="center"/>
          </w:tcPr>
          <w:p>
            <w:pPr>
              <w:jc w:val="center"/>
            </w:pPr>
            <w:r>
              <w:rPr>
                <w:color w:val="000000"/>
                <w:sz w:val="24"/>
              </w:rPr>
              <w:t>112094359</w:t>
            </w:r>
          </w:p>
        </w:tc>
        <w:tc>
          <w:tcPr>
            <w:vAlign w:val="center"/>
          </w:tcPr>
          <w:p>
            <w:pPr>
              <w:jc w:val="center"/>
            </w:pPr>
            <w:r>
              <w:rPr>
                <w:color w:val="000000"/>
                <w:sz w:val="24"/>
              </w:rPr>
              <w:t>20南京银行CD014</w:t>
            </w:r>
          </w:p>
        </w:tc>
        <w:tc>
          <w:tcPr>
            <w:vAlign w:val="center"/>
          </w:tcPr>
          <w:p>
            <w:pPr>
              <w:jc w:val="right"/>
            </w:pPr>
            <w:r>
              <w:rPr>
                <w:color w:val="000000"/>
                <w:sz w:val="24"/>
              </w:rPr>
              <w:t>6,000,000</w:t>
            </w:r>
          </w:p>
        </w:tc>
        <w:tc>
          <w:tcPr>
            <w:vAlign w:val="center"/>
          </w:tcPr>
          <w:p>
            <w:pPr>
              <w:jc w:val="right"/>
            </w:pPr>
            <w:r>
              <w:rPr>
                <w:color w:val="000000"/>
                <w:sz w:val="24"/>
              </w:rPr>
              <w:t>596,885,866.75</w:t>
            </w:r>
          </w:p>
        </w:tc>
        <w:tc>
          <w:tcPr>
            <w:vAlign w:val="center"/>
          </w:tcPr>
          <w:p>
            <w:pPr>
              <w:jc w:val="right"/>
            </w:pPr>
            <w:r>
              <w:rPr>
                <w:color w:val="000000"/>
                <w:sz w:val="24"/>
              </w:rPr>
              <w:t>3.30</w:t>
            </w:r>
          </w:p>
        </w:tc>
      </w:tr>
      <w:tr>
        <w:tc>
          <w:tcPr>
            <w:vAlign w:val="center"/>
          </w:tcPr>
          <w:p>
            <w:pPr>
              <w:jc w:val="center"/>
            </w:pPr>
            <w:r>
              <w:rPr>
                <w:color w:val="000000"/>
                <w:sz w:val="24"/>
              </w:rPr>
              <w:t>4</w:t>
            </w:r>
          </w:p>
        </w:tc>
        <w:tc>
          <w:tcPr>
            <w:vAlign w:val="center"/>
          </w:tcPr>
          <w:p>
            <w:pPr>
              <w:jc w:val="center"/>
            </w:pPr>
            <w:r>
              <w:rPr>
                <w:color w:val="000000"/>
                <w:sz w:val="24"/>
              </w:rPr>
              <w:t>112003093</w:t>
            </w:r>
          </w:p>
        </w:tc>
        <w:tc>
          <w:tcPr>
            <w:vAlign w:val="center"/>
          </w:tcPr>
          <w:p>
            <w:pPr>
              <w:jc w:val="center"/>
            </w:pPr>
            <w:r>
              <w:rPr>
                <w:color w:val="000000"/>
                <w:sz w:val="24"/>
              </w:rPr>
              <w:t>20农业银行CD093</w:t>
            </w:r>
          </w:p>
        </w:tc>
        <w:tc>
          <w:tcPr>
            <w:vAlign w:val="center"/>
          </w:tcPr>
          <w:p>
            <w:pPr>
              <w:jc w:val="right"/>
            </w:pPr>
            <w:r>
              <w:rPr>
                <w:color w:val="000000"/>
                <w:sz w:val="24"/>
              </w:rPr>
              <w:t>6,000,000</w:t>
            </w:r>
          </w:p>
        </w:tc>
        <w:tc>
          <w:tcPr>
            <w:vAlign w:val="center"/>
          </w:tcPr>
          <w:p>
            <w:pPr>
              <w:jc w:val="right"/>
            </w:pPr>
            <w:r>
              <w:rPr>
                <w:color w:val="000000"/>
                <w:sz w:val="24"/>
              </w:rPr>
              <w:t>593,426,715.98</w:t>
            </w:r>
          </w:p>
        </w:tc>
        <w:tc>
          <w:tcPr>
            <w:vAlign w:val="center"/>
          </w:tcPr>
          <w:p>
            <w:pPr>
              <w:jc w:val="right"/>
            </w:pPr>
            <w:r>
              <w:rPr>
                <w:color w:val="000000"/>
                <w:sz w:val="24"/>
              </w:rPr>
              <w:t>3.28</w:t>
            </w:r>
          </w:p>
        </w:tc>
      </w:tr>
      <w:tr>
        <w:tc>
          <w:tcPr>
            <w:vAlign w:val="center"/>
          </w:tcPr>
          <w:p>
            <w:pPr>
              <w:jc w:val="center"/>
            </w:pPr>
            <w:r>
              <w:rPr>
                <w:color w:val="000000"/>
                <w:sz w:val="24"/>
              </w:rPr>
              <w:t>5</w:t>
            </w:r>
          </w:p>
        </w:tc>
        <w:tc>
          <w:tcPr>
            <w:vAlign w:val="center"/>
          </w:tcPr>
          <w:p>
            <w:pPr>
              <w:jc w:val="center"/>
            </w:pPr>
            <w:r>
              <w:rPr>
                <w:color w:val="000000"/>
                <w:sz w:val="24"/>
              </w:rPr>
              <w:t>112003078</w:t>
            </w:r>
          </w:p>
        </w:tc>
        <w:tc>
          <w:tcPr>
            <w:vAlign w:val="center"/>
          </w:tcPr>
          <w:p>
            <w:pPr>
              <w:jc w:val="center"/>
            </w:pPr>
            <w:r>
              <w:rPr>
                <w:color w:val="000000"/>
                <w:sz w:val="24"/>
              </w:rPr>
              <w:t>20农业银行CD078</w:t>
            </w:r>
          </w:p>
        </w:tc>
        <w:tc>
          <w:tcPr>
            <w:vAlign w:val="center"/>
          </w:tcPr>
          <w:p>
            <w:pPr>
              <w:jc w:val="right"/>
            </w:pPr>
            <w:r>
              <w:rPr>
                <w:color w:val="000000"/>
                <w:sz w:val="24"/>
              </w:rPr>
              <w:t>5,000,000</w:t>
            </w:r>
          </w:p>
        </w:tc>
        <w:tc>
          <w:tcPr>
            <w:vAlign w:val="center"/>
          </w:tcPr>
          <w:p>
            <w:pPr>
              <w:jc w:val="right"/>
            </w:pPr>
            <w:r>
              <w:rPr>
                <w:color w:val="000000"/>
                <w:sz w:val="24"/>
              </w:rPr>
              <w:t>492,105,956.34</w:t>
            </w:r>
          </w:p>
        </w:tc>
        <w:tc>
          <w:tcPr>
            <w:vAlign w:val="center"/>
          </w:tcPr>
          <w:p>
            <w:pPr>
              <w:jc w:val="right"/>
            </w:pPr>
            <w:r>
              <w:rPr>
                <w:color w:val="000000"/>
                <w:sz w:val="24"/>
              </w:rPr>
              <w:t>2.72</w:t>
            </w:r>
          </w:p>
        </w:tc>
      </w:tr>
      <w:tr>
        <w:tc>
          <w:tcPr>
            <w:vAlign w:val="center"/>
          </w:tcPr>
          <w:p>
            <w:pPr>
              <w:jc w:val="center"/>
            </w:pPr>
            <w:r>
              <w:rPr>
                <w:color w:val="000000"/>
                <w:sz w:val="24"/>
              </w:rPr>
              <w:t>6</w:t>
            </w:r>
          </w:p>
        </w:tc>
        <w:tc>
          <w:tcPr>
            <w:vAlign w:val="center"/>
          </w:tcPr>
          <w:p>
            <w:pPr>
              <w:jc w:val="center"/>
            </w:pPr>
            <w:r>
              <w:rPr>
                <w:color w:val="000000"/>
                <w:sz w:val="24"/>
              </w:rPr>
              <w:t>112009121</w:t>
            </w:r>
          </w:p>
        </w:tc>
        <w:tc>
          <w:tcPr>
            <w:vAlign w:val="center"/>
          </w:tcPr>
          <w:p>
            <w:pPr>
              <w:jc w:val="center"/>
            </w:pPr>
            <w:r>
              <w:rPr>
                <w:color w:val="000000"/>
                <w:sz w:val="24"/>
              </w:rPr>
              <w:t>20浦发银行CD121</w:t>
            </w:r>
          </w:p>
        </w:tc>
        <w:tc>
          <w:tcPr>
            <w:vAlign w:val="center"/>
          </w:tcPr>
          <w:p>
            <w:pPr>
              <w:jc w:val="right"/>
            </w:pPr>
            <w:r>
              <w:rPr>
                <w:color w:val="000000"/>
                <w:sz w:val="24"/>
              </w:rPr>
              <w:t>4,000,000</w:t>
            </w:r>
          </w:p>
        </w:tc>
        <w:tc>
          <w:tcPr>
            <w:vAlign w:val="center"/>
          </w:tcPr>
          <w:p>
            <w:pPr>
              <w:jc w:val="right"/>
            </w:pPr>
            <w:r>
              <w:rPr>
                <w:color w:val="000000"/>
                <w:sz w:val="24"/>
              </w:rPr>
              <w:t>396,066,835.32</w:t>
            </w:r>
          </w:p>
        </w:tc>
        <w:tc>
          <w:tcPr>
            <w:vAlign w:val="center"/>
          </w:tcPr>
          <w:p>
            <w:pPr>
              <w:jc w:val="right"/>
            </w:pPr>
            <w:r>
              <w:rPr>
                <w:color w:val="000000"/>
                <w:sz w:val="24"/>
              </w:rPr>
              <w:t>2.19</w:t>
            </w:r>
          </w:p>
        </w:tc>
      </w:tr>
      <w:tr>
        <w:tc>
          <w:tcPr>
            <w:vAlign w:val="center"/>
          </w:tcPr>
          <w:p>
            <w:pPr>
              <w:jc w:val="center"/>
            </w:pPr>
            <w:r>
              <w:rPr>
                <w:color w:val="000000"/>
                <w:sz w:val="24"/>
              </w:rPr>
              <w:t>7</w:t>
            </w:r>
          </w:p>
        </w:tc>
        <w:tc>
          <w:tcPr>
            <w:vAlign w:val="center"/>
          </w:tcPr>
          <w:p>
            <w:pPr>
              <w:jc w:val="center"/>
            </w:pPr>
            <w:r>
              <w:rPr>
                <w:color w:val="000000"/>
                <w:sz w:val="24"/>
              </w:rPr>
              <w:t>112018081</w:t>
            </w:r>
          </w:p>
        </w:tc>
        <w:tc>
          <w:tcPr>
            <w:vAlign w:val="center"/>
          </w:tcPr>
          <w:p>
            <w:pPr>
              <w:jc w:val="center"/>
            </w:pPr>
            <w:r>
              <w:rPr>
                <w:color w:val="000000"/>
                <w:sz w:val="24"/>
              </w:rPr>
              <w:t>20华夏银行CD081</w:t>
            </w:r>
          </w:p>
        </w:tc>
        <w:tc>
          <w:tcPr>
            <w:vAlign w:val="center"/>
          </w:tcPr>
          <w:p>
            <w:pPr>
              <w:jc w:val="right"/>
            </w:pPr>
            <w:r>
              <w:rPr>
                <w:color w:val="000000"/>
                <w:sz w:val="24"/>
              </w:rPr>
              <w:t>3,500,000</w:t>
            </w:r>
          </w:p>
        </w:tc>
        <w:tc>
          <w:tcPr>
            <w:vAlign w:val="center"/>
          </w:tcPr>
          <w:p>
            <w:pPr>
              <w:jc w:val="right"/>
            </w:pPr>
            <w:r>
              <w:rPr>
                <w:color w:val="000000"/>
                <w:sz w:val="24"/>
              </w:rPr>
              <w:t>348,215,169.08</w:t>
            </w:r>
          </w:p>
        </w:tc>
        <w:tc>
          <w:tcPr>
            <w:vAlign w:val="center"/>
          </w:tcPr>
          <w:p>
            <w:pPr>
              <w:jc w:val="right"/>
            </w:pPr>
            <w:r>
              <w:rPr>
                <w:color w:val="000000"/>
                <w:sz w:val="24"/>
              </w:rPr>
              <w:t>1.92</w:t>
            </w:r>
          </w:p>
        </w:tc>
      </w:tr>
      <w:tr>
        <w:tc>
          <w:tcPr>
            <w:vAlign w:val="center"/>
          </w:tcPr>
          <w:p>
            <w:pPr>
              <w:jc w:val="center"/>
            </w:pPr>
            <w:r>
              <w:rPr>
                <w:color w:val="000000"/>
                <w:sz w:val="24"/>
              </w:rPr>
              <w:t>8</w:t>
            </w:r>
          </w:p>
        </w:tc>
        <w:tc>
          <w:tcPr>
            <w:vAlign w:val="center"/>
          </w:tcPr>
          <w:p>
            <w:pPr>
              <w:jc w:val="center"/>
            </w:pPr>
            <w:r>
              <w:rPr>
                <w:color w:val="000000"/>
                <w:sz w:val="24"/>
              </w:rPr>
              <w:t>112016176</w:t>
            </w:r>
          </w:p>
        </w:tc>
        <w:tc>
          <w:tcPr>
            <w:vAlign w:val="center"/>
          </w:tcPr>
          <w:p>
            <w:pPr>
              <w:jc w:val="center"/>
            </w:pPr>
            <w:r>
              <w:rPr>
                <w:color w:val="000000"/>
                <w:sz w:val="24"/>
              </w:rPr>
              <w:t>20上海银行CD176</w:t>
            </w:r>
          </w:p>
        </w:tc>
        <w:tc>
          <w:tcPr>
            <w:vAlign w:val="center"/>
          </w:tcPr>
          <w:p>
            <w:pPr>
              <w:jc w:val="right"/>
            </w:pPr>
            <w:r>
              <w:rPr>
                <w:color w:val="000000"/>
                <w:sz w:val="24"/>
              </w:rPr>
              <w:t>3,000,000</w:t>
            </w:r>
          </w:p>
        </w:tc>
        <w:tc>
          <w:tcPr>
            <w:vAlign w:val="center"/>
          </w:tcPr>
          <w:p>
            <w:pPr>
              <w:jc w:val="right"/>
            </w:pPr>
            <w:r>
              <w:rPr>
                <w:color w:val="000000"/>
                <w:sz w:val="24"/>
              </w:rPr>
              <w:t>299,140,771.56</w:t>
            </w:r>
          </w:p>
        </w:tc>
        <w:tc>
          <w:tcPr>
            <w:vAlign w:val="center"/>
          </w:tcPr>
          <w:p>
            <w:pPr>
              <w:jc w:val="right"/>
            </w:pPr>
            <w:r>
              <w:rPr>
                <w:color w:val="000000"/>
                <w:sz w:val="24"/>
              </w:rPr>
              <w:t>1.65</w:t>
            </w:r>
          </w:p>
        </w:tc>
      </w:tr>
      <w:tr>
        <w:tc>
          <w:tcPr>
            <w:vAlign w:val="center"/>
          </w:tcPr>
          <w:p>
            <w:pPr>
              <w:jc w:val="center"/>
            </w:pPr>
            <w:r>
              <w:rPr>
                <w:color w:val="000000"/>
                <w:sz w:val="24"/>
              </w:rPr>
              <w:t>9</w:t>
            </w:r>
          </w:p>
        </w:tc>
        <w:tc>
          <w:tcPr>
            <w:vAlign w:val="center"/>
          </w:tcPr>
          <w:p>
            <w:pPr>
              <w:jc w:val="center"/>
            </w:pPr>
            <w:r>
              <w:rPr>
                <w:color w:val="000000"/>
                <w:sz w:val="24"/>
              </w:rPr>
              <w:t>111910512</w:t>
            </w:r>
          </w:p>
        </w:tc>
        <w:tc>
          <w:tcPr>
            <w:vAlign w:val="center"/>
          </w:tcPr>
          <w:p>
            <w:pPr>
              <w:jc w:val="center"/>
            </w:pPr>
            <w:r>
              <w:rPr>
                <w:color w:val="000000"/>
                <w:sz w:val="24"/>
              </w:rPr>
              <w:t>19兴业银行CD512</w:t>
            </w:r>
          </w:p>
        </w:tc>
        <w:tc>
          <w:tcPr>
            <w:vAlign w:val="center"/>
          </w:tcPr>
          <w:p>
            <w:pPr>
              <w:jc w:val="right"/>
            </w:pPr>
            <w:r>
              <w:rPr>
                <w:color w:val="000000"/>
                <w:sz w:val="24"/>
              </w:rPr>
              <w:t>3,000,000</w:t>
            </w:r>
          </w:p>
        </w:tc>
        <w:tc>
          <w:tcPr>
            <w:vAlign w:val="center"/>
          </w:tcPr>
          <w:p>
            <w:pPr>
              <w:jc w:val="right"/>
            </w:pPr>
            <w:r>
              <w:rPr>
                <w:color w:val="000000"/>
                <w:sz w:val="24"/>
              </w:rPr>
              <w:t>298,097,289.98</w:t>
            </w:r>
          </w:p>
        </w:tc>
        <w:tc>
          <w:tcPr>
            <w:vAlign w:val="center"/>
          </w:tcPr>
          <w:p>
            <w:pPr>
              <w:jc w:val="right"/>
            </w:pPr>
            <w:r>
              <w:rPr>
                <w:color w:val="000000"/>
                <w:sz w:val="24"/>
              </w:rPr>
              <w:t>1.65</w:t>
            </w:r>
          </w:p>
        </w:tc>
      </w:tr>
      <w:tr>
        <w:tc>
          <w:tcPr>
            <w:vAlign w:val="center"/>
          </w:tcPr>
          <w:p>
            <w:pPr>
              <w:jc w:val="center"/>
            </w:pPr>
            <w:r>
              <w:rPr>
                <w:color w:val="000000"/>
                <w:sz w:val="24"/>
              </w:rPr>
              <w:t>10</w:t>
            </w:r>
          </w:p>
        </w:tc>
        <w:tc>
          <w:tcPr>
            <w:vAlign w:val="center"/>
          </w:tcPr>
          <w:p>
            <w:pPr>
              <w:jc w:val="center"/>
            </w:pPr>
            <w:r>
              <w:rPr>
                <w:color w:val="000000"/>
                <w:sz w:val="24"/>
              </w:rPr>
              <w:t>112003019</w:t>
            </w:r>
          </w:p>
        </w:tc>
        <w:tc>
          <w:tcPr>
            <w:vAlign w:val="center"/>
          </w:tcPr>
          <w:p>
            <w:pPr>
              <w:jc w:val="center"/>
            </w:pPr>
            <w:r>
              <w:rPr>
                <w:color w:val="000000"/>
                <w:sz w:val="24"/>
              </w:rPr>
              <w:t>20农业银行CD019</w:t>
            </w:r>
          </w:p>
        </w:tc>
        <w:tc>
          <w:tcPr>
            <w:vAlign w:val="center"/>
          </w:tcPr>
          <w:p>
            <w:pPr>
              <w:jc w:val="right"/>
            </w:pPr>
            <w:r>
              <w:rPr>
                <w:color w:val="000000"/>
                <w:sz w:val="24"/>
              </w:rPr>
              <w:t>3,000,000</w:t>
            </w:r>
          </w:p>
        </w:tc>
        <w:tc>
          <w:tcPr>
            <w:vAlign w:val="center"/>
          </w:tcPr>
          <w:p>
            <w:pPr>
              <w:jc w:val="right"/>
            </w:pPr>
            <w:r>
              <w:rPr>
                <w:color w:val="000000"/>
                <w:sz w:val="24"/>
              </w:rPr>
              <w:t>297,005,268.57</w:t>
            </w:r>
          </w:p>
        </w:tc>
        <w:tc>
          <w:tcPr>
            <w:vAlign w:val="center"/>
          </w:tcPr>
          <w:p>
            <w:pPr>
              <w:jc w:val="right"/>
            </w:pPr>
            <w:r>
              <w:rPr>
                <w:color w:val="000000"/>
                <w:sz w:val="24"/>
              </w:rPr>
              <w:t>1.64</w:t>
            </w:r>
          </w:p>
        </w:tc>
      </w:tr>
    </w:tbl>
    <w:p w:rsidP="003A0EC1"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7</w:t>
      </w:r>
      <w:r w:rsidRPr="0097021E">
        <w:rPr>
          <w:rFonts w:ascii="宋体" w:cs="Arial" w:hAnsi="宋体" w:hint="eastAsia"/>
          <w:b/>
          <w:color w:val="000000"/>
          <w:kern w:val="0"/>
          <w:sz w:val="24"/>
        </w:rPr>
        <w:t>“影子定价”与“摊余成本法”确定的基金资产净值的偏离</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5812"/>
        <w:gridCol w:w="3382"/>
      </w:tblGrid>
      <w:tr w:rsidR="00EA3F40" w:rsidRPr="0097021E" w:rsidTr="00C526E2">
        <w:tc>
          <w:tcPr>
            <w:tcW w:type="dxa" w:w="5812"/>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项目</w:t>
            </w:r>
            <w:r w:rsidRPr="00613409">
              <w:rPr>
                <w:color w:val="000000"/>
                <w:kern w:val="0"/>
                <w:sz w:val="24"/>
              </w:rPr>
              <w:t/>
            </w:r>
          </w:p>
        </w:tc>
        <w:tc>
          <w:tcPr>
            <w:tcW w:type="dxa" w:w="3382"/>
            <w:vAlign w:val="center"/>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偏离情况</w:t>
            </w:r>
          </w:p>
        </w:tc>
      </w:tr>
      <w:tr w:rsidR="00EA3F40" w:rsidRPr="0097021E" w:rsidTr="00C526E2">
        <w:tc>
          <w:tcPr>
            <w:tcW w:type="dxa" w:w="5812"/>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报告期内偏离度的绝对值在</w:t>
            </w:r>
            <w:r w:rsidRPr="00613409">
              <w:rPr>
                <w:color w:val="000000"/>
                <w:kern w:val="0"/>
                <w:sz w:val="24"/>
              </w:rPr>
              <w:t>0.25(</w:t>
            </w:r>
            <w:r w:rsidRPr="00613409">
              <w:rPr>
                <w:color w:val="000000"/>
                <w:kern w:val="0"/>
                <w:sz w:val="24"/>
              </w:rPr>
              <w:t>含</w:t>
            </w:r>
            <w:r w:rsidRPr="00613409">
              <w:rPr>
                <w:color w:val="000000"/>
                <w:kern w:val="0"/>
                <w:sz w:val="24"/>
              </w:rPr>
              <w:t>)-0.5%</w:t>
            </w:r>
            <w:r w:rsidRPr="00613409">
              <w:rPr>
                <w:color w:val="000000"/>
                <w:kern w:val="0"/>
                <w:sz w:val="24"/>
              </w:rPr>
              <w:t>间的次数</w:t>
            </w:r>
          </w:p>
        </w:tc>
        <w:tc>
          <w:tcPr>
            <w:tcW w:type="dxa" w:w="3382"/>
            <w:vAlign w:val="bottom"/>
          </w:tcPr>
          <w:p w:rsidP="00196812" w:rsidR="00EA3F40" w:rsidRDefault="00EA3F40" w:rsidRPr="00613409">
            <w:pPr>
              <w:spacing w:line="360" w:lineRule="auto"/>
              <w:jc w:val="right"/>
              <w:rPr>
                <w:sz w:val="24"/>
              </w:rPr>
            </w:pPr>
            <w:r w:rsidRPr="00613409">
              <w:rPr>
                <w:color w:val="000000"/>
                <w:sz w:val="24"/>
              </w:rPr>
              <w:t/>
            </w:r>
            <w:r w:rsidRPr="00613409">
              <w:rPr>
                <w:color w:val="000000"/>
                <w:sz w:val="24"/>
              </w:rPr>
              <w:lastRenderedPageBreak/>
              <w:t>0</w:t>
            </w:r>
            <w:r w:rsidRPr="00613409">
              <w:rPr>
                <w:color w:val="000000"/>
                <w:sz w:val="24"/>
              </w:rPr>
              <w:t>次</w:t>
            </w:r>
          </w:p>
        </w:tc>
      </w:tr>
      <w:tr w:rsidR="00EA3F40" w:rsidRPr="0097021E" w:rsidTr="00C526E2">
        <w:tc>
          <w:tcPr>
            <w:tcW w:type="dxa" w:w="5812"/>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lastRenderedPageBreak/>
              <w:t>报告期内偏离度的最高值</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0.1760%</w:t>
            </w:r>
          </w:p>
        </w:tc>
      </w:tr>
      <w:tr w:rsidR="00EA3F40" w:rsidRPr="0097021E" w:rsidTr="00C526E2">
        <w:tc>
          <w:tcPr>
            <w:tcW w:type="dxa" w:w="5812"/>
            <w:vAlign w:val="center"/>
          </w:tcPr>
          <w:p w:rsidP="0019681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报告期内偏离度的最低值</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0.0376%</w:t>
            </w:r>
          </w:p>
        </w:tc>
      </w:tr>
      <w:tr w:rsidR="00EA3F40" w:rsidRPr="0097021E" w:rsidTr="00C526E2">
        <w:tc>
          <w:tcPr>
            <w:tcW w:type="dxa" w:w="5812"/>
            <w:vAlign w:val="center"/>
          </w:tcPr>
          <w:p w:rsidP="00BD0F36"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报告期内每个工作日偏离度的绝对值的简单平均值</w:t>
            </w:r>
          </w:p>
        </w:tc>
        <w:tc>
          <w:tcPr>
            <w:tcW w:type="dxa" w:w="3382"/>
            <w:vAlign w:val="bottom"/>
          </w:tcPr>
          <w:p w:rsidP="00196812" w:rsidR="00EA3F40" w:rsidRDefault="00EA3F40" w:rsidRPr="00613409">
            <w:pPr>
              <w:spacing w:line="360" w:lineRule="auto"/>
              <w:jc w:val="right"/>
              <w:rPr>
                <w:sz w:val="24"/>
              </w:rPr>
            </w:pPr>
            <w:r w:rsidRPr="00613409">
              <w:rPr>
                <w:color w:val="000000"/>
                <w:sz w:val="24"/>
              </w:rPr>
              <w:t>0.0765%</w:t>
            </w:r>
          </w:p>
        </w:tc>
      </w:tr>
    </w:tbl>
    <w:p w:rsidP="007A1ACF" w:rsidR="007A1ACF" w:rsidRDefault="007A1ACF" w:rsidRPr="007A1ACF">
      <w:pPr>
        <w:spacing w:line="360" w:lineRule="auto"/>
        <w:rPr>
          <w:b/>
          <w:color w:val="000000"/>
          <w:kern w:val="0"/>
          <w:sz w:val="24"/>
        </w:rPr>
      </w:pPr>
      <w:r w:rsidRPr="007A1ACF">
        <w:rPr>
          <w:b/>
          <w:color w:val="000000"/>
          <w:sz w:val="24"/>
        </w:rPr>
        <w:t>报告期内负偏离度的绝对值达到</w:t>
      </w:r>
      <w:r w:rsidRPr="007A1ACF">
        <w:rPr>
          <w:b/>
          <w:color w:val="000000"/>
          <w:sz w:val="24"/>
        </w:rPr>
        <w:t>0.25%</w:t>
      </w:r>
      <w:r w:rsidRPr="007A1ACF">
        <w:rPr>
          <w:b/>
          <w:color w:val="000000"/>
          <w:sz w:val="24"/>
        </w:rPr>
        <w:t>情况说明</w:t>
      </w:r>
    </w:p>
    <w:p w:rsidP="007A1ACF" w:rsidR="007A1ACF" w:rsidRDefault="007A1ACF" w:rsidRPr="007A1ACF">
      <w:pPr>
        <w:adjustRightInd w:val="0"/>
        <w:spacing w:line="360" w:lineRule="auto"/>
        <w:ind w:firstLine="480" w:firstLineChars="200"/>
        <w:rPr>
          <w:color w:val="000000"/>
          <w:sz w:val="24"/>
        </w:rPr>
      </w:pPr>
      <w:r w:rsidRPr="007A1ACF">
        <w:rPr>
          <w:color w:val="000000"/>
          <w:sz w:val="24"/>
        </w:rPr>
        <w:t>本基金本报告期内不存在负偏离度的绝对值达到0.25%的情况。</w:t>
      </w:r>
    </w:p>
    <w:p w:rsidP="007A1ACF" w:rsidR="007A1ACF" w:rsidRDefault="007A1ACF" w:rsidRPr="007A1ACF">
      <w:pPr>
        <w:spacing w:line="360" w:lineRule="auto"/>
        <w:rPr>
          <w:b/>
          <w:color w:val="000000"/>
          <w:kern w:val="0"/>
          <w:sz w:val="24"/>
        </w:rPr>
      </w:pPr>
      <w:r w:rsidRPr="007A1ACF">
        <w:rPr>
          <w:b/>
          <w:color w:val="000000"/>
          <w:sz w:val="24"/>
        </w:rPr>
        <w:t>报告期内正偏离度的绝对值达到</w:t>
      </w:r>
      <w:r w:rsidRPr="007A1ACF">
        <w:rPr>
          <w:b/>
          <w:color w:val="000000"/>
          <w:sz w:val="24"/>
        </w:rPr>
        <w:t>0.5%</w:t>
      </w:r>
      <w:r w:rsidRPr="007A1ACF">
        <w:rPr>
          <w:b/>
          <w:color w:val="000000"/>
          <w:sz w:val="24"/>
        </w:rPr>
        <w:t>情况说明</w:t>
      </w:r>
    </w:p>
    <w:p w:rsidP="00613409" w:rsidR="007A1ACF" w:rsidRDefault="007A1ACF" w:rsidRPr="007A1ACF">
      <w:pPr>
        <w:adjustRightInd w:val="0"/>
        <w:spacing w:line="360" w:lineRule="auto"/>
        <w:ind w:firstLine="480" w:firstLineChars="200"/>
        <w:rPr>
          <w:color w:val="000000"/>
          <w:sz w:val="24"/>
        </w:rPr>
      </w:pPr>
      <w:r w:rsidRPr="007A1ACF">
        <w:rPr>
          <w:color w:val="000000"/>
          <w:sz w:val="24"/>
        </w:rPr>
        <w:t>本基金本报告期内不存在正偏离度的绝对值达到0.5%的情况。</w:t>
      </w:r>
    </w:p>
    <w:p w:rsidP="00196812" w:rsidR="00EA3F40" w:rsidRDefault="00EA3F40"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7A1ACF">
        <w:rPr>
          <w:rFonts w:ascii="宋体" w:cs="Arial" w:hAnsi="宋体" w:hint="eastAsia"/>
          <w:b/>
          <w:color w:val="000000"/>
          <w:kern w:val="0"/>
          <w:sz w:val="24"/>
        </w:rPr>
        <w:t>8</w:t>
      </w:r>
      <w:r w:rsidR="000375EA" w:rsidRPr="000375EA">
        <w:rPr>
          <w:rFonts w:ascii="宋体" w:cs="Arial" w:hAnsi="宋体" w:hint="eastAsia"/>
          <w:b/>
          <w:color w:val="000000"/>
          <w:kern w:val="0"/>
          <w:sz w:val="24"/>
        </w:rPr>
        <w:t>报告期末按摊余成本占基金资产净值比例大小排名的前十名资产支持证券投资明细</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本基金本报告期末未持有资产支持证券。</w:t>
      </w:r>
    </w:p>
    <w:p w:rsidP="00976A1A" w:rsidR="00EA3F40" w:rsidRDefault="00EA3F40" w:rsidRPr="006662B2">
      <w:pPr>
        <w:spacing w:line="360" w:lineRule="auto"/>
        <w:rPr>
          <w:rFonts w:ascii="宋体" w:cs="Arial"/>
          <w:b/>
          <w:color w:val="000000"/>
          <w:kern w:val="0"/>
          <w:sz w:val="24"/>
        </w:rPr>
      </w:pPr>
      <w:r>
        <w:rPr>
          <w:rFonts w:ascii="宋体" w:cs="Arial"/>
          <w:b/>
          <w:color w:val="000000"/>
          <w:kern w:val="0"/>
          <w:sz w:val="24"/>
        </w:rPr>
        <w:t/>
      </w:r>
      <w:r>
        <w:rPr>
          <w:rFonts w:ascii="宋体" w:cs="Arial" w:hAnsi="宋体"/>
          <w:b/>
          <w:color w:val="000000"/>
          <w:kern w:val="0"/>
          <w:sz w:val="24"/>
        </w:rPr>
        <w:t>5</w:t>
      </w:r>
      <w:r w:rsidRPr="006662B2">
        <w:rPr>
          <w:rFonts w:ascii="宋体" w:cs="Arial" w:hAnsi="宋体"/>
          <w:b/>
          <w:color w:val="000000"/>
          <w:kern w:val="0"/>
          <w:sz w:val="24"/>
        </w:rPr>
        <w:t>.</w:t>
      </w:r>
      <w:r>
        <w:rPr>
          <w:rFonts w:ascii="宋体" w:cs="Arial"/>
          <w:b/>
          <w:color w:val="000000"/>
          <w:kern w:val="0"/>
          <w:sz w:val="24"/>
        </w:rPr>
        <w:t/>
      </w:r>
      <w:r>
        <w:rPr>
          <w:rFonts w:ascii="宋体" w:cs="Arial" w:hAnsi="宋体"/>
          <w:b/>
          <w:color w:val="000000"/>
          <w:kern w:val="0"/>
          <w:sz w:val="24"/>
        </w:rPr>
        <w:t/>
      </w:r>
      <w:r w:rsidR="007A1ACF">
        <w:rPr>
          <w:rFonts w:ascii="宋体" w:cs="Arial" w:hAnsi="宋体" w:hint="eastAsia"/>
          <w:b/>
          <w:color w:val="000000"/>
          <w:kern w:val="0"/>
          <w:sz w:val="24"/>
        </w:rPr>
        <w:t/>
      </w:r>
      <w:r>
        <w:rPr>
          <w:rFonts w:ascii="宋体" w:cs="Arial" w:hAnsi="宋体"/>
          <w:b/>
          <w:color w:val="000000"/>
          <w:kern w:val="0"/>
          <w:sz w:val="24"/>
        </w:rPr>
        <w:t>9</w:t>
      </w:r>
      <w:r w:rsidRPr="006662B2">
        <w:rPr>
          <w:rFonts w:ascii="宋体" w:cs="Arial" w:hAnsi="宋体"/>
          <w:b/>
          <w:color w:val="000000"/>
          <w:kern w:val="0"/>
          <w:sz w:val="24"/>
        </w:rPr>
        <w:t xml:space="preserve"> </w:t>
      </w:r>
      <w:r w:rsidRPr="006662B2">
        <w:rPr>
          <w:rFonts w:ascii="宋体" w:cs="Arial" w:hAnsi="宋体" w:hint="eastAsia"/>
          <w:b/>
          <w:color w:val="000000"/>
          <w:kern w:val="0"/>
          <w:sz w:val="24"/>
        </w:rPr>
        <w:t>投资组合报告附注</w:t>
      </w:r>
    </w:p>
    <w:p w:rsidP="007A1ACF" w:rsidR="007A1ACF" w:rsidRDefault="007A1ACF" w:rsidRPr="007A1ACF">
      <w:pPr>
        <w:spacing w:line="360" w:lineRule="auto"/>
        <w:rPr>
          <w:color w:val="000000"/>
          <w:sz w:val="24"/>
        </w:rPr>
      </w:pPr>
      <w:r w:rsidRPr="007A1ACF">
        <w:rPr>
          <w:color w:val="000000"/>
          <w:sz w:val="24"/>
        </w:rPr>
        <w:lastRenderedPageBreak/>
        <w:t>5.9.1</w:t>
      </w:r>
      <w:r w:rsidRPr="007A1ACF">
        <w:rPr>
          <w:color w:val="000000"/>
          <w:sz w:val="24"/>
        </w:rPr>
        <w:t>基金计价方法说明</w:t>
      </w:r>
    </w:p>
    <w:p>
      <w:pPr>
        <w:spacing w:line="360" w:lineRule="auto"/>
        <w:ind w:firstLine="480" w:firstLineChars="200"/>
        <w:rPr>
          <w:color w:val="000000"/>
          <w:sz w:val="24"/>
        </w:rPr>
      </w:pPr>
      <w:r>
        <w:rPr>
          <w:color w:val="000000"/>
          <w:sz w:val="24"/>
        </w:rPr>
        <w:t>本基金目前投资工具的估值方法如下：</w:t>
      </w:r>
    </w:p>
    <w:p>
      <w:pPr>
        <w:spacing w:line="360" w:lineRule="auto"/>
        <w:ind w:firstLine="480" w:firstLineChars="200"/>
        <w:rPr>
          <w:color w:val="000000"/>
          <w:sz w:val="24"/>
        </w:rPr>
      </w:pPr>
      <w:r>
        <w:rPr>
          <w:color w:val="000000"/>
          <w:sz w:val="24"/>
        </w:rPr>
        <w:t>（1）基金持有的债券（包括票据）购买时采用实际支付价款（包含交易费用）确定初始成本，按实际利率计算其摊余成本及各期利息收入，每日计提收益；</w:t>
      </w:r>
    </w:p>
    <w:p>
      <w:pPr>
        <w:spacing w:line="360" w:lineRule="auto"/>
        <w:ind w:firstLine="480" w:firstLineChars="200"/>
        <w:rPr>
          <w:color w:val="000000"/>
          <w:sz w:val="24"/>
        </w:rPr>
      </w:pPr>
      <w:r>
        <w:rPr>
          <w:color w:val="000000"/>
          <w:sz w:val="24"/>
        </w:rPr>
        <w:t>（2）基金持有的回购以成本列示，按实际利率在实际持有期间内逐日计提利息；合同利率与实际利率差异较小的，也可采用合同利率计算确定利息收入；</w:t>
      </w:r>
    </w:p>
    <w:p>
      <w:pPr>
        <w:spacing w:line="360" w:lineRule="auto"/>
        <w:ind w:firstLine="480" w:firstLineChars="200"/>
        <w:rPr>
          <w:color w:val="000000"/>
          <w:sz w:val="24"/>
        </w:rPr>
      </w:pPr>
      <w:r>
        <w:rPr>
          <w:color w:val="000000"/>
          <w:sz w:val="24"/>
        </w:rPr>
        <w:t>（3）基金持有的银行存款以本金列示，按实际协议利率逐日计提利息。</w:t>
      </w:r>
    </w:p>
    <w:p>
      <w:pPr>
        <w:spacing w:line="360" w:lineRule="auto"/>
        <w:ind w:firstLine="480" w:firstLineChars="200"/>
        <w:rPr>
          <w:color w:val="000000"/>
          <w:sz w:val="24"/>
        </w:rPr>
      </w:pPr>
      <w:r>
        <w:rPr>
          <w:color w:val="000000"/>
          <w:sz w:val="24"/>
        </w:rPr>
        <w:t>如有确凿证据表明按上述方法进行估值不能客观反映其公允价值的，基金管理人可根据具体情况与基金托管人商定后，按最能反映公允价值的方法估值。</w:t>
      </w:r>
    </w:p>
    <w:p w:rsidP="007A1ACF" w:rsidR="007A1ACF" w:rsidRDefault="007A1ACF" w:rsidRPr="007A1ACF">
      <w:pPr>
        <w:spacing w:line="360" w:lineRule="auto"/>
        <w:ind w:firstLine="480" w:firstLineChars="200"/>
        <w:rPr>
          <w:color w:val="000000"/>
          <w:sz w:val="24"/>
        </w:rPr>
      </w:pPr>
      <w:r w:rsidRPr="007A1ACF">
        <w:rPr>
          <w:color w:val="000000"/>
          <w:sz w:val="24"/>
        </w:rPr>
        <w:t>如有新增事项，按国家最新规定估值。</w:t>
      </w:r>
    </w:p>
    <w:p w:rsidP="00613409" w:rsidR="00EA3F40" w:rsidRDefault="007A1ACF" w:rsidRPr="007A1ACF">
      <w:pPr>
        <w:widowControl/>
        <w:spacing w:line="360" w:lineRule="auto"/>
        <w:rPr>
          <w:color w:val="000000"/>
          <w:sz w:val="24"/>
        </w:rPr>
      </w:pPr>
      <w:r w:rsidRPr="007A1ACF">
        <w:rPr>
          <w:color w:val="000000"/>
          <w:sz w:val="24"/>
        </w:rPr>
        <w:t>5.9.2</w:t>
      </w:r>
      <w:r w:rsidR="00D568AA">
        <w:rPr>
          <w:rFonts w:hint="eastAsia"/>
          <w:color w:val="000000"/>
          <w:sz w:val="24"/>
        </w:rPr>
        <w:t xml:space="preserve"> </w:t>
      </w:r>
      <w:r w:rsidRPr="007A1ACF">
        <w:rPr>
          <w:color w:val="000000"/>
          <w:sz w:val="24"/>
        </w:rPr>
        <w:t>2019年12月27日，中国银行保险监督管理委员会对交通银行股份有限公司如下违法违规行为作出“罚款150万元”的行政处罚：1、授信审批不审慎；2、总行对分支机构管控不力承担管理责任。2020年4月20日，中国银行保险监督管理委员会对交通银行股份有限公司如下违法违规行为作出“罚款260万元”的行政处罚：交通银行监管标准化数据（EAST）系统数据质量及数据报送存在（一）理财产品数量漏报；（二）资金交易信息漏报严重；（三）贸易融资业务漏报；（四）信贷业务担保合同漏报；（五）分户账明细记录应报未报；（六）分户账账户数据应报未报；（七）关键且应报字段漏报或填报错误。2020年7月28日，中国银行保险监督管理委员会上海监管局对交通银行股份有限公司太平洋信用卡中心的如下违法违规行为作出“责令改正，并处罚款共计100万元”的行政处罚：1.2019年6月，该中心对某客户个人信息未尽安全保护义务；2.2019年5月、7月，该中心对部分信用卡催收外包管理严重不审慎。2020年8月6日，上海市黄浦区城市管理行政执法局对交通银行太平洋信用卡中心上海分中心占用城市道路的行为罚款300元。</w:t>
      </w:r>
    </w:p>
    <w:p>
      <w:pPr>
        <w:widowControl/>
        <w:spacing w:line="360" w:lineRule="auto"/>
        <w:rPr>
          <w:color w:val="000000"/>
          <w:sz w:val="24"/>
        </w:rPr>
      </w:pPr>
      <w:r>
        <w:rPr>
          <w:color w:val="000000"/>
          <w:sz w:val="24"/>
        </w:rPr>
        <w:t>2019年12月31日，中国银行保险监督管理委员会江苏监管局对南京银行股份有限公司如下违法违规行为作出“没收违法所得137701元，处以人民币610万元罚款”的行政处罚：1.未将部分银行承担风险的业务纳入统一授信管理；2.同业投资资金违规用于支付土地出让金；3.同业投资资金违规用于上市公司定向增发；4.同业投资资金违规用于土地储备开发；5.违规为第三方金融机构同业投资业务提供信用担保；6.理财产品之间相互调节收益；7.理财资金投资非标债权资产总额超过规定上限；8.面向一般个人客户销售的理财产品违规投资权益类资产；9.理财资金与自营资金未充分隔离；10.理财投资非标业务未比照自营贷款管理；11.关联方管理不全面；12.违规向关系人发放信用贷款；13.债券投资操作不规范。</w:t>
      </w:r>
    </w:p>
    <w:p>
      <w:pPr>
        <w:widowControl/>
        <w:spacing w:line="360" w:lineRule="auto"/>
        <w:rPr>
          <w:color w:val="000000"/>
          <w:sz w:val="24"/>
        </w:rPr>
      </w:pPr>
      <w:r>
        <w:rPr>
          <w:color w:val="000000"/>
          <w:sz w:val="24"/>
        </w:rPr>
        <w:t>2020年1月19日，国家税务总局北京市海淀区税务局对中国农业银行股份有限公司未按照规定期限办理纳税申报和报送纳税资料的违法违规事实，作出罚款50万元的行政处罚决定。2020年3月9日，中国银行保险监督管理委员会对中国农业银行股份有限公司的如下违法违规行为作出罚款50万元的行政处罚决定：可回溯制度执行不到位、可回溯基础管理不到位、部分可回溯视频质检结果未反馈给保险公司、可回溯资料不符合监管规定。2020年4月22日，中国银行保险监督管理委员会对中国农业银行股份有限公司的如下违法违规行为作出罚款230万元的行政处罚决定：农业银行监管标准化数据（EAST）系统数据质量及数据报送（一）资金交易信息漏报严重；（二）信贷资产转让业务漏报；（三）贸易融资业务漏报；（四）分户账明细记录应报未报；（五）分户账账户数据应报未报；（六）关键且应报字段漏报或填报错误。2020年4月22日，中国银行保险监督管理委员会对中国农业银行股份有限公司的如下违法违规行为作出罚款200万元的行政处罚决定：（一）“两会一层”境外机构管理履职不到位；（二）国别风险管理不满足监管要求；（三）信贷资金被挪用作保证金；（四）未将集团成员纳入集团客户统一授信管理。2020年7月13日，中国银行保险监督管理委员会对中国农业银行股份有限公司的如下违法违规行为作出“没收违法所得55.3万元，罚款5260.3万元，罚没合计5315.6万元”的行政处罚决定：（一）向关系人发放信用贷款；（二）批量处置不良资产未公告；（三）批量处置不良资产未向监管部门报告 ；（四）违规转让正常类贷款；（五）个人住房贷款首付比例违规；（六）流动资金贷款被用于固定资产投资；（七）超过实际需求发放流动资金贷款；（八）贷后管理缺失导致企业套取扶贫贷款资金用于房地产开发；（九）贷款用于偿还银行承兑汇票垫款；（十）承兑业务贸易背景审查不严；（十一）保理业务授权管理不到位；（十二）贴现资金直接回流至银行承兑汇票出票人；（十三）贷款资金直接转存银行承兑汇票保证金；（十四）信贷资金用于兑付到期理财资产；（十五）信贷资金用于承接承销债券；（十六）销售非保本理财产品违规出具承诺函；（十七）提供与事实不符的报告；（十八）理财产品相互交易、相互调节收益；（十九）面向一般个人投资者销售的理财产品投向股权投资；（二十）将系统内资金纳入一般存款核算，虚增存款；（二十一）开立同业银行结算账户不合规；（二十二）个别人员未经核准即履行高管人员职责；（二十三）对小微企业不当收费；（二十四）未按规定报送案件。</w:t>
      </w:r>
    </w:p>
    <w:p>
      <w:pPr>
        <w:widowControl/>
        <w:spacing w:line="360" w:lineRule="auto"/>
        <w:rPr>
          <w:color w:val="000000"/>
          <w:sz w:val="24"/>
        </w:rPr>
      </w:pPr>
      <w:r>
        <w:rPr>
          <w:color w:val="000000"/>
          <w:sz w:val="24"/>
        </w:rPr>
        <w:t>2019年12月3日，中国银行保险监督管理委员会上海监管局对上海浦东发展银行股份有限公司信用卡中心2019年1月信用卡催收外包管理严重违反审慎经营规则的违法违规事实，作出“责令改正，并处罚款50万元”的行政处罚决定。2020年8月10日，中国银行保险监督管理委员会上海监管局对上海浦东发展银行股份有限公司如下违法违规行为作出“责令改正，并处罚款共计2100万元”的行政处罚：1. 未按专营部门制规定开展同业业务；2. 同业投资资金违规投向“四证”不全的房地产项目；3. 延迟支付同业投资资金吸收存款；4. 为银行理财资金投向非标准化债权资产违规提供担保；5. 未按规定进行贷款资金支付管理与控制；6. 个人消费贷款贷后管理未尽职；7. 通过票据转贴现业务调节信贷规模；8. 银行承兑汇票业务保证金来源审核未尽职；9. 办理无真实贸易背景的贴现业务；10.委托贷款资金来源审查未尽职；11.未按权限和程序办理委托贷款业务；12.未按权限和程序办理非融资性保函业务。</w:t>
      </w:r>
    </w:p>
    <w:p>
      <w:pPr>
        <w:widowControl/>
        <w:spacing w:line="360" w:lineRule="auto"/>
        <w:rPr>
          <w:color w:val="000000"/>
          <w:sz w:val="24"/>
        </w:rPr>
      </w:pPr>
      <w:r>
        <w:rPr>
          <w:color w:val="000000"/>
          <w:sz w:val="24"/>
        </w:rPr>
        <w:t>2020年7月13日，中国银行保险监督管理委员会对华夏银行股份有限公司罚款110万元，违法违规事由：（一）内控制度执行不到位，严重违反审慎经营规则；（二）生产系统存在重大风险隐患，严重违反审慎经营规则；（三）账务管理工作存在重大错漏，长期未发现异常挂账情况，严重违反审慎经营规则；（四）长期未处置风险监控预警信息，严重违反审慎经营规则。</w:t>
      </w:r>
    </w:p>
    <w:p>
      <w:pPr>
        <w:widowControl/>
        <w:spacing w:line="360" w:lineRule="auto"/>
        <w:rPr>
          <w:color w:val="000000"/>
          <w:sz w:val="24"/>
        </w:rPr>
      </w:pPr>
      <w:r>
        <w:rPr>
          <w:color w:val="000000"/>
          <w:sz w:val="24"/>
        </w:rPr>
        <w:t>2019年11月2日，中国人民银行上海分行对上海银行股份有限公司违反支付业务规定的行为，没收违法所得1,762,787.61元，并处以1,762,787.61元罚款，共计3,525,575.22元，同时对相关高级管理人员作出处罚。2020年8月14日，中国银行保险监督管理委员会上海监管局对上海银行股份有限公司如下违法违规行为作出“责令改正，没收违法所得27.155092万元，罚款1625万元，罚没合计1652.155092万元”的行政处罚：一、违规向资本金不足、“四证”不全的房地产项目发放贷款，以其他贷款科目发放房地产开发贷款；二、并购贷款管理严重违反审慎经营规则；三、经营性物业贷款管理严重违反审慎经营规则；四、个人贷款业务严重违反审慎经营规则；五、流动资金贷款业务严重违反审慎经营规则；六、违规向关系人发放信用贷款；七、发放贷款用于偿还银行承兑汇票垫款；八、贷款分类不准确；九、违规审批转让不符合不良贷款认定标准的信贷资产；十、虚增存贷款；十一、违规收费；十二、票据业务严重违反审慎经营规则；十三、同业资金投向管理严重违反审慎经营规则；十四、理财业务严重违反审慎经营规则；十五、委托贷款业务严重违反审慎经营规则；十六、内保外贷业务严重违反审慎经营规则；十七、衍生品交易人员管理严重违反审慎经营规则；十八、监事会履职严重不到位；十九、未经任职资格许可实际履行高级管理人员职责；二十、关联交易管理严重不审慎；二十一、押品估值管理严重违反审慎经营规则；二十二、未按规定保存重要信贷档案，导致分类信息不准确、不完整；二十三、未按规定报送统计报表。</w:t>
      </w:r>
    </w:p>
    <w:p>
      <w:pPr>
        <w:widowControl/>
        <w:spacing w:line="360" w:lineRule="auto"/>
        <w:rPr>
          <w:color w:val="000000"/>
          <w:sz w:val="24"/>
        </w:rPr>
      </w:pPr>
      <w:r>
        <w:rPr>
          <w:color w:val="000000"/>
          <w:sz w:val="24"/>
        </w:rPr>
        <w:t>2020年8月21日，中国银行保险监督管理委员会上海监管局对兴业银行股份有限公司资金营运中心的如下违法违规行为作出“责令改正，并处罚款人民币50万元”的行政处罚决定：2017年7月至2019年6月，该中心黄金租赁业务严重违反审慎经营规则。2020年8月31日，中国银保监会福建监管局对兴业银行股份有限公司的如下违法违规行为作出“没收违法所得6,361,807.97元，并合计处以罚款15,961,807.97元”的行政处罚决定：同业投资用途不合规、授信管理不尽职、采用不正当手段吸收存款、理财资金间接投资本行信贷资产收益权、非洁净转让信贷资产、违规接受地方财政部门担保。2020年9月4日，中国人民银行福州中心支行对兴业银行股份有限公司的如下违法违规行为作出“给予警告，没收违法所得10,875,088.15元，并处13,824,431.23元罚款”的行政处罚决定：1.为无证机构提供转接清算服务，且未落实交易信息真实性、完整性、可追溯性及支付全流程中的一致性的规定；2.为支付机构超范围（超业务、超地域）经营提供支付服务，且未落实交易信息真实性、完整性、可追溯性及支付全流程中的一致性；3.违规连通上、下游支付机构，提供转接清算服务，且未落实交易信息真实性、完整性、可追溯性及支付全流程中的一致性；4.违反银行卡收单外包管理规定；5.未按规定履行客户身份识别义务。</w:t>
      </w:r>
    </w:p>
    <w:p>
      <w:pPr>
        <w:widowControl/>
        <w:spacing w:line="360" w:lineRule="auto"/>
        <w:rPr>
          <w:color w:val="000000"/>
          <w:sz w:val="24"/>
        </w:rPr>
      </w:pPr>
      <w:r>
        <w:rPr>
          <w:color w:val="000000"/>
          <w:sz w:val="24"/>
        </w:rPr>
        <w:t>本基金投资20交通银行CD193、20南京银行CD014、20农业银行CD093、20农业银行CD078、20浦发银行CD121、20华夏银行CD081、20上海银行CD176、19兴业银行CD512、20农业银行CD019的投资决策程序符合公司投资制度的规定。</w:t>
      </w:r>
    </w:p>
    <w:p>
      <w:pPr>
        <w:widowControl/>
        <w:spacing w:line="360" w:lineRule="auto"/>
        <w:rPr>
          <w:color w:val="000000"/>
          <w:sz w:val="24"/>
        </w:rPr>
      </w:pPr>
      <w:r>
        <w:rPr>
          <w:color w:val="000000"/>
          <w:sz w:val="24"/>
        </w:rPr>
        <w:t>除20交通银行CD193、20南京银行CD014、20农业银行CD093、20农业银行CD078、20浦发银行CD121、20华夏银行CD081、20上海银行CD176、19兴业银行CD512、20农业银行CD019外，本基金投资的前十名证券的发行主体本期没有出现被监管部门立案调查，或在报告编制日前一年内受到公开谴责、处罚的情形。</w:t>
      </w:r>
    </w:p>
    <w:p w:rsidP="00976A1A" w:rsidR="00EA3F40" w:rsidRDefault="00EA3F40" w:rsidRPr="007A1ACF">
      <w:pPr>
        <w:spacing w:line="360" w:lineRule="auto"/>
        <w:rPr>
          <w:bCs/>
          <w:sz w:val="24"/>
        </w:rPr>
      </w:pPr>
      <w:r w:rsidRPr="007A1ACF">
        <w:rPr>
          <w:sz w:val="24"/>
        </w:rPr>
        <w:t>5.9.3</w:t>
      </w:r>
      <w:r w:rsidR="00B261EB">
        <w:rPr>
          <w:sz w:val="24"/>
        </w:rPr>
        <w:t>其他</w:t>
      </w:r>
      <w:r w:rsidRPr="007A1ACF">
        <w:rPr>
          <w:sz w:val="24"/>
        </w:rPr>
        <w:t>资产构成</w:t>
      </w:r>
    </w:p>
    <w:tbl>
      <w:tblPr>
        <w:tblW w:type="auto" w:w="0"/>
        <w:tblInd w:type="dxa" w:w="1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942"/>
        <w:gridCol w:w="3535"/>
        <w:gridCol w:w="4808"/>
      </w:tblGrid>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7"/>
              <w:jc w:val="center"/>
              <w:rPr>
                <w:color w:val="000000"/>
                <w:kern w:val="0"/>
                <w:sz w:val="24"/>
              </w:rPr>
            </w:pPr>
            <w:r w:rsidRPr="00613409">
              <w:rPr>
                <w:color w:val="000000"/>
                <w:kern w:val="0"/>
                <w:sz w:val="24"/>
              </w:rPr>
              <w:t>序号</w:t>
            </w:r>
          </w:p>
        </w:tc>
        <w:tc>
          <w:tcPr>
            <w:tcW w:type="dxa" w:w="3535"/>
            <w:vAlign w:val="center"/>
          </w:tcPr>
          <w:p w:rsidP="00841A22" w:rsidR="00EA3F40" w:rsidRDefault="00EA3F40" w:rsidRPr="00613409">
            <w:pPr>
              <w:autoSpaceDE w:val="0"/>
              <w:autoSpaceDN w:val="0"/>
              <w:adjustRightInd w:val="0"/>
              <w:spacing w:before="29" w:line="360" w:lineRule="auto"/>
              <w:ind w:left="17"/>
              <w:jc w:val="center"/>
              <w:rPr>
                <w:color w:val="000000"/>
                <w:kern w:val="0"/>
                <w:sz w:val="24"/>
              </w:rPr>
            </w:pPr>
            <w:r w:rsidRPr="00613409">
              <w:rPr>
                <w:color w:val="000000"/>
                <w:kern w:val="0"/>
                <w:sz w:val="24"/>
              </w:rPr>
              <w:t>名称</w:t>
            </w:r>
          </w:p>
        </w:tc>
        <w:tc>
          <w:tcPr>
            <w:tcW w:type="dxa" w:w="4808"/>
            <w:vAlign w:val="center"/>
          </w:tcPr>
          <w:p w:rsidP="007C3671" w:rsidR="00EA3F40" w:rsidRDefault="00EA3F40" w:rsidRPr="00613409">
            <w:pPr>
              <w:autoSpaceDE w:val="0"/>
              <w:autoSpaceDN w:val="0"/>
              <w:adjustRightInd w:val="0"/>
              <w:spacing w:before="29" w:line="360" w:lineRule="auto"/>
              <w:ind w:left="17"/>
              <w:jc w:val="center"/>
              <w:rPr>
                <w:color w:val="000000"/>
                <w:kern w:val="0"/>
                <w:sz w:val="24"/>
              </w:rPr>
            </w:pPr>
            <w:r w:rsidRPr="00613409">
              <w:rPr>
                <w:color w:val="000000"/>
                <w:kern w:val="0"/>
                <w:sz w:val="24"/>
              </w:rPr>
              <w:t>金额</w:t>
            </w:r>
            <w:r w:rsidR="007C3671" w:rsidRPr="00613409">
              <w:rPr>
                <w:color w:val="000000"/>
                <w:kern w:val="0"/>
                <w:sz w:val="24"/>
              </w:rPr>
              <w:t>（元）</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sz w:val="24"/>
              </w:rPr>
              <w:t>1</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存出保证金</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51,749.68</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2</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应收证券清算款</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3</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应收利息</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23,638,278.28</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4</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应收申购款</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1,116,939,768.91</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5</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其他应收款</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12,500.00</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6</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待摊费用</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7</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其他</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type="dxa" w:w="942"/>
            <w:vAlign w:val="center"/>
          </w:tcPr>
          <w:p w:rsidP="00841A22" w:rsidR="00EA3F40" w:rsidRDefault="00EA3F40" w:rsidRPr="00613409">
            <w:pPr>
              <w:autoSpaceDE w:val="0"/>
              <w:autoSpaceDN w:val="0"/>
              <w:adjustRightInd w:val="0"/>
              <w:spacing w:before="29" w:line="360" w:lineRule="auto"/>
              <w:ind w:left="15"/>
              <w:jc w:val="center"/>
              <w:rPr>
                <w:color w:val="000000"/>
                <w:sz w:val="24"/>
              </w:rPr>
            </w:pPr>
            <w:r w:rsidRPr="00613409">
              <w:rPr>
                <w:color w:val="000000"/>
                <w:sz w:val="24"/>
              </w:rPr>
              <w:t>8</w:t>
            </w:r>
          </w:p>
        </w:tc>
        <w:tc>
          <w:tcPr>
            <w:tcW w:type="dxa" w:w="3535"/>
            <w:vAlign w:val="center"/>
          </w:tcPr>
          <w:p w:rsidP="00841A22" w:rsidR="00EA3F40" w:rsidRDefault="00EA3F40" w:rsidRPr="00613409">
            <w:pPr>
              <w:autoSpaceDE w:val="0"/>
              <w:autoSpaceDN w:val="0"/>
              <w:adjustRightInd w:val="0"/>
              <w:spacing w:before="29" w:line="360" w:lineRule="auto"/>
              <w:ind w:left="15"/>
              <w:jc w:val="left"/>
              <w:rPr>
                <w:color w:val="000000"/>
                <w:kern w:val="0"/>
                <w:sz w:val="24"/>
              </w:rPr>
            </w:pPr>
            <w:r w:rsidRPr="00613409">
              <w:rPr>
                <w:color w:val="000000"/>
                <w:kern w:val="0"/>
                <w:sz w:val="24"/>
              </w:rPr>
              <w:t>合计</w:t>
            </w:r>
          </w:p>
        </w:tc>
        <w:tc>
          <w:tcPr>
            <w:tcW w:type="dxa" w:w="4808"/>
            <w:vAlign w:val="center"/>
          </w:tcPr>
          <w:p w:rsidP="00841A22" w:rsidR="00EA3F40" w:rsidRDefault="00EA3F40" w:rsidRPr="00613409">
            <w:pPr>
              <w:autoSpaceDE w:val="0"/>
              <w:autoSpaceDN w:val="0"/>
              <w:adjustRightInd w:val="0"/>
              <w:spacing w:before="29" w:line="360" w:lineRule="auto"/>
              <w:ind w:left="15"/>
              <w:jc w:val="right"/>
              <w:rPr>
                <w:color w:val="000000"/>
                <w:kern w:val="0"/>
                <w:sz w:val="24"/>
              </w:rPr>
            </w:pPr>
            <w:r w:rsidRPr="00613409">
              <w:rPr>
                <w:color w:val="000000"/>
                <w:kern w:val="0"/>
                <w:sz w:val="24"/>
              </w:rPr>
              <w:t>1,140,642,296.87</w:t>
            </w:r>
          </w:p>
        </w:tc>
      </w:tr>
    </w:tbl>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6  </w:t>
      </w:r>
      <w:r w:rsidRPr="0097021E">
        <w:rPr>
          <w:rFonts w:ascii="宋体" w:cs="Arial" w:hAnsi="宋体" w:hint="eastAsia"/>
          <w:color w:val="000000"/>
          <w:kern w:val="0"/>
          <w:sz w:val="24"/>
          <w:szCs w:val="24"/>
        </w:rPr>
        <w:t>开放式基金份额变动</w:t>
      </w:r>
    </w:p>
    <w:p w:rsidP="00196812" w:rsidR="00EA3F40" w:rsidRDefault="00EA3F40" w:rsidRPr="0097021E">
      <w:pPr>
        <w:autoSpaceDE w:val="0"/>
        <w:autoSpaceDN w:val="0"/>
        <w:adjustRightInd w:val="0"/>
        <w:spacing w:before="29" w:line="360" w:lineRule="auto"/>
        <w:ind w:left="15"/>
        <w:jc w:val="right"/>
        <w:rPr>
          <w:rFonts w:ascii="宋体" w:cs="Arial"/>
          <w:color w:val="000000"/>
          <w:kern w:val="0"/>
          <w:sz w:val="24"/>
        </w:rPr>
      </w:pPr>
      <w:r w:rsidRPr="0097021E">
        <w:rPr>
          <w:rFonts w:ascii="宋体" w:cs="Arial" w:hAnsi="宋体" w:hint="eastAsia"/>
          <w:color w:val="000000"/>
          <w:kern w:val="0"/>
          <w:sz w:val="24"/>
        </w:rPr>
        <w:t>单位：份</w:t>
      </w:r>
    </w:p>
    <w:tbl>
      <w:tblPr>
        <w:tblW w:type="dxa" w:w="10084"/>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279"/>
        <w:gridCol w:w="2268"/>
        <w:gridCol w:w="2268"/>
        <w:gridCol w:w="2269"/>
      </w:tblGrid>
      <w:tr w:rsidR="00EA3F40" w:rsidRPr="0097021E" w:rsidTr="00102307">
        <w:trPr>
          <w:jc w:val="center"/>
        </w:trPr>
        <w:tc>
          <w:tcPr>
            <w:tcW w:type="dxa" w:w="3279"/>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type="dxa" w:w="2268"/>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t/>
            </w:r>
            <w:r w:rsidRPr="00613409">
              <w:rPr>
                <w:sz w:val="24"/>
              </w:rPr>
              <w:t/>
            </w:r>
            <w:r w:rsidRPr="00613409">
              <w:rPr>
                <w:sz w:val="24"/>
              </w:rPr>
              <w:lastRenderedPageBreak/>
              <w:t>易方达货币A</w:t>
            </w:r>
          </w:p>
        </w:tc>
        <w:tc>
          <w:tcPr>
            <w:tcW w:type="dxa" w:w="2268"/>
          </w:tcPr>
          <w:p w:rsidP="00196812"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lastRenderedPageBreak/>
              <w:t/>
            </w:r>
            <w:r w:rsidRPr="00613409">
              <w:rPr>
                <w:sz w:val="24"/>
              </w:rPr>
              <w:t/>
            </w:r>
            <w:r w:rsidRPr="00613409">
              <w:rPr>
                <w:sz w:val="24"/>
              </w:rPr>
              <w:lastRenderedPageBreak/>
              <w:t>易方达货币B</w:t>
            </w:r>
          </w:p>
        </w:tc>
        <w:tc>
          <w:tcPr>
            <w:tcW w:type="dxa" w:w="2269"/>
          </w:tcPr>
          <w:p w:rsidP="003451F3" w:rsidR="00EA3F40" w:rsidRDefault="00EA3F40" w:rsidRPr="00613409">
            <w:pPr>
              <w:autoSpaceDE w:val="0"/>
              <w:autoSpaceDN w:val="0"/>
              <w:adjustRightInd w:val="0"/>
              <w:spacing w:before="29" w:line="360" w:lineRule="auto"/>
              <w:ind w:left="15"/>
              <w:jc w:val="center"/>
              <w:rPr>
                <w:color w:val="000000"/>
                <w:kern w:val="0"/>
                <w:sz w:val="24"/>
              </w:rPr>
            </w:pPr>
            <w:r w:rsidRPr="00613409">
              <w:rPr>
                <w:color w:val="000000"/>
                <w:kern w:val="0"/>
                <w:sz w:val="24"/>
              </w:rPr>
              <w:lastRenderedPageBreak/>
              <w:t/>
            </w:r>
            <w:r w:rsidRPr="00613409">
              <w:rPr>
                <w:sz w:val="24"/>
              </w:rPr>
              <w:t/>
            </w:r>
            <w:r w:rsidRPr="00613409">
              <w:rPr>
                <w:sz w:val="24"/>
              </w:rPr>
              <w:lastRenderedPageBreak/>
              <w:t>易方达货币E</w:t>
            </w:r>
          </w:p>
        </w:tc>
      </w:tr>
      <w:tr w:rsidR="00EA3F40" w:rsidRPr="0097021E" w:rsidTr="00F56FBC">
        <w:trPr>
          <w:jc w:val="center"/>
        </w:trPr>
        <w:tc>
          <w:tcPr>
            <w:tcW w:type="dxa" w:w="3279"/>
            <w:vAlign w:val="center"/>
          </w:tcPr>
          <w:p w:rsidP="00587524" w:rsidR="00EA3F40" w:rsidRDefault="00EA3F40" w:rsidRPr="00613409">
            <w:pPr>
              <w:autoSpaceDE w:val="0"/>
              <w:autoSpaceDN w:val="0"/>
              <w:adjustRightInd w:val="0"/>
              <w:spacing w:before="29" w:line="360" w:lineRule="auto"/>
              <w:ind w:left="17"/>
              <w:jc w:val="left"/>
              <w:rPr>
                <w:color w:val="000000"/>
                <w:kern w:val="0"/>
                <w:sz w:val="24"/>
              </w:rPr>
            </w:pPr>
            <w:r w:rsidRPr="00613409">
              <w:rPr>
                <w:color w:val="000000"/>
                <w:kern w:val="0"/>
                <w:sz w:val="24"/>
              </w:rPr>
              <w:t>报告期期初基金份额总额</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1,401,697,472.73</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21,946,596,340.92</w:t>
            </w:r>
          </w:p>
        </w:tc>
        <w:tc>
          <w:tcPr>
            <w:tcW w:type="dxa" w:w="2269"/>
            <w:vAlign w:val="center"/>
          </w:tcPr>
          <w:p w:rsidP="003A1E1E"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294,937,877.65</w:t>
            </w:r>
          </w:p>
        </w:tc>
      </w:tr>
      <w:tr w:rsidR="00EA3F40" w:rsidRPr="0097021E" w:rsidTr="00F56FBC">
        <w:trPr>
          <w:jc w:val="center"/>
        </w:trPr>
        <w:tc>
          <w:tcPr>
            <w:tcW w:type="dxa" w:w="3279"/>
          </w:tcPr>
          <w:p w:rsidP="006B56E1" w:rsidR="00EA3F40" w:rsidRDefault="00EA3F40" w:rsidRPr="00613409">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基金总申购份额</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4,557,986,798.52</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64,802,261,117.71</w:t>
            </w:r>
          </w:p>
        </w:tc>
        <w:tc>
          <w:tcPr>
            <w:tcW w:type="dxa" w:w="2269"/>
            <w:vAlign w:val="center"/>
          </w:tcPr>
          <w:p w:rsidP="003A1E1E"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46,167,077.55</w:t>
            </w:r>
          </w:p>
        </w:tc>
      </w:tr>
      <w:tr w:rsidR="00EA3F40" w:rsidRPr="0097021E" w:rsidTr="00F56FBC">
        <w:trPr>
          <w:jc w:val="center"/>
        </w:trPr>
        <w:tc>
          <w:tcPr>
            <w:tcW w:type="dxa" w:w="3279"/>
          </w:tcPr>
          <w:p w:rsidP="006B56E1" w:rsidR="00EA3F40" w:rsidRDefault="00EA3F40" w:rsidRPr="00613409">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基金总赎回份额</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4,429,241,648.13</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70,482,918,884.24</w:t>
            </w:r>
          </w:p>
        </w:tc>
        <w:tc>
          <w:tcPr>
            <w:tcW w:type="dxa" w:w="2269"/>
            <w:vAlign w:val="center"/>
          </w:tcPr>
          <w:p w:rsidP="003A1E1E"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40,804,175.36</w:t>
            </w:r>
          </w:p>
        </w:tc>
      </w:tr>
      <w:tr w:rsidR="00EA3F40" w:rsidRPr="0097021E" w:rsidTr="00A40052">
        <w:trPr>
          <w:jc w:val="center"/>
        </w:trPr>
        <w:tc>
          <w:tcPr>
            <w:tcW w:type="dxa" w:w="3279"/>
          </w:tcPr>
          <w:p w:rsidP="00587524" w:rsidR="00EA3F40" w:rsidRDefault="00EA3F40" w:rsidRPr="00613409">
            <w:pPr>
              <w:adjustRightInd w:val="0"/>
              <w:snapToGrid w:val="0"/>
              <w:spacing w:line="340" w:lineRule="exact"/>
              <w:rPr>
                <w:color w:val="000000"/>
                <w:sz w:val="24"/>
              </w:rPr>
            </w:pPr>
            <w:r w:rsidRPr="00613409">
              <w:rPr>
                <w:color w:val="000000"/>
                <w:sz w:val="24"/>
              </w:rPr>
              <w:t>报告期期末基金份额总额</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1,530,442,623.12</w:t>
            </w:r>
          </w:p>
        </w:tc>
        <w:tc>
          <w:tcPr>
            <w:tcW w:type="dxa" w:w="2268"/>
            <w:vAlign w:val="center"/>
          </w:tcPr>
          <w:p w:rsidP="00587524"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16,265,938,574.39</w:t>
            </w:r>
          </w:p>
        </w:tc>
        <w:tc>
          <w:tcPr>
            <w:tcW w:type="dxa" w:w="2269"/>
            <w:vAlign w:val="center"/>
          </w:tcPr>
          <w:p w:rsidP="003A1E1E" w:rsidR="00EA3F40" w:rsidRDefault="00EA3F40" w:rsidRPr="00613409">
            <w:pPr>
              <w:autoSpaceDE w:val="0"/>
              <w:autoSpaceDN w:val="0"/>
              <w:adjustRightInd w:val="0"/>
              <w:spacing w:before="29" w:line="360" w:lineRule="auto"/>
              <w:ind w:left="17"/>
              <w:jc w:val="right"/>
              <w:rPr>
                <w:color w:val="000000"/>
                <w:sz w:val="24"/>
              </w:rPr>
            </w:pPr>
            <w:r w:rsidRPr="00613409">
              <w:rPr>
                <w:color w:val="000000"/>
                <w:sz w:val="24"/>
              </w:rPr>
              <w:t>300,300,779.84</w:t>
            </w:r>
          </w:p>
        </w:tc>
      </w:tr>
    </w:tbl>
    <w:p w:rsidP="001752C7" w:rsidR="00EA3F40" w:rsidRDefault="00EA3F40" w:rsidRPr="001752C7">
      <w:pPr>
        <w:adjustRightInd w:val="0"/>
        <w:spacing w:line="360" w:lineRule="auto"/>
        <w:ind w:firstLine="480" w:firstLineChars="200"/>
        <w:rPr>
          <w:color w:val="000000"/>
          <w:sz w:val="24"/>
        </w:rPr>
      </w:pPr>
      <w:r w:rsidRPr="001752C7">
        <w:rPr>
          <w:color w:val="000000"/>
          <w:sz w:val="24"/>
        </w:rPr>
        <w:t>注：A类和B类总申购份额含因份额升降级等原因导致的强制调增份额, 总赎回份额含因份额升降级等原因导致的强制调减份额。</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color w:val="000000"/>
          <w:kern w:val="0"/>
          <w:sz w:val="24"/>
          <w:szCs w:val="24"/>
        </w:rPr>
        <w:t/>
      </w:r>
      <w:r w:rsidRPr="0097021E">
        <w:rPr>
          <w:rFonts w:ascii="宋体" w:cs="Arial" w:hAnsi="宋体"/>
          <w:color w:val="000000"/>
          <w:kern w:val="0"/>
          <w:sz w:val="24"/>
          <w:szCs w:val="24"/>
        </w:rPr>
        <w:t/>
      </w:r>
      <w:r w:rsidRPr="0097021E">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w:r>
      <w:r w:rsidRPr="0097021E">
        <w:rPr>
          <w:rFonts w:ascii="宋体" w:cs="Arial"/>
          <w:color w:val="000000"/>
          <w:kern w:val="0"/>
          <w:sz w:val="24"/>
          <w:szCs w:val="24"/>
        </w:rPr>
        <w:t>7</w:t>
      </w:r>
      <w:r w:rsidRPr="0097021E">
        <w:rPr>
          <w:rFonts w:ascii="宋体" w:cs="Arial" w:hAnsi="宋体"/>
          <w:color w:val="000000"/>
          <w:kern w:val="0"/>
          <w:sz w:val="24"/>
          <w:szCs w:val="24"/>
        </w:rPr>
        <w:t xml:space="preserve">  </w:t>
      </w:r>
      <w:r w:rsidRPr="00877329">
        <w:rPr>
          <w:rFonts w:ascii="宋体" w:cs="Arial" w:hAnsi="宋体" w:hint="eastAsia"/>
          <w:color w:val="000000"/>
          <w:kern w:val="0"/>
          <w:sz w:val="24"/>
          <w:szCs w:val="24"/>
        </w:rPr>
        <w:t>基金管理人运用固有资金投资本基金交易明细</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 xml:space="preserve">本报告期内基金管理人未运用固有资金申购、赎回、买卖本基金份额。 </w:t>
      </w:r>
    </w:p>
    <w:p w:rsidP="00A74DD3" w:rsidR="00A74DD3" w:rsidRDefault="00A74DD3" w:rsidRPr="004B7A92">
      <w:pPr>
        <w:pStyle w:val="1"/>
        <w:spacing w:after="312" w:afterLines="100" w:before="312" w:beforeLines="100" w:line="360" w:lineRule="auto"/>
        <w:jc w:val="center"/>
        <w:rPr>
          <w:rFonts w:ascii="宋体" w:hAnsi="宋体"/>
          <w:color w:val="000000"/>
          <w:kern w:val="0"/>
          <w:sz w:val="24"/>
          <w:szCs w:val="24"/>
        </w:rPr>
      </w:pPr>
      <w:r w:rsidRPr="004B7A92">
        <w:rPr>
          <w:rFonts w:ascii="宋体" w:hAnsi="宋体"/>
          <w:color w:val="000000"/>
          <w:kern w:val="0"/>
          <w:sz w:val="24"/>
          <w:szCs w:val="24"/>
        </w:rPr>
        <w:lastRenderedPageBreak/>
        <w:t>§8</w:t>
      </w:r>
      <w:r w:rsidR="004F459B" w:rsidRPr="0097021E">
        <w:rPr>
          <w:rFonts w:ascii="宋体" w:cs="Arial" w:hAnsi="宋体"/>
          <w:color w:val="000000"/>
          <w:kern w:val="0"/>
          <w:sz w:val="24"/>
          <w:szCs w:val="24"/>
        </w:rPr>
        <w:t xml:space="preserve">  </w:t>
      </w:r>
      <w:r w:rsidRPr="004B7A92">
        <w:rPr>
          <w:rFonts w:ascii="宋体" w:hAnsi="宋体"/>
          <w:color w:val="000000"/>
          <w:kern w:val="0"/>
          <w:sz w:val="24"/>
          <w:szCs w:val="24"/>
        </w:rPr>
        <w:t>影响投资者决策的其他重要信息</w:t>
      </w:r>
    </w:p>
    <w:p w:rsidP="0053782E" w:rsidR="0053782E" w:rsidRDefault="0053782E" w:rsidRPr="001F5F5D">
      <w:pPr>
        <w:autoSpaceDE w:val="0"/>
        <w:autoSpaceDN w:val="0"/>
        <w:adjustRightInd w:val="0"/>
        <w:spacing w:line="360" w:lineRule="auto"/>
        <w:jc w:val="left"/>
        <w:rPr>
          <w:rFonts w:ascii="宋体"/>
          <w:b/>
          <w:bCs/>
          <w:color w:val="000000"/>
          <w:kern w:val="0"/>
          <w:sz w:val="24"/>
        </w:rPr>
      </w:pPr>
      <w:r w:rsidRPr="001F5F5D">
        <w:rPr>
          <w:rFonts w:ascii="宋体"/>
          <w:b/>
          <w:bCs/>
          <w:color w:val="000000"/>
          <w:kern w:val="0"/>
          <w:sz w:val="24"/>
        </w:rPr>
        <w:t>8.1 报告期内单一投资者持有基金份额比例达到或超过20%的情况</w:t>
      </w:r>
    </w:p>
    <w:tbl>
      <w:tblPr>
        <w:tblW w:type="dxa" w:w="964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709"/>
        <w:gridCol w:w="709"/>
        <w:gridCol w:w="2126"/>
        <w:gridCol w:w="1276"/>
        <w:gridCol w:w="1276"/>
        <w:gridCol w:w="1276"/>
        <w:gridCol w:w="1417"/>
        <w:gridCol w:w="851"/>
      </w:tblGrid>
      <w:tr w:rsidR="00086731" w:rsidRPr="00FC0759" w:rsidTr="00086731">
        <w:trPr>
          <w:jc w:val="center"/>
        </w:trPr>
        <w:tc>
          <w:tcPr>
            <w:tcW w:type="dxa" w:w="709"/>
            <w:vMerge w:val="restart"/>
            <w:shd w:color="auto" w:fill="auto" w:val="clear"/>
            <w:vAlign w:val="center"/>
          </w:tcPr>
          <w:p w:rsidP="00086731" w:rsidR="0053782E" w:rsidRDefault="0053782E" w:rsidRPr="00086731">
            <w:pPr>
              <w:autoSpaceDE w:val="0"/>
              <w:autoSpaceDN w:val="0"/>
              <w:adjustRightInd w:val="0"/>
              <w:jc w:val="center"/>
              <w:rPr>
                <w:b/>
                <w:bCs/>
                <w:color w:val="000000"/>
                <w:sz w:val="24"/>
              </w:rPr>
            </w:pPr>
            <w:r w:rsidRPr="00086731">
              <w:rPr>
                <w:color w:val="000000"/>
                <w:sz w:val="24"/>
              </w:rPr>
              <w:t>投资者类别</w:t>
            </w:r>
            <w:r w:rsidRPr="00086731">
              <w:rPr>
                <w:rFonts w:eastAsia="仿宋"/>
                <w:color w:val="000000"/>
                <w:sz w:val="24"/>
              </w:rPr>
              <w:t/>
            </w:r>
          </w:p>
        </w:tc>
        <w:tc>
          <w:tcPr>
            <w:tcW w:type="dxa" w:w="6663"/>
            <w:gridSpan w:val="5"/>
            <w:shd w:color="auto" w:fill="auto" w:val="clear"/>
            <w:vAlign w:val="center"/>
          </w:tcPr>
          <w:p w:rsidP="00086731" w:rsidR="0053782E" w:rsidRDefault="0053782E" w:rsidRPr="00086731">
            <w:pPr>
              <w:autoSpaceDE w:val="0"/>
              <w:autoSpaceDN w:val="0"/>
              <w:adjustRightInd w:val="0"/>
              <w:ind w:firstLine="1126"/>
              <w:jc w:val="center"/>
              <w:rPr>
                <w:b/>
                <w:bCs/>
                <w:color w:val="000000"/>
                <w:sz w:val="24"/>
              </w:rPr>
            </w:pPr>
            <w:r w:rsidRPr="00086731">
              <w:rPr>
                <w:color w:val="000000"/>
                <w:sz w:val="24"/>
              </w:rPr>
              <w:t>报告期内持有基金份额变化情况</w:t>
            </w:r>
          </w:p>
        </w:tc>
        <w:tc>
          <w:tcPr>
            <w:tcW w:type="dxa" w:w="2268"/>
            <w:gridSpan w:val="2"/>
            <w:shd w:color="auto" w:fill="auto" w:val="clear"/>
            <w:vAlign w:val="center"/>
          </w:tcPr>
          <w:p w:rsidP="00086731" w:rsidR="0053782E" w:rsidRDefault="0053782E" w:rsidRPr="00086731">
            <w:pPr>
              <w:autoSpaceDE w:val="0"/>
              <w:autoSpaceDN w:val="0"/>
              <w:adjustRightInd w:val="0"/>
              <w:jc w:val="center"/>
              <w:rPr>
                <w:b/>
                <w:bCs/>
                <w:color w:val="000000"/>
                <w:sz w:val="24"/>
              </w:rPr>
            </w:pPr>
            <w:r w:rsidRPr="00086731">
              <w:rPr>
                <w:color w:val="000000"/>
                <w:sz w:val="24"/>
              </w:rPr>
              <w:t>报告期末持有基金情况</w:t>
            </w:r>
          </w:p>
        </w:tc>
      </w:tr>
      <w:tr w:rsidR="00086731" w:rsidRPr="00FC0759" w:rsidTr="00086731">
        <w:trPr>
          <w:jc w:val="center"/>
        </w:trPr>
        <w:tc>
          <w:tcPr>
            <w:tcW w:type="dxa" w:w="709"/>
            <w:vMerge/>
            <w:shd w:color="auto" w:fill="auto" w:val="clear"/>
            <w:vAlign w:val="center"/>
          </w:tcPr>
          <w:p w:rsidP="00086731" w:rsidR="0053782E" w:rsidRDefault="0053782E" w:rsidRPr="00086731">
            <w:pPr>
              <w:autoSpaceDE w:val="0"/>
              <w:autoSpaceDN w:val="0"/>
              <w:adjustRightInd w:val="0"/>
              <w:ind w:firstLine="1234"/>
              <w:jc w:val="center"/>
              <w:rPr>
                <w:b/>
                <w:bCs/>
                <w:color w:val="000000"/>
                <w:sz w:val="24"/>
              </w:rPr>
            </w:pPr>
          </w:p>
        </w:tc>
        <w:tc>
          <w:tcPr>
            <w:tcW w:type="dxa" w:w="709"/>
            <w:shd w:color="auto" w:fill="auto" w:val="clear"/>
            <w:vAlign w:val="center"/>
          </w:tcPr>
          <w:p w:rsidP="00086731" w:rsidR="0053782E" w:rsidRDefault="0053782E" w:rsidRPr="00086731">
            <w:pPr>
              <w:autoSpaceDE w:val="0"/>
              <w:autoSpaceDN w:val="0"/>
              <w:adjustRightInd w:val="0"/>
              <w:jc w:val="center"/>
              <w:rPr>
                <w:b/>
                <w:bCs/>
                <w:color w:val="000000"/>
                <w:sz w:val="24"/>
              </w:rPr>
            </w:pPr>
            <w:r w:rsidRPr="00086731">
              <w:rPr>
                <w:color w:val="000000"/>
                <w:sz w:val="24"/>
              </w:rPr>
              <w:t>序号</w:t>
            </w:r>
          </w:p>
        </w:tc>
        <w:tc>
          <w:tcPr>
            <w:tcW w:type="dxa" w:w="2126"/>
            <w:shd w:color="auto" w:fill="auto" w:val="clear"/>
            <w:vAlign w:val="center"/>
          </w:tcPr>
          <w:p w:rsidP="00086731" w:rsidR="0053782E" w:rsidRDefault="0053782E" w:rsidRPr="00086731">
            <w:pPr>
              <w:autoSpaceDE w:val="0"/>
              <w:autoSpaceDN w:val="0"/>
              <w:adjustRightInd w:val="0"/>
              <w:jc w:val="center"/>
              <w:rPr>
                <w:b/>
                <w:bCs/>
                <w:color w:val="000000"/>
                <w:sz w:val="24"/>
              </w:rPr>
            </w:pPr>
            <w:r w:rsidRPr="00086731">
              <w:rPr>
                <w:color w:val="000000"/>
                <w:sz w:val="24"/>
              </w:rPr>
              <w:t>持有基金份额比例达到或者超过</w:t>
            </w:r>
            <w:r w:rsidRPr="00086731">
              <w:rPr>
                <w:color w:val="000000"/>
                <w:sz w:val="24"/>
              </w:rPr>
              <w:t>20%</w:t>
            </w:r>
            <w:r w:rsidRPr="00086731">
              <w:rPr>
                <w:color w:val="000000"/>
                <w:sz w:val="24"/>
              </w:rPr>
              <w:t>的时间区间</w:t>
            </w:r>
          </w:p>
        </w:tc>
        <w:tc>
          <w:tcPr>
            <w:tcW w:type="dxa" w:w="1276"/>
            <w:shd w:color="auto" w:fill="auto" w:val="clear"/>
            <w:vAlign w:val="center"/>
          </w:tcPr>
          <w:p w:rsidP="00086731" w:rsidR="0053782E" w:rsidRDefault="0053782E" w:rsidRPr="00086731">
            <w:pPr>
              <w:widowControl/>
              <w:rPr>
                <w:b/>
                <w:bCs/>
                <w:color w:val="000000"/>
                <w:sz w:val="24"/>
              </w:rPr>
            </w:pPr>
            <w:r w:rsidRPr="00086731">
              <w:rPr>
                <w:color w:val="000000"/>
                <w:sz w:val="24"/>
              </w:rPr>
              <w:t>期初份额</w:t>
            </w:r>
          </w:p>
        </w:tc>
        <w:tc>
          <w:tcPr>
            <w:tcW w:type="dxa" w:w="1276"/>
            <w:shd w:color="auto" w:fill="auto" w:val="clear"/>
            <w:vAlign w:val="center"/>
          </w:tcPr>
          <w:p w:rsidP="00086731" w:rsidR="0053782E" w:rsidRDefault="0053782E" w:rsidRPr="00086731">
            <w:pPr>
              <w:widowControl/>
              <w:rPr>
                <w:b/>
                <w:bCs/>
                <w:color w:val="000000"/>
                <w:sz w:val="24"/>
              </w:rPr>
            </w:pPr>
            <w:r w:rsidRPr="00086731">
              <w:rPr>
                <w:color w:val="000000"/>
                <w:sz w:val="24"/>
              </w:rPr>
              <w:t>申购份额</w:t>
            </w:r>
          </w:p>
        </w:tc>
        <w:tc>
          <w:tcPr>
            <w:tcW w:type="dxa" w:w="1276"/>
            <w:shd w:color="auto" w:fill="auto" w:val="clear"/>
            <w:vAlign w:val="center"/>
          </w:tcPr>
          <w:p w:rsidP="00086731" w:rsidR="0053782E" w:rsidRDefault="0053782E" w:rsidRPr="00086731">
            <w:pPr>
              <w:widowControl/>
              <w:rPr>
                <w:b/>
                <w:bCs/>
                <w:color w:val="000000"/>
                <w:sz w:val="24"/>
              </w:rPr>
            </w:pPr>
            <w:r w:rsidRPr="00086731">
              <w:rPr>
                <w:color w:val="000000"/>
                <w:sz w:val="24"/>
              </w:rPr>
              <w:t>赎回份额</w:t>
            </w:r>
          </w:p>
        </w:tc>
        <w:tc>
          <w:tcPr>
            <w:tcW w:type="dxa" w:w="1417"/>
            <w:shd w:color="auto" w:fill="auto" w:val="clear"/>
            <w:vAlign w:val="center"/>
          </w:tcPr>
          <w:p w:rsidP="00086731" w:rsidR="0053782E" w:rsidRDefault="0053782E" w:rsidRPr="00086731">
            <w:pPr>
              <w:autoSpaceDE w:val="0"/>
              <w:autoSpaceDN w:val="0"/>
              <w:adjustRightInd w:val="0"/>
              <w:jc w:val="center"/>
              <w:rPr>
                <w:b/>
                <w:bCs/>
                <w:color w:val="000000"/>
                <w:sz w:val="24"/>
              </w:rPr>
            </w:pPr>
            <w:r w:rsidRPr="00086731">
              <w:rPr>
                <w:color w:val="000000"/>
                <w:sz w:val="24"/>
              </w:rPr>
              <w:t>持有份额</w:t>
            </w:r>
          </w:p>
        </w:tc>
        <w:tc>
          <w:tcPr>
            <w:tcW w:type="dxa" w:w="851"/>
            <w:shd w:color="auto" w:fill="auto" w:val="clear"/>
            <w:vAlign w:val="center"/>
          </w:tcPr>
          <w:p w:rsidP="00086731" w:rsidR="0053782E" w:rsidRDefault="0053782E" w:rsidRPr="00086731">
            <w:pPr>
              <w:autoSpaceDE w:val="0"/>
              <w:autoSpaceDN w:val="0"/>
              <w:adjustRightInd w:val="0"/>
              <w:jc w:val="center"/>
              <w:rPr>
                <w:b/>
                <w:bCs/>
                <w:color w:val="000000"/>
                <w:sz w:val="24"/>
              </w:rPr>
            </w:pPr>
            <w:r w:rsidRPr="00086731">
              <w:rPr>
                <w:color w:val="000000"/>
                <w:sz w:val="24"/>
              </w:rPr>
              <w:t>份额占比</w:t>
            </w:r>
          </w:p>
        </w:tc>
      </w:tr>
      <w:tr>
        <w:tc>
          <w:tcPr>
            <w:vMerge w:val="restart"/>
            <w:vAlign w:val="center"/>
          </w:tcPr>
          <w:p>
            <w:r>
              <w:rPr>
                <w:bCs/>
                <w:color w:val="000000"/>
                <w:sz w:val="24"/>
              </w:rPr>
              <w:t>机构</w:t>
            </w:r>
          </w:p>
        </w:tc>
        <w:tc>
          <w:tcPr>
            <w:vAlign w:val="center"/>
          </w:tcPr>
          <w:p>
            <w:pPr>
              <w:jc w:val="center"/>
            </w:pPr>
            <w:r>
              <w:rPr>
                <w:sz w:val="24"/>
              </w:rPr>
              <w:t>1</w:t>
            </w:r>
          </w:p>
        </w:tc>
        <w:tc>
          <w:tcPr>
            <w:vAlign w:val="center"/>
          </w:tcPr>
          <w:p>
            <w:pPr>
              <w:jc w:val="center"/>
            </w:pPr>
            <w:r>
              <w:rPr>
                <w:sz w:val="24"/>
              </w:rPr>
              <w:t>2020年07月30日~2020年08月20日</w:t>
            </w:r>
          </w:p>
        </w:tc>
        <w:tc>
          <w:tcPr>
            <w:vAlign w:val="center"/>
          </w:tcPr>
          <w:p>
            <w:pPr>
              <w:jc w:val="center"/>
            </w:pPr>
            <w:r>
              <w:rPr>
                <w:sz w:val="24"/>
              </w:rPr>
              <w:t>-</w:t>
            </w:r>
          </w:p>
        </w:tc>
        <w:tc>
          <w:tcPr>
            <w:vAlign w:val="center"/>
          </w:tcPr>
          <w:p>
            <w:pPr>
              <w:jc w:val="center"/>
            </w:pPr>
            <w:r>
              <w:rPr>
                <w:sz w:val="24"/>
              </w:rPr>
              <w:t>8,778,685,388.89</w:t>
            </w:r>
          </w:p>
        </w:tc>
        <w:tc>
          <w:tcPr>
            <w:vAlign w:val="center"/>
          </w:tcPr>
          <w:p>
            <w:pPr>
              <w:jc w:val="center"/>
            </w:pPr>
            <w:r>
              <w:rPr>
                <w:sz w:val="24"/>
              </w:rPr>
              <w:t>8,778,685,388.89</w:t>
            </w:r>
          </w:p>
        </w:tc>
        <w:tc>
          <w:tcPr>
            <w:vAlign w:val="center"/>
          </w:tcPr>
          <w:p>
            <w:pPr>
              <w:jc w:val="center"/>
            </w:pPr>
            <w:r>
              <w:rPr>
                <w:sz w:val="24"/>
              </w:rPr>
              <w:t>-</w:t>
            </w:r>
          </w:p>
        </w:tc>
        <w:tc>
          <w:tcPr>
            <w:vAlign w:val="center"/>
          </w:tcPr>
          <w:p>
            <w:pPr>
              <w:jc w:val="center"/>
            </w:pPr>
            <w:r>
              <w:rPr>
                <w:sz w:val="24"/>
              </w:rPr>
              <w:t>-</w:t>
            </w:r>
          </w:p>
        </w:tc>
      </w:tr>
      <w:tr>
        <w:tc>
          <w:tcPr>
            <w:vMerge/>
          </w:tcPr>
          <w:p/>
        </w:tc>
        <w:tc>
          <w:tcPr>
            <w:vAlign w:val="center"/>
          </w:tcPr>
          <w:p>
            <w:pPr>
              <w:jc w:val="center"/>
            </w:pPr>
            <w:r>
              <w:rPr>
                <w:sz w:val="24"/>
              </w:rPr>
              <w:t>2</w:t>
            </w:r>
          </w:p>
        </w:tc>
        <w:tc>
          <w:tcPr>
            <w:vAlign w:val="center"/>
          </w:tcPr>
          <w:p>
            <w:pPr>
              <w:jc w:val="center"/>
            </w:pPr>
            <w:r>
              <w:rPr>
                <w:sz w:val="24"/>
              </w:rPr>
              <w:t>2020年07月01日~2020年09月24日</w:t>
            </w:r>
          </w:p>
        </w:tc>
        <w:tc>
          <w:tcPr>
            <w:vAlign w:val="center"/>
          </w:tcPr>
          <w:p>
            <w:pPr>
              <w:jc w:val="center"/>
            </w:pPr>
            <w:r>
              <w:rPr>
                <w:sz w:val="24"/>
              </w:rPr>
              <w:t>8,406,011,730.05</w:t>
            </w:r>
          </w:p>
        </w:tc>
        <w:tc>
          <w:tcPr>
            <w:vAlign w:val="center"/>
          </w:tcPr>
          <w:p>
            <w:pPr>
              <w:jc w:val="center"/>
            </w:pPr>
            <w:r>
              <w:rPr>
                <w:sz w:val="24"/>
              </w:rPr>
              <w:t>6,565,268,848.71</w:t>
            </w:r>
          </w:p>
        </w:tc>
        <w:tc>
          <w:tcPr>
            <w:vAlign w:val="center"/>
          </w:tcPr>
          <w:p>
            <w:pPr>
              <w:jc w:val="center"/>
            </w:pPr>
            <w:r>
              <w:rPr>
                <w:sz w:val="24"/>
              </w:rPr>
              <w:t>13,800,000,000.00</w:t>
            </w:r>
          </w:p>
        </w:tc>
        <w:tc>
          <w:tcPr>
            <w:vAlign w:val="center"/>
          </w:tcPr>
          <w:p>
            <w:pPr>
              <w:jc w:val="center"/>
            </w:pPr>
            <w:r>
              <w:rPr>
                <w:sz w:val="24"/>
              </w:rPr>
              <w:t>1,171,280,578.76</w:t>
            </w:r>
          </w:p>
        </w:tc>
        <w:tc>
          <w:tcPr>
            <w:vAlign w:val="center"/>
          </w:tcPr>
          <w:p>
            <w:pPr>
              <w:jc w:val="center"/>
            </w:pPr>
            <w:r>
              <w:rPr>
                <w:sz w:val="24"/>
              </w:rPr>
              <w:t>6.47%</w:t>
            </w:r>
          </w:p>
        </w:tc>
      </w:tr>
    </w:tbl>
    <w:tbl>
      <w:tblPr>
        <w:tblW w:type="dxa" w:w="9637"/>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9637"/>
      </w:tblGrid>
      <w:tr w:rsidR="0053782E" w:rsidRPr="00FC0759" w:rsidTr="00086731">
        <w:trPr>
          <w:jc w:val="center"/>
        </w:trPr>
        <w:tc>
          <w:tcPr>
            <w:tcW w:type="dxa" w:w="9637"/>
            <w:shd w:color="auto" w:fill="auto" w:val="clear"/>
            <w:vAlign w:val="center"/>
          </w:tcPr>
          <w:p w:rsidP="00B65C2B" w:rsidR="0053782E" w:rsidRDefault="0053782E" w:rsidRPr="00086731">
            <w:pPr>
              <w:autoSpaceDE w:val="0"/>
              <w:autoSpaceDN w:val="0"/>
              <w:adjustRightInd w:val="0"/>
              <w:jc w:val="center"/>
              <w:rPr>
                <w:sz w:val="24"/>
              </w:rPr>
            </w:pPr>
            <w:r w:rsidRPr="00086731">
              <w:rPr>
                <w:color w:val="000000"/>
                <w:sz w:val="24"/>
              </w:rPr>
              <w:t>产品特有风险</w:t>
            </w:r>
            <w:r w:rsidRPr="00086731">
              <w:rPr>
                <w:sz w:val="24"/>
              </w:rPr>
              <w:t/>
            </w:r>
          </w:p>
        </w:tc>
      </w:tr>
      <w:tr w:rsidR="0053782E" w:rsidRPr="00FC0759" w:rsidTr="00086731">
        <w:trPr>
          <w:jc w:val="center"/>
        </w:trPr>
        <w:tc>
          <w:tcPr>
            <w:tcW w:type="dxa" w:w="9637"/>
            <w:shd w:color="auto" w:fill="auto" w:val="clear"/>
            <w:vAlign w:val="center"/>
          </w:tcPr>
          <w:p w:rsidP="00086731" w:rsidR="0053782E" w:rsidRDefault="0053782E" w:rsidRPr="00086731">
            <w:pPr>
              <w:autoSpaceDE w:val="0"/>
              <w:autoSpaceDN w:val="0"/>
              <w:adjustRightInd w:val="0"/>
              <w:jc w:val="left"/>
              <w:rPr>
                <w:sz w:val="24"/>
              </w:rPr>
            </w:pPr>
            <w:r w:rsidRPr="00086731">
              <w:rPr>
                <w:sz w:val="24"/>
              </w:rPr>
              <w:t>报告期内，本基金存在单一投资者持有份额比例达到或超过20%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5000万元，基金还可能面临转换运作方式、与其他基金合并或者终止基金合同等情形；持有基金份额占比较高的投资者在召开持有人大会并对审议事项进行投票表决时可能拥有较大话语权。</w:t>
            </w:r>
          </w:p>
        </w:tc>
      </w:tr>
    </w:tbl>
    <w:p w:rsidP="0053782E" w:rsidR="0053782E" w:rsidRDefault="0053782E" w:rsidRPr="0053782E">
      <w:pPr>
        <w:autoSpaceDE w:val="0"/>
        <w:autoSpaceDN w:val="0"/>
        <w:adjustRightInd w:val="0"/>
        <w:spacing w:line="360" w:lineRule="auto"/>
        <w:ind w:firstLine="480" w:firstLineChars="200"/>
        <w:jc w:val="left"/>
        <w:rPr>
          <w:bCs/>
          <w:color w:val="000000"/>
          <w:kern w:val="0"/>
          <w:sz w:val="24"/>
        </w:rPr>
      </w:pPr>
      <w:r w:rsidRPr="0053782E">
        <w:rPr>
          <w:bCs/>
          <w:color w:val="000000"/>
          <w:kern w:val="0"/>
          <w:sz w:val="24"/>
        </w:rPr>
        <w:t>注：申购份额包括申购或者买入基金份额，赎回份额包括赎回或者卖出基金份额。</w:t>
      </w:r>
    </w:p>
    <w:p w:rsidP="00E23C1B" w:rsidR="00EA3F40" w:rsidRDefault="00EA3F40"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color w:val="000000"/>
          <w:kern w:val="0"/>
          <w:sz w:val="24"/>
          <w:szCs w:val="24"/>
        </w:rPr>
        <w:t/>
      </w:r>
      <w:r w:rsidRPr="0097021E">
        <w:rPr>
          <w:rFonts w:ascii="宋体" w:cs="Arial" w:hAnsi="宋体"/>
          <w:color w:val="000000"/>
          <w:kern w:val="0"/>
          <w:sz w:val="24"/>
          <w:szCs w:val="24"/>
        </w:rPr>
        <w:t xml:space="preserve">9  </w:t>
      </w:r>
      <w:r w:rsidRPr="0097021E">
        <w:rPr>
          <w:rFonts w:ascii="宋体" w:cs="Arial" w:hAnsi="宋体" w:hint="eastAsia"/>
          <w:color w:val="000000"/>
          <w:kern w:val="0"/>
          <w:sz w:val="24"/>
          <w:szCs w:val="24"/>
        </w:rPr>
        <w:t>备查文件目录</w:t>
      </w:r>
    </w:p>
    <w:p w:rsidP="00394BC1" w:rsidR="00EA3F40" w:rsidRDefault="00EA3F40"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9</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pPr>
        <w:adjustRightInd w:val="0"/>
        <w:spacing w:line="360" w:lineRule="auto"/>
        <w:ind w:firstLine="480" w:firstLineChars="200"/>
        <w:rPr>
          <w:color w:val="000000"/>
          <w:sz w:val="24"/>
        </w:rPr>
      </w:pPr>
      <w:r>
        <w:rPr>
          <w:color w:val="000000"/>
          <w:sz w:val="24"/>
        </w:rPr>
        <w:t>1.中国证监会批准易方达货币市场基金设立的文件；</w:t>
      </w:r>
    </w:p>
    <w:p>
      <w:pPr>
        <w:adjustRightInd w:val="0"/>
        <w:spacing w:line="360" w:lineRule="auto"/>
        <w:ind w:firstLine="480" w:firstLineChars="200"/>
        <w:rPr>
          <w:color w:val="000000"/>
          <w:sz w:val="24"/>
        </w:rPr>
      </w:pPr>
      <w:r>
        <w:rPr>
          <w:color w:val="000000"/>
          <w:sz w:val="24"/>
        </w:rPr>
        <w:t>2.《易方达货币市场基金基金合同》；</w:t>
      </w:r>
    </w:p>
    <w:p>
      <w:pPr>
        <w:adjustRightInd w:val="0"/>
        <w:spacing w:line="360" w:lineRule="auto"/>
        <w:ind w:firstLine="480" w:firstLineChars="200"/>
        <w:rPr>
          <w:color w:val="000000"/>
          <w:sz w:val="24"/>
        </w:rPr>
      </w:pPr>
      <w:r>
        <w:rPr>
          <w:color w:val="000000"/>
          <w:sz w:val="24"/>
        </w:rPr>
        <w:t xml:space="preserve">3.《易方达货币市场基金托管协议》； </w:t>
      </w:r>
    </w:p>
    <w:p>
      <w:pPr>
        <w:adjustRightInd w:val="0"/>
        <w:spacing w:line="360" w:lineRule="auto"/>
        <w:ind w:firstLine="480" w:firstLineChars="200"/>
        <w:rPr>
          <w:color w:val="000000"/>
          <w:sz w:val="24"/>
        </w:rPr>
      </w:pPr>
      <w:r>
        <w:rPr>
          <w:color w:val="000000"/>
          <w:sz w:val="24"/>
        </w:rPr>
        <w:t>4.《易方达基金管理有限公司开放式基金业务规则》；</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5.基金管理人业务资格批件和营业执照。</w:t>
      </w:r>
    </w:p>
    <w:p w:rsidP="00394BC1" w:rsidR="00EA3F40" w:rsidRDefault="00EA3F40"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9</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P="00613409" w:rsidR="00EA3F40" w:rsidRDefault="00EA3F40" w:rsidRPr="00613409">
      <w:pPr>
        <w:adjustRightInd w:val="0"/>
        <w:spacing w:line="360" w:lineRule="auto"/>
        <w:ind w:firstLine="480" w:firstLineChars="200"/>
        <w:rPr>
          <w:color w:val="000000"/>
          <w:sz w:val="24"/>
        </w:rPr>
      </w:pPr>
      <w:r w:rsidRPr="001752C7">
        <w:rPr>
          <w:color w:val="000000"/>
          <w:sz w:val="24"/>
        </w:rPr>
        <w:t>广州市天河区珠江新城珠江东路30号广州银行大厦40-43楼。</w:t>
      </w:r>
    </w:p>
    <w:p w:rsidP="00394BC1" w:rsidR="00EA3F40" w:rsidRDefault="00EA3F40"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9</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P="001752C7" w:rsidR="00EA3F40" w:rsidRDefault="00EA3F40" w:rsidRPr="001752C7">
      <w:pPr>
        <w:adjustRightInd w:val="0"/>
        <w:spacing w:line="360" w:lineRule="auto"/>
        <w:ind w:firstLine="480" w:firstLineChars="200"/>
        <w:rPr>
          <w:color w:val="000000"/>
          <w:sz w:val="24"/>
        </w:rPr>
      </w:pPr>
      <w:r w:rsidRPr="001752C7">
        <w:rPr>
          <w:color w:val="000000"/>
          <w:sz w:val="24"/>
        </w:rPr>
        <w:t>投资者可在营业时间免费查阅，也可按工本费购买复印件。</w:t>
      </w: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9216A0" w:rsidR="00EA3F40" w:rsidRDefault="00EA3F40">
      <w:pPr>
        <w:spacing w:line="360" w:lineRule="auto"/>
        <w:ind w:firstLine="480" w:firstLineChars="200"/>
        <w:rPr>
          <w:rFonts w:ascii="宋体"/>
          <w:color w:val="000000"/>
          <w:sz w:val="24"/>
        </w:rPr>
      </w:pPr>
    </w:p>
    <w:p w:rsidP="00196812" w:rsidR="00EA3F40" w:rsidRDefault="00EA3F40" w:rsidRPr="0097021E">
      <w:pPr>
        <w:spacing w:line="360" w:lineRule="auto"/>
        <w:ind w:left="840"/>
        <w:jc w:val="right"/>
        <w:rPr>
          <w:rFonts w:ascii="宋体"/>
          <w:color w:val="000000"/>
          <w:sz w:val="24"/>
        </w:rPr>
      </w:pPr>
    </w:p>
    <w:p w:rsidP="00394BC1" w:rsidR="00EA3F40" w:rsidRDefault="00EA3F40" w:rsidRPr="0097021E">
      <w:pPr>
        <w:spacing w:line="360" w:lineRule="auto"/>
        <w:jc w:val="right"/>
        <w:rPr>
          <w:rFonts w:ascii="宋体" w:hAnsi="宋体"/>
          <w:b/>
          <w:bCs/>
          <w:sz w:val="24"/>
        </w:rPr>
      </w:pPr>
      <w:r w:rsidRPr="0097021E">
        <w:rPr>
          <w:rFonts w:ascii="宋体"/>
          <w:b/>
          <w:bCs/>
          <w:sz w:val="24"/>
        </w:rPr>
        <w:t/>
      </w:r>
      <w:r w:rsidRPr="0097021E">
        <w:rPr>
          <w:rFonts w:ascii="宋体" w:hAnsi="宋体"/>
          <w:b/>
          <w:bCs/>
          <w:sz w:val="24"/>
        </w:rPr>
        <w:t>易方达基金管理有限公司</w:t>
      </w:r>
    </w:p>
    <w:p w:rsidP="00394BC1" w:rsidR="00EA3F40" w:rsidRDefault="00EA3F40" w:rsidRPr="0097021E">
      <w:pPr>
        <w:spacing w:line="360" w:lineRule="auto"/>
        <w:jc w:val="right"/>
        <w:rPr>
          <w:rFonts w:ascii="宋体" w:hAnsi="宋体"/>
          <w:b/>
          <w:bCs/>
          <w:sz w:val="24"/>
        </w:rPr>
      </w:pPr>
      <w:r w:rsidRPr="0097021E">
        <w:rPr>
          <w:rFonts w:ascii="宋体" w:hAnsi="宋体"/>
          <w:b/>
          <w:bCs/>
          <w:sz w:val="24"/>
        </w:rPr>
        <w:t>二〇二〇年十月二十八日</w:t>
      </w:r>
    </w:p>
    <w:sectPr w:rsidR="00EA3F40" w:rsidRPr="0097021E"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29" w:rsidRDefault="00335229">
      <w:r>
        <w:separator/>
      </w:r>
    </w:p>
  </w:endnote>
  <w:endnote w:type="continuationSeparator" w:id="0">
    <w:p w:rsidR="00335229" w:rsidRDefault="0033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D0DB0" w:rsidR="00FC1146" w:rsidRDefault="00FC1146" w:rsidRPr="001D0DB0">
    <w:pPr>
      <w:pStyle w:val="a5"/>
      <w:jc w:val="center"/>
    </w:pPr>
    <w:r>
      <w:rPr>
        <w:rFonts w:hint="eastAsia"/>
        <w:szCs w:val="21"/>
      </w:rPr>
      <w:t>第</w:t>
    </w:r>
    <w:r>
      <w:rPr>
        <w:szCs w:val="21"/>
      </w:rPr>
      <w:fldChar w:fldCharType="begin"/>
    </w:r>
    <w:r>
      <w:rPr>
        <w:szCs w:val="21"/>
      </w:rPr>
      <w:instrText xml:space="preserve"> PAGE </w:instrText>
    </w:r>
    <w:r>
      <w:rPr>
        <w:szCs w:val="21"/>
      </w:rPr>
      <w:fldChar w:fldCharType="separate"/>
    </w:r>
    <w:r w:rsidR="008F4C2B">
      <w:rPr>
        <w:noProof/>
        <w:szCs w:val="21"/>
      </w:rPr>
      <w:t>8</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8F4C2B">
      <w:rPr>
        <w:noProof/>
        <w:szCs w:val="21"/>
      </w:rPr>
      <w:t>28</w:t>
    </w:r>
    <w:r>
      <w:rPr>
        <w:szCs w:val="21"/>
      </w:rPr>
      <w:fldChar w:fldCharType="end"/>
    </w:r>
    <w:r>
      <w:rPr>
        <w:rFonts w:hint="eastAsia"/>
        <w:szCs w:val="21"/>
      </w:rPr>
      <w:t>页</w:t>
    </w: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335229" w:rsidRDefault="00335229">
      <w:r>
        <w:separator/>
      </w:r>
    </w:p>
  </w:footnote>
  <w:footnote w:id="0" w:type="continuationSeparator">
    <w:p w:rsidR="00335229" w:rsidRDefault="00335229">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8379E2" w:rsidR="00FC1146" w:rsidRDefault="00FC1146" w:rsidRPr="00936106">
    <w:pPr>
      <w:pStyle w:val="a4"/>
      <w:pBdr>
        <w:bottom w:color="auto" w:space="0" w:sz="6" w:val="single"/>
      </w:pBdr>
      <w:jc w:val="right"/>
      <w:rPr>
        <w:sz w:val="15"/>
      </w:rPr>
    </w:pPr>
    <w:r w:rsidRPr="00936106">
      <w:rPr>
        <w:szCs w:val="21"/>
      </w:rPr>
      <w:t>易方达货币市场基金2020年第3季度报告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cs="Times New Roman" w:hint="default"/>
        <w:color w:val="auto"/>
      </w:rPr>
    </w:lvl>
    <w:lvl w:ilvl="1" w:tentative="1" w:tplc="04090019">
      <w:start w:val="1"/>
      <w:numFmt w:val="lowerLetter"/>
      <w:lvlText w:val="%2)"/>
      <w:lvlJc w:val="left"/>
      <w:pPr>
        <w:tabs>
          <w:tab w:pos="1310" w:val="num"/>
        </w:tabs>
        <w:ind w:hanging="420" w:left="1310"/>
      </w:pPr>
      <w:rPr>
        <w:rFonts w:cs="Times New Roman"/>
      </w:rPr>
    </w:lvl>
    <w:lvl w:ilvl="2" w:tentative="1" w:tplc="0409001B">
      <w:start w:val="1"/>
      <w:numFmt w:val="lowerRoman"/>
      <w:lvlText w:val="%3."/>
      <w:lvlJc w:val="right"/>
      <w:pPr>
        <w:tabs>
          <w:tab w:pos="1730" w:val="num"/>
        </w:tabs>
        <w:ind w:hanging="420" w:left="1730"/>
      </w:pPr>
      <w:rPr>
        <w:rFonts w:cs="Times New Roman"/>
      </w:rPr>
    </w:lvl>
    <w:lvl w:ilvl="3" w:tentative="1" w:tplc="0409000F">
      <w:start w:val="1"/>
      <w:numFmt w:val="decimal"/>
      <w:lvlText w:val="%4."/>
      <w:lvlJc w:val="left"/>
      <w:pPr>
        <w:tabs>
          <w:tab w:pos="2150" w:val="num"/>
        </w:tabs>
        <w:ind w:hanging="420" w:left="2150"/>
      </w:pPr>
      <w:rPr>
        <w:rFonts w:cs="Times New Roman"/>
      </w:rPr>
    </w:lvl>
    <w:lvl w:ilvl="4" w:tentative="1" w:tplc="04090019">
      <w:start w:val="1"/>
      <w:numFmt w:val="lowerLetter"/>
      <w:lvlText w:val="%5)"/>
      <w:lvlJc w:val="left"/>
      <w:pPr>
        <w:tabs>
          <w:tab w:pos="2570" w:val="num"/>
        </w:tabs>
        <w:ind w:hanging="420" w:left="2570"/>
      </w:pPr>
      <w:rPr>
        <w:rFonts w:cs="Times New Roman"/>
      </w:rPr>
    </w:lvl>
    <w:lvl w:ilvl="5" w:tentative="1" w:tplc="0409001B">
      <w:start w:val="1"/>
      <w:numFmt w:val="lowerRoman"/>
      <w:lvlText w:val="%6."/>
      <w:lvlJc w:val="right"/>
      <w:pPr>
        <w:tabs>
          <w:tab w:pos="2990" w:val="num"/>
        </w:tabs>
        <w:ind w:hanging="420" w:left="2990"/>
      </w:pPr>
      <w:rPr>
        <w:rFonts w:cs="Times New Roman"/>
      </w:rPr>
    </w:lvl>
    <w:lvl w:ilvl="6" w:tentative="1" w:tplc="0409000F">
      <w:start w:val="1"/>
      <w:numFmt w:val="decimal"/>
      <w:lvlText w:val="%7."/>
      <w:lvlJc w:val="left"/>
      <w:pPr>
        <w:tabs>
          <w:tab w:pos="3410" w:val="num"/>
        </w:tabs>
        <w:ind w:hanging="420" w:left="3410"/>
      </w:pPr>
      <w:rPr>
        <w:rFonts w:cs="Times New Roman"/>
      </w:rPr>
    </w:lvl>
    <w:lvl w:ilvl="7" w:tentative="1" w:tplc="04090019">
      <w:start w:val="1"/>
      <w:numFmt w:val="lowerLetter"/>
      <w:lvlText w:val="%8)"/>
      <w:lvlJc w:val="left"/>
      <w:pPr>
        <w:tabs>
          <w:tab w:pos="3830" w:val="num"/>
        </w:tabs>
        <w:ind w:hanging="420" w:left="3830"/>
      </w:pPr>
      <w:rPr>
        <w:rFonts w:cs="Times New Roman"/>
      </w:rPr>
    </w:lvl>
    <w:lvl w:ilvl="8" w:tentative="1" w:tplc="0409001B">
      <w:start w:val="1"/>
      <w:numFmt w:val="lowerRoman"/>
      <w:lvlText w:val="%9."/>
      <w:lvlJc w:val="right"/>
      <w:pPr>
        <w:tabs>
          <w:tab w:pos="4250" w:val="num"/>
        </w:tabs>
        <w:ind w:hanging="420" w:left="4250"/>
      </w:pPr>
      <w:rPr>
        <w:rFonts w:cs="Times New Roman"/>
      </w:rPr>
    </w:lvl>
  </w:abstractNum>
  <w:abstractNum w:abstractNumId="1">
    <w:nsid w:val="76E15721"/>
    <w:multiLevelType w:val="hybridMultilevel"/>
    <w:tmpl w:val="A1BADB72"/>
    <w:lvl w:ilvl="0" w:tplc="1694A2F2">
      <w:start w:val="1"/>
      <w:numFmt w:val="decimal"/>
      <w:lvlText w:val="%1、"/>
      <w:lvlJc w:val="left"/>
      <w:pPr>
        <w:tabs>
          <w:tab w:pos="830" w:val="num"/>
        </w:tabs>
        <w:ind w:hanging="360" w:left="830"/>
      </w:pPr>
      <w:rPr>
        <w:rFonts w:ascii="宋体" w:cs="Times New Roman" w:hint="default"/>
        <w:color w:val="auto"/>
      </w:rPr>
    </w:lvl>
    <w:lvl w:ilvl="1" w:tentative="1" w:tplc="04090019">
      <w:start w:val="1"/>
      <w:numFmt w:val="lowerLetter"/>
      <w:lvlText w:val="%2)"/>
      <w:lvlJc w:val="left"/>
      <w:pPr>
        <w:tabs>
          <w:tab w:pos="1310" w:val="num"/>
        </w:tabs>
        <w:ind w:hanging="420" w:left="1310"/>
      </w:pPr>
      <w:rPr>
        <w:rFonts w:cs="Times New Roman"/>
      </w:rPr>
    </w:lvl>
    <w:lvl w:ilvl="2" w:tentative="1" w:tplc="0409001B">
      <w:start w:val="1"/>
      <w:numFmt w:val="lowerRoman"/>
      <w:lvlText w:val="%3."/>
      <w:lvlJc w:val="right"/>
      <w:pPr>
        <w:tabs>
          <w:tab w:pos="1730" w:val="num"/>
        </w:tabs>
        <w:ind w:hanging="420" w:left="1730"/>
      </w:pPr>
      <w:rPr>
        <w:rFonts w:cs="Times New Roman"/>
      </w:rPr>
    </w:lvl>
    <w:lvl w:ilvl="3" w:tentative="1" w:tplc="0409000F">
      <w:start w:val="1"/>
      <w:numFmt w:val="decimal"/>
      <w:lvlText w:val="%4."/>
      <w:lvlJc w:val="left"/>
      <w:pPr>
        <w:tabs>
          <w:tab w:pos="2150" w:val="num"/>
        </w:tabs>
        <w:ind w:hanging="420" w:left="2150"/>
      </w:pPr>
      <w:rPr>
        <w:rFonts w:cs="Times New Roman"/>
      </w:rPr>
    </w:lvl>
    <w:lvl w:ilvl="4" w:tentative="1" w:tplc="04090019">
      <w:start w:val="1"/>
      <w:numFmt w:val="lowerLetter"/>
      <w:lvlText w:val="%5)"/>
      <w:lvlJc w:val="left"/>
      <w:pPr>
        <w:tabs>
          <w:tab w:pos="2570" w:val="num"/>
        </w:tabs>
        <w:ind w:hanging="420" w:left="2570"/>
      </w:pPr>
      <w:rPr>
        <w:rFonts w:cs="Times New Roman"/>
      </w:rPr>
    </w:lvl>
    <w:lvl w:ilvl="5" w:tentative="1" w:tplc="0409001B">
      <w:start w:val="1"/>
      <w:numFmt w:val="lowerRoman"/>
      <w:lvlText w:val="%6."/>
      <w:lvlJc w:val="right"/>
      <w:pPr>
        <w:tabs>
          <w:tab w:pos="2990" w:val="num"/>
        </w:tabs>
        <w:ind w:hanging="420" w:left="2990"/>
      </w:pPr>
      <w:rPr>
        <w:rFonts w:cs="Times New Roman"/>
      </w:rPr>
    </w:lvl>
    <w:lvl w:ilvl="6" w:tentative="1" w:tplc="0409000F">
      <w:start w:val="1"/>
      <w:numFmt w:val="decimal"/>
      <w:lvlText w:val="%7."/>
      <w:lvlJc w:val="left"/>
      <w:pPr>
        <w:tabs>
          <w:tab w:pos="3410" w:val="num"/>
        </w:tabs>
        <w:ind w:hanging="420" w:left="3410"/>
      </w:pPr>
      <w:rPr>
        <w:rFonts w:cs="Times New Roman"/>
      </w:rPr>
    </w:lvl>
    <w:lvl w:ilvl="7" w:tentative="1" w:tplc="04090019">
      <w:start w:val="1"/>
      <w:numFmt w:val="lowerLetter"/>
      <w:lvlText w:val="%8)"/>
      <w:lvlJc w:val="left"/>
      <w:pPr>
        <w:tabs>
          <w:tab w:pos="3830" w:val="num"/>
        </w:tabs>
        <w:ind w:hanging="420" w:left="3830"/>
      </w:pPr>
      <w:rPr>
        <w:rFonts w:cs="Times New Roman"/>
      </w:rPr>
    </w:lvl>
    <w:lvl w:ilvl="8" w:tentative="1" w:tplc="0409001B">
      <w:start w:val="1"/>
      <w:numFmt w:val="lowerRoman"/>
      <w:lvlText w:val="%9."/>
      <w:lvlJc w:val="right"/>
      <w:pPr>
        <w:tabs>
          <w:tab w:pos="4250" w:val="num"/>
        </w:tabs>
        <w:ind w:hanging="420" w:left="4250"/>
      </w:pPr>
      <w:rPr>
        <w:rFonts w:cs="Times New Roman"/>
      </w:rPr>
    </w:lvl>
  </w:abstractNum>
  <w:num w:numId="1">
    <w:abstractNumId w:val="0"/>
  </w:num>
  <w:num w:numId="2">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83"/>
    <w:rsid w:val="000028CE"/>
    <w:rsid w:val="00004DE7"/>
    <w:rsid w:val="00005433"/>
    <w:rsid w:val="0001552D"/>
    <w:rsid w:val="0001566B"/>
    <w:rsid w:val="000175F5"/>
    <w:rsid w:val="0002085F"/>
    <w:rsid w:val="00025C5D"/>
    <w:rsid w:val="000321E9"/>
    <w:rsid w:val="00034C31"/>
    <w:rsid w:val="00035596"/>
    <w:rsid w:val="000375EA"/>
    <w:rsid w:val="000417E0"/>
    <w:rsid w:val="00044724"/>
    <w:rsid w:val="00047661"/>
    <w:rsid w:val="00052CA4"/>
    <w:rsid w:val="00053472"/>
    <w:rsid w:val="00054470"/>
    <w:rsid w:val="0005518A"/>
    <w:rsid w:val="00057D26"/>
    <w:rsid w:val="00063BA4"/>
    <w:rsid w:val="0006697D"/>
    <w:rsid w:val="00067A21"/>
    <w:rsid w:val="00070092"/>
    <w:rsid w:val="0007109E"/>
    <w:rsid w:val="00075BBB"/>
    <w:rsid w:val="00075CA2"/>
    <w:rsid w:val="0007770D"/>
    <w:rsid w:val="00086731"/>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6E5"/>
    <w:rsid w:val="00113777"/>
    <w:rsid w:val="00114C97"/>
    <w:rsid w:val="00127B62"/>
    <w:rsid w:val="001302DB"/>
    <w:rsid w:val="00157B55"/>
    <w:rsid w:val="00162222"/>
    <w:rsid w:val="001635C7"/>
    <w:rsid w:val="001669F2"/>
    <w:rsid w:val="001752C7"/>
    <w:rsid w:val="0018401C"/>
    <w:rsid w:val="00185622"/>
    <w:rsid w:val="00186667"/>
    <w:rsid w:val="001878B0"/>
    <w:rsid w:val="00191B28"/>
    <w:rsid w:val="00192A36"/>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20640F"/>
    <w:rsid w:val="0021251E"/>
    <w:rsid w:val="00220437"/>
    <w:rsid w:val="002315A5"/>
    <w:rsid w:val="00231F37"/>
    <w:rsid w:val="00232095"/>
    <w:rsid w:val="00233014"/>
    <w:rsid w:val="0024424F"/>
    <w:rsid w:val="002507FE"/>
    <w:rsid w:val="0025157E"/>
    <w:rsid w:val="002525C7"/>
    <w:rsid w:val="00255320"/>
    <w:rsid w:val="002611C3"/>
    <w:rsid w:val="002622E8"/>
    <w:rsid w:val="00264E55"/>
    <w:rsid w:val="00267283"/>
    <w:rsid w:val="00274FAC"/>
    <w:rsid w:val="0027576B"/>
    <w:rsid w:val="002767C1"/>
    <w:rsid w:val="00281E3B"/>
    <w:rsid w:val="00282892"/>
    <w:rsid w:val="00291428"/>
    <w:rsid w:val="002A4B7F"/>
    <w:rsid w:val="002B45A4"/>
    <w:rsid w:val="002B6EAF"/>
    <w:rsid w:val="002C17D5"/>
    <w:rsid w:val="002C308A"/>
    <w:rsid w:val="002D3ADF"/>
    <w:rsid w:val="002D680F"/>
    <w:rsid w:val="002D7BD9"/>
    <w:rsid w:val="002E040C"/>
    <w:rsid w:val="002E0F4A"/>
    <w:rsid w:val="002E41BD"/>
    <w:rsid w:val="002F0E9D"/>
    <w:rsid w:val="002F5237"/>
    <w:rsid w:val="002F6539"/>
    <w:rsid w:val="00307062"/>
    <w:rsid w:val="0031055A"/>
    <w:rsid w:val="00311ADA"/>
    <w:rsid w:val="00311AEB"/>
    <w:rsid w:val="00322B07"/>
    <w:rsid w:val="0032323A"/>
    <w:rsid w:val="00323377"/>
    <w:rsid w:val="00327FB0"/>
    <w:rsid w:val="00331FAB"/>
    <w:rsid w:val="00335229"/>
    <w:rsid w:val="0033525E"/>
    <w:rsid w:val="00340292"/>
    <w:rsid w:val="00340456"/>
    <w:rsid w:val="00340C3A"/>
    <w:rsid w:val="00343648"/>
    <w:rsid w:val="00343AF0"/>
    <w:rsid w:val="003451F3"/>
    <w:rsid w:val="00346359"/>
    <w:rsid w:val="00346B82"/>
    <w:rsid w:val="0035022C"/>
    <w:rsid w:val="0035215C"/>
    <w:rsid w:val="00362E2A"/>
    <w:rsid w:val="0036392B"/>
    <w:rsid w:val="00371E26"/>
    <w:rsid w:val="00373AAB"/>
    <w:rsid w:val="0038195B"/>
    <w:rsid w:val="00383631"/>
    <w:rsid w:val="00384942"/>
    <w:rsid w:val="00394BC1"/>
    <w:rsid w:val="003A0EC1"/>
    <w:rsid w:val="003A1E1E"/>
    <w:rsid w:val="003B2989"/>
    <w:rsid w:val="003B36B4"/>
    <w:rsid w:val="003B5756"/>
    <w:rsid w:val="003B6DC6"/>
    <w:rsid w:val="003B7F31"/>
    <w:rsid w:val="003C0E8C"/>
    <w:rsid w:val="003C1137"/>
    <w:rsid w:val="003C38DE"/>
    <w:rsid w:val="003C495A"/>
    <w:rsid w:val="003D1ECF"/>
    <w:rsid w:val="003D21F4"/>
    <w:rsid w:val="003E14FE"/>
    <w:rsid w:val="003E565B"/>
    <w:rsid w:val="003F43EB"/>
    <w:rsid w:val="00402654"/>
    <w:rsid w:val="00403ED2"/>
    <w:rsid w:val="00407CC3"/>
    <w:rsid w:val="00413FA3"/>
    <w:rsid w:val="004250C5"/>
    <w:rsid w:val="00425438"/>
    <w:rsid w:val="00426E31"/>
    <w:rsid w:val="00433C1E"/>
    <w:rsid w:val="004369B0"/>
    <w:rsid w:val="00440828"/>
    <w:rsid w:val="004409FE"/>
    <w:rsid w:val="0044257C"/>
    <w:rsid w:val="0044342F"/>
    <w:rsid w:val="00446474"/>
    <w:rsid w:val="004527E3"/>
    <w:rsid w:val="00452D31"/>
    <w:rsid w:val="00460000"/>
    <w:rsid w:val="00461A70"/>
    <w:rsid w:val="004702DF"/>
    <w:rsid w:val="00470F55"/>
    <w:rsid w:val="00473E10"/>
    <w:rsid w:val="00473EC9"/>
    <w:rsid w:val="00474896"/>
    <w:rsid w:val="004771B9"/>
    <w:rsid w:val="004950A3"/>
    <w:rsid w:val="00496B2E"/>
    <w:rsid w:val="004A0C6B"/>
    <w:rsid w:val="004A2432"/>
    <w:rsid w:val="004A3251"/>
    <w:rsid w:val="004A357E"/>
    <w:rsid w:val="004A46A0"/>
    <w:rsid w:val="004B1C09"/>
    <w:rsid w:val="004C5B7C"/>
    <w:rsid w:val="004D22E1"/>
    <w:rsid w:val="004D581E"/>
    <w:rsid w:val="004D72C7"/>
    <w:rsid w:val="004E041A"/>
    <w:rsid w:val="004E1DC5"/>
    <w:rsid w:val="004E3452"/>
    <w:rsid w:val="004E4E63"/>
    <w:rsid w:val="004F3BE1"/>
    <w:rsid w:val="004F459B"/>
    <w:rsid w:val="00500487"/>
    <w:rsid w:val="00506EF6"/>
    <w:rsid w:val="005141F5"/>
    <w:rsid w:val="0051505A"/>
    <w:rsid w:val="00515166"/>
    <w:rsid w:val="0051578D"/>
    <w:rsid w:val="005212AE"/>
    <w:rsid w:val="00532457"/>
    <w:rsid w:val="00533490"/>
    <w:rsid w:val="0053782E"/>
    <w:rsid w:val="0054464B"/>
    <w:rsid w:val="00546492"/>
    <w:rsid w:val="00546747"/>
    <w:rsid w:val="0054785C"/>
    <w:rsid w:val="00555883"/>
    <w:rsid w:val="00560F94"/>
    <w:rsid w:val="005633AD"/>
    <w:rsid w:val="00564C24"/>
    <w:rsid w:val="00570F8C"/>
    <w:rsid w:val="00575970"/>
    <w:rsid w:val="00582960"/>
    <w:rsid w:val="00587524"/>
    <w:rsid w:val="00592D0A"/>
    <w:rsid w:val="00594DCA"/>
    <w:rsid w:val="00595285"/>
    <w:rsid w:val="005A60B7"/>
    <w:rsid w:val="005B527B"/>
    <w:rsid w:val="005D1572"/>
    <w:rsid w:val="005D1BAF"/>
    <w:rsid w:val="005D21B9"/>
    <w:rsid w:val="005D4E63"/>
    <w:rsid w:val="005D596C"/>
    <w:rsid w:val="005D6807"/>
    <w:rsid w:val="005E05CC"/>
    <w:rsid w:val="005E2087"/>
    <w:rsid w:val="005E4559"/>
    <w:rsid w:val="005E6FA5"/>
    <w:rsid w:val="005F1343"/>
    <w:rsid w:val="005F1712"/>
    <w:rsid w:val="005F17EC"/>
    <w:rsid w:val="005F41D2"/>
    <w:rsid w:val="005F5A09"/>
    <w:rsid w:val="005F668B"/>
    <w:rsid w:val="005F6B28"/>
    <w:rsid w:val="00613327"/>
    <w:rsid w:val="00613409"/>
    <w:rsid w:val="006214E4"/>
    <w:rsid w:val="006254A5"/>
    <w:rsid w:val="006317E8"/>
    <w:rsid w:val="0063302E"/>
    <w:rsid w:val="00633177"/>
    <w:rsid w:val="006331F2"/>
    <w:rsid w:val="00636261"/>
    <w:rsid w:val="00636B17"/>
    <w:rsid w:val="0064191E"/>
    <w:rsid w:val="00664834"/>
    <w:rsid w:val="006662B2"/>
    <w:rsid w:val="00672BEF"/>
    <w:rsid w:val="00673BA5"/>
    <w:rsid w:val="00680A32"/>
    <w:rsid w:val="006911A1"/>
    <w:rsid w:val="006961CC"/>
    <w:rsid w:val="006A1E40"/>
    <w:rsid w:val="006A2D00"/>
    <w:rsid w:val="006B4C67"/>
    <w:rsid w:val="006B56E1"/>
    <w:rsid w:val="006D0BD6"/>
    <w:rsid w:val="006D27DD"/>
    <w:rsid w:val="006D4647"/>
    <w:rsid w:val="006D4C22"/>
    <w:rsid w:val="006E4EB5"/>
    <w:rsid w:val="006F1C55"/>
    <w:rsid w:val="006F3CEE"/>
    <w:rsid w:val="006F622C"/>
    <w:rsid w:val="00705970"/>
    <w:rsid w:val="00707CB2"/>
    <w:rsid w:val="00710487"/>
    <w:rsid w:val="00710B11"/>
    <w:rsid w:val="00714B3D"/>
    <w:rsid w:val="00714FD1"/>
    <w:rsid w:val="007277D1"/>
    <w:rsid w:val="00727EA0"/>
    <w:rsid w:val="00730216"/>
    <w:rsid w:val="0073105A"/>
    <w:rsid w:val="00734B8E"/>
    <w:rsid w:val="00737060"/>
    <w:rsid w:val="00741288"/>
    <w:rsid w:val="0074455F"/>
    <w:rsid w:val="007521F9"/>
    <w:rsid w:val="00756489"/>
    <w:rsid w:val="00756EA2"/>
    <w:rsid w:val="00757F37"/>
    <w:rsid w:val="007600BC"/>
    <w:rsid w:val="00762326"/>
    <w:rsid w:val="00762E87"/>
    <w:rsid w:val="00764CF7"/>
    <w:rsid w:val="007723FD"/>
    <w:rsid w:val="00772687"/>
    <w:rsid w:val="007746B3"/>
    <w:rsid w:val="00774E1E"/>
    <w:rsid w:val="00780252"/>
    <w:rsid w:val="007806BE"/>
    <w:rsid w:val="0078105B"/>
    <w:rsid w:val="00782061"/>
    <w:rsid w:val="00785C32"/>
    <w:rsid w:val="007A1ACF"/>
    <w:rsid w:val="007A339E"/>
    <w:rsid w:val="007A3C26"/>
    <w:rsid w:val="007B082A"/>
    <w:rsid w:val="007B1C3E"/>
    <w:rsid w:val="007C3671"/>
    <w:rsid w:val="007C42E5"/>
    <w:rsid w:val="007C5CCD"/>
    <w:rsid w:val="007C65CB"/>
    <w:rsid w:val="007E0C02"/>
    <w:rsid w:val="007F1DE3"/>
    <w:rsid w:val="007F7BD7"/>
    <w:rsid w:val="008056FA"/>
    <w:rsid w:val="008115B6"/>
    <w:rsid w:val="00812956"/>
    <w:rsid w:val="00813897"/>
    <w:rsid w:val="00814461"/>
    <w:rsid w:val="00823B47"/>
    <w:rsid w:val="00823E09"/>
    <w:rsid w:val="00824D84"/>
    <w:rsid w:val="00825EA5"/>
    <w:rsid w:val="00833555"/>
    <w:rsid w:val="008347B3"/>
    <w:rsid w:val="00834D9F"/>
    <w:rsid w:val="008356E6"/>
    <w:rsid w:val="00835BDD"/>
    <w:rsid w:val="008379E2"/>
    <w:rsid w:val="00841A22"/>
    <w:rsid w:val="00852119"/>
    <w:rsid w:val="0085498E"/>
    <w:rsid w:val="0086245E"/>
    <w:rsid w:val="00870A3C"/>
    <w:rsid w:val="00870FF9"/>
    <w:rsid w:val="00873386"/>
    <w:rsid w:val="00877329"/>
    <w:rsid w:val="00880EE6"/>
    <w:rsid w:val="008821D9"/>
    <w:rsid w:val="00882323"/>
    <w:rsid w:val="00893021"/>
    <w:rsid w:val="008B23BD"/>
    <w:rsid w:val="008C579A"/>
    <w:rsid w:val="008D0A39"/>
    <w:rsid w:val="008D55F2"/>
    <w:rsid w:val="008E4638"/>
    <w:rsid w:val="008E71D2"/>
    <w:rsid w:val="008F44F3"/>
    <w:rsid w:val="008F4C2B"/>
    <w:rsid w:val="009004F7"/>
    <w:rsid w:val="00902E3F"/>
    <w:rsid w:val="00903E98"/>
    <w:rsid w:val="00906C9B"/>
    <w:rsid w:val="00910FB5"/>
    <w:rsid w:val="00911C0E"/>
    <w:rsid w:val="009153D7"/>
    <w:rsid w:val="00917991"/>
    <w:rsid w:val="009216A0"/>
    <w:rsid w:val="009223B5"/>
    <w:rsid w:val="00922A49"/>
    <w:rsid w:val="00934C3D"/>
    <w:rsid w:val="00936106"/>
    <w:rsid w:val="0094213C"/>
    <w:rsid w:val="0094236C"/>
    <w:rsid w:val="00943AFD"/>
    <w:rsid w:val="00950BF5"/>
    <w:rsid w:val="0097021E"/>
    <w:rsid w:val="00971C19"/>
    <w:rsid w:val="00971D35"/>
    <w:rsid w:val="00976A1A"/>
    <w:rsid w:val="0098023C"/>
    <w:rsid w:val="00987902"/>
    <w:rsid w:val="0099296A"/>
    <w:rsid w:val="009965A5"/>
    <w:rsid w:val="009A0BE2"/>
    <w:rsid w:val="009A56D7"/>
    <w:rsid w:val="009A6938"/>
    <w:rsid w:val="009A755D"/>
    <w:rsid w:val="009B15FD"/>
    <w:rsid w:val="009B2693"/>
    <w:rsid w:val="009B3C3F"/>
    <w:rsid w:val="009B73A7"/>
    <w:rsid w:val="009C0C44"/>
    <w:rsid w:val="009C1A42"/>
    <w:rsid w:val="009D60EB"/>
    <w:rsid w:val="009D74FC"/>
    <w:rsid w:val="009E07F4"/>
    <w:rsid w:val="009E2527"/>
    <w:rsid w:val="009E2BAA"/>
    <w:rsid w:val="009E3E0B"/>
    <w:rsid w:val="009F2322"/>
    <w:rsid w:val="009F480F"/>
    <w:rsid w:val="00A01505"/>
    <w:rsid w:val="00A1530B"/>
    <w:rsid w:val="00A16747"/>
    <w:rsid w:val="00A16D78"/>
    <w:rsid w:val="00A24DC0"/>
    <w:rsid w:val="00A333CB"/>
    <w:rsid w:val="00A4003E"/>
    <w:rsid w:val="00A40052"/>
    <w:rsid w:val="00A42A96"/>
    <w:rsid w:val="00A455A0"/>
    <w:rsid w:val="00A50D92"/>
    <w:rsid w:val="00A6166A"/>
    <w:rsid w:val="00A62DD4"/>
    <w:rsid w:val="00A63D5F"/>
    <w:rsid w:val="00A65A66"/>
    <w:rsid w:val="00A7219D"/>
    <w:rsid w:val="00A74DD3"/>
    <w:rsid w:val="00A805BC"/>
    <w:rsid w:val="00A80F9F"/>
    <w:rsid w:val="00A81075"/>
    <w:rsid w:val="00A87550"/>
    <w:rsid w:val="00A91D2A"/>
    <w:rsid w:val="00A95FA9"/>
    <w:rsid w:val="00AA5B03"/>
    <w:rsid w:val="00AA68D4"/>
    <w:rsid w:val="00AB24CA"/>
    <w:rsid w:val="00AB373C"/>
    <w:rsid w:val="00AB5159"/>
    <w:rsid w:val="00AB67DE"/>
    <w:rsid w:val="00AB7D0C"/>
    <w:rsid w:val="00AC2B47"/>
    <w:rsid w:val="00AC3D9E"/>
    <w:rsid w:val="00AC6C3D"/>
    <w:rsid w:val="00AD1ADB"/>
    <w:rsid w:val="00AD6777"/>
    <w:rsid w:val="00AD6BD5"/>
    <w:rsid w:val="00AE17F1"/>
    <w:rsid w:val="00AE27A3"/>
    <w:rsid w:val="00AE2FB9"/>
    <w:rsid w:val="00AE342F"/>
    <w:rsid w:val="00AE4F96"/>
    <w:rsid w:val="00AE6D9A"/>
    <w:rsid w:val="00AE7435"/>
    <w:rsid w:val="00AF2397"/>
    <w:rsid w:val="00AF27F9"/>
    <w:rsid w:val="00AF3D19"/>
    <w:rsid w:val="00B040BC"/>
    <w:rsid w:val="00B0441A"/>
    <w:rsid w:val="00B044FC"/>
    <w:rsid w:val="00B06458"/>
    <w:rsid w:val="00B213AC"/>
    <w:rsid w:val="00B25119"/>
    <w:rsid w:val="00B261EB"/>
    <w:rsid w:val="00B27004"/>
    <w:rsid w:val="00B33F45"/>
    <w:rsid w:val="00B33FA5"/>
    <w:rsid w:val="00B415B8"/>
    <w:rsid w:val="00B420AC"/>
    <w:rsid w:val="00B4354A"/>
    <w:rsid w:val="00B461D8"/>
    <w:rsid w:val="00B54CC5"/>
    <w:rsid w:val="00B60E27"/>
    <w:rsid w:val="00B64D62"/>
    <w:rsid w:val="00B65C2B"/>
    <w:rsid w:val="00B76BBB"/>
    <w:rsid w:val="00B83944"/>
    <w:rsid w:val="00B94B49"/>
    <w:rsid w:val="00BA7AF1"/>
    <w:rsid w:val="00BB03CC"/>
    <w:rsid w:val="00BB252C"/>
    <w:rsid w:val="00BB5126"/>
    <w:rsid w:val="00BB7518"/>
    <w:rsid w:val="00BC0205"/>
    <w:rsid w:val="00BC14F5"/>
    <w:rsid w:val="00BC2146"/>
    <w:rsid w:val="00BD0F36"/>
    <w:rsid w:val="00BD6918"/>
    <w:rsid w:val="00BE1FC8"/>
    <w:rsid w:val="00BE439F"/>
    <w:rsid w:val="00BE5584"/>
    <w:rsid w:val="00BF1111"/>
    <w:rsid w:val="00BF3886"/>
    <w:rsid w:val="00C006E9"/>
    <w:rsid w:val="00C009AF"/>
    <w:rsid w:val="00C0152D"/>
    <w:rsid w:val="00C2005E"/>
    <w:rsid w:val="00C205E4"/>
    <w:rsid w:val="00C2782D"/>
    <w:rsid w:val="00C3040F"/>
    <w:rsid w:val="00C31708"/>
    <w:rsid w:val="00C343F3"/>
    <w:rsid w:val="00C361A1"/>
    <w:rsid w:val="00C36C15"/>
    <w:rsid w:val="00C4213A"/>
    <w:rsid w:val="00C4371A"/>
    <w:rsid w:val="00C4627A"/>
    <w:rsid w:val="00C526E2"/>
    <w:rsid w:val="00C637D1"/>
    <w:rsid w:val="00C640B8"/>
    <w:rsid w:val="00C7033B"/>
    <w:rsid w:val="00C75870"/>
    <w:rsid w:val="00C83157"/>
    <w:rsid w:val="00C91200"/>
    <w:rsid w:val="00C927D5"/>
    <w:rsid w:val="00CA0730"/>
    <w:rsid w:val="00CA1C04"/>
    <w:rsid w:val="00CA3808"/>
    <w:rsid w:val="00CA592F"/>
    <w:rsid w:val="00CA65DD"/>
    <w:rsid w:val="00CB0E8A"/>
    <w:rsid w:val="00CB6152"/>
    <w:rsid w:val="00CC0035"/>
    <w:rsid w:val="00CC05B9"/>
    <w:rsid w:val="00CC3F83"/>
    <w:rsid w:val="00CC40F7"/>
    <w:rsid w:val="00CC57FC"/>
    <w:rsid w:val="00CC7DB0"/>
    <w:rsid w:val="00CD3D1C"/>
    <w:rsid w:val="00CD5F24"/>
    <w:rsid w:val="00CE0E18"/>
    <w:rsid w:val="00CE193A"/>
    <w:rsid w:val="00CE6A71"/>
    <w:rsid w:val="00CF6DF0"/>
    <w:rsid w:val="00CF7A26"/>
    <w:rsid w:val="00CF7E28"/>
    <w:rsid w:val="00D02B35"/>
    <w:rsid w:val="00D06255"/>
    <w:rsid w:val="00D06394"/>
    <w:rsid w:val="00D15D82"/>
    <w:rsid w:val="00D1705E"/>
    <w:rsid w:val="00D25602"/>
    <w:rsid w:val="00D271A9"/>
    <w:rsid w:val="00D30BD3"/>
    <w:rsid w:val="00D33791"/>
    <w:rsid w:val="00D33BA8"/>
    <w:rsid w:val="00D364EB"/>
    <w:rsid w:val="00D40363"/>
    <w:rsid w:val="00D41D32"/>
    <w:rsid w:val="00D451BC"/>
    <w:rsid w:val="00D51E96"/>
    <w:rsid w:val="00D568AA"/>
    <w:rsid w:val="00D568BB"/>
    <w:rsid w:val="00D63B9E"/>
    <w:rsid w:val="00D65D90"/>
    <w:rsid w:val="00D66016"/>
    <w:rsid w:val="00D769BA"/>
    <w:rsid w:val="00D8034F"/>
    <w:rsid w:val="00D81755"/>
    <w:rsid w:val="00D8617C"/>
    <w:rsid w:val="00D87D00"/>
    <w:rsid w:val="00D94E23"/>
    <w:rsid w:val="00DA1983"/>
    <w:rsid w:val="00DA2F1E"/>
    <w:rsid w:val="00DA5831"/>
    <w:rsid w:val="00DB17B8"/>
    <w:rsid w:val="00DB2873"/>
    <w:rsid w:val="00DC4482"/>
    <w:rsid w:val="00DD5028"/>
    <w:rsid w:val="00DD5350"/>
    <w:rsid w:val="00DE38DA"/>
    <w:rsid w:val="00DE4550"/>
    <w:rsid w:val="00DF1198"/>
    <w:rsid w:val="00E009CD"/>
    <w:rsid w:val="00E067CB"/>
    <w:rsid w:val="00E12082"/>
    <w:rsid w:val="00E17870"/>
    <w:rsid w:val="00E21589"/>
    <w:rsid w:val="00E23C1B"/>
    <w:rsid w:val="00E24D9E"/>
    <w:rsid w:val="00E257C8"/>
    <w:rsid w:val="00E26581"/>
    <w:rsid w:val="00E2722E"/>
    <w:rsid w:val="00E325AB"/>
    <w:rsid w:val="00E3447D"/>
    <w:rsid w:val="00E431CE"/>
    <w:rsid w:val="00E445F8"/>
    <w:rsid w:val="00E503E4"/>
    <w:rsid w:val="00E55E02"/>
    <w:rsid w:val="00E571C4"/>
    <w:rsid w:val="00E63B3D"/>
    <w:rsid w:val="00E64479"/>
    <w:rsid w:val="00E67D99"/>
    <w:rsid w:val="00E75556"/>
    <w:rsid w:val="00E75EFA"/>
    <w:rsid w:val="00E76F1F"/>
    <w:rsid w:val="00E80BE2"/>
    <w:rsid w:val="00E8309D"/>
    <w:rsid w:val="00E90A9C"/>
    <w:rsid w:val="00E95356"/>
    <w:rsid w:val="00E966E5"/>
    <w:rsid w:val="00EA3D96"/>
    <w:rsid w:val="00EA3F40"/>
    <w:rsid w:val="00EA6B69"/>
    <w:rsid w:val="00EA6B7B"/>
    <w:rsid w:val="00EB25E4"/>
    <w:rsid w:val="00EB3D8B"/>
    <w:rsid w:val="00EB7416"/>
    <w:rsid w:val="00EC06C6"/>
    <w:rsid w:val="00EC104E"/>
    <w:rsid w:val="00EC4453"/>
    <w:rsid w:val="00ED0D44"/>
    <w:rsid w:val="00ED1B77"/>
    <w:rsid w:val="00ED5511"/>
    <w:rsid w:val="00ED57D1"/>
    <w:rsid w:val="00EE2BF2"/>
    <w:rsid w:val="00EF172D"/>
    <w:rsid w:val="00EF3B7C"/>
    <w:rsid w:val="00EF56FA"/>
    <w:rsid w:val="00EF6216"/>
    <w:rsid w:val="00EF6E42"/>
    <w:rsid w:val="00F0613C"/>
    <w:rsid w:val="00F07CBB"/>
    <w:rsid w:val="00F11244"/>
    <w:rsid w:val="00F14A7B"/>
    <w:rsid w:val="00F1658B"/>
    <w:rsid w:val="00F2540D"/>
    <w:rsid w:val="00F26602"/>
    <w:rsid w:val="00F31380"/>
    <w:rsid w:val="00F333BF"/>
    <w:rsid w:val="00F34499"/>
    <w:rsid w:val="00F406E3"/>
    <w:rsid w:val="00F40C82"/>
    <w:rsid w:val="00F50707"/>
    <w:rsid w:val="00F5114E"/>
    <w:rsid w:val="00F53B1A"/>
    <w:rsid w:val="00F54568"/>
    <w:rsid w:val="00F56FBC"/>
    <w:rsid w:val="00F57249"/>
    <w:rsid w:val="00F62DE3"/>
    <w:rsid w:val="00F77131"/>
    <w:rsid w:val="00F85D7E"/>
    <w:rsid w:val="00FA041A"/>
    <w:rsid w:val="00FA4C13"/>
    <w:rsid w:val="00FA7550"/>
    <w:rsid w:val="00FB345F"/>
    <w:rsid w:val="00FB4DA5"/>
    <w:rsid w:val="00FC1146"/>
    <w:rsid w:val="00FC57A1"/>
    <w:rsid w:val="00FC6D26"/>
    <w:rsid w:val="00FD3820"/>
    <w:rsid w:val="00FE6E6D"/>
    <w:rsid w:val="00FF0DAE"/>
    <w:rsid w:val="00FF3092"/>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iPriority="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33525E"/>
    <w:pPr>
      <w:widowControl w:val="0"/>
      <w:jc w:val="both"/>
    </w:pPr>
    <w:rPr>
      <w:kern w:val="2"/>
      <w:sz w:val="21"/>
      <w:szCs w:val="24"/>
    </w:rPr>
  </w:style>
  <w:style w:styleId="1" w:type="paragraph">
    <w:name w:val="heading 1"/>
    <w:basedOn w:val="a"/>
    <w:next w:val="a"/>
    <w:link w:val="1Char"/>
    <w:uiPriority w:val="99"/>
    <w:qFormat/>
    <w:rsid w:val="00CA65DD"/>
    <w:pPr>
      <w:keepNext/>
      <w:keepLines/>
      <w:spacing w:after="330" w:before="340" w:line="578" w:lineRule="auto"/>
      <w:outlineLvl w:val="0"/>
    </w:pPr>
    <w:rPr>
      <w:b/>
      <w:bCs/>
      <w:kern w:val="44"/>
      <w:sz w:val="44"/>
      <w:szCs w:val="44"/>
    </w:rPr>
  </w:style>
  <w:style w:styleId="2" w:type="paragraph">
    <w:name w:val="heading 2"/>
    <w:basedOn w:val="a"/>
    <w:next w:val="a0"/>
    <w:link w:val="2Char"/>
    <w:uiPriority w:val="9"/>
    <w:qFormat/>
    <w:rsid w:val="009D74FC"/>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CA65DD"/>
    <w:rPr>
      <w:rFonts w:cs="Times New Roman"/>
      <w:b/>
      <w:bCs/>
      <w:kern w:val="44"/>
      <w:sz w:val="44"/>
      <w:szCs w:val="44"/>
    </w:rPr>
  </w:style>
  <w:style w:customStyle="1" w:styleId="2Char" w:type="character">
    <w:name w:val="标题 2 Char"/>
    <w:link w:val="2"/>
    <w:uiPriority w:val="9"/>
    <w:semiHidden/>
    <w:rsid w:val="006F6012"/>
    <w:rPr>
      <w:rFonts w:ascii="Cambria" w:cs="Times New Roman" w:eastAsia="宋体" w:hAnsi="Cambria"/>
      <w:b/>
      <w:bCs/>
      <w:sz w:val="32"/>
      <w:szCs w:val="32"/>
    </w:rPr>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customStyle="1" w:styleId="Char" w:type="character">
    <w:name w:val="页眉 Char"/>
    <w:link w:val="a4"/>
    <w:uiPriority w:val="99"/>
    <w:locked/>
    <w:rsid w:val="008379E2"/>
    <w:rPr>
      <w:rFonts w:cs="Times New Roman"/>
      <w:kern w:val="2"/>
      <w:sz w:val="18"/>
      <w:szCs w:val="18"/>
    </w:rPr>
  </w:style>
  <w:style w:styleId="a5" w:type="paragraph">
    <w:name w:val="footer"/>
    <w:basedOn w:val="a"/>
    <w:link w:val="Char0"/>
    <w:uiPriority w:val="99"/>
    <w:rsid w:val="00613327"/>
    <w:pPr>
      <w:tabs>
        <w:tab w:pos="4153" w:val="center"/>
        <w:tab w:pos="8306" w:val="right"/>
      </w:tabs>
      <w:snapToGrid w:val="0"/>
      <w:jc w:val="left"/>
    </w:pPr>
    <w:rPr>
      <w:kern w:val="0"/>
      <w:sz w:val="18"/>
      <w:szCs w:val="18"/>
    </w:rPr>
  </w:style>
  <w:style w:customStyle="1" w:styleId="Char0" w:type="character">
    <w:name w:val="页脚 Char"/>
    <w:link w:val="a5"/>
    <w:uiPriority w:val="99"/>
    <w:semiHidden/>
    <w:rsid w:val="006F6012"/>
    <w:rPr>
      <w:sz w:val="18"/>
      <w:szCs w:val="18"/>
    </w:rPr>
  </w:style>
  <w:style w:customStyle="1" w:styleId="Char1" w:type="paragraph">
    <w:name w:val="Char"/>
    <w:basedOn w:val="a"/>
    <w:uiPriority w:val="99"/>
    <w:rsid w:val="00186667"/>
  </w:style>
  <w:style w:styleId="20" w:type="paragraph">
    <w:name w:val="Body Text Indent 2"/>
    <w:basedOn w:val="a"/>
    <w:link w:val="2Char0"/>
    <w:uiPriority w:val="99"/>
    <w:rsid w:val="00186667"/>
    <w:pPr>
      <w:spacing w:line="560" w:lineRule="exact"/>
      <w:ind w:firstLine="480" w:firstLineChars="200"/>
    </w:pPr>
    <w:rPr>
      <w:kern w:val="0"/>
      <w:sz w:val="20"/>
    </w:rPr>
  </w:style>
  <w:style w:customStyle="1" w:styleId="2Char0" w:type="character">
    <w:name w:val="正文文本缩进 2 Char"/>
    <w:link w:val="20"/>
    <w:uiPriority w:val="99"/>
    <w:semiHidden/>
    <w:rsid w:val="006F6012"/>
    <w:rPr>
      <w:szCs w:val="24"/>
    </w:rPr>
  </w:style>
  <w:style w:styleId="a6" w:type="paragraph">
    <w:name w:val="Plain Text"/>
    <w:basedOn w:val="a"/>
    <w:link w:val="Char2"/>
    <w:uiPriority w:val="99"/>
    <w:rsid w:val="004771B9"/>
    <w:rPr>
      <w:rFonts w:ascii="宋体" w:hAnsi="Courier New"/>
      <w:szCs w:val="20"/>
    </w:rPr>
  </w:style>
  <w:style w:customStyle="1" w:styleId="Char2" w:type="character">
    <w:name w:val="纯文本 Char"/>
    <w:link w:val="a6"/>
    <w:uiPriority w:val="99"/>
    <w:locked/>
    <w:rsid w:val="00E63B3D"/>
    <w:rPr>
      <w:rFonts w:ascii="宋体" w:hAnsi="Courier New"/>
      <w:kern w:val="2"/>
      <w:sz w:val="21"/>
    </w:rPr>
  </w:style>
  <w:style w:styleId="3" w:type="paragraph">
    <w:name w:val="Body Text Indent 3"/>
    <w:basedOn w:val="a"/>
    <w:link w:val="3Char"/>
    <w:uiPriority w:val="99"/>
    <w:rsid w:val="004771B9"/>
    <w:pPr>
      <w:spacing w:after="120"/>
      <w:ind w:left="420" w:leftChars="200"/>
    </w:pPr>
    <w:rPr>
      <w:kern w:val="0"/>
      <w:sz w:val="16"/>
      <w:szCs w:val="16"/>
    </w:rPr>
  </w:style>
  <w:style w:customStyle="1" w:styleId="3Char" w:type="character">
    <w:name w:val="正文文本缩进 3 Char"/>
    <w:link w:val="3"/>
    <w:uiPriority w:val="99"/>
    <w:semiHidden/>
    <w:rsid w:val="006F6012"/>
    <w:rPr>
      <w:sz w:val="16"/>
      <w:szCs w:val="16"/>
    </w:rPr>
  </w:style>
  <w:style w:styleId="a0" w:type="paragraph">
    <w:name w:val="Normal Indent"/>
    <w:basedOn w:val="a"/>
    <w:uiPriority w:val="99"/>
    <w:rsid w:val="009D74FC"/>
    <w:pPr>
      <w:ind w:firstLine="420" w:firstLineChars="200"/>
    </w:pPr>
  </w:style>
  <w:style w:styleId="a7" w:type="paragraph">
    <w:name w:val="Document Map"/>
    <w:basedOn w:val="a"/>
    <w:link w:val="Char3"/>
    <w:uiPriority w:val="99"/>
    <w:semiHidden/>
    <w:rsid w:val="005212AE"/>
    <w:pPr>
      <w:shd w:color="auto" w:fill="000080" w:val="clear"/>
    </w:pPr>
    <w:rPr>
      <w:kern w:val="0"/>
      <w:sz w:val="0"/>
      <w:szCs w:val="0"/>
    </w:rPr>
  </w:style>
  <w:style w:customStyle="1" w:styleId="Char3" w:type="character">
    <w:name w:val="文档结构图 Char"/>
    <w:link w:val="a7"/>
    <w:uiPriority w:val="99"/>
    <w:semiHidden/>
    <w:rsid w:val="006F6012"/>
    <w:rPr>
      <w:sz w:val="0"/>
      <w:szCs w:val="0"/>
    </w:rPr>
  </w:style>
  <w:style w:styleId="a8" w:type="paragraph">
    <w:name w:val="Balloon Text"/>
    <w:basedOn w:val="a"/>
    <w:link w:val="Char4"/>
    <w:uiPriority w:val="99"/>
    <w:rsid w:val="00E63B3D"/>
    <w:rPr>
      <w:sz w:val="18"/>
      <w:szCs w:val="18"/>
    </w:rPr>
  </w:style>
  <w:style w:customStyle="1" w:styleId="Char4" w:type="character">
    <w:name w:val="批注框文本 Char"/>
    <w:link w:val="a8"/>
    <w:uiPriority w:val="99"/>
    <w:locked/>
    <w:rsid w:val="00E63B3D"/>
    <w:rPr>
      <w:rFonts w:cs="Times New Roman"/>
      <w:kern w:val="2"/>
      <w:sz w:val="18"/>
      <w:szCs w:val="18"/>
    </w:rPr>
  </w:style>
  <w:style w:styleId="a9" w:type="paragraph">
    <w:name w:val="List Paragraph"/>
    <w:basedOn w:val="a"/>
    <w:uiPriority w:val="99"/>
    <w:qFormat/>
    <w:rsid w:val="005F668B"/>
    <w:pPr>
      <w:ind w:firstLine="420" w:firstLineChars="200"/>
    </w:pPr>
  </w:style>
  <w:style w:styleId="aa" w:type="table">
    <w:name w:val="Table Grid"/>
    <w:basedOn w:val="a2"/>
    <w:qFormat/>
    <w:rsid w:val="005A60B7"/>
    <w:tblPr>
      <w:tblInd w:type="dxa"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108"/>
        <w:bottom w:type="dxa" w:w="0"/>
        <w:right w:type="dxa" w:w="108"/>
      </w:tblCellMar>
    </w:tblPr>
  </w:style>
  <w:style w:styleId="ab" w:type="paragraph">
    <w:name w:val="Normal (Web)"/>
    <w:basedOn w:val="a"/>
    <w:uiPriority w:val="99"/>
    <w:rsid w:val="008B23BD"/>
    <w:pPr>
      <w:widowControl/>
      <w:spacing w:after="100" w:afterAutospacing="1" w:before="100" w:beforeAutospacing="1"/>
    </w:pPr>
    <w:rPr>
      <w:rFonts w:ascii="宋体" w:hAnsi="宋体"/>
      <w:kern w:val="0"/>
      <w:sz w:val="24"/>
      <w:szCs w:val="20"/>
    </w:rPr>
  </w:style>
  <w:style w:styleId="ac" w:type="paragraph">
    <w:name w:val="Date"/>
    <w:basedOn w:val="a"/>
    <w:next w:val="a"/>
    <w:link w:val="Char5"/>
    <w:uiPriority w:val="99"/>
    <w:rsid w:val="00D66016"/>
    <w:rPr>
      <w:sz w:val="24"/>
      <w:szCs w:val="20"/>
    </w:rPr>
  </w:style>
  <w:style w:customStyle="1" w:styleId="Char5" w:type="character">
    <w:name w:val="日期 Char"/>
    <w:link w:val="ac"/>
    <w:uiPriority w:val="99"/>
    <w:locked/>
    <w:rsid w:val="00D66016"/>
    <w:rPr>
      <w:rFonts w:cs="Times New Roman"/>
      <w:kern w:val="2"/>
      <w:sz w:val="24"/>
    </w:rPr>
  </w:style>
  <w:style w:styleId="ad" w:type="paragraph">
    <w:name w:val="footnote text"/>
    <w:basedOn w:val="a"/>
    <w:link w:val="Char6"/>
    <w:uiPriority w:val="99"/>
    <w:rsid w:val="006B56E1"/>
    <w:pPr>
      <w:snapToGrid w:val="0"/>
      <w:jc w:val="left"/>
    </w:pPr>
    <w:rPr>
      <w:sz w:val="18"/>
      <w:szCs w:val="18"/>
    </w:rPr>
  </w:style>
  <w:style w:customStyle="1" w:styleId="Char6" w:type="character">
    <w:name w:val="脚注文本 Char"/>
    <w:link w:val="ad"/>
    <w:uiPriority w:val="99"/>
    <w:locked/>
    <w:rsid w:val="006B56E1"/>
    <w:rPr>
      <w:rFonts w:cs="Times New Roman"/>
      <w:kern w:val="2"/>
      <w:sz w:val="18"/>
      <w:szCs w:val="18"/>
    </w:rPr>
  </w:style>
  <w:style w:styleId="ae" w:type="character">
    <w:name w:val="footnote reference"/>
    <w:uiPriority w:val="99"/>
    <w:rsid w:val="006B56E1"/>
    <w:rPr>
      <w:rFonts w:cs="Times New Roman"/>
      <w:vertAlign w:val="superscript"/>
    </w:rPr>
  </w:style>
  <w:style w:styleId="af" w:type="character">
    <w:name w:val="Strong"/>
    <w:uiPriority w:val="22"/>
    <w:qFormat/>
    <w:locked/>
    <w:rsid w:val="001136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1063">
      <w:bodyDiv w:val="1"/>
      <w:marLeft w:val="0"/>
      <w:marRight w:val="0"/>
      <w:marTop w:val="0"/>
      <w:marBottom w:val="0"/>
      <w:divBdr>
        <w:top w:val="none" w:sz="0" w:space="0" w:color="auto"/>
        <w:left w:val="none" w:sz="0" w:space="0" w:color="auto"/>
        <w:bottom w:val="none" w:sz="0" w:space="0" w:color="auto"/>
        <w:right w:val="none" w:sz="0" w:space="0" w:color="auto"/>
      </w:divBdr>
    </w:div>
    <w:div w:id="691616685">
      <w:bodyDiv w:val="1"/>
      <w:marLeft w:val="0"/>
      <w:marRight w:val="0"/>
      <w:marTop w:val="0"/>
      <w:marBottom w:val="0"/>
      <w:divBdr>
        <w:top w:val="none" w:sz="0" w:space="0" w:color="auto"/>
        <w:left w:val="none" w:sz="0" w:space="0" w:color="auto"/>
        <w:bottom w:val="none" w:sz="0" w:space="0" w:color="auto"/>
        <w:right w:val="none" w:sz="0" w:space="0" w:color="auto"/>
      </w:divBdr>
    </w:div>
    <w:div w:id="737367738">
      <w:bodyDiv w:val="1"/>
      <w:marLeft w:val="0"/>
      <w:marRight w:val="0"/>
      <w:marTop w:val="0"/>
      <w:marBottom w:val="0"/>
      <w:divBdr>
        <w:top w:val="none" w:sz="0" w:space="0" w:color="auto"/>
        <w:left w:val="none" w:sz="0" w:space="0" w:color="auto"/>
        <w:bottom w:val="none" w:sz="0" w:space="0" w:color="auto"/>
        <w:right w:val="none" w:sz="0" w:space="0" w:color="auto"/>
      </w:divBdr>
    </w:div>
    <w:div w:id="801459287">
      <w:bodyDiv w:val="1"/>
      <w:marLeft w:val="0"/>
      <w:marRight w:val="0"/>
      <w:marTop w:val="0"/>
      <w:marBottom w:val="0"/>
      <w:divBdr>
        <w:top w:val="none" w:sz="0" w:space="0" w:color="auto"/>
        <w:left w:val="none" w:sz="0" w:space="0" w:color="auto"/>
        <w:bottom w:val="none" w:sz="0" w:space="0" w:color="auto"/>
        <w:right w:val="none" w:sz="0" w:space="0" w:color="auto"/>
      </w:divBdr>
    </w:div>
    <w:div w:id="1718818727">
      <w:marLeft w:val="0"/>
      <w:marRight w:val="0"/>
      <w:marTop w:val="0"/>
      <w:marBottom w:val="0"/>
      <w:divBdr>
        <w:top w:val="none" w:sz="0" w:space="0" w:color="auto"/>
        <w:left w:val="none" w:sz="0" w:space="0" w:color="auto"/>
        <w:bottom w:val="none" w:sz="0" w:space="0" w:color="auto"/>
        <w:right w:val="none" w:sz="0" w:space="0" w:color="auto"/>
      </w:divBdr>
    </w:div>
    <w:div w:id="1718818728">
      <w:marLeft w:val="0"/>
      <w:marRight w:val="0"/>
      <w:marTop w:val="0"/>
      <w:marBottom w:val="0"/>
      <w:divBdr>
        <w:top w:val="none" w:sz="0" w:space="0" w:color="auto"/>
        <w:left w:val="none" w:sz="0" w:space="0" w:color="auto"/>
        <w:bottom w:val="none" w:sz="0" w:space="0" w:color="auto"/>
        <w:right w:val="none" w:sz="0" w:space="0" w:color="auto"/>
      </w:divBdr>
    </w:div>
    <w:div w:id="1718818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media/image3.jpeg" Type="http://schemas.openxmlformats.org/officeDocument/2006/relationships/image"/>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28</Pages>
  <Words>3985</Words>
  <Characters>22718</Characters>
  <Application>Microsoft Office Word</Application>
  <DocSecurity>0</DocSecurity>
  <Lines>189</Lines>
  <Paragraphs>53</Paragraphs>
  <ScaleCrop>false</ScaleCrop>
  <Company>jysld</Company>
  <LinksUpToDate>false</LinksUpToDate>
  <CharactersWithSpaces>26650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2013-12-25T02:47:00Z</dcterms:created>
  <dc:creator>bonnieliu</dc:creator>
  <cp:lastModifiedBy>sirong han</cp:lastModifiedBy>
  <cp:lastPrinted>2009-01-22T10:11:00Z</cp:lastPrinted>
  <dcterms:modified xsi:type="dcterms:W3CDTF">2020-09-01T06:35:00Z</dcterms:modified>
  <cp:revision>97</cp:revision>
</cp:coreProperties>
</file>