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P="00074E9F" w:rsidR="00A62673" w:rsidRDefault="00A62673" w:rsidRPr="00EC5CE0">
      <w:pPr>
        <w:autoSpaceDE w:val="0"/>
        <w:autoSpaceDN w:val="0"/>
        <w:adjustRightInd w:val="0"/>
        <w:spacing w:line="360" w:lineRule="auto"/>
        <w:jc w:val="left"/>
        <w:rPr>
          <w:rFonts w:ascii="宋体" w:cs="Arial"/>
          <w:color w:val="000000"/>
          <w:kern w:val="0"/>
          <w:sz w:val="24"/>
        </w:rPr>
      </w:pPr>
    </w:p>
    <w:p w:rsidP="00074E9F" w:rsidR="00A62673" w:rsidRDefault="00A62673" w:rsidRPr="00EC5CE0">
      <w:pPr>
        <w:autoSpaceDE w:val="0"/>
        <w:autoSpaceDN w:val="0"/>
        <w:adjustRightInd w:val="0"/>
        <w:spacing w:line="360" w:lineRule="auto"/>
        <w:jc w:val="left"/>
        <w:rPr>
          <w:rFonts w:ascii="宋体" w:cs="Arial"/>
          <w:color w:val="000000"/>
          <w:kern w:val="0"/>
          <w:sz w:val="24"/>
        </w:rPr>
      </w:pPr>
    </w:p>
    <w:p w:rsidP="00074E9F" w:rsidR="00A62673" w:rsidRDefault="00A62673" w:rsidRPr="00EC5CE0">
      <w:pPr>
        <w:autoSpaceDE w:val="0"/>
        <w:autoSpaceDN w:val="0"/>
        <w:adjustRightInd w:val="0"/>
        <w:spacing w:line="360" w:lineRule="auto"/>
        <w:jc w:val="left"/>
        <w:rPr>
          <w:rFonts w:ascii="宋体" w:cs="Arial"/>
          <w:color w:val="000000"/>
          <w:kern w:val="0"/>
          <w:sz w:val="24"/>
        </w:rPr>
      </w:pPr>
    </w:p>
    <w:p w:rsidP="00074E9F" w:rsidR="00A62673" w:rsidRDefault="00A62673" w:rsidRPr="00EC5CE0">
      <w:pPr>
        <w:autoSpaceDE w:val="0"/>
        <w:autoSpaceDN w:val="0"/>
        <w:adjustRightInd w:val="0"/>
        <w:spacing w:line="360" w:lineRule="auto"/>
        <w:jc w:val="left"/>
        <w:rPr>
          <w:rFonts w:ascii="宋体" w:cs="Arial"/>
          <w:color w:val="000000"/>
          <w:kern w:val="0"/>
          <w:sz w:val="36"/>
          <w:szCs w:val="36"/>
        </w:rPr>
      </w:pPr>
    </w:p>
    <w:p w:rsidP="000020BB" w:rsidR="00A62673" w:rsidRDefault="00A62673" w:rsidRPr="00EC5CE0">
      <w:pPr>
        <w:spacing w:line="360" w:lineRule="auto"/>
        <w:jc w:val="center"/>
        <w:rPr>
          <w:rFonts w:ascii="宋体" w:hAnsi="宋体"/>
          <w:b/>
          <w:sz w:val="36"/>
          <w:szCs w:val="36"/>
        </w:rPr>
      </w:pPr>
      <w:r w:rsidRPr="00EC5CE0">
        <w:rPr>
          <w:rFonts w:ascii="宋体"/>
          <w:b/>
          <w:sz w:val="36"/>
          <w:szCs w:val="36"/>
        </w:rPr>
        <w:t/>
      </w:r>
      <w:proofErr w:type="spellStart"/>
      <w:proofErr w:type="gramStart"/>
      <w:r w:rsidRPr="00EC5CE0">
        <w:rPr>
          <w:rFonts w:ascii="宋体" w:hAnsi="宋体"/>
          <w:b/>
          <w:sz w:val="36"/>
          <w:szCs w:val="36"/>
        </w:rPr>
        <w:t/>
      </w:r>
      <w:proofErr w:type="spellEnd"/>
      <w:proofErr w:type="gramEnd"/>
      <w:r w:rsidRPr="00EC5CE0">
        <w:rPr>
          <w:rFonts w:ascii="宋体" w:hAnsi="宋体"/>
          <w:b/>
          <w:sz w:val="36"/>
          <w:szCs w:val="36"/>
        </w:rPr>
        <w:t>易方达50指数证券投资基金</w:t>
      </w:r>
    </w:p>
    <w:p w:rsidP="000020BB" w:rsidR="00A62673" w:rsidRDefault="00A62673" w:rsidRPr="00EC5CE0">
      <w:pPr>
        <w:spacing w:line="360" w:lineRule="auto"/>
        <w:jc w:val="center"/>
        <w:rPr>
          <w:rFonts w:ascii="宋体" w:hAnsi="宋体"/>
          <w:b/>
          <w:sz w:val="36"/>
          <w:szCs w:val="36"/>
        </w:rPr>
      </w:pPr>
      <w:r w:rsidRPr="00EC5CE0">
        <w:rPr>
          <w:rFonts w:ascii="宋体" w:hAnsi="宋体"/>
          <w:b/>
          <w:sz w:val="36"/>
          <w:szCs w:val="36"/>
        </w:rPr>
        <w:t/>
      </w:r>
      <w:proofErr w:type="spellStart"/>
      <w:r w:rsidRPr="00EC5CE0">
        <w:rPr>
          <w:rFonts w:ascii="宋体" w:hAnsi="宋体"/>
          <w:b/>
          <w:sz w:val="36"/>
          <w:szCs w:val="36"/>
        </w:rPr>
        <w:t/>
      </w:r>
      <w:proofErr w:type="spellEnd"/>
      <w:r w:rsidRPr="00EC5CE0">
        <w:rPr>
          <w:rFonts w:ascii="宋体" w:hAnsi="宋体"/>
          <w:b/>
          <w:sz w:val="36"/>
          <w:szCs w:val="36"/>
        </w:rPr>
        <w:t>2020年第3季度报告</w:t>
      </w:r>
    </w:p>
    <w:p w:rsidP="000020BB" w:rsidR="00A62673" w:rsidRDefault="00A62673" w:rsidRPr="00977154">
      <w:pPr>
        <w:spacing w:line="360" w:lineRule="auto"/>
        <w:jc w:val="center"/>
        <w:rPr>
          <w:rFonts w:ascii="宋体" w:hAnsi="宋体"/>
          <w:b/>
          <w:sz w:val="24"/>
        </w:rPr>
      </w:pPr>
      <w:r w:rsidRPr="00977154">
        <w:rPr>
          <w:rFonts w:ascii="宋体"/>
          <w:b/>
          <w:sz w:val="24"/>
        </w:rPr>
        <w:t/>
      </w:r>
      <w:proofErr w:type="spellStart"/>
      <w:proofErr w:type="gramStart"/>
      <w:r w:rsidRPr="00977154">
        <w:rPr>
          <w:rFonts w:ascii="宋体" w:hAnsi="宋体"/>
          <w:b/>
          <w:sz w:val="24"/>
        </w:rPr>
        <w:t/>
      </w:r>
      <w:proofErr w:type="spellEnd"/>
      <w:proofErr w:type="gramEnd"/>
      <w:r w:rsidRPr="00977154">
        <w:rPr>
          <w:rFonts w:ascii="宋体" w:hAnsi="宋体"/>
          <w:b/>
          <w:sz w:val="24"/>
        </w:rPr>
        <w:t>2020年9月30日</w:t>
      </w: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jc w:val="center"/>
        <w:rPr>
          <w:rFonts w:ascii="宋体"/>
          <w:b/>
          <w:color w:val="000000"/>
          <w:sz w:val="24"/>
        </w:rPr>
      </w:pPr>
    </w:p>
    <w:p w:rsidP="00074E9F" w:rsidR="00A62673" w:rsidRDefault="00A62673" w:rsidRPr="00EC5CE0">
      <w:pPr>
        <w:spacing w:line="360" w:lineRule="auto"/>
        <w:rPr>
          <w:rFonts w:ascii="宋体"/>
          <w:b/>
          <w:color w:val="000000"/>
          <w:sz w:val="24"/>
        </w:rPr>
      </w:pPr>
    </w:p>
    <w:p w:rsidP="005A2769" w:rsidR="00A62673" w:rsidRDefault="00A62673" w:rsidRPr="00EC5CE0">
      <w:pPr>
        <w:spacing w:line="360" w:lineRule="auto"/>
        <w:ind w:firstLine="2168" w:firstLineChars="900"/>
        <w:rPr>
          <w:rFonts w:ascii="宋体" w:hAnsi="宋体"/>
          <w:b/>
          <w:color w:val="000000"/>
          <w:sz w:val="24"/>
        </w:rPr>
      </w:pPr>
      <w:r w:rsidRPr="00EC5CE0">
        <w:rPr>
          <w:rFonts w:ascii="宋体" w:hAnsi="宋体" w:hint="eastAsia"/>
          <w:b/>
          <w:color w:val="000000"/>
          <w:sz w:val="24"/>
        </w:rPr>
        <w:t>基金管理人：</w:t>
      </w:r>
      <w:r w:rsidRPr="00EC5CE0">
        <w:rPr>
          <w:rFonts w:ascii="宋体"/>
          <w:b/>
          <w:color w:val="000000"/>
          <w:sz w:val="24"/>
        </w:rPr>
        <w:t/>
      </w:r>
      <w:proofErr w:type="spellStart"/>
      <w:proofErr w:type="gramStart"/>
      <w:r w:rsidRPr="00EC5CE0">
        <w:rPr>
          <w:rFonts w:ascii="宋体" w:hAnsi="宋体"/>
          <w:b/>
          <w:color w:val="000000"/>
          <w:sz w:val="24"/>
        </w:rPr>
        <w:t/>
      </w:r>
      <w:proofErr w:type="spellEnd"/>
      <w:proofErr w:type="gramEnd"/>
      <w:r w:rsidRPr="00EC5CE0">
        <w:rPr>
          <w:rFonts w:ascii="宋体" w:hAnsi="宋体"/>
          <w:b/>
          <w:color w:val="000000"/>
          <w:sz w:val="24"/>
        </w:rPr>
        <w:t>易方达基金管理有限公司</w:t>
      </w:r>
    </w:p>
    <w:p w:rsidP="005A2769" w:rsidR="00A62673" w:rsidRDefault="00A62673" w:rsidRPr="00EC5CE0">
      <w:pPr>
        <w:spacing w:line="360" w:lineRule="auto"/>
        <w:ind w:firstLine="2168" w:firstLineChars="900"/>
        <w:rPr>
          <w:rFonts w:ascii="宋体" w:hAnsi="宋体"/>
          <w:b/>
          <w:color w:val="000000"/>
          <w:sz w:val="24"/>
        </w:rPr>
      </w:pPr>
      <w:r w:rsidRPr="00EC5CE0">
        <w:rPr>
          <w:rFonts w:ascii="宋体" w:hAnsi="宋体" w:hint="eastAsia"/>
          <w:b/>
          <w:color w:val="000000"/>
          <w:sz w:val="24"/>
        </w:rPr>
        <w:t>基金托管人：</w:t>
      </w:r>
      <w:r w:rsidRPr="00EC5CE0">
        <w:rPr>
          <w:rFonts w:ascii="宋体"/>
          <w:b/>
          <w:color w:val="000000"/>
          <w:sz w:val="24"/>
        </w:rPr>
        <w:t/>
      </w:r>
      <w:proofErr w:type="spellStart"/>
      <w:proofErr w:type="gramStart"/>
      <w:r w:rsidRPr="00EC5CE0">
        <w:rPr>
          <w:rFonts w:ascii="宋体" w:hAnsi="宋体"/>
          <w:b/>
          <w:color w:val="000000"/>
          <w:sz w:val="24"/>
        </w:rPr>
        <w:t/>
      </w:r>
      <w:proofErr w:type="spellEnd"/>
      <w:proofErr w:type="gramEnd"/>
      <w:r w:rsidRPr="00EC5CE0">
        <w:rPr>
          <w:rFonts w:ascii="宋体" w:hAnsi="宋体"/>
          <w:b/>
          <w:color w:val="000000"/>
          <w:sz w:val="24"/>
        </w:rPr>
        <w:t>交通银行股份有限公司</w:t>
      </w:r>
    </w:p>
    <w:p w:rsidP="005A2769" w:rsidR="00A62673" w:rsidRDefault="00A62673" w:rsidRPr="00EC5CE0">
      <w:pPr>
        <w:spacing w:line="360" w:lineRule="auto"/>
        <w:ind w:firstLine="2168" w:firstLineChars="900"/>
        <w:rPr>
          <w:rFonts w:ascii="宋体" w:hAnsi="宋体"/>
          <w:b/>
          <w:color w:val="000000"/>
          <w:sz w:val="24"/>
        </w:rPr>
        <w:sectPr w:rsidR="00A62673" w:rsidRPr="00EC5CE0" w:rsidSect="00230A66">
          <w:headerReference r:id="rId8" w:type="default"/>
          <w:footerReference r:id="rId9" w:type="default"/>
          <w:pgSz w:h="15840" w:w="11926"/>
          <w:pgMar w:bottom="851" w:footer="992" w:gutter="0" w:header="851" w:left="1418" w:right="1418" w:top="1418"/>
          <w:cols w:space="720"/>
          <w:noEndnote/>
        </w:sectPr>
      </w:pPr>
      <w:r w:rsidRPr="00EC5CE0">
        <w:rPr>
          <w:rFonts w:ascii="宋体" w:hAnsi="宋体" w:hint="eastAsia"/>
          <w:b/>
          <w:color w:val="000000"/>
          <w:sz w:val="24"/>
        </w:rPr>
        <w:t>报告送出日期：</w:t>
      </w:r>
      <w:r w:rsidRPr="00EC5CE0">
        <w:rPr>
          <w:rFonts w:ascii="宋体"/>
          <w:b/>
          <w:color w:val="000000"/>
          <w:sz w:val="24"/>
        </w:rPr>
        <w:t/>
      </w:r>
      <w:proofErr w:type="spellStart"/>
      <w:proofErr w:type="gramStart"/>
      <w:r w:rsidRPr="00EC5CE0">
        <w:rPr>
          <w:rFonts w:ascii="宋体" w:hAnsi="宋体"/>
          <w:b/>
          <w:color w:val="000000"/>
          <w:sz w:val="24"/>
        </w:rPr>
        <w:t/>
      </w:r>
      <w:proofErr w:type="spellEnd"/>
      <w:proofErr w:type="gramEnd"/>
      <w:r w:rsidRPr="00EC5CE0">
        <w:rPr>
          <w:rFonts w:ascii="宋体" w:hAnsi="宋体"/>
          <w:b/>
          <w:color w:val="000000"/>
          <w:sz w:val="24"/>
        </w:rPr>
        <w:t>二〇二〇年十月二十八日</w:t>
      </w:r>
    </w:p>
    <w:p w:rsidP="00F729DC" w:rsidR="00A62673" w:rsidRDefault="00A62673" w:rsidRPr="00EC5CE0">
      <w:pPr>
        <w:pStyle w:val="1"/>
        <w:spacing w:after="312" w:afterLines="100" w:before="312" w:beforeLines="100" w:line="360" w:lineRule="auto"/>
        <w:jc w:val="center"/>
        <w:rPr>
          <w:rFonts w:ascii="宋体" w:cs="Arial"/>
          <w:b w:val="0"/>
          <w:color w:val="000000"/>
          <w:kern w:val="0"/>
          <w:sz w:val="24"/>
          <w:szCs w:val="24"/>
        </w:rPr>
      </w:pPr>
      <w:r w:rsidRPr="00EC5CE0">
        <w:rPr>
          <w:rFonts w:ascii="宋体" w:cs="Arial" w:hAnsi="宋体" w:hint="eastAsia"/>
          <w:color w:val="000000"/>
          <w:kern w:val="0"/>
          <w:sz w:val="24"/>
          <w:szCs w:val="24"/>
        </w:rPr>
        <w:lastRenderedPageBreak/>
        <w:t>§</w:t>
      </w:r>
      <w:r w:rsidRPr="00EC5CE0">
        <w:rPr>
          <w:rFonts w:ascii="宋体" w:cs="Arial" w:hAnsi="宋体"/>
          <w:color w:val="000000"/>
          <w:kern w:val="0"/>
          <w:sz w:val="24"/>
          <w:szCs w:val="24"/>
        </w:rPr>
        <w:t xml:space="preserve">1  </w:t>
      </w:r>
      <w:r w:rsidRPr="00EC5CE0">
        <w:rPr>
          <w:rFonts w:ascii="宋体" w:cs="Arial" w:hAnsi="宋体" w:hint="eastAsia"/>
          <w:color w:val="000000"/>
          <w:kern w:val="0"/>
          <w:sz w:val="24"/>
          <w:szCs w:val="24"/>
        </w:rPr>
        <w:t>重要提示</w:t>
      </w:r>
    </w:p>
    <w:p>
      <w:pPr>
        <w:spacing w:line="360"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line="360" w:lineRule="auto"/>
        <w:ind w:firstLine="480" w:firstLineChars="200"/>
        <w:rPr>
          <w:color w:val="000000"/>
          <w:sz w:val="24"/>
        </w:rPr>
      </w:pPr>
      <w:r>
        <w:rPr>
          <w:color w:val="000000"/>
          <w:sz w:val="24"/>
        </w:rPr>
        <w:t xml:space="preserve">基金托管人交通银行股份有限公司根据本基金合同规定，于2020年10月26日复核了本报告中的财务指标、净值表现和投资组合报告等内容，保证复核内容不存在虚假记载、误导性陈述或者重大遗漏。 </w:t>
      </w:r>
    </w:p>
    <w:p>
      <w:pPr>
        <w:spacing w:line="360"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line="360"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line="360" w:lineRule="auto"/>
        <w:ind w:firstLine="480" w:firstLineChars="200"/>
        <w:rPr>
          <w:color w:val="000000"/>
          <w:sz w:val="24"/>
        </w:rPr>
      </w:pPr>
      <w:r>
        <w:rPr>
          <w:color w:val="000000"/>
          <w:sz w:val="24"/>
        </w:rPr>
        <w:t>本报告中财务资料未经审计。</w:t>
      </w:r>
    </w:p>
    <w:p w:rsidP="00DC315B" w:rsidR="00A62673" w:rsidRDefault="00A62673" w:rsidRPr="00DC315B">
      <w:pPr>
        <w:spacing w:line="360" w:lineRule="auto"/>
        <w:ind w:firstLine="480" w:firstLineChars="200"/>
        <w:rPr>
          <w:color w:val="000000"/>
          <w:sz w:val="24"/>
        </w:rPr>
      </w:pPr>
      <w:r w:rsidRPr="00DC315B">
        <w:rPr>
          <w:color w:val="000000"/>
          <w:sz w:val="24"/>
        </w:rPr>
        <w:t/>
      </w:r>
      <w:proofErr w:type="spellStart"/>
      <w:proofErr w:type="gramStart"/>
      <w:r w:rsidRPr="00DC315B">
        <w:rPr>
          <w:color w:val="000000"/>
          <w:sz w:val="24"/>
        </w:rPr>
        <w:t/>
      </w:r>
      <w:proofErr w:type="spellEnd"/>
      <w:proofErr w:type="gramEnd"/>
      <w:r w:rsidRPr="00DC315B">
        <w:rPr>
          <w:color w:val="000000"/>
          <w:sz w:val="24"/>
        </w:rPr>
        <w:t>本报告期自2020年7月1日起至9月30日止。</w:t>
      </w:r>
    </w:p>
    <w:p w:rsidP="00F729DC" w:rsidR="00A62673" w:rsidRDefault="00A62673" w:rsidRPr="00EC5CE0">
      <w:pPr>
        <w:pStyle w:val="1"/>
        <w:spacing w:after="312" w:afterLines="100" w:before="312" w:beforeLines="100" w:line="360" w:lineRule="auto"/>
        <w:jc w:val="center"/>
        <w:rPr>
          <w:rFonts w:ascii="宋体" w:cs="Arial"/>
          <w:color w:val="000000"/>
          <w:kern w:val="0"/>
          <w:sz w:val="24"/>
          <w:szCs w:val="24"/>
        </w:rPr>
      </w:pPr>
      <w:r w:rsidRPr="00EC5CE0">
        <w:rPr>
          <w:rFonts w:ascii="宋体" w:cs="Arial" w:hAnsi="宋体" w:hint="eastAsia"/>
          <w:color w:val="000000"/>
          <w:kern w:val="0"/>
          <w:sz w:val="24"/>
          <w:szCs w:val="24"/>
        </w:rPr>
        <w:t>§</w:t>
      </w:r>
      <w:r w:rsidRPr="00EC5CE0">
        <w:rPr>
          <w:rFonts w:ascii="宋体" w:cs="Arial" w:hAnsi="宋体"/>
          <w:color w:val="000000"/>
          <w:kern w:val="0"/>
          <w:sz w:val="24"/>
          <w:szCs w:val="24"/>
        </w:rPr>
        <w:t xml:space="preserve">2  </w:t>
      </w:r>
      <w:r w:rsidRPr="00EC5CE0">
        <w:rPr>
          <w:rFonts w:ascii="宋体" w:cs="Arial" w:hAnsi="宋体" w:hint="eastAsia"/>
          <w:color w:val="000000"/>
          <w:kern w:val="0"/>
          <w:sz w:val="24"/>
          <w:szCs w:val="24"/>
        </w:rPr>
        <w:t>基金产品概况</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2835"/>
        <w:gridCol w:w="2694"/>
        <w:gridCol w:w="2693"/>
      </w:tblGrid>
      <w:tr w:rsidR="00A62673" w:rsidRPr="00EC5CE0" w:rsidTr="005F23CA">
        <w:tc>
          <w:tcPr>
            <w:tcW w:type="dxa" w:w="2835"/>
          </w:tcPr>
          <w:p w:rsidP="00C21C43" w:rsidR="00A62673" w:rsidRDefault="00A62673" w:rsidRPr="00DC315B">
            <w:pPr>
              <w:adjustRightInd w:val="0"/>
              <w:spacing w:before="29" w:line="360" w:lineRule="auto"/>
              <w:ind w:left="17"/>
              <w:jc w:val="left"/>
              <w:rPr>
                <w:kern w:val="0"/>
                <w:sz w:val="24"/>
              </w:rPr>
            </w:pPr>
            <w:r w:rsidRPr="00DC315B">
              <w:rPr>
                <w:kern w:val="0"/>
                <w:sz w:val="24"/>
              </w:rPr>
              <w:t>基金简称</w:t>
            </w:r>
          </w:p>
        </w:tc>
        <w:tc>
          <w:tcPr>
            <w:tcW w:type="dxa" w:w="5387"/>
            <w:gridSpan w:val="2"/>
          </w:tcPr>
          <w:p w:rsidP="00C21C43" w:rsidR="00A62673" w:rsidRDefault="00A62673" w:rsidRPr="00DC315B">
            <w:pPr>
              <w:adjustRightInd w:val="0"/>
              <w:spacing w:before="29" w:line="360" w:lineRule="auto"/>
              <w:ind w:left="17"/>
              <w:jc w:val="left"/>
              <w:rPr>
                <w:color w:val="000000"/>
                <w:kern w:val="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易方达上证50指数</w:t>
            </w:r>
          </w:p>
        </w:tc>
      </w:tr>
      <w:tr w:rsidR="00A62673" w:rsidRPr="00EC5CE0" w:rsidTr="005F23CA">
        <w:tc>
          <w:tcPr>
            <w:tcW w:type="dxa" w:w="2835"/>
          </w:tcPr>
          <w:p w:rsidR="00A62673" w:rsidRDefault="00A62673" w:rsidRPr="00DC315B">
            <w:pPr>
              <w:adjustRightInd w:val="0"/>
              <w:spacing w:before="29" w:line="360" w:lineRule="auto"/>
              <w:ind w:left="17"/>
              <w:jc w:val="left"/>
              <w:rPr>
                <w:kern w:val="0"/>
                <w:sz w:val="24"/>
              </w:rPr>
            </w:pPr>
            <w:r w:rsidRPr="00DC315B">
              <w:rPr>
                <w:kern w:val="0"/>
                <w:sz w:val="24"/>
              </w:rPr>
              <w:t>基金主代码</w:t>
            </w:r>
          </w:p>
        </w:tc>
        <w:tc>
          <w:tcPr>
            <w:tcW w:type="dxa" w:w="5387"/>
            <w:gridSpan w:val="2"/>
          </w:tcPr>
          <w:p w:rsidR="00A62673" w:rsidRDefault="00A62673" w:rsidRPr="00DC315B">
            <w:pPr>
              <w:adjustRightInd w:val="0"/>
              <w:spacing w:before="29" w:line="360" w:lineRule="auto"/>
              <w:ind w:left="17"/>
              <w:jc w:val="left"/>
              <w:rPr>
                <w:color w:val="000000"/>
                <w:kern w:val="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110003</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基金运作方式</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契约型开放式</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基金合同生效日</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2004年3月22日</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报告期末基金份额总额</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9,843,740,231.68</w:t>
            </w:r>
            <w:r w:rsidRPr="00DC315B">
              <w:rPr>
                <w:color w:val="000000"/>
                <w:kern w:val="0"/>
                <w:sz w:val="24"/>
              </w:rPr>
              <w:t>份</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投资目标</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在严格控制与目标指数偏离风险的前提下，力争获得超越指数的投资收益，追求长期资本增值。</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投资策略</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本基金为指数增强型基金，股票投资部分以上证50指数作为标的指数，资产配置上追求充分投资，不根据对市场时机的判断主动调整股票仓位，通过运用深入的基本面研究及先进的数量化投资技术，控制与目标指数的偏离风险，追求超越基准的收益水平。</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业绩比较基准</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上证50指数</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风险收益特征</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本基金为股票基金，其预期风险、收益水平高于混合基金、债券基金及货币市场基金。本基金在控制与目标指数偏离风险的同时，力争获得超越基准的收益。长期来看，本基金具有与目标指数相近的风险水平。</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基金管理人</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易方达基金管理有限公司</w:t>
            </w:r>
          </w:p>
        </w:tc>
      </w:tr>
      <w:tr w:rsidR="00A62673" w:rsidRPr="00EC5CE0" w:rsidTr="005F23CA">
        <w:tc>
          <w:tcPr>
            <w:tcW w:type="dxa" w:w="2835"/>
          </w:tcPr>
          <w:p w:rsidP="00C21C43" w:rsidR="00A62673" w:rsidRDefault="00A62673" w:rsidRPr="00DC315B">
            <w:pPr>
              <w:adjustRightInd w:val="0"/>
              <w:spacing w:before="29" w:line="360" w:lineRule="auto"/>
              <w:ind w:left="17"/>
              <w:jc w:val="left"/>
              <w:rPr>
                <w:sz w:val="24"/>
              </w:rPr>
            </w:pPr>
            <w:r w:rsidRPr="00DC315B">
              <w:rPr>
                <w:kern w:val="0"/>
                <w:sz w:val="24"/>
              </w:rPr>
              <w:t>基金托管人</w:t>
            </w:r>
          </w:p>
        </w:tc>
        <w:tc>
          <w:tcPr>
            <w:tcW w:type="dxa" w:w="5387"/>
            <w:gridSpan w:val="2"/>
          </w:tcPr>
          <w:p w:rsidP="00C21C43" w:rsidR="00A62673" w:rsidRDefault="00A62673" w:rsidRPr="00DC315B">
            <w:pPr>
              <w:adjustRightInd w:val="0"/>
              <w:spacing w:before="29" w:line="360" w:lineRule="auto"/>
              <w:ind w:left="17"/>
              <w:jc w:val="left"/>
              <w:rPr>
                <w:color w:val="000000"/>
                <w:sz w:val="24"/>
              </w:rPr>
            </w:pPr>
            <w:r w:rsidRPr="00DC315B">
              <w:rPr>
                <w:color w:val="000000"/>
                <w:kern w:val="0"/>
                <w:sz w:val="24"/>
              </w:rPr>
              <w:t/>
            </w:r>
            <w:proofErr w:type="spellStart"/>
            <w:r w:rsidRPr="00DC315B">
              <w:rPr>
                <w:color w:val="000000"/>
                <w:kern w:val="0"/>
                <w:sz w:val="24"/>
              </w:rPr>
              <w:t/>
            </w:r>
            <w:proofErr w:type="spellEnd"/>
            <w:r w:rsidRPr="00DC315B">
              <w:rPr>
                <w:color w:val="000000"/>
                <w:kern w:val="0"/>
                <w:sz w:val="24"/>
              </w:rPr>
              <w:t>交通银行股份有限公司</w:t>
            </w:r>
          </w:p>
        </w:tc>
      </w:tr>
      <w:tr w:rsidR="002C4578" w:rsidRPr="00C30CFF" w:rsidTr="005F23CA">
        <w:tc>
          <w:tcPr>
            <w:tcW w:type="dxa" w:w="2835"/>
          </w:tcPr>
          <w:p w:rsidP="004971F0" w:rsidR="002C4578" w:rsidRDefault="002C4578" w:rsidRPr="00C30CFF">
            <w:pPr>
              <w:adjustRightInd w:val="0"/>
              <w:spacing w:before="29" w:line="360" w:lineRule="auto"/>
              <w:ind w:left="17"/>
              <w:jc w:val="left"/>
              <w:rPr>
                <w:kern w:val="0"/>
                <w:sz w:val="24"/>
              </w:rPr>
            </w:pPr>
            <w:r w:rsidRPr="00C30CFF">
              <w:rPr>
                <w:color w:val="000000"/>
                <w:sz w:val="24"/>
              </w:rPr>
              <w:t>下属分级基金的基金简称</w:t>
            </w:r>
          </w:p>
        </w:tc>
        <w:tc>
          <w:tcPr>
            <w:tcW w:type="dxa" w:w="2694"/>
            <w:vAlign w:val="center"/>
          </w:tcPr>
          <w:p w:rsidP="004971F0" w:rsidR="002C4578" w:rsidRDefault="002C4578"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易方达上证50指数A</w:t>
            </w:r>
          </w:p>
        </w:tc>
        <w:tc>
          <w:tcPr>
            <w:tcW w:type="dxa" w:w="2693"/>
            <w:vAlign w:val="center"/>
          </w:tcPr>
          <w:p w:rsidP="004971F0" w:rsidR="002C4578" w:rsidRDefault="002C4578" w:rsidRPr="00C30CFF">
            <w:pPr>
              <w:jc w:val="left"/>
              <w:rPr>
                <w:sz w:val="24"/>
              </w:rPr>
            </w:pPr>
            <w:r w:rsidRPr="00C30CFF">
              <w:rPr>
                <w:color w:val="000000"/>
                <w:kern w:val="0"/>
                <w:sz w:val="24"/>
              </w:rPr>
              <w:t/>
            </w:r>
            <w:r w:rsidRPr="00C30CFF">
              <w:rPr>
                <w:sz w:val="24"/>
              </w:rPr>
              <w:t>易方达上证50指数C</w:t>
            </w:r>
          </w:p>
        </w:tc>
      </w:tr>
      <w:tr w:rsidR="002C4578" w:rsidRPr="00C30CFF" w:rsidTr="005F23CA">
        <w:tc>
          <w:tcPr>
            <w:tcW w:type="dxa" w:w="2835"/>
          </w:tcPr>
          <w:p w:rsidP="004971F0" w:rsidR="002C4578" w:rsidRDefault="002C4578" w:rsidRPr="00C30CFF">
            <w:pPr>
              <w:adjustRightInd w:val="0"/>
              <w:spacing w:before="29" w:line="360" w:lineRule="auto"/>
              <w:ind w:left="17"/>
              <w:jc w:val="left"/>
              <w:rPr>
                <w:color w:val="000000"/>
                <w:sz w:val="24"/>
              </w:rPr>
            </w:pPr>
            <w:r w:rsidRPr="00C30CFF">
              <w:rPr>
                <w:color w:val="000000"/>
                <w:sz w:val="24"/>
              </w:rPr>
              <w:t>下属分级基金的交易代</w:t>
            </w:r>
            <w:r w:rsidRPr="00C30CFF">
              <w:rPr>
                <w:color w:val="000000"/>
                <w:sz w:val="24"/>
              </w:rPr>
              <w:lastRenderedPageBreak/>
              <w:t>码</w:t>
            </w:r>
            <w:r w:rsidRPr="00C30CFF">
              <w:rPr>
                <w:color w:val="000000"/>
                <w:sz w:val="24"/>
              </w:rPr>
              <w:t/>
            </w:r>
            <w:proofErr w:type="spellStart"/>
            <w:r w:rsidRPr="00C30CFF">
              <w:rPr>
                <w:color w:val="000000"/>
              </w:rPr>
              <w:t/>
            </w:r>
            <w:proofErr w:type="spellEnd"/>
            <w:r w:rsidRPr="00C30CFF">
              <w:rPr>
                <w:color w:val="000000"/>
                <w:sz w:val="24"/>
              </w:rPr>
              <w:t/>
            </w:r>
          </w:p>
        </w:tc>
        <w:tc>
          <w:tcPr>
            <w:tcW w:type="dxa" w:w="2694"/>
            <w:vAlign w:val="center"/>
          </w:tcPr>
          <w:p w:rsidP="004971F0" w:rsidR="002C4578" w:rsidRDefault="002C4578"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proofErr w:type="spellStart"/>
            <w:r w:rsidRPr="00C30CFF">
              <w:rPr>
                <w:color w:val="000000"/>
                <w:sz w:val="24"/>
              </w:rPr>
              <w:t/>
            </w:r>
            <w:proofErr w:type="spellEnd"/>
            <w:r w:rsidRPr="00C30CFF">
              <w:rPr>
                <w:color w:val="000000"/>
                <w:sz w:val="24"/>
              </w:rPr>
              <w:t/>
            </w:r>
            <w:r w:rsidRPr="00C30CFF">
              <w:rPr>
                <w:color w:val="000000"/>
                <w:sz w:val="24"/>
              </w:rPr>
              <w:lastRenderedPageBreak/>
              <w:t>110003</w:t>
            </w:r>
          </w:p>
        </w:tc>
        <w:tc>
          <w:tcPr>
            <w:tcW w:type="dxa" w:w="2693"/>
            <w:vAlign w:val="center"/>
          </w:tcPr>
          <w:p w:rsidP="004971F0" w:rsidR="002C4578" w:rsidRDefault="002C4578" w:rsidRPr="00C30CFF">
            <w:pPr>
              <w:jc w:val="left"/>
              <w:rPr>
                <w:color w:val="000000"/>
                <w:sz w:val="24"/>
              </w:rPr>
            </w:pPr>
            <w:r w:rsidRPr="00C30CFF">
              <w:rPr>
                <w:color w:val="000000"/>
                <w:kern w:val="0"/>
                <w:sz w:val="24"/>
              </w:rPr>
              <w:lastRenderedPageBreak/>
              <w:t/>
            </w:r>
            <w:proofErr w:type="spellStart"/>
            <w:r w:rsidRPr="00C30CFF">
              <w:rPr>
                <w:color w:val="000000"/>
                <w:kern w:val="0"/>
                <w:sz w:val="24"/>
              </w:rPr>
              <w:t/>
            </w:r>
            <w:proofErr w:type="spellEnd"/>
            <w:r w:rsidRPr="00C30CFF">
              <w:rPr>
                <w:color w:val="000000"/>
                <w:kern w:val="0"/>
                <w:sz w:val="24"/>
              </w:rPr>
              <w:t/>
            </w:r>
            <w:r w:rsidRPr="00C30CFF">
              <w:rPr>
                <w:color w:val="000000"/>
                <w:sz w:val="24"/>
              </w:rPr>
              <w:t/>
            </w:r>
            <w:r w:rsidRPr="00C30CFF">
              <w:rPr>
                <w:color w:val="000000"/>
                <w:sz w:val="24"/>
              </w:rPr>
              <w:lastRenderedPageBreak/>
              <w:t>004746</w:t>
            </w:r>
          </w:p>
        </w:tc>
      </w:tr>
      <w:tr w:rsidR="002C4578" w:rsidRPr="00C30CFF" w:rsidTr="005F23CA">
        <w:tc>
          <w:tcPr>
            <w:tcW w:type="dxa" w:w="2835"/>
          </w:tcPr>
          <w:p w:rsidP="004971F0" w:rsidR="002C4578" w:rsidRDefault="002C4578" w:rsidRPr="00C30CFF">
            <w:pPr>
              <w:adjustRightInd w:val="0"/>
              <w:spacing w:before="29" w:line="360" w:lineRule="auto"/>
              <w:ind w:left="17"/>
              <w:jc w:val="left"/>
              <w:rPr>
                <w:color w:val="000000"/>
                <w:sz w:val="24"/>
              </w:rPr>
            </w:pPr>
            <w:r w:rsidRPr="00C30CFF">
              <w:rPr>
                <w:color w:val="000000"/>
                <w:sz w:val="24"/>
              </w:rPr>
              <w:t>报告期末下属分级基金的份额总额</w:t>
            </w:r>
          </w:p>
        </w:tc>
        <w:tc>
          <w:tcPr>
            <w:tcW w:type="dxa" w:w="2694"/>
            <w:vAlign w:val="center"/>
          </w:tcPr>
          <w:p w:rsidP="004971F0" w:rsidR="002C4578" w:rsidRDefault="002C4578" w:rsidRPr="00C30CFF">
            <w:pPr>
              <w:jc w:val="left"/>
              <w:rPr>
                <w:sz w:val="24"/>
              </w:rPr>
            </w:pPr>
            <w:r w:rsidRPr="00C30CFF">
              <w:rPr>
                <w:color w:val="000000"/>
                <w:kern w:val="0"/>
                <w:sz w:val="24"/>
              </w:rPr>
              <w:t/>
            </w:r>
            <w:proofErr w:type="spellStart"/>
            <w:r w:rsidRPr="00C30CFF">
              <w:rPr>
                <w:color w:val="000000"/>
                <w:kern w:val="0"/>
                <w:sz w:val="24"/>
              </w:rPr>
              <w:t/>
            </w:r>
            <w:proofErr w:type="spellEnd"/>
            <w:r w:rsidRPr="00C30CFF">
              <w:rPr>
                <w:sz w:val="24"/>
              </w:rPr>
              <w:t>8,883,928,170.23</w:t>
            </w:r>
            <w:r w:rsidRPr="00C30CFF">
              <w:rPr>
                <w:color w:val="000000"/>
                <w:kern w:val="0"/>
                <w:sz w:val="24"/>
              </w:rPr>
              <w:t>份</w:t>
            </w:r>
          </w:p>
        </w:tc>
        <w:tc>
          <w:tcPr>
            <w:tcW w:type="dxa" w:w="2693"/>
            <w:vAlign w:val="center"/>
          </w:tcPr>
          <w:p w:rsidP="004971F0" w:rsidR="002C4578" w:rsidRDefault="002C4578" w:rsidRPr="00C30CFF">
            <w:pPr>
              <w:jc w:val="left"/>
              <w:rPr>
                <w:sz w:val="24"/>
              </w:rPr>
            </w:pPr>
            <w:r w:rsidRPr="00C30CFF">
              <w:rPr>
                <w:color w:val="000000"/>
                <w:kern w:val="0"/>
                <w:sz w:val="24"/>
              </w:rPr>
              <w:t/>
            </w:r>
            <w:r w:rsidRPr="00C30CFF">
              <w:rPr>
                <w:sz w:val="24"/>
              </w:rPr>
              <w:t>959,812,061.45</w:t>
            </w:r>
            <w:r w:rsidRPr="00C30CFF">
              <w:rPr>
                <w:color w:val="000000"/>
                <w:kern w:val="0"/>
                <w:sz w:val="24"/>
              </w:rPr>
              <w:t>份</w:t>
            </w:r>
          </w:p>
        </w:tc>
      </w:tr>
    </w:tbl>
    <w:p w:rsidP="00DC315B" w:rsidR="00A62673" w:rsidRDefault="00A62673" w:rsidRPr="00DC315B">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proofErr w:type="gramStart"/>
      <w:r w:rsidRPr="00DC315B">
        <w:rPr>
          <w:color w:val="000000"/>
          <w:sz w:val="24"/>
        </w:rPr>
        <w:t/>
      </w:r>
      <w:proofErr w:type="spellEnd"/>
      <w:proofErr w:type="gramEnd"/>
      <w:r w:rsidRPr="00DC315B">
        <w:rPr>
          <w:color w:val="000000"/>
          <w:sz w:val="24"/>
        </w:rPr>
        <w:t>注：自2017年6月6日起，本基金增设C类份额类别，份额首次确认日为2017年6月7日。</w:t>
      </w:r>
    </w:p>
    <w:p w:rsidP="00F729DC" w:rsidR="00A62673" w:rsidRDefault="00A62673" w:rsidRPr="00EC5CE0">
      <w:pPr>
        <w:pStyle w:val="1"/>
        <w:spacing w:after="312" w:afterLines="100" w:before="312" w:beforeLines="100" w:line="360" w:lineRule="auto"/>
        <w:jc w:val="center"/>
        <w:rPr>
          <w:rFonts w:ascii="宋体" w:cs="Arial"/>
          <w:color w:val="000000"/>
          <w:kern w:val="0"/>
          <w:sz w:val="24"/>
          <w:szCs w:val="24"/>
        </w:rPr>
      </w:pPr>
      <w:r w:rsidRPr="00EC5CE0">
        <w:rPr>
          <w:rFonts w:ascii="宋体" w:cs="Arial" w:hAnsi="宋体" w:hint="eastAsia"/>
          <w:color w:val="000000"/>
          <w:kern w:val="0"/>
          <w:sz w:val="24"/>
          <w:szCs w:val="24"/>
        </w:rPr>
        <w:t>§</w:t>
      </w:r>
      <w:r w:rsidRPr="00EC5CE0">
        <w:rPr>
          <w:rFonts w:ascii="宋体" w:cs="Arial" w:hAnsi="宋体"/>
          <w:color w:val="000000"/>
          <w:kern w:val="0"/>
          <w:sz w:val="24"/>
          <w:szCs w:val="24"/>
        </w:rPr>
        <w:t xml:space="preserve">3  </w:t>
      </w:r>
      <w:r w:rsidRPr="00EC5CE0">
        <w:rPr>
          <w:rFonts w:ascii="宋体" w:cs="Arial" w:hAnsi="宋体" w:hint="eastAsia"/>
          <w:color w:val="000000"/>
          <w:kern w:val="0"/>
          <w:sz w:val="24"/>
          <w:szCs w:val="24"/>
        </w:rPr>
        <w:t>主要财务指标和基金净值表现</w:t>
      </w:r>
    </w:p>
    <w:p w:rsidP="005A2DCB"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 xml:space="preserve">3.1 </w:t>
      </w:r>
      <w:r w:rsidRPr="00EC5CE0">
        <w:rPr>
          <w:rFonts w:ascii="宋体" w:cs="Arial" w:hAnsi="宋体" w:hint="eastAsia"/>
          <w:b/>
          <w:color w:val="000000"/>
          <w:kern w:val="0"/>
          <w:sz w:val="24"/>
        </w:rPr>
        <w:t>主要财务指标</w:t>
      </w:r>
    </w:p>
    <w:p w:rsidP="005F23CA" w:rsidR="005F23CA" w:rsidRDefault="005F23CA"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单位：人民币元</w:t>
      </w:r>
    </w:p>
    <w:tbl>
      <w:tblPr>
        <w:tblW w:type="auto" w:w="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402"/>
        <w:gridCol w:w="2481"/>
        <w:gridCol w:w="2481"/>
      </w:tblGrid>
      <w:tr w:rsidR="005F23CA" w:rsidRPr="00FA472B" w:rsidTr="004971F0">
        <w:tc>
          <w:tcPr>
            <w:tcW w:type="dxa" w:w="3402"/>
            <w:vMerge w:val="restart"/>
            <w:vAlign w:val="center"/>
          </w:tcPr>
          <w:p w:rsidP="004971F0" w:rsidR="005F23CA" w:rsidRDefault="005F23CA" w:rsidRPr="00FA472B">
            <w:pPr>
              <w:adjustRightInd w:val="0"/>
              <w:spacing w:before="29" w:line="360" w:lineRule="auto"/>
              <w:ind w:left="17"/>
              <w:jc w:val="center"/>
              <w:rPr>
                <w:kern w:val="0"/>
                <w:sz w:val="24"/>
              </w:rPr>
            </w:pPr>
            <w:r w:rsidRPr="00FA472B">
              <w:rPr>
                <w:kern w:val="0"/>
                <w:sz w:val="24"/>
              </w:rPr>
              <w:t>主要财务指标</w:t>
            </w:r>
          </w:p>
        </w:tc>
        <w:tc>
          <w:tcPr>
            <w:tcW w:type="dxa" w:w="4962"/>
            <w:gridSpan w:val="2"/>
            <w:vAlign w:val="center"/>
          </w:tcPr>
          <w:p w:rsidP="004971F0" w:rsidR="005F23CA" w:rsidRDefault="005F23CA" w:rsidRPr="00FA472B">
            <w:pPr>
              <w:adjustRightInd w:val="0"/>
              <w:spacing w:before="29" w:line="360" w:lineRule="auto"/>
              <w:ind w:left="17"/>
              <w:jc w:val="center"/>
              <w:rPr>
                <w:color w:val="000000"/>
                <w:sz w:val="24"/>
              </w:rPr>
            </w:pPr>
            <w:r w:rsidRPr="00FA472B">
              <w:rPr>
                <w:color w:val="000000"/>
                <w:sz w:val="24"/>
              </w:rPr>
              <w:t>报告期</w:t>
            </w:r>
          </w:p>
          <w:p w:rsidP="004971F0" w:rsidR="005F23CA" w:rsidRDefault="005F23CA" w:rsidRPr="00FA472B">
            <w:pPr>
              <w:adjustRightInd w:val="0"/>
              <w:spacing w:before="29" w:line="360" w:lineRule="auto"/>
              <w:ind w:left="17"/>
              <w:jc w:val="center"/>
              <w:rPr>
                <w:color w:val="000000"/>
                <w:sz w:val="24"/>
              </w:rPr>
            </w:pPr>
            <w:r w:rsidRPr="00FA472B">
              <w:rPr>
                <w:color w:val="000000"/>
                <w:sz w:val="24"/>
              </w:rPr>
              <w:t>(</w:t>
            </w:r>
            <w:proofErr w:type="spellStart"/>
            <w:r w:rsidRPr="00FA472B">
              <w:rPr>
                <w:color w:val="000000"/>
                <w:sz w:val="24"/>
              </w:rPr>
              <w:t/>
            </w:r>
            <w:proofErr w:type="spellEnd"/>
            <w:r w:rsidRPr="00FA472B">
              <w:rPr>
                <w:color w:val="000000"/>
                <w:sz w:val="24"/>
              </w:rPr>
              <w:t>2020年7月1日-</w:t>
            </w:r>
            <w:proofErr w:type="spellStart"/>
            <w:r w:rsidRPr="00FA472B">
              <w:rPr>
                <w:color w:val="000000"/>
                <w:sz w:val="24"/>
              </w:rPr>
              <w:t/>
            </w:r>
            <w:proofErr w:type="spellEnd"/>
            <w:r w:rsidRPr="00FA472B">
              <w:rPr>
                <w:color w:val="000000"/>
                <w:sz w:val="24"/>
              </w:rPr>
              <w:t>2020年9月30日)</w:t>
            </w:r>
          </w:p>
        </w:tc>
      </w:tr>
      <w:tr w:rsidR="005F23CA" w:rsidRPr="00FA472B" w:rsidTr="004971F0">
        <w:tc>
          <w:tcPr>
            <w:tcW w:type="dxa" w:w="3402"/>
            <w:vMerge/>
            <w:vAlign w:val="center"/>
          </w:tcPr>
          <w:p w:rsidP="004971F0" w:rsidR="005F23CA" w:rsidRDefault="005F23CA" w:rsidRPr="00FA472B">
            <w:pPr>
              <w:adjustRightInd w:val="0"/>
              <w:spacing w:before="29" w:line="360" w:lineRule="auto"/>
              <w:ind w:left="17"/>
              <w:jc w:val="center"/>
              <w:rPr>
                <w:kern w:val="0"/>
                <w:sz w:val="24"/>
              </w:rPr>
            </w:pPr>
          </w:p>
        </w:tc>
        <w:tc>
          <w:tcPr>
            <w:tcW w:type="dxa" w:w="2481"/>
            <w:vAlign w:val="center"/>
          </w:tcPr>
          <w:p w:rsidP="004971F0" w:rsidR="005F23CA" w:rsidRDefault="005F23CA" w:rsidRPr="00FA472B">
            <w:pPr>
              <w:adjustRightInd w:val="0"/>
              <w:spacing w:before="29" w:line="360" w:lineRule="auto"/>
              <w:ind w:left="17"/>
              <w:jc w:val="center"/>
              <w:rPr>
                <w:color w:val="000000"/>
                <w:sz w:val="24"/>
              </w:rPr>
            </w:pPr>
            <w:r w:rsidRPr="00FA472B">
              <w:rPr>
                <w:color w:val="000000"/>
                <w:kern w:val="0"/>
                <w:sz w:val="24"/>
              </w:rPr>
              <w:t/>
            </w:r>
            <w:proofErr w:type="spellStart"/>
            <w:r w:rsidRPr="00FA472B">
              <w:rPr>
                <w:sz w:val="24"/>
              </w:rPr>
              <w:t/>
            </w:r>
            <w:proofErr w:type="spellEnd"/>
            <w:r w:rsidRPr="00FA472B">
              <w:rPr>
                <w:sz w:val="24"/>
              </w:rPr>
              <w:t>易方达上证50指数A</w:t>
            </w:r>
          </w:p>
        </w:tc>
        <w:tc>
          <w:tcPr>
            <w:tcW w:type="dxa" w:w="2481"/>
            <w:vAlign w:val="center"/>
          </w:tcPr>
          <w:p w:rsidP="004971F0" w:rsidR="005F23CA" w:rsidRDefault="005F23CA" w:rsidRPr="00FA472B">
            <w:pPr>
              <w:adjustRightInd w:val="0"/>
              <w:spacing w:before="29" w:line="360" w:lineRule="auto"/>
              <w:ind w:left="17"/>
              <w:jc w:val="center"/>
              <w:rPr>
                <w:color w:val="000000"/>
                <w:sz w:val="24"/>
              </w:rPr>
            </w:pPr>
            <w:r w:rsidRPr="00FA472B">
              <w:rPr>
                <w:color w:val="000000"/>
                <w:kern w:val="0"/>
                <w:sz w:val="24"/>
              </w:rPr>
              <w:t/>
            </w:r>
            <w:r w:rsidRPr="00FA472B">
              <w:rPr>
                <w:sz w:val="24"/>
              </w:rPr>
              <w:t>易方达上证50指数C</w:t>
            </w:r>
          </w:p>
        </w:tc>
      </w:tr>
      <w:tr w:rsidR="005F23CA" w:rsidRPr="00FA472B" w:rsidTr="004971F0">
        <w:tc>
          <w:tcPr>
            <w:tcW w:type="dxa" w:w="3402"/>
          </w:tcPr>
          <w:p w:rsidP="004971F0" w:rsidR="005F23CA" w:rsidRDefault="005F23CA" w:rsidRPr="00FA472B">
            <w:pPr>
              <w:adjustRightInd w:val="0"/>
              <w:spacing w:before="29" w:line="360" w:lineRule="auto"/>
              <w:ind w:left="17"/>
              <w:rPr>
                <w:kern w:val="0"/>
                <w:sz w:val="24"/>
              </w:rPr>
            </w:pPr>
            <w:r w:rsidRPr="00FA472B">
              <w:rPr>
                <w:kern w:val="0"/>
                <w:sz w:val="24"/>
              </w:rPr>
              <w:t>1.</w:t>
            </w:r>
            <w:r w:rsidRPr="00FA472B">
              <w:rPr>
                <w:kern w:val="0"/>
                <w:sz w:val="24"/>
              </w:rPr>
              <w:t>本期已实现收益</w:t>
            </w:r>
          </w:p>
        </w:tc>
        <w:tc>
          <w:tcPr>
            <w:tcW w:type="dxa" w:w="2481"/>
            <w:vAlign w:val="bottom"/>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1,190,214,320.89</w:t>
            </w:r>
          </w:p>
        </w:tc>
        <w:tc>
          <w:tcPr>
            <w:tcW w:type="dxa" w:w="2481"/>
            <w:vAlign w:val="bottom"/>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123,473,843.55</w:t>
            </w:r>
          </w:p>
        </w:tc>
      </w:tr>
      <w:tr w:rsidR="005F23CA" w:rsidRPr="00FA472B" w:rsidTr="004971F0">
        <w:tc>
          <w:tcPr>
            <w:tcW w:type="dxa" w:w="3402"/>
          </w:tcPr>
          <w:p w:rsidP="004971F0" w:rsidR="005F23CA" w:rsidRDefault="005F23CA" w:rsidRPr="00FA472B">
            <w:pPr>
              <w:adjustRightInd w:val="0"/>
              <w:spacing w:before="29" w:line="360" w:lineRule="auto"/>
              <w:ind w:left="17"/>
              <w:rPr>
                <w:kern w:val="0"/>
                <w:sz w:val="24"/>
              </w:rPr>
            </w:pPr>
            <w:r w:rsidRPr="00FA472B">
              <w:rPr>
                <w:kern w:val="0"/>
                <w:sz w:val="24"/>
              </w:rPr>
              <w:t>2.</w:t>
            </w:r>
            <w:r w:rsidRPr="00FA472B">
              <w:rPr>
                <w:kern w:val="0"/>
                <w:sz w:val="24"/>
              </w:rPr>
              <w:t>本期利润</w:t>
            </w:r>
          </w:p>
        </w:tc>
        <w:tc>
          <w:tcPr>
            <w:tcW w:type="dxa" w:w="2481"/>
            <w:vAlign w:val="bottom"/>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2,631,357,925.69</w:t>
            </w:r>
          </w:p>
        </w:tc>
        <w:tc>
          <w:tcPr>
            <w:tcW w:type="dxa" w:w="2481"/>
            <w:vAlign w:val="bottom"/>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266,366,293.86</w:t>
            </w:r>
          </w:p>
        </w:tc>
      </w:tr>
      <w:tr w:rsidR="005F23CA" w:rsidRPr="00FA472B" w:rsidTr="004971F0">
        <w:tc>
          <w:tcPr>
            <w:tcW w:type="dxa" w:w="3402"/>
          </w:tcPr>
          <w:p w:rsidP="004971F0" w:rsidR="005F23CA" w:rsidRDefault="005F23CA" w:rsidRPr="00FA472B">
            <w:pPr>
              <w:adjustRightInd w:val="0"/>
              <w:spacing w:before="29" w:line="360" w:lineRule="auto"/>
              <w:ind w:left="17"/>
              <w:rPr>
                <w:kern w:val="0"/>
                <w:sz w:val="24"/>
              </w:rPr>
            </w:pPr>
            <w:r w:rsidRPr="00FA472B">
              <w:rPr>
                <w:kern w:val="0"/>
                <w:sz w:val="24"/>
              </w:rPr>
              <w:t>3.</w:t>
            </w:r>
            <w:r w:rsidRPr="00FA472B">
              <w:rPr>
                <w:kern w:val="0"/>
                <w:sz w:val="24"/>
              </w:rPr>
              <w:t>加权平均基金份额本期利润</w:t>
            </w:r>
          </w:p>
        </w:tc>
        <w:tc>
          <w:tcPr>
            <w:tcW w:type="dxa" w:w="2481"/>
            <w:vAlign w:val="bottom"/>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0.2971</w:t>
            </w:r>
          </w:p>
        </w:tc>
        <w:tc>
          <w:tcPr>
            <w:tcW w:type="dxa" w:w="2481"/>
            <w:vAlign w:val="bottom"/>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0.2820</w:t>
            </w:r>
          </w:p>
        </w:tc>
      </w:tr>
      <w:tr w:rsidR="005F23CA" w:rsidRPr="00FA472B" w:rsidTr="004971F0">
        <w:tc>
          <w:tcPr>
            <w:tcW w:type="dxa" w:w="3402"/>
          </w:tcPr>
          <w:p w:rsidP="004971F0" w:rsidR="005F23CA" w:rsidRDefault="005F23CA" w:rsidRPr="00FA472B">
            <w:pPr>
              <w:adjustRightInd w:val="0"/>
              <w:spacing w:before="29" w:line="360" w:lineRule="auto"/>
              <w:ind w:left="17"/>
              <w:rPr>
                <w:kern w:val="0"/>
                <w:sz w:val="24"/>
              </w:rPr>
            </w:pPr>
            <w:r w:rsidRPr="00FA472B">
              <w:rPr>
                <w:kern w:val="0"/>
                <w:sz w:val="24"/>
              </w:rPr>
              <w:t>4.</w:t>
            </w:r>
            <w:r w:rsidRPr="00FA472B">
              <w:rPr>
                <w:kern w:val="0"/>
                <w:sz w:val="24"/>
              </w:rPr>
              <w:t>期末基金资产净值</w:t>
            </w:r>
          </w:p>
        </w:tc>
        <w:tc>
          <w:tcPr>
            <w:tcW w:type="dxa" w:w="2481"/>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19,629,120,285.79</w:t>
            </w:r>
          </w:p>
        </w:tc>
        <w:tc>
          <w:tcPr>
            <w:tcW w:type="dxa" w:w="2481"/>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2,102,878,310.78</w:t>
            </w:r>
          </w:p>
        </w:tc>
      </w:tr>
      <w:tr w:rsidR="005F23CA" w:rsidRPr="00FA472B" w:rsidTr="004971F0">
        <w:trPr>
          <w:trHeight w:val="158"/>
        </w:trPr>
        <w:tc>
          <w:tcPr>
            <w:tcW w:type="dxa" w:w="3402"/>
          </w:tcPr>
          <w:p w:rsidP="004971F0" w:rsidR="005F23CA" w:rsidRDefault="005F23CA" w:rsidRPr="00FA472B">
            <w:pPr>
              <w:adjustRightInd w:val="0"/>
              <w:spacing w:before="29" w:line="360" w:lineRule="auto"/>
              <w:ind w:left="17"/>
              <w:rPr>
                <w:kern w:val="0"/>
                <w:sz w:val="24"/>
              </w:rPr>
            </w:pPr>
            <w:r w:rsidRPr="00FA472B">
              <w:rPr>
                <w:kern w:val="0"/>
                <w:sz w:val="24"/>
              </w:rPr>
              <w:lastRenderedPageBreak/>
              <w:t>5.</w:t>
            </w:r>
            <w:r w:rsidRPr="00FA472B">
              <w:rPr>
                <w:kern w:val="0"/>
                <w:sz w:val="24"/>
              </w:rPr>
              <w:t>期末基金份额净值</w:t>
            </w:r>
          </w:p>
        </w:tc>
        <w:tc>
          <w:tcPr>
            <w:tcW w:type="dxa" w:w="2481"/>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2.2095</w:t>
            </w:r>
          </w:p>
        </w:tc>
        <w:tc>
          <w:tcPr>
            <w:tcW w:type="dxa" w:w="2481"/>
          </w:tcPr>
          <w:p w:rsidP="004971F0" w:rsidR="005F23CA" w:rsidRDefault="005F23CA" w:rsidRPr="00FA472B">
            <w:pPr>
              <w:adjustRightInd w:val="0"/>
              <w:spacing w:before="29" w:line="360" w:lineRule="auto"/>
              <w:ind w:left="17"/>
              <w:jc w:val="right"/>
              <w:rPr>
                <w:color w:val="000000"/>
                <w:sz w:val="24"/>
              </w:rPr>
            </w:pPr>
            <w:r w:rsidRPr="00FA472B">
              <w:rPr>
                <w:color w:val="000000"/>
                <w:sz w:val="24"/>
              </w:rPr>
              <w:t>2.1909</w:t>
            </w:r>
          </w:p>
        </w:tc>
      </w:tr>
    </w:tbl>
    <w:p>
      <w:pPr>
        <w:spacing w:line="360" w:lineRule="auto"/>
        <w:ind w:firstLine="480" w:firstLineChars="200"/>
        <w:rPr>
          <w:color w:val="000000"/>
          <w:sz w:val="24"/>
        </w:rPr>
      </w:pPr>
      <w:r>
        <w:rPr>
          <w:color w:val="000000"/>
          <w:sz w:val="24"/>
        </w:rPr>
        <w:t>注：1.所述基金业绩指标不包括持有人认购或交易基金的各项费用，计入费用后实际收益水平要低于所列数字。</w:t>
      </w:r>
    </w:p>
    <w:p w:rsidP="00C1648E" w:rsidR="00A62673" w:rsidRDefault="005F23CA" w:rsidRPr="00C1648E">
      <w:pPr>
        <w:spacing w:line="360" w:lineRule="auto"/>
        <w:ind w:firstLine="480" w:firstLineChars="200"/>
        <w:rPr>
          <w:color w:val="000000"/>
          <w:sz w:val="24"/>
        </w:rPr>
      </w:pPr>
      <w:r w:rsidRPr="00C30CFF">
        <w:rPr>
          <w:color w:val="000000"/>
          <w:sz w:val="24"/>
        </w:rPr>
        <w:t/>
      </w:r>
      <w:proofErr w:type="spellStart"/>
      <w:proofErr w:type="gramStart"/>
      <w:r w:rsidRPr="00C30CFF">
        <w:rPr>
          <w:color w:val="000000"/>
          <w:sz w:val="24"/>
        </w:rPr>
        <w:t/>
      </w:r>
      <w:proofErr w:type="spellEnd"/>
      <w:proofErr w:type="gramEnd"/>
      <w:r w:rsidRPr="00C30CFF">
        <w:rPr>
          <w:color w:val="000000"/>
          <w:sz w:val="24"/>
        </w:rPr>
        <w:t>2.本期已实现收益指基金本期利息收入、投资收益、其他收入（不含公允价值变动收益）扣除相关费用后的余额，本期利润为本期已实现收益加上本期公允价值变动收益。</w:t>
      </w:r>
    </w:p>
    <w:p w:rsidP="005A2DCB"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 xml:space="preserve">3.2 </w:t>
      </w:r>
      <w:r w:rsidRPr="00EC5CE0">
        <w:rPr>
          <w:rFonts w:ascii="宋体" w:cs="Arial" w:hAnsi="宋体" w:hint="eastAsia"/>
          <w:b/>
          <w:color w:val="000000"/>
          <w:kern w:val="0"/>
          <w:sz w:val="24"/>
        </w:rPr>
        <w:t>基金净值表现</w:t>
      </w:r>
    </w:p>
    <w:p w:rsidP="009B2EE9" w:rsidR="009B2EE9" w:rsidRDefault="009B2EE9" w:rsidRPr="0078105B">
      <w:pPr>
        <w:autoSpaceDE w:val="0"/>
        <w:autoSpaceDN w:val="0"/>
        <w:adjustRightInd w:val="0"/>
        <w:spacing w:line="360" w:lineRule="auto"/>
        <w:jc w:val="left"/>
        <w:rPr>
          <w:rFonts w:ascii="宋体" w:cs="Arial"/>
          <w:b/>
          <w:color w:val="000000"/>
          <w:kern w:val="0"/>
          <w:sz w:val="24"/>
        </w:rPr>
      </w:pPr>
      <w:r w:rsidRPr="0078105B">
        <w:rPr>
          <w:rFonts w:ascii="宋体" w:cs="Arial" w:hAnsi="宋体"/>
          <w:b/>
          <w:color w:val="000000"/>
          <w:kern w:val="0"/>
          <w:sz w:val="24"/>
        </w:rPr>
        <w:t>3.2.1</w:t>
      </w:r>
      <w:r w:rsidRPr="0078105B">
        <w:rPr>
          <w:rFonts w:ascii="宋体" w:cs="Arial" w:hAnsi="宋体" w:hint="eastAsia"/>
          <w:b/>
          <w:color w:val="000000"/>
          <w:kern w:val="0"/>
          <w:sz w:val="24"/>
        </w:rPr>
        <w:t>本报告</w:t>
      </w:r>
      <w:proofErr w:type="gramStart"/>
      <w:r w:rsidRPr="0078105B">
        <w:rPr>
          <w:rFonts w:ascii="宋体" w:cs="Arial" w:hAnsi="宋体" w:hint="eastAsia"/>
          <w:b/>
          <w:color w:val="000000"/>
          <w:kern w:val="0"/>
          <w:sz w:val="24"/>
        </w:rPr>
        <w:t>期基金</w:t>
      </w:r>
      <w:proofErr w:type="gramEnd"/>
      <w:r w:rsidRPr="0078105B">
        <w:rPr>
          <w:rFonts w:ascii="宋体" w:cs="Arial" w:hAnsi="宋体" w:hint="eastAsia"/>
          <w:b/>
          <w:color w:val="000000"/>
          <w:kern w:val="0"/>
          <w:sz w:val="24"/>
        </w:rPr>
        <w:t>份额净值增长率及其与同期业绩比较基准收益率的比较</w:t>
      </w:r>
    </w:p>
    <w:p w:rsidP="009B2EE9" w:rsidR="009B2EE9" w:rsidRDefault="009B2EE9" w:rsidRPr="0078105B">
      <w:pPr>
        <w:spacing w:line="360" w:lineRule="auto"/>
        <w:ind w:firstLine="361" w:firstLineChars="150"/>
        <w:rPr>
          <w:rFonts w:ascii="宋体"/>
          <w:b/>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spellStart"/>
      <w:r w:rsidRPr="0078105B">
        <w:rPr>
          <w:rFonts w:ascii="宋体" w:cs="Arial" w:hAnsi="宋体"/>
          <w:b/>
          <w:color w:val="000000"/>
          <w:kern w:val="0"/>
          <w:sz w:val="24"/>
        </w:rPr>
        <w:t/>
      </w:r>
      <w:proofErr w:type="spellEnd"/>
      <w:r w:rsidRPr="0078105B">
        <w:rPr>
          <w:rFonts w:ascii="宋体" w:cs="Arial" w:hAnsi="宋体"/>
          <w:b/>
          <w:color w:val="000000"/>
          <w:kern w:val="0"/>
          <w:sz w:val="24"/>
        </w:rPr>
        <w:t/>
      </w:r>
      <w:proofErr w:type="gramEnd"/>
      <w:r w:rsidRPr="0078105B">
        <w:rPr>
          <w:rFonts w:ascii="宋体" w:cs="Arial" w:hAnsi="宋体"/>
          <w:b/>
          <w:color w:val="000000"/>
          <w:kern w:val="0"/>
          <w:sz w:val="24"/>
        </w:rPr>
        <w:t>易方达上证50指数A</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9B2EE9" w:rsidRPr="0078105B" w:rsidTr="00AE7FCD">
        <w:trPr>
          <w:jc w:val="center"/>
        </w:trPr>
        <w:tc>
          <w:tcPr>
            <w:tcW w:type="dxa" w:w="1290"/>
            <w:vAlign w:val="center"/>
          </w:tcPr>
          <w:p w:rsidP="004971F0" w:rsidR="009B2EE9" w:rsidRDefault="009B2EE9"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4971F0" w:rsidR="009B2EE9" w:rsidRDefault="009B2EE9" w:rsidRPr="00FA472B">
            <w:pPr>
              <w:snapToGrid w:val="0"/>
              <w:spacing w:line="288" w:lineRule="auto"/>
              <w:jc w:val="center"/>
              <w:rPr>
                <w:color w:val="000000"/>
                <w:sz w:val="24"/>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4971F0" w:rsidR="009B2EE9" w:rsidRDefault="009B2EE9" w:rsidRPr="00FA472B">
            <w:pPr>
              <w:snapToGrid w:val="0"/>
              <w:spacing w:line="288" w:lineRule="auto"/>
              <w:jc w:val="center"/>
              <w:rPr>
                <w:color w:val="000000"/>
                <w:sz w:val="24"/>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4971F0" w:rsidR="009B2EE9" w:rsidRDefault="009B2EE9"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4971F0" w:rsidR="009B2EE9" w:rsidRDefault="009B2EE9"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4971F0" w:rsidR="009B2EE9" w:rsidRDefault="009B2EE9"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4971F0" w:rsidR="009B2EE9" w:rsidRDefault="009B2EE9"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14.80%</w:t>
            </w:r>
          </w:p>
        </w:tc>
        <w:tc>
          <w:tcPr>
            <w:vAlign w:val="center"/>
          </w:tcPr>
          <w:p>
            <w:pPr>
              <w:jc w:val="center"/>
            </w:pPr>
            <w:r>
              <w:rPr>
                <w:color w:val="000000"/>
                <w:sz w:val="24"/>
              </w:rPr>
              <w:t>1.49%</w:t>
            </w:r>
          </w:p>
        </w:tc>
        <w:tc>
          <w:tcPr>
            <w:vAlign w:val="center"/>
          </w:tcPr>
          <w:p>
            <w:pPr>
              <w:jc w:val="center"/>
            </w:pPr>
            <w:r>
              <w:rPr>
                <w:color w:val="000000"/>
                <w:sz w:val="24"/>
              </w:rPr>
              <w:t>9.87%</w:t>
            </w:r>
          </w:p>
        </w:tc>
        <w:tc>
          <w:tcPr>
            <w:vAlign w:val="center"/>
          </w:tcPr>
          <w:p>
            <w:pPr>
              <w:jc w:val="center"/>
            </w:pPr>
            <w:r>
              <w:rPr>
                <w:color w:val="000000"/>
                <w:sz w:val="24"/>
              </w:rPr>
              <w:t>1.64%</w:t>
            </w:r>
          </w:p>
        </w:tc>
        <w:tc>
          <w:tcPr>
            <w:vAlign w:val="center"/>
          </w:tcPr>
          <w:p>
            <w:pPr>
              <w:jc w:val="center"/>
            </w:pPr>
            <w:r>
              <w:rPr>
                <w:color w:val="000000"/>
                <w:sz w:val="24"/>
              </w:rPr>
              <w:t>4.93%</w:t>
            </w:r>
          </w:p>
        </w:tc>
        <w:tc>
          <w:tcPr>
            <w:vAlign w:val="center"/>
          </w:tcPr>
          <w:p>
            <w:pPr>
              <w:jc w:val="center"/>
            </w:pPr>
            <w:r>
              <w:rPr>
                <w:color w:val="000000"/>
                <w:sz w:val="24"/>
              </w:rPr>
              <w:t>-0.15%</w:t>
            </w:r>
          </w:p>
        </w:tc>
      </w:tr>
      <w:tr>
        <w:tc>
          <w:tcPr>
            <w:vAlign w:val="center"/>
          </w:tcPr>
          <w:p>
            <w:pPr>
              <w:jc w:val="left"/>
            </w:pPr>
            <w:r>
              <w:rPr>
                <w:color w:val="000000"/>
                <w:sz w:val="24"/>
              </w:rPr>
              <w:t>过去六个月</w:t>
            </w:r>
          </w:p>
        </w:tc>
        <w:tc>
          <w:tcPr>
            <w:vAlign w:val="center"/>
          </w:tcPr>
          <w:p>
            <w:pPr>
              <w:jc w:val="center"/>
            </w:pPr>
            <w:r>
              <w:rPr>
                <w:color w:val="000000"/>
                <w:sz w:val="24"/>
              </w:rPr>
              <w:t>32.44%</w:t>
            </w:r>
          </w:p>
        </w:tc>
        <w:tc>
          <w:tcPr>
            <w:vAlign w:val="center"/>
          </w:tcPr>
          <w:p>
            <w:pPr>
              <w:jc w:val="center"/>
            </w:pPr>
            <w:r>
              <w:rPr>
                <w:color w:val="000000"/>
                <w:sz w:val="24"/>
              </w:rPr>
              <w:t>1.23%</w:t>
            </w:r>
          </w:p>
        </w:tc>
        <w:tc>
          <w:tcPr>
            <w:vAlign w:val="center"/>
          </w:tcPr>
          <w:p>
            <w:pPr>
              <w:jc w:val="center"/>
            </w:pPr>
            <w:r>
              <w:rPr>
                <w:color w:val="000000"/>
                <w:sz w:val="24"/>
              </w:rPr>
              <w:t>20.19%</w:t>
            </w:r>
          </w:p>
        </w:tc>
        <w:tc>
          <w:tcPr>
            <w:vAlign w:val="center"/>
          </w:tcPr>
          <w:p>
            <w:pPr>
              <w:jc w:val="center"/>
            </w:pPr>
            <w:r>
              <w:rPr>
                <w:color w:val="000000"/>
                <w:sz w:val="24"/>
              </w:rPr>
              <w:t>1.32%</w:t>
            </w:r>
          </w:p>
        </w:tc>
        <w:tc>
          <w:tcPr>
            <w:vAlign w:val="center"/>
          </w:tcPr>
          <w:p>
            <w:pPr>
              <w:jc w:val="center"/>
            </w:pPr>
            <w:r>
              <w:rPr>
                <w:color w:val="000000"/>
                <w:sz w:val="24"/>
              </w:rPr>
              <w:t>12.25%</w:t>
            </w:r>
          </w:p>
        </w:tc>
        <w:tc>
          <w:tcPr>
            <w:vAlign w:val="center"/>
          </w:tcPr>
          <w:p>
            <w:pPr>
              <w:jc w:val="center"/>
            </w:pPr>
            <w:r>
              <w:rPr>
                <w:color w:val="000000"/>
                <w:sz w:val="24"/>
              </w:rPr>
              <w:t>-0.09%</w:t>
            </w:r>
          </w:p>
        </w:tc>
      </w:tr>
      <w:tr>
        <w:tc>
          <w:tcPr>
            <w:vAlign w:val="center"/>
          </w:tcPr>
          <w:p>
            <w:pPr>
              <w:jc w:val="left"/>
            </w:pPr>
            <w:r>
              <w:rPr>
                <w:color w:val="000000"/>
                <w:sz w:val="24"/>
              </w:rPr>
              <w:t>过去一年</w:t>
            </w:r>
          </w:p>
        </w:tc>
        <w:tc>
          <w:tcPr>
            <w:vAlign w:val="center"/>
          </w:tcPr>
          <w:p>
            <w:pPr>
              <w:jc w:val="center"/>
            </w:pPr>
            <w:r>
              <w:rPr>
                <w:color w:val="000000"/>
                <w:sz w:val="24"/>
              </w:rPr>
              <w:t>28.36%</w:t>
            </w:r>
          </w:p>
        </w:tc>
        <w:tc>
          <w:tcPr>
            <w:vAlign w:val="center"/>
          </w:tcPr>
          <w:p>
            <w:pPr>
              <w:jc w:val="center"/>
            </w:pPr>
            <w:r>
              <w:rPr>
                <w:color w:val="000000"/>
                <w:sz w:val="24"/>
              </w:rPr>
              <w:t>1.28%</w:t>
            </w:r>
          </w:p>
        </w:tc>
        <w:tc>
          <w:tcPr>
            <w:vAlign w:val="center"/>
          </w:tcPr>
          <w:p>
            <w:pPr>
              <w:jc w:val="center"/>
            </w:pPr>
            <w:r>
              <w:rPr>
                <w:color w:val="000000"/>
                <w:sz w:val="24"/>
              </w:rPr>
              <w:t>11.55%</w:t>
            </w:r>
          </w:p>
        </w:tc>
        <w:tc>
          <w:tcPr>
            <w:vAlign w:val="center"/>
          </w:tcPr>
          <w:p>
            <w:pPr>
              <w:jc w:val="center"/>
            </w:pPr>
            <w:r>
              <w:rPr>
                <w:color w:val="000000"/>
                <w:sz w:val="24"/>
              </w:rPr>
              <w:t>1.35%</w:t>
            </w:r>
          </w:p>
        </w:tc>
        <w:tc>
          <w:tcPr>
            <w:vAlign w:val="center"/>
          </w:tcPr>
          <w:p>
            <w:pPr>
              <w:jc w:val="center"/>
            </w:pPr>
            <w:r>
              <w:rPr>
                <w:color w:val="000000"/>
                <w:sz w:val="24"/>
              </w:rPr>
              <w:t>16.81%</w:t>
            </w:r>
          </w:p>
        </w:tc>
        <w:tc>
          <w:tcPr>
            <w:vAlign w:val="center"/>
          </w:tcPr>
          <w:p>
            <w:pPr>
              <w:jc w:val="center"/>
            </w:pPr>
            <w:r>
              <w:rPr>
                <w:color w:val="000000"/>
                <w:sz w:val="24"/>
              </w:rPr>
              <w:t>-0.07%</w:t>
            </w:r>
          </w:p>
        </w:tc>
      </w:tr>
      <w:tr>
        <w:tc>
          <w:tcPr>
            <w:vAlign w:val="center"/>
          </w:tcPr>
          <w:p>
            <w:pPr>
              <w:jc w:val="left"/>
            </w:pPr>
            <w:r>
              <w:rPr>
                <w:color w:val="000000"/>
                <w:sz w:val="24"/>
              </w:rPr>
              <w:t>过去三年</w:t>
            </w:r>
          </w:p>
        </w:tc>
        <w:tc>
          <w:tcPr>
            <w:vAlign w:val="center"/>
          </w:tcPr>
          <w:p>
            <w:pPr>
              <w:jc w:val="center"/>
            </w:pPr>
            <w:r>
              <w:rPr>
                <w:color w:val="000000"/>
                <w:sz w:val="24"/>
              </w:rPr>
              <w:t>74.13%</w:t>
            </w:r>
          </w:p>
        </w:tc>
        <w:tc>
          <w:tcPr>
            <w:vAlign w:val="center"/>
          </w:tcPr>
          <w:p>
            <w:pPr>
              <w:jc w:val="center"/>
            </w:pPr>
            <w:r>
              <w:rPr>
                <w:color w:val="000000"/>
                <w:sz w:val="24"/>
              </w:rPr>
              <w:t>1.34%</w:t>
            </w:r>
          </w:p>
        </w:tc>
        <w:tc>
          <w:tcPr>
            <w:vAlign w:val="center"/>
          </w:tcPr>
          <w:p>
            <w:pPr>
              <w:jc w:val="center"/>
            </w:pPr>
            <w:r>
              <w:rPr>
                <w:color w:val="000000"/>
                <w:sz w:val="24"/>
              </w:rPr>
              <w:t>20.96%</w:t>
            </w:r>
          </w:p>
        </w:tc>
        <w:tc>
          <w:tcPr>
            <w:vAlign w:val="center"/>
          </w:tcPr>
          <w:p>
            <w:pPr>
              <w:jc w:val="center"/>
            </w:pPr>
            <w:r>
              <w:rPr>
                <w:color w:val="000000"/>
                <w:sz w:val="24"/>
              </w:rPr>
              <w:t>1.32%</w:t>
            </w:r>
          </w:p>
        </w:tc>
        <w:tc>
          <w:tcPr>
            <w:vAlign w:val="center"/>
          </w:tcPr>
          <w:p>
            <w:pPr>
              <w:jc w:val="center"/>
            </w:pPr>
            <w:r>
              <w:rPr>
                <w:color w:val="000000"/>
                <w:sz w:val="24"/>
              </w:rPr>
              <w:t>53.17%</w:t>
            </w:r>
          </w:p>
        </w:tc>
        <w:tc>
          <w:tcPr>
            <w:vAlign w:val="center"/>
          </w:tcPr>
          <w:p>
            <w:pPr>
              <w:jc w:val="center"/>
            </w:pPr>
            <w:r>
              <w:rPr>
                <w:color w:val="000000"/>
                <w:sz w:val="24"/>
              </w:rPr>
              <w:t>0.02%</w:t>
            </w:r>
          </w:p>
        </w:tc>
      </w:tr>
      <w:tr>
        <w:tc>
          <w:tcPr>
            <w:vAlign w:val="center"/>
          </w:tcPr>
          <w:p>
            <w:pPr>
              <w:jc w:val="left"/>
            </w:pPr>
            <w:r>
              <w:rPr>
                <w:color w:val="000000"/>
                <w:sz w:val="24"/>
              </w:rPr>
              <w:t>过去五年</w:t>
            </w:r>
          </w:p>
        </w:tc>
        <w:tc>
          <w:tcPr>
            <w:vAlign w:val="center"/>
          </w:tcPr>
          <w:p>
            <w:pPr>
              <w:jc w:val="center"/>
            </w:pPr>
            <w:r>
              <w:rPr>
                <w:color w:val="000000"/>
                <w:sz w:val="24"/>
              </w:rPr>
              <w:t>144.29%</w:t>
            </w:r>
          </w:p>
        </w:tc>
        <w:tc>
          <w:tcPr>
            <w:vAlign w:val="center"/>
          </w:tcPr>
          <w:p>
            <w:pPr>
              <w:jc w:val="center"/>
            </w:pPr>
            <w:r>
              <w:rPr>
                <w:color w:val="000000"/>
                <w:sz w:val="24"/>
              </w:rPr>
              <w:t>1.24%</w:t>
            </w:r>
          </w:p>
        </w:tc>
        <w:tc>
          <w:tcPr>
            <w:vAlign w:val="center"/>
          </w:tcPr>
          <w:p>
            <w:pPr>
              <w:jc w:val="center"/>
            </w:pPr>
            <w:r>
              <w:rPr>
                <w:color w:val="000000"/>
                <w:sz w:val="24"/>
              </w:rPr>
              <w:t>50.62%</w:t>
            </w:r>
          </w:p>
        </w:tc>
        <w:tc>
          <w:tcPr>
            <w:vAlign w:val="center"/>
          </w:tcPr>
          <w:p>
            <w:pPr>
              <w:jc w:val="center"/>
            </w:pPr>
            <w:r>
              <w:rPr>
                <w:color w:val="000000"/>
                <w:sz w:val="24"/>
              </w:rPr>
              <w:t>1.25%</w:t>
            </w:r>
          </w:p>
        </w:tc>
        <w:tc>
          <w:tcPr>
            <w:vAlign w:val="center"/>
          </w:tcPr>
          <w:p>
            <w:pPr>
              <w:jc w:val="center"/>
            </w:pPr>
            <w:r>
              <w:rPr>
                <w:color w:val="000000"/>
                <w:sz w:val="24"/>
              </w:rPr>
              <w:t>93.67%</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586.46%</w:t>
            </w:r>
          </w:p>
        </w:tc>
        <w:tc>
          <w:tcPr>
            <w:vAlign w:val="center"/>
          </w:tcPr>
          <w:p>
            <w:pPr>
              <w:jc w:val="center"/>
            </w:pPr>
            <w:r>
              <w:rPr>
                <w:color w:val="000000"/>
                <w:sz w:val="24"/>
              </w:rPr>
              <w:t>1.59%</w:t>
            </w:r>
          </w:p>
        </w:tc>
        <w:tc>
          <w:tcPr>
            <w:vAlign w:val="center"/>
          </w:tcPr>
          <w:p>
            <w:pPr>
              <w:jc w:val="center"/>
            </w:pPr>
            <w:r>
              <w:rPr>
                <w:color w:val="000000"/>
                <w:sz w:val="24"/>
              </w:rPr>
              <w:t>201.61%</w:t>
            </w:r>
          </w:p>
        </w:tc>
        <w:tc>
          <w:tcPr>
            <w:vAlign w:val="center"/>
          </w:tcPr>
          <w:p>
            <w:pPr>
              <w:jc w:val="center"/>
            </w:pPr>
            <w:r>
              <w:rPr>
                <w:color w:val="000000"/>
                <w:sz w:val="24"/>
              </w:rPr>
              <w:t>1.69%</w:t>
            </w:r>
          </w:p>
        </w:tc>
        <w:tc>
          <w:tcPr>
            <w:vAlign w:val="center"/>
          </w:tcPr>
          <w:p>
            <w:pPr>
              <w:jc w:val="center"/>
            </w:pPr>
            <w:r>
              <w:rPr>
                <w:color w:val="000000"/>
                <w:sz w:val="24"/>
              </w:rPr>
              <w:t>384.85%</w:t>
            </w:r>
          </w:p>
        </w:tc>
        <w:tc>
          <w:tcPr>
            <w:vAlign w:val="center"/>
          </w:tcPr>
          <w:p>
            <w:pPr>
              <w:jc w:val="center"/>
            </w:pPr>
            <w:r>
              <w:rPr>
                <w:color w:val="000000"/>
                <w:sz w:val="24"/>
              </w:rPr>
              <w:t>-0.10%</w:t>
            </w:r>
          </w:p>
        </w:tc>
      </w:tr>
    </w:tbl>
    <w:p w:rsidP="009B2EE9" w:rsidR="009B2EE9" w:rsidRDefault="009B2EE9" w:rsidRPr="0078105B">
      <w:pPr>
        <w:adjustRightInd w:val="0"/>
        <w:spacing w:line="360" w:lineRule="auto"/>
        <w:ind w:firstLine="361" w:firstLineChars="150"/>
        <w:rPr>
          <w:rFonts w:ascii="宋体" w:cs="Arial"/>
          <w:b/>
          <w:color w:val="000000"/>
          <w:kern w:val="0"/>
          <w:sz w:val="24"/>
        </w:rPr>
      </w:pPr>
      <w:r w:rsidRPr="0078105B">
        <w:rPr>
          <w:rFonts w:ascii="宋体" w:cs="Arial"/>
          <w:b/>
          <w:color w:val="000000"/>
          <w:kern w:val="0"/>
          <w:sz w:val="24"/>
        </w:rPr>
        <w:t/>
      </w:r>
      <w:proofErr w:type="gramStart"/>
      <w:r w:rsidRPr="0078105B">
        <w:rPr>
          <w:rFonts w:ascii="宋体" w:cs="Arial" w:hAnsi="宋体"/>
          <w:b/>
          <w:color w:val="000000"/>
          <w:kern w:val="0"/>
          <w:sz w:val="24"/>
        </w:rPr>
        <w:t/>
      </w:r>
      <w:proofErr w:type="gramEnd"/>
      <w:r w:rsidRPr="0078105B">
        <w:rPr>
          <w:rFonts w:ascii="宋体" w:cs="Arial" w:hAnsi="宋体"/>
          <w:b/>
          <w:color w:val="000000"/>
          <w:kern w:val="0"/>
          <w:sz w:val="24"/>
        </w:rPr>
        <w:t>易方达上证50指数C</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1290"/>
        <w:gridCol w:w="1291"/>
        <w:gridCol w:w="1291"/>
        <w:gridCol w:w="1291"/>
        <w:gridCol w:w="1291"/>
        <w:gridCol w:w="1291"/>
        <w:gridCol w:w="1291"/>
      </w:tblGrid>
      <w:tr w:rsidR="009B2EE9" w:rsidRPr="0078105B" w:rsidTr="00AE7FCD">
        <w:trPr>
          <w:jc w:val="center"/>
        </w:trPr>
        <w:tc>
          <w:tcPr>
            <w:tcW w:type="dxa" w:w="1290"/>
            <w:vAlign w:val="center"/>
          </w:tcPr>
          <w:p w:rsidP="004971F0" w:rsidR="009B2EE9" w:rsidRDefault="009B2EE9" w:rsidRPr="00FA472B">
            <w:pPr>
              <w:snapToGrid w:val="0"/>
              <w:spacing w:line="288" w:lineRule="auto"/>
              <w:jc w:val="center"/>
              <w:rPr>
                <w:color w:val="000000"/>
                <w:sz w:val="24"/>
              </w:rPr>
            </w:pPr>
            <w:r w:rsidRPr="00FA472B">
              <w:rPr>
                <w:color w:val="000000"/>
                <w:sz w:val="24"/>
              </w:rPr>
              <w:t>阶段</w:t>
            </w:r>
            <w:r w:rsidRPr="00FA472B">
              <w:rPr>
                <w:color w:val="000000"/>
                <w:sz w:val="24"/>
              </w:rPr>
              <w:t/>
            </w:r>
            <w:proofErr w:type="spellStart"/>
            <w:r w:rsidRPr="00FA472B">
              <w:rPr>
                <w:color w:val="000000"/>
                <w:sz w:val="24"/>
              </w:rPr>
              <w:t/>
            </w:r>
            <w:proofErr w:type="spellEnd"/>
            <w:r w:rsidRPr="00FA472B">
              <w:rPr>
                <w:color w:val="000000"/>
                <w:sz w:val="24"/>
              </w:rPr>
              <w:t/>
            </w:r>
          </w:p>
        </w:tc>
        <w:tc>
          <w:tcPr>
            <w:tcW w:type="dxa" w:w="1291"/>
            <w:vAlign w:val="center"/>
          </w:tcPr>
          <w:p w:rsidP="004971F0" w:rsidR="009B2EE9" w:rsidRDefault="009B2EE9" w:rsidRPr="00FA472B">
            <w:pPr>
              <w:snapToGrid w:val="0"/>
              <w:spacing w:line="288" w:lineRule="auto"/>
              <w:jc w:val="center"/>
              <w:rPr>
                <w:color w:val="000000"/>
                <w:sz w:val="24"/>
                <w:highlight w:val="green"/>
              </w:rPr>
            </w:pPr>
            <w:r w:rsidRPr="00FA472B">
              <w:rPr>
                <w:color w:val="000000"/>
                <w:sz w:val="24"/>
              </w:rPr>
              <w:t>净值增长率</w:t>
            </w:r>
            <w:r w:rsidRPr="00414367">
              <w:rPr>
                <w:rFonts w:ascii="宋体" w:cs="宋体" w:hAnsi="宋体" w:hint="eastAsia"/>
                <w:color w:val="000000"/>
                <w:sz w:val="24"/>
              </w:rPr>
              <w:t>①</w:t>
            </w:r>
          </w:p>
        </w:tc>
        <w:tc>
          <w:tcPr>
            <w:tcW w:type="dxa" w:w="1291"/>
            <w:vAlign w:val="center"/>
          </w:tcPr>
          <w:p w:rsidP="004971F0" w:rsidR="009B2EE9" w:rsidRDefault="009B2EE9" w:rsidRPr="00FA472B">
            <w:pPr>
              <w:snapToGrid w:val="0"/>
              <w:spacing w:line="288" w:lineRule="auto"/>
              <w:jc w:val="center"/>
              <w:rPr>
                <w:color w:val="000000"/>
                <w:sz w:val="24"/>
                <w:highlight w:val="green"/>
              </w:rPr>
            </w:pPr>
            <w:r w:rsidRPr="00FA472B">
              <w:rPr>
                <w:color w:val="000000"/>
                <w:sz w:val="24"/>
              </w:rPr>
              <w:t>净值增长率标准差</w:t>
            </w:r>
            <w:r w:rsidRPr="00414367">
              <w:rPr>
                <w:rFonts w:ascii="宋体" w:cs="宋体" w:hAnsi="宋体" w:hint="eastAsia"/>
                <w:color w:val="000000"/>
                <w:sz w:val="24"/>
              </w:rPr>
              <w:t>②</w:t>
            </w:r>
          </w:p>
        </w:tc>
        <w:tc>
          <w:tcPr>
            <w:tcW w:type="dxa" w:w="1291"/>
            <w:vAlign w:val="center"/>
          </w:tcPr>
          <w:p w:rsidP="004971F0" w:rsidR="009B2EE9" w:rsidRDefault="009B2EE9" w:rsidRPr="00FA472B">
            <w:pPr>
              <w:snapToGrid w:val="0"/>
              <w:spacing w:line="288" w:lineRule="auto"/>
              <w:jc w:val="center"/>
              <w:rPr>
                <w:color w:val="000000"/>
                <w:sz w:val="24"/>
              </w:rPr>
            </w:pPr>
            <w:r w:rsidRPr="00FA472B">
              <w:rPr>
                <w:color w:val="000000"/>
                <w:sz w:val="24"/>
              </w:rPr>
              <w:t>业绩比较基准收益率</w:t>
            </w:r>
            <w:r w:rsidRPr="00414367">
              <w:rPr>
                <w:rFonts w:ascii="宋体" w:cs="宋体" w:hAnsi="宋体" w:hint="eastAsia"/>
                <w:color w:val="000000"/>
                <w:sz w:val="24"/>
              </w:rPr>
              <w:t>③</w:t>
            </w:r>
          </w:p>
        </w:tc>
        <w:tc>
          <w:tcPr>
            <w:tcW w:type="dxa" w:w="1291"/>
            <w:vAlign w:val="center"/>
          </w:tcPr>
          <w:p w:rsidP="004971F0" w:rsidR="009B2EE9" w:rsidRDefault="009B2EE9" w:rsidRPr="00FA472B">
            <w:pPr>
              <w:snapToGrid w:val="0"/>
              <w:spacing w:line="288" w:lineRule="auto"/>
              <w:jc w:val="center"/>
              <w:rPr>
                <w:color w:val="000000"/>
                <w:sz w:val="24"/>
              </w:rPr>
            </w:pPr>
            <w:r w:rsidRPr="00FA472B">
              <w:rPr>
                <w:color w:val="000000"/>
                <w:sz w:val="24"/>
              </w:rPr>
              <w:t>业绩比较基准收益率标准差</w:t>
            </w:r>
            <w:r w:rsidRPr="00414367">
              <w:rPr>
                <w:rFonts w:ascii="宋体" w:cs="宋体" w:hAnsi="宋体" w:hint="eastAsia"/>
                <w:color w:val="000000"/>
                <w:sz w:val="24"/>
              </w:rPr>
              <w:t>④</w:t>
            </w:r>
          </w:p>
        </w:tc>
        <w:tc>
          <w:tcPr>
            <w:tcW w:type="dxa" w:w="1291"/>
            <w:vAlign w:val="center"/>
          </w:tcPr>
          <w:p w:rsidP="004971F0" w:rsidR="009B2EE9" w:rsidRDefault="009B2EE9" w:rsidRPr="00FA472B">
            <w:pPr>
              <w:snapToGrid w:val="0"/>
              <w:spacing w:line="288" w:lineRule="auto"/>
              <w:jc w:val="center"/>
              <w:rPr>
                <w:color w:val="000000"/>
                <w:sz w:val="24"/>
              </w:rPr>
            </w:pPr>
            <w:r w:rsidRPr="00414367">
              <w:rPr>
                <w:rFonts w:ascii="宋体" w:cs="宋体" w:hAnsi="宋体" w:hint="eastAsia"/>
                <w:color w:val="000000"/>
                <w:sz w:val="24"/>
              </w:rPr>
              <w:t>①</w:t>
            </w:r>
            <w:r w:rsidRPr="00FA472B">
              <w:rPr>
                <w:color w:val="000000"/>
                <w:sz w:val="24"/>
              </w:rPr>
              <w:t>－</w:t>
            </w:r>
            <w:r w:rsidRPr="00414367">
              <w:rPr>
                <w:rFonts w:ascii="宋体" w:cs="宋体" w:hAnsi="宋体" w:hint="eastAsia"/>
                <w:color w:val="000000"/>
                <w:sz w:val="24"/>
              </w:rPr>
              <w:t>③</w:t>
            </w:r>
          </w:p>
        </w:tc>
        <w:tc>
          <w:tcPr>
            <w:tcW w:type="dxa" w:w="1291"/>
            <w:vAlign w:val="center"/>
          </w:tcPr>
          <w:p w:rsidP="004971F0" w:rsidR="009B2EE9" w:rsidRDefault="009B2EE9" w:rsidRPr="00FA472B">
            <w:pPr>
              <w:snapToGrid w:val="0"/>
              <w:spacing w:line="288" w:lineRule="auto"/>
              <w:jc w:val="center"/>
              <w:rPr>
                <w:color w:val="000000"/>
                <w:sz w:val="24"/>
              </w:rPr>
            </w:pPr>
            <w:r w:rsidRPr="00414367">
              <w:rPr>
                <w:rFonts w:ascii="宋体" w:cs="宋体" w:hAnsi="宋体" w:hint="eastAsia"/>
                <w:color w:val="000000"/>
                <w:sz w:val="24"/>
              </w:rPr>
              <w:t>②</w:t>
            </w:r>
            <w:r w:rsidRPr="00FA472B">
              <w:rPr>
                <w:color w:val="000000"/>
                <w:sz w:val="24"/>
              </w:rPr>
              <w:t>－</w:t>
            </w:r>
            <w:r w:rsidRPr="00414367">
              <w:rPr>
                <w:rFonts w:ascii="宋体" w:cs="宋体" w:hAnsi="宋体" w:hint="eastAsia"/>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14.72%</w:t>
            </w:r>
          </w:p>
        </w:tc>
        <w:tc>
          <w:tcPr>
            <w:vAlign w:val="center"/>
          </w:tcPr>
          <w:p>
            <w:pPr>
              <w:jc w:val="center"/>
            </w:pPr>
            <w:r>
              <w:rPr>
                <w:color w:val="000000"/>
                <w:sz w:val="24"/>
              </w:rPr>
              <w:t>1.49%</w:t>
            </w:r>
          </w:p>
        </w:tc>
        <w:tc>
          <w:tcPr>
            <w:vAlign w:val="center"/>
          </w:tcPr>
          <w:p>
            <w:pPr>
              <w:jc w:val="center"/>
            </w:pPr>
            <w:r>
              <w:rPr>
                <w:color w:val="000000"/>
                <w:sz w:val="24"/>
              </w:rPr>
              <w:t>9.87%</w:t>
            </w:r>
          </w:p>
        </w:tc>
        <w:tc>
          <w:tcPr>
            <w:vAlign w:val="center"/>
          </w:tcPr>
          <w:p>
            <w:pPr>
              <w:jc w:val="center"/>
            </w:pPr>
            <w:r>
              <w:rPr>
                <w:color w:val="000000"/>
                <w:sz w:val="24"/>
              </w:rPr>
              <w:t>1.64%</w:t>
            </w:r>
          </w:p>
        </w:tc>
        <w:tc>
          <w:tcPr>
            <w:vAlign w:val="center"/>
          </w:tcPr>
          <w:p>
            <w:pPr>
              <w:jc w:val="center"/>
            </w:pPr>
            <w:r>
              <w:rPr>
                <w:color w:val="000000"/>
                <w:sz w:val="24"/>
              </w:rPr>
              <w:t>4.85%</w:t>
            </w:r>
          </w:p>
        </w:tc>
        <w:tc>
          <w:tcPr>
            <w:vAlign w:val="center"/>
          </w:tcPr>
          <w:p>
            <w:pPr>
              <w:jc w:val="center"/>
            </w:pPr>
            <w:r>
              <w:rPr>
                <w:color w:val="000000"/>
                <w:sz w:val="24"/>
              </w:rPr>
              <w:t>-0.15%</w:t>
            </w:r>
          </w:p>
        </w:tc>
      </w:tr>
      <w:tr>
        <w:tc>
          <w:tcPr>
            <w:vAlign w:val="center"/>
          </w:tcPr>
          <w:p>
            <w:pPr>
              <w:jc w:val="left"/>
            </w:pPr>
            <w:r>
              <w:rPr>
                <w:color w:val="000000"/>
                <w:sz w:val="24"/>
              </w:rPr>
              <w:t>过去六个月</w:t>
            </w:r>
          </w:p>
        </w:tc>
        <w:tc>
          <w:tcPr>
            <w:vAlign w:val="center"/>
          </w:tcPr>
          <w:p>
            <w:pPr>
              <w:jc w:val="center"/>
            </w:pPr>
            <w:r>
              <w:rPr>
                <w:color w:val="000000"/>
                <w:sz w:val="24"/>
              </w:rPr>
              <w:t>32.28%</w:t>
            </w:r>
          </w:p>
        </w:tc>
        <w:tc>
          <w:tcPr>
            <w:vAlign w:val="center"/>
          </w:tcPr>
          <w:p>
            <w:pPr>
              <w:jc w:val="center"/>
            </w:pPr>
            <w:r>
              <w:rPr>
                <w:color w:val="000000"/>
                <w:sz w:val="24"/>
              </w:rPr>
              <w:t>1.23%</w:t>
            </w:r>
          </w:p>
        </w:tc>
        <w:tc>
          <w:tcPr>
            <w:vAlign w:val="center"/>
          </w:tcPr>
          <w:p>
            <w:pPr>
              <w:jc w:val="center"/>
            </w:pPr>
            <w:r>
              <w:rPr>
                <w:color w:val="000000"/>
                <w:sz w:val="24"/>
              </w:rPr>
              <w:t>20.19%</w:t>
            </w:r>
          </w:p>
        </w:tc>
        <w:tc>
          <w:tcPr>
            <w:vAlign w:val="center"/>
          </w:tcPr>
          <w:p>
            <w:pPr>
              <w:jc w:val="center"/>
            </w:pPr>
            <w:r>
              <w:rPr>
                <w:color w:val="000000"/>
                <w:sz w:val="24"/>
              </w:rPr>
              <w:t>1.32%</w:t>
            </w:r>
          </w:p>
        </w:tc>
        <w:tc>
          <w:tcPr>
            <w:vAlign w:val="center"/>
          </w:tcPr>
          <w:p>
            <w:pPr>
              <w:jc w:val="center"/>
            </w:pPr>
            <w:r>
              <w:rPr>
                <w:color w:val="000000"/>
                <w:sz w:val="24"/>
              </w:rPr>
              <w:t>12.09%</w:t>
            </w:r>
          </w:p>
        </w:tc>
        <w:tc>
          <w:tcPr>
            <w:vAlign w:val="center"/>
          </w:tcPr>
          <w:p>
            <w:pPr>
              <w:jc w:val="center"/>
            </w:pPr>
            <w:r>
              <w:rPr>
                <w:color w:val="000000"/>
                <w:sz w:val="24"/>
              </w:rPr>
              <w:t>-0.09%</w:t>
            </w:r>
          </w:p>
        </w:tc>
      </w:tr>
      <w:tr>
        <w:tc>
          <w:tcPr>
            <w:vAlign w:val="center"/>
          </w:tcPr>
          <w:p>
            <w:pPr>
              <w:jc w:val="left"/>
            </w:pPr>
            <w:r>
              <w:rPr>
                <w:color w:val="000000"/>
                <w:sz w:val="24"/>
              </w:rPr>
              <w:t>过去一年</w:t>
            </w:r>
          </w:p>
        </w:tc>
        <w:tc>
          <w:tcPr>
            <w:vAlign w:val="center"/>
          </w:tcPr>
          <w:p>
            <w:pPr>
              <w:jc w:val="center"/>
            </w:pPr>
            <w:r>
              <w:rPr>
                <w:color w:val="000000"/>
                <w:sz w:val="24"/>
              </w:rPr>
              <w:t>28.02%</w:t>
            </w:r>
          </w:p>
        </w:tc>
        <w:tc>
          <w:tcPr>
            <w:vAlign w:val="center"/>
          </w:tcPr>
          <w:p>
            <w:pPr>
              <w:jc w:val="center"/>
            </w:pPr>
            <w:r>
              <w:rPr>
                <w:color w:val="000000"/>
                <w:sz w:val="24"/>
              </w:rPr>
              <w:t>1.28%</w:t>
            </w:r>
          </w:p>
        </w:tc>
        <w:tc>
          <w:tcPr>
            <w:vAlign w:val="center"/>
          </w:tcPr>
          <w:p>
            <w:pPr>
              <w:jc w:val="center"/>
            </w:pPr>
            <w:r>
              <w:rPr>
                <w:color w:val="000000"/>
                <w:sz w:val="24"/>
              </w:rPr>
              <w:t>11.55%</w:t>
            </w:r>
          </w:p>
        </w:tc>
        <w:tc>
          <w:tcPr>
            <w:vAlign w:val="center"/>
          </w:tcPr>
          <w:p>
            <w:pPr>
              <w:jc w:val="center"/>
            </w:pPr>
            <w:r>
              <w:rPr>
                <w:color w:val="000000"/>
                <w:sz w:val="24"/>
              </w:rPr>
              <w:t>1.35%</w:t>
            </w:r>
          </w:p>
        </w:tc>
        <w:tc>
          <w:tcPr>
            <w:vAlign w:val="center"/>
          </w:tcPr>
          <w:p>
            <w:pPr>
              <w:jc w:val="center"/>
            </w:pPr>
            <w:r>
              <w:rPr>
                <w:color w:val="000000"/>
                <w:sz w:val="24"/>
              </w:rPr>
              <w:t>16.47%</w:t>
            </w:r>
          </w:p>
        </w:tc>
        <w:tc>
          <w:tcPr>
            <w:vAlign w:val="center"/>
          </w:tcPr>
          <w:p>
            <w:pPr>
              <w:jc w:val="center"/>
            </w:pPr>
            <w:r>
              <w:rPr>
                <w:color w:val="000000"/>
                <w:sz w:val="24"/>
              </w:rPr>
              <w:t>-0.07%</w:t>
            </w:r>
          </w:p>
        </w:tc>
      </w:tr>
      <w:tr>
        <w:tc>
          <w:tcPr>
            <w:vAlign w:val="center"/>
          </w:tcPr>
          <w:p>
            <w:pPr>
              <w:jc w:val="left"/>
            </w:pPr>
            <w:r>
              <w:rPr>
                <w:color w:val="000000"/>
                <w:sz w:val="24"/>
              </w:rPr>
              <w:t>过去三年</w:t>
            </w:r>
          </w:p>
        </w:tc>
        <w:tc>
          <w:tcPr>
            <w:vAlign w:val="center"/>
          </w:tcPr>
          <w:p>
            <w:pPr>
              <w:jc w:val="center"/>
            </w:pPr>
            <w:r>
              <w:rPr>
                <w:color w:val="000000"/>
                <w:sz w:val="24"/>
              </w:rPr>
              <w:t>72.78%</w:t>
            </w:r>
          </w:p>
        </w:tc>
        <w:tc>
          <w:tcPr>
            <w:vAlign w:val="center"/>
          </w:tcPr>
          <w:p>
            <w:pPr>
              <w:jc w:val="center"/>
            </w:pPr>
            <w:r>
              <w:rPr>
                <w:color w:val="000000"/>
                <w:sz w:val="24"/>
              </w:rPr>
              <w:t>1.34%</w:t>
            </w:r>
          </w:p>
        </w:tc>
        <w:tc>
          <w:tcPr>
            <w:vAlign w:val="center"/>
          </w:tcPr>
          <w:p>
            <w:pPr>
              <w:jc w:val="center"/>
            </w:pPr>
            <w:r>
              <w:rPr>
                <w:color w:val="000000"/>
                <w:sz w:val="24"/>
              </w:rPr>
              <w:t>20.96%</w:t>
            </w:r>
          </w:p>
        </w:tc>
        <w:tc>
          <w:tcPr>
            <w:vAlign w:val="center"/>
          </w:tcPr>
          <w:p>
            <w:pPr>
              <w:jc w:val="center"/>
            </w:pPr>
            <w:r>
              <w:rPr>
                <w:color w:val="000000"/>
                <w:sz w:val="24"/>
              </w:rPr>
              <w:t>1.32%</w:t>
            </w:r>
          </w:p>
        </w:tc>
        <w:tc>
          <w:tcPr>
            <w:vAlign w:val="center"/>
          </w:tcPr>
          <w:p>
            <w:pPr>
              <w:jc w:val="center"/>
            </w:pPr>
            <w:r>
              <w:rPr>
                <w:color w:val="000000"/>
                <w:sz w:val="24"/>
              </w:rPr>
              <w:t>51.82%</w:t>
            </w:r>
          </w:p>
        </w:tc>
        <w:tc>
          <w:tcPr>
            <w:vAlign w:val="center"/>
          </w:tcPr>
          <w:p>
            <w:pPr>
              <w:jc w:val="center"/>
            </w:pPr>
            <w:r>
              <w:rPr>
                <w:color w:val="000000"/>
                <w:sz w:val="24"/>
              </w:rPr>
              <w:t>0.02%</w:t>
            </w:r>
          </w:p>
        </w:tc>
      </w:tr>
      <w:tr>
        <w:tc>
          <w:tcPr>
            <w:vAlign w:val="center"/>
          </w:tcPr>
          <w:p>
            <w:pPr>
              <w:jc w:val="left"/>
            </w:pPr>
            <w:r>
              <w:rPr>
                <w:color w:val="000000"/>
                <w:sz w:val="24"/>
              </w:rPr>
              <w:t>过去五年</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r>
        <w:tc>
          <w:tcPr>
            <w:vAlign w:val="center"/>
          </w:tcPr>
          <w:p>
            <w:pPr>
              <w:jc w:val="left"/>
            </w:pPr>
            <w:r>
              <w:rPr>
                <w:color w:val="000000"/>
                <w:sz w:val="24"/>
              </w:rPr>
              <w:t>自基金合同生效起至今</w:t>
            </w:r>
          </w:p>
        </w:tc>
        <w:tc>
          <w:tcPr>
            <w:vAlign w:val="center"/>
          </w:tcPr>
          <w:p>
            <w:pPr>
              <w:jc w:val="center"/>
            </w:pPr>
            <w:r>
              <w:rPr>
                <w:color w:val="000000"/>
                <w:sz w:val="24"/>
              </w:rPr>
              <w:t>95.54%</w:t>
            </w:r>
          </w:p>
        </w:tc>
        <w:tc>
          <w:tcPr>
            <w:vAlign w:val="center"/>
          </w:tcPr>
          <w:p>
            <w:pPr>
              <w:jc w:val="center"/>
            </w:pPr>
            <w:r>
              <w:rPr>
                <w:color w:val="000000"/>
                <w:sz w:val="24"/>
              </w:rPr>
              <w:t>1.29%</w:t>
            </w:r>
          </w:p>
        </w:tc>
        <w:tc>
          <w:tcPr>
            <w:vAlign w:val="center"/>
          </w:tcPr>
          <w:p>
            <w:pPr>
              <w:jc w:val="center"/>
            </w:pPr>
            <w:r>
              <w:rPr>
                <w:color w:val="000000"/>
                <w:sz w:val="24"/>
              </w:rPr>
              <w:t>31.08%</w:t>
            </w:r>
          </w:p>
        </w:tc>
        <w:tc>
          <w:tcPr>
            <w:vAlign w:val="center"/>
          </w:tcPr>
          <w:p>
            <w:pPr>
              <w:jc w:val="center"/>
            </w:pPr>
            <w:r>
              <w:rPr>
                <w:color w:val="000000"/>
                <w:sz w:val="24"/>
              </w:rPr>
              <w:t>1.27%</w:t>
            </w:r>
          </w:p>
        </w:tc>
        <w:tc>
          <w:tcPr>
            <w:vAlign w:val="center"/>
          </w:tcPr>
          <w:p>
            <w:pPr>
              <w:jc w:val="center"/>
            </w:pPr>
            <w:r>
              <w:rPr>
                <w:color w:val="000000"/>
                <w:sz w:val="24"/>
              </w:rPr>
              <w:t>64.46%</w:t>
            </w:r>
          </w:p>
        </w:tc>
        <w:tc>
          <w:tcPr>
            <w:vAlign w:val="center"/>
          </w:tcPr>
          <w:p>
            <w:pPr>
              <w:jc w:val="center"/>
            </w:pPr>
            <w:r>
              <w:rPr>
                <w:color w:val="000000"/>
                <w:sz w:val="24"/>
              </w:rPr>
              <w:t>0.02%</w:t>
            </w:r>
          </w:p>
        </w:tc>
      </w:tr>
    </w:tbl>
    <w:p w:rsidP="009B2EE9" w:rsidR="009B2EE9" w:rsidRDefault="009B2EE9" w:rsidRPr="0078105B">
      <w:pPr>
        <w:spacing w:line="360" w:lineRule="auto"/>
        <w:rPr>
          <w:rFonts w:ascii="宋体" w:cs="Arial"/>
          <w:b/>
          <w:color w:val="000000"/>
          <w:kern w:val="0"/>
          <w:sz w:val="24"/>
        </w:rPr>
      </w:pPr>
      <w:r w:rsidRPr="0078105B">
        <w:rPr>
          <w:rFonts w:ascii="宋体" w:cs="Arial" w:hAnsi="宋体"/>
          <w:b/>
          <w:color w:val="000000"/>
          <w:kern w:val="0"/>
          <w:sz w:val="24"/>
        </w:rPr>
        <w:t>3.2.2</w:t>
      </w:r>
      <w:r w:rsidRPr="0078105B">
        <w:rPr>
          <w:rFonts w:ascii="宋体" w:cs="Arial" w:hAnsi="宋体" w:hint="eastAsia"/>
          <w:b/>
          <w:color w:val="000000"/>
          <w:kern w:val="0"/>
          <w:sz w:val="24"/>
        </w:rPr>
        <w:t xml:space="preserve">　</w:t>
      </w:r>
      <w:r w:rsidRPr="00370BEA">
        <w:rPr>
          <w:rStyle w:val="af8"/>
          <w:rFonts w:hint="eastAsia"/>
          <w:color w:val="000000"/>
          <w:sz w:val="24"/>
          <w:shd w:color="auto" w:fill="FFFFFF" w:val="clear"/>
        </w:rPr>
        <w:t/>
      </w:r>
      <w:proofErr w:type="spellStart"/>
      <w:r w:rsidRPr="00370BEA">
        <w:rPr>
          <w:rStyle w:val="af8"/>
          <w:rFonts w:hint="eastAsia"/>
          <w:color w:val="000000"/>
          <w:sz w:val="24"/>
          <w:shd w:color="auto" w:fill="FFFFFF" w:val="clear"/>
        </w:rPr>
        <w:t/>
      </w:r>
      <w:proofErr w:type="spellEnd"/>
      <w:r w:rsidRPr="00370BEA">
        <w:rPr>
          <w:rStyle w:val="af8"/>
          <w:rFonts w:hint="eastAsia"/>
          <w:color w:val="000000"/>
          <w:sz w:val="24"/>
          <w:shd w:color="auto" w:fill="FFFFFF" w:val="clear"/>
        </w:rPr>
        <w:t>自基金合同生效以来</w:t>
      </w:r>
      <w:r w:rsidRPr="0078105B">
        <w:rPr>
          <w:rFonts w:ascii="宋体" w:hAnsi="宋体" w:hint="eastAsia"/>
          <w:b/>
          <w:color w:val="000000"/>
          <w:sz w:val="24"/>
        </w:rPr>
        <w:t>基金累计净值增长率变动及其与同期业绩比较基准收益率变动的比较</w:t>
      </w:r>
    </w:p>
    <w:p w:rsidP="009B2EE9" w:rsidR="009B2EE9" w:rsidRDefault="009B2EE9" w:rsidRPr="00FA472B">
      <w:pPr>
        <w:spacing w:line="360" w:lineRule="auto"/>
        <w:jc w:val="center"/>
        <w:rPr>
          <w:color w:val="000000"/>
          <w:sz w:val="24"/>
        </w:rPr>
      </w:pPr>
      <w:r w:rsidRPr="00FA472B">
        <w:rPr>
          <w:color w:val="000000"/>
          <w:sz w:val="24"/>
        </w:rPr>
        <w:t/>
      </w:r>
      <w:proofErr w:type="spellStart"/>
      <w:proofErr w:type="gramStart"/>
      <w:r w:rsidRPr="00FA472B">
        <w:rPr>
          <w:color w:val="000000"/>
          <w:sz w:val="24"/>
        </w:rPr>
        <w:t/>
      </w:r>
      <w:proofErr w:type="spellEnd"/>
      <w:proofErr w:type="gramEnd"/>
      <w:r w:rsidRPr="00FA472B">
        <w:rPr>
          <w:color w:val="000000"/>
          <w:sz w:val="24"/>
        </w:rPr>
        <w:t>易方达50指数证券投资基金</w:t>
      </w:r>
    </w:p>
    <w:p w:rsidP="00A61166" w:rsidR="00A61166" w:rsidRDefault="009B2EE9">
      <w:pPr>
        <w:pStyle w:val="a5"/>
        <w:snapToGrid w:val="0"/>
        <w:spacing w:line="360" w:lineRule="auto"/>
        <w:jc w:val="center"/>
        <w:rPr>
          <w:rFonts w:ascii="Times New Roman" w:eastAsiaTheme="minorEastAsia" w:hAnsi="Times New Roman"/>
          <w:color w:themeColor="text1" w:val="000000"/>
          <w:sz w:val="24"/>
          <w:szCs w:val="24"/>
        </w:rPr>
      </w:pPr>
      <w:r w:rsidRPr="00FA472B">
        <w:rPr>
          <w:rFonts w:ascii="Times New Roman" w:hAnsi="Times New Roman"/>
          <w:color w:val="000000"/>
          <w:sz w:val="24"/>
          <w:szCs w:val="24"/>
        </w:rPr>
        <w:t>累计净值增长率与业绩比较基准收益率的历史走势对比图</w:t>
      </w:r>
    </w:p>
    <w:p w:rsidP="00A61166" w:rsidR="00A61166" w:rsidRDefault="009B2EE9">
      <w:pPr>
        <w:snapToGrid w:val="0"/>
        <w:spacing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spellStart"/>
      <w:r w:rsidRPr="00611CB2">
        <w:rPr>
          <w:color w:val="000000"/>
          <w:sz w:val="24"/>
        </w:rPr>
        <w:t/>
      </w:r>
      <w:proofErr w:type="spellEnd"/>
      <w:r w:rsidRPr="00611CB2">
        <w:rPr>
          <w:color w:val="000000"/>
          <w:sz w:val="24"/>
        </w:rPr>
        <w:t/>
      </w:r>
      <w:proofErr w:type="gramEnd"/>
      <w:r w:rsidRPr="00611CB2">
        <w:rPr>
          <w:color w:val="000000"/>
          <w:sz w:val="24"/>
        </w:rPr>
        <w:t>易方达上证50指数A</w:t>
      </w:r>
    </w:p>
    <w:p w:rsidP="00A61166" w:rsidR="009B2EE9" w:rsidRDefault="00A61166" w:rsidRPr="00A61166">
      <w:pPr>
        <w:pStyle w:val="a5"/>
        <w:snapToGrid w:val="0"/>
        <w:spacing w:line="360" w:lineRule="auto"/>
        <w:jc w:val="center"/>
        <w:rPr>
          <w:rFonts w:ascii="Times New Roman" w:hAnsi="Times New Roman"/>
          <w:sz w:val="24"/>
          <w:szCs w:val="24"/>
        </w:rPr>
      </w:pPr>
      <w:r w:rsidRPr="00A61166">
        <w:rPr>
          <w:rFonts w:ascii="Times New Roman" w:hAnsi="Times New Roman"/>
          <w:sz w:val="24"/>
          <w:szCs w:val="24"/>
        </w:rPr>
        <w:t/>
      </w:r>
      <w:proofErr w:type="spellStart"/>
      <w:proofErr w:type="gramStart"/>
      <w:r w:rsidRPr="00A61166">
        <w:rPr>
          <w:rFonts w:ascii="Times New Roman" w:hAnsi="Times New Roman"/>
          <w:sz w:val="24"/>
          <w:szCs w:val="24"/>
        </w:rPr>
        <w:t/>
      </w:r>
      <w:proofErr w:type="spellEnd"/>
      <w:r w:rsidRPr="00A61166">
        <w:rPr>
          <w:rFonts w:ascii="Times New Roman" w:hAnsi="Times New Roman"/>
          <w:sz w:val="24"/>
          <w:szCs w:val="24"/>
        </w:rPr>
        <w:t/>
      </w:r>
      <w:proofErr w:type="gramEnd"/>
      <w:r w:rsidRPr="00A61166">
        <w:rPr>
          <w:rFonts w:ascii="Times New Roman" w:hAnsi="Times New Roman"/>
          <w:sz w:val="24"/>
          <w:szCs w:val="24"/>
        </w:rPr>
        <w:t>（2004年3月22日至2020年9月30日）</w:t>
      </w:r>
    </w:p>
    <w:p w:rsidP="009B2EE9" w:rsidR="009B2EE9" w:rsidRDefault="009B2EE9" w:rsidRPr="0078105B">
      <w:pPr>
        <w:pStyle w:val="20"/>
        <w:spacing w:line="288" w:lineRule="auto"/>
        <w:ind w:firstLine="0" w:firstLineChars="0"/>
        <w:jc w:val="center"/>
        <w:rPr>
          <w:color w:val="000000"/>
        </w:rPr>
      </w:pPr>
      <w:r>
        <w:rPr>
          <w:noProof/>
          <w:color w:val="000000"/>
        </w:rPr>
        <w:lastRenderedPageBreak/>
        <w:drawing>
          <wp:inline distB="0" distL="0" distR="0" distT="0">
            <wp:extent cx="5538470" cy="3275965"/>
            <wp:effectExtent b="0" l="0" r="0" t="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rsidP="00A61166" w:rsidR="00A61166" w:rsidRDefault="009B2EE9">
      <w:pPr>
        <w:snapToGrid w:val="0"/>
        <w:spacing w:before="312" w:beforeLines="100" w:line="360" w:lineRule="auto"/>
        <w:rPr>
          <w:rFonts w:eastAsiaTheme="minorEastAsia" w:hAnsiTheme="minorEastAsia"/>
          <w:color w:themeColor="text1" w:val="000000"/>
          <w:sz w:val="24"/>
        </w:rPr>
      </w:pPr>
      <w:r w:rsidRPr="00611CB2">
        <w:rPr>
          <w:color w:val="000000"/>
          <w:sz w:val="24"/>
        </w:rPr>
        <w:t/>
      </w:r>
      <w:proofErr w:type="gramStart"/>
      <w:r w:rsidRPr="00611CB2">
        <w:rPr>
          <w:color w:val="000000"/>
          <w:sz w:val="24"/>
        </w:rPr>
        <w:t/>
      </w:r>
      <w:proofErr w:type="gramEnd"/>
      <w:r w:rsidRPr="00611CB2">
        <w:rPr>
          <w:color w:val="000000"/>
          <w:sz w:val="24"/>
        </w:rPr>
        <w:t>易方达上证50指数C</w:t>
      </w:r>
    </w:p>
    <w:p w:rsidP="00A61166" w:rsidR="009B2EE9" w:rsidRDefault="00A61166" w:rsidRPr="00A61166">
      <w:pPr>
        <w:pStyle w:val="a5"/>
        <w:snapToGrid w:val="0"/>
        <w:spacing w:line="360" w:lineRule="auto"/>
        <w:jc w:val="center"/>
        <w:rPr>
          <w:rFonts w:ascii="Times New Roman" w:hAnsi="Times New Roman"/>
          <w:sz w:val="24"/>
          <w:szCs w:val="24"/>
        </w:rPr>
      </w:pPr>
      <w:r w:rsidRPr="00A61166">
        <w:rPr>
          <w:rFonts w:ascii="Times New Roman" w:hAnsi="Times New Roman"/>
          <w:sz w:val="24"/>
          <w:szCs w:val="24"/>
        </w:rPr>
        <w:t/>
      </w:r>
      <w:proofErr w:type="spellStart"/>
      <w:proofErr w:type="gramStart"/>
      <w:r w:rsidRPr="00A61166">
        <w:rPr>
          <w:rFonts w:ascii="Times New Roman" w:hAnsi="Times New Roman" w:hint="eastAsia"/>
          <w:sz w:val="24"/>
          <w:szCs w:val="24"/>
        </w:rPr>
        <w:t/>
      </w:r>
      <w:r w:rsidRPr="00A61166">
        <w:rPr>
          <w:rFonts w:ascii="Times New Roman" w:hAnsi="Times New Roman"/>
          <w:sz w:val="24"/>
          <w:szCs w:val="24"/>
        </w:rPr>
        <w:t/>
      </w:r>
      <w:r w:rsidRPr="00A61166">
        <w:rPr>
          <w:rFonts w:ascii="Times New Roman" w:hAnsi="Times New Roman" w:hint="eastAsia"/>
          <w:sz w:val="24"/>
          <w:szCs w:val="24"/>
        </w:rPr>
        <w:t/>
      </w:r>
      <w:r w:rsidRPr="00A61166">
        <w:rPr>
          <w:rFonts w:ascii="Times New Roman" w:hAnsi="Times New Roman"/>
          <w:sz w:val="24"/>
          <w:szCs w:val="24"/>
        </w:rPr>
        <w:t/>
      </w:r>
      <w:proofErr w:type="spellEnd"/>
      <w:r w:rsidRPr="00A61166">
        <w:rPr>
          <w:rFonts w:ascii="Times New Roman" w:hAnsi="Times New Roman"/>
          <w:sz w:val="24"/>
          <w:szCs w:val="24"/>
        </w:rPr>
        <w:t/>
      </w:r>
      <w:proofErr w:type="gramEnd"/>
      <w:r w:rsidRPr="00A61166">
        <w:rPr>
          <w:rFonts w:ascii="Times New Roman" w:hAnsi="Times New Roman"/>
          <w:sz w:val="24"/>
          <w:szCs w:val="24"/>
        </w:rPr>
        <w:t>（2017年6月7日至2020年9月30日）</w:t>
      </w:r>
    </w:p>
    <w:p w:rsidP="009B2EE9" w:rsidR="009B2EE9" w:rsidRDefault="009B2EE9" w:rsidRPr="0078105B">
      <w:pPr>
        <w:pStyle w:val="20"/>
        <w:spacing w:line="288" w:lineRule="auto"/>
        <w:ind w:firstLine="0" w:firstLineChars="0"/>
        <w:jc w:val="center"/>
        <w:rPr>
          <w:color w:val="000000"/>
        </w:rPr>
      </w:pPr>
      <w:r>
        <w:rPr>
          <w:noProof/>
          <w:color w:val="000000"/>
        </w:rPr>
        <w:drawing>
          <wp:inline distB="0" distL="0" distR="0" distT="0">
            <wp:extent cx="5538470" cy="3275965"/>
            <wp:effectExtent b="0" l="0" r="0" t="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8470" cy="3275965"/>
                    </a:xfrm>
                    <a:prstGeom prst="rect">
                      <a:avLst/>
                    </a:prstGeom>
                    <a:noFill/>
                    <a:ln>
                      <a:noFill/>
                    </a:ln>
                  </pic:spPr>
                </pic:pic>
              </a:graphicData>
            </a:graphic>
          </wp:inline>
        </w:drawing>
      </w:r>
    </w:p>
    <w:p>
      <w:pPr>
        <w:spacing w:line="360" w:lineRule="auto"/>
        <w:ind w:firstLine="480" w:firstLineChars="200"/>
        <w:rPr>
          <w:rFonts w:hAnsi="宋体"/>
          <w:color w:val="000000"/>
          <w:sz w:val="24"/>
        </w:rPr>
      </w:pPr>
      <w:r>
        <w:rPr>
          <w:color w:val="000000"/>
          <w:sz w:val="24"/>
        </w:rPr>
        <w:t>注：1.自2017年6月6日起，本基金增设C类份额类别，份额首次确认日为2017年6月7日，增设当期的相关数据和指标按实际存续期计算。</w:t>
      </w:r>
    </w:p>
    <w:p w:rsidP="009B2EE9" w:rsidR="00A62673" w:rsidRDefault="009B2EE9" w:rsidRPr="00EC5CE0">
      <w:pPr>
        <w:spacing w:line="360" w:lineRule="auto"/>
        <w:ind w:firstLine="480" w:firstLineChars="200"/>
        <w:rPr>
          <w:rFonts w:hAnsi="宋体"/>
          <w:color w:val="000000"/>
          <w:sz w:val="24"/>
        </w:rPr>
      </w:pPr>
      <w:r w:rsidRPr="00DF18FE">
        <w:rPr>
          <w:color w:val="000000"/>
          <w:sz w:val="24"/>
        </w:rPr>
        <w:lastRenderedPageBreak/>
        <w:t/>
      </w:r>
      <w:proofErr w:type="gramStart"/>
      <w:r w:rsidRPr="00DF18FE">
        <w:rPr>
          <w:color w:val="000000"/>
          <w:sz w:val="24"/>
        </w:rPr>
        <w:t/>
      </w:r>
      <w:proofErr w:type="gramEnd"/>
      <w:r w:rsidRPr="00DF18FE">
        <w:rPr>
          <w:color w:val="000000"/>
          <w:sz w:val="24"/>
        </w:rPr>
        <w:t>2.自基金合同生效至报告期末，A类基金份额净值增长率为586.46%，同期业绩比较基准收益率为201.61%；C类基金份额净值增长率为95.54%，同期业绩比较基准收益率为31.08%。</w:t>
      </w:r>
    </w:p>
    <w:p w:rsidP="006C1D5C" w:rsidR="00A62673" w:rsidRDefault="00A62673" w:rsidRPr="00C1648E">
      <w:pPr>
        <w:tabs>
          <w:tab w:pos="1800" w:val="left"/>
        </w:tabs>
        <w:spacing w:line="288" w:lineRule="auto"/>
        <w:rPr>
          <w:color w:val="000000"/>
          <w:sz w:val="24"/>
        </w:rPr>
      </w:pPr>
    </w:p>
    <w:p w:rsidP="00F729DC" w:rsidR="00A62673" w:rsidRDefault="00A62673" w:rsidRPr="00EC5CE0">
      <w:pPr>
        <w:pStyle w:val="1"/>
        <w:spacing w:after="312" w:afterLines="100" w:before="312" w:beforeLines="100" w:line="360" w:lineRule="auto"/>
        <w:jc w:val="center"/>
        <w:rPr>
          <w:rFonts w:ascii="宋体" w:cs="Arial"/>
          <w:color w:val="000000"/>
          <w:kern w:val="0"/>
          <w:sz w:val="24"/>
          <w:szCs w:val="24"/>
        </w:rPr>
      </w:pPr>
      <w:r w:rsidRPr="00EC5CE0">
        <w:rPr>
          <w:rFonts w:ascii="宋体" w:cs="Arial" w:hAnsi="宋体" w:hint="eastAsia"/>
          <w:color w:val="000000"/>
          <w:kern w:val="0"/>
          <w:sz w:val="24"/>
          <w:szCs w:val="24"/>
        </w:rPr>
        <w:t>§</w:t>
      </w:r>
      <w:r w:rsidRPr="00EC5CE0">
        <w:rPr>
          <w:rFonts w:ascii="宋体" w:cs="Arial" w:hAnsi="宋体"/>
          <w:color w:val="000000"/>
          <w:kern w:val="0"/>
          <w:sz w:val="24"/>
          <w:szCs w:val="24"/>
        </w:rPr>
        <w:t xml:space="preserve">4  </w:t>
      </w:r>
      <w:r w:rsidRPr="00EC5CE0">
        <w:rPr>
          <w:rFonts w:ascii="宋体" w:cs="Arial" w:hAnsi="宋体" w:hint="eastAsia"/>
          <w:color w:val="000000"/>
          <w:kern w:val="0"/>
          <w:sz w:val="24"/>
          <w:szCs w:val="24"/>
        </w:rPr>
        <w:t>管理人报告</w:t>
      </w:r>
    </w:p>
    <w:p w:rsidP="007467A8" w:rsidR="007467A8" w:rsidRDefault="00A62673" w:rsidRPr="0078105B">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 xml:space="preserve">4.1 </w:t>
      </w:r>
      <w:r w:rsidRPr="00EC5CE0">
        <w:rPr>
          <w:rFonts w:ascii="宋体" w:cs="Arial" w:hAnsi="宋体" w:hint="eastAsia"/>
          <w:b/>
          <w:color w:val="000000"/>
          <w:kern w:val="0"/>
          <w:sz w:val="24"/>
        </w:rPr>
        <w:t>基金经理（或基金经理小组）简介</w:t>
      </w:r>
    </w:p>
    <w:tbl>
      <w:tblPr>
        <w:tblW w:type="dxa" w:w="8931"/>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567"/>
        <w:gridCol w:w="2835"/>
        <w:gridCol w:w="851"/>
        <w:gridCol w:w="850"/>
        <w:gridCol w:w="851"/>
        <w:gridCol w:w="2977"/>
      </w:tblGrid>
      <w:tr w:rsidR="007467A8" w:rsidRPr="0078105B" w:rsidTr="002C4578">
        <w:trPr>
          <w:cantSplit/>
        </w:trPr>
        <w:tc>
          <w:tcPr>
            <w:tcW w:type="dxa" w:w="567"/>
            <w:vMerge w:val="restart"/>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姓名</w:t>
            </w:r>
          </w:p>
        </w:tc>
        <w:tc>
          <w:tcPr>
            <w:tcW w:type="dxa" w:w="2835"/>
            <w:vMerge w:val="restart"/>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职务</w:t>
            </w:r>
          </w:p>
        </w:tc>
        <w:tc>
          <w:tcPr>
            <w:tcW w:type="dxa" w:w="1701"/>
            <w:gridSpan w:val="2"/>
          </w:tcPr>
          <w:p w:rsidP="002C4578" w:rsidR="007467A8" w:rsidRDefault="007467A8" w:rsidRPr="00FA472B">
            <w:pPr>
              <w:autoSpaceDE w:val="0"/>
              <w:autoSpaceDN w:val="0"/>
              <w:adjustRightInd w:val="0"/>
              <w:spacing w:before="29" w:line="288" w:lineRule="auto"/>
              <w:ind w:left="15"/>
              <w:jc w:val="center"/>
              <w:rPr>
                <w:color w:val="000000"/>
                <w:kern w:val="0"/>
                <w:sz w:val="24"/>
              </w:rPr>
            </w:pPr>
            <w:proofErr w:type="gramStart"/>
            <w:r w:rsidRPr="00FA472B">
              <w:rPr>
                <w:color w:val="000000"/>
                <w:kern w:val="0"/>
                <w:sz w:val="24"/>
              </w:rPr>
              <w:t>任本基金</w:t>
            </w:r>
            <w:proofErr w:type="gramEnd"/>
            <w:r w:rsidRPr="00FA472B">
              <w:rPr>
                <w:color w:val="000000"/>
                <w:kern w:val="0"/>
                <w:sz w:val="24"/>
              </w:rPr>
              <w:t>的基金经理期限</w:t>
            </w:r>
          </w:p>
        </w:tc>
        <w:tc>
          <w:tcPr>
            <w:tcW w:type="dxa" w:w="851"/>
            <w:vMerge w:val="restart"/>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证券从业年限</w:t>
            </w:r>
          </w:p>
        </w:tc>
        <w:tc>
          <w:tcPr>
            <w:tcW w:type="dxa" w:w="2977"/>
            <w:vMerge w:val="restart"/>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说明</w:t>
            </w:r>
          </w:p>
        </w:tc>
      </w:tr>
      <w:tr w:rsidR="007467A8" w:rsidRPr="0078105B" w:rsidTr="002C4578">
        <w:trPr>
          <w:cantSplit/>
        </w:trPr>
        <w:tc>
          <w:tcPr>
            <w:tcW w:type="dxa" w:w="567"/>
            <w:vMerge/>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p>
        </w:tc>
        <w:tc>
          <w:tcPr>
            <w:tcW w:type="dxa" w:w="2835"/>
            <w:vMerge/>
          </w:tcPr>
          <w:p w:rsidP="002C4578" w:rsidR="007467A8" w:rsidRDefault="007467A8" w:rsidRPr="00FA472B">
            <w:pPr>
              <w:autoSpaceDE w:val="0"/>
              <w:autoSpaceDN w:val="0"/>
              <w:adjustRightInd w:val="0"/>
              <w:spacing w:before="29" w:line="288" w:lineRule="auto"/>
              <w:ind w:left="15"/>
              <w:jc w:val="center"/>
              <w:rPr>
                <w:color w:val="000000"/>
                <w:kern w:val="0"/>
                <w:sz w:val="24"/>
              </w:rPr>
            </w:pPr>
          </w:p>
        </w:tc>
        <w:tc>
          <w:tcPr>
            <w:tcW w:type="dxa" w:w="851"/>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任职日期</w:t>
            </w:r>
          </w:p>
        </w:tc>
        <w:tc>
          <w:tcPr>
            <w:tcW w:type="dxa" w:w="850"/>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r w:rsidRPr="00FA472B">
              <w:rPr>
                <w:color w:val="000000"/>
                <w:kern w:val="0"/>
                <w:sz w:val="24"/>
              </w:rPr>
              <w:t>离任日期</w:t>
            </w:r>
          </w:p>
        </w:tc>
        <w:tc>
          <w:tcPr>
            <w:tcW w:type="dxa" w:w="851"/>
            <w:vMerge/>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p>
        </w:tc>
        <w:tc>
          <w:tcPr>
            <w:tcW w:type="dxa" w:w="2977"/>
            <w:vMerge/>
            <w:vAlign w:val="center"/>
          </w:tcPr>
          <w:p w:rsidP="002C4578" w:rsidR="007467A8" w:rsidRDefault="007467A8" w:rsidRPr="00FA472B">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张胜记</w:t>
            </w:r>
          </w:p>
        </w:tc>
        <w:tc>
          <w:tcPr>
            <w:vAlign w:val="center"/>
          </w:tcPr>
          <w:p>
            <w:pPr>
              <w:jc w:val="left"/>
            </w:pPr>
            <w:r>
              <w:rPr>
                <w:color w:val="000000"/>
                <w:sz w:val="24"/>
              </w:rPr>
              <w:t>本基金的基金经理、易方达标普全球高端消费品指数增强型证券投资基金的基金经理、指数增强投资部联席总经理</w:t>
            </w:r>
          </w:p>
        </w:tc>
        <w:tc>
          <w:tcPr>
            <w:vAlign w:val="center"/>
          </w:tcPr>
          <w:p>
            <w:pPr>
              <w:jc w:val="center"/>
            </w:pPr>
            <w:r>
              <w:rPr>
                <w:color w:val="000000"/>
                <w:sz w:val="24"/>
              </w:rPr>
              <w:t>2012-09-28</w:t>
            </w:r>
          </w:p>
        </w:tc>
        <w:tc>
          <w:tcPr>
            <w:vAlign w:val="center"/>
          </w:tcPr>
          <w:p>
            <w:pPr>
              <w:jc w:val="center"/>
            </w:pPr>
            <w:r>
              <w:rPr>
                <w:color w:val="000000"/>
                <w:sz w:val="24"/>
              </w:rPr>
              <w:t>-</w:t>
            </w:r>
          </w:p>
        </w:tc>
        <w:tc>
          <w:tcPr>
            <w:vAlign w:val="center"/>
          </w:tcPr>
          <w:p>
            <w:pPr>
              <w:jc w:val="center"/>
            </w:pPr>
            <w:r>
              <w:rPr>
                <w:color w:val="000000"/>
                <w:sz w:val="24"/>
              </w:rPr>
              <w:t>15年</w:t>
            </w:r>
          </w:p>
        </w:tc>
        <w:tc>
          <w:tcPr>
            <w:vAlign w:val="center"/>
          </w:tcPr>
          <w:p>
            <w:pPr>
              <w:jc w:val="both"/>
            </w:pPr>
            <w:r>
              <w:rPr>
                <w:color w:val="000000"/>
                <w:sz w:val="24"/>
              </w:rPr>
              <w:t>硕士研究生，具有基金从业资格。曾任易方达基金管理有限公司投资经理助理、基金经理助理、行业研究员、指数与量化投资部总经理助理、指数与量化投资部副总经理、指数及增强投资部副总经理、指数投资部总经理、易方达沪深300交易型开放式指数发起式证券投资基金联接基金基金经理、易方达上证中盘交易型开放式指数证券投资基金基金经理、易方达上证中盘交易型开放式指数证券投资基金联接基金基金经理、易方达标普医疗保健指数证券投资基金（LOF）基金经理、易方达标普500指数证券投资基金（LOF）基金经理、易方达标普生物科技指数证券投资基金（LOF）基金经理、易方达标普信息科技指数证券投资基金（LOF）基金经理、易方达恒生中国企业交易型开放式指数证券投资基金基金经理、易方达恒生中国企业交易型开放式指数证券投资基金联接基金基金经理、易方达香港恒生综合小型股指数证券投资基金（LOF）基金经理、易方达原油证券投资基金（QDII）基金经理。</w:t>
            </w:r>
          </w:p>
        </w:tc>
      </w:tr>
    </w:tbl>
    <w:p>
      <w:pPr>
        <w:tabs>
          <w:tab w:pos="426" w:val="left"/>
        </w:tabs>
        <w:spacing w:line="360" w:lineRule="auto"/>
        <w:ind w:firstLine="480" w:firstLineChars="200"/>
        <w:rPr>
          <w:kern w:val="0"/>
        </w:rPr>
      </w:pPr>
      <w:r>
        <w:rPr>
          <w:color w:val="000000"/>
          <w:sz w:val="24"/>
        </w:rPr>
        <w:t>注：1.对基金的首任基金经理，其“任职日期”为基金合同生效日，“离任日期”为根据公司决定确定的解聘日期；对此后的非首任基金经理，“任职日期”和“离任日期”分别指根据公司决定确定的聘任日期和解聘日期。</w:t>
      </w:r>
    </w:p>
    <w:p w:rsidP="002D28FB" w:rsidR="002D28FB" w:rsidRDefault="007467A8">
      <w:pPr>
        <w:tabs>
          <w:tab w:pos="426" w:val="left"/>
        </w:tabs>
        <w:spacing w:line="360" w:lineRule="auto"/>
        <w:ind w:firstLine="480" w:firstLineChars="200"/>
        <w:rPr>
          <w:kern w:val="0"/>
        </w:rPr>
      </w:pPr>
      <w:r w:rsidRPr="00DF18FE">
        <w:rPr>
          <w:color w:val="000000"/>
          <w:sz w:val="24"/>
        </w:rPr>
        <w:t/>
      </w:r>
      <w:proofErr w:type="gramStart"/>
      <w:r w:rsidRPr="00DF18FE">
        <w:rPr>
          <w:color w:val="000000"/>
          <w:sz w:val="24"/>
        </w:rPr>
        <w:t/>
      </w:r>
      <w:proofErr w:type="gramEnd"/>
      <w:r w:rsidRPr="00DF18FE">
        <w:rPr>
          <w:color w:val="000000"/>
          <w:sz w:val="24"/>
        </w:rPr>
        <w:t>2.证券从业的含义遵从《证券业从业人员资格管理办法》的相关规定。</w:t>
      </w:r>
    </w:p>
    <w:p w:rsidP="00560F37"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4.2</w:t>
      </w:r>
      <w:r w:rsidRPr="00EC5CE0">
        <w:rPr>
          <w:rFonts w:ascii="宋体" w:hAnsi="宋体" w:hint="eastAsia"/>
          <w:b/>
          <w:bCs/>
          <w:color w:val="000000"/>
          <w:sz w:val="24"/>
        </w:rPr>
        <w:t>管理人对报告期内本基金运作遵规守信情况的说明</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proofErr w:type="gramStart"/>
      <w:r w:rsidRPr="00DC315B">
        <w:rPr>
          <w:color w:val="000000"/>
          <w:sz w:val="24"/>
        </w:rPr>
        <w:t/>
      </w:r>
      <w:proofErr w:type="spellEnd"/>
      <w:proofErr w:type="gramEnd"/>
      <w:r w:rsidRPr="00DC315B">
        <w:rPr>
          <w:color w:val="000000"/>
          <w:sz w:val="24"/>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P="005A2DCB"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 xml:space="preserve">4.3 </w:t>
      </w:r>
      <w:r w:rsidRPr="00EC5CE0">
        <w:rPr>
          <w:rFonts w:ascii="宋体" w:cs="Arial" w:hAnsi="宋体" w:hint="eastAsia"/>
          <w:b/>
          <w:color w:val="000000"/>
          <w:kern w:val="0"/>
          <w:sz w:val="24"/>
        </w:rPr>
        <w:t>公平交易专项说明</w:t>
      </w:r>
    </w:p>
    <w:p w:rsidP="005A2DCB" w:rsidR="00A62673" w:rsidRDefault="00A62673" w:rsidRPr="00EC5CE0">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EC5CE0">
          <w:rPr>
            <w:rFonts w:ascii="宋体" w:hAnsi="宋体"/>
            <w:sz w:val="24"/>
          </w:rPr>
          <w:t>4.3.1</w:t>
        </w:r>
      </w:smartTag>
      <w:r w:rsidRPr="00EC5CE0">
        <w:rPr>
          <w:rFonts w:ascii="宋体" w:hAnsi="宋体" w:hint="eastAsia"/>
          <w:sz w:val="24"/>
        </w:rPr>
        <w:t>公平交易制度的执行情况</w:t>
      </w:r>
    </w:p>
    <w:p w:rsidP="005A2769" w:rsidR="00A62673" w:rsidRDefault="00A62673" w:rsidRPr="00DC315B">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本基金管理人主要通过建立有纪律、规范化的投资研究和决策流程、交易流程，以及强化事后监控分析来确保公平对待不同投资组合，切实防范利益输送。本基金管理人制定了严格的投资权限管理制度、投资备选库管理制度和集中交易制度等，并重视交易执行环节的公平交易措施，以“时间优先、价格优先”作为执行指令的基本原则，通过投资交易系统中的公平交易模块，以尽可能确保公平对待各投资组合。本报告期内，公平交易制度总体执行情况良好。</w:t>
      </w:r>
    </w:p>
    <w:p w:rsidP="005A2DCB" w:rsidR="00A62673" w:rsidRDefault="00A62673" w:rsidRPr="00EC5CE0">
      <w:pPr>
        <w:spacing w:line="360" w:lineRule="auto"/>
        <w:rPr>
          <w:rFonts w:ascii="宋体"/>
          <w:sz w:val="24"/>
        </w:rPr>
      </w:pPr>
      <w:smartTag w:element="chsdate" w:uri="urn:schemas-microsoft-com:office:smarttags">
        <w:smartTagPr>
          <w:attr w:name="IsROCDate" w:val="False"/>
          <w:attr w:name="IsLunarDate" w:val="False"/>
          <w:attr w:name="Day" w:val="30"/>
          <w:attr w:name="Month" w:val="12"/>
          <w:attr w:name="Year" w:val="1899"/>
        </w:smartTagPr>
        <w:r w:rsidRPr="00EC5CE0">
          <w:rPr>
            <w:rFonts w:ascii="宋体" w:hAnsi="宋体"/>
            <w:sz w:val="24"/>
          </w:rPr>
          <w:t>4.3.2</w:t>
        </w:r>
      </w:smartTag>
      <w:r w:rsidRPr="00EC5CE0">
        <w:rPr>
          <w:rFonts w:ascii="宋体" w:hAnsi="宋体" w:hint="eastAsia"/>
          <w:sz w:val="24"/>
        </w:rPr>
        <w:t>异常交易行为的专项说明</w:t>
      </w:r>
    </w:p>
    <w:p>
      <w:pPr>
        <w:autoSpaceDE w:val="0"/>
        <w:autoSpaceDN w:val="0"/>
        <w:adjustRightInd w:val="0"/>
        <w:spacing w:line="360" w:lineRule="auto"/>
        <w:jc w:val="left"/>
        <w:rPr>
          <w:rFonts w:ascii="宋体" w:cs="Arial" w:hAnsi="宋体"/>
          <w:b/>
          <w:color w:val="000000"/>
          <w:kern w:val="0"/>
          <w:sz w:val="24"/>
        </w:rPr>
      </w:pPr>
      <w:r>
        <w:rPr>
          <w:color w:val="000000"/>
          <w:sz w:val="24"/>
        </w:rPr>
        <w:t>本报告期内，公司旗下所有投资组合参与的交易所公开竞价交易中，同日反向交易成交较少的单边交易量超过该证券当日成交量的5%的交易共8次，均为指数量化投资组合因投资策略需要和其他组合发生的反向交易。</w:t>
      </w:r>
    </w:p>
    <w:p w:rsidP="00AE44A1" w:rsidR="00A62673" w:rsidRDefault="00A62673" w:rsidRPr="00AE44A1">
      <w:pPr>
        <w:autoSpaceDE w:val="0"/>
        <w:autoSpaceDN w:val="0"/>
        <w:adjustRightInd w:val="0"/>
        <w:spacing w:line="360" w:lineRule="auto"/>
        <w:jc w:val="left"/>
        <w:rPr>
          <w:rFonts w:ascii="宋体" w:cs="Arial" w:hAnsi="宋体"/>
          <w:b/>
          <w:color w:val="000000"/>
          <w:kern w:val="0"/>
          <w:sz w:val="24"/>
        </w:rPr>
      </w:pPr>
      <w:r w:rsidRPr="00DC315B">
        <w:rPr>
          <w:color w:val="000000"/>
          <w:sz w:val="24"/>
        </w:rPr>
        <w:t/>
      </w:r>
      <w:proofErr w:type="spellStart"/>
      <w:proofErr w:type="gramStart"/>
      <w:r w:rsidRPr="00DC315B">
        <w:rPr>
          <w:color w:val="000000"/>
          <w:sz w:val="24"/>
        </w:rPr>
        <w:t/>
      </w:r>
      <w:proofErr w:type="spellEnd"/>
      <w:proofErr w:type="gramEnd"/>
      <w:r w:rsidRPr="00DC315B">
        <w:rPr>
          <w:color w:val="000000"/>
          <w:sz w:val="24"/>
        </w:rPr>
        <w:t>本报告期内，未发现本基金有可能导致不公平交易和利益输送的异常交易。</w:t>
      </w:r>
      <w:r w:rsidR="00AE44A1" w:rsidRPr="00AE44A1">
        <w:rPr>
          <w:rFonts w:ascii="宋体" w:cs="Arial" w:hAnsi="宋体"/>
          <w:b/>
          <w:color w:val="000000"/>
          <w:kern w:val="0"/>
          <w:sz w:val="24"/>
        </w:rPr>
        <w:t xml:space="preserve"> </w:t>
      </w:r>
    </w:p>
    <w:p w:rsidP="00AE44A1" w:rsidR="00A62673" w:rsidRDefault="00A62673" w:rsidRPr="00AE44A1">
      <w:pPr>
        <w:autoSpaceDE w:val="0"/>
        <w:autoSpaceDN w:val="0"/>
        <w:adjustRightInd w:val="0"/>
        <w:spacing w:line="360" w:lineRule="auto"/>
        <w:jc w:val="left"/>
        <w:rPr>
          <w:rFonts w:ascii="宋体" w:cs="Arial" w:hAnsi="宋体"/>
          <w:b/>
          <w:color w:val="000000"/>
          <w:kern w:val="0"/>
          <w:sz w:val="24"/>
        </w:rPr>
      </w:pPr>
      <w:r w:rsidRPr="00AE44A1">
        <w:rPr>
          <w:rFonts w:ascii="宋体" w:cs="Arial" w:hAnsi="宋体"/>
          <w:b/>
          <w:color w:val="000000"/>
          <w:kern w:val="0"/>
          <w:sz w:val="24"/>
        </w:rPr>
        <w:t>4.4</w:t>
      </w:r>
      <w:r w:rsidR="00AE44A1">
        <w:rPr>
          <w:rFonts w:ascii="宋体" w:cs="Arial" w:hAnsi="宋体" w:hint="eastAsia"/>
          <w:b/>
          <w:color w:val="000000"/>
          <w:kern w:val="0"/>
          <w:sz w:val="24"/>
        </w:rPr>
        <w:t xml:space="preserve"> </w:t>
      </w:r>
      <w:r w:rsidRPr="00AE44A1">
        <w:rPr>
          <w:rFonts w:ascii="宋体" w:cs="Arial" w:hAnsi="宋体" w:hint="eastAsia"/>
          <w:b/>
          <w:color w:val="000000"/>
          <w:kern w:val="0"/>
          <w:sz w:val="24"/>
        </w:rPr>
        <w:t>报告期内基金投资策略和运作分析</w:t>
      </w:r>
    </w:p>
    <w:p>
      <w:pPr>
        <w:spacing w:line="360" w:lineRule="auto"/>
        <w:ind w:firstLine="480" w:firstLineChars="200"/>
        <w:rPr>
          <w:color w:val="000000"/>
          <w:sz w:val="24"/>
        </w:rPr>
      </w:pPr>
      <w:r>
        <w:rPr>
          <w:color w:val="000000"/>
          <w:sz w:val="24"/>
        </w:rPr>
        <w:t>2020年第三季度，国内新冠肺炎疫情得到有效控制，经济快速复苏，美欧日等发达国家的疫情也陆续有所好转，海外经济从谷底复苏。1-8月全国规模以上工业增加值同比增长0.4%，全国固定资产投资同比下降0.3%，房地产开发投资同比增长4.6%。社会消费品零售总额同比下降8.6%，前八个月全国住宅累计销售面积同比下降2.5%。在猪肉、原油价格下跌的带动下，国内的通胀水平回落，8月份居民消费价格指数（CPI）同比上涨2.4%，工业生产者出厂价格指数（PPI）同比下降2.0%。我国货币政策整体保持宽松，8月末国内广义货币供应量M2同比增长10.4%，增速有所回落；财政政策保持积极，金融支持实体经济力度加大。报告期内，A股维持上涨态势，上证指数上涨7.82%，上证50指数上涨9.87%。从行业表现来看，休闲服务、国防军工、电气设备等行业大幅上涨；通信、商业贸易、计算机等少数行业下跌。</w:t>
      </w:r>
    </w:p>
    <w:p w:rsidP="005A2769" w:rsidR="00A62673" w:rsidRDefault="00A62673" w:rsidRPr="00DC315B">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本基金是跟踪上证50指数的增强型指数基金。在行业配置上，本基金对食品饮料、医药等行业有一定的超配，对券商、保险等行业有所低配。报告期内，本基金根据对市场形势的判断，进行了少量调整操作，降低了保险、医药生物等板块的配置，增加了机械设备、交通运输等行业的配置。本基金报告期内业绩战胜基准指数收益率。</w:t>
      </w:r>
    </w:p>
    <w:p w:rsidP="00AE44A1" w:rsidR="00A62673" w:rsidRDefault="00A62673" w:rsidRPr="00AE44A1">
      <w:pPr>
        <w:autoSpaceDE w:val="0"/>
        <w:autoSpaceDN w:val="0"/>
        <w:adjustRightInd w:val="0"/>
        <w:spacing w:line="360" w:lineRule="auto"/>
        <w:jc w:val="left"/>
        <w:rPr>
          <w:rFonts w:ascii="宋体" w:cs="Arial" w:hAnsi="宋体"/>
          <w:b/>
          <w:color w:val="000000"/>
          <w:kern w:val="0"/>
          <w:sz w:val="24"/>
        </w:rPr>
      </w:pPr>
      <w:r w:rsidRPr="00AE44A1">
        <w:rPr>
          <w:rFonts w:ascii="宋体" w:cs="Arial" w:hAnsi="宋体"/>
          <w:b/>
          <w:color w:val="000000"/>
          <w:kern w:val="0"/>
          <w:sz w:val="24"/>
        </w:rPr>
        <w:t>4.</w:t>
      </w:r>
      <w:r w:rsidR="00AE44A1">
        <w:rPr>
          <w:rFonts w:ascii="宋体" w:cs="Arial" w:hAnsi="宋体"/>
          <w:b/>
          <w:color w:val="000000"/>
          <w:kern w:val="0"/>
          <w:sz w:val="24"/>
        </w:rPr>
        <w:t>5</w:t>
      </w:r>
      <w:r w:rsidR="00AE44A1">
        <w:rPr>
          <w:rFonts w:ascii="宋体" w:cs="Arial" w:hAnsi="宋体" w:hint="eastAsia"/>
          <w:b/>
          <w:color w:val="000000"/>
          <w:kern w:val="0"/>
          <w:sz w:val="24"/>
        </w:rPr>
        <w:t xml:space="preserve"> </w:t>
      </w:r>
      <w:r w:rsidRPr="00AE44A1">
        <w:rPr>
          <w:rFonts w:ascii="宋体" w:cs="Arial" w:hAnsi="宋体" w:hint="eastAsia"/>
          <w:b/>
          <w:color w:val="000000"/>
          <w:kern w:val="0"/>
          <w:sz w:val="24"/>
        </w:rPr>
        <w:t>报告期内基金的业绩表现</w:t>
      </w:r>
    </w:p>
    <w:p w:rsidP="00AE44A1" w:rsidR="00A62673" w:rsidRDefault="00A62673">
      <w:pPr>
        <w:spacing w:line="360" w:lineRule="auto"/>
        <w:ind w:firstLine="480" w:firstLineChars="200"/>
        <w:rPr>
          <w:color w:val="000000"/>
          <w:sz w:val="24"/>
        </w:rPr>
      </w:pPr>
      <w:r w:rsidRPr="00DC315B">
        <w:rPr>
          <w:color w:val="000000"/>
          <w:sz w:val="24"/>
        </w:rPr>
        <w:t/>
      </w:r>
      <w:proofErr w:type="spellStart"/>
      <w:proofErr w:type="gramStart"/>
      <w:r w:rsidRPr="00DC315B">
        <w:rPr>
          <w:color w:val="000000"/>
          <w:sz w:val="24"/>
        </w:rPr>
        <w:t/>
      </w:r>
      <w:proofErr w:type="spellEnd"/>
      <w:proofErr w:type="gramEnd"/>
      <w:r w:rsidRPr="00DC315B">
        <w:rPr>
          <w:color w:val="000000"/>
          <w:sz w:val="24"/>
        </w:rPr>
        <w:t>截至报告期末，本基金A类基金份额净值为2.2095元，本报告期份额净值增长率为14.80%，同期业绩比较基准收益率为9.87%；C类基金份额净值为2.1909元，本报告期份额净值增长率为14.72%，同期业绩比较基准收益率为9.87%。年化跟踪误差9.08%，超过合同规定的目标控制范围，主要是投资组合与指数权重的偏差有所扩大所致。</w:t>
      </w:r>
    </w:p>
    <w:p w:rsidP="00F729DC" w:rsidR="00A62673" w:rsidRDefault="00A62673" w:rsidRPr="00EC5CE0">
      <w:pPr>
        <w:pStyle w:val="1"/>
        <w:spacing w:after="312" w:afterLines="100" w:before="312" w:beforeLines="100" w:line="360" w:lineRule="auto"/>
        <w:jc w:val="center"/>
        <w:rPr>
          <w:rFonts w:ascii="宋体" w:cs="Arial"/>
          <w:color w:val="000000"/>
          <w:kern w:val="0"/>
          <w:sz w:val="24"/>
          <w:szCs w:val="24"/>
        </w:rPr>
      </w:pPr>
      <w:r w:rsidRPr="00EC5CE0">
        <w:rPr>
          <w:rFonts w:ascii="宋体" w:cs="Arial" w:hAnsi="宋体" w:hint="eastAsia"/>
          <w:color w:val="000000"/>
          <w:kern w:val="0"/>
          <w:sz w:val="24"/>
          <w:szCs w:val="24"/>
        </w:rPr>
        <w:lastRenderedPageBreak/>
        <w:t>§</w:t>
      </w:r>
      <w:r w:rsidRPr="00EC5CE0">
        <w:rPr>
          <w:rFonts w:ascii="宋体" w:cs="Arial" w:hAnsi="宋体"/>
          <w:color w:val="000000"/>
          <w:kern w:val="0"/>
          <w:sz w:val="24"/>
          <w:szCs w:val="24"/>
        </w:rPr>
        <w:t xml:space="preserve">5  </w:t>
      </w:r>
      <w:r w:rsidRPr="00EC5CE0">
        <w:rPr>
          <w:rFonts w:ascii="宋体" w:cs="Arial" w:hAnsi="宋体" w:hint="eastAsia"/>
          <w:color w:val="000000"/>
          <w:kern w:val="0"/>
          <w:sz w:val="24"/>
          <w:szCs w:val="24"/>
        </w:rPr>
        <w:t>投资组合报告</w:t>
      </w:r>
    </w:p>
    <w:p w:rsidP="00045BEC"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 xml:space="preserve">5.1 </w:t>
      </w:r>
      <w:r w:rsidRPr="00EC5CE0">
        <w:rPr>
          <w:rFonts w:ascii="宋体" w:cs="Arial" w:hAnsi="宋体" w:hint="eastAsia"/>
          <w:b/>
          <w:color w:val="000000"/>
          <w:kern w:val="0"/>
          <w:sz w:val="24"/>
        </w:rPr>
        <w:t>报告期末基金资产组合情况</w:t>
      </w:r>
    </w:p>
    <w:tbl>
      <w:tblPr>
        <w:tblW w:type="dxa" w:w="8897"/>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720"/>
        <w:gridCol w:w="3357"/>
        <w:gridCol w:w="2977"/>
        <w:gridCol w:w="1843"/>
      </w:tblGrid>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序号</w:t>
            </w:r>
          </w:p>
        </w:tc>
        <w:tc>
          <w:tcPr>
            <w:tcW w:type="dxa" w:w="3357"/>
            <w:vAlign w:val="center"/>
          </w:tcPr>
          <w:p w:rsidP="006B315F" w:rsidR="00A62673" w:rsidRDefault="00A62673" w:rsidRPr="00C1648E">
            <w:pPr>
              <w:spacing w:before="29" w:line="360" w:lineRule="auto"/>
              <w:ind w:left="17"/>
              <w:jc w:val="center"/>
              <w:rPr>
                <w:color w:val="000000"/>
                <w:sz w:val="24"/>
              </w:rPr>
            </w:pPr>
            <w:r w:rsidRPr="00C1648E">
              <w:rPr>
                <w:color w:val="000000"/>
                <w:sz w:val="24"/>
              </w:rPr>
              <w:t>项目</w:t>
            </w:r>
          </w:p>
        </w:tc>
        <w:tc>
          <w:tcPr>
            <w:tcW w:type="dxa" w:w="2977"/>
            <w:vAlign w:val="center"/>
          </w:tcPr>
          <w:p w:rsidP="005A2769" w:rsidR="00A62673" w:rsidRDefault="00A62673" w:rsidRPr="00C1648E">
            <w:pPr>
              <w:spacing w:before="29" w:line="360" w:lineRule="auto"/>
              <w:ind w:left="17"/>
              <w:jc w:val="center"/>
              <w:rPr>
                <w:color w:val="000000"/>
                <w:sz w:val="24"/>
              </w:rPr>
            </w:pPr>
            <w:r w:rsidRPr="00C1648E">
              <w:rPr>
                <w:color w:val="000000"/>
                <w:sz w:val="24"/>
              </w:rPr>
              <w:t>金额</w:t>
            </w:r>
            <w:r w:rsidR="005A2769" w:rsidRPr="00C1648E">
              <w:rPr>
                <w:color w:val="000000"/>
                <w:sz w:val="24"/>
              </w:rPr>
              <w:t>（元）</w:t>
            </w:r>
          </w:p>
        </w:tc>
        <w:tc>
          <w:tcPr>
            <w:tcW w:type="dxa" w:w="1843"/>
            <w:vAlign w:val="center"/>
          </w:tcPr>
          <w:p w:rsidP="005A2769" w:rsidR="00A62673" w:rsidRDefault="00A62673" w:rsidRPr="00C1648E">
            <w:pPr>
              <w:spacing w:before="29" w:line="360" w:lineRule="auto"/>
              <w:ind w:left="17"/>
              <w:jc w:val="center"/>
              <w:rPr>
                <w:color w:val="000000"/>
                <w:sz w:val="24"/>
              </w:rPr>
            </w:pPr>
            <w:r w:rsidRPr="00C1648E">
              <w:rPr>
                <w:color w:val="000000"/>
                <w:sz w:val="24"/>
              </w:rPr>
              <w:t>占基金总资产的比例</w:t>
            </w:r>
            <w:r w:rsidR="005A2769" w:rsidRPr="00C1648E">
              <w:rPr>
                <w:color w:val="000000"/>
                <w:sz w:val="24"/>
              </w:rPr>
              <w:t>（</w:t>
            </w:r>
            <w:r w:rsidR="005A2769" w:rsidRPr="00C1648E">
              <w:rPr>
                <w:color w:val="000000"/>
                <w:sz w:val="24"/>
              </w:rPr>
              <w:t>%</w:t>
            </w:r>
            <w:r w:rsidR="005A2769"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1</w:t>
            </w: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权益投资</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19,883,158,114.46</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91.25</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其中：股票</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19,883,158,114.46</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91.25</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2</w:t>
            </w: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固定收益投资</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其中：债券</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p>
        </w:tc>
        <w:tc>
          <w:tcPr>
            <w:tcW w:type="dxa" w:w="3357"/>
            <w:vAlign w:val="center"/>
          </w:tcPr>
          <w:p w:rsidP="006B315F" w:rsidR="00A62673" w:rsidRDefault="00A62673" w:rsidRPr="00C1648E">
            <w:pPr>
              <w:autoSpaceDE w:val="0"/>
              <w:autoSpaceDN w:val="0"/>
              <w:adjustRightInd w:val="0"/>
              <w:spacing w:before="29" w:line="360" w:lineRule="auto"/>
              <w:ind w:left="17"/>
              <w:jc w:val="left"/>
              <w:rPr>
                <w:color w:val="000000"/>
                <w:sz w:val="24"/>
              </w:rPr>
            </w:pPr>
            <w:r w:rsidRPr="00C1648E">
              <w:rPr>
                <w:color w:val="000000"/>
                <w:sz w:val="24"/>
              </w:rPr>
              <w:t>资产支持证券</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r w:rsidRPr="00C1648E">
              <w:rPr>
                <w:color w:val="000000"/>
                <w:sz w:val="24"/>
              </w:rPr>
              <w:lastRenderedPageBreak/>
              <w:t/>
            </w:r>
            <w:proofErr w:type="spellEnd"/>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lastRenderedPageBreak/>
              <w:t/>
            </w:r>
            <w:r w:rsidRPr="00C1648E">
              <w:rPr>
                <w:color w:val="000000"/>
                <w:sz w:val="24"/>
              </w:rPr>
              <w:lastRenderedPageBreak/>
              <w:t>-</w:t>
            </w:r>
          </w:p>
        </w:tc>
      </w:tr>
      <w:tr w:rsidR="00A62673" w:rsidRPr="00264E55" w:rsidTr="006B315F">
        <w:trPr>
          <w:jc w:val="center"/>
        </w:trPr>
        <w:tc>
          <w:tcPr>
            <w:tcW w:type="dxa" w:w="720"/>
          </w:tcPr>
          <w:p w:rsidP="006B315F" w:rsidR="00A62673" w:rsidRDefault="00A62673" w:rsidRPr="00C1648E">
            <w:pPr>
              <w:spacing w:before="29" w:line="360" w:lineRule="auto"/>
              <w:ind w:left="17"/>
              <w:jc w:val="center"/>
              <w:rPr>
                <w:color w:val="000000"/>
                <w:sz w:val="24"/>
              </w:rPr>
            </w:pPr>
            <w:r w:rsidRPr="00C1648E">
              <w:rPr>
                <w:color w:val="000000"/>
                <w:sz w:val="24"/>
              </w:rPr>
              <w:lastRenderedPageBreak/>
              <w:t>3</w:t>
            </w:r>
          </w:p>
        </w:tc>
        <w:tc>
          <w:tcPr>
            <w:tcW w:type="dxa" w:w="3357"/>
          </w:tcPr>
          <w:p w:rsidP="005A2769" w:rsidR="00A62673" w:rsidRDefault="00A62673" w:rsidRPr="00C1648E">
            <w:pPr>
              <w:spacing w:before="29" w:line="360" w:lineRule="auto"/>
              <w:ind w:left="105" w:leftChars="50"/>
              <w:rPr>
                <w:color w:val="000000"/>
                <w:sz w:val="24"/>
              </w:rPr>
            </w:pPr>
            <w:r w:rsidRPr="00C1648E">
              <w:rPr>
                <w:color w:val="000000"/>
                <w:sz w:val="24"/>
              </w:rPr>
              <w:t>贵金属投资</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4</w:t>
            </w:r>
          </w:p>
        </w:tc>
        <w:tc>
          <w:tcPr>
            <w:tcW w:type="dxa" w:w="3357"/>
            <w:vAlign w:val="center"/>
          </w:tcPr>
          <w:p w:rsidP="006B315F" w:rsidR="00A62673" w:rsidRDefault="00A62673" w:rsidRPr="00C1648E">
            <w:pPr>
              <w:spacing w:before="29" w:line="360" w:lineRule="auto"/>
              <w:ind w:left="17"/>
              <w:jc w:val="left"/>
              <w:rPr>
                <w:color w:val="000000"/>
                <w:sz w:val="24"/>
              </w:rPr>
            </w:pPr>
            <w:r w:rsidRPr="00C1648E">
              <w:rPr>
                <w:color w:val="000000"/>
                <w:sz w:val="24"/>
              </w:rPr>
              <w:t>金融衍生品投资</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5</w:t>
            </w: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买入返售金融资产</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其中：买断式回购的买入返售金融资产</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lastRenderedPageBreak/>
              <w:t>6</w:t>
            </w:r>
          </w:p>
        </w:tc>
        <w:tc>
          <w:tcPr>
            <w:tcW w:type="dxa" w:w="3357"/>
            <w:vAlign w:val="center"/>
          </w:tcPr>
          <w:p w:rsidP="006B315F" w:rsidR="00A62673" w:rsidRDefault="00A62673" w:rsidRPr="00C1648E">
            <w:pPr>
              <w:spacing w:before="29" w:line="360" w:lineRule="auto"/>
              <w:ind w:left="17"/>
              <w:jc w:val="left"/>
              <w:rPr>
                <w:sz w:val="24"/>
              </w:rPr>
            </w:pPr>
            <w:r w:rsidRPr="00C1648E">
              <w:rPr>
                <w:color w:val="000000"/>
                <w:sz w:val="24"/>
              </w:rPr>
              <w:t>银行存款和结算备付金合计</w:t>
            </w:r>
          </w:p>
        </w:tc>
        <w:tc>
          <w:tcPr>
            <w:tcW w:type="dxa" w:w="2977"/>
            <w:vAlign w:val="center"/>
          </w:tcPr>
          <w:p w:rsidP="006B315F" w:rsidR="00A62673" w:rsidRDefault="00A62673" w:rsidRPr="00C1648E">
            <w:pPr>
              <w:spacing w:before="29" w:line="360" w:lineRule="auto"/>
              <w:ind w:left="17"/>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1,838,028,940.88</w:t>
            </w:r>
          </w:p>
        </w:tc>
        <w:tc>
          <w:tcPr>
            <w:tcW w:type="dxa" w:w="1843"/>
            <w:vAlign w:val="center"/>
          </w:tcPr>
          <w:p w:rsidP="006B315F" w:rsidR="00A62673" w:rsidRDefault="00A62673" w:rsidRPr="00C1648E">
            <w:pPr>
              <w:spacing w:before="29" w:line="360" w:lineRule="auto"/>
              <w:ind w:left="17"/>
              <w:jc w:val="right"/>
              <w:rPr>
                <w:color w:val="000000"/>
                <w:sz w:val="24"/>
              </w:rPr>
            </w:pPr>
            <w:r w:rsidRPr="00C1648E">
              <w:rPr>
                <w:color w:val="000000"/>
                <w:sz w:val="24"/>
              </w:rPr>
              <w:t>8.44</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7</w:t>
            </w:r>
          </w:p>
        </w:tc>
        <w:tc>
          <w:tcPr>
            <w:tcW w:type="dxa" w:w="3357"/>
            <w:vAlign w:val="center"/>
          </w:tcPr>
          <w:p w:rsidP="006B315F" w:rsidR="00A62673" w:rsidRDefault="00A62673" w:rsidRPr="00C1648E">
            <w:pPr>
              <w:jc w:val="left"/>
              <w:rPr>
                <w:sz w:val="24"/>
              </w:rPr>
            </w:pPr>
            <w:r w:rsidRPr="00C1648E">
              <w:rPr>
                <w:color w:val="000000"/>
                <w:sz w:val="24"/>
              </w:rPr>
              <w:t>其他资产</w:t>
            </w:r>
          </w:p>
        </w:tc>
        <w:tc>
          <w:tcPr>
            <w:tcW w:type="dxa" w:w="2977"/>
            <w:vAlign w:val="center"/>
          </w:tcPr>
          <w:p w:rsidP="006B315F" w:rsidR="00A62673" w:rsidRDefault="00A62673" w:rsidRPr="00C1648E">
            <w:pPr>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67,908,676.87</w:t>
            </w:r>
          </w:p>
        </w:tc>
        <w:tc>
          <w:tcPr>
            <w:tcW w:type="dxa" w:w="1843"/>
            <w:vAlign w:val="center"/>
          </w:tcPr>
          <w:p w:rsidP="006B315F" w:rsidR="00A62673" w:rsidRDefault="00A62673" w:rsidRPr="00C1648E">
            <w:pPr>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0.31</w:t>
            </w:r>
          </w:p>
        </w:tc>
      </w:tr>
      <w:tr w:rsidR="00A62673" w:rsidRPr="00264E55" w:rsidTr="006B315F">
        <w:trPr>
          <w:jc w:val="center"/>
        </w:trPr>
        <w:tc>
          <w:tcPr>
            <w:tcW w:type="dxa" w:w="720"/>
            <w:vAlign w:val="center"/>
          </w:tcPr>
          <w:p w:rsidP="006B315F" w:rsidR="00A62673" w:rsidRDefault="00A62673" w:rsidRPr="00C1648E">
            <w:pPr>
              <w:spacing w:before="29" w:line="360" w:lineRule="auto"/>
              <w:ind w:left="17"/>
              <w:jc w:val="center"/>
              <w:rPr>
                <w:color w:val="000000"/>
                <w:sz w:val="24"/>
              </w:rPr>
            </w:pPr>
            <w:r w:rsidRPr="00C1648E">
              <w:rPr>
                <w:color w:val="000000"/>
                <w:sz w:val="24"/>
              </w:rPr>
              <w:t>8</w:t>
            </w:r>
          </w:p>
        </w:tc>
        <w:tc>
          <w:tcPr>
            <w:tcW w:type="dxa" w:w="3357"/>
            <w:vAlign w:val="center"/>
          </w:tcPr>
          <w:p w:rsidP="006B315F" w:rsidR="00A62673" w:rsidRDefault="00A62673" w:rsidRPr="00C1648E">
            <w:pPr>
              <w:jc w:val="left"/>
              <w:rPr>
                <w:sz w:val="24"/>
              </w:rPr>
            </w:pPr>
            <w:r w:rsidRPr="00C1648E">
              <w:rPr>
                <w:color w:val="000000"/>
                <w:sz w:val="24"/>
              </w:rPr>
              <w:t>合计</w:t>
            </w:r>
          </w:p>
        </w:tc>
        <w:tc>
          <w:tcPr>
            <w:tcW w:type="dxa" w:w="2977"/>
            <w:vAlign w:val="center"/>
          </w:tcPr>
          <w:p w:rsidP="006B315F" w:rsidR="00A62673" w:rsidRDefault="00A62673" w:rsidRPr="00C1648E">
            <w:pPr>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21,789,095,732.21</w:t>
            </w:r>
          </w:p>
        </w:tc>
        <w:tc>
          <w:tcPr>
            <w:tcW w:type="dxa" w:w="1843"/>
            <w:vAlign w:val="center"/>
          </w:tcPr>
          <w:p w:rsidP="006B315F" w:rsidR="00A62673" w:rsidRDefault="00A62673" w:rsidRPr="00C1648E">
            <w:pPr>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100.00</w:t>
            </w:r>
          </w:p>
        </w:tc>
      </w:tr>
    </w:tbl>
    <w:p w:rsidP="008624F9" w:rsidR="008624F9" w:rsidRDefault="008624F9">
      <w:pPr>
        <w:autoSpaceDE w:val="0"/>
        <w:autoSpaceDN w:val="0"/>
        <w:adjustRightInd w:val="0"/>
        <w:spacing w:line="360" w:lineRule="auto"/>
        <w:jc w:val="left"/>
        <w:rPr>
          <w:rFonts w:eastAsiaTheme="minorEastAsia"/>
          <w:b/>
          <w:color w:themeColor="text1" w:val="000000"/>
          <w:kern w:val="0"/>
          <w:sz w:val="24"/>
        </w:rPr>
      </w:pPr>
      <w:r w:rsidRPr="00105C87">
        <w:rPr>
          <w:rFonts w:eastAsiaTheme="minorEastAsia"/>
          <w:b/>
          <w:color w:themeColor="text1" w:val="000000"/>
          <w:kern w:val="0"/>
          <w:sz w:val="24"/>
        </w:rPr>
        <w:t xml:space="preserve">5.2 </w:t>
      </w:r>
      <w:r w:rsidRPr="00105C87">
        <w:rPr>
          <w:rFonts w:eastAsiaTheme="minorEastAsia"/>
          <w:b/>
          <w:color w:themeColor="text1" w:val="000000"/>
          <w:kern w:val="0"/>
          <w:sz w:val="24"/>
        </w:rPr>
        <w:t>报告期末按行业分类的股票投资组合</w:t>
      </w:r>
    </w:p>
    <w:p w:rsidP="008624F9" w:rsidR="008D2265" w:rsidRDefault="008D2265" w:rsidRPr="008D2265">
      <w:pPr>
        <w:autoSpaceDE w:val="0"/>
        <w:autoSpaceDN w:val="0"/>
        <w:adjustRightInd w:val="0"/>
        <w:spacing w:line="360" w:lineRule="auto"/>
        <w:jc w:val="left"/>
        <w:rPr>
          <w:rFonts w:eastAsiaTheme="minorEastAsia"/>
          <w:b/>
          <w:color w:themeColor="text1" w:val="000000"/>
          <w:kern w:val="0"/>
          <w:sz w:val="24"/>
        </w:rPr>
      </w:pPr>
      <w:r>
        <w:rPr>
          <w:rFonts w:eastAsiaTheme="minorEastAsia" w:hint="eastAsia"/>
          <w:b/>
          <w:color w:themeColor="text1" w:val="000000"/>
          <w:kern w:val="0"/>
          <w:sz w:val="24"/>
        </w:rPr>
        <w:t>5.2.1</w:t>
      </w:r>
      <w:r w:rsidRPr="008D2265">
        <w:rPr>
          <w:rFonts w:eastAsiaTheme="minorEastAsia" w:hint="eastAsia"/>
          <w:b/>
          <w:color w:themeColor="text1" w:val="000000"/>
          <w:kern w:val="0"/>
          <w:sz w:val="24"/>
        </w:rPr>
        <w:t>报告期末按行业分类的境内股票投资组合</w:t>
      </w:r>
    </w:p>
    <w:p w:rsidP="008624F9" w:rsidR="008624F9" w:rsidRDefault="008624F9" w:rsidRPr="00105C87">
      <w:pPr>
        <w:autoSpaceDE w:val="0"/>
        <w:autoSpaceDN w:val="0"/>
        <w:adjustRightInd w:val="0"/>
        <w:spacing w:line="360" w:lineRule="auto"/>
        <w:jc w:val="left"/>
        <w:rPr>
          <w:rFonts w:eastAsiaTheme="minorEastAsia"/>
          <w:b/>
          <w:color w:themeColor="text1"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105C87">
          <w:rPr>
            <w:rFonts w:eastAsiaTheme="minorEastAsia"/>
            <w:b/>
            <w:color w:themeColor="text1" w:val="000000"/>
            <w:kern w:val="0"/>
            <w:sz w:val="24"/>
          </w:rPr>
          <w:t>5.2.1</w:t>
        </w:r>
        <w:r w:rsidR="008D2265">
          <w:rPr>
            <w:rFonts w:eastAsiaTheme="minorEastAsia"/>
            <w:b/>
            <w:color w:themeColor="text1" w:val="000000"/>
            <w:kern w:val="0"/>
            <w:sz w:val="24"/>
          </w:rPr>
          <w:t>.1</w:t>
        </w:r>
      </w:smartTag>
      <w:r w:rsidRPr="00105C87">
        <w:rPr>
          <w:rFonts w:eastAsiaTheme="minorEastAsia"/>
          <w:b/>
          <w:color w:themeColor="text1" w:val="000000"/>
          <w:kern w:val="0"/>
          <w:sz w:val="24"/>
        </w:rPr>
        <w:t>积极投资按行业分类的股票投资组合</w:t>
      </w:r>
    </w:p>
    <w:tbl>
      <w:tblPr>
        <w:tblW w:type="dxa" w:w="8731"/>
        <w:tblInd w:type="dxa" w:w="1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624F9" w:rsidRPr="00105C87" w:rsidTr="006D2AB1">
        <w:trPr>
          <w:trHeight w:val="390"/>
        </w:trPr>
        <w:tc>
          <w:tcPr>
            <w:tcW w:type="dxa" w:w="540"/>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代码</w:t>
            </w: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行业类别</w:t>
            </w:r>
          </w:p>
        </w:tc>
        <w:tc>
          <w:tcPr>
            <w:tcW w:type="dxa" w:w="2852"/>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占基金资产净值比例（％）</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A</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农、林、牧、渔业</w:t>
            </w:r>
          </w:p>
        </w:tc>
        <w:tc>
          <w:tcPr>
            <w:tcW w:type="dxa" w:w="2852"/>
            <w:vAlign w:val="center"/>
          </w:tcPr>
          <w:p w:rsidP="002C4578" w:rsidR="008624F9" w:rsidRDefault="008624F9" w:rsidRPr="00105C87">
            <w:pPr>
              <w:autoSpaceDE w:val="0"/>
              <w:autoSpaceDN w:val="0"/>
              <w:adjustRightInd w:val="0"/>
              <w:spacing w:before="29" w:line="360" w:lineRule="auto"/>
              <w:ind w:left="15"/>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autoSpaceDE w:val="0"/>
              <w:autoSpaceDN w:val="0"/>
              <w:adjustRightInd w:val="0"/>
              <w:spacing w:before="29" w:line="360" w:lineRule="auto"/>
              <w:ind w:left="15"/>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lastRenderedPageBreak/>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lastRenderedPageBreak/>
              <w:t>B</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采矿业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C</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制造业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2,359,510,215.48</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10.86</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D</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电力、热力、燃气及水生产和供应业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E</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建筑业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13,029.12</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0.00</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F</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批发和零售业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11,470.24</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0.00</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G</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交通运输、仓储和邮政业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656,858,932.56</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3.02</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H</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住宿和餐饮业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I</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信息传输、软件和信息技术服务业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228,404.86</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0.00</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J</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金融业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r w:rsidRPr="00105C87">
              <w:rPr>
                <w:rFonts w:eastAsiaTheme="minorEastAsia"/>
                <w:color w:themeColor="text1" w:val="000000"/>
                <w:sz w:val="24"/>
              </w:rPr>
              <w:lastRenderedPageBreak/>
              <w:t/>
            </w:r>
            <w:proofErr w:type="spellEnd"/>
            <w:r w:rsidRPr="00105C87">
              <w:rPr>
                <w:rFonts w:eastAsiaTheme="minorEastAsia"/>
                <w:color w:themeColor="text1" w:val="000000"/>
                <w:sz w:val="24"/>
              </w:rPr>
              <w:t>669,658,578.87</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lastRenderedPageBreak/>
              <w:t/>
            </w:r>
            <w:proofErr w:type="spellStart"/>
            <w:r w:rsidRPr="00105C87">
              <w:rPr>
                <w:rFonts w:eastAsiaTheme="minorEastAsia"/>
                <w:color w:themeColor="text1" w:val="000000"/>
                <w:sz w:val="24"/>
              </w:rPr>
              <w:t/>
            </w:r>
            <w:r w:rsidRPr="00105C87">
              <w:rPr>
                <w:rFonts w:eastAsiaTheme="minorEastAsia"/>
                <w:color w:themeColor="text1" w:val="000000"/>
                <w:sz w:val="24"/>
              </w:rPr>
              <w:lastRenderedPageBreak/>
              <w:t/>
            </w:r>
            <w:proofErr w:type="spellEnd"/>
            <w:r w:rsidRPr="00105C87">
              <w:rPr>
                <w:rFonts w:eastAsiaTheme="minorEastAsia"/>
                <w:color w:themeColor="text1" w:val="000000"/>
                <w:sz w:val="24"/>
              </w:rPr>
              <w:t>3.08</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lastRenderedPageBreak/>
              <w:t>K</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房地产业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L</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租赁和商务服务业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M</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科学研究和技术服务业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30,161.76</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0.00</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N</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水利、环境和公共设施管理业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41,958.98</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0.00</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O</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居民服务、修理和其他服务业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P</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教育</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Q</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卫生和社会工作</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R</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文化、体育和娱乐业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45,133.26</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0.00</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lastRenderedPageBreak/>
              <w:t>S</w:t>
            </w: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综合</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2517C2" w:rsidR="008624F9" w:rsidRDefault="008624F9" w:rsidRPr="00105C87">
            <w:pPr>
              <w:adjustRightInd w:val="0"/>
              <w:snapToGrid w:val="0"/>
              <w:spacing w:line="400" w:lineRule="exact"/>
              <w:jc w:val="left"/>
              <w:rPr>
                <w:rFonts w:eastAsiaTheme="minorEastAsia"/>
                <w:color w:themeColor="text1" w:val="000000"/>
                <w:sz w:val="24"/>
              </w:rPr>
            </w:pPr>
            <w:r w:rsidRPr="00105C87">
              <w:rPr>
                <w:rFonts w:eastAsiaTheme="minorEastAsia"/>
                <w:color w:themeColor="text1" w:val="000000"/>
                <w:sz w:val="24"/>
              </w:rPr>
              <w:t>合计</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3,686,397,885.13</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16.96</w:t>
            </w:r>
          </w:p>
        </w:tc>
      </w:tr>
    </w:tbl>
    <w:p w:rsidP="008624F9" w:rsidR="008624F9" w:rsidRDefault="008624F9" w:rsidRPr="00105C87">
      <w:pPr>
        <w:autoSpaceDE w:val="0"/>
        <w:autoSpaceDN w:val="0"/>
        <w:adjustRightInd w:val="0"/>
        <w:spacing w:line="360" w:lineRule="auto"/>
        <w:jc w:val="left"/>
        <w:rPr>
          <w:rFonts w:eastAsiaTheme="minorEastAsia"/>
          <w:b/>
          <w:color w:themeColor="text1" w:val="000000"/>
          <w:kern w:val="0"/>
          <w:sz w:val="24"/>
        </w:rPr>
      </w:pPr>
      <w:r w:rsidRPr="00105C87">
        <w:rPr>
          <w:rFonts w:eastAsiaTheme="minorEastAsia"/>
          <w:b/>
          <w:color w:themeColor="text1" w:val="000000"/>
          <w:kern w:val="0"/>
          <w:sz w:val="24"/>
        </w:rPr>
        <w:t>5.2.</w:t>
      </w:r>
      <w:r w:rsidR="008D2265">
        <w:rPr>
          <w:rFonts w:eastAsiaTheme="minorEastAsia"/>
          <w:b/>
          <w:color w:themeColor="text1" w:val="000000"/>
          <w:kern w:val="0"/>
          <w:sz w:val="24"/>
        </w:rPr>
        <w:t>1.</w:t>
      </w:r>
      <w:r w:rsidRPr="00105C87">
        <w:rPr>
          <w:rFonts w:eastAsiaTheme="minorEastAsia"/>
          <w:b/>
          <w:color w:themeColor="text1" w:val="000000"/>
          <w:kern w:val="0"/>
          <w:sz w:val="24"/>
        </w:rPr>
        <w:t>2</w:t>
      </w:r>
      <w:r w:rsidRPr="00105C87">
        <w:rPr>
          <w:rFonts w:eastAsiaTheme="minorEastAsia"/>
          <w:b/>
          <w:color w:themeColor="text1" w:val="000000"/>
          <w:kern w:val="0"/>
          <w:sz w:val="24"/>
        </w:rPr>
        <w:t>指数投资按行业分类的股票投资组合</w:t>
      </w:r>
    </w:p>
    <w:tbl>
      <w:tblPr>
        <w:tblW w:type="dxa" w:w="8731"/>
        <w:tblInd w:type="dxa" w:w="1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0"/>
          <w:right w:type="dxa" w:w="0"/>
        </w:tblCellMar>
        <w:tblLook w:firstColumn="0" w:firstRow="0" w:lastColumn="0" w:lastRow="0" w:noHBand="0" w:noVBand="0" w:val="0000"/>
      </w:tblPr>
      <w:tblGrid>
        <w:gridCol w:w="540"/>
        <w:gridCol w:w="3691"/>
        <w:gridCol w:w="2852"/>
        <w:gridCol w:w="1648"/>
      </w:tblGrid>
      <w:tr w:rsidR="008624F9" w:rsidRPr="00105C87" w:rsidTr="006D2AB1">
        <w:trPr>
          <w:trHeight w:val="390"/>
        </w:trPr>
        <w:tc>
          <w:tcPr>
            <w:tcW w:type="dxa" w:w="540"/>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代码</w:t>
            </w: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行业类别</w:t>
            </w:r>
          </w:p>
        </w:tc>
        <w:tc>
          <w:tcPr>
            <w:tcW w:type="dxa" w:w="2852"/>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公允价值（元）</w:t>
            </w:r>
          </w:p>
        </w:tc>
        <w:tc>
          <w:tcPr>
            <w:tcW w:type="dxa" w:w="1648"/>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占基金资产净值比例（％）</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A</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农、林、牧、渔业</w:t>
            </w:r>
          </w:p>
        </w:tc>
        <w:tc>
          <w:tcPr>
            <w:tcW w:type="dxa" w:w="2852"/>
            <w:vAlign w:val="center"/>
          </w:tcPr>
          <w:p w:rsidP="002C4578" w:rsidR="008624F9" w:rsidRDefault="008624F9" w:rsidRPr="00105C87">
            <w:pPr>
              <w:autoSpaceDE w:val="0"/>
              <w:autoSpaceDN w:val="0"/>
              <w:adjustRightInd w:val="0"/>
              <w:spacing w:before="29" w:line="360" w:lineRule="auto"/>
              <w:ind w:left="15"/>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autoSpaceDE w:val="0"/>
              <w:autoSpaceDN w:val="0"/>
              <w:adjustRightInd w:val="0"/>
              <w:spacing w:before="29" w:line="360" w:lineRule="auto"/>
              <w:ind w:left="15"/>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B</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采矿业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175,916,317.05</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0.81</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C</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制造业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9,210,876,052.71</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42.38</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D</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电力、热力、燃气及水生产和供应业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E</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建筑业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795,742,000.08</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3.66</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lastRenderedPageBreak/>
              <w:t>F</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批发和零售业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G</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交通运输、仓储和邮政业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25,695,107.52</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0.12</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H</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住宿和餐饮业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I</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信息传输、软件和信息技术服务业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11,463,000.00</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0.05</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J</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金融业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4,690,209,415.08</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21.58</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K</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房地产业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271,569,427.43</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1.25</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L</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租赁和商务服务业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762,791,216.46</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3.51</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M</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科学研究和技术服务业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252,497,693.00</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1.16</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lastRenderedPageBreak/>
              <w:t>N</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水利、环境和公共设施管理业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O</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居民服务、修理和其他服务业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P</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教育</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Q</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卫生和社会工作</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R</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文化、体育和娱乐业</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r w:rsidRPr="00105C87">
              <w:rPr>
                <w:rFonts w:eastAsiaTheme="minorEastAsia"/>
                <w:color w:themeColor="text1" w:val="000000"/>
                <w:sz w:val="24"/>
              </w:rPr>
              <w:t>S</w:t>
            </w: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综合</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w:t>
            </w:r>
          </w:p>
        </w:tc>
      </w:tr>
      <w:tr w:rsidR="008624F9" w:rsidRPr="00105C87" w:rsidTr="006D2AB1">
        <w:trPr>
          <w:trHeight w:val="285"/>
        </w:trPr>
        <w:tc>
          <w:tcPr>
            <w:tcW w:type="dxa" w:w="540"/>
            <w:tcMar>
              <w:top w:type="dxa" w:w="15"/>
              <w:left w:type="dxa" w:w="15"/>
              <w:bottom w:type="dxa" w:w="0"/>
              <w:right w:type="dxa" w:w="15"/>
            </w:tcMar>
            <w:vAlign w:val="center"/>
          </w:tcPr>
          <w:p w:rsidP="002C4578" w:rsidR="008624F9" w:rsidRDefault="008624F9" w:rsidRPr="00105C87">
            <w:pPr>
              <w:adjustRightInd w:val="0"/>
              <w:snapToGrid w:val="0"/>
              <w:spacing w:line="400" w:lineRule="exact"/>
              <w:jc w:val="center"/>
              <w:rPr>
                <w:rFonts w:eastAsiaTheme="minorEastAsia"/>
                <w:color w:themeColor="text1" w:val="000000"/>
                <w:sz w:val="24"/>
              </w:rPr>
            </w:pPr>
          </w:p>
        </w:tc>
        <w:tc>
          <w:tcPr>
            <w:tcW w:type="dxa" w:w="3691"/>
            <w:tcMar>
              <w:top w:type="dxa" w:w="15"/>
              <w:left w:type="dxa" w:w="15"/>
              <w:bottom w:type="dxa" w:w="0"/>
              <w:right w:type="dxa" w:w="15"/>
            </w:tcMar>
            <w:vAlign w:val="center"/>
          </w:tcPr>
          <w:p w:rsidP="002C4578" w:rsidR="008624F9" w:rsidRDefault="008624F9" w:rsidRPr="00105C87">
            <w:pPr>
              <w:adjustRightInd w:val="0"/>
              <w:snapToGrid w:val="0"/>
              <w:spacing w:line="400" w:lineRule="exact"/>
              <w:rPr>
                <w:rFonts w:eastAsiaTheme="minorEastAsia"/>
                <w:color w:themeColor="text1" w:val="000000"/>
                <w:sz w:val="24"/>
              </w:rPr>
            </w:pPr>
            <w:r w:rsidRPr="00105C87">
              <w:rPr>
                <w:rFonts w:eastAsiaTheme="minorEastAsia"/>
                <w:color w:themeColor="text1" w:val="000000"/>
                <w:sz w:val="24"/>
              </w:rPr>
              <w:t>合计</w:t>
            </w:r>
          </w:p>
        </w:tc>
        <w:tc>
          <w:tcPr>
            <w:tcW w:type="dxa" w:w="2852"/>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16,196,760,229.33</w:t>
            </w:r>
          </w:p>
        </w:tc>
        <w:tc>
          <w:tcPr>
            <w:tcW w:type="dxa" w:w="1648"/>
            <w:tcMar>
              <w:top w:type="dxa" w:w="15"/>
              <w:left w:type="dxa" w:w="15"/>
              <w:bottom w:type="dxa" w:w="0"/>
              <w:right w:type="dxa" w:w="15"/>
            </w:tcMar>
            <w:vAlign w:val="center"/>
          </w:tcPr>
          <w:p w:rsidP="002C4578" w:rsidR="008624F9" w:rsidRDefault="008624F9" w:rsidRPr="00105C87">
            <w:pPr>
              <w:jc w:val="right"/>
              <w:rPr>
                <w:rFonts w:eastAsiaTheme="minorEastAsia"/>
                <w:color w:themeColor="text1" w:val="000000"/>
                <w:sz w:val="24"/>
              </w:rPr>
            </w:pPr>
            <w:r w:rsidRPr="00105C87">
              <w:rPr>
                <w:rFonts w:eastAsiaTheme="minorEastAsia"/>
                <w:color w:themeColor="text1" w:val="000000"/>
                <w:sz w:val="24"/>
              </w:rPr>
              <w:t/>
            </w:r>
            <w:proofErr w:type="spellStart"/>
            <w:r w:rsidRPr="00105C87">
              <w:rPr>
                <w:rFonts w:eastAsiaTheme="minorEastAsia"/>
                <w:color w:themeColor="text1" w:val="000000"/>
                <w:sz w:val="24"/>
              </w:rPr>
              <w:t/>
            </w:r>
            <w:proofErr w:type="spellEnd"/>
            <w:r w:rsidRPr="00105C87">
              <w:rPr>
                <w:rFonts w:eastAsiaTheme="minorEastAsia"/>
                <w:color w:themeColor="text1" w:val="000000"/>
                <w:sz w:val="24"/>
              </w:rPr>
              <w:t>74.53</w:t>
            </w:r>
          </w:p>
        </w:tc>
      </w:tr>
    </w:tbl>
    <w:p w:rsidP="00774C7D" w:rsidR="00774C7D" w:rsidRDefault="00774C7D"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5.3</w:t>
      </w:r>
      <w:r w:rsidRPr="007F456A">
        <w:rPr>
          <w:rFonts w:ascii="宋体" w:cs="Arial" w:hAnsi="宋体" w:hint="eastAsia"/>
          <w:b/>
          <w:color w:val="000000"/>
          <w:kern w:val="0"/>
          <w:sz w:val="24"/>
        </w:rPr>
        <w:t>报告期末按公允价值占基金资产净值比例大小排序的股票投资明细</w:t>
      </w:r>
    </w:p>
    <w:p w:rsidP="00774C7D" w:rsidR="00774C7D" w:rsidRDefault="00774C7D" w:rsidRPr="00045BEC">
      <w:pPr>
        <w:spacing w:line="360" w:lineRule="auto"/>
        <w:rPr>
          <w:rFonts w:ascii="宋体"/>
          <w:b/>
          <w:sz w:val="24"/>
        </w:rPr>
      </w:pPr>
      <w:r w:rsidRPr="00045BEC">
        <w:rPr>
          <w:rFonts w:ascii="宋体" w:cs="Arial" w:hAnsi="宋体"/>
          <w:b/>
          <w:color w:val="000000"/>
          <w:kern w:val="0"/>
          <w:sz w:val="24"/>
        </w:rPr>
        <w:t>5.3.1</w:t>
      </w:r>
      <w:r w:rsidRPr="00045BEC">
        <w:rPr>
          <w:rFonts w:ascii="宋体" w:cs="Arial" w:hAnsi="宋体" w:hint="eastAsia"/>
          <w:b/>
          <w:color w:val="000000"/>
          <w:kern w:val="0"/>
          <w:sz w:val="24"/>
        </w:rPr>
        <w:t>期末</w:t>
      </w:r>
      <w:r w:rsidRPr="00045BEC">
        <w:rPr>
          <w:rFonts w:ascii="宋体" w:hAnsi="宋体" w:hint="eastAsia"/>
          <w:b/>
          <w:sz w:val="24"/>
        </w:rPr>
        <w:t>指数投资按公允价值占基金资产净值比例大小排序的前十名股票投资明细</w:t>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559"/>
        <w:gridCol w:w="1843"/>
        <w:gridCol w:w="2268"/>
        <w:gridCol w:w="1134"/>
      </w:tblGrid>
      <w:tr w:rsidR="00774C7D" w:rsidRPr="00EC5CE0" w:rsidTr="002C4578">
        <w:tc>
          <w:tcPr>
            <w:tcW w:type="dxa" w:w="817"/>
            <w:vAlign w:val="center"/>
          </w:tcPr>
          <w:p w:rsidP="002C4578" w:rsidR="00774C7D" w:rsidRDefault="00774C7D" w:rsidRPr="00C1648E">
            <w:pPr>
              <w:spacing w:before="29" w:line="360" w:lineRule="auto"/>
              <w:ind w:left="17"/>
              <w:jc w:val="center"/>
              <w:rPr>
                <w:color w:val="000000"/>
                <w:sz w:val="24"/>
              </w:rPr>
            </w:pPr>
            <w:r w:rsidRPr="00C1648E">
              <w:rPr>
                <w:color w:val="000000"/>
                <w:sz w:val="24"/>
              </w:rPr>
              <w:t>序号</w:t>
            </w:r>
          </w:p>
        </w:tc>
        <w:tc>
          <w:tcPr>
            <w:tcW w:type="dxa" w:w="1276"/>
            <w:vAlign w:val="center"/>
          </w:tcPr>
          <w:p w:rsidP="002C4578" w:rsidR="00774C7D" w:rsidRDefault="00774C7D" w:rsidRPr="00C1648E">
            <w:pPr>
              <w:spacing w:before="29" w:line="360" w:lineRule="auto"/>
              <w:ind w:left="17"/>
              <w:jc w:val="center"/>
              <w:rPr>
                <w:color w:val="000000"/>
                <w:sz w:val="24"/>
              </w:rPr>
            </w:pPr>
            <w:r w:rsidRPr="00C1648E">
              <w:rPr>
                <w:color w:val="000000"/>
                <w:sz w:val="24"/>
              </w:rPr>
              <w:t>股票代码</w:t>
            </w:r>
          </w:p>
        </w:tc>
        <w:tc>
          <w:tcPr>
            <w:tcW w:type="dxa" w:w="1559"/>
            <w:vAlign w:val="center"/>
          </w:tcPr>
          <w:p w:rsidP="002C4578" w:rsidR="00774C7D" w:rsidRDefault="00774C7D" w:rsidRPr="00C1648E">
            <w:pPr>
              <w:spacing w:before="29" w:line="360" w:lineRule="auto"/>
              <w:ind w:left="17"/>
              <w:jc w:val="center"/>
              <w:rPr>
                <w:color w:val="000000"/>
                <w:sz w:val="24"/>
              </w:rPr>
            </w:pPr>
            <w:r w:rsidRPr="00C1648E">
              <w:rPr>
                <w:color w:val="000000"/>
                <w:sz w:val="24"/>
              </w:rPr>
              <w:t>股票名称</w:t>
            </w:r>
          </w:p>
        </w:tc>
        <w:tc>
          <w:tcPr>
            <w:tcW w:type="dxa" w:w="1843"/>
            <w:vAlign w:val="center"/>
          </w:tcPr>
          <w:p w:rsidP="002C4578" w:rsidR="00774C7D" w:rsidRDefault="00774C7D" w:rsidRPr="00C1648E">
            <w:pPr>
              <w:spacing w:before="29" w:line="360" w:lineRule="auto"/>
              <w:ind w:left="17"/>
              <w:jc w:val="center"/>
              <w:rPr>
                <w:color w:val="000000"/>
                <w:sz w:val="24"/>
              </w:rPr>
            </w:pPr>
            <w:r w:rsidRPr="00C1648E">
              <w:rPr>
                <w:color w:val="000000"/>
                <w:sz w:val="24"/>
              </w:rPr>
              <w:t>数量（股）</w:t>
            </w:r>
          </w:p>
        </w:tc>
        <w:tc>
          <w:tcPr>
            <w:tcW w:type="dxa" w:w="2268"/>
            <w:vAlign w:val="center"/>
          </w:tcPr>
          <w:p w:rsidP="002C4578" w:rsidR="00774C7D" w:rsidRDefault="00774C7D" w:rsidRPr="00C1648E">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type="dxa" w:w="1134"/>
            <w:vAlign w:val="center"/>
          </w:tcPr>
          <w:p w:rsidP="002C4578" w:rsidR="00774C7D" w:rsidRDefault="00774C7D" w:rsidRPr="00C1648E">
            <w:pPr>
              <w:spacing w:before="29" w:line="360" w:lineRule="auto"/>
              <w:ind w:left="17"/>
              <w:jc w:val="center"/>
              <w:rPr>
                <w:color w:val="000000"/>
                <w:sz w:val="24"/>
              </w:rPr>
            </w:pPr>
            <w:r w:rsidRPr="00C1648E">
              <w:rPr>
                <w:color w:val="000000"/>
                <w:sz w:val="24"/>
              </w:rPr>
              <w:t>占基金资产净值比例</w:t>
            </w:r>
            <w:r w:rsidRPr="00C1648E">
              <w:rPr>
                <w:color w:val="000000"/>
                <w:sz w:val="24"/>
              </w:rPr>
              <w:t>(</w:t>
            </w:r>
            <w:r w:rsidRPr="00C1648E">
              <w:rPr>
                <w:color w:val="000000"/>
                <w:sz w:val="24"/>
              </w:rPr>
              <w:t>％</w:t>
            </w:r>
            <w:r w:rsidRPr="00C1648E">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1,677,413</w:t>
            </w:r>
          </w:p>
        </w:tc>
        <w:tc>
          <w:tcPr>
            <w:vAlign w:val="center"/>
          </w:tcPr>
          <w:p>
            <w:pPr>
              <w:jc w:val="right"/>
            </w:pPr>
            <w:r>
              <w:rPr>
                <w:color w:val="000000"/>
                <w:sz w:val="24"/>
              </w:rPr>
              <w:t>2,798,763,590.50</w:t>
            </w:r>
          </w:p>
        </w:tc>
        <w:tc>
          <w:tcPr>
            <w:vAlign w:val="center"/>
          </w:tcPr>
          <w:p>
            <w:pPr>
              <w:jc w:val="right"/>
            </w:pPr>
            <w:r>
              <w:rPr>
                <w:color w:val="000000"/>
                <w:sz w:val="24"/>
              </w:rPr>
              <w:t>12.88</w:t>
            </w:r>
          </w:p>
        </w:tc>
      </w:tr>
      <w:tr>
        <w:tc>
          <w:tcPr>
            <w:vAlign w:val="center"/>
          </w:tcPr>
          <w:p>
            <w:pPr>
              <w:jc w:val="center"/>
            </w:pPr>
            <w:r>
              <w:rPr>
                <w:color w:val="000000"/>
                <w:sz w:val="24"/>
              </w:rPr>
              <w:t>2</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53,252,608</w:t>
            </w:r>
          </w:p>
        </w:tc>
        <w:tc>
          <w:tcPr>
            <w:vAlign w:val="center"/>
          </w:tcPr>
          <w:p>
            <w:pPr>
              <w:jc w:val="right"/>
            </w:pPr>
            <w:r>
              <w:rPr>
                <w:color w:val="000000"/>
                <w:sz w:val="24"/>
              </w:rPr>
              <w:t>2,050,225,408.00</w:t>
            </w:r>
          </w:p>
        </w:tc>
        <w:tc>
          <w:tcPr>
            <w:vAlign w:val="center"/>
          </w:tcPr>
          <w:p>
            <w:pPr>
              <w:jc w:val="right"/>
            </w:pPr>
            <w:r>
              <w:rPr>
                <w:color w:val="000000"/>
                <w:sz w:val="24"/>
              </w:rPr>
              <w:t>9.43</w:t>
            </w:r>
          </w:p>
        </w:tc>
      </w:tr>
      <w:tr>
        <w:tc>
          <w:tcPr>
            <w:vAlign w:val="center"/>
          </w:tcPr>
          <w:p>
            <w:pPr>
              <w:jc w:val="center"/>
            </w:pPr>
            <w:r>
              <w:rPr>
                <w:color w:val="000000"/>
                <w:sz w:val="24"/>
              </w:rPr>
              <w:t>3</w:t>
            </w:r>
          </w:p>
        </w:tc>
        <w:tc>
          <w:tcPr>
            <w:vAlign w:val="center"/>
          </w:tcPr>
          <w:p>
            <w:pPr>
              <w:jc w:val="center"/>
            </w:pPr>
            <w:r>
              <w:rPr>
                <w:color w:val="000000"/>
                <w:sz w:val="24"/>
              </w:rPr>
              <w:t>600276</w:t>
            </w:r>
          </w:p>
        </w:tc>
        <w:tc>
          <w:tcPr>
            <w:vAlign w:val="center"/>
          </w:tcPr>
          <w:p>
            <w:pPr>
              <w:jc w:val="center"/>
            </w:pPr>
            <w:r>
              <w:rPr>
                <w:color w:val="000000"/>
                <w:sz w:val="24"/>
              </w:rPr>
              <w:t>恒瑞医药</w:t>
            </w:r>
          </w:p>
        </w:tc>
        <w:tc>
          <w:tcPr>
            <w:vAlign w:val="center"/>
          </w:tcPr>
          <w:p>
            <w:pPr>
              <w:jc w:val="right"/>
            </w:pPr>
            <w:r>
              <w:rPr>
                <w:color w:val="000000"/>
                <w:sz w:val="24"/>
              </w:rPr>
              <w:t>22,270,574</w:t>
            </w:r>
          </w:p>
        </w:tc>
        <w:tc>
          <w:tcPr>
            <w:vAlign w:val="center"/>
          </w:tcPr>
          <w:p>
            <w:pPr>
              <w:jc w:val="right"/>
            </w:pPr>
            <w:r>
              <w:rPr>
                <w:color w:val="000000"/>
                <w:sz w:val="24"/>
              </w:rPr>
              <w:t>2,000,342,956.68</w:t>
            </w:r>
          </w:p>
        </w:tc>
        <w:tc>
          <w:tcPr>
            <w:vAlign w:val="center"/>
          </w:tcPr>
          <w:p>
            <w:pPr>
              <w:jc w:val="right"/>
            </w:pPr>
            <w:r>
              <w:rPr>
                <w:color w:val="000000"/>
                <w:sz w:val="24"/>
              </w:rPr>
              <w:t>9.20</w:t>
            </w:r>
          </w:p>
        </w:tc>
      </w:tr>
      <w:tr>
        <w:tc>
          <w:tcPr>
            <w:vAlign w:val="center"/>
          </w:tcPr>
          <w:p>
            <w:pPr>
              <w:jc w:val="center"/>
            </w:pPr>
            <w:r>
              <w:rPr>
                <w:color w:val="000000"/>
                <w:sz w:val="24"/>
              </w:rPr>
              <w:t>4</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55,202,018</w:t>
            </w:r>
          </w:p>
        </w:tc>
        <w:tc>
          <w:tcPr>
            <w:vAlign w:val="center"/>
          </w:tcPr>
          <w:p>
            <w:pPr>
              <w:jc w:val="right"/>
            </w:pPr>
            <w:r>
              <w:rPr>
                <w:color w:val="000000"/>
                <w:sz w:val="24"/>
              </w:rPr>
              <w:t>1,987,272,648.00</w:t>
            </w:r>
          </w:p>
        </w:tc>
        <w:tc>
          <w:tcPr>
            <w:vAlign w:val="center"/>
          </w:tcPr>
          <w:p>
            <w:pPr>
              <w:jc w:val="right"/>
            </w:pPr>
            <w:r>
              <w:rPr>
                <w:color w:val="000000"/>
                <w:sz w:val="24"/>
              </w:rPr>
              <w:t>9.14</w:t>
            </w:r>
          </w:p>
        </w:tc>
      </w:tr>
      <w:tr>
        <w:tc>
          <w:tcPr>
            <w:vAlign w:val="center"/>
          </w:tcPr>
          <w:p>
            <w:pPr>
              <w:jc w:val="center"/>
            </w:pPr>
            <w:r>
              <w:rPr>
                <w:color w:val="000000"/>
                <w:sz w:val="24"/>
              </w:rPr>
              <w:t>5</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24,660,200</w:t>
            </w:r>
          </w:p>
        </w:tc>
        <w:tc>
          <w:tcPr>
            <w:vAlign w:val="center"/>
          </w:tcPr>
          <w:p>
            <w:pPr>
              <w:jc w:val="right"/>
            </w:pPr>
            <w:r>
              <w:rPr>
                <w:color w:val="000000"/>
                <w:sz w:val="24"/>
              </w:rPr>
              <w:t>1,880,586,852.00</w:t>
            </w:r>
          </w:p>
        </w:tc>
        <w:tc>
          <w:tcPr>
            <w:vAlign w:val="center"/>
          </w:tcPr>
          <w:p>
            <w:pPr>
              <w:jc w:val="right"/>
            </w:pPr>
            <w:r>
              <w:rPr>
                <w:color w:val="000000"/>
                <w:sz w:val="24"/>
              </w:rPr>
              <w:t>8.65</w:t>
            </w:r>
          </w:p>
        </w:tc>
      </w:tr>
      <w:tr>
        <w:tc>
          <w:tcPr>
            <w:vAlign w:val="center"/>
          </w:tcPr>
          <w:p>
            <w:pPr>
              <w:jc w:val="center"/>
            </w:pPr>
            <w:r>
              <w:rPr>
                <w:color w:val="000000"/>
                <w:sz w:val="24"/>
              </w:rPr>
              <w:t>6</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32,599,250</w:t>
            </w:r>
          </w:p>
        </w:tc>
        <w:tc>
          <w:tcPr>
            <w:vAlign w:val="center"/>
          </w:tcPr>
          <w:p>
            <w:pPr>
              <w:jc w:val="right"/>
            </w:pPr>
            <w:r>
              <w:rPr>
                <w:color w:val="000000"/>
                <w:sz w:val="24"/>
              </w:rPr>
              <w:t>811,395,332.50</w:t>
            </w:r>
          </w:p>
        </w:tc>
        <w:tc>
          <w:tcPr>
            <w:vAlign w:val="center"/>
          </w:tcPr>
          <w:p>
            <w:pPr>
              <w:jc w:val="right"/>
            </w:pPr>
            <w:r>
              <w:rPr>
                <w:color w:val="000000"/>
                <w:sz w:val="24"/>
              </w:rPr>
              <w:t>3.73</w:t>
            </w:r>
          </w:p>
        </w:tc>
      </w:tr>
      <w:tr>
        <w:tc>
          <w:tcPr>
            <w:vAlign w:val="center"/>
          </w:tcPr>
          <w:p>
            <w:pPr>
              <w:jc w:val="center"/>
            </w:pPr>
            <w:r>
              <w:rPr>
                <w:color w:val="000000"/>
                <w:sz w:val="24"/>
              </w:rPr>
              <w:t>7</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156,642,126</w:t>
            </w:r>
          </w:p>
        </w:tc>
        <w:tc>
          <w:tcPr>
            <w:vAlign w:val="center"/>
          </w:tcPr>
          <w:p>
            <w:pPr>
              <w:jc w:val="right"/>
            </w:pPr>
            <w:r>
              <w:rPr>
                <w:color w:val="000000"/>
                <w:sz w:val="24"/>
              </w:rPr>
              <w:t>795,742,000.08</w:t>
            </w:r>
          </w:p>
        </w:tc>
        <w:tc>
          <w:tcPr>
            <w:vAlign w:val="center"/>
          </w:tcPr>
          <w:p>
            <w:pPr>
              <w:jc w:val="right"/>
            </w:pPr>
            <w:r>
              <w:rPr>
                <w:color w:val="000000"/>
                <w:sz w:val="24"/>
              </w:rPr>
              <w:t>3.66</w:t>
            </w:r>
          </w:p>
        </w:tc>
      </w:tr>
      <w:tr>
        <w:tc>
          <w:tcPr>
            <w:vAlign w:val="center"/>
          </w:tcPr>
          <w:p>
            <w:pPr>
              <w:jc w:val="center"/>
            </w:pPr>
            <w:r>
              <w:rPr>
                <w:color w:val="000000"/>
                <w:sz w:val="24"/>
              </w:rPr>
              <w:t>8</w:t>
            </w:r>
          </w:p>
        </w:tc>
        <w:tc>
          <w:tcPr>
            <w:vAlign w:val="center"/>
          </w:tcPr>
          <w:p>
            <w:pPr>
              <w:jc w:val="center"/>
            </w:pPr>
            <w:r>
              <w:rPr>
                <w:color w:val="000000"/>
                <w:sz w:val="24"/>
              </w:rPr>
              <w:t>601888</w:t>
            </w:r>
          </w:p>
        </w:tc>
        <w:tc>
          <w:tcPr>
            <w:vAlign w:val="center"/>
          </w:tcPr>
          <w:p>
            <w:pPr>
              <w:jc w:val="center"/>
            </w:pPr>
            <w:r>
              <w:rPr>
                <w:color w:val="000000"/>
                <w:sz w:val="24"/>
              </w:rPr>
              <w:t>中国中免</w:t>
            </w:r>
          </w:p>
        </w:tc>
        <w:tc>
          <w:tcPr>
            <w:vAlign w:val="center"/>
          </w:tcPr>
          <w:p>
            <w:pPr>
              <w:jc w:val="right"/>
            </w:pPr>
            <w:r>
              <w:rPr>
                <w:color w:val="000000"/>
                <w:sz w:val="24"/>
              </w:rPr>
              <w:t>3,421,509</w:t>
            </w:r>
          </w:p>
        </w:tc>
        <w:tc>
          <w:tcPr>
            <w:vAlign w:val="center"/>
          </w:tcPr>
          <w:p>
            <w:pPr>
              <w:jc w:val="right"/>
            </w:pPr>
            <w:r>
              <w:rPr>
                <w:color w:val="000000"/>
                <w:sz w:val="24"/>
              </w:rPr>
              <w:t>762,791,216.46</w:t>
            </w:r>
          </w:p>
        </w:tc>
        <w:tc>
          <w:tcPr>
            <w:vAlign w:val="center"/>
          </w:tcPr>
          <w:p>
            <w:pPr>
              <w:jc w:val="right"/>
            </w:pPr>
            <w:r>
              <w:rPr>
                <w:color w:val="000000"/>
                <w:sz w:val="24"/>
              </w:rPr>
              <w:t>3.51</w:t>
            </w:r>
          </w:p>
        </w:tc>
      </w:tr>
      <w:tr>
        <w:tc>
          <w:tcPr>
            <w:vAlign w:val="center"/>
          </w:tcPr>
          <w:p>
            <w:pPr>
              <w:jc w:val="center"/>
            </w:pPr>
            <w:r>
              <w:rPr>
                <w:color w:val="000000"/>
                <w:sz w:val="24"/>
              </w:rPr>
              <w:t>9</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9,999,775</w:t>
            </w:r>
          </w:p>
        </w:tc>
        <w:tc>
          <w:tcPr>
            <w:vAlign w:val="center"/>
          </w:tcPr>
          <w:p>
            <w:pPr>
              <w:jc w:val="right"/>
            </w:pPr>
            <w:r>
              <w:rPr>
                <w:color w:val="000000"/>
                <w:sz w:val="24"/>
              </w:rPr>
              <w:t>750,083,122.75</w:t>
            </w:r>
          </w:p>
        </w:tc>
        <w:tc>
          <w:tcPr>
            <w:vAlign w:val="center"/>
          </w:tcPr>
          <w:p>
            <w:pPr>
              <w:jc w:val="right"/>
            </w:pPr>
            <w:r>
              <w:rPr>
                <w:color w:val="000000"/>
                <w:sz w:val="24"/>
              </w:rPr>
              <w:t>3.45</w:t>
            </w:r>
          </w:p>
        </w:tc>
      </w:tr>
      <w:tr>
        <w:tc>
          <w:tcPr>
            <w:vAlign w:val="center"/>
          </w:tcPr>
          <w:p>
            <w:pPr>
              <w:jc w:val="center"/>
            </w:pPr>
            <w:r>
              <w:rPr>
                <w:color w:val="000000"/>
                <w:sz w:val="24"/>
              </w:rPr>
              <w:t>10</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43,055,735</w:t>
            </w:r>
          </w:p>
        </w:tc>
        <w:tc>
          <w:tcPr>
            <w:vAlign w:val="center"/>
          </w:tcPr>
          <w:p>
            <w:pPr>
              <w:jc w:val="right"/>
            </w:pPr>
            <w:r>
              <w:rPr>
                <w:color w:val="000000"/>
                <w:sz w:val="24"/>
              </w:rPr>
              <w:t>694,489,005.55</w:t>
            </w:r>
          </w:p>
        </w:tc>
        <w:tc>
          <w:tcPr>
            <w:vAlign w:val="center"/>
          </w:tcPr>
          <w:p>
            <w:pPr>
              <w:jc w:val="right"/>
            </w:pPr>
            <w:r>
              <w:rPr>
                <w:color w:val="000000"/>
                <w:sz w:val="24"/>
              </w:rPr>
              <w:t>3.20</w:t>
            </w:r>
          </w:p>
        </w:tc>
      </w:tr>
    </w:tbl>
    <w:p w:rsidP="00774C7D" w:rsidR="00774C7D" w:rsidRDefault="00774C7D" w:rsidRPr="00045BEC">
      <w:pPr>
        <w:spacing w:line="360" w:lineRule="auto"/>
        <w:rPr>
          <w:rFonts w:ascii="宋体"/>
          <w:b/>
          <w:sz w:val="24"/>
        </w:rPr>
      </w:pPr>
      <w:r w:rsidRPr="00045BEC">
        <w:rPr>
          <w:rFonts w:ascii="宋体" w:cs="Arial" w:hAnsi="宋体"/>
          <w:b/>
          <w:color w:val="000000"/>
          <w:kern w:val="0"/>
          <w:sz w:val="24"/>
        </w:rPr>
        <w:t>5.3.2</w:t>
      </w:r>
      <w:r w:rsidRPr="00045BEC">
        <w:rPr>
          <w:rFonts w:ascii="宋体" w:cs="Arial" w:hAnsi="宋体" w:hint="eastAsia"/>
          <w:b/>
          <w:color w:val="000000"/>
          <w:kern w:val="0"/>
          <w:sz w:val="24"/>
        </w:rPr>
        <w:t>期末</w:t>
      </w:r>
      <w:r w:rsidRPr="00045BEC">
        <w:rPr>
          <w:rFonts w:ascii="宋体" w:hAnsi="宋体" w:hint="eastAsia"/>
          <w:b/>
          <w:sz w:val="24"/>
        </w:rPr>
        <w:t>积极投资按公允价值占基金资产净值比例大小排序的前五名股票投资明细</w:t>
      </w:r>
    </w:p>
    <w:tbl>
      <w:tblPr>
        <w:tblW w:type="dxa" w:w="8897"/>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17"/>
        <w:gridCol w:w="1276"/>
        <w:gridCol w:w="1701"/>
        <w:gridCol w:w="1843"/>
        <w:gridCol w:w="2126"/>
        <w:gridCol w:w="1134"/>
      </w:tblGrid>
      <w:tr w:rsidR="00774C7D" w:rsidRPr="00EC5CE0" w:rsidTr="002C4578">
        <w:tc>
          <w:tcPr>
            <w:tcW w:type="dxa" w:w="817"/>
            <w:vAlign w:val="center"/>
          </w:tcPr>
          <w:p w:rsidP="002C4578" w:rsidR="00774C7D" w:rsidRDefault="00774C7D" w:rsidRPr="00C1648E">
            <w:pPr>
              <w:spacing w:before="29" w:line="360" w:lineRule="auto"/>
              <w:ind w:left="17"/>
              <w:jc w:val="center"/>
              <w:rPr>
                <w:color w:val="000000"/>
                <w:sz w:val="24"/>
              </w:rPr>
            </w:pPr>
            <w:r w:rsidRPr="00C1648E">
              <w:rPr>
                <w:color w:val="000000"/>
                <w:sz w:val="24"/>
              </w:rPr>
              <w:t>序号</w:t>
            </w:r>
          </w:p>
        </w:tc>
        <w:tc>
          <w:tcPr>
            <w:tcW w:type="dxa" w:w="1276"/>
            <w:vAlign w:val="center"/>
          </w:tcPr>
          <w:p w:rsidP="002C4578" w:rsidR="00774C7D" w:rsidRDefault="00774C7D" w:rsidRPr="00C1648E">
            <w:pPr>
              <w:spacing w:before="29" w:line="360" w:lineRule="auto"/>
              <w:ind w:left="17"/>
              <w:jc w:val="center"/>
              <w:rPr>
                <w:color w:val="000000"/>
                <w:sz w:val="24"/>
              </w:rPr>
            </w:pPr>
            <w:r w:rsidRPr="00C1648E">
              <w:rPr>
                <w:color w:val="000000"/>
                <w:sz w:val="24"/>
              </w:rPr>
              <w:t>股票代码</w:t>
            </w:r>
          </w:p>
        </w:tc>
        <w:tc>
          <w:tcPr>
            <w:tcW w:type="dxa" w:w="1701"/>
            <w:vAlign w:val="center"/>
          </w:tcPr>
          <w:p w:rsidP="002C4578" w:rsidR="00774C7D" w:rsidRDefault="00774C7D" w:rsidRPr="00C1648E">
            <w:pPr>
              <w:spacing w:before="29" w:line="360" w:lineRule="auto"/>
              <w:ind w:left="17"/>
              <w:jc w:val="center"/>
              <w:rPr>
                <w:color w:val="000000"/>
                <w:sz w:val="24"/>
              </w:rPr>
            </w:pPr>
            <w:r w:rsidRPr="00C1648E">
              <w:rPr>
                <w:color w:val="000000"/>
                <w:sz w:val="24"/>
              </w:rPr>
              <w:t>股票名称</w:t>
            </w:r>
          </w:p>
        </w:tc>
        <w:tc>
          <w:tcPr>
            <w:tcW w:type="dxa" w:w="1843"/>
            <w:vAlign w:val="center"/>
          </w:tcPr>
          <w:p w:rsidP="002C4578" w:rsidR="00774C7D" w:rsidRDefault="00774C7D" w:rsidRPr="00C1648E">
            <w:pPr>
              <w:spacing w:before="29" w:line="360" w:lineRule="auto"/>
              <w:ind w:left="17"/>
              <w:jc w:val="center"/>
              <w:rPr>
                <w:color w:val="000000"/>
                <w:sz w:val="24"/>
              </w:rPr>
            </w:pPr>
            <w:r w:rsidRPr="00C1648E">
              <w:rPr>
                <w:color w:val="000000"/>
                <w:sz w:val="24"/>
              </w:rPr>
              <w:t>数量（股）</w:t>
            </w:r>
          </w:p>
        </w:tc>
        <w:tc>
          <w:tcPr>
            <w:tcW w:type="dxa" w:w="2126"/>
            <w:vAlign w:val="center"/>
          </w:tcPr>
          <w:p w:rsidP="002C4578" w:rsidR="00774C7D" w:rsidRDefault="00774C7D" w:rsidRPr="00C1648E">
            <w:pPr>
              <w:autoSpaceDE w:val="0"/>
              <w:autoSpaceDN w:val="0"/>
              <w:adjustRightInd w:val="0"/>
              <w:spacing w:before="29" w:line="360" w:lineRule="auto"/>
              <w:ind w:left="17"/>
              <w:jc w:val="center"/>
              <w:rPr>
                <w:color w:val="000000"/>
                <w:sz w:val="24"/>
              </w:rPr>
            </w:pPr>
            <w:r w:rsidRPr="00C1648E">
              <w:rPr>
                <w:color w:val="000000"/>
                <w:sz w:val="24"/>
              </w:rPr>
              <w:t>公允价值（元）</w:t>
            </w:r>
          </w:p>
        </w:tc>
        <w:tc>
          <w:tcPr>
            <w:tcW w:type="dxa" w:w="1134"/>
            <w:vAlign w:val="center"/>
          </w:tcPr>
          <w:p w:rsidP="002C4578" w:rsidR="00774C7D" w:rsidRDefault="00774C7D" w:rsidRPr="00C1648E">
            <w:pPr>
              <w:spacing w:before="29" w:line="360" w:lineRule="auto"/>
              <w:ind w:left="17"/>
              <w:jc w:val="center"/>
              <w:rPr>
                <w:color w:val="000000"/>
                <w:sz w:val="24"/>
              </w:rPr>
            </w:pPr>
            <w:r w:rsidRPr="00C1648E">
              <w:rPr>
                <w:color w:val="000000"/>
                <w:sz w:val="24"/>
              </w:rPr>
              <w:t>占基金资产净值比例</w:t>
            </w:r>
            <w:r w:rsidRPr="00C1648E">
              <w:rPr>
                <w:color w:val="000000"/>
                <w:sz w:val="24"/>
              </w:rPr>
              <w:lastRenderedPageBreak/>
              <w:t>(</w:t>
            </w:r>
            <w:r w:rsidRPr="00C1648E">
              <w:rPr>
                <w:color w:val="000000"/>
                <w:sz w:val="24"/>
              </w:rPr>
              <w:t>％</w:t>
            </w:r>
            <w:r w:rsidRPr="00C1648E">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4,971,600</w:t>
            </w:r>
          </w:p>
        </w:tc>
        <w:tc>
          <w:tcPr>
            <w:vAlign w:val="center"/>
          </w:tcPr>
          <w:p>
            <w:pPr>
              <w:jc w:val="right"/>
            </w:pPr>
            <w:r>
              <w:rPr>
                <w:color w:val="000000"/>
                <w:sz w:val="24"/>
              </w:rPr>
              <w:t>1,098,723,600.00</w:t>
            </w:r>
          </w:p>
        </w:tc>
        <w:tc>
          <w:tcPr>
            <w:vAlign w:val="center"/>
          </w:tcPr>
          <w:p>
            <w:pPr>
              <w:jc w:val="right"/>
            </w:pPr>
            <w:r>
              <w:rPr>
                <w:color w:val="000000"/>
                <w:sz w:val="24"/>
              </w:rPr>
              <w:t>5.06</w:t>
            </w:r>
          </w:p>
        </w:tc>
      </w:tr>
      <w:tr>
        <w:tc>
          <w:tcPr>
            <w:vAlign w:val="center"/>
          </w:tcPr>
          <w:p>
            <w:pPr>
              <w:jc w:val="center"/>
            </w:pPr>
            <w:r>
              <w:rPr>
                <w:color w:val="000000"/>
                <w:sz w:val="24"/>
              </w:rPr>
              <w:t>2</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44,143,611</w:t>
            </w:r>
          </w:p>
        </w:tc>
        <w:tc>
          <w:tcPr>
            <w:vAlign w:val="center"/>
          </w:tcPr>
          <w:p>
            <w:pPr>
              <w:jc w:val="right"/>
            </w:pPr>
            <w:r>
              <w:rPr>
                <w:color w:val="000000"/>
                <w:sz w:val="24"/>
              </w:rPr>
              <w:t>669,658,578.87</w:t>
            </w:r>
          </w:p>
        </w:tc>
        <w:tc>
          <w:tcPr>
            <w:vAlign w:val="center"/>
          </w:tcPr>
          <w:p>
            <w:pPr>
              <w:jc w:val="right"/>
            </w:pPr>
            <w:r>
              <w:rPr>
                <w:color w:val="000000"/>
                <w:sz w:val="24"/>
              </w:rPr>
              <w:t>3.08</w:t>
            </w:r>
          </w:p>
        </w:tc>
      </w:tr>
      <w:tr>
        <w:tc>
          <w:tcPr>
            <w:vAlign w:val="center"/>
          </w:tcPr>
          <w:p>
            <w:pPr>
              <w:jc w:val="center"/>
            </w:pPr>
            <w:r>
              <w:rPr>
                <w:color w:val="000000"/>
                <w:sz w:val="24"/>
              </w:rPr>
              <w:t>3</w:t>
            </w:r>
          </w:p>
        </w:tc>
        <w:tc>
          <w:tcPr>
            <w:vAlign w:val="center"/>
          </w:tcPr>
          <w:p>
            <w:pPr>
              <w:jc w:val="center"/>
            </w:pPr>
            <w:r>
              <w:rPr>
                <w:color w:val="000000"/>
                <w:sz w:val="24"/>
              </w:rPr>
              <w:t>002352</w:t>
            </w:r>
          </w:p>
        </w:tc>
        <w:tc>
          <w:tcPr>
            <w:vAlign w:val="center"/>
          </w:tcPr>
          <w:p>
            <w:pPr>
              <w:jc w:val="center"/>
            </w:pPr>
            <w:r>
              <w:rPr>
                <w:color w:val="000000"/>
                <w:sz w:val="24"/>
              </w:rPr>
              <w:t>顺丰控股</w:t>
            </w:r>
          </w:p>
        </w:tc>
        <w:tc>
          <w:tcPr>
            <w:vAlign w:val="center"/>
          </w:tcPr>
          <w:p>
            <w:pPr>
              <w:jc w:val="right"/>
            </w:pPr>
            <w:r>
              <w:rPr>
                <w:color w:val="000000"/>
                <w:sz w:val="24"/>
              </w:rPr>
              <w:t>8,089,166</w:t>
            </w:r>
          </w:p>
        </w:tc>
        <w:tc>
          <w:tcPr>
            <w:vAlign w:val="center"/>
          </w:tcPr>
          <w:p>
            <w:pPr>
              <w:jc w:val="right"/>
            </w:pPr>
            <w:r>
              <w:rPr>
                <w:color w:val="000000"/>
                <w:sz w:val="24"/>
              </w:rPr>
              <w:t>656,840,279.20</w:t>
            </w:r>
          </w:p>
        </w:tc>
        <w:tc>
          <w:tcPr>
            <w:vAlign w:val="center"/>
          </w:tcPr>
          <w:p>
            <w:pPr>
              <w:jc w:val="right"/>
            </w:pPr>
            <w:r>
              <w:rPr>
                <w:color w:val="000000"/>
                <w:sz w:val="24"/>
              </w:rPr>
              <w:t>3.02</w:t>
            </w:r>
          </w:p>
        </w:tc>
      </w:tr>
      <w:tr>
        <w:tc>
          <w:tcPr>
            <w:vAlign w:val="center"/>
          </w:tcPr>
          <w:p>
            <w:pPr>
              <w:jc w:val="center"/>
            </w:pPr>
            <w:r>
              <w:rPr>
                <w:color w:val="000000"/>
                <w:sz w:val="24"/>
              </w:rPr>
              <w:t>4</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1,574,000</w:t>
            </w:r>
          </w:p>
        </w:tc>
        <w:tc>
          <w:tcPr>
            <w:vAlign w:val="center"/>
          </w:tcPr>
          <w:p>
            <w:pPr>
              <w:jc w:val="right"/>
            </w:pPr>
            <w:r>
              <w:rPr>
                <w:color w:val="000000"/>
                <w:sz w:val="24"/>
              </w:rPr>
              <w:t>581,813,360.00</w:t>
            </w:r>
          </w:p>
        </w:tc>
        <w:tc>
          <w:tcPr>
            <w:vAlign w:val="center"/>
          </w:tcPr>
          <w:p>
            <w:pPr>
              <w:jc w:val="right"/>
            </w:pPr>
            <w:r>
              <w:rPr>
                <w:color w:val="000000"/>
                <w:sz w:val="24"/>
              </w:rPr>
              <w:t>2.68</w:t>
            </w:r>
          </w:p>
        </w:tc>
      </w:tr>
      <w:tr>
        <w:tc>
          <w:tcPr>
            <w:vAlign w:val="center"/>
          </w:tcPr>
          <w:p>
            <w:pPr>
              <w:jc w:val="center"/>
            </w:pPr>
            <w:r>
              <w:rPr>
                <w:color w:val="000000"/>
                <w:sz w:val="24"/>
              </w:rPr>
              <w:t>5</w:t>
            </w:r>
          </w:p>
        </w:tc>
        <w:tc>
          <w:tcPr>
            <w:vAlign w:val="center"/>
          </w:tcPr>
          <w:p>
            <w:pPr>
              <w:jc w:val="center"/>
            </w:pPr>
            <w:r>
              <w:rPr>
                <w:color w:val="000000"/>
                <w:sz w:val="24"/>
              </w:rPr>
              <w:t>002007</w:t>
            </w:r>
          </w:p>
        </w:tc>
        <w:tc>
          <w:tcPr>
            <w:vAlign w:val="center"/>
          </w:tcPr>
          <w:p>
            <w:pPr>
              <w:jc w:val="center"/>
            </w:pPr>
            <w:r>
              <w:rPr>
                <w:color w:val="000000"/>
                <w:sz w:val="24"/>
              </w:rPr>
              <w:t>华兰生物</w:t>
            </w:r>
          </w:p>
        </w:tc>
        <w:tc>
          <w:tcPr>
            <w:vAlign w:val="center"/>
          </w:tcPr>
          <w:p>
            <w:pPr>
              <w:jc w:val="right"/>
            </w:pPr>
            <w:r>
              <w:rPr>
                <w:color w:val="000000"/>
                <w:sz w:val="24"/>
              </w:rPr>
              <w:t>6,532,346</w:t>
            </w:r>
          </w:p>
        </w:tc>
        <w:tc>
          <w:tcPr>
            <w:vAlign w:val="center"/>
          </w:tcPr>
          <w:p>
            <w:pPr>
              <w:jc w:val="right"/>
            </w:pPr>
            <w:r>
              <w:rPr>
                <w:color w:val="000000"/>
                <w:sz w:val="24"/>
              </w:rPr>
              <w:t>372,278,398.54</w:t>
            </w:r>
          </w:p>
        </w:tc>
        <w:tc>
          <w:tcPr>
            <w:vAlign w:val="center"/>
          </w:tcPr>
          <w:p>
            <w:pPr>
              <w:jc w:val="right"/>
            </w:pPr>
            <w:r>
              <w:rPr>
                <w:color w:val="000000"/>
                <w:sz w:val="24"/>
              </w:rPr>
              <w:t>1.71</w:t>
            </w:r>
          </w:p>
        </w:tc>
      </w:tr>
    </w:tbl>
    <w:p w:rsidP="00712EE5" w:rsidR="00712EE5" w:rsidRDefault="00A62673" w:rsidRPr="00712EE5">
      <w:pPr>
        <w:autoSpaceDE w:val="0"/>
        <w:autoSpaceDN w:val="0"/>
        <w:adjustRightInd w:val="0"/>
        <w:spacing w:line="360" w:lineRule="auto"/>
        <w:jc w:val="left"/>
        <w:rPr>
          <w:rFonts w:eastAsiaTheme="minorEastAsia"/>
          <w:b/>
          <w:color w:themeColor="text1" w:val="000000"/>
          <w:kern w:val="0"/>
          <w:sz w:val="24"/>
        </w:rPr>
      </w:pPr>
      <w:r w:rsidRPr="00EC5CE0">
        <w:rPr>
          <w:rFonts w:ascii="宋体" w:cs="Arial" w:hAnsi="宋体"/>
          <w:b/>
          <w:color w:val="000000"/>
          <w:kern w:val="0"/>
          <w:sz w:val="24"/>
        </w:rPr>
        <w:t xml:space="preserve">5.4 </w:t>
      </w:r>
      <w:r w:rsidRPr="00EC5CE0">
        <w:rPr>
          <w:rFonts w:ascii="宋体" w:cs="Arial" w:hAnsi="宋体" w:hint="eastAsia"/>
          <w:b/>
          <w:color w:val="000000"/>
          <w:kern w:val="0"/>
          <w:sz w:val="24"/>
        </w:rPr>
        <w:t>报告期末按债券品种分类的债券投资组合</w:t>
      </w:r>
    </w:p>
    <w:p w:rsidP="00712EE5" w:rsidR="00A62673" w:rsidRDefault="00712EE5" w:rsidRPr="00BF18E8">
      <w:pPr>
        <w:spacing w:line="360" w:lineRule="auto"/>
        <w:ind w:firstLine="480" w:firstLineChars="200"/>
        <w:rPr>
          <w:color w:val="000000"/>
          <w:sz w:val="24"/>
        </w:rPr>
      </w:pPr>
      <w:r w:rsidRPr="00BF18E8">
        <w:rPr>
          <w:color w:val="000000"/>
          <w:sz w:val="24"/>
        </w:rPr>
        <w:t/>
      </w:r>
      <w:proofErr w:type="spellStart"/>
      <w:r w:rsidRPr="00BF18E8">
        <w:rPr>
          <w:color w:val="000000"/>
          <w:sz w:val="24"/>
        </w:rPr>
        <w:t/>
      </w:r>
      <w:proofErr w:type="spellEnd"/>
      <w:r w:rsidRPr="00BF18E8">
        <w:rPr>
          <w:color w:val="000000"/>
          <w:sz w:val="24"/>
        </w:rPr>
        <w:t/>
      </w:r>
      <w:proofErr w:type="spellStart"/>
      <w:r w:rsidRPr="00BF18E8">
        <w:rPr>
          <w:color w:val="000000"/>
          <w:sz w:val="24"/>
        </w:rPr>
        <w:t/>
      </w:r>
      <w:proofErr w:type="spellEnd"/>
      <w:r w:rsidRPr="00BF18E8">
        <w:rPr>
          <w:color w:val="000000"/>
          <w:sz w:val="24"/>
        </w:rPr>
        <w:t>本基金本报告期末未持有债券。</w:t>
      </w:r>
    </w:p>
    <w:p w:rsidP="00045BEC"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 xml:space="preserve">5.5 </w:t>
      </w:r>
      <w:r w:rsidRPr="00EC5CE0">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EC5CE0">
        <w:rPr>
          <w:rFonts w:ascii="宋体" w:cs="Arial" w:hAnsi="宋体" w:hint="eastAsia"/>
          <w:b/>
          <w:color w:val="000000"/>
          <w:kern w:val="0"/>
          <w:sz w:val="24"/>
        </w:rPr>
        <w:t>的前五名债券投资明细</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r w:rsidRPr="00DC315B">
        <w:rPr>
          <w:color w:val="000000"/>
          <w:sz w:val="24"/>
        </w:rPr>
        <w:t/>
      </w:r>
      <w:proofErr w:type="spellEnd"/>
      <w:r w:rsidRPr="00DC315B">
        <w:rPr>
          <w:color w:val="000000"/>
          <w:sz w:val="24"/>
        </w:rPr>
        <w:t>本基金本报告期末未持有债券。</w:t>
      </w:r>
    </w:p>
    <w:p w:rsidP="00045BEC"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hAnsi="宋体"/>
          <w:b/>
          <w:color w:val="000000"/>
          <w:kern w:val="0"/>
          <w:sz w:val="24"/>
        </w:rPr>
        <w:t>5.6</w:t>
      </w:r>
      <w:r w:rsidRPr="00EC5CE0">
        <w:rPr>
          <w:rFonts w:ascii="宋体" w:cs="Arial" w:hAnsi="宋体" w:hint="eastAsia"/>
          <w:b/>
          <w:color w:val="000000"/>
          <w:kern w:val="0"/>
          <w:sz w:val="24"/>
        </w:rPr>
        <w:t>报告期末按公允价值占基金资产净值比例大小排</w:t>
      </w:r>
      <w:r>
        <w:rPr>
          <w:rFonts w:ascii="宋体" w:cs="Arial" w:hAnsi="宋体" w:hint="eastAsia"/>
          <w:b/>
          <w:color w:val="000000"/>
          <w:kern w:val="0"/>
          <w:sz w:val="24"/>
        </w:rPr>
        <w:t>序</w:t>
      </w:r>
      <w:r w:rsidRPr="00EC5CE0">
        <w:rPr>
          <w:rFonts w:ascii="宋体" w:cs="Arial" w:hAnsi="宋体" w:hint="eastAsia"/>
          <w:b/>
          <w:color w:val="000000"/>
          <w:kern w:val="0"/>
          <w:sz w:val="24"/>
        </w:rPr>
        <w:t>的前十名资产支持证券投资明细</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r w:rsidRPr="00DC315B">
        <w:rPr>
          <w:color w:val="000000"/>
          <w:sz w:val="24"/>
        </w:rPr>
        <w:t/>
      </w:r>
      <w:proofErr w:type="spellEnd"/>
      <w:r w:rsidRPr="00DC315B">
        <w:rPr>
          <w:color w:val="000000"/>
          <w:sz w:val="24"/>
        </w:rPr>
        <w:t>本基金本报告期末未持有资产支持证券。</w:t>
      </w:r>
    </w:p>
    <w:p w:rsidP="008021E8" w:rsidR="00A62673" w:rsidRDefault="00A62673" w:rsidRPr="001D63BB">
      <w:pPr>
        <w:autoSpaceDE w:val="0"/>
        <w:autoSpaceDN w:val="0"/>
        <w:adjustRightInd w:val="0"/>
        <w:spacing w:line="360" w:lineRule="auto"/>
        <w:jc w:val="left"/>
        <w:rPr>
          <w:rFonts w:ascii="宋体"/>
          <w:b/>
          <w:bCs/>
          <w:color w:val="000000"/>
          <w:kern w:val="0"/>
          <w:sz w:val="24"/>
        </w:rPr>
      </w:pPr>
      <w:r w:rsidRPr="001B0A62">
        <w:rPr>
          <w:rFonts w:ascii="宋体"/>
          <w:b/>
          <w:bCs/>
          <w:color w:val="000000"/>
          <w:kern w:val="0"/>
          <w:sz w:val="24"/>
        </w:rPr>
        <w:t/>
      </w:r>
      <w:r w:rsidRPr="001B0A62">
        <w:rPr>
          <w:rFonts w:ascii="宋体" w:hAnsi="宋体"/>
          <w:b/>
          <w:bCs/>
          <w:color w:val="000000"/>
          <w:kern w:val="0"/>
          <w:sz w:val="24"/>
        </w:rPr>
        <w:t>5.</w:t>
      </w:r>
      <w:r>
        <w:rPr>
          <w:rFonts w:ascii="宋体" w:hAnsi="宋体"/>
          <w:b/>
          <w:bCs/>
          <w:color w:val="000000"/>
          <w:kern w:val="0"/>
          <w:sz w:val="24"/>
        </w:rPr>
        <w:t/>
      </w:r>
      <w:r w:rsidRPr="001B0A62">
        <w:rPr>
          <w:rFonts w:ascii="宋体"/>
          <w:b/>
          <w:bCs/>
          <w:color w:val="000000"/>
          <w:kern w:val="0"/>
          <w:sz w:val="24"/>
        </w:rPr>
        <w:t>7</w:t>
      </w:r>
      <w:r w:rsidRPr="001D63BB">
        <w:rPr>
          <w:rFonts w:ascii="宋体" w:hAnsi="宋体" w:hint="eastAsia"/>
          <w:b/>
          <w:bCs/>
          <w:color w:val="000000"/>
          <w:kern w:val="0"/>
          <w:sz w:val="24"/>
        </w:rPr>
        <w:t>报告期末按公允价值占基金资产净值比例大小排序的前五名贵金</w:t>
      </w:r>
      <w:r w:rsidRPr="001D63BB">
        <w:rPr>
          <w:rFonts w:ascii="宋体" w:hAnsi="宋体" w:hint="eastAsia"/>
          <w:b/>
          <w:bCs/>
          <w:color w:val="000000"/>
          <w:kern w:val="0"/>
          <w:sz w:val="24"/>
        </w:rPr>
        <w:lastRenderedPageBreak/>
        <w:t>属投资明细</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r w:rsidRPr="00DC315B">
        <w:rPr>
          <w:color w:val="000000"/>
          <w:sz w:val="24"/>
        </w:rPr>
        <w:t/>
      </w:r>
      <w:proofErr w:type="spellEnd"/>
      <w:r w:rsidRPr="00DC315B">
        <w:rPr>
          <w:color w:val="000000"/>
          <w:sz w:val="24"/>
        </w:rPr>
        <w:t>本基金本报告期末未持有贵金属。</w:t>
      </w:r>
    </w:p>
    <w:p w:rsidP="00045BEC" w:rsidR="00A62673" w:rsidRDefault="00A62673" w:rsidRPr="00EC5CE0">
      <w:pPr>
        <w:autoSpaceDE w:val="0"/>
        <w:autoSpaceDN w:val="0"/>
        <w:adjustRightInd w:val="0"/>
        <w:spacing w:line="360" w:lineRule="auto"/>
        <w:jc w:val="left"/>
        <w:rPr>
          <w:rFonts w:ascii="宋体" w:cs="Arial"/>
          <w:b/>
          <w:color w:val="000000"/>
          <w:kern w:val="0"/>
          <w:sz w:val="24"/>
        </w:rPr>
      </w:pPr>
      <w:r>
        <w:rPr>
          <w:rFonts w:ascii="宋体" w:cs="Arial"/>
          <w:b/>
          <w:color w:val="000000"/>
          <w:kern w:val="0"/>
          <w:sz w:val="24"/>
        </w:rPr>
        <w:t/>
      </w:r>
      <w:r>
        <w:rPr>
          <w:rFonts w:ascii="宋体" w:cs="Arial" w:hAnsi="宋体"/>
          <w:b/>
          <w:color w:val="000000"/>
          <w:kern w:val="0"/>
          <w:sz w:val="24"/>
        </w:rPr>
        <w:t/>
      </w:r>
      <w:r w:rsidRPr="00EC5CE0">
        <w:rPr>
          <w:rFonts w:ascii="宋体" w:cs="Arial"/>
          <w:b/>
          <w:color w:val="000000"/>
          <w:kern w:val="0"/>
          <w:sz w:val="24"/>
        </w:rPr>
        <w:t>5.</w:t>
      </w:r>
      <w:r>
        <w:rPr>
          <w:rFonts w:ascii="宋体" w:cs="Arial"/>
          <w:b/>
          <w:color w:val="000000"/>
          <w:kern w:val="0"/>
          <w:sz w:val="24"/>
        </w:rPr>
        <w:t/>
      </w:r>
      <w:r>
        <w:rPr>
          <w:rFonts w:ascii="宋体" w:cs="Arial" w:hAnsi="宋体"/>
          <w:b/>
          <w:color w:val="000000"/>
          <w:kern w:val="0"/>
          <w:sz w:val="24"/>
        </w:rPr>
        <w:t/>
      </w:r>
      <w:r w:rsidRPr="00EC5CE0">
        <w:rPr>
          <w:rFonts w:ascii="宋体" w:cs="Arial"/>
          <w:b/>
          <w:color w:val="000000"/>
          <w:kern w:val="0"/>
          <w:sz w:val="24"/>
        </w:rPr>
        <w:t>8</w:t>
      </w:r>
      <w:r w:rsidRPr="00EC5CE0">
        <w:rPr>
          <w:rFonts w:ascii="宋体" w:hAnsi="宋体" w:hint="eastAsia"/>
          <w:b/>
          <w:bCs/>
          <w:color w:val="000000"/>
          <w:sz w:val="24"/>
        </w:rPr>
        <w:t>报告期末按公允价值占基金资产净值比例大小排</w:t>
      </w:r>
      <w:r>
        <w:rPr>
          <w:rFonts w:ascii="宋体" w:hAnsi="宋体" w:hint="eastAsia"/>
          <w:b/>
          <w:bCs/>
          <w:color w:val="000000"/>
          <w:sz w:val="24"/>
        </w:rPr>
        <w:t>序</w:t>
      </w:r>
      <w:r w:rsidRPr="00EC5CE0">
        <w:rPr>
          <w:rFonts w:ascii="宋体" w:hAnsi="宋体" w:hint="eastAsia"/>
          <w:b/>
          <w:bCs/>
          <w:color w:val="000000"/>
          <w:sz w:val="24"/>
        </w:rPr>
        <w:t>的前五名权证投资明细</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r w:rsidRPr="00DC315B">
        <w:rPr>
          <w:color w:val="000000"/>
          <w:sz w:val="24"/>
        </w:rPr>
        <w:t/>
      </w:r>
      <w:r w:rsidRPr="00DC315B">
        <w:rPr>
          <w:color w:val="000000"/>
          <w:sz w:val="24"/>
        </w:rPr>
        <w:lastRenderedPageBreak/>
        <w:t/>
      </w:r>
      <w:proofErr w:type="spellEnd"/>
      <w:r w:rsidRPr="00DC315B">
        <w:rPr>
          <w:color w:val="000000"/>
          <w:sz w:val="24"/>
        </w:rPr>
        <w:t>本基金本报告期末未持有权证。</w:t>
      </w:r>
    </w:p>
    <w:p w:rsidP="00045BEC" w:rsidR="00A62673" w:rsidRDefault="00A62673" w:rsidRPr="00EC5CE0">
      <w:pPr>
        <w:adjustRightInd w:val="0"/>
        <w:snapToGrid w:val="0"/>
        <w:spacing w:line="360" w:lineRule="auto"/>
        <w:rPr>
          <w:rFonts w:ascii="宋体"/>
          <w:b/>
          <w:sz w:val="24"/>
        </w:rPr>
      </w:pPr>
      <w:r w:rsidRPr="00EC5CE0">
        <w:rPr>
          <w:rFonts w:ascii="宋体"/>
          <w:b/>
          <w:sz w:val="24"/>
        </w:rPr>
        <w:t/>
      </w:r>
      <w:proofErr w:type="spellStart"/>
      <w:r w:rsidRPr="00EC5CE0">
        <w:rPr>
          <w:rFonts w:ascii="宋体" w:hAnsi="宋体"/>
          <w:b/>
          <w:sz w:val="24"/>
        </w:rPr>
        <w:t/>
      </w:r>
      <w:proofErr w:type="spellEnd"/>
      <w:r w:rsidRPr="00EC5CE0">
        <w:rPr>
          <w:rFonts w:ascii="宋体" w:hAnsi="宋体"/>
          <w:b/>
          <w:sz w:val="24"/>
        </w:rPr>
        <w:t xml:space="preserve">5.9 </w:t>
      </w:r>
      <w:r w:rsidRPr="00EC5CE0">
        <w:rPr>
          <w:rFonts w:ascii="宋体" w:hAnsi="宋体" w:hint="eastAsia"/>
          <w:b/>
          <w:sz w:val="24"/>
        </w:rPr>
        <w:t>报告期末本基金投资的股指期货交易情况说明</w:t>
      </w:r>
    </w:p>
    <w:p w:rsidP="00494580" w:rsidR="00494580" w:rsidRDefault="00494580">
      <w:pPr>
        <w:spacing w:line="360" w:lineRule="auto"/>
        <w:ind w:firstLine="480" w:firstLineChars="200"/>
        <w:rPr>
          <w:rFonts w:eastAsiaTheme="minorEastAsia"/>
          <w:color w:themeColor="text1" w:val="000000"/>
          <w:sz w:val="24"/>
        </w:rPr>
      </w:pPr>
      <w:r>
        <w:rPr>
          <w:color w:val="000000"/>
          <w:sz w:val="24"/>
        </w:rPr>
        <w:t/>
      </w:r>
      <w:proofErr w:type="spellStart"/>
      <w:r>
        <w:rPr>
          <w:color w:val="000000"/>
          <w:sz w:val="24"/>
        </w:rPr>
        <w:t/>
      </w:r>
      <w:proofErr w:type="spellEnd"/>
      <w:r>
        <w:rPr>
          <w:color w:val="000000"/>
          <w:sz w:val="24"/>
        </w:rPr>
        <w:t/>
      </w:r>
      <w:proofErr w:type="spellStart"/>
      <w:r>
        <w:rPr>
          <w:color w:val="000000"/>
          <w:sz w:val="24"/>
        </w:rPr>
        <w:t/>
      </w:r>
      <w:r>
        <w:rPr>
          <w:rFonts w:eastAsiaTheme="minorEastAsia"/>
          <w:color w:themeColor="text1" w:val="000000"/>
          <w:sz w:val="24"/>
        </w:rPr>
        <w:t/>
      </w:r>
      <w:proofErr w:type="spellEnd"/>
      <w:r>
        <w:rPr>
          <w:rFonts w:eastAsiaTheme="minorEastAsia"/>
          <w:color w:themeColor="text1" w:val="000000"/>
          <w:sz w:val="24"/>
        </w:rPr>
        <w:t>本基金本报告期末未投资股指期货。</w:t>
      </w:r>
    </w:p>
    <w:p w:rsidP="00045BEC" w:rsidR="00A62673" w:rsidRDefault="00A62673" w:rsidRPr="00EC5CE0">
      <w:pPr>
        <w:adjustRightInd w:val="0"/>
        <w:snapToGrid w:val="0"/>
        <w:spacing w:line="360" w:lineRule="auto"/>
        <w:rPr>
          <w:rFonts w:ascii="宋体"/>
          <w:b/>
          <w:sz w:val="24"/>
        </w:rPr>
      </w:pPr>
      <w:r w:rsidRPr="00EC5CE0">
        <w:rPr>
          <w:rFonts w:ascii="宋体"/>
          <w:b/>
          <w:sz w:val="24"/>
        </w:rPr>
        <w:t/>
      </w:r>
      <w:proofErr w:type="spellStart"/>
      <w:r w:rsidRPr="00EC5CE0">
        <w:rPr>
          <w:rFonts w:ascii="宋体" w:hAnsi="宋体"/>
          <w:b/>
          <w:sz w:val="24"/>
        </w:rPr>
        <w:t/>
      </w:r>
      <w:proofErr w:type="spellEnd"/>
      <w:r w:rsidRPr="00EC5CE0">
        <w:rPr>
          <w:rFonts w:ascii="宋体" w:hAnsi="宋体"/>
          <w:b/>
          <w:sz w:val="24"/>
        </w:rPr>
        <w:t>5.10</w:t>
      </w:r>
      <w:r w:rsidRPr="00EC5CE0">
        <w:rPr>
          <w:rFonts w:ascii="宋体" w:hAnsi="宋体" w:hint="eastAsia"/>
          <w:b/>
          <w:sz w:val="24"/>
        </w:rPr>
        <w:t>报告期末本基金投资的国债期货交易情况说明</w:t>
      </w:r>
    </w:p>
    <w:p w:rsidP="00C27466" w:rsidR="00C27466" w:rsidRDefault="00C27466">
      <w:pPr>
        <w:spacing w:line="360" w:lineRule="auto"/>
        <w:ind w:firstLine="480" w:firstLineChars="200"/>
      </w:pPr>
      <w:r>
        <w:rPr>
          <w:color w:val="000000"/>
          <w:sz w:val="24"/>
        </w:rPr>
        <w:t/>
      </w:r>
      <w:proofErr w:type="spellStart"/>
      <w:r>
        <w:rPr>
          <w:color w:val="000000"/>
          <w:sz w:val="24"/>
        </w:rPr>
        <w:t/>
      </w:r>
      <w:proofErr w:type="spellEnd"/>
      <w:r>
        <w:rPr>
          <w:color w:val="000000"/>
          <w:sz w:val="24"/>
        </w:rPr>
        <w:t/>
      </w:r>
      <w:proofErr w:type="spellStart"/>
      <w:r>
        <w:rPr>
          <w:color w:val="000000"/>
          <w:sz w:val="24"/>
        </w:rPr>
        <w:t/>
      </w:r>
      <w:proofErr w:type="spellEnd"/>
      <w:r>
        <w:rPr>
          <w:color w:val="000000"/>
          <w:sz w:val="24"/>
        </w:rPr>
        <w:t>本基金本报告期末未投资国债期货。</w:t>
      </w:r>
    </w:p>
    <w:p w:rsidP="00045BEC" w:rsidR="00A62673" w:rsidRDefault="00A62673" w:rsidRPr="00EC5CE0">
      <w:pPr>
        <w:autoSpaceDE w:val="0"/>
        <w:autoSpaceDN w:val="0"/>
        <w:adjustRightInd w:val="0"/>
        <w:spacing w:line="360" w:lineRule="auto"/>
        <w:jc w:val="left"/>
        <w:rPr>
          <w:rFonts w:ascii="宋体" w:cs="Arial"/>
          <w:b/>
          <w:color w:val="000000"/>
          <w:kern w:val="0"/>
          <w:sz w:val="24"/>
        </w:rPr>
      </w:pPr>
      <w:r w:rsidRPr="00EC5CE0">
        <w:rPr>
          <w:rFonts w:ascii="宋体" w:cs="Arial"/>
          <w:b/>
          <w:color w:val="000000"/>
          <w:kern w:val="0"/>
          <w:sz w:val="24"/>
        </w:rPr>
        <w:t/>
      </w:r>
      <w:r w:rsidRPr="00EC5CE0">
        <w:rPr>
          <w:rFonts w:ascii="宋体" w:cs="Arial" w:hAnsi="宋体"/>
          <w:b/>
          <w:color w:val="000000"/>
          <w:kern w:val="0"/>
          <w:sz w:val="24"/>
        </w:rPr>
        <w:t>5.11</w:t>
      </w:r>
      <w:r w:rsidRPr="00EC5CE0">
        <w:rPr>
          <w:rFonts w:ascii="宋体" w:cs="Arial" w:hAnsi="宋体" w:hint="eastAsia"/>
          <w:b/>
          <w:color w:val="000000"/>
          <w:kern w:val="0"/>
          <w:sz w:val="24"/>
        </w:rPr>
        <w:t>投资组合报告附注</w:t>
      </w:r>
    </w:p>
    <w:p w:rsidP="00045BEC" w:rsidR="00A62673" w:rsidRDefault="00DD51D8" w:rsidRPr="00C1648E">
      <w:pPr>
        <w:spacing w:line="360" w:lineRule="auto"/>
        <w:rPr>
          <w:color w:val="000000"/>
          <w:sz w:val="24"/>
        </w:rPr>
      </w:pPr>
      <w:r>
        <w:rPr>
          <w:rFonts w:hint="eastAsia"/>
          <w:color w:val="000000"/>
          <w:sz w:val="24"/>
        </w:rPr>
        <w:t/>
      </w:r>
      <w:proofErr w:type="spellStart"/>
      <w:r>
        <w:rPr>
          <w:rFonts w:hint="eastAsia"/>
          <w:color w:val="000000"/>
          <w:sz w:val="24"/>
        </w:rPr>
        <w:t/>
      </w:r>
      <w:proofErr w:type="spellEnd"/>
      <w:r>
        <w:rPr>
          <w:rFonts w:hint="eastAsia"/>
          <w:color w:val="000000"/>
          <w:sz w:val="24"/>
        </w:rPr>
        <w:t/>
      </w:r>
      <w:r w:rsidR="00A62673" w:rsidRPr="00EC5CE0">
        <w:rPr>
          <w:rFonts w:ascii="宋体"/>
          <w:color w:val="000000"/>
          <w:sz w:val="24"/>
        </w:rPr>
        <w:t/>
      </w:r>
      <w:proofErr w:type="gramStart"/>
      <w:r w:rsidR="00A62673" w:rsidRPr="00EC5CE0">
        <w:rPr>
          <w:rFonts w:ascii="宋体" w:hAnsi="宋体"/>
          <w:color w:val="000000"/>
          <w:sz w:val="24"/>
        </w:rPr>
        <w:t/>
      </w:r>
      <w:proofErr w:type="gramEnd"/>
      <w:r w:rsidR="00A62673" w:rsidRPr="00EC5CE0">
        <w:rPr>
          <w:rFonts w:ascii="宋体" w:hAnsi="宋体"/>
          <w:color w:val="000000"/>
          <w:sz w:val="24"/>
        </w:rPr>
        <w:t>5.11.1</w:t>
      </w:r>
      <w:r w:rsidR="00A4276F">
        <w:rPr>
          <w:rFonts w:ascii="宋体" w:hAnsi="宋体" w:hint="eastAsia"/>
          <w:color w:val="000000"/>
          <w:sz w:val="24"/>
        </w:rPr>
        <w:t xml:space="preserve"> </w:t>
      </w:r>
      <w:r w:rsidR="00A62673" w:rsidRPr="00C1648E">
        <w:rPr>
          <w:color w:val="000000"/>
          <w:sz w:val="24"/>
        </w:rPr>
        <w:t>2020年7月28日，中国银行保险监督管理委员会上海监管局针对招商银行股份有限公司信用卡中心的如下违法违规行为作出责令改正、并处罚款100万元的行政处罚决定：1、2019年7月，该中心对某客户个人信息未尽安全保护义务；2、2014年12月至2019年5月，该中心对某信用卡申请人资信水平调查严重不审慎。</w:t>
      </w:r>
    </w:p>
    <w:p>
      <w:pPr>
        <w:spacing w:line="360" w:lineRule="auto"/>
        <w:rPr>
          <w:color w:val="000000"/>
          <w:sz w:val="24"/>
        </w:rPr>
      </w:pPr>
      <w:r>
        <w:rPr>
          <w:color w:val="000000"/>
          <w:sz w:val="24"/>
        </w:rPr>
        <w:t>2019年11月4日，国家税务总局北京市海淀区税务局对中国建筑股份有限公司未依法履行职责的行为进行罚款。2019年12月10日，昆明市水务局对中国建筑股份有限公司“未按照防洪审批方案施工影响姚安河行洪”的行为罚款4万元。2020年3月19日，西安市人力资源和社会保障局依据《西安市农民工工资保障办法》第二十三条第一项，对中国建筑股份有限公司 “未按本办法规定预存农民工工资支付保证金”的行为罚款1万元。2020年5月7日，江西省交通建设工程质量监督管理局对中国建筑股份有限公司 “中国建筑股份有限公司井冈山航电枢纽工程项目A1合同段从事电焊作业的陈子高未按照国家有关规定经专门的安全作业培训取得相应特种作业资格”的行为罚款2万元。2020年7月31日，中国建筑股份有限公司因违反《中华人民共和国建筑法》第四十四条第一款；《北京市建设工程施工现场管理办法》第十三条第一款，门头沟区住建委因对其处简易处罚，处1000元罚款。</w:t>
      </w:r>
    </w:p>
    <w:p>
      <w:pPr>
        <w:spacing w:line="360" w:lineRule="auto"/>
        <w:rPr>
          <w:color w:val="000000"/>
          <w:sz w:val="24"/>
        </w:rPr>
      </w:pPr>
      <w:r>
        <w:rPr>
          <w:color w:val="000000"/>
          <w:sz w:val="24"/>
        </w:rPr>
        <w:t>本基金投资招商银行、中国建筑的投资决策程序符合公司投资制度的规定。</w:t>
      </w:r>
    </w:p>
    <w:p>
      <w:pPr>
        <w:spacing w:line="360" w:lineRule="auto"/>
        <w:rPr>
          <w:color w:val="000000"/>
          <w:sz w:val="24"/>
        </w:rPr>
      </w:pPr>
      <w:r>
        <w:rPr>
          <w:color w:val="000000"/>
          <w:sz w:val="24"/>
        </w:rPr>
        <w:t>除招商银行、中国建筑外，本基金投资的前十名证券的发行主体本期没有出现被监管部门立案调查，或在报告编制日前一年内受到公开谴责、处罚的情形。</w:t>
      </w:r>
    </w:p>
    <w:p w:rsidP="00045BEC" w:rsidR="00A62673" w:rsidRDefault="00DD51D8" w:rsidRPr="00C1648E">
      <w:pPr>
        <w:spacing w:line="360" w:lineRule="auto"/>
        <w:rPr>
          <w:color w:val="000000"/>
          <w:sz w:val="24"/>
        </w:rPr>
      </w:pPr>
      <w:r>
        <w:rPr>
          <w:rFonts w:hint="eastAsia"/>
          <w:color w:val="000000"/>
          <w:sz w:val="24"/>
        </w:rPr>
        <w:t/>
      </w:r>
      <w:r w:rsidR="00A62673" w:rsidRPr="00EC5CE0">
        <w:rPr>
          <w:rFonts w:ascii="宋体" w:hAnsi="宋体"/>
          <w:color w:val="000000"/>
          <w:sz w:val="24"/>
        </w:rPr>
        <w:t>5.11.2</w:t>
      </w:r>
      <w:r w:rsidR="00A4276F">
        <w:rPr>
          <w:rFonts w:ascii="宋体" w:hAnsi="宋体" w:hint="eastAsia"/>
          <w:color w:val="000000"/>
          <w:sz w:val="24"/>
        </w:rPr>
        <w:t xml:space="preserve"> </w:t>
      </w:r>
      <w:r w:rsidR="00A62673" w:rsidRPr="00C1648E">
        <w:rPr>
          <w:color w:val="000000"/>
          <w:sz w:val="24"/>
        </w:rPr>
        <w:t>本基金投资的前十名股票没有超出基金合同规定的备选股票库。</w:t>
      </w:r>
    </w:p>
    <w:p w:rsidP="00045BEC" w:rsidR="00A62673" w:rsidRDefault="00A62673" w:rsidRPr="00977154">
      <w:pPr>
        <w:autoSpaceDE w:val="0"/>
        <w:autoSpaceDN w:val="0"/>
        <w:adjustRightInd w:val="0"/>
        <w:spacing w:line="360" w:lineRule="auto"/>
        <w:jc w:val="left"/>
        <w:rPr>
          <w:rFonts w:ascii="宋体" w:cs="Arial"/>
          <w:color w:val="000000"/>
          <w:kern w:val="0"/>
          <w:sz w:val="24"/>
        </w:rPr>
      </w:pPr>
      <w:r w:rsidRPr="00977154">
        <w:rPr>
          <w:rFonts w:ascii="宋体"/>
          <w:color w:val="000000"/>
          <w:kern w:val="0"/>
          <w:sz w:val="24"/>
        </w:rPr>
        <w:t/>
      </w:r>
      <w:r w:rsidRPr="00977154">
        <w:rPr>
          <w:rFonts w:ascii="宋体" w:hAnsi="宋体"/>
          <w:color w:val="000000"/>
          <w:kern w:val="0"/>
          <w:sz w:val="24"/>
        </w:rPr>
        <w:t>5.11.3</w:t>
      </w:r>
      <w:r w:rsidR="00F26236">
        <w:rPr>
          <w:rFonts w:ascii="宋体" w:cs="Arial" w:hAnsi="宋体" w:hint="eastAsia"/>
          <w:color w:val="000000"/>
          <w:kern w:val="0"/>
          <w:sz w:val="24"/>
        </w:rPr>
        <w:t>其他</w:t>
      </w:r>
      <w:r w:rsidRPr="00977154">
        <w:rPr>
          <w:rFonts w:ascii="宋体" w:cs="Arial" w:hAnsi="宋体" w:hint="eastAsia"/>
          <w:color w:val="000000"/>
          <w:kern w:val="0"/>
          <w:sz w:val="24"/>
        </w:rPr>
        <w:t>资产构成</w:t>
      </w:r>
    </w:p>
    <w:tbl>
      <w:tblPr>
        <w:tblW w:type="auto" w:w="0"/>
        <w:tblInd w:type="dxa" w:w="1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944"/>
        <w:gridCol w:w="2761"/>
        <w:gridCol w:w="4808"/>
      </w:tblGrid>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7"/>
              <w:jc w:val="center"/>
              <w:rPr>
                <w:color w:val="000000"/>
                <w:kern w:val="0"/>
                <w:sz w:val="24"/>
              </w:rPr>
            </w:pPr>
            <w:r w:rsidRPr="00C1648E">
              <w:rPr>
                <w:color w:val="000000"/>
                <w:kern w:val="0"/>
                <w:sz w:val="24"/>
              </w:rPr>
              <w:t>序号</w:t>
            </w:r>
          </w:p>
        </w:tc>
        <w:tc>
          <w:tcPr>
            <w:tcW w:type="dxa" w:w="2761"/>
            <w:vAlign w:val="center"/>
          </w:tcPr>
          <w:p w:rsidP="006B315F" w:rsidR="00A62673" w:rsidRDefault="00A62673" w:rsidRPr="00C1648E">
            <w:pPr>
              <w:autoSpaceDE w:val="0"/>
              <w:autoSpaceDN w:val="0"/>
              <w:adjustRightInd w:val="0"/>
              <w:spacing w:before="29" w:line="360" w:lineRule="auto"/>
              <w:ind w:left="17"/>
              <w:jc w:val="center"/>
              <w:rPr>
                <w:color w:val="000000"/>
                <w:kern w:val="0"/>
                <w:sz w:val="24"/>
              </w:rPr>
            </w:pPr>
            <w:r w:rsidRPr="00C1648E">
              <w:rPr>
                <w:color w:val="000000"/>
                <w:kern w:val="0"/>
                <w:sz w:val="24"/>
              </w:rPr>
              <w:t>名称</w:t>
            </w:r>
          </w:p>
        </w:tc>
        <w:tc>
          <w:tcPr>
            <w:tcW w:type="dxa" w:w="4808"/>
            <w:vAlign w:val="center"/>
          </w:tcPr>
          <w:p w:rsidP="006B315F" w:rsidR="00A62673" w:rsidRDefault="00A62673" w:rsidRPr="00C1648E">
            <w:pPr>
              <w:autoSpaceDE w:val="0"/>
              <w:autoSpaceDN w:val="0"/>
              <w:adjustRightInd w:val="0"/>
              <w:spacing w:before="29" w:line="360" w:lineRule="auto"/>
              <w:ind w:left="17"/>
              <w:jc w:val="center"/>
              <w:rPr>
                <w:color w:val="000000"/>
                <w:kern w:val="0"/>
                <w:sz w:val="24"/>
              </w:rPr>
            </w:pPr>
            <w:r w:rsidRPr="00C1648E">
              <w:rPr>
                <w:color w:val="000000"/>
                <w:kern w:val="0"/>
                <w:sz w:val="24"/>
              </w:rPr>
              <w:t>金额</w:t>
            </w:r>
            <w:r w:rsidR="005A2769" w:rsidRPr="00C1648E">
              <w:rPr>
                <w:color w:val="000000"/>
                <w:kern w:val="0"/>
                <w:sz w:val="24"/>
              </w:rPr>
              <w:t>（元）</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kern w:val="0"/>
                <w:sz w:val="24"/>
              </w:rPr>
            </w:pPr>
            <w:r w:rsidRPr="00C1648E">
              <w:rPr>
                <w:color w:val="000000"/>
                <w:sz w:val="24"/>
              </w:rPr>
              <w:t>1</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存出保证金</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1,227,076.04</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2</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应收证券清算款</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16,138,704.48</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3</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应收股利</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4</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应收利息</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283,840.82</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5</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应收申购款</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50,259,055.53</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6</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其他应收款</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w:t>
            </w:r>
          </w:p>
        </w:tc>
      </w:tr>
      <w:tr w:rsidR="00A62673" w:rsidRPr="00EC5CE0" w:rsidTr="006B315F">
        <w:tc>
          <w:tcPr>
            <w:tcW w:type="dxa" w:w="944"/>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7</w:t>
            </w:r>
          </w:p>
        </w:tc>
        <w:tc>
          <w:tcPr>
            <w:tcW w:type="dxa" w:w="2761"/>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待摊费用</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sz w:val="24"/>
              </w:rPr>
            </w:pPr>
            <w:r w:rsidRPr="00C1648E">
              <w:rPr>
                <w:color w:val="000000"/>
                <w:sz w:val="24"/>
              </w:rPr>
              <w:t/>
            </w:r>
            <w:proofErr w:type="spellStart"/>
            <w:r w:rsidRPr="00C1648E">
              <w:rPr>
                <w:color w:val="000000"/>
                <w:sz w:val="24"/>
              </w:rPr>
              <w:t/>
            </w:r>
            <w:proofErr w:type="spellEnd"/>
            <w:r w:rsidRPr="00C1648E">
              <w:rPr>
                <w:color w:val="000000"/>
                <w:sz w:val="24"/>
              </w:rPr>
              <w:t>-</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8</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其他</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w:t>
            </w:r>
          </w:p>
        </w:tc>
      </w:tr>
      <w:tr w:rsidR="00A62673" w:rsidRPr="00EC5CE0" w:rsidTr="006B315F">
        <w:tc>
          <w:tcPr>
            <w:tcW w:type="dxa" w:w="944"/>
            <w:vAlign w:val="center"/>
          </w:tcPr>
          <w:p w:rsidP="006B315F" w:rsidR="00A62673" w:rsidRDefault="00A62673" w:rsidRPr="00C1648E">
            <w:pPr>
              <w:autoSpaceDE w:val="0"/>
              <w:autoSpaceDN w:val="0"/>
              <w:adjustRightInd w:val="0"/>
              <w:spacing w:before="29" w:line="360" w:lineRule="auto"/>
              <w:ind w:left="15"/>
              <w:jc w:val="center"/>
              <w:rPr>
                <w:color w:val="000000"/>
                <w:sz w:val="24"/>
              </w:rPr>
            </w:pPr>
            <w:r w:rsidRPr="00C1648E">
              <w:rPr>
                <w:color w:val="000000"/>
                <w:sz w:val="24"/>
              </w:rPr>
              <w:t>9</w:t>
            </w:r>
          </w:p>
        </w:tc>
        <w:tc>
          <w:tcPr>
            <w:tcW w:type="dxa" w:w="2761"/>
            <w:vAlign w:val="center"/>
          </w:tcPr>
          <w:p w:rsidP="006B315F" w:rsidR="00A62673" w:rsidRDefault="00A62673" w:rsidRPr="00C1648E">
            <w:pPr>
              <w:autoSpaceDE w:val="0"/>
              <w:autoSpaceDN w:val="0"/>
              <w:adjustRightInd w:val="0"/>
              <w:spacing w:before="29" w:line="360" w:lineRule="auto"/>
              <w:ind w:left="15"/>
              <w:jc w:val="left"/>
              <w:rPr>
                <w:color w:val="000000"/>
                <w:kern w:val="0"/>
                <w:sz w:val="24"/>
              </w:rPr>
            </w:pPr>
            <w:r w:rsidRPr="00C1648E">
              <w:rPr>
                <w:color w:val="000000"/>
                <w:kern w:val="0"/>
                <w:sz w:val="24"/>
              </w:rPr>
              <w:t>合计</w:t>
            </w:r>
          </w:p>
        </w:tc>
        <w:tc>
          <w:tcPr>
            <w:tcW w:type="dxa" w:w="4808"/>
            <w:vAlign w:val="center"/>
          </w:tcPr>
          <w:p w:rsidP="006B315F" w:rsidR="00A62673" w:rsidRDefault="00A62673" w:rsidRPr="00C1648E">
            <w:pPr>
              <w:autoSpaceDE w:val="0"/>
              <w:autoSpaceDN w:val="0"/>
              <w:adjustRightInd w:val="0"/>
              <w:spacing w:before="29" w:line="360" w:lineRule="auto"/>
              <w:ind w:left="15"/>
              <w:jc w:val="right"/>
              <w:rPr>
                <w:color w:val="000000"/>
                <w:kern w:val="0"/>
                <w:sz w:val="24"/>
              </w:rPr>
            </w:pPr>
            <w:r w:rsidRPr="00C1648E">
              <w:rPr>
                <w:color w:val="000000"/>
                <w:kern w:val="0"/>
                <w:sz w:val="24"/>
              </w:rPr>
              <w:t/>
            </w:r>
            <w:proofErr w:type="spellStart"/>
            <w:r w:rsidRPr="00C1648E">
              <w:rPr>
                <w:color w:val="000000"/>
                <w:kern w:val="0"/>
                <w:sz w:val="24"/>
              </w:rPr>
              <w:t/>
            </w:r>
            <w:proofErr w:type="spellEnd"/>
            <w:r w:rsidRPr="00C1648E">
              <w:rPr>
                <w:color w:val="000000"/>
                <w:kern w:val="0"/>
                <w:sz w:val="24"/>
              </w:rPr>
              <w:t>67,908,676.87</w:t>
            </w:r>
          </w:p>
        </w:tc>
      </w:tr>
    </w:tbl>
    <w:p w:rsidP="00045BEC" w:rsidR="00A62673" w:rsidRDefault="00A62673" w:rsidRPr="00977154">
      <w:pPr>
        <w:autoSpaceDE w:val="0"/>
        <w:autoSpaceDN w:val="0"/>
        <w:adjustRightInd w:val="0"/>
        <w:spacing w:line="360" w:lineRule="auto"/>
        <w:jc w:val="left"/>
        <w:rPr>
          <w:rFonts w:ascii="宋体" w:cs="Arial"/>
          <w:color w:val="000000"/>
          <w:kern w:val="0"/>
          <w:sz w:val="24"/>
        </w:rPr>
      </w:pPr>
      <w:r w:rsidRPr="00977154">
        <w:rPr>
          <w:rFonts w:ascii="宋体"/>
          <w:color w:val="000000"/>
          <w:kern w:val="0"/>
          <w:sz w:val="24"/>
        </w:rPr>
        <w:t/>
      </w:r>
      <w:r w:rsidRPr="00977154">
        <w:rPr>
          <w:rFonts w:ascii="宋体" w:hAnsi="宋体"/>
          <w:color w:val="000000"/>
          <w:kern w:val="0"/>
          <w:sz w:val="24"/>
        </w:rPr>
        <w:t>5.11.4</w:t>
      </w:r>
      <w:r w:rsidRPr="00977154">
        <w:rPr>
          <w:rFonts w:ascii="宋体" w:cs="Arial" w:hAnsi="宋体" w:hint="eastAsia"/>
          <w:color w:val="000000"/>
          <w:kern w:val="0"/>
          <w:sz w:val="24"/>
        </w:rPr>
        <w:t>报告期末持有的处于转股期的可转换债券明细</w:t>
      </w:r>
    </w:p>
    <w:p w:rsidP="00DC315B" w:rsidR="00A62673" w:rsidRDefault="00A62673" w:rsidRPr="00DC315B">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r w:rsidRPr="00DC315B">
        <w:rPr>
          <w:color w:val="000000"/>
          <w:sz w:val="24"/>
        </w:rPr>
        <w:t/>
      </w:r>
      <w:proofErr w:type="spellEnd"/>
      <w:r w:rsidRPr="00DC315B">
        <w:rPr>
          <w:color w:val="000000"/>
          <w:sz w:val="24"/>
        </w:rPr>
        <w:t>本基金本报告期末未持有处于转股期的可转换债券。</w:t>
      </w:r>
    </w:p>
    <w:p w:rsidP="00774C7D" w:rsidR="00774C7D" w:rsidRDefault="00774C7D" w:rsidRPr="00977154">
      <w:pPr>
        <w:spacing w:line="360" w:lineRule="auto"/>
        <w:rPr>
          <w:rFonts w:ascii="宋体" w:cs="Arial"/>
          <w:color w:val="000000"/>
          <w:kern w:val="0"/>
          <w:sz w:val="24"/>
        </w:rPr>
      </w:pPr>
      <w:r w:rsidRPr="00977154">
        <w:rPr>
          <w:rFonts w:ascii="宋体"/>
          <w:color w:val="000000"/>
          <w:kern w:val="0"/>
          <w:sz w:val="24"/>
        </w:rPr>
        <w:t/>
      </w:r>
      <w:r w:rsidRPr="00977154">
        <w:rPr>
          <w:rFonts w:ascii="宋体" w:hAnsi="宋体"/>
          <w:color w:val="000000"/>
          <w:kern w:val="0"/>
          <w:sz w:val="24"/>
        </w:rPr>
        <w:t>5.11.5</w:t>
      </w:r>
      <w:r w:rsidRPr="00977154">
        <w:rPr>
          <w:rFonts w:ascii="宋体" w:hAnsi="宋体" w:hint="eastAsia"/>
          <w:sz w:val="24"/>
        </w:rPr>
        <w:t>报告期末前十名股票中存在流通受限情况的说明</w:t>
      </w:r>
    </w:p>
    <w:p w:rsidP="00774C7D" w:rsidR="00774C7D" w:rsidRDefault="00774C7D" w:rsidRPr="00977154">
      <w:pPr>
        <w:spacing w:line="360" w:lineRule="auto"/>
        <w:rPr>
          <w:rFonts w:ascii="宋体" w:cs="Arial"/>
          <w:color w:val="000000"/>
          <w:kern w:val="0"/>
          <w:sz w:val="24"/>
        </w:rPr>
      </w:pPr>
      <w:r w:rsidRPr="00977154">
        <w:rPr>
          <w:rFonts w:ascii="宋体"/>
          <w:color w:val="000000"/>
          <w:kern w:val="0"/>
          <w:sz w:val="24"/>
        </w:rPr>
        <w:t/>
      </w:r>
      <w:r w:rsidRPr="00977154">
        <w:rPr>
          <w:rFonts w:ascii="宋体" w:hAnsi="宋体"/>
          <w:color w:val="000000"/>
          <w:kern w:val="0"/>
          <w:sz w:val="24"/>
        </w:rPr>
        <w:t>5.11.5</w:t>
      </w:r>
      <w:r w:rsidRPr="00977154">
        <w:rPr>
          <w:rFonts w:ascii="宋体" w:cs="Arial"/>
          <w:color w:val="000000"/>
          <w:kern w:val="0"/>
          <w:sz w:val="24"/>
        </w:rPr>
        <w:t>.</w:t>
      </w:r>
      <w:r w:rsidRPr="00977154">
        <w:rPr>
          <w:rFonts w:ascii="宋体" w:cs="Arial" w:hAnsi="宋体"/>
          <w:color w:val="000000"/>
          <w:kern w:val="0"/>
          <w:sz w:val="24"/>
        </w:rPr>
        <w:t>1</w:t>
      </w:r>
      <w:r w:rsidRPr="00977154">
        <w:rPr>
          <w:rFonts w:ascii="宋体" w:hAnsi="宋体" w:hint="eastAsia"/>
          <w:sz w:val="24"/>
        </w:rPr>
        <w:t>期末指数投资前十名股票中存在流通受限情况的说明</w:t>
      </w:r>
    </w:p>
    <w:p w:rsidP="00774C7D" w:rsidR="00774C7D" w:rsidRDefault="00774C7D" w:rsidRPr="00DC315B">
      <w:pPr>
        <w:spacing w:line="360" w:lineRule="auto"/>
        <w:ind w:firstLine="480" w:firstLineChars="200"/>
        <w:rPr>
          <w:color w:val="000000"/>
          <w:sz w:val="24"/>
        </w:rPr>
      </w:pPr>
      <w:r w:rsidRPr="00DC315B">
        <w:rPr>
          <w:color w:val="000000"/>
          <w:sz w:val="24"/>
        </w:rPr>
        <w:lastRenderedPageBreak/>
        <w:t>本基金本报告期末指数投资前十名股票中不存在流通受限情况。</w:t>
      </w:r>
    </w:p>
    <w:p w:rsidP="00774C7D" w:rsidR="00774C7D" w:rsidRDefault="00774C7D" w:rsidRPr="00977154">
      <w:pPr>
        <w:spacing w:line="360" w:lineRule="auto"/>
        <w:rPr>
          <w:rFonts w:ascii="宋体" w:cs="STSong-Light"/>
          <w:sz w:val="24"/>
        </w:rPr>
      </w:pPr>
      <w:r w:rsidRPr="00977154">
        <w:rPr>
          <w:rFonts w:ascii="宋体"/>
          <w:color w:val="000000"/>
          <w:kern w:val="0"/>
          <w:sz w:val="24"/>
        </w:rPr>
        <w:t/>
      </w:r>
      <w:r w:rsidRPr="00977154">
        <w:rPr>
          <w:rFonts w:ascii="宋体" w:hAnsi="宋体"/>
          <w:color w:val="000000"/>
          <w:kern w:val="0"/>
          <w:sz w:val="24"/>
        </w:rPr>
        <w:t>5.11.5</w:t>
      </w:r>
      <w:r w:rsidRPr="00977154">
        <w:rPr>
          <w:rFonts w:ascii="宋体" w:cs="Arial"/>
          <w:color w:val="000000"/>
          <w:kern w:val="0"/>
          <w:sz w:val="24"/>
        </w:rPr>
        <w:t>.</w:t>
      </w:r>
      <w:r w:rsidRPr="00977154">
        <w:rPr>
          <w:rFonts w:ascii="宋体" w:cs="Arial" w:hAnsi="宋体"/>
          <w:color w:val="000000"/>
          <w:kern w:val="0"/>
          <w:sz w:val="24"/>
        </w:rPr>
        <w:t>2</w:t>
      </w:r>
      <w:r w:rsidRPr="00977154">
        <w:rPr>
          <w:rFonts w:ascii="宋体" w:hAnsi="宋体" w:hint="eastAsia"/>
          <w:sz w:val="24"/>
        </w:rPr>
        <w:t>期末积极投资前五名股票中存在流通受限情况的说明</w:t>
      </w:r>
    </w:p>
    <w:p w:rsidP="00C1648E" w:rsidR="00A62673" w:rsidRDefault="00774C7D"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
      </w:r>
      <w:proofErr w:type="spellStart"/>
      <w:r w:rsidRPr="00DC315B">
        <w:rPr>
          <w:color w:val="000000"/>
          <w:sz w:val="24"/>
        </w:rPr>
        <w:t/>
      </w:r>
      <w:proofErr w:type="spellEnd"/>
      <w:r w:rsidRPr="00DC315B">
        <w:rPr>
          <w:color w:val="000000"/>
          <w:sz w:val="24"/>
        </w:rPr>
        <w:t>本基金本报告期末积极投资前五名股票中不存在流通受限情况。</w:t>
      </w:r>
    </w:p>
    <w:p w:rsidP="00F729DC" w:rsidR="00A62673" w:rsidRDefault="00A62673" w:rsidRPr="00EC5CE0">
      <w:pPr>
        <w:pStyle w:val="1"/>
        <w:spacing w:after="312" w:afterLines="100" w:before="312" w:beforeLines="100" w:line="360" w:lineRule="auto"/>
        <w:jc w:val="center"/>
        <w:rPr>
          <w:rFonts w:ascii="宋体" w:cs="Arial"/>
          <w:color w:val="000000"/>
          <w:kern w:val="0"/>
          <w:sz w:val="24"/>
          <w:szCs w:val="24"/>
        </w:rPr>
      </w:pPr>
      <w:r w:rsidRPr="00EC5CE0">
        <w:rPr>
          <w:rFonts w:ascii="宋体" w:cs="Arial" w:hAnsi="宋体" w:hint="eastAsia"/>
          <w:color w:val="000000"/>
          <w:kern w:val="0"/>
          <w:sz w:val="24"/>
          <w:szCs w:val="24"/>
        </w:rPr>
        <w:t>§</w:t>
      </w:r>
      <w:r w:rsidRPr="00EC5CE0">
        <w:rPr>
          <w:rFonts w:ascii="宋体" w:cs="Arial" w:hAnsi="宋体"/>
          <w:color w:val="000000"/>
          <w:kern w:val="0"/>
          <w:sz w:val="24"/>
          <w:szCs w:val="24"/>
        </w:rPr>
        <w:t xml:space="preserve">6  </w:t>
      </w:r>
      <w:r w:rsidRPr="00EC5CE0">
        <w:rPr>
          <w:rFonts w:ascii="宋体" w:cs="Arial" w:hAnsi="宋体" w:hint="eastAsia"/>
          <w:color w:val="000000"/>
          <w:kern w:val="0"/>
          <w:sz w:val="24"/>
          <w:szCs w:val="24"/>
        </w:rPr>
        <w:t>开放式基金份额变动</w:t>
      </w:r>
    </w:p>
    <w:p w:rsidP="004976EE" w:rsidR="004976EE" w:rsidRDefault="004976EE" w:rsidRPr="00FA472B">
      <w:pPr>
        <w:autoSpaceDE w:val="0"/>
        <w:autoSpaceDN w:val="0"/>
        <w:adjustRightInd w:val="0"/>
        <w:spacing w:before="29" w:line="288" w:lineRule="auto"/>
        <w:ind w:left="15" w:right="480"/>
        <w:jc w:val="right"/>
        <w:rPr>
          <w:rFonts w:ascii="宋体" w:cs="Arial" w:hAnsi="宋体"/>
          <w:color w:val="000000"/>
          <w:kern w:val="0"/>
          <w:sz w:val="24"/>
        </w:rPr>
      </w:pPr>
      <w:r w:rsidRPr="00FA472B">
        <w:rPr>
          <w:rFonts w:ascii="宋体" w:cs="Arial" w:hAnsi="宋体" w:hint="eastAsia"/>
          <w:color w:val="000000"/>
          <w:kern w:val="0"/>
          <w:sz w:val="24"/>
        </w:rPr>
        <w:t>单位：份</w:t>
      </w:r>
    </w:p>
    <w:tbl>
      <w:tblPr>
        <w:tblW w:type="auto" w:w="0"/>
        <w:tblInd w:type="dxa" w:w="-106"/>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3900"/>
        <w:gridCol w:w="2367"/>
        <w:gridCol w:w="2367"/>
      </w:tblGrid>
      <w:tr w:rsidR="004976EE" w:rsidRPr="0078105B" w:rsidTr="006D2AB1">
        <w:tc>
          <w:tcPr>
            <w:tcW w:type="dxa" w:w="3900"/>
            <w:vAlign w:val="center"/>
          </w:tcPr>
          <w:p w:rsidP="004971F0" w:rsidR="004976EE" w:rsidRDefault="004976EE" w:rsidRPr="00FA472B">
            <w:pPr>
              <w:autoSpaceDE w:val="0"/>
              <w:autoSpaceDN w:val="0"/>
              <w:adjustRightInd w:val="0"/>
              <w:spacing w:before="29" w:line="360" w:lineRule="auto"/>
              <w:ind w:left="17"/>
              <w:jc w:val="center"/>
              <w:rPr>
                <w:color w:val="000000"/>
                <w:kern w:val="0"/>
                <w:sz w:val="24"/>
              </w:rPr>
            </w:pPr>
            <w:r w:rsidRPr="00FA472B">
              <w:rPr>
                <w:color w:val="000000"/>
                <w:kern w:val="0"/>
                <w:sz w:val="24"/>
              </w:rPr>
              <w:t>项目</w:t>
            </w:r>
            <w:r w:rsidRPr="00FA472B">
              <w:rPr>
                <w:color w:val="000000"/>
                <w:kern w:val="0"/>
              </w:rPr>
              <w:t/>
            </w:r>
            <w:proofErr w:type="spellStart"/>
            <w:r w:rsidRPr="00FA472B">
              <w:rPr>
                <w:color w:val="000000"/>
                <w:kern w:val="0"/>
              </w:rPr>
              <w:t/>
            </w:r>
            <w:proofErr w:type="spellEnd"/>
            <w:r w:rsidRPr="00FA472B">
              <w:rPr>
                <w:color w:val="000000"/>
                <w:kern w:val="0"/>
              </w:rPr>
              <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kern w:val="0"/>
                <w:sz w:val="24"/>
              </w:rPr>
              <w:t/>
            </w:r>
            <w:proofErr w:type="spellStart"/>
            <w:r w:rsidRPr="00FA472B">
              <w:rPr>
                <w:sz w:val="24"/>
              </w:rPr>
              <w:t/>
            </w:r>
            <w:proofErr w:type="spellEnd"/>
            <w:r w:rsidRPr="00FA472B">
              <w:rPr>
                <w:sz w:val="24"/>
              </w:rPr>
              <w:t>易方达上证50指数A</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kern w:val="0"/>
                <w:sz w:val="24"/>
              </w:rPr>
              <w:t/>
            </w:r>
            <w:r w:rsidRPr="00FA472B">
              <w:rPr>
                <w:sz w:val="24"/>
              </w:rPr>
              <w:t>易方达上证50指数C</w:t>
            </w:r>
          </w:p>
        </w:tc>
      </w:tr>
      <w:tr w:rsidR="004976EE" w:rsidRPr="0078105B" w:rsidTr="006D2AB1">
        <w:tc>
          <w:tcPr>
            <w:tcW w:type="dxa" w:w="3900"/>
            <w:vAlign w:val="center"/>
          </w:tcPr>
          <w:p w:rsidP="004971F0" w:rsidR="004976EE" w:rsidRDefault="004976EE"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报告期期初基金份额总额</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
            </w:r>
            <w:r w:rsidRPr="00FA472B">
              <w:rPr>
                <w:color w:val="000000"/>
                <w:sz w:val="24"/>
              </w:rPr>
              <w:lastRenderedPageBreak/>
              <w:t>9,339,789,687.55</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lastRenderedPageBreak/>
              <w:t/>
            </w:r>
            <w:proofErr w:type="spellStart"/>
            <w:r w:rsidRPr="00FA472B">
              <w:rPr>
                <w:color w:val="000000"/>
                <w:sz w:val="24"/>
              </w:rPr>
              <w:t/>
            </w:r>
            <w:proofErr w:type="spellEnd"/>
            <w:r w:rsidRPr="00FA472B">
              <w:rPr>
                <w:color w:val="000000"/>
                <w:sz w:val="24"/>
              </w:rPr>
              <w:t/>
            </w:r>
            <w:r w:rsidRPr="00FA472B">
              <w:rPr>
                <w:color w:val="000000"/>
                <w:sz w:val="24"/>
              </w:rPr>
              <w:lastRenderedPageBreak/>
              <w:t>889,996,064.23</w:t>
            </w:r>
          </w:p>
        </w:tc>
      </w:tr>
      <w:tr w:rsidR="004976EE" w:rsidRPr="0078105B" w:rsidTr="006D2AB1">
        <w:tc>
          <w:tcPr>
            <w:tcW w:type="dxa" w:w="3900"/>
            <w:vAlign w:val="center"/>
          </w:tcPr>
          <w:p w:rsidP="004971F0" w:rsidR="004976EE" w:rsidRDefault="004976EE" w:rsidRPr="00FA472B">
            <w:pPr>
              <w:autoSpaceDE w:val="0"/>
              <w:autoSpaceDN w:val="0"/>
              <w:adjustRightInd w:val="0"/>
              <w:spacing w:before="29" w:line="360" w:lineRule="auto"/>
              <w:ind w:left="17"/>
              <w:jc w:val="left"/>
              <w:rPr>
                <w:color w:val="000000"/>
                <w:kern w:val="0"/>
                <w:sz w:val="24"/>
              </w:rPr>
            </w:pPr>
            <w:r w:rsidRPr="00FA472B">
              <w:rPr>
                <w:color w:val="000000"/>
                <w:kern w:val="0"/>
                <w:sz w:val="24"/>
              </w:rPr>
              <w:lastRenderedPageBreak/>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基金总申购份额</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2,508,045,992.99</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801,214,711.93</w:t>
            </w:r>
          </w:p>
        </w:tc>
      </w:tr>
      <w:tr w:rsidR="004976EE" w:rsidRPr="0078105B" w:rsidTr="006D2AB1">
        <w:tc>
          <w:tcPr>
            <w:tcW w:type="dxa" w:w="3900"/>
            <w:vAlign w:val="center"/>
          </w:tcPr>
          <w:p w:rsidP="004971F0" w:rsidR="004976EE" w:rsidRDefault="004976EE"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减：</w:t>
            </w: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基金总赎回份额</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2,963,907,510.31</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731,398,714.71</w:t>
            </w:r>
          </w:p>
        </w:tc>
      </w:tr>
      <w:tr w:rsidR="004976EE" w:rsidRPr="0078105B" w:rsidTr="006D2AB1">
        <w:tc>
          <w:tcPr>
            <w:tcW w:type="dxa" w:w="3900"/>
            <w:vAlign w:val="center"/>
          </w:tcPr>
          <w:p w:rsidP="004971F0" w:rsidR="004976EE" w:rsidRDefault="004976EE"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
            </w:r>
            <w:proofErr w:type="spellStart"/>
            <w:r w:rsidRPr="00FA472B">
              <w:rPr>
                <w:color w:val="000000"/>
                <w:kern w:val="0"/>
                <w:sz w:val="24"/>
              </w:rPr>
              <w:t/>
            </w:r>
            <w:proofErr w:type="spellEnd"/>
            <w:r w:rsidRPr="00FA472B">
              <w:rPr>
                <w:color w:val="000000"/>
                <w:kern w:val="0"/>
                <w:sz w:val="24"/>
              </w:rPr>
              <w:t>报告期</w:t>
            </w:r>
            <w:r w:rsidRPr="00FA472B">
              <w:rPr>
                <w:color w:val="000000"/>
                <w:kern w:val="0"/>
                <w:sz w:val="24"/>
              </w:rPr>
              <w:t>基金拆分变动份额</w:t>
            </w:r>
            <w:r w:rsidR="003F1BDC">
              <w:rPr>
                <w:rFonts w:hint="eastAsia"/>
                <w:color w:val="000000"/>
                <w:kern w:val="0"/>
                <w:sz w:val="24"/>
              </w:rPr>
              <w:t>（份额减少以“</w:t>
            </w:r>
            <w:r w:rsidR="003F1BDC">
              <w:rPr>
                <w:color w:val="000000"/>
                <w:kern w:val="0"/>
                <w:sz w:val="24"/>
              </w:rPr>
              <w:t>-</w:t>
            </w:r>
            <w:r w:rsidR="003F1BDC">
              <w:rPr>
                <w:rFonts w:hint="eastAsia"/>
                <w:color w:val="000000"/>
                <w:kern w:val="0"/>
                <w:sz w:val="24"/>
              </w:rPr>
              <w:t>”填列）</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w:t>
            </w:r>
          </w:p>
        </w:tc>
      </w:tr>
      <w:tr w:rsidR="004976EE" w:rsidRPr="0078105B" w:rsidTr="006D2AB1">
        <w:tc>
          <w:tcPr>
            <w:tcW w:type="dxa" w:w="3900"/>
            <w:vAlign w:val="center"/>
          </w:tcPr>
          <w:p w:rsidP="004971F0" w:rsidR="004976EE" w:rsidRDefault="004976EE" w:rsidRPr="00FA472B">
            <w:pPr>
              <w:autoSpaceDE w:val="0"/>
              <w:autoSpaceDN w:val="0"/>
              <w:adjustRightInd w:val="0"/>
              <w:spacing w:before="29" w:line="360" w:lineRule="auto"/>
              <w:ind w:left="17"/>
              <w:jc w:val="left"/>
              <w:rPr>
                <w:color w:val="000000"/>
                <w:kern w:val="0"/>
                <w:sz w:val="24"/>
              </w:rPr>
            </w:pPr>
            <w:r w:rsidRPr="00FA472B">
              <w:rPr>
                <w:color w:val="000000"/>
                <w:kern w:val="0"/>
                <w:sz w:val="24"/>
              </w:rPr>
              <w:t>报告期期末基金份额总额</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
            </w:r>
            <w:proofErr w:type="spellStart"/>
            <w:r w:rsidRPr="00FA472B">
              <w:rPr>
                <w:color w:val="000000"/>
                <w:sz w:val="24"/>
              </w:rPr>
              <w:t/>
            </w:r>
            <w:proofErr w:type="spellEnd"/>
            <w:r w:rsidRPr="00FA472B">
              <w:rPr>
                <w:color w:val="000000"/>
                <w:sz w:val="24"/>
              </w:rPr>
              <w:t>8,883,928,170.23</w:t>
            </w:r>
          </w:p>
        </w:tc>
        <w:tc>
          <w:tcPr>
            <w:tcW w:type="dxa" w:w="2367"/>
            <w:vAlign w:val="center"/>
          </w:tcPr>
          <w:p w:rsidP="004971F0" w:rsidR="004976EE" w:rsidRDefault="004976EE" w:rsidRPr="00FA472B">
            <w:pPr>
              <w:autoSpaceDE w:val="0"/>
              <w:autoSpaceDN w:val="0"/>
              <w:adjustRightInd w:val="0"/>
              <w:spacing w:before="29" w:line="360" w:lineRule="auto"/>
              <w:ind w:left="17"/>
              <w:jc w:val="right"/>
              <w:rPr>
                <w:color w:val="000000"/>
                <w:sz w:val="24"/>
              </w:rPr>
            </w:pPr>
            <w:r w:rsidRPr="00FA472B">
              <w:rPr>
                <w:color w:val="000000"/>
                <w:sz w:val="24"/>
              </w:rPr>
              <w:t>959,812,061.45</w:t>
            </w:r>
          </w:p>
        </w:tc>
      </w:tr>
    </w:tbl>
    <w:p w:rsidP="00F729DC" w:rsidR="00A62673" w:rsidRDefault="00A62673">
      <w:pPr>
        <w:pStyle w:val="1"/>
        <w:tabs>
          <w:tab w:pos="4156" w:val="center"/>
          <w:tab w:pos="8312" w:val="right"/>
        </w:tabs>
        <w:spacing w:after="312" w:afterLines="100" w:before="312" w:beforeLines="100" w:line="360" w:lineRule="auto"/>
        <w:jc w:val="center"/>
        <w:rPr>
          <w:rFonts w:ascii="方正仿宋简体"/>
          <w:sz w:val="24"/>
          <w:szCs w:val="24"/>
        </w:rPr>
      </w:pPr>
      <w:r>
        <w:rPr>
          <w:rFonts w:ascii="宋体"/>
          <w:color w:val="000000"/>
          <w:kern w:val="0"/>
          <w:sz w:val="24"/>
          <w:szCs w:val="24"/>
        </w:rPr>
        <w:t/>
      </w:r>
      <w:proofErr w:type="spellStart"/>
      <w:r>
        <w:rPr>
          <w:rFonts w:ascii="宋体" w:hAnsi="宋体"/>
          <w:color w:val="000000"/>
          <w:kern w:val="0"/>
          <w:sz w:val="24"/>
          <w:szCs w:val="24"/>
        </w:rPr>
        <w:t/>
      </w:r>
      <w:proofErr w:type="spellEnd"/>
      <w:r>
        <w:rPr>
          <w:rFonts w:ascii="宋体" w:hAnsi="宋体"/>
          <w:color w:val="000000"/>
          <w:kern w:val="0"/>
          <w:sz w:val="24"/>
          <w:szCs w:val="24"/>
        </w:rPr>
        <w:t/>
      </w:r>
      <w:r>
        <w:rPr>
          <w:rFonts w:ascii="宋体" w:cs="Arial" w:hAnsi="宋体" w:hint="eastAsia"/>
          <w:color w:val="000000"/>
          <w:kern w:val="0"/>
          <w:sz w:val="24"/>
          <w:szCs w:val="24"/>
        </w:rPr>
        <w:t>§</w:t>
      </w:r>
      <w:r>
        <w:rPr>
          <w:rFonts w:ascii="宋体" w:cs="Arial"/>
          <w:color w:val="000000"/>
          <w:kern w:val="0"/>
          <w:sz w:val="24"/>
          <w:szCs w:val="24"/>
        </w:rPr>
        <w:t/>
      </w:r>
      <w:r>
        <w:rPr>
          <w:rFonts w:ascii="宋体" w:cs="Arial" w:hAnsi="宋体"/>
          <w:color w:val="000000"/>
          <w:kern w:val="0"/>
          <w:sz w:val="24"/>
          <w:szCs w:val="24"/>
        </w:rPr>
        <w:t xml:space="preserve">7  </w:t>
      </w:r>
      <w:r>
        <w:rPr>
          <w:rFonts w:ascii="方正仿宋简体" w:hint="eastAsia"/>
          <w:sz w:val="24"/>
          <w:szCs w:val="24"/>
        </w:rPr>
        <w:t>基金管理人运用固有资金投资本基金情况</w:t>
      </w:r>
    </w:p>
    <w:p w:rsidP="00413689" w:rsidR="00A62673" w:rsidRDefault="00A62673">
      <w:pPr>
        <w:spacing w:line="360" w:lineRule="auto"/>
        <w:jc w:val="left"/>
        <w:rPr>
          <w:sz w:val="24"/>
        </w:rPr>
      </w:pPr>
      <w:r>
        <w:rPr>
          <w:b/>
          <w:sz w:val="24"/>
        </w:rPr>
        <w:t/>
      </w:r>
      <w:proofErr w:type="spellStart"/>
      <w:r>
        <w:rPr>
          <w:b/>
          <w:sz w:val="24"/>
        </w:rPr>
        <w:t/>
      </w:r>
      <w:proofErr w:type="spellEnd"/>
      <w:r>
        <w:rPr>
          <w:b/>
          <w:sz w:val="24"/>
        </w:rPr>
        <w:t xml:space="preserve">7.1 </w:t>
      </w:r>
      <w:r>
        <w:rPr>
          <w:rFonts w:hint="eastAsia"/>
          <w:b/>
          <w:sz w:val="24"/>
        </w:rPr>
        <w:t>基金管理人持有本基金份额变动情况</w:t>
      </w:r>
    </w:p>
    <w:p w:rsidP="00C1648E" w:rsidR="00A62673" w:rsidRDefault="004D5C1F" w:rsidRPr="00C1648E">
      <w:pPr>
        <w:spacing w:line="360" w:lineRule="auto"/>
        <w:ind w:firstLine="480" w:firstLineChars="200"/>
        <w:rPr>
          <w:color w:val="000000"/>
          <w:sz w:val="24"/>
        </w:rPr>
      </w:pPr>
      <w:r w:rsidRPr="00DF18FE">
        <w:rPr>
          <w:color w:val="000000"/>
          <w:sz w:val="24"/>
        </w:rPr>
        <w:t/>
      </w:r>
      <w:r w:rsidRPr="00EA6415">
        <w:rPr>
          <w:color w:val="000000"/>
          <w:sz w:val="24"/>
        </w:rPr>
        <w:t/>
      </w:r>
      <w:r w:rsidRPr="00DF18FE">
        <w:rPr>
          <w:color w:val="000000"/>
          <w:sz w:val="24"/>
        </w:rPr>
        <w:t/>
      </w:r>
      <w:proofErr w:type="spellStart"/>
      <w:r w:rsidRPr="00DF18FE">
        <w:rPr>
          <w:color w:val="000000"/>
          <w:sz w:val="24"/>
        </w:rPr>
        <w:t/>
      </w:r>
      <w:proofErr w:type="spellEnd"/>
      <w:r w:rsidRPr="00DF18FE">
        <w:rPr>
          <w:color w:val="000000"/>
          <w:sz w:val="24"/>
        </w:rPr>
        <w:t>本报告期内基金管理人未持有本基金份额。</w:t>
      </w:r>
    </w:p>
    <w:p w:rsidP="00413689" w:rsidR="00A62673" w:rsidRDefault="00A62673">
      <w:pPr>
        <w:spacing w:line="360" w:lineRule="auto"/>
        <w:jc w:val="left"/>
        <w:rPr>
          <w:sz w:val="24"/>
        </w:rPr>
      </w:pPr>
      <w:r>
        <w:rPr>
          <w:b/>
          <w:sz w:val="24"/>
        </w:rPr>
        <w:t/>
      </w:r>
      <w:proofErr w:type="spellStart"/>
      <w:r>
        <w:rPr>
          <w:b/>
          <w:sz w:val="24"/>
        </w:rPr>
        <w:t/>
      </w:r>
      <w:proofErr w:type="spellEnd"/>
      <w:r>
        <w:rPr>
          <w:b/>
          <w:sz w:val="24"/>
        </w:rPr>
        <w:t xml:space="preserve">7.2 </w:t>
      </w:r>
      <w:r>
        <w:rPr>
          <w:rFonts w:hint="eastAsia"/>
          <w:b/>
          <w:sz w:val="24"/>
        </w:rPr>
        <w:t>基金管理人运用固有资金投资本基金交易明细</w:t>
      </w:r>
    </w:p>
    <w:p w:rsidP="00DC315B" w:rsidR="00A62673" w:rsidRDefault="004D5C1F" w:rsidRPr="00DC315B">
      <w:pPr>
        <w:spacing w:line="360" w:lineRule="auto"/>
        <w:ind w:firstLine="480" w:firstLineChars="200"/>
        <w:rPr>
          <w:color w:val="000000"/>
          <w:sz w:val="24"/>
        </w:rPr>
      </w:pPr>
      <w:r w:rsidRPr="00DF18FE">
        <w:rPr>
          <w:color w:val="000000"/>
          <w:sz w:val="24"/>
        </w:rPr>
        <w:t/>
      </w:r>
      <w:proofErr w:type="spellStart"/>
      <w:r w:rsidRPr="00DF18FE">
        <w:rPr>
          <w:color w:val="000000"/>
          <w:sz w:val="24"/>
        </w:rPr>
        <w:t/>
      </w:r>
      <w:proofErr w:type="spellEnd"/>
      <w:r w:rsidRPr="00DF18FE">
        <w:rPr>
          <w:color w:val="000000"/>
          <w:sz w:val="24"/>
        </w:rPr>
        <w:t/>
      </w:r>
      <w:proofErr w:type="spellStart"/>
      <w:r w:rsidRPr="00DF18FE">
        <w:rPr>
          <w:color w:val="000000"/>
          <w:sz w:val="24"/>
        </w:rPr>
        <w:t/>
      </w:r>
      <w:proofErr w:type="spellEnd"/>
      <w:r w:rsidRPr="00DF18FE">
        <w:rPr>
          <w:color w:val="000000"/>
          <w:sz w:val="24"/>
        </w:rPr>
        <w:t>本报告期内基金管理人未运用固有资金申购、赎回、买卖本基金份额。</w:t>
      </w:r>
    </w:p>
    <w:p w:rsidP="00F729DC" w:rsidR="00A62673" w:rsidRDefault="00A62673" w:rsidRPr="00EC5CE0">
      <w:pPr>
        <w:pStyle w:val="1"/>
        <w:spacing w:after="312" w:afterLines="100" w:before="312" w:beforeLines="100" w:line="360" w:lineRule="auto"/>
        <w:jc w:val="center"/>
        <w:rPr>
          <w:rFonts w:ascii="宋体" w:cs="Arial"/>
          <w:color w:val="000000"/>
          <w:kern w:val="0"/>
          <w:sz w:val="24"/>
          <w:szCs w:val="24"/>
        </w:rPr>
      </w:pPr>
      <w:r w:rsidRPr="00EC5CE0">
        <w:rPr>
          <w:rFonts w:ascii="宋体" w:cs="Arial" w:hAnsi="宋体" w:hint="eastAsia"/>
          <w:color w:val="000000"/>
          <w:kern w:val="0"/>
          <w:sz w:val="24"/>
          <w:szCs w:val="24"/>
        </w:rPr>
        <w:t>§</w:t>
      </w:r>
      <w:r w:rsidRPr="00EC5CE0">
        <w:rPr>
          <w:rFonts w:ascii="宋体" w:cs="Arial"/>
          <w:color w:val="000000"/>
          <w:kern w:val="0"/>
          <w:sz w:val="24"/>
          <w:szCs w:val="24"/>
        </w:rPr>
        <w:t/>
      </w:r>
      <w:r w:rsidRPr="00EC5CE0">
        <w:rPr>
          <w:rFonts w:ascii="宋体" w:cs="Arial" w:hAnsi="宋体"/>
          <w:color w:val="000000"/>
          <w:kern w:val="0"/>
          <w:sz w:val="24"/>
          <w:szCs w:val="24"/>
        </w:rPr>
        <w:t>8</w:t>
      </w:r>
      <w:r w:rsidR="00900A07" w:rsidRPr="00EC5CE0">
        <w:rPr>
          <w:rFonts w:ascii="宋体" w:cs="Arial" w:hAnsi="宋体"/>
          <w:color w:val="000000"/>
          <w:kern w:val="0"/>
          <w:sz w:val="24"/>
          <w:szCs w:val="24"/>
        </w:rPr>
        <w:t xml:space="preserve">  </w:t>
      </w:r>
      <w:r w:rsidRPr="00EC5CE0">
        <w:rPr>
          <w:rFonts w:ascii="宋体" w:cs="Arial" w:hAnsi="宋体" w:hint="eastAsia"/>
          <w:color w:val="000000"/>
          <w:kern w:val="0"/>
          <w:sz w:val="24"/>
          <w:szCs w:val="24"/>
        </w:rPr>
        <w:t>备查文件目录</w:t>
      </w:r>
    </w:p>
    <w:p w:rsidP="009A037F" w:rsidR="00A62673" w:rsidRDefault="00A62673" w:rsidRPr="00511B6A">
      <w:pPr>
        <w:spacing w:line="360" w:lineRule="auto"/>
        <w:rPr>
          <w:rFonts w:ascii="宋体"/>
          <w:b/>
          <w:color w:val="000000"/>
          <w:sz w:val="24"/>
        </w:rPr>
      </w:pPr>
      <w:r w:rsidRPr="00511B6A">
        <w:rPr>
          <w:rFonts w:ascii="宋体"/>
          <w:b/>
          <w:color w:val="000000"/>
          <w:sz w:val="24"/>
        </w:rPr>
        <w:t/>
      </w:r>
      <w:r w:rsidRPr="00511B6A">
        <w:rPr>
          <w:rFonts w:ascii="宋体" w:hAnsi="宋体"/>
          <w:b/>
          <w:color w:val="000000"/>
          <w:sz w:val="24"/>
        </w:rPr>
        <w:t xml:space="preserve">8.1 </w:t>
      </w:r>
      <w:r w:rsidRPr="00511B6A">
        <w:rPr>
          <w:rFonts w:ascii="宋体" w:hAnsi="宋体" w:hint="eastAsia"/>
          <w:b/>
          <w:color w:val="000000"/>
          <w:sz w:val="24"/>
        </w:rPr>
        <w:t>备查文件目录</w:t>
      </w:r>
    </w:p>
    <w:p>
      <w:pPr>
        <w:spacing w:line="360" w:lineRule="auto"/>
        <w:ind w:firstLine="480" w:firstLineChars="200"/>
        <w:rPr>
          <w:color w:val="000000"/>
          <w:sz w:val="24"/>
        </w:rPr>
      </w:pPr>
      <w:r>
        <w:rPr>
          <w:color w:val="000000"/>
          <w:sz w:val="24"/>
        </w:rPr>
        <w:t>1.中国证监会批准易方达50指数证券投资基金设立的文件；</w:t>
      </w:r>
    </w:p>
    <w:p>
      <w:pPr>
        <w:spacing w:line="360" w:lineRule="auto"/>
        <w:ind w:firstLine="480" w:firstLineChars="200"/>
        <w:rPr>
          <w:color w:val="000000"/>
          <w:sz w:val="24"/>
        </w:rPr>
      </w:pPr>
      <w:r>
        <w:rPr>
          <w:color w:val="000000"/>
          <w:sz w:val="24"/>
        </w:rPr>
        <w:t>2.《易方达50指数证券投资基金基金合同》；</w:t>
      </w:r>
    </w:p>
    <w:p>
      <w:pPr>
        <w:spacing w:line="360" w:lineRule="auto"/>
        <w:ind w:firstLine="480" w:firstLineChars="200"/>
        <w:rPr>
          <w:color w:val="000000"/>
          <w:sz w:val="24"/>
        </w:rPr>
      </w:pPr>
      <w:r>
        <w:rPr>
          <w:color w:val="000000"/>
          <w:sz w:val="24"/>
        </w:rPr>
        <w:t>3.《易方达50指数证券投资基金托管协议》；</w:t>
      </w:r>
    </w:p>
    <w:p>
      <w:pPr>
        <w:spacing w:line="360" w:lineRule="auto"/>
        <w:ind w:firstLine="480" w:firstLineChars="200"/>
        <w:rPr>
          <w:color w:val="000000"/>
          <w:sz w:val="24"/>
        </w:rPr>
      </w:pPr>
      <w:r>
        <w:rPr>
          <w:color w:val="000000"/>
          <w:sz w:val="24"/>
        </w:rPr>
        <w:t>4.《易方达基金管理有限公司开放式基金业务规则》；</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5.基金管理人业务资格批件和营业执照。</w:t>
      </w:r>
    </w:p>
    <w:p w:rsidP="009A037F" w:rsidR="00A62673" w:rsidRDefault="00A62673" w:rsidRPr="00511B6A">
      <w:pPr>
        <w:spacing w:line="360" w:lineRule="auto"/>
        <w:rPr>
          <w:rFonts w:ascii="宋体"/>
          <w:b/>
          <w:color w:val="000000"/>
          <w:sz w:val="24"/>
        </w:rPr>
      </w:pPr>
      <w:r w:rsidRPr="00511B6A">
        <w:rPr>
          <w:rFonts w:ascii="宋体"/>
          <w:b/>
          <w:color w:val="000000"/>
          <w:sz w:val="24"/>
        </w:rPr>
        <w:t/>
      </w:r>
      <w:r w:rsidRPr="00511B6A">
        <w:rPr>
          <w:rFonts w:ascii="宋体" w:hAnsi="宋体"/>
          <w:b/>
          <w:color w:val="000000"/>
          <w:sz w:val="24"/>
        </w:rPr>
        <w:t xml:space="preserve">8.2 </w:t>
      </w:r>
      <w:r w:rsidRPr="00511B6A">
        <w:rPr>
          <w:rFonts w:ascii="宋体" w:hAnsi="宋体" w:hint="eastAsia"/>
          <w:b/>
          <w:color w:val="000000"/>
          <w:sz w:val="24"/>
        </w:rPr>
        <w:t>存放地点</w:t>
      </w:r>
    </w:p>
    <w:p w:rsidP="00C1648E" w:rsidR="00A62673" w:rsidRDefault="00A62673" w:rsidRPr="00C1648E">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广州市天河区珠江新城珠江东路30号广州银行大厦40-43楼。</w:t>
      </w:r>
    </w:p>
    <w:p w:rsidP="009A037F" w:rsidR="00A62673" w:rsidRDefault="00A62673" w:rsidRPr="00511B6A">
      <w:pPr>
        <w:spacing w:line="360" w:lineRule="auto"/>
        <w:rPr>
          <w:rFonts w:ascii="宋体"/>
          <w:b/>
          <w:color w:val="000000"/>
          <w:sz w:val="24"/>
        </w:rPr>
      </w:pPr>
      <w:r w:rsidRPr="00511B6A">
        <w:rPr>
          <w:rFonts w:ascii="宋体"/>
          <w:b/>
          <w:color w:val="000000"/>
          <w:sz w:val="24"/>
        </w:rPr>
        <w:t/>
      </w:r>
      <w:r w:rsidRPr="00511B6A">
        <w:rPr>
          <w:rFonts w:ascii="宋体" w:hAnsi="宋体"/>
          <w:b/>
          <w:color w:val="000000"/>
          <w:sz w:val="24"/>
        </w:rPr>
        <w:t xml:space="preserve">8.3 </w:t>
      </w:r>
      <w:r w:rsidRPr="00511B6A">
        <w:rPr>
          <w:rFonts w:ascii="宋体" w:hAnsi="宋体" w:hint="eastAsia"/>
          <w:b/>
          <w:color w:val="000000"/>
          <w:sz w:val="24"/>
        </w:rPr>
        <w:t>查阅方式</w:t>
      </w:r>
    </w:p>
    <w:p w:rsidP="005A2769" w:rsidR="00A62673" w:rsidRDefault="00A62673" w:rsidRPr="00DC315B">
      <w:pPr>
        <w:spacing w:line="360" w:lineRule="auto"/>
        <w:ind w:firstLine="480" w:firstLineChars="200"/>
        <w:rPr>
          <w:color w:val="000000"/>
          <w:sz w:val="24"/>
        </w:rPr>
      </w:pPr>
      <w:r w:rsidRPr="00DC315B">
        <w:rPr>
          <w:color w:val="000000"/>
          <w:sz w:val="24"/>
        </w:rPr>
        <w:t/>
      </w:r>
      <w:proofErr w:type="spellStart"/>
      <w:r w:rsidRPr="00DC315B">
        <w:rPr>
          <w:color w:val="000000"/>
          <w:sz w:val="24"/>
        </w:rPr>
        <w:t/>
      </w:r>
      <w:proofErr w:type="spellEnd"/>
      <w:r w:rsidRPr="00DC315B">
        <w:rPr>
          <w:color w:val="000000"/>
          <w:sz w:val="24"/>
        </w:rPr>
        <w:t>投资者可在营业时间免费查阅，也可按工本费购买复印件。</w:t>
      </w:r>
    </w:p>
    <w:p w:rsidP="0019563C" w:rsidR="00A62673" w:rsidRDefault="00A62673">
      <w:pPr>
        <w:spacing w:line="360" w:lineRule="auto"/>
        <w:ind w:left="840"/>
        <w:jc w:val="right"/>
        <w:rPr>
          <w:rFonts w:ascii="宋体"/>
          <w:color w:val="000000"/>
          <w:sz w:val="24"/>
        </w:rPr>
      </w:pPr>
    </w:p>
    <w:p w:rsidP="0019563C" w:rsidR="00A62673" w:rsidRDefault="00A62673">
      <w:pPr>
        <w:spacing w:line="360" w:lineRule="auto"/>
        <w:ind w:left="840"/>
        <w:jc w:val="right"/>
        <w:rPr>
          <w:rFonts w:ascii="宋体"/>
          <w:color w:val="000000"/>
          <w:sz w:val="24"/>
        </w:rPr>
      </w:pPr>
    </w:p>
    <w:p w:rsidP="0019563C" w:rsidR="00A62673" w:rsidRDefault="00A62673">
      <w:pPr>
        <w:spacing w:line="360" w:lineRule="auto"/>
        <w:ind w:left="840"/>
        <w:jc w:val="right"/>
        <w:rPr>
          <w:rFonts w:ascii="宋体"/>
          <w:color w:val="000000"/>
          <w:sz w:val="24"/>
        </w:rPr>
      </w:pPr>
    </w:p>
    <w:p w:rsidP="0019563C" w:rsidR="00A62673" w:rsidRDefault="00A62673" w:rsidRPr="00EC5CE0">
      <w:pPr>
        <w:spacing w:line="360" w:lineRule="auto"/>
        <w:ind w:left="840"/>
        <w:jc w:val="right"/>
        <w:rPr>
          <w:rFonts w:ascii="宋体"/>
          <w:color w:val="000000"/>
          <w:sz w:val="24"/>
        </w:rPr>
      </w:pPr>
    </w:p>
    <w:p w:rsidP="0019563C" w:rsidR="00A62673" w:rsidRDefault="00A62673" w:rsidRPr="00EC5CE0">
      <w:pPr>
        <w:spacing w:line="360" w:lineRule="auto"/>
        <w:ind w:left="840"/>
        <w:jc w:val="right"/>
        <w:rPr>
          <w:rFonts w:ascii="宋体"/>
          <w:color w:val="000000"/>
          <w:sz w:val="24"/>
        </w:rPr>
      </w:pPr>
    </w:p>
    <w:p w:rsidP="009A037F" w:rsidR="00A62673" w:rsidRDefault="00A62673" w:rsidRPr="00EC5CE0">
      <w:pPr>
        <w:spacing w:line="360" w:lineRule="auto"/>
        <w:jc w:val="right"/>
        <w:rPr>
          <w:rFonts w:ascii="宋体" w:hAnsi="宋体"/>
          <w:b/>
          <w:bCs/>
          <w:sz w:val="24"/>
        </w:rPr>
      </w:pPr>
      <w:r w:rsidRPr="00EC5CE0">
        <w:rPr>
          <w:rFonts w:ascii="宋体"/>
          <w:b/>
          <w:bCs/>
          <w:sz w:val="24"/>
        </w:rPr>
        <w:t/>
      </w:r>
      <w:proofErr w:type="spellStart"/>
      <w:r w:rsidRPr="00EC5CE0">
        <w:rPr>
          <w:rFonts w:ascii="宋体" w:hAnsi="宋体"/>
          <w:b/>
          <w:bCs/>
          <w:sz w:val="24"/>
        </w:rPr>
        <w:t/>
      </w:r>
      <w:proofErr w:type="spellEnd"/>
      <w:r w:rsidRPr="00EC5CE0">
        <w:rPr>
          <w:rFonts w:ascii="宋体" w:hAnsi="宋体"/>
          <w:b/>
          <w:bCs/>
          <w:sz w:val="24"/>
        </w:rPr>
        <w:t>易方达基金管理有限公司</w:t>
      </w:r>
    </w:p>
    <w:p w:rsidP="00C06372" w:rsidR="00A62673" w:rsidRDefault="00A62673" w:rsidRPr="00C06372">
      <w:pPr>
        <w:spacing w:line="360" w:lineRule="auto"/>
        <w:jc w:val="right"/>
        <w:rPr>
          <w:rFonts w:ascii="宋体" w:hAnsi="宋体"/>
          <w:b/>
          <w:bCs/>
          <w:sz w:val="24"/>
        </w:rPr>
      </w:pPr>
      <w:r w:rsidRPr="00EC5CE0">
        <w:rPr>
          <w:rFonts w:ascii="宋体" w:hAnsi="宋体"/>
          <w:b/>
          <w:bCs/>
          <w:sz w:val="24"/>
        </w:rPr>
        <w:t/>
      </w:r>
      <w:proofErr w:type="spellStart"/>
      <w:r w:rsidRPr="00EC5CE0">
        <w:rPr>
          <w:rFonts w:ascii="宋体" w:hAnsi="宋体"/>
          <w:b/>
          <w:bCs/>
          <w:sz w:val="24"/>
        </w:rPr>
        <w:t/>
      </w:r>
      <w:proofErr w:type="spellEnd"/>
      <w:r w:rsidRPr="00EC5CE0">
        <w:rPr>
          <w:rFonts w:ascii="宋体" w:hAnsi="宋体"/>
          <w:b/>
          <w:bCs/>
          <w:sz w:val="24"/>
        </w:rPr>
        <w:t>二〇二〇年十月二十八日</w:t>
      </w:r>
    </w:p>
    <w:sectPr w:rsidR="00A62673" w:rsidRPr="00C06372" w:rsidSect="00DB4450">
      <w:footerReference r:id="rId12" w:type="even"/>
      <w:footerReference r:id="rId13" w:type="default"/>
      <w:pgSz w:code="9" w:h="16838" w:w="11906"/>
      <w:pgMar w:bottom="1440" w:footer="992" w:gutter="0" w:header="851" w:left="1797" w:right="1797"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29" w:rsidRDefault="00347329">
      <w:r>
        <w:separator/>
      </w:r>
    </w:p>
  </w:endnote>
  <w:endnote w:type="continuationSeparator" w:id="0">
    <w:p w:rsidR="00347329" w:rsidRDefault="0034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Song-Light">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230A66" w:rsidR="002C4578" w:rsidRDefault="002C4578" w:rsidRPr="001D0DB0">
    <w:pPr>
      <w:pStyle w:val="a6"/>
      <w:jc w:val="center"/>
    </w:pPr>
    <w:r>
      <w:rPr>
        <w:rFonts w:hint="eastAsia"/>
        <w:szCs w:val="21"/>
      </w:rPr>
      <w:t>第</w:t>
    </w:r>
    <w:r w:rsidR="005F7D6F">
      <w:rPr>
        <w:szCs w:val="21"/>
      </w:rPr>
      <w:fldChar w:fldCharType="begin"/>
    </w:r>
    <w:r>
      <w:rPr>
        <w:szCs w:val="21"/>
      </w:rPr>
      <w:instrText xml:space="preserve"> PAGE </w:instrText>
    </w:r>
    <w:r w:rsidR="005F7D6F">
      <w:rPr>
        <w:szCs w:val="21"/>
      </w:rPr>
      <w:fldChar w:fldCharType="separate"/>
    </w:r>
    <w:r w:rsidR="00455EE5">
      <w:rPr>
        <w:noProof/>
        <w:szCs w:val="21"/>
      </w:rPr>
      <w:t>1</w:t>
    </w:r>
    <w:r w:rsidR="005F7D6F">
      <w:rPr>
        <w:szCs w:val="21"/>
      </w:rPr>
      <w:fldChar w:fldCharType="end"/>
    </w:r>
    <w:proofErr w:type="gramStart"/>
    <w:r>
      <w:rPr>
        <w:rFonts w:hint="eastAsia"/>
        <w:szCs w:val="21"/>
      </w:rPr>
      <w:t>页共</w:t>
    </w:r>
    <w:proofErr w:type="gramEnd"/>
    <w:r w:rsidR="005F7D6F">
      <w:rPr>
        <w:szCs w:val="21"/>
      </w:rPr>
      <w:fldChar w:fldCharType="begin"/>
    </w:r>
    <w:r>
      <w:rPr>
        <w:szCs w:val="21"/>
      </w:rPr>
      <w:instrText xml:space="preserve"> NUMPAGES </w:instrText>
    </w:r>
    <w:r w:rsidR="005F7D6F">
      <w:rPr>
        <w:szCs w:val="21"/>
      </w:rPr>
      <w:fldChar w:fldCharType="separate"/>
    </w:r>
    <w:r w:rsidR="00455EE5">
      <w:rPr>
        <w:noProof/>
        <w:szCs w:val="21"/>
      </w:rPr>
      <w:t>35</w:t>
    </w:r>
    <w:r w:rsidR="005F7D6F">
      <w:rPr>
        <w:szCs w:val="21"/>
      </w:rPr>
      <w:fldChar w:fldCharType="end"/>
    </w:r>
    <w:r>
      <w:rPr>
        <w:rFonts w:hint="eastAsia"/>
        <w:szCs w:val="21"/>
      </w:rPr>
      <w:t>页</w:t>
    </w: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2C4578" w:rsidRDefault="005F7D6F">
    <w:pPr>
      <w:pStyle w:val="a6"/>
      <w:framePr w:hAnchor="margin" w:vAnchor="text" w:wrap="around" w:xAlign="center" w:y="1"/>
      <w:rPr>
        <w:rStyle w:val="a7"/>
      </w:rPr>
    </w:pPr>
    <w:r>
      <w:rPr>
        <w:rStyle w:val="a7"/>
      </w:rPr>
      <w:fldChar w:fldCharType="begin"/>
    </w:r>
    <w:r w:rsidR="002C4578">
      <w:rPr>
        <w:rStyle w:val="a7"/>
      </w:rPr>
      <w:instrText xml:space="preserve">PAGE  </w:instrText>
    </w:r>
    <w:r>
      <w:rPr>
        <w:rStyle w:val="a7"/>
      </w:rPr>
      <w:fldChar w:fldCharType="end"/>
    </w:r>
  </w:p>
  <w:p w:rsidR="002C4578" w:rsidRDefault="002C4578">
    <w:pPr>
      <w:pStyle w:val="a6"/>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2C4578" w:rsidRDefault="005F7D6F">
    <w:pPr>
      <w:pStyle w:val="a6"/>
      <w:framePr w:hAnchor="margin" w:vAnchor="text" w:wrap="around" w:xAlign="center" w:y="1"/>
      <w:rPr>
        <w:rStyle w:val="a7"/>
      </w:rPr>
    </w:pPr>
    <w:r>
      <w:rPr>
        <w:rStyle w:val="a7"/>
      </w:rPr>
      <w:fldChar w:fldCharType="begin"/>
    </w:r>
    <w:r w:rsidR="002C4578">
      <w:rPr>
        <w:rStyle w:val="a7"/>
      </w:rPr>
      <w:instrText xml:space="preserve">PAGE  </w:instrText>
    </w:r>
    <w:r>
      <w:rPr>
        <w:rStyle w:val="a7"/>
      </w:rPr>
      <w:fldChar w:fldCharType="separate"/>
    </w:r>
    <w:r w:rsidR="00455EE5">
      <w:rPr>
        <w:rStyle w:val="a7"/>
        <w:noProof/>
      </w:rPr>
      <w:t>8</w:t>
    </w:r>
    <w:r>
      <w:rPr>
        <w:rStyle w:val="a7"/>
      </w:rPr>
      <w:fldChar w:fldCharType="end"/>
    </w:r>
  </w:p>
  <w:p w:rsidR="002C4578" w:rsidRDefault="002C4578">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otnote w:id="-1" w:type="separator">
    <w:p w:rsidR="00347329" w:rsidRDefault="00347329">
      <w:r>
        <w:separator/>
      </w:r>
    </w:p>
  </w:footnote>
  <w:footnote w:id="0" w:type="continuationSeparator">
    <w:p w:rsidR="00347329" w:rsidRDefault="00347329">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P="005E491F" w:rsidR="002C4578" w:rsidRDefault="002C4578" w:rsidRPr="00977154">
    <w:pPr>
      <w:pStyle w:val="a9"/>
      <w:pBdr>
        <w:bottom w:color="auto" w:space="0" w:sz="6" w:val="single"/>
      </w:pBdr>
      <w:jc w:val="right"/>
    </w:pPr>
    <w:r w:rsidRPr="00977154">
      <w:t/>
    </w:r>
    <w:proofErr w:type="spellStart"/>
    <w:proofErr w:type="gramStart"/>
    <w:r w:rsidRPr="00977154">
      <w:t/>
    </w:r>
    <w:proofErr w:type="spellEnd"/>
    <w:proofErr w:type="gramEnd"/>
    <w:r w:rsidRPr="00977154">
      <w:t>易方达50指数证券投资基金</w:t>
    </w:r>
    <w:proofErr w:type="spellStart"/>
    <w:r w:rsidRPr="00977154">
      <w:t/>
    </w:r>
    <w:proofErr w:type="spellEnd"/>
    <w:r w:rsidRPr="00977154">
      <w:t>2020年第3季度报告</w:t>
    </w: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mc:Ignorable="w14">
  <w:zoom w:percent="100"/>
  <w:printPostScriptOverText/>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42A56"/>
    <w:rsid w:val="000020BB"/>
    <w:rsid w:val="0000369F"/>
    <w:rsid w:val="0000403B"/>
    <w:rsid w:val="00005911"/>
    <w:rsid w:val="00010A83"/>
    <w:rsid w:val="00010A8E"/>
    <w:rsid w:val="00010AC3"/>
    <w:rsid w:val="000115A7"/>
    <w:rsid w:val="00011EB5"/>
    <w:rsid w:val="0001280C"/>
    <w:rsid w:val="00017581"/>
    <w:rsid w:val="00020583"/>
    <w:rsid w:val="00021DD4"/>
    <w:rsid w:val="00023BE7"/>
    <w:rsid w:val="00024709"/>
    <w:rsid w:val="00037FCF"/>
    <w:rsid w:val="000421B8"/>
    <w:rsid w:val="00043ABF"/>
    <w:rsid w:val="000445E4"/>
    <w:rsid w:val="00045BEC"/>
    <w:rsid w:val="000510AB"/>
    <w:rsid w:val="00055AF1"/>
    <w:rsid w:val="000625A6"/>
    <w:rsid w:val="00064AE3"/>
    <w:rsid w:val="0006511D"/>
    <w:rsid w:val="00066524"/>
    <w:rsid w:val="00070CD1"/>
    <w:rsid w:val="0007171B"/>
    <w:rsid w:val="00072E4F"/>
    <w:rsid w:val="00074E9F"/>
    <w:rsid w:val="000770DE"/>
    <w:rsid w:val="00081D05"/>
    <w:rsid w:val="000820A8"/>
    <w:rsid w:val="00084EE5"/>
    <w:rsid w:val="00087CF7"/>
    <w:rsid w:val="00091560"/>
    <w:rsid w:val="00093160"/>
    <w:rsid w:val="00094876"/>
    <w:rsid w:val="00095912"/>
    <w:rsid w:val="00095CE0"/>
    <w:rsid w:val="00096933"/>
    <w:rsid w:val="00097230"/>
    <w:rsid w:val="0009778D"/>
    <w:rsid w:val="000A391B"/>
    <w:rsid w:val="000A457E"/>
    <w:rsid w:val="000A53FD"/>
    <w:rsid w:val="000A549A"/>
    <w:rsid w:val="000A5F96"/>
    <w:rsid w:val="000A72F2"/>
    <w:rsid w:val="000B0C56"/>
    <w:rsid w:val="000B3E43"/>
    <w:rsid w:val="000B5CC0"/>
    <w:rsid w:val="000C1723"/>
    <w:rsid w:val="000C1B20"/>
    <w:rsid w:val="000C4107"/>
    <w:rsid w:val="000C45E7"/>
    <w:rsid w:val="000D01F4"/>
    <w:rsid w:val="000D1519"/>
    <w:rsid w:val="000D1C87"/>
    <w:rsid w:val="000E4456"/>
    <w:rsid w:val="000E59E6"/>
    <w:rsid w:val="000F175F"/>
    <w:rsid w:val="000F17D1"/>
    <w:rsid w:val="000F60FF"/>
    <w:rsid w:val="000F635F"/>
    <w:rsid w:val="000F6C61"/>
    <w:rsid w:val="000F709D"/>
    <w:rsid w:val="00100C12"/>
    <w:rsid w:val="00101DBA"/>
    <w:rsid w:val="001049B6"/>
    <w:rsid w:val="001051C6"/>
    <w:rsid w:val="00107CB4"/>
    <w:rsid w:val="0011177A"/>
    <w:rsid w:val="00112E9B"/>
    <w:rsid w:val="00116E31"/>
    <w:rsid w:val="00122A26"/>
    <w:rsid w:val="0012304E"/>
    <w:rsid w:val="001248EF"/>
    <w:rsid w:val="001257C7"/>
    <w:rsid w:val="00126DDF"/>
    <w:rsid w:val="001270BF"/>
    <w:rsid w:val="00127BAC"/>
    <w:rsid w:val="0013360F"/>
    <w:rsid w:val="00141121"/>
    <w:rsid w:val="00142A56"/>
    <w:rsid w:val="00143AF1"/>
    <w:rsid w:val="00144DF5"/>
    <w:rsid w:val="00145A97"/>
    <w:rsid w:val="00146485"/>
    <w:rsid w:val="00150AD6"/>
    <w:rsid w:val="001526F9"/>
    <w:rsid w:val="00153B40"/>
    <w:rsid w:val="00154ADA"/>
    <w:rsid w:val="0015531A"/>
    <w:rsid w:val="001600E8"/>
    <w:rsid w:val="00163B27"/>
    <w:rsid w:val="00165317"/>
    <w:rsid w:val="00165A09"/>
    <w:rsid w:val="00171BAD"/>
    <w:rsid w:val="00172606"/>
    <w:rsid w:val="0017347D"/>
    <w:rsid w:val="001744B4"/>
    <w:rsid w:val="001756A1"/>
    <w:rsid w:val="001761EE"/>
    <w:rsid w:val="0017659B"/>
    <w:rsid w:val="00176EAA"/>
    <w:rsid w:val="0017725A"/>
    <w:rsid w:val="001779ED"/>
    <w:rsid w:val="00177C4B"/>
    <w:rsid w:val="00182635"/>
    <w:rsid w:val="0018325A"/>
    <w:rsid w:val="00185053"/>
    <w:rsid w:val="00186199"/>
    <w:rsid w:val="001928F7"/>
    <w:rsid w:val="00194537"/>
    <w:rsid w:val="0019563C"/>
    <w:rsid w:val="00195F18"/>
    <w:rsid w:val="001968CE"/>
    <w:rsid w:val="00196E83"/>
    <w:rsid w:val="001A0A1E"/>
    <w:rsid w:val="001A21A9"/>
    <w:rsid w:val="001A59D8"/>
    <w:rsid w:val="001A5FA6"/>
    <w:rsid w:val="001A6A3B"/>
    <w:rsid w:val="001A6F8A"/>
    <w:rsid w:val="001B0A62"/>
    <w:rsid w:val="001B2F0C"/>
    <w:rsid w:val="001C13C9"/>
    <w:rsid w:val="001C37F6"/>
    <w:rsid w:val="001C6288"/>
    <w:rsid w:val="001D0DB0"/>
    <w:rsid w:val="001D0F6A"/>
    <w:rsid w:val="001D21BC"/>
    <w:rsid w:val="001D2FA5"/>
    <w:rsid w:val="001D35E0"/>
    <w:rsid w:val="001D3711"/>
    <w:rsid w:val="001D3CDF"/>
    <w:rsid w:val="001D5045"/>
    <w:rsid w:val="001D5A44"/>
    <w:rsid w:val="001D63BB"/>
    <w:rsid w:val="001D724B"/>
    <w:rsid w:val="001E11D3"/>
    <w:rsid w:val="001E2A6A"/>
    <w:rsid w:val="001E3742"/>
    <w:rsid w:val="001E3DC2"/>
    <w:rsid w:val="001E56FF"/>
    <w:rsid w:val="001E5C6B"/>
    <w:rsid w:val="001F03E1"/>
    <w:rsid w:val="001F3CC6"/>
    <w:rsid w:val="001F4530"/>
    <w:rsid w:val="001F5265"/>
    <w:rsid w:val="002010DE"/>
    <w:rsid w:val="00202885"/>
    <w:rsid w:val="00202968"/>
    <w:rsid w:val="00202C32"/>
    <w:rsid w:val="00203AEF"/>
    <w:rsid w:val="00211A26"/>
    <w:rsid w:val="002125F7"/>
    <w:rsid w:val="00214463"/>
    <w:rsid w:val="00214756"/>
    <w:rsid w:val="00215CF2"/>
    <w:rsid w:val="00217171"/>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BE3"/>
    <w:rsid w:val="0025158D"/>
    <w:rsid w:val="002517C2"/>
    <w:rsid w:val="0025281A"/>
    <w:rsid w:val="00253D3C"/>
    <w:rsid w:val="00255292"/>
    <w:rsid w:val="00257D8C"/>
    <w:rsid w:val="00257F8D"/>
    <w:rsid w:val="00260200"/>
    <w:rsid w:val="00263563"/>
    <w:rsid w:val="002648D8"/>
    <w:rsid w:val="00264E55"/>
    <w:rsid w:val="00267B74"/>
    <w:rsid w:val="00270548"/>
    <w:rsid w:val="00273F86"/>
    <w:rsid w:val="002774F0"/>
    <w:rsid w:val="00283272"/>
    <w:rsid w:val="0028459B"/>
    <w:rsid w:val="00284C5F"/>
    <w:rsid w:val="002873F0"/>
    <w:rsid w:val="00287AC3"/>
    <w:rsid w:val="0029046D"/>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4578"/>
    <w:rsid w:val="002C5777"/>
    <w:rsid w:val="002C5CB7"/>
    <w:rsid w:val="002D28FB"/>
    <w:rsid w:val="002D32E3"/>
    <w:rsid w:val="002D7B86"/>
    <w:rsid w:val="002E0FEB"/>
    <w:rsid w:val="002E300D"/>
    <w:rsid w:val="002F0F79"/>
    <w:rsid w:val="002F1CC8"/>
    <w:rsid w:val="002F280E"/>
    <w:rsid w:val="002F3709"/>
    <w:rsid w:val="002F3A6C"/>
    <w:rsid w:val="002F4296"/>
    <w:rsid w:val="00300951"/>
    <w:rsid w:val="003023C9"/>
    <w:rsid w:val="00302CA8"/>
    <w:rsid w:val="00302DE9"/>
    <w:rsid w:val="00305084"/>
    <w:rsid w:val="00310086"/>
    <w:rsid w:val="00312FE8"/>
    <w:rsid w:val="0031358C"/>
    <w:rsid w:val="00313AE2"/>
    <w:rsid w:val="0031630D"/>
    <w:rsid w:val="003204E9"/>
    <w:rsid w:val="00321E8C"/>
    <w:rsid w:val="00322A86"/>
    <w:rsid w:val="00323AE8"/>
    <w:rsid w:val="00324548"/>
    <w:rsid w:val="003251F4"/>
    <w:rsid w:val="003303E3"/>
    <w:rsid w:val="00331FA4"/>
    <w:rsid w:val="003329EA"/>
    <w:rsid w:val="003347EF"/>
    <w:rsid w:val="00337293"/>
    <w:rsid w:val="003407A5"/>
    <w:rsid w:val="00341188"/>
    <w:rsid w:val="0034147B"/>
    <w:rsid w:val="00345AA8"/>
    <w:rsid w:val="00347329"/>
    <w:rsid w:val="00350238"/>
    <w:rsid w:val="0035109C"/>
    <w:rsid w:val="00351F0A"/>
    <w:rsid w:val="0035432B"/>
    <w:rsid w:val="00357172"/>
    <w:rsid w:val="0035753B"/>
    <w:rsid w:val="003613A8"/>
    <w:rsid w:val="00361E7E"/>
    <w:rsid w:val="0036360E"/>
    <w:rsid w:val="00364504"/>
    <w:rsid w:val="00364559"/>
    <w:rsid w:val="00370AA4"/>
    <w:rsid w:val="00371FF4"/>
    <w:rsid w:val="00376C39"/>
    <w:rsid w:val="00377520"/>
    <w:rsid w:val="003802CC"/>
    <w:rsid w:val="00380D36"/>
    <w:rsid w:val="003822D3"/>
    <w:rsid w:val="0038237A"/>
    <w:rsid w:val="003834E0"/>
    <w:rsid w:val="00384C43"/>
    <w:rsid w:val="00386630"/>
    <w:rsid w:val="00390B25"/>
    <w:rsid w:val="00397156"/>
    <w:rsid w:val="00397960"/>
    <w:rsid w:val="003A0A94"/>
    <w:rsid w:val="003A13F8"/>
    <w:rsid w:val="003A3BC4"/>
    <w:rsid w:val="003A458A"/>
    <w:rsid w:val="003B2DA8"/>
    <w:rsid w:val="003B2F13"/>
    <w:rsid w:val="003B405E"/>
    <w:rsid w:val="003B57D3"/>
    <w:rsid w:val="003C1A49"/>
    <w:rsid w:val="003C1F58"/>
    <w:rsid w:val="003C6C58"/>
    <w:rsid w:val="003C792F"/>
    <w:rsid w:val="003D124B"/>
    <w:rsid w:val="003D18F3"/>
    <w:rsid w:val="003D23CB"/>
    <w:rsid w:val="003D6F64"/>
    <w:rsid w:val="003D78B5"/>
    <w:rsid w:val="003E244F"/>
    <w:rsid w:val="003E62A6"/>
    <w:rsid w:val="003E688B"/>
    <w:rsid w:val="003E68A0"/>
    <w:rsid w:val="003E695F"/>
    <w:rsid w:val="003E6C9B"/>
    <w:rsid w:val="003E709C"/>
    <w:rsid w:val="003E7B89"/>
    <w:rsid w:val="003F1BDC"/>
    <w:rsid w:val="003F4241"/>
    <w:rsid w:val="003F7040"/>
    <w:rsid w:val="003F7C45"/>
    <w:rsid w:val="0040132C"/>
    <w:rsid w:val="00405085"/>
    <w:rsid w:val="00405481"/>
    <w:rsid w:val="004066FC"/>
    <w:rsid w:val="00407C10"/>
    <w:rsid w:val="004103DF"/>
    <w:rsid w:val="00410E6E"/>
    <w:rsid w:val="004113B4"/>
    <w:rsid w:val="00413689"/>
    <w:rsid w:val="004143D6"/>
    <w:rsid w:val="00414827"/>
    <w:rsid w:val="00416C10"/>
    <w:rsid w:val="00420355"/>
    <w:rsid w:val="00421E6B"/>
    <w:rsid w:val="00424EF3"/>
    <w:rsid w:val="004268BB"/>
    <w:rsid w:val="00431047"/>
    <w:rsid w:val="004318F0"/>
    <w:rsid w:val="00431B86"/>
    <w:rsid w:val="00435368"/>
    <w:rsid w:val="004408EC"/>
    <w:rsid w:val="004419E2"/>
    <w:rsid w:val="00441E6A"/>
    <w:rsid w:val="0044398D"/>
    <w:rsid w:val="00443C8F"/>
    <w:rsid w:val="00447C82"/>
    <w:rsid w:val="00450215"/>
    <w:rsid w:val="00452481"/>
    <w:rsid w:val="00455EE5"/>
    <w:rsid w:val="00457251"/>
    <w:rsid w:val="004575E9"/>
    <w:rsid w:val="004576F2"/>
    <w:rsid w:val="00457804"/>
    <w:rsid w:val="004646BF"/>
    <w:rsid w:val="00464744"/>
    <w:rsid w:val="004665E3"/>
    <w:rsid w:val="00467683"/>
    <w:rsid w:val="004731F1"/>
    <w:rsid w:val="00475162"/>
    <w:rsid w:val="00480BC8"/>
    <w:rsid w:val="00481265"/>
    <w:rsid w:val="004814BF"/>
    <w:rsid w:val="0048587E"/>
    <w:rsid w:val="00487C2B"/>
    <w:rsid w:val="00490626"/>
    <w:rsid w:val="00491631"/>
    <w:rsid w:val="0049297D"/>
    <w:rsid w:val="004929F2"/>
    <w:rsid w:val="00494580"/>
    <w:rsid w:val="00494E27"/>
    <w:rsid w:val="00495A03"/>
    <w:rsid w:val="004967FC"/>
    <w:rsid w:val="00497079"/>
    <w:rsid w:val="004976EE"/>
    <w:rsid w:val="004A00BD"/>
    <w:rsid w:val="004A1A57"/>
    <w:rsid w:val="004A1BBA"/>
    <w:rsid w:val="004A3E3C"/>
    <w:rsid w:val="004B0E4B"/>
    <w:rsid w:val="004B0E6D"/>
    <w:rsid w:val="004B16E8"/>
    <w:rsid w:val="004B2DB9"/>
    <w:rsid w:val="004B5E54"/>
    <w:rsid w:val="004B6250"/>
    <w:rsid w:val="004B76B1"/>
    <w:rsid w:val="004C0057"/>
    <w:rsid w:val="004C03A7"/>
    <w:rsid w:val="004C0541"/>
    <w:rsid w:val="004C2C46"/>
    <w:rsid w:val="004C5189"/>
    <w:rsid w:val="004C7235"/>
    <w:rsid w:val="004C7955"/>
    <w:rsid w:val="004D047F"/>
    <w:rsid w:val="004D1930"/>
    <w:rsid w:val="004D1A45"/>
    <w:rsid w:val="004D3D96"/>
    <w:rsid w:val="004D5C1F"/>
    <w:rsid w:val="004D650F"/>
    <w:rsid w:val="004E2133"/>
    <w:rsid w:val="004E5AB9"/>
    <w:rsid w:val="004E60FB"/>
    <w:rsid w:val="004F4EA9"/>
    <w:rsid w:val="004F779C"/>
    <w:rsid w:val="004F7846"/>
    <w:rsid w:val="005000D4"/>
    <w:rsid w:val="0050069E"/>
    <w:rsid w:val="005009C0"/>
    <w:rsid w:val="00500F1D"/>
    <w:rsid w:val="0050148E"/>
    <w:rsid w:val="00504285"/>
    <w:rsid w:val="00504432"/>
    <w:rsid w:val="00505EE0"/>
    <w:rsid w:val="0050638D"/>
    <w:rsid w:val="00510CAF"/>
    <w:rsid w:val="00511B6A"/>
    <w:rsid w:val="005128C5"/>
    <w:rsid w:val="00514754"/>
    <w:rsid w:val="0051478B"/>
    <w:rsid w:val="0051566A"/>
    <w:rsid w:val="00515D7B"/>
    <w:rsid w:val="005166E9"/>
    <w:rsid w:val="0052009E"/>
    <w:rsid w:val="00521065"/>
    <w:rsid w:val="00524EC3"/>
    <w:rsid w:val="00525E59"/>
    <w:rsid w:val="005318CC"/>
    <w:rsid w:val="00531D1B"/>
    <w:rsid w:val="005349B1"/>
    <w:rsid w:val="005374BC"/>
    <w:rsid w:val="00543188"/>
    <w:rsid w:val="00543367"/>
    <w:rsid w:val="00543BFA"/>
    <w:rsid w:val="00547D9C"/>
    <w:rsid w:val="00547DA1"/>
    <w:rsid w:val="00551CED"/>
    <w:rsid w:val="00554EAB"/>
    <w:rsid w:val="0055513C"/>
    <w:rsid w:val="00560C94"/>
    <w:rsid w:val="00560F37"/>
    <w:rsid w:val="0056291C"/>
    <w:rsid w:val="00565A63"/>
    <w:rsid w:val="00566588"/>
    <w:rsid w:val="00570B1A"/>
    <w:rsid w:val="00572736"/>
    <w:rsid w:val="0057275D"/>
    <w:rsid w:val="005800A9"/>
    <w:rsid w:val="00580488"/>
    <w:rsid w:val="0058074D"/>
    <w:rsid w:val="00580FD1"/>
    <w:rsid w:val="0058111B"/>
    <w:rsid w:val="00582FAD"/>
    <w:rsid w:val="00583489"/>
    <w:rsid w:val="00583A98"/>
    <w:rsid w:val="00584D71"/>
    <w:rsid w:val="005858C4"/>
    <w:rsid w:val="00590FE4"/>
    <w:rsid w:val="00591D9C"/>
    <w:rsid w:val="00597057"/>
    <w:rsid w:val="00597D8B"/>
    <w:rsid w:val="005A1C30"/>
    <w:rsid w:val="005A2769"/>
    <w:rsid w:val="005A2DCB"/>
    <w:rsid w:val="005A3295"/>
    <w:rsid w:val="005A46FF"/>
    <w:rsid w:val="005A6166"/>
    <w:rsid w:val="005B011E"/>
    <w:rsid w:val="005B1C7D"/>
    <w:rsid w:val="005B1DEC"/>
    <w:rsid w:val="005B2E84"/>
    <w:rsid w:val="005B53CA"/>
    <w:rsid w:val="005B5A04"/>
    <w:rsid w:val="005B7B0E"/>
    <w:rsid w:val="005C0A04"/>
    <w:rsid w:val="005C5409"/>
    <w:rsid w:val="005C69AC"/>
    <w:rsid w:val="005C722E"/>
    <w:rsid w:val="005D01A4"/>
    <w:rsid w:val="005D14DE"/>
    <w:rsid w:val="005D3F12"/>
    <w:rsid w:val="005D44E4"/>
    <w:rsid w:val="005D45B3"/>
    <w:rsid w:val="005D4CEB"/>
    <w:rsid w:val="005E491F"/>
    <w:rsid w:val="005E58CE"/>
    <w:rsid w:val="005E59E9"/>
    <w:rsid w:val="005F04E6"/>
    <w:rsid w:val="005F23CA"/>
    <w:rsid w:val="005F43B9"/>
    <w:rsid w:val="005F68CB"/>
    <w:rsid w:val="005F6A4A"/>
    <w:rsid w:val="005F7D6F"/>
    <w:rsid w:val="00602154"/>
    <w:rsid w:val="006033E3"/>
    <w:rsid w:val="00604FE3"/>
    <w:rsid w:val="0061321C"/>
    <w:rsid w:val="00620DB0"/>
    <w:rsid w:val="0062386E"/>
    <w:rsid w:val="00623D9A"/>
    <w:rsid w:val="00623F01"/>
    <w:rsid w:val="006242FB"/>
    <w:rsid w:val="00626E2D"/>
    <w:rsid w:val="00627D94"/>
    <w:rsid w:val="00630B42"/>
    <w:rsid w:val="00636CDE"/>
    <w:rsid w:val="00637BA7"/>
    <w:rsid w:val="00640ACD"/>
    <w:rsid w:val="00642072"/>
    <w:rsid w:val="00643330"/>
    <w:rsid w:val="006440ED"/>
    <w:rsid w:val="00645293"/>
    <w:rsid w:val="00647C64"/>
    <w:rsid w:val="00651B78"/>
    <w:rsid w:val="00652263"/>
    <w:rsid w:val="00652881"/>
    <w:rsid w:val="00661974"/>
    <w:rsid w:val="00664551"/>
    <w:rsid w:val="00664E44"/>
    <w:rsid w:val="00665677"/>
    <w:rsid w:val="0066704D"/>
    <w:rsid w:val="006676A0"/>
    <w:rsid w:val="00670857"/>
    <w:rsid w:val="00671124"/>
    <w:rsid w:val="006727B0"/>
    <w:rsid w:val="0067307E"/>
    <w:rsid w:val="00677AC6"/>
    <w:rsid w:val="00687AD5"/>
    <w:rsid w:val="00691AFA"/>
    <w:rsid w:val="0069335C"/>
    <w:rsid w:val="00695251"/>
    <w:rsid w:val="00695ADE"/>
    <w:rsid w:val="00695C0D"/>
    <w:rsid w:val="00696356"/>
    <w:rsid w:val="006A72C6"/>
    <w:rsid w:val="006B02DA"/>
    <w:rsid w:val="006B2065"/>
    <w:rsid w:val="006B315F"/>
    <w:rsid w:val="006B3940"/>
    <w:rsid w:val="006C168D"/>
    <w:rsid w:val="006C1D5C"/>
    <w:rsid w:val="006C3C80"/>
    <w:rsid w:val="006C3F43"/>
    <w:rsid w:val="006C642C"/>
    <w:rsid w:val="006C6FC6"/>
    <w:rsid w:val="006D2AB1"/>
    <w:rsid w:val="006D442E"/>
    <w:rsid w:val="006D6A40"/>
    <w:rsid w:val="006D6F20"/>
    <w:rsid w:val="006D7693"/>
    <w:rsid w:val="006E231B"/>
    <w:rsid w:val="006E346E"/>
    <w:rsid w:val="006E34B7"/>
    <w:rsid w:val="006E7B46"/>
    <w:rsid w:val="006F0F87"/>
    <w:rsid w:val="006F2F3E"/>
    <w:rsid w:val="006F4CD8"/>
    <w:rsid w:val="006F53D9"/>
    <w:rsid w:val="006F6A94"/>
    <w:rsid w:val="007004DC"/>
    <w:rsid w:val="00701575"/>
    <w:rsid w:val="00701A03"/>
    <w:rsid w:val="00703E8A"/>
    <w:rsid w:val="00711522"/>
    <w:rsid w:val="007124FE"/>
    <w:rsid w:val="00712EE5"/>
    <w:rsid w:val="00713186"/>
    <w:rsid w:val="00713757"/>
    <w:rsid w:val="0071379B"/>
    <w:rsid w:val="0071497D"/>
    <w:rsid w:val="00715062"/>
    <w:rsid w:val="00717772"/>
    <w:rsid w:val="0072122C"/>
    <w:rsid w:val="00721AF1"/>
    <w:rsid w:val="0072280F"/>
    <w:rsid w:val="00722B5E"/>
    <w:rsid w:val="00723309"/>
    <w:rsid w:val="00723845"/>
    <w:rsid w:val="0072708F"/>
    <w:rsid w:val="007323FB"/>
    <w:rsid w:val="00732D1D"/>
    <w:rsid w:val="00736034"/>
    <w:rsid w:val="0073681C"/>
    <w:rsid w:val="00741EBE"/>
    <w:rsid w:val="00746130"/>
    <w:rsid w:val="007467A8"/>
    <w:rsid w:val="00746A40"/>
    <w:rsid w:val="007479DC"/>
    <w:rsid w:val="00750358"/>
    <w:rsid w:val="00755CDF"/>
    <w:rsid w:val="00757A4C"/>
    <w:rsid w:val="0076110A"/>
    <w:rsid w:val="00764A94"/>
    <w:rsid w:val="00764DC3"/>
    <w:rsid w:val="007651E5"/>
    <w:rsid w:val="007670DC"/>
    <w:rsid w:val="00767239"/>
    <w:rsid w:val="0077111A"/>
    <w:rsid w:val="00772272"/>
    <w:rsid w:val="00774C7D"/>
    <w:rsid w:val="007756ED"/>
    <w:rsid w:val="007869A0"/>
    <w:rsid w:val="00786A23"/>
    <w:rsid w:val="007870FC"/>
    <w:rsid w:val="00787CD0"/>
    <w:rsid w:val="00791053"/>
    <w:rsid w:val="00791A3A"/>
    <w:rsid w:val="00794196"/>
    <w:rsid w:val="00797637"/>
    <w:rsid w:val="007A2E54"/>
    <w:rsid w:val="007A3680"/>
    <w:rsid w:val="007A59B8"/>
    <w:rsid w:val="007B2862"/>
    <w:rsid w:val="007B662A"/>
    <w:rsid w:val="007B6FEC"/>
    <w:rsid w:val="007C1A93"/>
    <w:rsid w:val="007C751E"/>
    <w:rsid w:val="007D021A"/>
    <w:rsid w:val="007D28C9"/>
    <w:rsid w:val="007D3CC8"/>
    <w:rsid w:val="007D62F9"/>
    <w:rsid w:val="007D63A4"/>
    <w:rsid w:val="007D7639"/>
    <w:rsid w:val="007E1AA2"/>
    <w:rsid w:val="007E4C1F"/>
    <w:rsid w:val="007F0746"/>
    <w:rsid w:val="007F0759"/>
    <w:rsid w:val="007F25C0"/>
    <w:rsid w:val="007F456A"/>
    <w:rsid w:val="007F4C9B"/>
    <w:rsid w:val="007F5F52"/>
    <w:rsid w:val="007F77C6"/>
    <w:rsid w:val="007F77D8"/>
    <w:rsid w:val="008003A1"/>
    <w:rsid w:val="008006B7"/>
    <w:rsid w:val="00800FDB"/>
    <w:rsid w:val="00802081"/>
    <w:rsid w:val="008020B5"/>
    <w:rsid w:val="008021E8"/>
    <w:rsid w:val="008034CF"/>
    <w:rsid w:val="00803F15"/>
    <w:rsid w:val="008063D8"/>
    <w:rsid w:val="00806461"/>
    <w:rsid w:val="00806722"/>
    <w:rsid w:val="0081096D"/>
    <w:rsid w:val="00810EAD"/>
    <w:rsid w:val="00811833"/>
    <w:rsid w:val="008174D4"/>
    <w:rsid w:val="00820FE6"/>
    <w:rsid w:val="00821A66"/>
    <w:rsid w:val="00822476"/>
    <w:rsid w:val="00822882"/>
    <w:rsid w:val="0082435E"/>
    <w:rsid w:val="00824CB2"/>
    <w:rsid w:val="00825F68"/>
    <w:rsid w:val="0082678A"/>
    <w:rsid w:val="008273D3"/>
    <w:rsid w:val="00835408"/>
    <w:rsid w:val="008359DA"/>
    <w:rsid w:val="00837CEF"/>
    <w:rsid w:val="00840035"/>
    <w:rsid w:val="00840220"/>
    <w:rsid w:val="008419D5"/>
    <w:rsid w:val="00841B65"/>
    <w:rsid w:val="008428A9"/>
    <w:rsid w:val="00844112"/>
    <w:rsid w:val="008444F2"/>
    <w:rsid w:val="008456C9"/>
    <w:rsid w:val="0084611D"/>
    <w:rsid w:val="00847BEF"/>
    <w:rsid w:val="00847D9E"/>
    <w:rsid w:val="00850C62"/>
    <w:rsid w:val="008624F9"/>
    <w:rsid w:val="00863011"/>
    <w:rsid w:val="00865075"/>
    <w:rsid w:val="00866F96"/>
    <w:rsid w:val="0086748F"/>
    <w:rsid w:val="00872CE4"/>
    <w:rsid w:val="00874F4B"/>
    <w:rsid w:val="0087539B"/>
    <w:rsid w:val="00877B62"/>
    <w:rsid w:val="00880199"/>
    <w:rsid w:val="00881015"/>
    <w:rsid w:val="008810B0"/>
    <w:rsid w:val="008813D6"/>
    <w:rsid w:val="008819B6"/>
    <w:rsid w:val="00881AAC"/>
    <w:rsid w:val="0088267B"/>
    <w:rsid w:val="008836B7"/>
    <w:rsid w:val="008841D3"/>
    <w:rsid w:val="0088709F"/>
    <w:rsid w:val="00887DE6"/>
    <w:rsid w:val="00894C2A"/>
    <w:rsid w:val="00897708"/>
    <w:rsid w:val="00897D88"/>
    <w:rsid w:val="008A2F16"/>
    <w:rsid w:val="008B1823"/>
    <w:rsid w:val="008B203C"/>
    <w:rsid w:val="008B6E16"/>
    <w:rsid w:val="008B7110"/>
    <w:rsid w:val="008C2029"/>
    <w:rsid w:val="008C61D6"/>
    <w:rsid w:val="008C64F1"/>
    <w:rsid w:val="008D1531"/>
    <w:rsid w:val="008D1BB0"/>
    <w:rsid w:val="008D20FF"/>
    <w:rsid w:val="008D2265"/>
    <w:rsid w:val="008D3DE6"/>
    <w:rsid w:val="008D4223"/>
    <w:rsid w:val="008D44CC"/>
    <w:rsid w:val="008D46E3"/>
    <w:rsid w:val="008D6709"/>
    <w:rsid w:val="008D7EF7"/>
    <w:rsid w:val="008E083A"/>
    <w:rsid w:val="008E1338"/>
    <w:rsid w:val="008E2450"/>
    <w:rsid w:val="008E2983"/>
    <w:rsid w:val="008E6038"/>
    <w:rsid w:val="008E7896"/>
    <w:rsid w:val="008F2477"/>
    <w:rsid w:val="008F2F2B"/>
    <w:rsid w:val="008F385C"/>
    <w:rsid w:val="008F3EF6"/>
    <w:rsid w:val="008F4AAB"/>
    <w:rsid w:val="008F60C5"/>
    <w:rsid w:val="00900A07"/>
    <w:rsid w:val="009010F0"/>
    <w:rsid w:val="00901162"/>
    <w:rsid w:val="0090223A"/>
    <w:rsid w:val="009028E2"/>
    <w:rsid w:val="009135C1"/>
    <w:rsid w:val="00914EAB"/>
    <w:rsid w:val="00916597"/>
    <w:rsid w:val="00922D49"/>
    <w:rsid w:val="009259CF"/>
    <w:rsid w:val="00925E37"/>
    <w:rsid w:val="00925EDD"/>
    <w:rsid w:val="00927D0E"/>
    <w:rsid w:val="009309DA"/>
    <w:rsid w:val="00936688"/>
    <w:rsid w:val="00937CFA"/>
    <w:rsid w:val="009406B3"/>
    <w:rsid w:val="00942DF0"/>
    <w:rsid w:val="00945CF5"/>
    <w:rsid w:val="009500A1"/>
    <w:rsid w:val="0095037E"/>
    <w:rsid w:val="00950845"/>
    <w:rsid w:val="00952AAD"/>
    <w:rsid w:val="00954567"/>
    <w:rsid w:val="009547A9"/>
    <w:rsid w:val="009548FE"/>
    <w:rsid w:val="009550A5"/>
    <w:rsid w:val="00956F0B"/>
    <w:rsid w:val="00957466"/>
    <w:rsid w:val="0096260B"/>
    <w:rsid w:val="009664D5"/>
    <w:rsid w:val="00970C69"/>
    <w:rsid w:val="00971DF7"/>
    <w:rsid w:val="00971F1C"/>
    <w:rsid w:val="0097211D"/>
    <w:rsid w:val="00972E10"/>
    <w:rsid w:val="009746CA"/>
    <w:rsid w:val="00974975"/>
    <w:rsid w:val="00974EA8"/>
    <w:rsid w:val="00975555"/>
    <w:rsid w:val="00977154"/>
    <w:rsid w:val="00981963"/>
    <w:rsid w:val="00983C82"/>
    <w:rsid w:val="00984520"/>
    <w:rsid w:val="0098545C"/>
    <w:rsid w:val="00992BA2"/>
    <w:rsid w:val="00992F83"/>
    <w:rsid w:val="0099508A"/>
    <w:rsid w:val="009974EB"/>
    <w:rsid w:val="009A037F"/>
    <w:rsid w:val="009A1126"/>
    <w:rsid w:val="009A552C"/>
    <w:rsid w:val="009A63AC"/>
    <w:rsid w:val="009B1584"/>
    <w:rsid w:val="009B1B32"/>
    <w:rsid w:val="009B21CA"/>
    <w:rsid w:val="009B2648"/>
    <w:rsid w:val="009B2EE9"/>
    <w:rsid w:val="009C03E5"/>
    <w:rsid w:val="009C0C11"/>
    <w:rsid w:val="009C3730"/>
    <w:rsid w:val="009C37BD"/>
    <w:rsid w:val="009C3AAC"/>
    <w:rsid w:val="009C4D19"/>
    <w:rsid w:val="009C5FDB"/>
    <w:rsid w:val="009C6493"/>
    <w:rsid w:val="009C693E"/>
    <w:rsid w:val="009C70CB"/>
    <w:rsid w:val="009D1EA4"/>
    <w:rsid w:val="009D27AA"/>
    <w:rsid w:val="009D38BA"/>
    <w:rsid w:val="009D4991"/>
    <w:rsid w:val="009D5BB5"/>
    <w:rsid w:val="009D696D"/>
    <w:rsid w:val="009D6ED2"/>
    <w:rsid w:val="009D7F16"/>
    <w:rsid w:val="009E0F1A"/>
    <w:rsid w:val="009E140D"/>
    <w:rsid w:val="009E348F"/>
    <w:rsid w:val="009E4465"/>
    <w:rsid w:val="009E4DF2"/>
    <w:rsid w:val="009E6401"/>
    <w:rsid w:val="009E6C54"/>
    <w:rsid w:val="009F2261"/>
    <w:rsid w:val="009F2A25"/>
    <w:rsid w:val="009F5235"/>
    <w:rsid w:val="009F531A"/>
    <w:rsid w:val="009F6550"/>
    <w:rsid w:val="009F786E"/>
    <w:rsid w:val="00A00902"/>
    <w:rsid w:val="00A039FF"/>
    <w:rsid w:val="00A0522C"/>
    <w:rsid w:val="00A05ACE"/>
    <w:rsid w:val="00A078CB"/>
    <w:rsid w:val="00A125F9"/>
    <w:rsid w:val="00A14AE3"/>
    <w:rsid w:val="00A16675"/>
    <w:rsid w:val="00A22CD6"/>
    <w:rsid w:val="00A234EC"/>
    <w:rsid w:val="00A2417A"/>
    <w:rsid w:val="00A26668"/>
    <w:rsid w:val="00A27804"/>
    <w:rsid w:val="00A27CB0"/>
    <w:rsid w:val="00A3489D"/>
    <w:rsid w:val="00A348F0"/>
    <w:rsid w:val="00A36822"/>
    <w:rsid w:val="00A36AB5"/>
    <w:rsid w:val="00A411D1"/>
    <w:rsid w:val="00A4276F"/>
    <w:rsid w:val="00A428A4"/>
    <w:rsid w:val="00A42CE1"/>
    <w:rsid w:val="00A43389"/>
    <w:rsid w:val="00A43E71"/>
    <w:rsid w:val="00A45753"/>
    <w:rsid w:val="00A47B15"/>
    <w:rsid w:val="00A52F84"/>
    <w:rsid w:val="00A56B05"/>
    <w:rsid w:val="00A57678"/>
    <w:rsid w:val="00A60E2F"/>
    <w:rsid w:val="00A61166"/>
    <w:rsid w:val="00A618F3"/>
    <w:rsid w:val="00A62673"/>
    <w:rsid w:val="00A63284"/>
    <w:rsid w:val="00A64CB8"/>
    <w:rsid w:val="00A67018"/>
    <w:rsid w:val="00A672F3"/>
    <w:rsid w:val="00A673DC"/>
    <w:rsid w:val="00A677FA"/>
    <w:rsid w:val="00A7076E"/>
    <w:rsid w:val="00A709BE"/>
    <w:rsid w:val="00A7162E"/>
    <w:rsid w:val="00A7195A"/>
    <w:rsid w:val="00A72D71"/>
    <w:rsid w:val="00A75705"/>
    <w:rsid w:val="00A77C69"/>
    <w:rsid w:val="00A829DE"/>
    <w:rsid w:val="00A83953"/>
    <w:rsid w:val="00A84113"/>
    <w:rsid w:val="00A85AF5"/>
    <w:rsid w:val="00A903B6"/>
    <w:rsid w:val="00A90F4F"/>
    <w:rsid w:val="00A92C40"/>
    <w:rsid w:val="00A947AA"/>
    <w:rsid w:val="00AA0AC5"/>
    <w:rsid w:val="00AA19FE"/>
    <w:rsid w:val="00AA1B53"/>
    <w:rsid w:val="00AA3556"/>
    <w:rsid w:val="00AA35FD"/>
    <w:rsid w:val="00AA38A5"/>
    <w:rsid w:val="00AA3ADC"/>
    <w:rsid w:val="00AA3DB7"/>
    <w:rsid w:val="00AA6B2E"/>
    <w:rsid w:val="00AB3012"/>
    <w:rsid w:val="00AB321C"/>
    <w:rsid w:val="00AB5B99"/>
    <w:rsid w:val="00AB688F"/>
    <w:rsid w:val="00AB75EA"/>
    <w:rsid w:val="00AB7AA2"/>
    <w:rsid w:val="00AC44D9"/>
    <w:rsid w:val="00AC4BC1"/>
    <w:rsid w:val="00AC6FFD"/>
    <w:rsid w:val="00AD04BD"/>
    <w:rsid w:val="00AD25F6"/>
    <w:rsid w:val="00AD67CB"/>
    <w:rsid w:val="00AD7214"/>
    <w:rsid w:val="00AE1066"/>
    <w:rsid w:val="00AE44A1"/>
    <w:rsid w:val="00AE4518"/>
    <w:rsid w:val="00AE5D7F"/>
    <w:rsid w:val="00AE79F0"/>
    <w:rsid w:val="00AE7FCD"/>
    <w:rsid w:val="00AF0030"/>
    <w:rsid w:val="00AF2DAE"/>
    <w:rsid w:val="00AF5585"/>
    <w:rsid w:val="00AF6EC1"/>
    <w:rsid w:val="00B00331"/>
    <w:rsid w:val="00B01A80"/>
    <w:rsid w:val="00B03EF2"/>
    <w:rsid w:val="00B07C27"/>
    <w:rsid w:val="00B10017"/>
    <w:rsid w:val="00B10DE1"/>
    <w:rsid w:val="00B10FF8"/>
    <w:rsid w:val="00B203C4"/>
    <w:rsid w:val="00B20E50"/>
    <w:rsid w:val="00B22E81"/>
    <w:rsid w:val="00B23996"/>
    <w:rsid w:val="00B23CB2"/>
    <w:rsid w:val="00B2561A"/>
    <w:rsid w:val="00B25A64"/>
    <w:rsid w:val="00B32AB3"/>
    <w:rsid w:val="00B34E7C"/>
    <w:rsid w:val="00B368EA"/>
    <w:rsid w:val="00B37EEF"/>
    <w:rsid w:val="00B51D20"/>
    <w:rsid w:val="00B5298E"/>
    <w:rsid w:val="00B54370"/>
    <w:rsid w:val="00B54B5F"/>
    <w:rsid w:val="00B55185"/>
    <w:rsid w:val="00B57508"/>
    <w:rsid w:val="00B60D38"/>
    <w:rsid w:val="00B61923"/>
    <w:rsid w:val="00B621D6"/>
    <w:rsid w:val="00B63EF5"/>
    <w:rsid w:val="00B65D6F"/>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40D"/>
    <w:rsid w:val="00BA22A8"/>
    <w:rsid w:val="00BA285B"/>
    <w:rsid w:val="00BA3E48"/>
    <w:rsid w:val="00BA4BD3"/>
    <w:rsid w:val="00BA7473"/>
    <w:rsid w:val="00BB0187"/>
    <w:rsid w:val="00BB07B5"/>
    <w:rsid w:val="00BB1EB3"/>
    <w:rsid w:val="00BB22CA"/>
    <w:rsid w:val="00BB2678"/>
    <w:rsid w:val="00BB3E96"/>
    <w:rsid w:val="00BC013A"/>
    <w:rsid w:val="00BC2343"/>
    <w:rsid w:val="00BC23F8"/>
    <w:rsid w:val="00BD30C8"/>
    <w:rsid w:val="00BD3EB4"/>
    <w:rsid w:val="00BD5C65"/>
    <w:rsid w:val="00BD7DB4"/>
    <w:rsid w:val="00BE1A80"/>
    <w:rsid w:val="00BE2F07"/>
    <w:rsid w:val="00BE6018"/>
    <w:rsid w:val="00BF0F8F"/>
    <w:rsid w:val="00BF18E8"/>
    <w:rsid w:val="00BF1F57"/>
    <w:rsid w:val="00BF4086"/>
    <w:rsid w:val="00BF426C"/>
    <w:rsid w:val="00BF47C9"/>
    <w:rsid w:val="00BF4E32"/>
    <w:rsid w:val="00BF58D0"/>
    <w:rsid w:val="00BF7D6A"/>
    <w:rsid w:val="00C013E1"/>
    <w:rsid w:val="00C01611"/>
    <w:rsid w:val="00C02D59"/>
    <w:rsid w:val="00C030B6"/>
    <w:rsid w:val="00C03284"/>
    <w:rsid w:val="00C050D7"/>
    <w:rsid w:val="00C05B5F"/>
    <w:rsid w:val="00C06372"/>
    <w:rsid w:val="00C104CC"/>
    <w:rsid w:val="00C152FE"/>
    <w:rsid w:val="00C1648E"/>
    <w:rsid w:val="00C16739"/>
    <w:rsid w:val="00C21C43"/>
    <w:rsid w:val="00C22C7D"/>
    <w:rsid w:val="00C22CCE"/>
    <w:rsid w:val="00C231D6"/>
    <w:rsid w:val="00C23BA2"/>
    <w:rsid w:val="00C27466"/>
    <w:rsid w:val="00C32AF2"/>
    <w:rsid w:val="00C33204"/>
    <w:rsid w:val="00C338EB"/>
    <w:rsid w:val="00C3465D"/>
    <w:rsid w:val="00C379E9"/>
    <w:rsid w:val="00C439FB"/>
    <w:rsid w:val="00C43F23"/>
    <w:rsid w:val="00C47790"/>
    <w:rsid w:val="00C50011"/>
    <w:rsid w:val="00C5274B"/>
    <w:rsid w:val="00C55A77"/>
    <w:rsid w:val="00C55B19"/>
    <w:rsid w:val="00C645E6"/>
    <w:rsid w:val="00C64D82"/>
    <w:rsid w:val="00C64FBC"/>
    <w:rsid w:val="00C65A83"/>
    <w:rsid w:val="00C72C6F"/>
    <w:rsid w:val="00C75569"/>
    <w:rsid w:val="00C7654B"/>
    <w:rsid w:val="00C76CF1"/>
    <w:rsid w:val="00C80F23"/>
    <w:rsid w:val="00C81151"/>
    <w:rsid w:val="00C82CC6"/>
    <w:rsid w:val="00C850A3"/>
    <w:rsid w:val="00C85C32"/>
    <w:rsid w:val="00C85F94"/>
    <w:rsid w:val="00C87568"/>
    <w:rsid w:val="00C90DA7"/>
    <w:rsid w:val="00C90DB6"/>
    <w:rsid w:val="00C9394F"/>
    <w:rsid w:val="00C93B1A"/>
    <w:rsid w:val="00C96A14"/>
    <w:rsid w:val="00C96F5F"/>
    <w:rsid w:val="00CA21B5"/>
    <w:rsid w:val="00CA5927"/>
    <w:rsid w:val="00CA79EC"/>
    <w:rsid w:val="00CB26A5"/>
    <w:rsid w:val="00CB39C2"/>
    <w:rsid w:val="00CB4664"/>
    <w:rsid w:val="00CB4C8C"/>
    <w:rsid w:val="00CB5BFD"/>
    <w:rsid w:val="00CB6782"/>
    <w:rsid w:val="00CC080A"/>
    <w:rsid w:val="00CC52E1"/>
    <w:rsid w:val="00CD319D"/>
    <w:rsid w:val="00CD6BC3"/>
    <w:rsid w:val="00CD72D0"/>
    <w:rsid w:val="00CE3519"/>
    <w:rsid w:val="00CE5277"/>
    <w:rsid w:val="00CE6358"/>
    <w:rsid w:val="00CF2D54"/>
    <w:rsid w:val="00CF3CDE"/>
    <w:rsid w:val="00CF6570"/>
    <w:rsid w:val="00D03538"/>
    <w:rsid w:val="00D049B8"/>
    <w:rsid w:val="00D0516C"/>
    <w:rsid w:val="00D05EE7"/>
    <w:rsid w:val="00D068D0"/>
    <w:rsid w:val="00D078D1"/>
    <w:rsid w:val="00D129A8"/>
    <w:rsid w:val="00D12FB9"/>
    <w:rsid w:val="00D200BD"/>
    <w:rsid w:val="00D22399"/>
    <w:rsid w:val="00D26460"/>
    <w:rsid w:val="00D3268B"/>
    <w:rsid w:val="00D33751"/>
    <w:rsid w:val="00D33924"/>
    <w:rsid w:val="00D36F6E"/>
    <w:rsid w:val="00D37343"/>
    <w:rsid w:val="00D4205E"/>
    <w:rsid w:val="00D42507"/>
    <w:rsid w:val="00D50E63"/>
    <w:rsid w:val="00D5574C"/>
    <w:rsid w:val="00D61982"/>
    <w:rsid w:val="00D6267A"/>
    <w:rsid w:val="00D67D12"/>
    <w:rsid w:val="00D7585A"/>
    <w:rsid w:val="00D80618"/>
    <w:rsid w:val="00D81A17"/>
    <w:rsid w:val="00D82494"/>
    <w:rsid w:val="00D84A4B"/>
    <w:rsid w:val="00D8681D"/>
    <w:rsid w:val="00D92168"/>
    <w:rsid w:val="00D940A9"/>
    <w:rsid w:val="00D940B5"/>
    <w:rsid w:val="00D95CB0"/>
    <w:rsid w:val="00D977C0"/>
    <w:rsid w:val="00DA00A3"/>
    <w:rsid w:val="00DA13F3"/>
    <w:rsid w:val="00DA2DE3"/>
    <w:rsid w:val="00DA7146"/>
    <w:rsid w:val="00DA716A"/>
    <w:rsid w:val="00DB1F4F"/>
    <w:rsid w:val="00DB37EE"/>
    <w:rsid w:val="00DB4450"/>
    <w:rsid w:val="00DB4A22"/>
    <w:rsid w:val="00DB7B69"/>
    <w:rsid w:val="00DC02EC"/>
    <w:rsid w:val="00DC234A"/>
    <w:rsid w:val="00DC315B"/>
    <w:rsid w:val="00DC41E4"/>
    <w:rsid w:val="00DC5116"/>
    <w:rsid w:val="00DC77DD"/>
    <w:rsid w:val="00DC7C77"/>
    <w:rsid w:val="00DD2417"/>
    <w:rsid w:val="00DD51D8"/>
    <w:rsid w:val="00DD7EA2"/>
    <w:rsid w:val="00DE00F2"/>
    <w:rsid w:val="00DE117F"/>
    <w:rsid w:val="00DE401C"/>
    <w:rsid w:val="00DE4CDE"/>
    <w:rsid w:val="00DF1ED6"/>
    <w:rsid w:val="00DF63FA"/>
    <w:rsid w:val="00E00A1C"/>
    <w:rsid w:val="00E012CC"/>
    <w:rsid w:val="00E02B71"/>
    <w:rsid w:val="00E02DEB"/>
    <w:rsid w:val="00E042A1"/>
    <w:rsid w:val="00E04CE6"/>
    <w:rsid w:val="00E062A5"/>
    <w:rsid w:val="00E07355"/>
    <w:rsid w:val="00E104FA"/>
    <w:rsid w:val="00E1082A"/>
    <w:rsid w:val="00E11166"/>
    <w:rsid w:val="00E13182"/>
    <w:rsid w:val="00E15383"/>
    <w:rsid w:val="00E1738C"/>
    <w:rsid w:val="00E22D28"/>
    <w:rsid w:val="00E230E3"/>
    <w:rsid w:val="00E23611"/>
    <w:rsid w:val="00E25852"/>
    <w:rsid w:val="00E30EDF"/>
    <w:rsid w:val="00E31FBA"/>
    <w:rsid w:val="00E36AAE"/>
    <w:rsid w:val="00E41773"/>
    <w:rsid w:val="00E427F2"/>
    <w:rsid w:val="00E513F6"/>
    <w:rsid w:val="00E52F3B"/>
    <w:rsid w:val="00E53D94"/>
    <w:rsid w:val="00E53DEA"/>
    <w:rsid w:val="00E55094"/>
    <w:rsid w:val="00E55A61"/>
    <w:rsid w:val="00E57F92"/>
    <w:rsid w:val="00E616DB"/>
    <w:rsid w:val="00E627A4"/>
    <w:rsid w:val="00E630ED"/>
    <w:rsid w:val="00E70C95"/>
    <w:rsid w:val="00E74E84"/>
    <w:rsid w:val="00E74EC5"/>
    <w:rsid w:val="00E75FDC"/>
    <w:rsid w:val="00E76B86"/>
    <w:rsid w:val="00E8342F"/>
    <w:rsid w:val="00E847A7"/>
    <w:rsid w:val="00E85F25"/>
    <w:rsid w:val="00E86E79"/>
    <w:rsid w:val="00E906B4"/>
    <w:rsid w:val="00E9095B"/>
    <w:rsid w:val="00E926B8"/>
    <w:rsid w:val="00E92E98"/>
    <w:rsid w:val="00E9399B"/>
    <w:rsid w:val="00E94008"/>
    <w:rsid w:val="00E94762"/>
    <w:rsid w:val="00E96B52"/>
    <w:rsid w:val="00EA2244"/>
    <w:rsid w:val="00EA4C93"/>
    <w:rsid w:val="00EA6FA7"/>
    <w:rsid w:val="00EB067F"/>
    <w:rsid w:val="00EB0BF5"/>
    <w:rsid w:val="00EB1576"/>
    <w:rsid w:val="00EB1F02"/>
    <w:rsid w:val="00EB5BC5"/>
    <w:rsid w:val="00EB74C2"/>
    <w:rsid w:val="00EC086C"/>
    <w:rsid w:val="00EC42D0"/>
    <w:rsid w:val="00EC5CE0"/>
    <w:rsid w:val="00EC638F"/>
    <w:rsid w:val="00ED48AC"/>
    <w:rsid w:val="00EE224C"/>
    <w:rsid w:val="00EE4874"/>
    <w:rsid w:val="00EE4A8C"/>
    <w:rsid w:val="00EE674E"/>
    <w:rsid w:val="00EE79A6"/>
    <w:rsid w:val="00EF2689"/>
    <w:rsid w:val="00EF454D"/>
    <w:rsid w:val="00EF6111"/>
    <w:rsid w:val="00EF719B"/>
    <w:rsid w:val="00F005A0"/>
    <w:rsid w:val="00F03BE0"/>
    <w:rsid w:val="00F06616"/>
    <w:rsid w:val="00F11352"/>
    <w:rsid w:val="00F1498D"/>
    <w:rsid w:val="00F14DDF"/>
    <w:rsid w:val="00F152AD"/>
    <w:rsid w:val="00F20DFE"/>
    <w:rsid w:val="00F2285F"/>
    <w:rsid w:val="00F23155"/>
    <w:rsid w:val="00F24236"/>
    <w:rsid w:val="00F24E0E"/>
    <w:rsid w:val="00F26236"/>
    <w:rsid w:val="00F26693"/>
    <w:rsid w:val="00F3366A"/>
    <w:rsid w:val="00F36130"/>
    <w:rsid w:val="00F40444"/>
    <w:rsid w:val="00F40868"/>
    <w:rsid w:val="00F423BD"/>
    <w:rsid w:val="00F432FF"/>
    <w:rsid w:val="00F4715C"/>
    <w:rsid w:val="00F54869"/>
    <w:rsid w:val="00F556B2"/>
    <w:rsid w:val="00F5754B"/>
    <w:rsid w:val="00F576DE"/>
    <w:rsid w:val="00F63BF7"/>
    <w:rsid w:val="00F65617"/>
    <w:rsid w:val="00F710BE"/>
    <w:rsid w:val="00F729DC"/>
    <w:rsid w:val="00F736D2"/>
    <w:rsid w:val="00F7564C"/>
    <w:rsid w:val="00F76220"/>
    <w:rsid w:val="00F769BE"/>
    <w:rsid w:val="00F76A67"/>
    <w:rsid w:val="00F82E6B"/>
    <w:rsid w:val="00F97B71"/>
    <w:rsid w:val="00FA0209"/>
    <w:rsid w:val="00FA1EC5"/>
    <w:rsid w:val="00FA2DDA"/>
    <w:rsid w:val="00FA34CA"/>
    <w:rsid w:val="00FA4A55"/>
    <w:rsid w:val="00FA4D4F"/>
    <w:rsid w:val="00FA54E8"/>
    <w:rsid w:val="00FA7193"/>
    <w:rsid w:val="00FA7EC0"/>
    <w:rsid w:val="00FB2D17"/>
    <w:rsid w:val="00FB2F69"/>
    <w:rsid w:val="00FB368B"/>
    <w:rsid w:val="00FB45FF"/>
    <w:rsid w:val="00FB5D97"/>
    <w:rsid w:val="00FC1BE5"/>
    <w:rsid w:val="00FC1CA5"/>
    <w:rsid w:val="00FC2979"/>
    <w:rsid w:val="00FD1C3C"/>
    <w:rsid w:val="00FD38A8"/>
    <w:rsid w:val="00FD4622"/>
    <w:rsid w:val="00FD5477"/>
    <w:rsid w:val="00FD6AC8"/>
    <w:rsid w:val="00FD7C9C"/>
    <w:rsid w:val="00FE2D29"/>
    <w:rsid w:val="00FE3EA1"/>
    <w:rsid w:val="00FE4818"/>
    <w:rsid w:val="00FE5D80"/>
    <w:rsid w:val="00FF157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2049"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uiPriority="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locked="1" w:name="Plain Text" w:semiHidden="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4F4EA9"/>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337293"/>
    <w:pPr>
      <w:keepNext/>
      <w:keepLines/>
      <w:spacing w:after="260" w:before="260" w:line="360" w:lineRule="auto"/>
      <w:outlineLvl w:val="1"/>
    </w:pPr>
    <w:rPr>
      <w:rFonts w:ascii="Cambria" w:hAnsi="Cambria"/>
      <w:b/>
      <w:bCs/>
      <w:kern w:val="0"/>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4F4EA9"/>
    <w:rPr>
      <w:rFonts w:cs="Times New Roman"/>
      <w:b/>
      <w:bCs/>
      <w:kern w:val="44"/>
      <w:sz w:val="44"/>
      <w:szCs w:val="44"/>
    </w:rPr>
  </w:style>
  <w:style w:customStyle="1" w:styleId="2Char" w:type="character">
    <w:name w:val="标题 2 Char"/>
    <w:link w:val="2"/>
    <w:uiPriority w:val="99"/>
    <w:semiHidden/>
    <w:locked/>
    <w:rsid w:val="00F76A67"/>
    <w:rPr>
      <w:rFonts w:ascii="Cambria" w:cs="Times New Roman" w:eastAsia="宋体" w:hAnsi="Cambria"/>
      <w:b/>
      <w:bCs/>
      <w:sz w:val="32"/>
      <w:szCs w:val="32"/>
    </w:rPr>
  </w:style>
  <w:style w:styleId="a0" w:type="paragraph">
    <w:name w:val="Normal Indent"/>
    <w:basedOn w:val="a"/>
    <w:uiPriority w:val="99"/>
    <w:rsid w:val="00337293"/>
    <w:pPr>
      <w:ind w:firstLine="420" w:firstLineChars="200"/>
    </w:pPr>
  </w:style>
  <w:style w:styleId="a4" w:type="paragraph">
    <w:name w:val="Body Text Indent"/>
    <w:basedOn w:val="a"/>
    <w:link w:val="Char"/>
    <w:uiPriority w:val="99"/>
    <w:rsid w:val="00337293"/>
    <w:pPr>
      <w:widowControl/>
      <w:spacing w:after="100" w:afterAutospacing="1" w:before="100" w:beforeAutospacing="1"/>
      <w:jc w:val="left"/>
    </w:pPr>
    <w:rPr>
      <w:kern w:val="0"/>
      <w:sz w:val="24"/>
    </w:rPr>
  </w:style>
  <w:style w:customStyle="1" w:styleId="Char" w:type="character">
    <w:name w:val="正文文本缩进 Char"/>
    <w:link w:val="a4"/>
    <w:uiPriority w:val="99"/>
    <w:semiHidden/>
    <w:locked/>
    <w:rsid w:val="00F76A67"/>
    <w:rPr>
      <w:rFonts w:cs="Times New Roman"/>
      <w:sz w:val="24"/>
      <w:szCs w:val="24"/>
    </w:rPr>
  </w:style>
  <w:style w:styleId="a5" w:type="paragraph">
    <w:name w:val="Plain Text"/>
    <w:basedOn w:val="a"/>
    <w:link w:val="Char0"/>
    <w:uiPriority w:val="99"/>
    <w:rsid w:val="00337293"/>
    <w:rPr>
      <w:rFonts w:ascii="宋体" w:hAnsi="Courier New"/>
      <w:szCs w:val="20"/>
    </w:rPr>
  </w:style>
  <w:style w:customStyle="1" w:styleId="Char0" w:type="character">
    <w:name w:val="纯文本 Char"/>
    <w:link w:val="a5"/>
    <w:uiPriority w:val="99"/>
    <w:locked/>
    <w:rsid w:val="00CE3519"/>
    <w:rPr>
      <w:rFonts w:ascii="宋体" w:cs="Times New Roman" w:hAnsi="Courier New"/>
      <w:kern w:val="2"/>
      <w:sz w:val="21"/>
    </w:rPr>
  </w:style>
  <w:style w:styleId="20" w:type="paragraph">
    <w:name w:val="Body Text Indent 2"/>
    <w:basedOn w:val="a"/>
    <w:link w:val="2Char0"/>
    <w:uiPriority w:val="99"/>
    <w:rsid w:val="00337293"/>
    <w:pPr>
      <w:spacing w:line="560" w:lineRule="exact"/>
      <w:ind w:firstLine="480" w:firstLineChars="200"/>
    </w:pPr>
    <w:rPr>
      <w:kern w:val="0"/>
      <w:sz w:val="24"/>
    </w:rPr>
  </w:style>
  <w:style w:customStyle="1" w:styleId="2Char0" w:type="character">
    <w:name w:val="正文文本缩进 2 Char"/>
    <w:link w:val="20"/>
    <w:uiPriority w:val="99"/>
    <w:semiHidden/>
    <w:locked/>
    <w:rsid w:val="00F76A67"/>
    <w:rPr>
      <w:rFonts w:cs="Times New Roman"/>
      <w:sz w:val="24"/>
      <w:szCs w:val="24"/>
    </w:rPr>
  </w:style>
  <w:style w:styleId="a6" w:type="paragraph">
    <w:name w:val="footer"/>
    <w:basedOn w:val="a"/>
    <w:link w:val="Char1"/>
    <w:uiPriority w:val="99"/>
    <w:rsid w:val="00337293"/>
    <w:pPr>
      <w:tabs>
        <w:tab w:pos="4153" w:val="center"/>
        <w:tab w:pos="8306" w:val="right"/>
      </w:tabs>
      <w:snapToGrid w:val="0"/>
      <w:jc w:val="left"/>
    </w:pPr>
    <w:rPr>
      <w:kern w:val="0"/>
      <w:sz w:val="18"/>
      <w:szCs w:val="18"/>
    </w:rPr>
  </w:style>
  <w:style w:customStyle="1" w:styleId="Char1" w:type="character">
    <w:name w:val="页脚 Char"/>
    <w:link w:val="a6"/>
    <w:uiPriority w:val="99"/>
    <w:semiHidden/>
    <w:locked/>
    <w:rsid w:val="00F76A67"/>
    <w:rPr>
      <w:rFonts w:cs="Times New Roman"/>
      <w:sz w:val="18"/>
      <w:szCs w:val="18"/>
    </w:rPr>
  </w:style>
  <w:style w:styleId="a7" w:type="character">
    <w:name w:val="page number"/>
    <w:uiPriority w:val="99"/>
    <w:rsid w:val="00337293"/>
    <w:rPr>
      <w:rFonts w:cs="Times New Roman"/>
    </w:rPr>
  </w:style>
  <w:style w:styleId="a8" w:type="character">
    <w:name w:val="Hyperlink"/>
    <w:uiPriority w:val="99"/>
    <w:rsid w:val="00337293"/>
    <w:rPr>
      <w:rFonts w:cs="Times New Roman"/>
      <w:color w:val="0000FF"/>
      <w:u w:val="single"/>
    </w:rPr>
  </w:style>
  <w:style w:styleId="3" w:type="paragraph">
    <w:name w:val="Body Text Indent 3"/>
    <w:basedOn w:val="a"/>
    <w:link w:val="3Char"/>
    <w:uiPriority w:val="99"/>
    <w:rsid w:val="00337293"/>
    <w:pPr>
      <w:spacing w:line="560" w:lineRule="exact"/>
      <w:ind w:firstLine="420" w:firstLineChars="200"/>
    </w:pPr>
    <w:rPr>
      <w:kern w:val="0"/>
      <w:sz w:val="16"/>
      <w:szCs w:val="16"/>
    </w:rPr>
  </w:style>
  <w:style w:customStyle="1" w:styleId="3Char" w:type="character">
    <w:name w:val="正文文本缩进 3 Char"/>
    <w:link w:val="3"/>
    <w:uiPriority w:val="99"/>
    <w:semiHidden/>
    <w:locked/>
    <w:rsid w:val="00F76A67"/>
    <w:rPr>
      <w:rFonts w:cs="Times New Roman"/>
      <w:sz w:val="16"/>
      <w:szCs w:val="16"/>
    </w:rPr>
  </w:style>
  <w:style w:styleId="a9" w:type="paragraph">
    <w:name w:val="header"/>
    <w:basedOn w:val="a"/>
    <w:link w:val="Char2"/>
    <w:uiPriority w:val="99"/>
    <w:rsid w:val="00337293"/>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5E491F"/>
    <w:rPr>
      <w:rFonts w:cs="Times New Roman"/>
      <w:kern w:val="2"/>
      <w:sz w:val="18"/>
      <w:szCs w:val="18"/>
    </w:rPr>
  </w:style>
  <w:style w:styleId="aa" w:type="character">
    <w:name w:val="FollowedHyperlink"/>
    <w:uiPriority w:val="99"/>
    <w:rsid w:val="00337293"/>
    <w:rPr>
      <w:rFonts w:cs="Times New Roman"/>
      <w:color w:val="800080"/>
      <w:u w:val="single"/>
    </w:rPr>
  </w:style>
  <w:style w:styleId="ab" w:type="paragraph">
    <w:name w:val="List"/>
    <w:basedOn w:val="ac"/>
    <w:uiPriority w:val="99"/>
    <w:rsid w:val="00337293"/>
    <w:pPr>
      <w:spacing w:after="220" w:line="220" w:lineRule="atLeast"/>
      <w:ind w:hanging="360" w:left="1440"/>
    </w:pPr>
    <w:rPr>
      <w:szCs w:val="20"/>
    </w:rPr>
  </w:style>
  <w:style w:styleId="ac" w:type="paragraph">
    <w:name w:val="Body Text"/>
    <w:basedOn w:val="a"/>
    <w:link w:val="Char3"/>
    <w:uiPriority w:val="99"/>
    <w:rsid w:val="00337293"/>
    <w:pPr>
      <w:spacing w:after="120"/>
    </w:pPr>
    <w:rPr>
      <w:kern w:val="0"/>
      <w:sz w:val="24"/>
    </w:rPr>
  </w:style>
  <w:style w:customStyle="1" w:styleId="Char3" w:type="character">
    <w:name w:val="正文文本 Char"/>
    <w:link w:val="ac"/>
    <w:uiPriority w:val="99"/>
    <w:semiHidden/>
    <w:locked/>
    <w:rsid w:val="00F76A67"/>
    <w:rPr>
      <w:rFonts w:cs="Times New Roman"/>
      <w:sz w:val="24"/>
      <w:szCs w:val="24"/>
    </w:rPr>
  </w:style>
  <w:style w:styleId="ad" w:type="paragraph">
    <w:name w:val="Date"/>
    <w:basedOn w:val="a"/>
    <w:next w:val="a"/>
    <w:link w:val="Char4"/>
    <w:uiPriority w:val="99"/>
    <w:rsid w:val="00337293"/>
    <w:rPr>
      <w:sz w:val="24"/>
      <w:szCs w:val="20"/>
    </w:rPr>
  </w:style>
  <w:style w:customStyle="1" w:styleId="Char4" w:type="character">
    <w:name w:val="日期 Char"/>
    <w:link w:val="ad"/>
    <w:uiPriority w:val="99"/>
    <w:locked/>
    <w:rsid w:val="005B1DEC"/>
    <w:rPr>
      <w:rFonts w:cs="Times New Roman"/>
      <w:kern w:val="2"/>
      <w:sz w:val="24"/>
    </w:rPr>
  </w:style>
  <w:style w:customStyle="1" w:styleId="c1" w:type="character">
    <w:name w:val="c1"/>
    <w:uiPriority w:val="99"/>
    <w:rsid w:val="00337293"/>
    <w:rPr>
      <w:rFonts w:cs="Times New Roman"/>
      <w:color w:val="000000"/>
      <w:sz w:val="18"/>
      <w:szCs w:val="18"/>
    </w:rPr>
  </w:style>
  <w:style w:styleId="10" w:type="paragraph">
    <w:name w:val="index 1"/>
    <w:basedOn w:val="a"/>
    <w:next w:val="a"/>
    <w:autoRedefine/>
    <w:uiPriority w:val="99"/>
    <w:semiHidden/>
    <w:rsid w:val="00337293"/>
    <w:pPr>
      <w:jc w:val="right"/>
    </w:pPr>
    <w:rPr>
      <w:color w:val="008000"/>
    </w:rPr>
  </w:style>
  <w:style w:customStyle="1" w:styleId="font5" w:type="paragraph">
    <w:name w:val="font5"/>
    <w:basedOn w:val="a"/>
    <w:uiPriority w:val="99"/>
    <w:rsid w:val="00337293"/>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337293"/>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uiPriority w:val="99"/>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337293"/>
    <w:rPr>
      <w:kern w:val="0"/>
      <w:sz w:val="2"/>
      <w:szCs w:val="20"/>
    </w:rPr>
  </w:style>
  <w:style w:customStyle="1" w:styleId="Char5" w:type="character">
    <w:name w:val="批注框文本 Char"/>
    <w:link w:val="ae"/>
    <w:uiPriority w:val="99"/>
    <w:semiHidden/>
    <w:locked/>
    <w:rsid w:val="00F76A67"/>
    <w:rPr>
      <w:rFonts w:cs="Times New Roman"/>
      <w:sz w:val="2"/>
    </w:rPr>
  </w:style>
  <w:style w:styleId="af" w:type="character">
    <w:name w:val="annotation reference"/>
    <w:uiPriority w:val="99"/>
    <w:semiHidden/>
    <w:rsid w:val="00337293"/>
    <w:rPr>
      <w:rFonts w:cs="Times New Roman"/>
      <w:sz w:val="21"/>
      <w:szCs w:val="21"/>
    </w:rPr>
  </w:style>
  <w:style w:styleId="af0" w:type="paragraph">
    <w:name w:val="annotation text"/>
    <w:basedOn w:val="a"/>
    <w:link w:val="Char6"/>
    <w:uiPriority w:val="99"/>
    <w:semiHidden/>
    <w:rsid w:val="00337293"/>
    <w:pPr>
      <w:jc w:val="left"/>
    </w:pPr>
    <w:rPr>
      <w:kern w:val="0"/>
      <w:sz w:val="24"/>
    </w:rPr>
  </w:style>
  <w:style w:customStyle="1" w:styleId="Char6" w:type="character">
    <w:name w:val="批注文字 Char"/>
    <w:link w:val="af0"/>
    <w:uiPriority w:val="99"/>
    <w:semiHidden/>
    <w:locked/>
    <w:rsid w:val="00F76A67"/>
    <w:rPr>
      <w:rFonts w:cs="Times New Roman"/>
      <w:sz w:val="24"/>
      <w:szCs w:val="24"/>
    </w:rPr>
  </w:style>
  <w:style w:styleId="af1" w:type="paragraph">
    <w:name w:val="annotation subject"/>
    <w:basedOn w:val="af0"/>
    <w:next w:val="af0"/>
    <w:link w:val="Char7"/>
    <w:uiPriority w:val="99"/>
    <w:semiHidden/>
    <w:rsid w:val="00337293"/>
    <w:rPr>
      <w:b/>
      <w:bCs/>
    </w:rPr>
  </w:style>
  <w:style w:customStyle="1" w:styleId="Char7" w:type="character">
    <w:name w:val="批注主题 Char"/>
    <w:link w:val="af1"/>
    <w:uiPriority w:val="99"/>
    <w:semiHidden/>
    <w:locked/>
    <w:rsid w:val="00F76A67"/>
    <w:rPr>
      <w:rFonts w:cs="Times New Roman"/>
      <w:b/>
      <w:bCs/>
      <w:sz w:val="24"/>
      <w:szCs w:val="24"/>
    </w:rPr>
  </w:style>
  <w:style w:customStyle="1" w:styleId="Char8" w:type="paragraph">
    <w:name w:val="Char"/>
    <w:basedOn w:val="a"/>
    <w:uiPriority w:val="99"/>
    <w:rsid w:val="00337293"/>
  </w:style>
  <w:style w:styleId="af2" w:type="paragraph">
    <w:name w:val="Document Map"/>
    <w:basedOn w:val="a"/>
    <w:link w:val="Char9"/>
    <w:uiPriority w:val="99"/>
    <w:semiHidden/>
    <w:rsid w:val="000A549A"/>
    <w:pPr>
      <w:shd w:color="auto" w:fill="000080" w:val="clear"/>
    </w:pPr>
    <w:rPr>
      <w:kern w:val="0"/>
      <w:sz w:val="2"/>
      <w:szCs w:val="20"/>
    </w:rPr>
  </w:style>
  <w:style w:customStyle="1" w:styleId="Char9" w:type="character">
    <w:name w:val="文档结构图 Char"/>
    <w:link w:val="af2"/>
    <w:uiPriority w:val="99"/>
    <w:semiHidden/>
    <w:locked/>
    <w:rsid w:val="00F76A67"/>
    <w:rPr>
      <w:rFonts w:cs="Times New Roman"/>
      <w:sz w:val="2"/>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kern w:val="0"/>
      <w:sz w:val="18"/>
      <w:szCs w:val="18"/>
    </w:rPr>
  </w:style>
  <w:style w:customStyle="1" w:styleId="Chara" w:type="character">
    <w:name w:val="脚注文本 Char"/>
    <w:link w:val="af4"/>
    <w:uiPriority w:val="99"/>
    <w:semiHidden/>
    <w:locked/>
    <w:rsid w:val="00F76A67"/>
    <w:rPr>
      <w:rFonts w:cs="Times New Roman"/>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295C5D"/>
    <w:pPr>
      <w:widowControl w:val="0"/>
      <w:autoSpaceDE w:val="0"/>
      <w:autoSpaceDN w:val="0"/>
      <w:adjustRightInd w:val="0"/>
    </w:pPr>
    <w:rPr>
      <w:rFonts w:ascii="FangSong" w:cs="FangSong" w:hAnsi="FangSong"/>
      <w:color w:val="000000"/>
      <w:sz w:val="24"/>
      <w:szCs w:val="24"/>
    </w:rPr>
  </w:style>
  <w:style w:styleId="af8" w:type="character">
    <w:name w:val="Strong"/>
    <w:uiPriority w:val="22"/>
    <w:qFormat/>
    <w:locked/>
    <w:rsid w:val="004572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970">
      <w:bodyDiv w:val="1"/>
      <w:marLeft w:val="0"/>
      <w:marRight w:val="0"/>
      <w:marTop w:val="0"/>
      <w:marBottom w:val="0"/>
      <w:divBdr>
        <w:top w:val="none" w:sz="0" w:space="0" w:color="auto"/>
        <w:left w:val="none" w:sz="0" w:space="0" w:color="auto"/>
        <w:bottom w:val="none" w:sz="0" w:space="0" w:color="auto"/>
        <w:right w:val="none" w:sz="0" w:space="0" w:color="auto"/>
      </w:divBdr>
    </w:div>
    <w:div w:id="224099598">
      <w:bodyDiv w:val="1"/>
      <w:marLeft w:val="0"/>
      <w:marRight w:val="0"/>
      <w:marTop w:val="0"/>
      <w:marBottom w:val="0"/>
      <w:divBdr>
        <w:top w:val="none" w:sz="0" w:space="0" w:color="auto"/>
        <w:left w:val="none" w:sz="0" w:space="0" w:color="auto"/>
        <w:bottom w:val="none" w:sz="0" w:space="0" w:color="auto"/>
        <w:right w:val="none" w:sz="0" w:space="0" w:color="auto"/>
      </w:divBdr>
    </w:div>
    <w:div w:id="784084020">
      <w:bodyDiv w:val="1"/>
      <w:marLeft w:val="0"/>
      <w:marRight w:val="0"/>
      <w:marTop w:val="0"/>
      <w:marBottom w:val="0"/>
      <w:divBdr>
        <w:top w:val="none" w:sz="0" w:space="0" w:color="auto"/>
        <w:left w:val="none" w:sz="0" w:space="0" w:color="auto"/>
        <w:bottom w:val="none" w:sz="0" w:space="0" w:color="auto"/>
        <w:right w:val="none" w:sz="0" w:space="0" w:color="auto"/>
      </w:divBdr>
    </w:div>
    <w:div w:id="861357189">
      <w:bodyDiv w:val="1"/>
      <w:marLeft w:val="0"/>
      <w:marRight w:val="0"/>
      <w:marTop w:val="0"/>
      <w:marBottom w:val="0"/>
      <w:divBdr>
        <w:top w:val="none" w:sz="0" w:space="0" w:color="auto"/>
        <w:left w:val="none" w:sz="0" w:space="0" w:color="auto"/>
        <w:bottom w:val="none" w:sz="0" w:space="0" w:color="auto"/>
        <w:right w:val="none" w:sz="0" w:space="0" w:color="auto"/>
      </w:divBdr>
    </w:div>
    <w:div w:id="1371300268">
      <w:bodyDiv w:val="1"/>
      <w:marLeft w:val="0"/>
      <w:marRight w:val="0"/>
      <w:marTop w:val="0"/>
      <w:marBottom w:val="0"/>
      <w:divBdr>
        <w:top w:val="none" w:sz="0" w:space="0" w:color="auto"/>
        <w:left w:val="none" w:sz="0" w:space="0" w:color="auto"/>
        <w:bottom w:val="none" w:sz="0" w:space="0" w:color="auto"/>
        <w:right w:val="none" w:sz="0" w:space="0" w:color="auto"/>
      </w:divBdr>
    </w:div>
    <w:div w:id="1863275524">
      <w:marLeft w:val="0"/>
      <w:marRight w:val="0"/>
      <w:marTop w:val="0"/>
      <w:marBottom w:val="0"/>
      <w:divBdr>
        <w:top w:val="none" w:sz="0" w:space="0" w:color="auto"/>
        <w:left w:val="none" w:sz="0" w:space="0" w:color="auto"/>
        <w:bottom w:val="none" w:sz="0" w:space="0" w:color="auto"/>
        <w:right w:val="none" w:sz="0" w:space="0" w:color="auto"/>
      </w:divBdr>
    </w:div>
    <w:div w:id="1863275525">
      <w:marLeft w:val="0"/>
      <w:marRight w:val="0"/>
      <w:marTop w:val="0"/>
      <w:marBottom w:val="0"/>
      <w:divBdr>
        <w:top w:val="none" w:sz="0" w:space="0" w:color="auto"/>
        <w:left w:val="none" w:sz="0" w:space="0" w:color="auto"/>
        <w:bottom w:val="none" w:sz="0" w:space="0" w:color="auto"/>
        <w:right w:val="none" w:sz="0" w:space="0" w:color="auto"/>
      </w:divBdr>
    </w:div>
    <w:div w:id="1863275526">
      <w:marLeft w:val="0"/>
      <w:marRight w:val="0"/>
      <w:marTop w:val="0"/>
      <w:marBottom w:val="0"/>
      <w:divBdr>
        <w:top w:val="none" w:sz="0" w:space="0" w:color="auto"/>
        <w:left w:val="none" w:sz="0" w:space="0" w:color="auto"/>
        <w:bottom w:val="none" w:sz="0" w:space="0" w:color="auto"/>
        <w:right w:val="none" w:sz="0" w:space="0" w:color="auto"/>
      </w:divBdr>
    </w:div>
    <w:div w:id="1863275527">
      <w:marLeft w:val="0"/>
      <w:marRight w:val="0"/>
      <w:marTop w:val="0"/>
      <w:marBottom w:val="0"/>
      <w:divBdr>
        <w:top w:val="none" w:sz="0" w:space="0" w:color="auto"/>
        <w:left w:val="none" w:sz="0" w:space="0" w:color="auto"/>
        <w:bottom w:val="none" w:sz="0" w:space="0" w:color="auto"/>
        <w:right w:val="none" w:sz="0" w:space="0" w:color="auto"/>
      </w:divBdr>
    </w:div>
    <w:div w:id="1863275528">
      <w:marLeft w:val="0"/>
      <w:marRight w:val="0"/>
      <w:marTop w:val="0"/>
      <w:marBottom w:val="0"/>
      <w:divBdr>
        <w:top w:val="none" w:sz="0" w:space="0" w:color="auto"/>
        <w:left w:val="none" w:sz="0" w:space="0" w:color="auto"/>
        <w:bottom w:val="none" w:sz="0" w:space="0" w:color="auto"/>
        <w:right w:val="none" w:sz="0" w:space="0" w:color="auto"/>
      </w:divBdr>
    </w:div>
    <w:div w:id="1863275529">
      <w:marLeft w:val="0"/>
      <w:marRight w:val="0"/>
      <w:marTop w:val="0"/>
      <w:marBottom w:val="0"/>
      <w:divBdr>
        <w:top w:val="none" w:sz="0" w:space="0" w:color="auto"/>
        <w:left w:val="none" w:sz="0" w:space="0" w:color="auto"/>
        <w:bottom w:val="none" w:sz="0" w:space="0" w:color="auto"/>
        <w:right w:val="none" w:sz="0" w:space="0" w:color="auto"/>
      </w:divBdr>
    </w:div>
    <w:div w:id="1863275530">
      <w:marLeft w:val="0"/>
      <w:marRight w:val="0"/>
      <w:marTop w:val="0"/>
      <w:marBottom w:val="0"/>
      <w:divBdr>
        <w:top w:val="none" w:sz="0" w:space="0" w:color="auto"/>
        <w:left w:val="none" w:sz="0" w:space="0" w:color="auto"/>
        <w:bottom w:val="none" w:sz="0" w:space="0" w:color="auto"/>
        <w:right w:val="none" w:sz="0" w:space="0" w:color="auto"/>
      </w:divBdr>
    </w:div>
    <w:div w:id="1863275531">
      <w:marLeft w:val="0"/>
      <w:marRight w:val="0"/>
      <w:marTop w:val="0"/>
      <w:marBottom w:val="0"/>
      <w:divBdr>
        <w:top w:val="none" w:sz="0" w:space="0" w:color="auto"/>
        <w:left w:val="none" w:sz="0" w:space="0" w:color="auto"/>
        <w:bottom w:val="none" w:sz="0" w:space="0" w:color="auto"/>
        <w:right w:val="none" w:sz="0" w:space="0" w:color="auto"/>
      </w:divBdr>
    </w:div>
    <w:div w:id="1863275532">
      <w:marLeft w:val="0"/>
      <w:marRight w:val="0"/>
      <w:marTop w:val="0"/>
      <w:marBottom w:val="0"/>
      <w:divBdr>
        <w:top w:val="none" w:sz="0" w:space="0" w:color="auto"/>
        <w:left w:val="none" w:sz="0" w:space="0" w:color="auto"/>
        <w:bottom w:val="none" w:sz="0" w:space="0" w:color="auto"/>
        <w:right w:val="none" w:sz="0" w:space="0" w:color="auto"/>
      </w:divBdr>
    </w:div>
    <w:div w:id="1863275533">
      <w:marLeft w:val="0"/>
      <w:marRight w:val="0"/>
      <w:marTop w:val="0"/>
      <w:marBottom w:val="0"/>
      <w:divBdr>
        <w:top w:val="none" w:sz="0" w:space="0" w:color="auto"/>
        <w:left w:val="none" w:sz="0" w:space="0" w:color="auto"/>
        <w:bottom w:val="none" w:sz="0" w:space="0" w:color="auto"/>
        <w:right w:val="none" w:sz="0" w:space="0" w:color="auto"/>
      </w:divBdr>
    </w:div>
    <w:div w:id="2031027843">
      <w:bodyDiv w:val="1"/>
      <w:marLeft w:val="0"/>
      <w:marRight w:val="0"/>
      <w:marTop w:val="0"/>
      <w:marBottom w:val="0"/>
      <w:divBdr>
        <w:top w:val="none" w:sz="0" w:space="0" w:color="auto"/>
        <w:left w:val="none" w:sz="0" w:space="0" w:color="auto"/>
        <w:bottom w:val="none" w:sz="0" w:space="0" w:color="auto"/>
        <w:right w:val="none" w:sz="0" w:space="0" w:color="auto"/>
      </w:divBdr>
    </w:div>
    <w:div w:id="2084137702">
      <w:bodyDiv w:val="1"/>
      <w:marLeft w:val="0"/>
      <w:marRight w:val="0"/>
      <w:marTop w:val="0"/>
      <w:marBottom w:val="0"/>
      <w:divBdr>
        <w:top w:val="none" w:sz="0" w:space="0" w:color="auto"/>
        <w:left w:val="none" w:sz="0" w:space="0" w:color="auto"/>
        <w:bottom w:val="none" w:sz="0" w:space="0" w:color="auto"/>
        <w:right w:val="none" w:sz="0" w:space="0" w:color="auto"/>
      </w:divBdr>
    </w:div>
    <w:div w:id="21176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media/image1.jpeg" Type="http://schemas.openxmlformats.org/officeDocument/2006/relationships/image"/>
<Relationship Id="rId11" Target="media/image2.jpeg" Type="http://schemas.openxmlformats.org/officeDocument/2006/relationships/image"/>
<Relationship Id="rId12" Target="footer2.xml" Type="http://schemas.openxmlformats.org/officeDocument/2006/relationships/foot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TotalTime>
  <Pages>35</Pages>
  <Words>5195</Words>
  <Characters>29612</Characters>
  <Application>Microsoft Office Word</Application>
  <DocSecurity>0</DocSecurity>
  <Lines>246</Lines>
  <Paragraphs>69</Paragraphs>
  <ScaleCrop>false</ScaleCrop>
  <Company>TRT. Ltd. Co.</Company>
  <LinksUpToDate>false</LinksUpToDate>
  <CharactersWithSpaces>34738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2012-11-21T04:46:00Z</dcterms:created>
  <cp:lastModifiedBy>sirong han</cp:lastModifiedBy>
  <cp:lastPrinted>2007-07-19T00:46:00Z</cp:lastPrinted>
  <dcterms:modified xsi:type="dcterms:W3CDTF">2020-10-20T06:25:00Z</dcterms:modified>
  <cp:revision>211</cp:revision>
</cp:coreProperties>
</file>