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易方达瑞景灵活配置混合型证券投资基金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中国邮政储蓄银行股份有限公司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基金托管人中国邮政储蓄银行股份有限公司根据本基金合同规定，于2020年10月26日复核了本报告中的财务指标、净值表现和投资组合报告等内容，保证复核内容不存在虚假记载、误导性陈述或者重大遗漏。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易方达瑞景混合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001433</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001433</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2015年6月30日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563,988,540.08</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本基金在控制风险的前提下，追求基金资产的稳健增值。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本基金通过定量与定性相结合的宏观及市场分析，确定组合中股票、债券、货币市场工具等资产类别的配置比例，严格遵守低估值的股票投资逻辑，以绝对收益为目标，力争获得稳健、持续的投资收益。</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一年期人民币定期存款利率（税后）+2%</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中国邮政储蓄银行股份有限公司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31,989,025.56</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40,273,680.43</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0.0741</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828,473,533.78</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1.469</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5.38%</w:t>
            </w:r>
          </w:p>
        </w:tc>
        <w:tc>
          <w:tcPr>
            <w:vAlign w:val="center"/>
          </w:tcPr>
          <w:p>
            <w:pPr>
              <w:jc w:val="center"/>
            </w:pPr>
            <w:r>
              <w:rPr>
                <w:color w:val="000000"/>
                <w:kern w:val="0"/>
                <w:sz w:val="24"/>
                <w:szCs w:val="24"/>
              </w:rPr>
              <w:t>0.28%</w:t>
            </w:r>
          </w:p>
        </w:tc>
        <w:tc>
          <w:tcPr>
            <w:vAlign w:val="center"/>
          </w:tcPr>
          <w:p>
            <w:pPr>
              <w:jc w:val="center"/>
            </w:pPr>
            <w:r>
              <w:rPr>
                <w:color w:val="000000"/>
                <w:kern w:val="0"/>
                <w:sz w:val="24"/>
                <w:szCs w:val="24"/>
              </w:rPr>
              <w:t>0.89%</w:t>
            </w:r>
          </w:p>
        </w:tc>
        <w:tc>
          <w:tcPr>
            <w:vAlign w:val="center"/>
          </w:tcPr>
          <w:p>
            <w:pPr>
              <w:jc w:val="center"/>
            </w:pPr>
            <w:r>
              <w:rPr>
                <w:color w:val="000000"/>
                <w:kern w:val="0"/>
                <w:sz w:val="24"/>
                <w:szCs w:val="24"/>
              </w:rPr>
              <w:t>0.01%</w:t>
            </w:r>
          </w:p>
        </w:tc>
        <w:tc>
          <w:tcPr>
            <w:vAlign w:val="center"/>
          </w:tcPr>
          <w:p>
            <w:pPr>
              <w:jc w:val="center"/>
            </w:pPr>
            <w:r>
              <w:rPr>
                <w:color w:val="000000"/>
                <w:kern w:val="0"/>
                <w:sz w:val="24"/>
                <w:szCs w:val="24"/>
              </w:rPr>
              <w:t>4.49%</w:t>
            </w:r>
          </w:p>
        </w:tc>
        <w:tc>
          <w:tcPr>
            <w:vAlign w:val="center"/>
          </w:tcPr>
          <w:p>
            <w:pPr>
              <w:jc w:val="center"/>
            </w:pPr>
            <w:r>
              <w:rPr>
                <w:color w:val="000000"/>
                <w:kern w:val="0"/>
                <w:sz w:val="24"/>
                <w:szCs w:val="24"/>
              </w:rPr>
              <w:t>0.27%</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7.78%</w:t>
            </w:r>
          </w:p>
        </w:tc>
        <w:tc>
          <w:tcPr>
            <w:vAlign w:val="center"/>
          </w:tcPr>
          <w:p>
            <w:pPr>
              <w:jc w:val="center"/>
            </w:pPr>
            <w:r>
              <w:rPr>
                <w:color w:val="000000"/>
                <w:kern w:val="0"/>
                <w:sz w:val="24"/>
                <w:szCs w:val="24"/>
              </w:rPr>
              <w:t>0.23%</w:t>
            </w:r>
          </w:p>
        </w:tc>
        <w:tc>
          <w:tcPr>
            <w:vAlign w:val="center"/>
          </w:tcPr>
          <w:p>
            <w:pPr>
              <w:jc w:val="center"/>
            </w:pPr>
            <w:r>
              <w:rPr>
                <w:color w:val="000000"/>
                <w:kern w:val="0"/>
                <w:sz w:val="24"/>
                <w:szCs w:val="24"/>
              </w:rPr>
              <w:t>1.78%</w:t>
            </w:r>
          </w:p>
        </w:tc>
        <w:tc>
          <w:tcPr>
            <w:vAlign w:val="center"/>
          </w:tcPr>
          <w:p>
            <w:pPr>
              <w:jc w:val="center"/>
            </w:pPr>
            <w:r>
              <w:rPr>
                <w:color w:val="000000"/>
                <w:kern w:val="0"/>
                <w:sz w:val="24"/>
                <w:szCs w:val="24"/>
              </w:rPr>
              <w:t>0.01%</w:t>
            </w:r>
          </w:p>
        </w:tc>
        <w:tc>
          <w:tcPr>
            <w:vAlign w:val="center"/>
          </w:tcPr>
          <w:p>
            <w:pPr>
              <w:jc w:val="center"/>
            </w:pPr>
            <w:r>
              <w:rPr>
                <w:color w:val="000000"/>
                <w:kern w:val="0"/>
                <w:sz w:val="24"/>
                <w:szCs w:val="24"/>
              </w:rPr>
              <w:t>6.00%</w:t>
            </w:r>
          </w:p>
        </w:tc>
        <w:tc>
          <w:tcPr>
            <w:vAlign w:val="center"/>
          </w:tcPr>
          <w:p>
            <w:pPr>
              <w:jc w:val="center"/>
            </w:pPr>
            <w:r>
              <w:rPr>
                <w:color w:val="000000"/>
                <w:kern w:val="0"/>
                <w:sz w:val="24"/>
                <w:szCs w:val="24"/>
              </w:rPr>
              <w:t>0.22%</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12.83%</w:t>
            </w:r>
          </w:p>
        </w:tc>
        <w:tc>
          <w:tcPr>
            <w:vAlign w:val="center"/>
          </w:tcPr>
          <w:p>
            <w:pPr>
              <w:jc w:val="center"/>
            </w:pPr>
            <w:r>
              <w:rPr>
                <w:color w:val="000000"/>
                <w:kern w:val="0"/>
                <w:sz w:val="24"/>
                <w:szCs w:val="24"/>
              </w:rPr>
              <w:t>0.23%</w:t>
            </w:r>
          </w:p>
        </w:tc>
        <w:tc>
          <w:tcPr>
            <w:vAlign w:val="center"/>
          </w:tcPr>
          <w:p>
            <w:pPr>
              <w:jc w:val="center"/>
            </w:pPr>
            <w:r>
              <w:rPr>
                <w:color w:val="000000"/>
                <w:kern w:val="0"/>
                <w:sz w:val="24"/>
                <w:szCs w:val="24"/>
              </w:rPr>
              <w:t>3.56%</w:t>
            </w:r>
          </w:p>
        </w:tc>
        <w:tc>
          <w:tcPr>
            <w:vAlign w:val="center"/>
          </w:tcPr>
          <w:p>
            <w:pPr>
              <w:jc w:val="center"/>
            </w:pPr>
            <w:r>
              <w:rPr>
                <w:color w:val="000000"/>
                <w:kern w:val="0"/>
                <w:sz w:val="24"/>
                <w:szCs w:val="24"/>
              </w:rPr>
              <w:t>0.01%</w:t>
            </w:r>
          </w:p>
        </w:tc>
        <w:tc>
          <w:tcPr>
            <w:vAlign w:val="center"/>
          </w:tcPr>
          <w:p>
            <w:pPr>
              <w:jc w:val="center"/>
            </w:pPr>
            <w:r>
              <w:rPr>
                <w:color w:val="000000"/>
                <w:kern w:val="0"/>
                <w:sz w:val="24"/>
                <w:szCs w:val="24"/>
              </w:rPr>
              <w:t>9.27%</w:t>
            </w:r>
          </w:p>
        </w:tc>
        <w:tc>
          <w:tcPr>
            <w:vAlign w:val="center"/>
          </w:tcPr>
          <w:p>
            <w:pPr>
              <w:jc w:val="center"/>
            </w:pPr>
            <w:r>
              <w:rPr>
                <w:color w:val="000000"/>
                <w:kern w:val="0"/>
                <w:sz w:val="24"/>
                <w:szCs w:val="24"/>
              </w:rPr>
              <w:t>0.22%</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31.75%</w:t>
            </w:r>
          </w:p>
        </w:tc>
        <w:tc>
          <w:tcPr>
            <w:vAlign w:val="center"/>
          </w:tcPr>
          <w:p>
            <w:pPr>
              <w:jc w:val="center"/>
            </w:pPr>
            <w:r>
              <w:rPr>
                <w:color w:val="000000"/>
                <w:kern w:val="0"/>
                <w:sz w:val="24"/>
                <w:szCs w:val="24"/>
              </w:rPr>
              <w:t>0.39%</w:t>
            </w:r>
          </w:p>
        </w:tc>
        <w:tc>
          <w:tcPr>
            <w:vAlign w:val="center"/>
          </w:tcPr>
          <w:p>
            <w:pPr>
              <w:jc w:val="center"/>
            </w:pPr>
            <w:r>
              <w:rPr>
                <w:color w:val="000000"/>
                <w:kern w:val="0"/>
                <w:sz w:val="24"/>
                <w:szCs w:val="24"/>
              </w:rPr>
              <w:t>10.66%</w:t>
            </w:r>
          </w:p>
        </w:tc>
        <w:tc>
          <w:tcPr>
            <w:vAlign w:val="center"/>
          </w:tcPr>
          <w:p>
            <w:pPr>
              <w:jc w:val="center"/>
            </w:pPr>
            <w:r>
              <w:rPr>
                <w:color w:val="000000"/>
                <w:kern w:val="0"/>
                <w:sz w:val="24"/>
                <w:szCs w:val="24"/>
              </w:rPr>
              <w:t>0.01%</w:t>
            </w:r>
          </w:p>
        </w:tc>
        <w:tc>
          <w:tcPr>
            <w:vAlign w:val="center"/>
          </w:tcPr>
          <w:p>
            <w:pPr>
              <w:jc w:val="center"/>
            </w:pPr>
            <w:r>
              <w:rPr>
                <w:color w:val="000000"/>
                <w:kern w:val="0"/>
                <w:sz w:val="24"/>
                <w:szCs w:val="24"/>
              </w:rPr>
              <w:t>21.09%</w:t>
            </w:r>
          </w:p>
        </w:tc>
        <w:tc>
          <w:tcPr>
            <w:vAlign w:val="center"/>
          </w:tcPr>
          <w:p>
            <w:pPr>
              <w:jc w:val="center"/>
            </w:pPr>
            <w:r>
              <w:rPr>
                <w:color w:val="000000"/>
                <w:kern w:val="0"/>
                <w:sz w:val="24"/>
                <w:szCs w:val="24"/>
              </w:rPr>
              <w:t>0.38%</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48.23%</w:t>
            </w:r>
          </w:p>
        </w:tc>
        <w:tc>
          <w:tcPr>
            <w:vAlign w:val="center"/>
          </w:tcPr>
          <w:p>
            <w:pPr>
              <w:jc w:val="center"/>
            </w:pPr>
            <w:r>
              <w:rPr>
                <w:color w:val="000000"/>
                <w:kern w:val="0"/>
                <w:sz w:val="24"/>
                <w:szCs w:val="24"/>
              </w:rPr>
              <w:t>0.32%</w:t>
            </w:r>
          </w:p>
        </w:tc>
        <w:tc>
          <w:tcPr>
            <w:vAlign w:val="center"/>
          </w:tcPr>
          <w:p>
            <w:pPr>
              <w:jc w:val="center"/>
            </w:pPr>
            <w:r>
              <w:rPr>
                <w:color w:val="000000"/>
                <w:kern w:val="0"/>
                <w:sz w:val="24"/>
                <w:szCs w:val="24"/>
              </w:rPr>
              <w:t>17.78%</w:t>
            </w:r>
          </w:p>
        </w:tc>
        <w:tc>
          <w:tcPr>
            <w:vAlign w:val="center"/>
          </w:tcPr>
          <w:p>
            <w:pPr>
              <w:jc w:val="center"/>
            </w:pPr>
            <w:r>
              <w:rPr>
                <w:color w:val="000000"/>
                <w:kern w:val="0"/>
                <w:sz w:val="24"/>
                <w:szCs w:val="24"/>
              </w:rPr>
              <w:t>0.01%</w:t>
            </w:r>
          </w:p>
        </w:tc>
        <w:tc>
          <w:tcPr>
            <w:vAlign w:val="center"/>
          </w:tcPr>
          <w:p>
            <w:pPr>
              <w:jc w:val="center"/>
            </w:pPr>
            <w:r>
              <w:rPr>
                <w:color w:val="000000"/>
                <w:kern w:val="0"/>
                <w:sz w:val="24"/>
                <w:szCs w:val="24"/>
              </w:rPr>
              <w:t>30.45%</w:t>
            </w:r>
          </w:p>
        </w:tc>
        <w:tc>
          <w:tcPr>
            <w:vAlign w:val="center"/>
          </w:tcPr>
          <w:p>
            <w:pPr>
              <w:jc w:val="center"/>
            </w:pPr>
            <w:r>
              <w:rPr>
                <w:color w:val="000000"/>
                <w:kern w:val="0"/>
                <w:sz w:val="24"/>
                <w:szCs w:val="24"/>
              </w:rPr>
              <w:t>0.31%</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46.90%</w:t>
            </w:r>
          </w:p>
        </w:tc>
        <w:tc>
          <w:tcPr>
            <w:vAlign w:val="center"/>
          </w:tcPr>
          <w:p>
            <w:pPr>
              <w:jc w:val="center"/>
            </w:pPr>
            <w:r>
              <w:rPr>
                <w:color w:val="000000"/>
                <w:kern w:val="0"/>
                <w:sz w:val="24"/>
                <w:szCs w:val="24"/>
              </w:rPr>
              <w:t>0.31%</w:t>
            </w:r>
          </w:p>
        </w:tc>
        <w:tc>
          <w:tcPr>
            <w:vAlign w:val="center"/>
          </w:tcPr>
          <w:p>
            <w:pPr>
              <w:jc w:val="center"/>
            </w:pPr>
            <w:r>
              <w:rPr>
                <w:color w:val="000000"/>
                <w:kern w:val="0"/>
                <w:sz w:val="24"/>
                <w:szCs w:val="24"/>
              </w:rPr>
              <w:t>18.79%</w:t>
            </w:r>
          </w:p>
        </w:tc>
        <w:tc>
          <w:tcPr>
            <w:vAlign w:val="center"/>
          </w:tcPr>
          <w:p>
            <w:pPr>
              <w:jc w:val="center"/>
            </w:pPr>
            <w:r>
              <w:rPr>
                <w:color w:val="000000"/>
                <w:kern w:val="0"/>
                <w:sz w:val="24"/>
                <w:szCs w:val="24"/>
              </w:rPr>
              <w:t>0.01%</w:t>
            </w:r>
          </w:p>
        </w:tc>
        <w:tc>
          <w:tcPr>
            <w:vAlign w:val="center"/>
          </w:tcPr>
          <w:p>
            <w:pPr>
              <w:jc w:val="center"/>
            </w:pPr>
            <w:r>
              <w:rPr>
                <w:color w:val="000000"/>
                <w:kern w:val="0"/>
                <w:sz w:val="24"/>
                <w:szCs w:val="24"/>
              </w:rPr>
              <w:t>28.11%</w:t>
            </w:r>
          </w:p>
        </w:tc>
        <w:tc>
          <w:tcPr>
            <w:vAlign w:val="center"/>
          </w:tcPr>
          <w:p>
            <w:pPr>
              <w:jc w:val="center"/>
            </w:pPr>
            <w:r>
              <w:rPr>
                <w:color w:val="000000"/>
                <w:kern w:val="0"/>
                <w:sz w:val="24"/>
                <w:szCs w:val="24"/>
              </w:rPr>
              <w:t>0.30%</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易方达瑞景灵活配置混合型证券投资基金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2015年6月30日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注：自基金合同生效至报告期末，基金份额净值增长率为46.90%，同期业绩比较基准收益率为18.79%。</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韩阅川</w:t>
            </w:r>
          </w:p>
        </w:tc>
        <w:tc>
          <w:tcPr>
            <w:vAlign w:val="center"/>
          </w:tcPr>
          <w:p>
            <w:pPr>
              <w:jc w:val="left"/>
            </w:pPr>
            <w:r>
              <w:rPr>
                <w:color w:val="000000"/>
                <w:sz w:val="24"/>
              </w:rPr>
              <w:t>本基金的基金经理、易方达新享灵活配置混合型证券投资基金的基金经理、易方达瑞智灵活配置混合型证券投资基金的基金经理、易方达新鑫灵活配置混合型证券投资基金的基金经理、易方达新利灵活配置混合型证券投资基金的基金经理、易方达瑞祥灵活配置混合型证券投资基金的基金经理、易方达瑞兴灵活配置混合型证券投资基金的基金经理、易方达瑞选灵活配置混合型证券投资基金的基金经理、易方达新益灵活配置混合型证券投资基金的基金经理、易方达裕鑫债券型证券投资基金的基金经理、易方达瑞祺灵活配置混合型证券投资基金的基金经理、易方达瑞信灵活配置混合型证券投资基金的基金经理、易方达瑞和灵活配置混合型证券投资基金的基金经理、易方达鑫转添利混合型证券投资基金的基金经理、易方达鑫转招利混合型证券投资基金的基金经理、易方达瑞川灵活配置混合型发起式证券投资基金的基金经理、易方达丰惠混合型证券投资基金的基金经理、易方达瑞锦灵活配置混合型发起式证券投资基金的基金经理、易方达新收益灵活配置混合型证券投资基金的基金经理助理</w:t>
            </w:r>
          </w:p>
        </w:tc>
        <w:tc>
          <w:tcPr>
            <w:vAlign w:val="center"/>
          </w:tcPr>
          <w:p>
            <w:pPr>
              <w:jc w:val="center"/>
            </w:pPr>
            <w:r>
              <w:rPr>
                <w:color w:val="000000"/>
                <w:sz w:val="24"/>
              </w:rPr>
              <w:t>2019-06-26</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硕士研究生，具有基金从业资格。曾任嘉实基金管理有限公司固定收益部研究员、投资经理。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债券市场方面，三季度随着股市走强、疫情消退下经济持续修复以及央行货币政策回归常态，债券收益率保持震荡上行。季度初债市的表现反映出市场缺乏明确的前行方向，情绪整体偏弱。在股市大涨的背景下，长端利率快速上行。随后随着风险偏好的回落和部分配置力量出现，债市有所回暖，长端利率向下修复。8月后，伴随经济中观指标短期呈现出较好的改善，加之对后市流动性的担忧，中短端利率上行幅度大于长端，债券收益率曲线演绎熊平行情。直到月末附近，资金面紧张态势才有所好转，短端利率上行斜率才略有趋缓。进入9月后，经济基本面持续向好、社融数据同样较好，加之债市供给放量，季末资金面趋紧，债市继续弱势运行。整个季度来看，10年期国债和国开债收益率分别大幅上行30BP和60BP，信用债亦跟随无风险利率整体震荡上行，且上行幅度更大，信用利差整体走阔。</w:t>
      </w:r>
    </w:p>
    <w:p>
      <w:pPr>
        <w:spacing w:line="360" w:lineRule="auto"/>
        <w:ind w:firstLine="480" w:firstLineChars="200"/>
        <w:rPr>
          <w:color w:val="000000"/>
          <w:sz w:val="24"/>
          <w:szCs w:val="24"/>
        </w:rPr>
      </w:pPr>
      <w:r>
        <w:rPr>
          <w:color w:val="000000"/>
          <w:sz w:val="24"/>
          <w:szCs w:val="24"/>
        </w:rPr>
        <w:t>权益市场方面，三季度上半段整体收涨，各类风格及指数品种均呈现较好的向上弹性，但下半段市场出现较为谨慎的情绪，且更多呈现结构性的行情演绎。从二季度末开始，在国内外经济修复和流动性环境仍较好的情况下，A股在金融股的快速拉涨下走出一波短暂的“全面牛市”行情，风险偏好持续提升，增量资金快速进场，各板块均表现较好。市场的快速过热也招致了监管对部分杠杆行为的警惕，随后市场风险偏好有所下降，7月中下旬市场交易量见顶。进入8月，主板和创业板整体均处于震荡上行状态，市场逐渐开始演绎经济复苏逻辑而非单纯的流动性逻辑，风格上也表现出成长价值平衡以及大盘股和中小盘股的平衡，部分低估值金融、周期类品种估值有所修复。但到了9月份，美股波动、海外疫情二次爆发以及国庆节前效应导致A股情绪持续谨慎，市场整体呈现下跌趋势，且出现一定程度的风格切换：年初以来持续强势的大消费板块出现明显回调，低估值、顺周期板块仍继续在平衡展开，直到9月底大消费短期调整结束，风格才较前期略有反转，市场重新回到平衡状态。</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三季度本基金跟随市场变化进行大类资产配置的调整，控制组合波动、追求风险调整后的较好收益。债券方面整体以杠杆票息策略的偏绝对收益操作思路为主。权益部分除延续此前的高分红、低波动、估值较低的个股以外，配置了部分估值合理、质地较好、成长性上乘的优质个股。此外，组合仍积极参与科创板和创业板注册制下的网下询价打新。</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截至报告期末，本基金份额净值为1.469元，本报告期份额净值增长率为5.38%，同期业绩比较基准收益率为0.89%。</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149,055,494.29</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14.37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149,055,494.29</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14.37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868,000,281.72</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83.71</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838,116,281.72</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80.82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29,884,000.00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2.88</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7,306,921.78</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0.70</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12,607,274.57</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1.22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1,036,969,972.36</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9,246,326.00</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1.12</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84,953,945.82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10.25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6,788,088.73</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0.82</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3,072,713.12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0.37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13,870,334.36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1.67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778,939.02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0.09</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14,778,370.00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1.78</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15,438,053.00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30,161.76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149,055,494.29</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17.99</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002352</w:t>
            </w:r>
          </w:p>
        </w:tc>
        <w:tc>
          <w:tcPr>
            <w:vAlign w:val="center"/>
          </w:tcPr>
          <w:p>
            <w:pPr>
              <w:jc w:val="center"/>
            </w:pPr>
            <w:r>
              <w:rPr>
                <w:color w:val="000000"/>
                <w:kern w:val="0"/>
                <w:sz w:val="24"/>
                <w:szCs w:val="24"/>
              </w:rPr>
              <w:t>顺丰控股</w:t>
            </w:r>
          </w:p>
        </w:tc>
        <w:tc>
          <w:tcPr>
            <w:vAlign w:val="center"/>
          </w:tcPr>
          <w:p>
            <w:pPr>
              <w:jc w:val="right"/>
            </w:pPr>
            <w:r>
              <w:rPr>
                <w:color w:val="000000"/>
                <w:kern w:val="0"/>
                <w:sz w:val="24"/>
                <w:szCs w:val="24"/>
              </w:rPr>
              <w:t>61,800</w:t>
            </w:r>
          </w:p>
        </w:tc>
        <w:tc>
          <w:tcPr>
            <w:vAlign w:val="center"/>
          </w:tcPr>
          <w:p>
            <w:pPr>
              <w:jc w:val="right"/>
            </w:pPr>
            <w:r>
              <w:rPr>
                <w:color w:val="000000"/>
                <w:kern w:val="0"/>
                <w:sz w:val="24"/>
                <w:szCs w:val="24"/>
              </w:rPr>
              <w:t>5,018,160.00</w:t>
            </w:r>
          </w:p>
        </w:tc>
        <w:tc>
          <w:tcPr>
            <w:vAlign w:val="center"/>
          </w:tcPr>
          <w:p>
            <w:pPr>
              <w:jc w:val="right"/>
            </w:pPr>
            <w:r>
              <w:rPr>
                <w:color w:val="000000"/>
                <w:kern w:val="0"/>
                <w:sz w:val="24"/>
                <w:szCs w:val="24"/>
              </w:rPr>
              <w:t>0.61</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002078</w:t>
            </w:r>
          </w:p>
        </w:tc>
        <w:tc>
          <w:tcPr>
            <w:vAlign w:val="center"/>
          </w:tcPr>
          <w:p>
            <w:pPr>
              <w:jc w:val="center"/>
            </w:pPr>
            <w:r>
              <w:rPr>
                <w:color w:val="000000"/>
                <w:kern w:val="0"/>
                <w:sz w:val="24"/>
                <w:szCs w:val="24"/>
              </w:rPr>
              <w:t>太阳纸业</w:t>
            </w:r>
          </w:p>
        </w:tc>
        <w:tc>
          <w:tcPr>
            <w:vAlign w:val="center"/>
          </w:tcPr>
          <w:p>
            <w:pPr>
              <w:jc w:val="right"/>
            </w:pPr>
            <w:r>
              <w:rPr>
                <w:color w:val="000000"/>
                <w:kern w:val="0"/>
                <w:sz w:val="24"/>
                <w:szCs w:val="24"/>
              </w:rPr>
              <w:t>343,700</w:t>
            </w:r>
          </w:p>
        </w:tc>
        <w:tc>
          <w:tcPr>
            <w:vAlign w:val="center"/>
          </w:tcPr>
          <w:p>
            <w:pPr>
              <w:jc w:val="right"/>
            </w:pPr>
            <w:r>
              <w:rPr>
                <w:color w:val="000000"/>
                <w:kern w:val="0"/>
                <w:sz w:val="24"/>
                <w:szCs w:val="24"/>
              </w:rPr>
              <w:t>4,846,170.00</w:t>
            </w:r>
          </w:p>
        </w:tc>
        <w:tc>
          <w:tcPr>
            <w:vAlign w:val="center"/>
          </w:tcPr>
          <w:p>
            <w:pPr>
              <w:jc w:val="right"/>
            </w:pPr>
            <w:r>
              <w:rPr>
                <w:color w:val="000000"/>
                <w:kern w:val="0"/>
                <w:sz w:val="24"/>
                <w:szCs w:val="24"/>
              </w:rPr>
              <w:t>0.58</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600585</w:t>
            </w:r>
          </w:p>
        </w:tc>
        <w:tc>
          <w:tcPr>
            <w:vAlign w:val="center"/>
          </w:tcPr>
          <w:p>
            <w:pPr>
              <w:jc w:val="center"/>
            </w:pPr>
            <w:r>
              <w:rPr>
                <w:color w:val="000000"/>
                <w:kern w:val="0"/>
                <w:sz w:val="24"/>
                <w:szCs w:val="24"/>
              </w:rPr>
              <w:t>海螺水泥</w:t>
            </w:r>
          </w:p>
        </w:tc>
        <w:tc>
          <w:tcPr>
            <w:vAlign w:val="center"/>
          </w:tcPr>
          <w:p>
            <w:pPr>
              <w:jc w:val="right"/>
            </w:pPr>
            <w:r>
              <w:rPr>
                <w:color w:val="000000"/>
                <w:kern w:val="0"/>
                <w:sz w:val="24"/>
                <w:szCs w:val="24"/>
              </w:rPr>
              <w:t>79,100</w:t>
            </w:r>
          </w:p>
        </w:tc>
        <w:tc>
          <w:tcPr>
            <w:vAlign w:val="center"/>
          </w:tcPr>
          <w:p>
            <w:pPr>
              <w:jc w:val="right"/>
            </w:pPr>
            <w:r>
              <w:rPr>
                <w:color w:val="000000"/>
                <w:kern w:val="0"/>
                <w:sz w:val="24"/>
                <w:szCs w:val="24"/>
              </w:rPr>
              <w:t>4,371,066.00</w:t>
            </w:r>
          </w:p>
        </w:tc>
        <w:tc>
          <w:tcPr>
            <w:vAlign w:val="center"/>
          </w:tcPr>
          <w:p>
            <w:pPr>
              <w:jc w:val="right"/>
            </w:pPr>
            <w:r>
              <w:rPr>
                <w:color w:val="000000"/>
                <w:kern w:val="0"/>
                <w:sz w:val="24"/>
                <w:szCs w:val="24"/>
              </w:rPr>
              <w:t>0.53</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002597</w:t>
            </w:r>
          </w:p>
        </w:tc>
        <w:tc>
          <w:tcPr>
            <w:vAlign w:val="center"/>
          </w:tcPr>
          <w:p>
            <w:pPr>
              <w:jc w:val="center"/>
            </w:pPr>
            <w:r>
              <w:rPr>
                <w:color w:val="000000"/>
                <w:kern w:val="0"/>
                <w:sz w:val="24"/>
                <w:szCs w:val="24"/>
              </w:rPr>
              <w:t>金禾实业</w:t>
            </w:r>
          </w:p>
        </w:tc>
        <w:tc>
          <w:tcPr>
            <w:vAlign w:val="center"/>
          </w:tcPr>
          <w:p>
            <w:pPr>
              <w:jc w:val="right"/>
            </w:pPr>
            <w:r>
              <w:rPr>
                <w:color w:val="000000"/>
                <w:kern w:val="0"/>
                <w:sz w:val="24"/>
                <w:szCs w:val="24"/>
              </w:rPr>
              <w:t>132,000</w:t>
            </w:r>
          </w:p>
        </w:tc>
        <w:tc>
          <w:tcPr>
            <w:vAlign w:val="center"/>
          </w:tcPr>
          <w:p>
            <w:pPr>
              <w:jc w:val="right"/>
            </w:pPr>
            <w:r>
              <w:rPr>
                <w:color w:val="000000"/>
                <w:kern w:val="0"/>
                <w:sz w:val="24"/>
                <w:szCs w:val="24"/>
              </w:rPr>
              <w:t>4,184,400.00</w:t>
            </w:r>
          </w:p>
        </w:tc>
        <w:tc>
          <w:tcPr>
            <w:vAlign w:val="center"/>
          </w:tcPr>
          <w:p>
            <w:pPr>
              <w:jc w:val="right"/>
            </w:pPr>
            <w:r>
              <w:rPr>
                <w:color w:val="000000"/>
                <w:kern w:val="0"/>
                <w:sz w:val="24"/>
                <w:szCs w:val="24"/>
              </w:rPr>
              <w:t>0.51</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002311</w:t>
            </w:r>
          </w:p>
        </w:tc>
        <w:tc>
          <w:tcPr>
            <w:vAlign w:val="center"/>
          </w:tcPr>
          <w:p>
            <w:pPr>
              <w:jc w:val="center"/>
            </w:pPr>
            <w:r>
              <w:rPr>
                <w:color w:val="000000"/>
                <w:kern w:val="0"/>
                <w:sz w:val="24"/>
                <w:szCs w:val="24"/>
              </w:rPr>
              <w:t>海大集团</w:t>
            </w:r>
          </w:p>
        </w:tc>
        <w:tc>
          <w:tcPr>
            <w:vAlign w:val="center"/>
          </w:tcPr>
          <w:p>
            <w:pPr>
              <w:jc w:val="right"/>
            </w:pPr>
            <w:r>
              <w:rPr>
                <w:color w:val="000000"/>
                <w:kern w:val="0"/>
                <w:sz w:val="24"/>
                <w:szCs w:val="24"/>
              </w:rPr>
              <w:t>68,082</w:t>
            </w:r>
          </w:p>
        </w:tc>
        <w:tc>
          <w:tcPr>
            <w:vAlign w:val="center"/>
          </w:tcPr>
          <w:p>
            <w:pPr>
              <w:jc w:val="right"/>
            </w:pPr>
            <w:r>
              <w:rPr>
                <w:color w:val="000000"/>
                <w:kern w:val="0"/>
                <w:sz w:val="24"/>
                <w:szCs w:val="24"/>
              </w:rPr>
              <w:t>4,175,469.06</w:t>
            </w:r>
          </w:p>
        </w:tc>
        <w:tc>
          <w:tcPr>
            <w:vAlign w:val="center"/>
          </w:tcPr>
          <w:p>
            <w:pPr>
              <w:jc w:val="right"/>
            </w:pPr>
            <w:r>
              <w:rPr>
                <w:color w:val="000000"/>
                <w:kern w:val="0"/>
                <w:sz w:val="24"/>
                <w:szCs w:val="24"/>
              </w:rPr>
              <w:t>0.50</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002601</w:t>
            </w:r>
          </w:p>
        </w:tc>
        <w:tc>
          <w:tcPr>
            <w:vAlign w:val="center"/>
          </w:tcPr>
          <w:p>
            <w:pPr>
              <w:jc w:val="center"/>
            </w:pPr>
            <w:r>
              <w:rPr>
                <w:color w:val="000000"/>
                <w:kern w:val="0"/>
                <w:sz w:val="24"/>
                <w:szCs w:val="24"/>
              </w:rPr>
              <w:t>龙蟒佰利</w:t>
            </w:r>
          </w:p>
        </w:tc>
        <w:tc>
          <w:tcPr>
            <w:vAlign w:val="center"/>
          </w:tcPr>
          <w:p>
            <w:pPr>
              <w:jc w:val="right"/>
            </w:pPr>
            <w:r>
              <w:rPr>
                <w:color w:val="000000"/>
                <w:kern w:val="0"/>
                <w:sz w:val="24"/>
                <w:szCs w:val="24"/>
              </w:rPr>
              <w:t>178,300</w:t>
            </w:r>
          </w:p>
        </w:tc>
        <w:tc>
          <w:tcPr>
            <w:vAlign w:val="center"/>
          </w:tcPr>
          <w:p>
            <w:pPr>
              <w:jc w:val="right"/>
            </w:pPr>
            <w:r>
              <w:rPr>
                <w:color w:val="000000"/>
                <w:kern w:val="0"/>
                <w:sz w:val="24"/>
                <w:szCs w:val="24"/>
              </w:rPr>
              <w:t>4,152,607.00</w:t>
            </w:r>
          </w:p>
        </w:tc>
        <w:tc>
          <w:tcPr>
            <w:vAlign w:val="center"/>
          </w:tcPr>
          <w:p>
            <w:pPr>
              <w:jc w:val="right"/>
            </w:pPr>
            <w:r>
              <w:rPr>
                <w:color w:val="000000"/>
                <w:kern w:val="0"/>
                <w:sz w:val="24"/>
                <w:szCs w:val="24"/>
              </w:rPr>
              <w:t>0.50</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601877</w:t>
            </w:r>
          </w:p>
        </w:tc>
        <w:tc>
          <w:tcPr>
            <w:vAlign w:val="center"/>
          </w:tcPr>
          <w:p>
            <w:pPr>
              <w:jc w:val="center"/>
            </w:pPr>
            <w:r>
              <w:rPr>
                <w:color w:val="000000"/>
                <w:kern w:val="0"/>
                <w:sz w:val="24"/>
                <w:szCs w:val="24"/>
              </w:rPr>
              <w:t>正泰电器</w:t>
            </w:r>
          </w:p>
        </w:tc>
        <w:tc>
          <w:tcPr>
            <w:vAlign w:val="center"/>
          </w:tcPr>
          <w:p>
            <w:pPr>
              <w:jc w:val="right"/>
            </w:pPr>
            <w:r>
              <w:rPr>
                <w:color w:val="000000"/>
                <w:kern w:val="0"/>
                <w:sz w:val="24"/>
                <w:szCs w:val="24"/>
              </w:rPr>
              <w:t>131,800</w:t>
            </w:r>
          </w:p>
        </w:tc>
        <w:tc>
          <w:tcPr>
            <w:vAlign w:val="center"/>
          </w:tcPr>
          <w:p>
            <w:pPr>
              <w:jc w:val="right"/>
            </w:pPr>
            <w:r>
              <w:rPr>
                <w:color w:val="000000"/>
                <w:kern w:val="0"/>
                <w:sz w:val="24"/>
                <w:szCs w:val="24"/>
              </w:rPr>
              <w:t>3,989,586.00</w:t>
            </w:r>
          </w:p>
        </w:tc>
        <w:tc>
          <w:tcPr>
            <w:vAlign w:val="center"/>
          </w:tcPr>
          <w:p>
            <w:pPr>
              <w:jc w:val="right"/>
            </w:pPr>
            <w:r>
              <w:rPr>
                <w:color w:val="000000"/>
                <w:kern w:val="0"/>
                <w:sz w:val="24"/>
                <w:szCs w:val="24"/>
              </w:rPr>
              <w:t>0.48</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002242</w:t>
            </w:r>
          </w:p>
        </w:tc>
        <w:tc>
          <w:tcPr>
            <w:vAlign w:val="center"/>
          </w:tcPr>
          <w:p>
            <w:pPr>
              <w:jc w:val="center"/>
            </w:pPr>
            <w:r>
              <w:rPr>
                <w:color w:val="000000"/>
                <w:kern w:val="0"/>
                <w:sz w:val="24"/>
                <w:szCs w:val="24"/>
              </w:rPr>
              <w:t>九阳股份</w:t>
            </w:r>
          </w:p>
        </w:tc>
        <w:tc>
          <w:tcPr>
            <w:vAlign w:val="center"/>
          </w:tcPr>
          <w:p>
            <w:pPr>
              <w:jc w:val="right"/>
            </w:pPr>
            <w:r>
              <w:rPr>
                <w:color w:val="000000"/>
                <w:kern w:val="0"/>
                <w:sz w:val="24"/>
                <w:szCs w:val="24"/>
              </w:rPr>
              <w:t>93,800</w:t>
            </w:r>
          </w:p>
        </w:tc>
        <w:tc>
          <w:tcPr>
            <w:vAlign w:val="center"/>
          </w:tcPr>
          <w:p>
            <w:pPr>
              <w:jc w:val="right"/>
            </w:pPr>
            <w:r>
              <w:rPr>
                <w:color w:val="000000"/>
                <w:kern w:val="0"/>
                <w:sz w:val="24"/>
                <w:szCs w:val="24"/>
              </w:rPr>
              <w:t>3,801,714.00</w:t>
            </w:r>
          </w:p>
        </w:tc>
        <w:tc>
          <w:tcPr>
            <w:vAlign w:val="center"/>
          </w:tcPr>
          <w:p>
            <w:pPr>
              <w:jc w:val="right"/>
            </w:pPr>
            <w:r>
              <w:rPr>
                <w:color w:val="000000"/>
                <w:kern w:val="0"/>
                <w:sz w:val="24"/>
                <w:szCs w:val="24"/>
              </w:rPr>
              <w:t>0.46</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600066</w:t>
            </w:r>
          </w:p>
        </w:tc>
        <w:tc>
          <w:tcPr>
            <w:vAlign w:val="center"/>
          </w:tcPr>
          <w:p>
            <w:pPr>
              <w:jc w:val="center"/>
            </w:pPr>
            <w:r>
              <w:rPr>
                <w:color w:val="000000"/>
                <w:kern w:val="0"/>
                <w:sz w:val="24"/>
                <w:szCs w:val="24"/>
              </w:rPr>
              <w:t>宇通客车</w:t>
            </w:r>
          </w:p>
        </w:tc>
        <w:tc>
          <w:tcPr>
            <w:vAlign w:val="center"/>
          </w:tcPr>
          <w:p>
            <w:pPr>
              <w:jc w:val="right"/>
            </w:pPr>
            <w:r>
              <w:rPr>
                <w:color w:val="000000"/>
                <w:kern w:val="0"/>
                <w:sz w:val="24"/>
                <w:szCs w:val="24"/>
              </w:rPr>
              <w:t>241,800</w:t>
            </w:r>
          </w:p>
        </w:tc>
        <w:tc>
          <w:tcPr>
            <w:vAlign w:val="center"/>
          </w:tcPr>
          <w:p>
            <w:pPr>
              <w:jc w:val="right"/>
            </w:pPr>
            <w:r>
              <w:rPr>
                <w:color w:val="000000"/>
                <w:kern w:val="0"/>
                <w:sz w:val="24"/>
                <w:szCs w:val="24"/>
              </w:rPr>
              <w:t>3,801,096.00</w:t>
            </w:r>
          </w:p>
        </w:tc>
        <w:tc>
          <w:tcPr>
            <w:vAlign w:val="center"/>
          </w:tcPr>
          <w:p>
            <w:pPr>
              <w:jc w:val="right"/>
            </w:pPr>
            <w:r>
              <w:rPr>
                <w:color w:val="000000"/>
                <w:kern w:val="0"/>
                <w:sz w:val="24"/>
                <w:szCs w:val="24"/>
              </w:rPr>
              <w:t>0.46</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000157</w:t>
            </w:r>
          </w:p>
        </w:tc>
        <w:tc>
          <w:tcPr>
            <w:vAlign w:val="center"/>
          </w:tcPr>
          <w:p>
            <w:pPr>
              <w:jc w:val="center"/>
            </w:pPr>
            <w:r>
              <w:rPr>
                <w:color w:val="000000"/>
                <w:kern w:val="0"/>
                <w:sz w:val="24"/>
                <w:szCs w:val="24"/>
              </w:rPr>
              <w:t>中联重科</w:t>
            </w:r>
          </w:p>
        </w:tc>
        <w:tc>
          <w:tcPr>
            <w:vAlign w:val="center"/>
          </w:tcPr>
          <w:p>
            <w:pPr>
              <w:jc w:val="right"/>
            </w:pPr>
            <w:r>
              <w:rPr>
                <w:color w:val="000000"/>
                <w:kern w:val="0"/>
                <w:sz w:val="24"/>
                <w:szCs w:val="24"/>
              </w:rPr>
              <w:t>467,500</w:t>
            </w:r>
          </w:p>
        </w:tc>
        <w:tc>
          <w:tcPr>
            <w:vAlign w:val="center"/>
          </w:tcPr>
          <w:p>
            <w:pPr>
              <w:jc w:val="right"/>
            </w:pPr>
            <w:r>
              <w:rPr>
                <w:color w:val="000000"/>
                <w:kern w:val="0"/>
                <w:sz w:val="24"/>
                <w:szCs w:val="24"/>
              </w:rPr>
              <w:t>3,791,425.00</w:t>
            </w:r>
          </w:p>
        </w:tc>
        <w:tc>
          <w:tcPr>
            <w:vAlign w:val="center"/>
          </w:tcPr>
          <w:p>
            <w:pPr>
              <w:jc w:val="right"/>
            </w:pPr>
            <w:r>
              <w:rPr>
                <w:color w:val="000000"/>
                <w:kern w:val="0"/>
                <w:sz w:val="24"/>
                <w:szCs w:val="24"/>
              </w:rPr>
              <w:t>0.46</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type="dxa" w:w="8755"/>
        <w:jc w:val="center"/>
        <w:tblLayout w:type="fixed"/>
        <w:tblLook w:firstColumn="1" w:firstRow="1" w:lastColumn="0" w:lastRow="0" w:noHBand="0" w:noVBand="1" w:val="04A0"/>
      </w:tblPr>
      <w:tblGrid>
        <w:gridCol w:w="817"/>
        <w:gridCol w:w="3260"/>
        <w:gridCol w:w="2949"/>
        <w:gridCol w:w="1729"/>
      </w:tblGrid>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序号</w:t>
            </w:r>
          </w:p>
        </w:tc>
        <w:tc>
          <w:tcPr>
            <w:tcW w:type="dxa" w:w="3260"/>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债券品种</w:t>
            </w: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
            </w:r>
          </w:p>
        </w:tc>
        <w:tc>
          <w:tcPr>
            <w:tcW w:type="dxa" w:w="294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公允价值</w:t>
            </w:r>
            <w:r w:rsidRPr="00283CAD">
              <w:rPr>
                <w:rFonts w:eastAsiaTheme="minorEastAsia"/>
                <w:color w:themeColor="text1" w:val="000000"/>
                <w:sz w:val="24"/>
                <w:szCs w:val="24"/>
              </w:rPr>
              <w:t>(</w:t>
            </w:r>
            <w:r w:rsidRPr="00283CAD">
              <w:rPr>
                <w:rFonts w:eastAsiaTheme="minorEastAsia"/>
                <w:color w:themeColor="text1" w:val="000000"/>
                <w:sz w:val="24"/>
                <w:szCs w:val="24"/>
              </w:rPr>
              <w:t>元</w:t>
            </w:r>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占基金资产净值比例</w:t>
            </w:r>
            <w:r w:rsidRPr="00283CAD">
              <w:rPr>
                <w:rFonts w:eastAsiaTheme="minorEastAsia"/>
                <w:color w:themeColor="text1" w:val="000000"/>
                <w:sz w:val="24"/>
                <w:szCs w:val="24"/>
              </w:rPr>
              <w:t>(</w:t>
            </w:r>
            <w:r w:rsidRPr="00283CAD">
              <w:rPr>
                <w:rFonts w:eastAsiaTheme="minorEastAsia"/>
                <w:color w:themeColor="text1" w:val="000000"/>
                <w:sz w:val="24"/>
                <w:szCs w:val="24"/>
              </w:rPr>
              <w:t>％</w:t>
            </w: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1</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国家债券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7,993,500.00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0.96</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2</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央行票据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3</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金融债券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34,081,000.00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4.11</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其中：政策性金融债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34,081,000.00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4.11</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4</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242,736,506.00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r w:rsidRPr="00283CAD">
              <w:rPr>
                <w:rFonts w:eastAsiaTheme="minorEastAsia"/>
                <w:color w:themeColor="text1" w:val="000000"/>
                <w:sz w:val="24"/>
                <w:szCs w:val="24"/>
              </w:rPr>
              <w:lastRenderedPageBreak/>
              <w:t/>
            </w:r>
            <w:proofErr w:type="spellEnd"/>
            <w:r w:rsidRPr="00283CAD">
              <w:rPr>
                <w:rFonts w:eastAsiaTheme="minorEastAsia"/>
                <w:color w:themeColor="text1" w:val="000000"/>
                <w:sz w:val="24"/>
                <w:szCs w:val="24"/>
              </w:rPr>
              <w:t>29.30</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5</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企业短期融资券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109,942,000.00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13.27</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6</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中期票据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442,477,000.00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53.41</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7</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可转债</w:t>
            </w:r>
            <w:r w:rsidR="004B5343" w:rsidRPr="004B5343">
              <w:rPr>
                <w:rFonts w:eastAsiaTheme="minorEastAsia" w:hint="eastAsia"/>
                <w:color w:themeColor="text1" w:val="000000"/>
                <w:sz w:val="24"/>
                <w:szCs w:val="24"/>
              </w:rPr>
              <w:t>（可交换债）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886,275.72</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0.11</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8</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同业存单</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9</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其他</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10</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合计</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838,116,281.72</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101.16</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1276"/>
        <w:gridCol w:w="1275"/>
        <w:gridCol w:w="1560"/>
        <w:gridCol w:w="1984"/>
        <w:gridCol w:w="1474"/>
      </w:tblGrid>
      <w:tr w:rsidR="00750D48" w:rsidRPr="00264E55" w:rsidTr="005602F3">
        <w:tc>
          <w:tcPr>
            <w:tcW w:type="dxa" w:w="959"/>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债券代码</w:t>
            </w:r>
          </w:p>
        </w:tc>
        <w:tc>
          <w:tcPr>
            <w:tcW w:type="dxa" w:w="1275"/>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债券名称</w:t>
            </w:r>
          </w:p>
        </w:tc>
        <w:tc>
          <w:tcPr>
            <w:tcW w:type="dxa" w:w="1560"/>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type="dxa" w:w="198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47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102001705</w:t>
            </w:r>
          </w:p>
        </w:tc>
        <w:tc>
          <w:tcPr>
            <w:vAlign w:val="center"/>
          </w:tcPr>
          <w:p>
            <w:pPr>
              <w:jc w:val="center"/>
            </w:pPr>
            <w:r>
              <w:rPr>
                <w:color w:val="000000"/>
                <w:kern w:val="0"/>
                <w:sz w:val="24"/>
                <w:szCs w:val="24"/>
              </w:rPr>
              <w:t>20河钢集MTN011</w:t>
            </w:r>
          </w:p>
        </w:tc>
        <w:tc>
          <w:tcPr>
            <w:vAlign w:val="center"/>
          </w:tcPr>
          <w:p>
            <w:pPr>
              <w:jc w:val="right"/>
            </w:pPr>
            <w:r>
              <w:rPr>
                <w:color w:val="000000"/>
                <w:kern w:val="0"/>
                <w:sz w:val="24"/>
                <w:szCs w:val="24"/>
              </w:rPr>
              <w:t>300,000</w:t>
            </w:r>
          </w:p>
        </w:tc>
        <w:tc>
          <w:tcPr>
            <w:vAlign w:val="center"/>
          </w:tcPr>
          <w:p>
            <w:pPr>
              <w:jc w:val="right"/>
            </w:pPr>
            <w:r>
              <w:rPr>
                <w:color w:val="000000"/>
                <w:kern w:val="0"/>
                <w:sz w:val="24"/>
                <w:szCs w:val="24"/>
              </w:rPr>
              <w:t>30,090,000.00</w:t>
            </w:r>
          </w:p>
        </w:tc>
        <w:tc>
          <w:tcPr>
            <w:vAlign w:val="center"/>
          </w:tcPr>
          <w:p>
            <w:pPr>
              <w:jc w:val="right"/>
            </w:pPr>
            <w:r>
              <w:rPr>
                <w:color w:val="000000"/>
                <w:kern w:val="0"/>
                <w:sz w:val="24"/>
                <w:szCs w:val="24"/>
              </w:rPr>
              <w:t>3.63</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163541</w:t>
            </w:r>
          </w:p>
        </w:tc>
        <w:tc>
          <w:tcPr>
            <w:vAlign w:val="center"/>
          </w:tcPr>
          <w:p>
            <w:pPr>
              <w:jc w:val="center"/>
            </w:pPr>
            <w:r>
              <w:rPr>
                <w:color w:val="000000"/>
                <w:kern w:val="0"/>
                <w:sz w:val="24"/>
                <w:szCs w:val="24"/>
              </w:rPr>
              <w:t>20诚通10</w:t>
            </w:r>
          </w:p>
        </w:tc>
        <w:tc>
          <w:tcPr>
            <w:vAlign w:val="center"/>
          </w:tcPr>
          <w:p>
            <w:pPr>
              <w:jc w:val="right"/>
            </w:pPr>
            <w:r>
              <w:rPr>
                <w:color w:val="000000"/>
                <w:kern w:val="0"/>
                <w:sz w:val="24"/>
                <w:szCs w:val="24"/>
              </w:rPr>
              <w:t>300,000</w:t>
            </w:r>
          </w:p>
        </w:tc>
        <w:tc>
          <w:tcPr>
            <w:vAlign w:val="center"/>
          </w:tcPr>
          <w:p>
            <w:pPr>
              <w:jc w:val="right"/>
            </w:pPr>
            <w:r>
              <w:rPr>
                <w:color w:val="000000"/>
                <w:kern w:val="0"/>
                <w:sz w:val="24"/>
                <w:szCs w:val="24"/>
              </w:rPr>
              <w:t>29,241,000.00</w:t>
            </w:r>
          </w:p>
        </w:tc>
        <w:tc>
          <w:tcPr>
            <w:vAlign w:val="center"/>
          </w:tcPr>
          <w:p>
            <w:pPr>
              <w:jc w:val="right"/>
            </w:pPr>
            <w:r>
              <w:rPr>
                <w:color w:val="000000"/>
                <w:kern w:val="0"/>
                <w:sz w:val="24"/>
                <w:szCs w:val="24"/>
              </w:rPr>
              <w:t>3.53</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136480</w:t>
            </w:r>
          </w:p>
        </w:tc>
        <w:tc>
          <w:tcPr>
            <w:vAlign w:val="center"/>
          </w:tcPr>
          <w:p>
            <w:pPr>
              <w:jc w:val="center"/>
            </w:pPr>
            <w:r>
              <w:rPr>
                <w:color w:val="000000"/>
                <w:kern w:val="0"/>
                <w:sz w:val="24"/>
                <w:szCs w:val="24"/>
              </w:rPr>
              <w:t>16华能02</w:t>
            </w:r>
          </w:p>
        </w:tc>
        <w:tc>
          <w:tcPr>
            <w:vAlign w:val="center"/>
          </w:tcPr>
          <w:p>
            <w:pPr>
              <w:jc w:val="right"/>
            </w:pPr>
            <w:r>
              <w:rPr>
                <w:color w:val="000000"/>
                <w:kern w:val="0"/>
                <w:sz w:val="24"/>
                <w:szCs w:val="24"/>
              </w:rPr>
              <w:t>239,800</w:t>
            </w:r>
          </w:p>
        </w:tc>
        <w:tc>
          <w:tcPr>
            <w:vAlign w:val="center"/>
          </w:tcPr>
          <w:p>
            <w:pPr>
              <w:jc w:val="right"/>
            </w:pPr>
            <w:r>
              <w:rPr>
                <w:color w:val="000000"/>
                <w:kern w:val="0"/>
                <w:sz w:val="24"/>
                <w:szCs w:val="24"/>
              </w:rPr>
              <w:t>23,972,806.00</w:t>
            </w:r>
          </w:p>
        </w:tc>
        <w:tc>
          <w:tcPr>
            <w:vAlign w:val="center"/>
          </w:tcPr>
          <w:p>
            <w:pPr>
              <w:jc w:val="right"/>
            </w:pPr>
            <w:r>
              <w:rPr>
                <w:color w:val="000000"/>
                <w:kern w:val="0"/>
                <w:sz w:val="24"/>
                <w:szCs w:val="24"/>
              </w:rPr>
              <w:t>2.89</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101801189</w:t>
            </w:r>
          </w:p>
        </w:tc>
        <w:tc>
          <w:tcPr>
            <w:vAlign w:val="center"/>
          </w:tcPr>
          <w:p>
            <w:pPr>
              <w:jc w:val="center"/>
            </w:pPr>
            <w:r>
              <w:rPr>
                <w:color w:val="000000"/>
                <w:kern w:val="0"/>
                <w:sz w:val="24"/>
                <w:szCs w:val="24"/>
              </w:rPr>
              <w:t>18兖州煤业MTN002</w:t>
            </w:r>
          </w:p>
        </w:tc>
        <w:tc>
          <w:tcPr>
            <w:vAlign w:val="center"/>
          </w:tcPr>
          <w:p>
            <w:pPr>
              <w:jc w:val="right"/>
            </w:pPr>
            <w:r>
              <w:rPr>
                <w:color w:val="000000"/>
                <w:kern w:val="0"/>
                <w:sz w:val="24"/>
                <w:szCs w:val="24"/>
              </w:rPr>
              <w:t>200,000</w:t>
            </w:r>
          </w:p>
        </w:tc>
        <w:tc>
          <w:tcPr>
            <w:vAlign w:val="center"/>
          </w:tcPr>
          <w:p>
            <w:pPr>
              <w:jc w:val="right"/>
            </w:pPr>
            <w:r>
              <w:rPr>
                <w:color w:val="000000"/>
                <w:kern w:val="0"/>
                <w:sz w:val="24"/>
                <w:szCs w:val="24"/>
              </w:rPr>
              <w:t>20,380,000.00</w:t>
            </w:r>
          </w:p>
        </w:tc>
        <w:tc>
          <w:tcPr>
            <w:vAlign w:val="center"/>
          </w:tcPr>
          <w:p>
            <w:pPr>
              <w:jc w:val="right"/>
            </w:pPr>
            <w:r>
              <w:rPr>
                <w:color w:val="000000"/>
                <w:kern w:val="0"/>
                <w:sz w:val="24"/>
                <w:szCs w:val="24"/>
              </w:rPr>
              <w:t>2.46</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101900819</w:t>
            </w:r>
          </w:p>
        </w:tc>
        <w:tc>
          <w:tcPr>
            <w:vAlign w:val="center"/>
          </w:tcPr>
          <w:p>
            <w:pPr>
              <w:jc w:val="center"/>
            </w:pPr>
            <w:r>
              <w:rPr>
                <w:color w:val="000000"/>
                <w:kern w:val="0"/>
                <w:sz w:val="24"/>
                <w:szCs w:val="24"/>
              </w:rPr>
              <w:t>19津城建MTN004B</w:t>
            </w:r>
          </w:p>
        </w:tc>
        <w:tc>
          <w:tcPr>
            <w:vAlign w:val="center"/>
          </w:tcPr>
          <w:p>
            <w:pPr>
              <w:jc w:val="right"/>
            </w:pPr>
            <w:r>
              <w:rPr>
                <w:color w:val="000000"/>
                <w:kern w:val="0"/>
                <w:sz w:val="24"/>
                <w:szCs w:val="24"/>
              </w:rPr>
              <w:t>200,000</w:t>
            </w:r>
          </w:p>
        </w:tc>
        <w:tc>
          <w:tcPr>
            <w:vAlign w:val="center"/>
          </w:tcPr>
          <w:p>
            <w:pPr>
              <w:jc w:val="right"/>
            </w:pPr>
            <w:r>
              <w:rPr>
                <w:color w:val="000000"/>
                <w:kern w:val="0"/>
                <w:sz w:val="24"/>
                <w:szCs w:val="24"/>
              </w:rPr>
              <w:t>20,332,000.00</w:t>
            </w:r>
          </w:p>
        </w:tc>
        <w:tc>
          <w:tcPr>
            <w:vAlign w:val="center"/>
          </w:tcPr>
          <w:p>
            <w:pPr>
              <w:jc w:val="right"/>
            </w:pPr>
            <w:r>
              <w:rPr>
                <w:color w:val="000000"/>
                <w:kern w:val="0"/>
                <w:sz w:val="24"/>
                <w:szCs w:val="24"/>
              </w:rPr>
              <w:t>2.45</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1276"/>
        <w:gridCol w:w="1275"/>
        <w:gridCol w:w="1802"/>
        <w:gridCol w:w="1742"/>
        <w:gridCol w:w="1474"/>
      </w:tblGrid>
      <w:tr w:rsidR="00750D48" w:rsidRPr="00264E55" w:rsidTr="005602F3">
        <w:tc>
          <w:tcPr>
            <w:tcW w:type="dxa" w:w="959"/>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证券代码</w:t>
            </w:r>
          </w:p>
        </w:tc>
        <w:tc>
          <w:tcPr>
            <w:tcW w:type="dxa" w:w="1275"/>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证券名称</w:t>
            </w:r>
          </w:p>
        </w:tc>
        <w:tc>
          <w:tcPr>
            <w:tcW w:type="dxa" w:w="1802"/>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（份）</w:t>
            </w:r>
          </w:p>
        </w:tc>
        <w:tc>
          <w:tcPr>
            <w:tcW w:type="dxa" w:w="1742"/>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47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137059</w:t>
            </w:r>
          </w:p>
        </w:tc>
        <w:tc>
          <w:tcPr>
            <w:vAlign w:val="center"/>
          </w:tcPr>
          <w:p>
            <w:pPr>
              <w:jc w:val="center"/>
            </w:pPr>
            <w:r>
              <w:rPr>
                <w:color w:val="000000"/>
                <w:kern w:val="0"/>
                <w:sz w:val="24"/>
                <w:szCs w:val="24"/>
              </w:rPr>
              <w:t>20如樾1A</w:t>
            </w:r>
          </w:p>
        </w:tc>
        <w:tc>
          <w:tcPr>
            <w:vAlign w:val="center"/>
          </w:tcPr>
          <w:p>
            <w:pPr>
              <w:jc w:val="right"/>
            </w:pPr>
            <w:r>
              <w:rPr>
                <w:color w:val="000000"/>
                <w:kern w:val="0"/>
                <w:sz w:val="24"/>
                <w:szCs w:val="24"/>
              </w:rPr>
              <w:t>100,000</w:t>
            </w:r>
          </w:p>
        </w:tc>
        <w:tc>
          <w:tcPr>
            <w:vAlign w:val="center"/>
          </w:tcPr>
          <w:p>
            <w:pPr>
              <w:jc w:val="right"/>
            </w:pPr>
            <w:r>
              <w:rPr>
                <w:color w:val="000000"/>
                <w:kern w:val="0"/>
                <w:sz w:val="24"/>
                <w:szCs w:val="24"/>
              </w:rPr>
              <w:t>10,000,000.00</w:t>
            </w:r>
          </w:p>
        </w:tc>
        <w:tc>
          <w:tcPr>
            <w:vAlign w:val="center"/>
          </w:tcPr>
          <w:p>
            <w:pPr>
              <w:jc w:val="right"/>
            </w:pPr>
            <w:r>
              <w:rPr>
                <w:color w:val="000000"/>
                <w:kern w:val="0"/>
                <w:sz w:val="24"/>
                <w:szCs w:val="24"/>
              </w:rPr>
              <w:t>1.21</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168733</w:t>
            </w:r>
          </w:p>
        </w:tc>
        <w:tc>
          <w:tcPr>
            <w:vAlign w:val="center"/>
          </w:tcPr>
          <w:p>
            <w:pPr>
              <w:jc w:val="center"/>
            </w:pPr>
            <w:r>
              <w:rPr>
                <w:color w:val="000000"/>
                <w:kern w:val="0"/>
                <w:sz w:val="24"/>
                <w:szCs w:val="24"/>
              </w:rPr>
              <w:t>申程01优</w:t>
            </w:r>
          </w:p>
        </w:tc>
        <w:tc>
          <w:tcPr>
            <w:vAlign w:val="center"/>
          </w:tcPr>
          <w:p>
            <w:pPr>
              <w:jc w:val="right"/>
            </w:pPr>
            <w:r>
              <w:rPr>
                <w:color w:val="000000"/>
                <w:kern w:val="0"/>
                <w:sz w:val="24"/>
                <w:szCs w:val="24"/>
              </w:rPr>
              <w:t>100,000</w:t>
            </w:r>
          </w:p>
        </w:tc>
        <w:tc>
          <w:tcPr>
            <w:vAlign w:val="center"/>
          </w:tcPr>
          <w:p>
            <w:pPr>
              <w:jc w:val="right"/>
            </w:pPr>
            <w:r>
              <w:rPr>
                <w:color w:val="000000"/>
                <w:kern w:val="0"/>
                <w:sz w:val="24"/>
                <w:szCs w:val="24"/>
              </w:rPr>
              <w:t>9,963,000.00</w:t>
            </w:r>
          </w:p>
        </w:tc>
        <w:tc>
          <w:tcPr>
            <w:vAlign w:val="center"/>
          </w:tcPr>
          <w:p>
            <w:pPr>
              <w:jc w:val="right"/>
            </w:pPr>
            <w:r>
              <w:rPr>
                <w:color w:val="000000"/>
                <w:kern w:val="0"/>
                <w:sz w:val="24"/>
                <w:szCs w:val="24"/>
              </w:rPr>
              <w:t>1.20</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168608</w:t>
            </w:r>
          </w:p>
        </w:tc>
        <w:tc>
          <w:tcPr>
            <w:vAlign w:val="center"/>
          </w:tcPr>
          <w:p>
            <w:pPr>
              <w:jc w:val="center"/>
            </w:pPr>
            <w:r>
              <w:rPr>
                <w:color w:val="000000"/>
                <w:kern w:val="0"/>
                <w:sz w:val="24"/>
                <w:szCs w:val="24"/>
              </w:rPr>
              <w:t>健弘04A</w:t>
            </w:r>
          </w:p>
        </w:tc>
        <w:tc>
          <w:tcPr>
            <w:vAlign w:val="center"/>
          </w:tcPr>
          <w:p>
            <w:pPr>
              <w:jc w:val="right"/>
            </w:pPr>
            <w:r>
              <w:rPr>
                <w:color w:val="000000"/>
                <w:kern w:val="0"/>
                <w:sz w:val="24"/>
                <w:szCs w:val="24"/>
              </w:rPr>
              <w:t>100,000</w:t>
            </w:r>
          </w:p>
        </w:tc>
        <w:tc>
          <w:tcPr>
            <w:vAlign w:val="center"/>
          </w:tcPr>
          <w:p>
            <w:pPr>
              <w:jc w:val="right"/>
            </w:pPr>
            <w:r>
              <w:rPr>
                <w:color w:val="000000"/>
                <w:kern w:val="0"/>
                <w:sz w:val="24"/>
                <w:szCs w:val="24"/>
              </w:rPr>
              <w:t>9,921,000.00</w:t>
            </w:r>
          </w:p>
        </w:tc>
        <w:tc>
          <w:tcPr>
            <w:vAlign w:val="center"/>
          </w:tcPr>
          <w:p>
            <w:pPr>
              <w:jc w:val="right"/>
            </w:pPr>
            <w:r>
              <w:rPr>
                <w:color w:val="000000"/>
                <w:kern w:val="0"/>
                <w:sz w:val="24"/>
                <w:szCs w:val="24"/>
              </w:rPr>
              <w:t>1.20</w:t>
            </w:r>
          </w:p>
        </w:tc>
      </w:tr>
    </w:tbl>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2020年6月24日，天津东疆海关对河钢集团有限公司“申报与实际不符，影响国家出口退税管理”的行为罚款600元。</w:t>
      </w:r>
    </w:p>
    <w:p>
      <w:pPr>
        <w:spacing w:line="360" w:lineRule="auto"/>
        <w:rPr>
          <w:rFonts w:ascii="宋体" w:hAnsi="宋体"/>
          <w:color w:val="000000"/>
          <w:sz w:val="24"/>
          <w:szCs w:val="24"/>
        </w:rPr>
      </w:pPr>
      <w:r>
        <w:rPr>
          <w:rFonts w:ascii="宋体" w:hAnsi="宋体"/>
          <w:color w:val="000000"/>
          <w:sz w:val="24"/>
          <w:szCs w:val="24"/>
        </w:rPr>
        <w:t>本基金投资20河钢集MTN011、19河钢集MTN004的投资决策程序符合公司投资制度的规定。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除20河钢集MTN011、19河钢集MTN004外，本基金投资的前十名证券的发行主体本期没有出现被监管部门立案调查，或在报告编制日前一年内受到公开谴责、处罚的情形。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65,906.24</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170,392.41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11,942,445.46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428,530.46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12,607,274.57</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本基金本报告期末前十名股票中不存在流通受限情况。</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518,014,330.21</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64,528,684.72</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18,554,474.85</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563,988,540.08</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1.中国证监会准予易方达瑞景灵活配置混合型证券投资基金注册的文件；</w:t>
      </w:r>
    </w:p>
    <w:p>
      <w:pPr>
        <w:spacing w:line="360" w:lineRule="auto"/>
        <w:ind w:firstLine="480" w:firstLineChars="200"/>
        <w:rPr>
          <w:color w:val="000000"/>
          <w:sz w:val="24"/>
          <w:szCs w:val="24"/>
        </w:rPr>
      </w:pPr>
      <w:r>
        <w:rPr>
          <w:color w:val="000000"/>
          <w:sz w:val="24"/>
          <w:szCs w:val="24"/>
        </w:rPr>
        <w:t>2.《易方达瑞景灵活配置混合型证券投资基金基金合同》；</w:t>
      </w:r>
    </w:p>
    <w:p>
      <w:pPr>
        <w:spacing w:line="360" w:lineRule="auto"/>
        <w:ind w:firstLine="480" w:firstLineChars="200"/>
        <w:rPr>
          <w:color w:val="000000"/>
          <w:sz w:val="24"/>
          <w:szCs w:val="24"/>
        </w:rPr>
      </w:pPr>
      <w:r>
        <w:rPr>
          <w:color w:val="000000"/>
          <w:sz w:val="24"/>
          <w:szCs w:val="24"/>
        </w:rPr>
        <w:t>3.《易方达瑞景灵活配置混合型证券投资基金托管协议》；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易方达瑞景灵活配置混合型证券投资基金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