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易方达科瑞灵活配置混合型证券投资基金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交通银行股份有限公司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基金托管人交通银行股份有限公司根据本基金合同规定，于2020年10月26日复核了本报告中的财务指标、净值表现和投资组合报告等内容，保证复核内容不存在虚假记载、误导性陈述或者重大遗漏。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易方达科瑞混合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003293</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003293</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2017年1月3日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550,726,996.38</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本基金在控制风险的前提下，追求超越业绩比较基准的投资回报。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基于定量与定性相结合的宏观及市场分析，确定组合中股票、债券等资产类别的配置比例。股票投资方面，本基金将根据对各行业的综合分析，确定并调整行业配置比例。在个股选择方面，本基金将精选具有持续竞争优势且估值具有吸引力的公司进行投资。在债券投资方面，本基金将主要通过类属配置与券种选择两个层次进行投资管理。</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沪深300指数收益率×80%+中债新综合财富指数收益率×20%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本基金为混合基金，理论上其预期风险与预期收益水平低于股票基金，高于债券基金和货币市场基金。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交通银行股份有限公司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153,446,387.26</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149,356,995.42</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0.2667</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951,614,042.29</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1.7279</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17.82%</w:t>
            </w:r>
          </w:p>
        </w:tc>
        <w:tc>
          <w:tcPr>
            <w:vAlign w:val="center"/>
          </w:tcPr>
          <w:p>
            <w:pPr>
              <w:jc w:val="center"/>
            </w:pPr>
            <w:r>
              <w:rPr>
                <w:color w:val="000000"/>
                <w:kern w:val="0"/>
                <w:sz w:val="24"/>
                <w:szCs w:val="24"/>
              </w:rPr>
              <w:t>1.43%</w:t>
            </w:r>
          </w:p>
        </w:tc>
        <w:tc>
          <w:tcPr>
            <w:vAlign w:val="center"/>
          </w:tcPr>
          <w:p>
            <w:pPr>
              <w:jc w:val="center"/>
            </w:pPr>
            <w:r>
              <w:rPr>
                <w:color w:val="000000"/>
                <w:kern w:val="0"/>
                <w:sz w:val="24"/>
                <w:szCs w:val="24"/>
              </w:rPr>
              <w:t>8.01%</w:t>
            </w:r>
          </w:p>
        </w:tc>
        <w:tc>
          <w:tcPr>
            <w:vAlign w:val="center"/>
          </w:tcPr>
          <w:p>
            <w:pPr>
              <w:jc w:val="center"/>
            </w:pPr>
            <w:r>
              <w:rPr>
                <w:color w:val="000000"/>
                <w:kern w:val="0"/>
                <w:sz w:val="24"/>
                <w:szCs w:val="24"/>
              </w:rPr>
              <w:t>1.29%</w:t>
            </w:r>
          </w:p>
        </w:tc>
        <w:tc>
          <w:tcPr>
            <w:vAlign w:val="center"/>
          </w:tcPr>
          <w:p>
            <w:pPr>
              <w:jc w:val="center"/>
            </w:pPr>
            <w:r>
              <w:rPr>
                <w:color w:val="000000"/>
                <w:kern w:val="0"/>
                <w:sz w:val="24"/>
                <w:szCs w:val="24"/>
              </w:rPr>
              <w:t>9.81%</w:t>
            </w:r>
          </w:p>
        </w:tc>
        <w:tc>
          <w:tcPr>
            <w:vAlign w:val="center"/>
          </w:tcPr>
          <w:p>
            <w:pPr>
              <w:jc w:val="center"/>
            </w:pPr>
            <w:r>
              <w:rPr>
                <w:color w:val="000000"/>
                <w:kern w:val="0"/>
                <w:sz w:val="24"/>
                <w:szCs w:val="24"/>
              </w:rPr>
              <w:t>0.14%</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46.18%</w:t>
            </w:r>
          </w:p>
        </w:tc>
        <w:tc>
          <w:tcPr>
            <w:vAlign w:val="center"/>
          </w:tcPr>
          <w:p>
            <w:pPr>
              <w:jc w:val="center"/>
            </w:pPr>
            <w:r>
              <w:rPr>
                <w:color w:val="000000"/>
                <w:kern w:val="0"/>
                <w:sz w:val="24"/>
                <w:szCs w:val="24"/>
              </w:rPr>
              <w:t>1.22%</w:t>
            </w:r>
          </w:p>
        </w:tc>
        <w:tc>
          <w:tcPr>
            <w:vAlign w:val="center"/>
          </w:tcPr>
          <w:p>
            <w:pPr>
              <w:jc w:val="center"/>
            </w:pPr>
            <w:r>
              <w:rPr>
                <w:color w:val="000000"/>
                <w:kern w:val="0"/>
                <w:sz w:val="24"/>
                <w:szCs w:val="24"/>
              </w:rPr>
              <w:t>19.39%</w:t>
            </w:r>
          </w:p>
        </w:tc>
        <w:tc>
          <w:tcPr>
            <w:vAlign w:val="center"/>
          </w:tcPr>
          <w:p>
            <w:pPr>
              <w:jc w:val="center"/>
            </w:pPr>
            <w:r>
              <w:rPr>
                <w:color w:val="000000"/>
                <w:kern w:val="0"/>
                <w:sz w:val="24"/>
                <w:szCs w:val="24"/>
              </w:rPr>
              <w:t>1.05%</w:t>
            </w:r>
          </w:p>
        </w:tc>
        <w:tc>
          <w:tcPr>
            <w:vAlign w:val="center"/>
          </w:tcPr>
          <w:p>
            <w:pPr>
              <w:jc w:val="center"/>
            </w:pPr>
            <w:r>
              <w:rPr>
                <w:color w:val="000000"/>
                <w:kern w:val="0"/>
                <w:sz w:val="24"/>
                <w:szCs w:val="24"/>
              </w:rPr>
              <w:t>26.79%</w:t>
            </w:r>
          </w:p>
        </w:tc>
        <w:tc>
          <w:tcPr>
            <w:vAlign w:val="center"/>
          </w:tcPr>
          <w:p>
            <w:pPr>
              <w:jc w:val="center"/>
            </w:pPr>
            <w:r>
              <w:rPr>
                <w:color w:val="000000"/>
                <w:kern w:val="0"/>
                <w:sz w:val="24"/>
                <w:szCs w:val="24"/>
              </w:rPr>
              <w:t>0.17%</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50.55%</w:t>
            </w:r>
          </w:p>
        </w:tc>
        <w:tc>
          <w:tcPr>
            <w:vAlign w:val="center"/>
          </w:tcPr>
          <w:p>
            <w:pPr>
              <w:jc w:val="center"/>
            </w:pPr>
            <w:r>
              <w:rPr>
                <w:color w:val="000000"/>
                <w:kern w:val="0"/>
                <w:sz w:val="24"/>
                <w:szCs w:val="24"/>
              </w:rPr>
              <w:t>1.33%</w:t>
            </w:r>
          </w:p>
        </w:tc>
        <w:tc>
          <w:tcPr>
            <w:vAlign w:val="center"/>
          </w:tcPr>
          <w:p>
            <w:pPr>
              <w:jc w:val="center"/>
            </w:pPr>
            <w:r>
              <w:rPr>
                <w:color w:val="000000"/>
                <w:kern w:val="0"/>
                <w:sz w:val="24"/>
                <w:szCs w:val="24"/>
              </w:rPr>
              <w:t>16.81%</w:t>
            </w:r>
          </w:p>
        </w:tc>
        <w:tc>
          <w:tcPr>
            <w:vAlign w:val="center"/>
          </w:tcPr>
          <w:p>
            <w:pPr>
              <w:jc w:val="center"/>
            </w:pPr>
            <w:r>
              <w:rPr>
                <w:color w:val="000000"/>
                <w:kern w:val="0"/>
                <w:sz w:val="24"/>
                <w:szCs w:val="24"/>
              </w:rPr>
              <w:t>1.11%</w:t>
            </w:r>
          </w:p>
        </w:tc>
        <w:tc>
          <w:tcPr>
            <w:vAlign w:val="center"/>
          </w:tcPr>
          <w:p>
            <w:pPr>
              <w:jc w:val="center"/>
            </w:pPr>
            <w:r>
              <w:rPr>
                <w:color w:val="000000"/>
                <w:kern w:val="0"/>
                <w:sz w:val="24"/>
                <w:szCs w:val="24"/>
              </w:rPr>
              <w:t>33.74%</w:t>
            </w:r>
          </w:p>
        </w:tc>
        <w:tc>
          <w:tcPr>
            <w:vAlign w:val="center"/>
          </w:tcPr>
          <w:p>
            <w:pPr>
              <w:jc w:val="center"/>
            </w:pPr>
            <w:r>
              <w:rPr>
                <w:color w:val="000000"/>
                <w:kern w:val="0"/>
                <w:sz w:val="24"/>
                <w:szCs w:val="24"/>
              </w:rPr>
              <w:t>0.22%</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85.94%</w:t>
            </w:r>
          </w:p>
        </w:tc>
        <w:tc>
          <w:tcPr>
            <w:vAlign w:val="center"/>
          </w:tcPr>
          <w:p>
            <w:pPr>
              <w:jc w:val="center"/>
            </w:pPr>
            <w:r>
              <w:rPr>
                <w:color w:val="000000"/>
                <w:kern w:val="0"/>
                <w:sz w:val="24"/>
                <w:szCs w:val="24"/>
              </w:rPr>
              <w:t>1.22%</w:t>
            </w:r>
          </w:p>
        </w:tc>
        <w:tc>
          <w:tcPr>
            <w:vAlign w:val="center"/>
          </w:tcPr>
          <w:p>
            <w:pPr>
              <w:jc w:val="center"/>
            </w:pPr>
            <w:r>
              <w:rPr>
                <w:color w:val="000000"/>
                <w:kern w:val="0"/>
                <w:sz w:val="24"/>
                <w:szCs w:val="24"/>
              </w:rPr>
              <w:t>18.58%</w:t>
            </w:r>
          </w:p>
        </w:tc>
        <w:tc>
          <w:tcPr>
            <w:vAlign w:val="center"/>
          </w:tcPr>
          <w:p>
            <w:pPr>
              <w:jc w:val="center"/>
            </w:pPr>
            <w:r>
              <w:rPr>
                <w:color w:val="000000"/>
                <w:kern w:val="0"/>
                <w:sz w:val="24"/>
                <w:szCs w:val="24"/>
              </w:rPr>
              <w:t>1.06%</w:t>
            </w:r>
          </w:p>
        </w:tc>
        <w:tc>
          <w:tcPr>
            <w:vAlign w:val="center"/>
          </w:tcPr>
          <w:p>
            <w:pPr>
              <w:jc w:val="center"/>
            </w:pPr>
            <w:r>
              <w:rPr>
                <w:color w:val="000000"/>
                <w:kern w:val="0"/>
                <w:sz w:val="24"/>
                <w:szCs w:val="24"/>
              </w:rPr>
              <w:t>67.36%</w:t>
            </w:r>
          </w:p>
        </w:tc>
        <w:tc>
          <w:tcPr>
            <w:vAlign w:val="center"/>
          </w:tcPr>
          <w:p>
            <w:pPr>
              <w:jc w:val="center"/>
            </w:pPr>
            <w:r>
              <w:rPr>
                <w:color w:val="000000"/>
                <w:kern w:val="0"/>
                <w:sz w:val="24"/>
                <w:szCs w:val="24"/>
              </w:rPr>
              <w:t>0.16%</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102.33%</w:t>
            </w:r>
          </w:p>
        </w:tc>
        <w:tc>
          <w:tcPr>
            <w:vAlign w:val="center"/>
          </w:tcPr>
          <w:p>
            <w:pPr>
              <w:jc w:val="center"/>
            </w:pPr>
            <w:r>
              <w:rPr>
                <w:color w:val="000000"/>
                <w:kern w:val="0"/>
                <w:sz w:val="24"/>
                <w:szCs w:val="24"/>
              </w:rPr>
              <w:t>1.12%</w:t>
            </w:r>
          </w:p>
        </w:tc>
        <w:tc>
          <w:tcPr>
            <w:vAlign w:val="center"/>
          </w:tcPr>
          <w:p>
            <w:pPr>
              <w:jc w:val="center"/>
            </w:pPr>
            <w:r>
              <w:rPr>
                <w:color w:val="000000"/>
                <w:kern w:val="0"/>
                <w:sz w:val="24"/>
                <w:szCs w:val="24"/>
              </w:rPr>
              <w:t>33.95%</w:t>
            </w:r>
          </w:p>
        </w:tc>
        <w:tc>
          <w:tcPr>
            <w:vAlign w:val="center"/>
          </w:tcPr>
          <w:p>
            <w:pPr>
              <w:jc w:val="center"/>
            </w:pPr>
            <w:r>
              <w:rPr>
                <w:color w:val="000000"/>
                <w:kern w:val="0"/>
                <w:sz w:val="24"/>
                <w:szCs w:val="24"/>
              </w:rPr>
              <w:t>0.97%</w:t>
            </w:r>
          </w:p>
        </w:tc>
        <w:tc>
          <w:tcPr>
            <w:vAlign w:val="center"/>
          </w:tcPr>
          <w:p>
            <w:pPr>
              <w:jc w:val="center"/>
            </w:pPr>
            <w:r>
              <w:rPr>
                <w:color w:val="000000"/>
                <w:kern w:val="0"/>
                <w:sz w:val="24"/>
                <w:szCs w:val="24"/>
              </w:rPr>
              <w:t>68.38%</w:t>
            </w:r>
          </w:p>
        </w:tc>
        <w:tc>
          <w:tcPr>
            <w:vAlign w:val="center"/>
          </w:tcPr>
          <w:p>
            <w:pPr>
              <w:jc w:val="center"/>
            </w:pPr>
            <w:r>
              <w:rPr>
                <w:color w:val="000000"/>
                <w:kern w:val="0"/>
                <w:sz w:val="24"/>
                <w:szCs w:val="24"/>
              </w:rPr>
              <w:t>0.15%</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易方达科瑞灵活配置混合型证券投资基金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2017年1月3日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pPr>
        <w:spacing w:line="360" w:lineRule="auto"/>
        <w:ind w:firstLine="480" w:firstLineChars="200"/>
        <w:rPr>
          <w:color w:val="000000"/>
          <w:sz w:val="24"/>
          <w:szCs w:val="24"/>
        </w:rPr>
      </w:pPr>
      <w:r>
        <w:rPr>
          <w:color w:val="000000"/>
          <w:sz w:val="24"/>
          <w:szCs w:val="24"/>
        </w:rPr>
        <w:t>注：1.本基金由原科瑞证券投资基金于2017年1月3日转型而来。</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2.自基金转型至报告期末，基金份额净值增长率为102.33%，同期业绩比较基准收益率为33.95%。</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杨嘉文</w:t>
            </w:r>
          </w:p>
        </w:tc>
        <w:tc>
          <w:tcPr>
            <w:vAlign w:val="center"/>
          </w:tcPr>
          <w:p>
            <w:pPr>
              <w:jc w:val="left"/>
            </w:pPr>
            <w:r>
              <w:rPr>
                <w:color w:val="000000"/>
                <w:sz w:val="24"/>
              </w:rPr>
              <w:t>本基金的基金经理、易方达科汇灵活配置混合型证券投资基金的基金经理</w:t>
            </w:r>
          </w:p>
        </w:tc>
        <w:tc>
          <w:tcPr>
            <w:vAlign w:val="center"/>
          </w:tcPr>
          <w:p>
            <w:pPr>
              <w:jc w:val="center"/>
            </w:pPr>
            <w:r>
              <w:rPr>
                <w:color w:val="000000"/>
                <w:sz w:val="24"/>
              </w:rPr>
              <w:t>2017-12-27</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硕士研究生，具有基金从业资格。曾任大成基金管理有限公司研究部研究员，易方达基金管理有限公司行业研究员、基金经理助理。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2020年第三季度A股主流指数以上涨为主，其中沪深300指数上涨10.17%，上证50指数上涨9.87%，中证500上涨5.59%，创业板综指上涨9.66%。随着国内疫情的结束，各行各业复工复产，市场整体呈现上涨格局。</w:t>
      </w:r>
    </w:p>
    <w:p>
      <w:pPr>
        <w:spacing w:line="360" w:lineRule="auto"/>
        <w:ind w:firstLine="480" w:firstLineChars="200"/>
        <w:rPr>
          <w:color w:val="000000"/>
          <w:sz w:val="24"/>
          <w:szCs w:val="24"/>
        </w:rPr>
      </w:pPr>
      <w:r>
        <w:rPr>
          <w:color w:val="000000"/>
          <w:sz w:val="24"/>
          <w:szCs w:val="24"/>
        </w:rPr>
        <w:t>分析原因，海外经济方面，三季度全球制造业PMI指数持续回升，但速度有所放缓。美国经济重启后由于内部种族矛盾激化，疫情二次爆发且影响远超第一次疫情，财政刺激方案迟迟未能落地；欧洲疫情反复，特别是9月后英国甚至面临再次封锁风险，全球经济增长在疫情反复中波折修复；美联储8月议息会议引入平均通胀货币政策框架打消宽货币政策退出疑虑，美元指数一度跌至91低点，但随着欧洲疫情爆发，欧弱美强驱动美元指数走强，海外风险资产波动加剧。国内经济方面，三季度投资和出口是核心驱动，消费修复相对缓慢。出口受益于海外疫情二次爆发，对海外产出缺口构成产能替代，出口连续超预期成三季度亮点，制造业投资增速8月超预期改善；社零增速修复缓慢，但可选消费改善明显，汽车销量增速是重要支撑。物价整体呈现CPI回落、PPI回升组合，工业企业利润增速显著改善，工业企业正从被动去库存向主动补库存过渡，经济整体弱复苏。三季度维持紧货币、宽信用格局，730政治局会议强调注重货币政策精准导向和跨周期调节以后紧货币预期发酵，新增社融和新增贷款数据回升超预期，主要融资来源由非标融资转为政府债券，房地产融资监管趋严引发信用收紧担忧。</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在三季度股票仓位稳定在85%左右，并根据上述的宏观经济判断，行业和个股上作出了一些调整。随着经济的复苏和流动性持续宽松，市场出现了结构性的机会，本基金继续从个股的估值性价比角度筛选中长期有一定竞争力的个股进行增持，如电子、计算机和轻工制造等行业；此外，报告期内本基金减持的行业主要有农林牧渔、商业贸易、房地产和食品饮料等。</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截至报告期末，本基金份额净值为1.7279元，本报告期份额净值增长率为17.82%，同期业绩比较基准收益率为8.01%。</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783,163,648.85</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81.14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783,163,648.85</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81.14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173,838,306.57</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18.01</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8,215,089.80</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0.85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965,217,045.22</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3,359,213.00</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0.35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547,089,566.37</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57.49</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26,928,649.32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2.83</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49,465.86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67,033,369.55</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7.04</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100,637,889.21</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10.58</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9,244,508.44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0.97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16,669,656.22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1.75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12,051,209.52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1.27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783,163,648.85</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82.30</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五粮液</w:t>
            </w:r>
          </w:p>
        </w:tc>
        <w:tc>
          <w:tcPr>
            <w:vAlign w:val="center"/>
          </w:tcPr>
          <w:p>
            <w:pPr>
              <w:jc w:val="right"/>
            </w:pPr>
            <w:r>
              <w:rPr>
                <w:color w:val="000000"/>
                <w:kern w:val="0"/>
                <w:sz w:val="24"/>
                <w:szCs w:val="24"/>
              </w:rPr>
              <w:t>370,348</w:t>
            </w:r>
          </w:p>
        </w:tc>
        <w:tc>
          <w:tcPr>
            <w:vAlign w:val="center"/>
          </w:tcPr>
          <w:p>
            <w:pPr>
              <w:jc w:val="right"/>
            </w:pPr>
            <w:r>
              <w:rPr>
                <w:color w:val="000000"/>
                <w:kern w:val="0"/>
                <w:sz w:val="24"/>
                <w:szCs w:val="24"/>
              </w:rPr>
              <w:t>81,846,908.00</w:t>
            </w:r>
          </w:p>
        </w:tc>
        <w:tc>
          <w:tcPr>
            <w:vAlign w:val="center"/>
          </w:tcPr>
          <w:p>
            <w:pPr>
              <w:jc w:val="right"/>
            </w:pPr>
            <w:r>
              <w:rPr>
                <w:color w:val="000000"/>
                <w:kern w:val="0"/>
                <w:sz w:val="24"/>
                <w:szCs w:val="24"/>
              </w:rPr>
              <w:t>8.60</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688369</w:t>
            </w:r>
          </w:p>
        </w:tc>
        <w:tc>
          <w:tcPr>
            <w:vAlign w:val="center"/>
          </w:tcPr>
          <w:p>
            <w:pPr>
              <w:jc w:val="center"/>
            </w:pPr>
            <w:r>
              <w:rPr>
                <w:color w:val="000000"/>
                <w:kern w:val="0"/>
                <w:sz w:val="24"/>
                <w:szCs w:val="24"/>
              </w:rPr>
              <w:t>致远互联</w:t>
            </w:r>
          </w:p>
        </w:tc>
        <w:tc>
          <w:tcPr>
            <w:vAlign w:val="center"/>
          </w:tcPr>
          <w:p>
            <w:pPr>
              <w:jc w:val="right"/>
            </w:pPr>
            <w:r>
              <w:rPr>
                <w:color w:val="000000"/>
                <w:kern w:val="0"/>
                <w:sz w:val="24"/>
                <w:szCs w:val="24"/>
              </w:rPr>
              <w:t>639,471</w:t>
            </w:r>
          </w:p>
        </w:tc>
        <w:tc>
          <w:tcPr>
            <w:vAlign w:val="center"/>
          </w:tcPr>
          <w:p>
            <w:pPr>
              <w:jc w:val="right"/>
            </w:pPr>
            <w:r>
              <w:rPr>
                <w:color w:val="000000"/>
                <w:kern w:val="0"/>
                <w:sz w:val="24"/>
                <w:szCs w:val="24"/>
              </w:rPr>
              <w:t>52,353,490.77</w:t>
            </w:r>
          </w:p>
        </w:tc>
        <w:tc>
          <w:tcPr>
            <w:vAlign w:val="center"/>
          </w:tcPr>
          <w:p>
            <w:pPr>
              <w:jc w:val="right"/>
            </w:pPr>
            <w:r>
              <w:rPr>
                <w:color w:val="000000"/>
                <w:kern w:val="0"/>
                <w:sz w:val="24"/>
                <w:szCs w:val="24"/>
              </w:rPr>
              <w:t>5.50</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000902</w:t>
            </w:r>
          </w:p>
        </w:tc>
        <w:tc>
          <w:tcPr>
            <w:vAlign w:val="center"/>
          </w:tcPr>
          <w:p>
            <w:pPr>
              <w:jc w:val="center"/>
            </w:pPr>
            <w:r>
              <w:rPr>
                <w:color w:val="000000"/>
                <w:kern w:val="0"/>
                <w:sz w:val="24"/>
                <w:szCs w:val="24"/>
              </w:rPr>
              <w:t>新洋丰</w:t>
            </w:r>
          </w:p>
        </w:tc>
        <w:tc>
          <w:tcPr>
            <w:vAlign w:val="center"/>
          </w:tcPr>
          <w:p>
            <w:pPr>
              <w:jc w:val="right"/>
            </w:pPr>
            <w:r>
              <w:rPr>
                <w:color w:val="000000"/>
                <w:kern w:val="0"/>
                <w:sz w:val="24"/>
                <w:szCs w:val="24"/>
              </w:rPr>
              <w:t>3,203,850</w:t>
            </w:r>
          </w:p>
        </w:tc>
        <w:tc>
          <w:tcPr>
            <w:vAlign w:val="center"/>
          </w:tcPr>
          <w:p>
            <w:pPr>
              <w:jc w:val="right"/>
            </w:pPr>
            <w:r>
              <w:rPr>
                <w:color w:val="000000"/>
                <w:kern w:val="0"/>
                <w:sz w:val="24"/>
                <w:szCs w:val="24"/>
              </w:rPr>
              <w:t>37,933,584.00</w:t>
            </w:r>
          </w:p>
        </w:tc>
        <w:tc>
          <w:tcPr>
            <w:vAlign w:val="center"/>
          </w:tcPr>
          <w:p>
            <w:pPr>
              <w:jc w:val="right"/>
            </w:pPr>
            <w:r>
              <w:rPr>
                <w:color w:val="000000"/>
                <w:kern w:val="0"/>
                <w:sz w:val="24"/>
                <w:szCs w:val="24"/>
              </w:rPr>
              <w:t>3.99</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300033</w:t>
            </w:r>
          </w:p>
        </w:tc>
        <w:tc>
          <w:tcPr>
            <w:vAlign w:val="center"/>
          </w:tcPr>
          <w:p>
            <w:pPr>
              <w:jc w:val="center"/>
            </w:pPr>
            <w:r>
              <w:rPr>
                <w:color w:val="000000"/>
                <w:kern w:val="0"/>
                <w:sz w:val="24"/>
                <w:szCs w:val="24"/>
              </w:rPr>
              <w:t>同花顺</w:t>
            </w:r>
          </w:p>
        </w:tc>
        <w:tc>
          <w:tcPr>
            <w:vAlign w:val="center"/>
          </w:tcPr>
          <w:p>
            <w:pPr>
              <w:jc w:val="right"/>
            </w:pPr>
            <w:r>
              <w:rPr>
                <w:color w:val="000000"/>
                <w:kern w:val="0"/>
                <w:sz w:val="24"/>
                <w:szCs w:val="24"/>
              </w:rPr>
              <w:t>192,509</w:t>
            </w:r>
          </w:p>
        </w:tc>
        <w:tc>
          <w:tcPr>
            <w:vAlign w:val="center"/>
          </w:tcPr>
          <w:p>
            <w:pPr>
              <w:jc w:val="right"/>
            </w:pPr>
            <w:r>
              <w:rPr>
                <w:color w:val="000000"/>
                <w:kern w:val="0"/>
                <w:sz w:val="24"/>
                <w:szCs w:val="24"/>
              </w:rPr>
              <w:t>30,776,413.83</w:t>
            </w:r>
          </w:p>
        </w:tc>
        <w:tc>
          <w:tcPr>
            <w:vAlign w:val="center"/>
          </w:tcPr>
          <w:p>
            <w:pPr>
              <w:jc w:val="right"/>
            </w:pPr>
            <w:r>
              <w:rPr>
                <w:color w:val="000000"/>
                <w:kern w:val="0"/>
                <w:sz w:val="24"/>
                <w:szCs w:val="24"/>
              </w:rPr>
              <w:t>3.23</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601318</w:t>
            </w:r>
          </w:p>
        </w:tc>
        <w:tc>
          <w:tcPr>
            <w:vAlign w:val="center"/>
          </w:tcPr>
          <w:p>
            <w:pPr>
              <w:jc w:val="center"/>
            </w:pPr>
            <w:r>
              <w:rPr>
                <w:color w:val="000000"/>
                <w:kern w:val="0"/>
                <w:sz w:val="24"/>
                <w:szCs w:val="24"/>
              </w:rPr>
              <w:t>中国平安</w:t>
            </w:r>
          </w:p>
        </w:tc>
        <w:tc>
          <w:tcPr>
            <w:vAlign w:val="center"/>
          </w:tcPr>
          <w:p>
            <w:pPr>
              <w:jc w:val="right"/>
            </w:pPr>
            <w:r>
              <w:rPr>
                <w:color w:val="000000"/>
                <w:kern w:val="0"/>
                <w:sz w:val="24"/>
                <w:szCs w:val="24"/>
              </w:rPr>
              <w:t>364,293</w:t>
            </w:r>
          </w:p>
        </w:tc>
        <w:tc>
          <w:tcPr>
            <w:vAlign w:val="center"/>
          </w:tcPr>
          <w:p>
            <w:pPr>
              <w:jc w:val="right"/>
            </w:pPr>
            <w:r>
              <w:rPr>
                <w:color w:val="000000"/>
                <w:kern w:val="0"/>
                <w:sz w:val="24"/>
                <w:szCs w:val="24"/>
              </w:rPr>
              <w:t>27,780,984.18</w:t>
            </w:r>
          </w:p>
        </w:tc>
        <w:tc>
          <w:tcPr>
            <w:vAlign w:val="center"/>
          </w:tcPr>
          <w:p>
            <w:pPr>
              <w:jc w:val="right"/>
            </w:pPr>
            <w:r>
              <w:rPr>
                <w:color w:val="000000"/>
                <w:kern w:val="0"/>
                <w:sz w:val="24"/>
                <w:szCs w:val="24"/>
              </w:rPr>
              <w:t>2.92</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601952</w:t>
            </w:r>
          </w:p>
        </w:tc>
        <w:tc>
          <w:tcPr>
            <w:vAlign w:val="center"/>
          </w:tcPr>
          <w:p>
            <w:pPr>
              <w:jc w:val="center"/>
            </w:pPr>
            <w:r>
              <w:rPr>
                <w:color w:val="000000"/>
                <w:kern w:val="0"/>
                <w:sz w:val="24"/>
                <w:szCs w:val="24"/>
              </w:rPr>
              <w:t>苏垦农发</w:t>
            </w:r>
          </w:p>
        </w:tc>
        <w:tc>
          <w:tcPr>
            <w:vAlign w:val="center"/>
          </w:tcPr>
          <w:p>
            <w:pPr>
              <w:jc w:val="right"/>
            </w:pPr>
            <w:r>
              <w:rPr>
                <w:color w:val="000000"/>
                <w:kern w:val="0"/>
                <w:sz w:val="24"/>
                <w:szCs w:val="24"/>
              </w:rPr>
              <w:t>1,593,700</w:t>
            </w:r>
          </w:p>
        </w:tc>
        <w:tc>
          <w:tcPr>
            <w:vAlign w:val="center"/>
          </w:tcPr>
          <w:p>
            <w:pPr>
              <w:jc w:val="right"/>
            </w:pPr>
            <w:r>
              <w:rPr>
                <w:color w:val="000000"/>
                <w:kern w:val="0"/>
                <w:sz w:val="24"/>
                <w:szCs w:val="24"/>
              </w:rPr>
              <w:t>20,957,155.00</w:t>
            </w:r>
          </w:p>
        </w:tc>
        <w:tc>
          <w:tcPr>
            <w:vAlign w:val="center"/>
          </w:tcPr>
          <w:p>
            <w:pPr>
              <w:jc w:val="right"/>
            </w:pPr>
            <w:r>
              <w:rPr>
                <w:color w:val="000000"/>
                <w:kern w:val="0"/>
                <w:sz w:val="24"/>
                <w:szCs w:val="24"/>
              </w:rPr>
              <w:t>2.20</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002158</w:t>
            </w:r>
          </w:p>
        </w:tc>
        <w:tc>
          <w:tcPr>
            <w:vAlign w:val="center"/>
          </w:tcPr>
          <w:p>
            <w:pPr>
              <w:jc w:val="center"/>
            </w:pPr>
            <w:r>
              <w:rPr>
                <w:color w:val="000000"/>
                <w:kern w:val="0"/>
                <w:sz w:val="24"/>
                <w:szCs w:val="24"/>
              </w:rPr>
              <w:t>汉钟精机</w:t>
            </w:r>
          </w:p>
        </w:tc>
        <w:tc>
          <w:tcPr>
            <w:vAlign w:val="center"/>
          </w:tcPr>
          <w:p>
            <w:pPr>
              <w:jc w:val="right"/>
            </w:pPr>
            <w:r>
              <w:rPr>
                <w:color w:val="000000"/>
                <w:kern w:val="0"/>
                <w:sz w:val="24"/>
                <w:szCs w:val="24"/>
              </w:rPr>
              <w:t>1,719,120</w:t>
            </w:r>
          </w:p>
        </w:tc>
        <w:tc>
          <w:tcPr>
            <w:vAlign w:val="center"/>
          </w:tcPr>
          <w:p>
            <w:pPr>
              <w:jc w:val="right"/>
            </w:pPr>
            <w:r>
              <w:rPr>
                <w:color w:val="000000"/>
                <w:kern w:val="0"/>
                <w:sz w:val="24"/>
                <w:szCs w:val="24"/>
              </w:rPr>
              <w:t>20,921,690.40</w:t>
            </w:r>
          </w:p>
        </w:tc>
        <w:tc>
          <w:tcPr>
            <w:vAlign w:val="center"/>
          </w:tcPr>
          <w:p>
            <w:pPr>
              <w:jc w:val="right"/>
            </w:pPr>
            <w:r>
              <w:rPr>
                <w:color w:val="000000"/>
                <w:kern w:val="0"/>
                <w:sz w:val="24"/>
                <w:szCs w:val="24"/>
              </w:rPr>
              <w:t>2.20</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002572</w:t>
            </w:r>
          </w:p>
        </w:tc>
        <w:tc>
          <w:tcPr>
            <w:vAlign w:val="center"/>
          </w:tcPr>
          <w:p>
            <w:pPr>
              <w:jc w:val="center"/>
            </w:pPr>
            <w:r>
              <w:rPr>
                <w:color w:val="000000"/>
                <w:kern w:val="0"/>
                <w:sz w:val="24"/>
                <w:szCs w:val="24"/>
              </w:rPr>
              <w:t>索菲亚</w:t>
            </w:r>
          </w:p>
        </w:tc>
        <w:tc>
          <w:tcPr>
            <w:vAlign w:val="center"/>
          </w:tcPr>
          <w:p>
            <w:pPr>
              <w:jc w:val="right"/>
            </w:pPr>
            <w:r>
              <w:rPr>
                <w:color w:val="000000"/>
                <w:kern w:val="0"/>
                <w:sz w:val="24"/>
                <w:szCs w:val="24"/>
              </w:rPr>
              <w:t>786,493</w:t>
            </w:r>
          </w:p>
        </w:tc>
        <w:tc>
          <w:tcPr>
            <w:vAlign w:val="center"/>
          </w:tcPr>
          <w:p>
            <w:pPr>
              <w:jc w:val="right"/>
            </w:pPr>
            <w:r>
              <w:rPr>
                <w:color w:val="000000"/>
                <w:kern w:val="0"/>
                <w:sz w:val="24"/>
                <w:szCs w:val="24"/>
              </w:rPr>
              <w:t>20,731,955.48</w:t>
            </w:r>
          </w:p>
        </w:tc>
        <w:tc>
          <w:tcPr>
            <w:vAlign w:val="center"/>
          </w:tcPr>
          <w:p>
            <w:pPr>
              <w:jc w:val="right"/>
            </w:pPr>
            <w:r>
              <w:rPr>
                <w:color w:val="000000"/>
                <w:kern w:val="0"/>
                <w:sz w:val="24"/>
                <w:szCs w:val="24"/>
              </w:rPr>
              <w:t>2.18</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603378</w:t>
            </w:r>
          </w:p>
        </w:tc>
        <w:tc>
          <w:tcPr>
            <w:vAlign w:val="center"/>
          </w:tcPr>
          <w:p>
            <w:pPr>
              <w:jc w:val="center"/>
            </w:pPr>
            <w:r>
              <w:rPr>
                <w:color w:val="000000"/>
                <w:kern w:val="0"/>
                <w:sz w:val="24"/>
                <w:szCs w:val="24"/>
              </w:rPr>
              <w:t>亚士创能</w:t>
            </w:r>
          </w:p>
        </w:tc>
        <w:tc>
          <w:tcPr>
            <w:vAlign w:val="center"/>
          </w:tcPr>
          <w:p>
            <w:pPr>
              <w:jc w:val="right"/>
            </w:pPr>
            <w:r>
              <w:rPr>
                <w:color w:val="000000"/>
                <w:kern w:val="0"/>
                <w:sz w:val="24"/>
                <w:szCs w:val="24"/>
              </w:rPr>
              <w:t>305,775</w:t>
            </w:r>
          </w:p>
        </w:tc>
        <w:tc>
          <w:tcPr>
            <w:vAlign w:val="center"/>
          </w:tcPr>
          <w:p>
            <w:pPr>
              <w:jc w:val="right"/>
            </w:pPr>
            <w:r>
              <w:rPr>
                <w:color w:val="000000"/>
                <w:kern w:val="0"/>
                <w:sz w:val="24"/>
                <w:szCs w:val="24"/>
              </w:rPr>
              <w:t>20,731,545.00</w:t>
            </w:r>
          </w:p>
        </w:tc>
        <w:tc>
          <w:tcPr>
            <w:vAlign w:val="center"/>
          </w:tcPr>
          <w:p>
            <w:pPr>
              <w:jc w:val="right"/>
            </w:pPr>
            <w:r>
              <w:rPr>
                <w:color w:val="000000"/>
                <w:kern w:val="0"/>
                <w:sz w:val="24"/>
                <w:szCs w:val="24"/>
              </w:rPr>
              <w:t>2.18</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002419</w:t>
            </w:r>
          </w:p>
        </w:tc>
        <w:tc>
          <w:tcPr>
            <w:vAlign w:val="center"/>
          </w:tcPr>
          <w:p>
            <w:pPr>
              <w:jc w:val="center"/>
            </w:pPr>
            <w:r>
              <w:rPr>
                <w:color w:val="000000"/>
                <w:kern w:val="0"/>
                <w:sz w:val="24"/>
                <w:szCs w:val="24"/>
              </w:rPr>
              <w:t>天虹股份</w:t>
            </w:r>
          </w:p>
        </w:tc>
        <w:tc>
          <w:tcPr>
            <w:vAlign w:val="center"/>
          </w:tcPr>
          <w:p>
            <w:pPr>
              <w:jc w:val="right"/>
            </w:pPr>
            <w:r>
              <w:rPr>
                <w:color w:val="000000"/>
                <w:kern w:val="0"/>
                <w:sz w:val="24"/>
                <w:szCs w:val="24"/>
              </w:rPr>
              <w:t>2,305,732</w:t>
            </w:r>
          </w:p>
        </w:tc>
        <w:tc>
          <w:tcPr>
            <w:vAlign w:val="center"/>
          </w:tcPr>
          <w:p>
            <w:pPr>
              <w:jc w:val="right"/>
            </w:pPr>
            <w:r>
              <w:rPr>
                <w:color w:val="000000"/>
                <w:kern w:val="0"/>
                <w:sz w:val="24"/>
                <w:szCs w:val="24"/>
              </w:rPr>
              <w:t>20,728,530.68</w:t>
            </w:r>
          </w:p>
        </w:tc>
        <w:tc>
          <w:tcPr>
            <w:vAlign w:val="center"/>
          </w:tcPr>
          <w:p>
            <w:pPr>
              <w:jc w:val="right"/>
            </w:pPr>
            <w:r>
              <w:rPr>
                <w:color w:val="000000"/>
                <w:kern w:val="0"/>
                <w:sz w:val="24"/>
                <w:szCs w:val="24"/>
              </w:rPr>
              <w:t>2.18</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P="00403A06" w:rsidR="00750D48" w:rsidRDefault="00CA4677"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2019年11月18日，国家税务总局北京市海淀区税务局针对北京致远互联软件股份有限公司丢失发票的违法违规行为，处以罚款400元。</w:t>
      </w:r>
    </w:p>
    <w:p>
      <w:pPr>
        <w:spacing w:line="360" w:lineRule="auto"/>
        <w:rPr>
          <w:rFonts w:ascii="宋体" w:hAnsi="宋体"/>
          <w:color w:val="000000"/>
          <w:sz w:val="24"/>
          <w:szCs w:val="24"/>
        </w:rPr>
      </w:pPr>
      <w:r>
        <w:rPr>
          <w:rFonts w:ascii="宋体" w:hAnsi="宋体"/>
          <w:color w:val="000000"/>
          <w:sz w:val="24"/>
          <w:szCs w:val="24"/>
        </w:rPr>
        <w:t>本基金投资致远互联的投资决策程序符合公司投资制度的规定。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除致远互联外，本基金投资的前十名证券的发行主体本期没有出现被监管部门立案调查，或在报告编制日前一年内受到公开谴责、处罚的情形。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178,715.43</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7,565,657.51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32,322.62</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438,394.24</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8,215,089.80</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本基金本报告期末前十名股票中不存在流通受限情况。</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541,244,567.01</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59,819,796.20</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50,337,366.83</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550,726,996.38</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xml:space="preserve">本报告期内基金管理人未持有本基金份额。 </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xml:space="preserve">本报告期内基金管理人未运用固有资金申购、赎回、买卖本基金份额。 </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1.中国证监会准予科瑞证券投资基金变更注册的文件；</w:t>
      </w:r>
    </w:p>
    <w:p>
      <w:pPr>
        <w:spacing w:line="360" w:lineRule="auto"/>
        <w:ind w:firstLine="480" w:firstLineChars="200"/>
        <w:rPr>
          <w:color w:val="000000"/>
          <w:sz w:val="24"/>
          <w:szCs w:val="24"/>
        </w:rPr>
      </w:pPr>
      <w:r>
        <w:rPr>
          <w:color w:val="000000"/>
          <w:sz w:val="24"/>
          <w:szCs w:val="24"/>
        </w:rPr>
        <w:t>2.关于科瑞证券投资基金基金份额持有人大会表决结果暨决议生效的公告；</w:t>
      </w:r>
    </w:p>
    <w:p>
      <w:pPr>
        <w:spacing w:line="360" w:lineRule="auto"/>
        <w:ind w:firstLine="480" w:firstLineChars="200"/>
        <w:rPr>
          <w:color w:val="000000"/>
          <w:sz w:val="24"/>
          <w:szCs w:val="24"/>
        </w:rPr>
      </w:pPr>
      <w:r>
        <w:rPr>
          <w:color w:val="000000"/>
          <w:sz w:val="24"/>
          <w:szCs w:val="24"/>
        </w:rPr>
        <w:t>3.《易方达科瑞灵活配置混合型证券投资基金基金合同》；</w:t>
      </w:r>
    </w:p>
    <w:p>
      <w:pPr>
        <w:spacing w:line="360" w:lineRule="auto"/>
        <w:ind w:firstLine="480" w:firstLineChars="200"/>
        <w:rPr>
          <w:color w:val="000000"/>
          <w:sz w:val="24"/>
          <w:szCs w:val="24"/>
        </w:rPr>
      </w:pPr>
      <w:r>
        <w:rPr>
          <w:color w:val="000000"/>
          <w:sz w:val="24"/>
          <w:szCs w:val="24"/>
        </w:rPr>
        <w:t>4.《易方达科瑞灵活配置混合型证券投资基金托管协议》；</w:t>
      </w:r>
    </w:p>
    <w:p>
      <w:pPr>
        <w:spacing w:line="360" w:lineRule="auto"/>
        <w:ind w:firstLine="480" w:firstLineChars="200"/>
        <w:rPr>
          <w:color w:val="000000"/>
          <w:sz w:val="24"/>
          <w:szCs w:val="24"/>
        </w:rPr>
      </w:pPr>
      <w:r>
        <w:rPr>
          <w:color w:val="000000"/>
          <w:sz w:val="24"/>
          <w:szCs w:val="24"/>
        </w:rPr>
        <w:t>5.《易方达基金管理有限公司开放式基金业务规则》；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6.基金管理人业务资格批件、营业执照。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易方达科瑞灵活配置混合型证券投资基金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