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FC13C8" w:rsidR="00F016DD" w:rsidRDefault="00F016DD" w:rsidRPr="0078105B">
      <w:pPr>
        <w:spacing w:line="360" w:lineRule="auto"/>
        <w:jc w:val="center"/>
        <w:rPr>
          <w:rFonts w:ascii="宋体" w:hAnsi="宋体"/>
          <w:b/>
          <w:sz w:val="36"/>
          <w:szCs w:val="36"/>
        </w:rPr>
      </w:pPr>
      <w:r w:rsidRPr="0078105B">
        <w:rPr>
          <w:rFonts w:ascii="宋体"/>
          <w:b/>
          <w:sz w:val="36"/>
          <w:szCs w:val="36"/>
        </w:rPr>
        <w:t/>
      </w:r>
      <w:proofErr w:type="spellStart"/>
      <w:proofErr w:type="gramStart"/>
      <w:r w:rsidRPr="0078105B">
        <w:rPr>
          <w:rFonts w:ascii="宋体" w:hAnsi="宋体"/>
          <w:b/>
          <w:sz w:val="36"/>
          <w:szCs w:val="36"/>
        </w:rPr>
        <w:t/>
      </w:r>
      <w:proofErr w:type="spellEnd"/>
      <w:proofErr w:type="gramEnd"/>
      <w:r w:rsidRPr="0078105B">
        <w:rPr>
          <w:rFonts w:ascii="宋体" w:hAnsi="宋体"/>
          <w:b/>
          <w:sz w:val="36"/>
          <w:szCs w:val="36"/>
        </w:rPr>
        <w:t>易方达量化策略精选灵活配置混合型证券投资基金</w:t>
      </w:r>
    </w:p>
    <w:p w:rsidP="00FC13C8" w:rsidR="00F016DD" w:rsidRDefault="00F016DD" w:rsidRPr="0078105B">
      <w:pPr>
        <w:spacing w:line="360" w:lineRule="auto"/>
        <w:jc w:val="center"/>
        <w:rPr>
          <w:rFonts w:ascii="宋体" w:hAnsi="宋体"/>
          <w:b/>
          <w:sz w:val="36"/>
          <w:szCs w:val="36"/>
        </w:rPr>
      </w:pPr>
      <w:r w:rsidRPr="0078105B">
        <w:rPr>
          <w:rFonts w:ascii="宋体" w:hAnsi="宋体"/>
          <w:b/>
          <w:sz w:val="36"/>
          <w:szCs w:val="36"/>
        </w:rPr>
        <w:t/>
      </w:r>
      <w:proofErr w:type="spellStart"/>
      <w:r w:rsidRPr="0078105B">
        <w:rPr>
          <w:rFonts w:ascii="宋体" w:hAnsi="宋体"/>
          <w:b/>
          <w:sz w:val="36"/>
          <w:szCs w:val="36"/>
        </w:rPr>
        <w:t/>
      </w:r>
      <w:proofErr w:type="spellEnd"/>
      <w:r w:rsidRPr="0078105B">
        <w:rPr>
          <w:rFonts w:ascii="宋体" w:hAnsi="宋体"/>
          <w:b/>
          <w:sz w:val="36"/>
          <w:szCs w:val="36"/>
        </w:rPr>
        <w:t>2020年第3季度报告</w:t>
      </w:r>
    </w:p>
    <w:p w:rsidP="00FC13C8" w:rsidR="00F016DD" w:rsidRDefault="00F016DD" w:rsidRPr="00DA451D">
      <w:pPr>
        <w:spacing w:line="360" w:lineRule="auto"/>
        <w:jc w:val="center"/>
        <w:rPr>
          <w:rFonts w:ascii="宋体" w:hAnsi="宋体"/>
          <w:b/>
          <w:sz w:val="24"/>
        </w:rPr>
      </w:pPr>
      <w:r w:rsidRPr="00DA451D">
        <w:rPr>
          <w:rFonts w:ascii="宋体"/>
          <w:b/>
          <w:sz w:val="24"/>
        </w:rPr>
        <w:t/>
      </w:r>
      <w:proofErr w:type="spellStart"/>
      <w:proofErr w:type="gramStart"/>
      <w:r w:rsidRPr="00DA451D">
        <w:rPr>
          <w:rFonts w:ascii="宋体" w:hAnsi="宋体"/>
          <w:b/>
          <w:sz w:val="24"/>
        </w:rPr>
        <w:t/>
      </w:r>
      <w:proofErr w:type="spellEnd"/>
      <w:proofErr w:type="gramEnd"/>
      <w:r w:rsidRPr="00DA451D">
        <w:rPr>
          <w:rFonts w:ascii="宋体" w:hAnsi="宋体"/>
          <w:b/>
          <w:sz w:val="24"/>
        </w:rPr>
        <w:t>2020年9月30日</w:t>
      </w: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E27360" w:rsidR="00F016DD" w:rsidRDefault="00F016DD" w:rsidRPr="0078105B">
      <w:pPr>
        <w:spacing w:line="360" w:lineRule="auto"/>
        <w:jc w:val="center"/>
        <w:rPr>
          <w:rFonts w:ascii="宋体"/>
          <w:b/>
          <w:color w:val="000000"/>
          <w:sz w:val="24"/>
        </w:rPr>
      </w:pPr>
    </w:p>
    <w:p w:rsidP="00E27360"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rPr>
          <w:rFonts w:ascii="宋体"/>
          <w:b/>
          <w:color w:val="000000"/>
          <w:sz w:val="24"/>
        </w:rPr>
      </w:pPr>
    </w:p>
    <w:p w:rsidP="00174038" w:rsidR="00F016DD" w:rsidRDefault="00F016DD" w:rsidRPr="0078105B">
      <w:pPr>
        <w:spacing w:line="360" w:lineRule="auto"/>
        <w:ind w:firstLine="2168" w:firstLineChars="900"/>
        <w:rPr>
          <w:rFonts w:ascii="宋体" w:hAnsi="宋体"/>
          <w:b/>
          <w:color w:val="000000"/>
          <w:sz w:val="24"/>
        </w:rPr>
      </w:pPr>
      <w:r w:rsidRPr="0078105B">
        <w:rPr>
          <w:rFonts w:ascii="宋体" w:hAnsi="宋体" w:hint="eastAsia"/>
          <w:b/>
          <w:color w:val="000000"/>
          <w:sz w:val="24"/>
        </w:rPr>
        <w:t>基金管理人：</w:t>
      </w:r>
      <w:r w:rsidRPr="0078105B">
        <w:rPr>
          <w:rFonts w:ascii="宋体"/>
          <w:b/>
          <w:color w:val="000000"/>
          <w:sz w:val="24"/>
        </w:rPr>
        <w:t/>
      </w:r>
      <w:proofErr w:type="spellStart"/>
      <w:proofErr w:type="gramStart"/>
      <w:r w:rsidRPr="0078105B">
        <w:rPr>
          <w:rFonts w:ascii="宋体" w:hAnsi="宋体"/>
          <w:b/>
          <w:color w:val="000000"/>
          <w:sz w:val="24"/>
        </w:rPr>
        <w:t/>
      </w:r>
      <w:proofErr w:type="spellEnd"/>
      <w:proofErr w:type="gramEnd"/>
      <w:r w:rsidRPr="0078105B">
        <w:rPr>
          <w:rFonts w:ascii="宋体" w:hAnsi="宋体"/>
          <w:b/>
          <w:color w:val="000000"/>
          <w:sz w:val="24"/>
        </w:rPr>
        <w:t>易方达基金管理有限公司</w:t>
      </w:r>
    </w:p>
    <w:p w:rsidP="00174038" w:rsidR="00F016DD" w:rsidRDefault="00F016DD" w:rsidRPr="0078105B">
      <w:pPr>
        <w:spacing w:line="360" w:lineRule="auto"/>
        <w:ind w:firstLine="2168" w:firstLineChars="900"/>
        <w:rPr>
          <w:rFonts w:ascii="宋体" w:hAnsi="宋体"/>
          <w:b/>
          <w:color w:val="000000"/>
          <w:sz w:val="24"/>
        </w:rPr>
      </w:pPr>
      <w:r w:rsidRPr="0078105B">
        <w:rPr>
          <w:rFonts w:ascii="宋体" w:hAnsi="宋体" w:hint="eastAsia"/>
          <w:b/>
          <w:color w:val="000000"/>
          <w:sz w:val="24"/>
        </w:rPr>
        <w:t>基金托管人：</w:t>
      </w:r>
      <w:r w:rsidRPr="0078105B">
        <w:rPr>
          <w:rFonts w:ascii="宋体"/>
          <w:b/>
          <w:color w:val="000000"/>
          <w:sz w:val="24"/>
        </w:rPr>
        <w:t/>
      </w:r>
      <w:proofErr w:type="spellStart"/>
      <w:proofErr w:type="gramStart"/>
      <w:r w:rsidRPr="0078105B">
        <w:rPr>
          <w:rFonts w:ascii="宋体" w:hAnsi="宋体"/>
          <w:b/>
          <w:color w:val="000000"/>
          <w:sz w:val="24"/>
        </w:rPr>
        <w:t/>
      </w:r>
      <w:proofErr w:type="spellEnd"/>
      <w:proofErr w:type="gramEnd"/>
      <w:r w:rsidRPr="0078105B">
        <w:rPr>
          <w:rFonts w:ascii="宋体" w:hAnsi="宋体"/>
          <w:b/>
          <w:color w:val="000000"/>
          <w:sz w:val="24"/>
        </w:rPr>
        <w:t>中国建设银行股份有限公司</w:t>
      </w:r>
    </w:p>
    <w:p w:rsidP="00174038" w:rsidR="00F016DD" w:rsidRDefault="00F016DD" w:rsidRPr="0078105B">
      <w:pPr>
        <w:spacing w:line="360" w:lineRule="auto"/>
        <w:ind w:firstLine="2168" w:firstLineChars="900"/>
        <w:rPr>
          <w:rFonts w:ascii="宋体"/>
          <w:sz w:val="24"/>
        </w:rPr>
        <w:sectPr w:rsidR="00F016DD" w:rsidRPr="0078105B" w:rsidSect="00F7094A">
          <w:headerReference r:id="rId8" w:type="default"/>
          <w:footerReference r:id="rId9" w:type="default"/>
          <w:pgSz w:h="15840" w:w="11926"/>
          <w:pgMar w:bottom="851" w:footer="992" w:gutter="0" w:header="851" w:left="1418" w:right="1418" w:top="1418"/>
          <w:cols w:space="720"/>
          <w:noEndnote/>
        </w:sectPr>
      </w:pPr>
      <w:r w:rsidRPr="0078105B">
        <w:rPr>
          <w:rFonts w:ascii="宋体" w:hAnsi="宋体" w:hint="eastAsia"/>
          <w:b/>
          <w:color w:val="000000"/>
          <w:sz w:val="24"/>
        </w:rPr>
        <w:t>报告送出日期：</w:t>
      </w:r>
      <w:r w:rsidRPr="0078105B">
        <w:rPr>
          <w:rFonts w:ascii="宋体"/>
          <w:b/>
          <w:color w:val="000000"/>
          <w:sz w:val="24"/>
        </w:rPr>
        <w:t/>
      </w:r>
      <w:proofErr w:type="spellStart"/>
      <w:proofErr w:type="gramStart"/>
      <w:r w:rsidRPr="0078105B">
        <w:rPr>
          <w:rFonts w:ascii="宋体" w:hAnsi="宋体"/>
          <w:b/>
          <w:color w:val="000000"/>
          <w:sz w:val="24"/>
        </w:rPr>
        <w:t/>
      </w:r>
      <w:proofErr w:type="spellEnd"/>
      <w:proofErr w:type="gramEnd"/>
      <w:r w:rsidRPr="0078105B">
        <w:rPr>
          <w:rFonts w:ascii="宋体" w:hAnsi="宋体"/>
          <w:b/>
          <w:color w:val="000000"/>
          <w:sz w:val="24"/>
        </w:rPr>
        <w:t>二〇二〇年十月二十八日</w:t>
      </w:r>
    </w:p>
    <w:p w:rsidP="00B54884" w:rsidR="00F016DD" w:rsidRDefault="00F016DD" w:rsidRPr="0078105B">
      <w:pPr>
        <w:pStyle w:val="1"/>
        <w:spacing w:after="312" w:afterLines="100" w:before="312" w:beforeLines="100" w:line="360" w:lineRule="auto"/>
        <w:jc w:val="center"/>
        <w:rPr>
          <w:rFonts w:ascii="宋体" w:cs="Arial"/>
          <w:b w:val="0"/>
          <w:color w:val="000000"/>
          <w:kern w:val="0"/>
          <w:sz w:val="24"/>
          <w:szCs w:val="24"/>
        </w:rPr>
      </w:pPr>
      <w:r w:rsidRPr="0078105B">
        <w:rPr>
          <w:rFonts w:ascii="宋体" w:cs="Arial" w:hAnsi="宋体" w:hint="eastAsia"/>
          <w:color w:val="000000"/>
          <w:kern w:val="0"/>
          <w:sz w:val="24"/>
          <w:szCs w:val="24"/>
        </w:rPr>
        <w:lastRenderedPageBreak/>
        <w:t>§</w:t>
      </w:r>
      <w:r w:rsidRPr="0078105B">
        <w:rPr>
          <w:rFonts w:ascii="宋体" w:cs="Arial" w:hAnsi="宋体"/>
          <w:color w:val="000000"/>
          <w:kern w:val="0"/>
          <w:sz w:val="24"/>
          <w:szCs w:val="24"/>
        </w:rPr>
        <w:t xml:space="preserve">1  </w:t>
      </w:r>
      <w:r w:rsidRPr="0078105B">
        <w:rPr>
          <w:rFonts w:ascii="宋体" w:cs="Arial" w:hAnsi="宋体" w:hint="eastAsia"/>
          <w:color w:val="000000"/>
          <w:kern w:val="0"/>
          <w:sz w:val="24"/>
          <w:szCs w:val="24"/>
        </w:rPr>
        <w:t>重要提示</w:t>
      </w:r>
    </w:p>
    <w:p>
      <w:pPr>
        <w:spacing w:line="360"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80" w:firstLineChars="200"/>
        <w:rPr>
          <w:color w:val="000000"/>
          <w:sz w:val="24"/>
        </w:rPr>
      </w:pPr>
      <w:r>
        <w:rPr>
          <w:color w:val="000000"/>
          <w:sz w:val="24"/>
        </w:rPr>
        <w:t xml:space="preserve">基金托管人中国建设银行股份有限公司根据本基金合同规定，于2020年10月26日复核了本报告中的财务指标、净值表现和投资组合报告等内容，保证复核内容不存在虚假记载、误导性陈述或者重大遗漏。 </w:t>
      </w:r>
    </w:p>
    <w:p>
      <w:pPr>
        <w:spacing w:line="360"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line="360"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line="360" w:lineRule="auto"/>
        <w:ind w:firstLine="480" w:firstLineChars="200"/>
        <w:rPr>
          <w:color w:val="000000"/>
          <w:sz w:val="24"/>
        </w:rPr>
      </w:pPr>
      <w:r>
        <w:rPr>
          <w:color w:val="000000"/>
          <w:sz w:val="24"/>
        </w:rPr>
        <w:t>本报告中财务资料未经审计。</w:t>
      </w:r>
    </w:p>
    <w:p w:rsidP="00C30CFF" w:rsidR="00F016DD" w:rsidRDefault="00F016DD" w:rsidRPr="00C30CFF">
      <w:pPr>
        <w:spacing w:line="360" w:lineRule="auto"/>
        <w:ind w:firstLine="480" w:firstLineChars="200"/>
        <w:rPr>
          <w:color w:val="000000"/>
          <w:sz w:val="24"/>
        </w:rPr>
      </w:pPr>
      <w:r w:rsidRPr="00C30CFF">
        <w:rPr>
          <w:color w:val="000000"/>
          <w:sz w:val="24"/>
        </w:rPr>
        <w:t/>
      </w:r>
      <w:proofErr w:type="spellStart"/>
      <w:proofErr w:type="gramStart"/>
      <w:r w:rsidRPr="00C30CFF">
        <w:rPr>
          <w:color w:val="000000"/>
          <w:sz w:val="24"/>
        </w:rPr>
        <w:t/>
      </w:r>
      <w:proofErr w:type="spellEnd"/>
      <w:proofErr w:type="gramEnd"/>
      <w:r w:rsidRPr="00C30CFF">
        <w:rPr>
          <w:color w:val="000000"/>
          <w:sz w:val="24"/>
        </w:rPr>
        <w:t>本报告期自2020年7月1日起至9月30日止。</w:t>
      </w: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hAnsi="宋体"/>
          <w:color w:val="000000"/>
          <w:kern w:val="0"/>
          <w:sz w:val="24"/>
          <w:szCs w:val="24"/>
        </w:rPr>
        <w:t xml:space="preserve">2  </w:t>
      </w:r>
      <w:r w:rsidRPr="0078105B">
        <w:rPr>
          <w:rFonts w:ascii="宋体" w:cs="Arial" w:hAnsi="宋体" w:hint="eastAsia"/>
          <w:color w:val="000000"/>
          <w:kern w:val="0"/>
          <w:sz w:val="24"/>
          <w:szCs w:val="24"/>
        </w:rPr>
        <w:t>基金产品概况</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835"/>
        <w:gridCol w:w="2739"/>
        <w:gridCol w:w="2790"/>
      </w:tblGrid>
      <w:tr w:rsidR="00F016DD" w:rsidRPr="0078105B" w:rsidTr="00414367">
        <w:tc>
          <w:tcPr>
            <w:tcW w:type="dxa" w:w="2835"/>
          </w:tcPr>
          <w:p w:rsidP="00E205AA" w:rsidR="00F016DD" w:rsidRDefault="00F016DD" w:rsidRPr="00C30CFF">
            <w:pPr>
              <w:adjustRightInd w:val="0"/>
              <w:spacing w:before="29" w:line="360" w:lineRule="auto"/>
              <w:ind w:left="17"/>
              <w:jc w:val="left"/>
              <w:rPr>
                <w:kern w:val="0"/>
                <w:sz w:val="24"/>
              </w:rPr>
            </w:pPr>
            <w:r w:rsidRPr="00C30CFF">
              <w:rPr>
                <w:kern w:val="0"/>
                <w:sz w:val="24"/>
              </w:rPr>
              <w:t>基金简称</w:t>
            </w:r>
          </w:p>
        </w:tc>
        <w:tc>
          <w:tcPr>
            <w:tcW w:type="dxa" w:w="5529"/>
            <w:gridSpan w:val="2"/>
          </w:tcPr>
          <w:p w:rsidP="00E205AA" w:rsidR="00F016DD" w:rsidRDefault="00F016DD" w:rsidRPr="00C30CFF">
            <w:pPr>
              <w:adjustRightInd w:val="0"/>
              <w:spacing w:before="29" w:line="360" w:lineRule="auto"/>
              <w:ind w:left="17"/>
              <w:jc w:val="left"/>
              <w:rPr>
                <w:color w:val="000000"/>
                <w:kern w:val="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易方达量化策略精选混合</w:t>
            </w:r>
          </w:p>
        </w:tc>
      </w:tr>
      <w:tr w:rsidR="00F016DD" w:rsidRPr="0078105B" w:rsidTr="00414367">
        <w:tc>
          <w:tcPr>
            <w:tcW w:type="dxa" w:w="2835"/>
          </w:tcPr>
          <w:p w:rsidP="00E205AA" w:rsidR="00F016DD" w:rsidRDefault="00F016DD" w:rsidRPr="00C30CFF">
            <w:pPr>
              <w:adjustRightInd w:val="0"/>
              <w:spacing w:before="29" w:line="360" w:lineRule="auto"/>
              <w:ind w:left="17"/>
              <w:jc w:val="left"/>
              <w:rPr>
                <w:kern w:val="0"/>
                <w:sz w:val="24"/>
              </w:rPr>
            </w:pPr>
            <w:r w:rsidRPr="00C30CFF">
              <w:rPr>
                <w:kern w:val="0"/>
                <w:sz w:val="24"/>
              </w:rPr>
              <w:t>基金主代码</w:t>
            </w:r>
          </w:p>
        </w:tc>
        <w:tc>
          <w:tcPr>
            <w:tcW w:type="dxa" w:w="5529"/>
            <w:gridSpan w:val="2"/>
          </w:tcPr>
          <w:p w:rsidP="00E205AA" w:rsidR="00F016DD" w:rsidRDefault="00F016DD" w:rsidRPr="00C30CFF">
            <w:pPr>
              <w:adjustRightInd w:val="0"/>
              <w:spacing w:before="29" w:line="360" w:lineRule="auto"/>
              <w:ind w:left="17"/>
              <w:jc w:val="left"/>
              <w:rPr>
                <w:color w:val="000000"/>
                <w:kern w:val="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002216</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基金运作方式</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契约型开放式</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基金合同生效日</w:t>
            </w:r>
          </w:p>
        </w:tc>
        <w:tc>
          <w:tcPr>
            <w:tcW w:type="dxa" w:w="5529"/>
            <w:gridSpan w:val="2"/>
          </w:tcPr>
          <w:p w:rsidP="00121533" w:rsidR="00F016DD" w:rsidRDefault="00F016DD" w:rsidRPr="00C30CFF">
            <w:pPr>
              <w:adjustRightInd w:val="0"/>
              <w:spacing w:before="29" w:line="360" w:lineRule="auto"/>
              <w:ind w:left="17"/>
              <w:jc w:val="left"/>
              <w:rPr>
                <w:color w:val="000000"/>
                <w:kern w:val="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2017年12月19日</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报告期末基金份额总额</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157,095,379.89</w:t>
            </w:r>
            <w:r w:rsidRPr="00C30CFF">
              <w:rPr>
                <w:color w:val="000000"/>
                <w:kern w:val="0"/>
                <w:sz w:val="24"/>
              </w:rPr>
              <w:t>份</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投资目标</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本基金采用量化策略进行投资组合管理，追求基金资产的长期稳健增值。</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投资策略</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量化策略是指根据金融市场历史数据，借助量化模型，进行金融市场的分析、判断和交易的策略。本基金基于不同市场情况，精选多种量化模型进行投资，运用的量化模型包括但不限于量化资产配置模型、多因子量化模型、行业轮动模型、事件超额收益模型。精选多种量化模型进行投资的原因，一是建立多种量化策略可以弥补单一量化策略失效的可能，并形成互补，保证整体投资业绩的持续性；二是精选多种量化策略进行投资，量化策略之间相关性越低，组合的整体风险越分散，有利于追求基金资产的长期稳健增值。</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业绩比较基准</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沪深300指数收益率×60% +上证国债指数收益率×40%</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风险收益特征</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本基金为混合型基金，理论上其预期风险与预期收益水平低于股票型基金，高于债券型基金和货币市场基金。</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基金管理人</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易方达基金管理有限公司</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基金托管人</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中国建设银行股份有限公司</w:t>
            </w:r>
          </w:p>
        </w:tc>
      </w:tr>
      <w:tr w:rsidR="00F016DD" w:rsidRPr="0078105B" w:rsidTr="00414367">
        <w:tc>
          <w:tcPr>
            <w:tcW w:type="dxa" w:w="2835"/>
          </w:tcPr>
          <w:p w:rsidP="003F13CD" w:rsidR="00F016DD" w:rsidRDefault="00F016DD" w:rsidRPr="00C30CFF">
            <w:pPr>
              <w:adjustRightInd w:val="0"/>
              <w:spacing w:before="29" w:line="360" w:lineRule="auto"/>
              <w:ind w:left="17"/>
              <w:jc w:val="left"/>
              <w:rPr>
                <w:kern w:val="0"/>
                <w:sz w:val="24"/>
              </w:rPr>
            </w:pPr>
            <w:r w:rsidRPr="00C30CFF">
              <w:rPr>
                <w:color w:val="000000"/>
                <w:sz w:val="24"/>
              </w:rPr>
              <w:t>下属</w:t>
            </w:r>
            <w:r w:rsidR="003F13CD" w:rsidRPr="00C30CFF">
              <w:rPr>
                <w:color w:val="000000"/>
                <w:sz w:val="24"/>
              </w:rPr>
              <w:t>分</w:t>
            </w:r>
            <w:r w:rsidRPr="00C30CFF">
              <w:rPr>
                <w:color w:val="000000"/>
                <w:sz w:val="24"/>
              </w:rPr>
              <w:t>级基金的基金简称</w:t>
            </w:r>
          </w:p>
        </w:tc>
        <w:tc>
          <w:tcPr>
            <w:tcW w:type="dxa" w:w="2739"/>
            <w:vAlign w:val="center"/>
          </w:tcPr>
          <w:p w:rsidP="00950413" w:rsidR="00F016DD" w:rsidRDefault="00F016DD" w:rsidRPr="00C30CFF">
            <w:pPr>
              <w:jc w:val="left"/>
              <w:rPr>
                <w:sz w:val="24"/>
              </w:rPr>
            </w:pPr>
            <w:r w:rsidRPr="00C30CFF">
              <w:rPr>
                <w:color w:val="000000"/>
                <w:kern w:val="0"/>
                <w:sz w:val="24"/>
              </w:rPr>
              <w:t/>
            </w:r>
            <w:proofErr w:type="spellStart"/>
            <w:r w:rsidRPr="00C30CFF">
              <w:rPr>
                <w:color w:val="000000"/>
                <w:kern w:val="0"/>
                <w:sz w:val="24"/>
              </w:rPr>
              <w:t/>
            </w:r>
            <w:proofErr w:type="spellEnd"/>
            <w:r w:rsidRPr="00C30CFF">
              <w:rPr>
                <w:sz w:val="24"/>
              </w:rPr>
              <w:t>易方达量化策略精选混合A</w:t>
            </w:r>
          </w:p>
        </w:tc>
        <w:tc>
          <w:tcPr>
            <w:tcW w:type="dxa" w:w="2790"/>
            <w:vAlign w:val="center"/>
          </w:tcPr>
          <w:p w:rsidP="00950413" w:rsidR="00F016DD" w:rsidRDefault="00F016DD" w:rsidRPr="00C30CFF">
            <w:pPr>
              <w:jc w:val="left"/>
              <w:rPr>
                <w:sz w:val="24"/>
              </w:rPr>
            </w:pPr>
            <w:r w:rsidRPr="00C30CFF">
              <w:rPr>
                <w:color w:val="000000"/>
                <w:kern w:val="0"/>
                <w:sz w:val="24"/>
              </w:rPr>
              <w:t/>
            </w:r>
            <w:r w:rsidRPr="00C30CFF">
              <w:rPr>
                <w:sz w:val="24"/>
              </w:rPr>
              <w:t>易方达量化策略精选混合C</w:t>
            </w:r>
          </w:p>
        </w:tc>
      </w:tr>
      <w:tr w:rsidR="00F016DD" w:rsidRPr="004D29A9" w:rsidTr="00414367">
        <w:tc>
          <w:tcPr>
            <w:tcW w:type="dxa" w:w="2835"/>
          </w:tcPr>
          <w:p w:rsidP="003F13CD" w:rsidR="00F016DD" w:rsidRDefault="00F016DD" w:rsidRPr="00C30CFF">
            <w:pPr>
              <w:adjustRightInd w:val="0"/>
              <w:spacing w:before="29" w:line="360" w:lineRule="auto"/>
              <w:ind w:left="17"/>
              <w:jc w:val="left"/>
              <w:rPr>
                <w:color w:val="000000"/>
                <w:sz w:val="24"/>
              </w:rPr>
            </w:pPr>
            <w:r w:rsidRPr="00C30CFF">
              <w:rPr>
                <w:color w:val="000000"/>
                <w:sz w:val="24"/>
              </w:rPr>
              <w:t>下属</w:t>
            </w:r>
            <w:r w:rsidR="003F13CD" w:rsidRPr="00C30CFF">
              <w:rPr>
                <w:color w:val="000000"/>
                <w:sz w:val="24"/>
              </w:rPr>
              <w:t>分</w:t>
            </w:r>
            <w:r w:rsidRPr="00C30CFF">
              <w:rPr>
                <w:color w:val="000000"/>
                <w:sz w:val="24"/>
              </w:rPr>
              <w:t>级基金的交易代</w:t>
            </w:r>
            <w:r w:rsidRPr="00C30CFF">
              <w:rPr>
                <w:color w:val="000000"/>
                <w:sz w:val="24"/>
              </w:rPr>
              <w:lastRenderedPageBreak/>
              <w:t>码</w:t>
            </w:r>
            <w:r w:rsidRPr="00C30CFF">
              <w:rPr>
                <w:color w:val="000000"/>
                <w:sz w:val="24"/>
              </w:rPr>
              <w:t/>
            </w:r>
            <w:proofErr w:type="spellStart"/>
            <w:r w:rsidRPr="00C30CFF">
              <w:rPr>
                <w:color w:val="000000"/>
              </w:rPr>
              <w:t/>
            </w:r>
            <w:proofErr w:type="spellEnd"/>
            <w:r w:rsidRPr="00C30CFF">
              <w:rPr>
                <w:color w:val="000000"/>
                <w:sz w:val="24"/>
              </w:rPr>
              <w:t/>
            </w:r>
          </w:p>
        </w:tc>
        <w:tc>
          <w:tcPr>
            <w:tcW w:type="dxa" w:w="2739"/>
            <w:vAlign w:val="center"/>
          </w:tcPr>
          <w:p w:rsidP="00950413" w:rsidR="00F016DD" w:rsidRDefault="00F016DD" w:rsidRPr="00C30CFF">
            <w:pPr>
              <w:jc w:val="left"/>
              <w:rPr>
                <w:color w:val="000000"/>
                <w:sz w:val="24"/>
              </w:rPr>
            </w:pPr>
            <w:r w:rsidRPr="00C30CFF">
              <w:rPr>
                <w:color w:val="000000"/>
                <w:kern w:val="0"/>
                <w:sz w:val="24"/>
              </w:rPr>
              <w:lastRenderedPageBreak/>
              <w:t/>
            </w:r>
            <w:proofErr w:type="spellStart"/>
            <w:r w:rsidRPr="00C30CFF">
              <w:rPr>
                <w:color w:val="000000"/>
                <w:kern w:val="0"/>
                <w:sz w:val="24"/>
              </w:rPr>
              <w:t/>
            </w:r>
            <w:proofErr w:type="spellEnd"/>
            <w:r w:rsidRPr="00C30CFF">
              <w:rPr>
                <w:color w:val="000000"/>
                <w:kern w:val="0"/>
                <w:sz w:val="24"/>
              </w:rPr>
              <w:t/>
            </w:r>
            <w:proofErr w:type="spellStart"/>
            <w:r w:rsidRPr="00C30CFF">
              <w:rPr>
                <w:color w:val="000000"/>
                <w:sz w:val="24"/>
              </w:rPr>
              <w:t/>
            </w:r>
            <w:proofErr w:type="spellEnd"/>
            <w:r w:rsidRPr="00C30CFF">
              <w:rPr>
                <w:color w:val="000000"/>
                <w:sz w:val="24"/>
              </w:rPr>
              <w:t/>
            </w:r>
            <w:r w:rsidRPr="00C30CFF">
              <w:rPr>
                <w:color w:val="000000"/>
                <w:sz w:val="24"/>
              </w:rPr>
              <w:lastRenderedPageBreak/>
              <w:t>002216</w:t>
            </w:r>
          </w:p>
        </w:tc>
        <w:tc>
          <w:tcPr>
            <w:tcW w:type="dxa" w:w="2790"/>
            <w:vAlign w:val="center"/>
          </w:tcPr>
          <w:p w:rsidP="00950413" w:rsidR="00F016DD" w:rsidRDefault="00F016DD" w:rsidRPr="00C30CFF">
            <w:pPr>
              <w:jc w:val="left"/>
              <w:rPr>
                <w:color w:val="000000"/>
                <w:sz w:val="24"/>
              </w:rPr>
            </w:pPr>
            <w:r w:rsidRPr="00C30CFF">
              <w:rPr>
                <w:color w:val="000000"/>
                <w:kern w:val="0"/>
                <w:sz w:val="24"/>
              </w:rPr>
              <w:lastRenderedPageBreak/>
              <w:t/>
            </w:r>
            <w:proofErr w:type="spellStart"/>
            <w:r w:rsidRPr="00C30CFF">
              <w:rPr>
                <w:color w:val="000000"/>
                <w:kern w:val="0"/>
                <w:sz w:val="24"/>
              </w:rPr>
              <w:t/>
            </w:r>
            <w:proofErr w:type="spellEnd"/>
            <w:r w:rsidRPr="00C30CFF">
              <w:rPr>
                <w:color w:val="000000"/>
                <w:kern w:val="0"/>
                <w:sz w:val="24"/>
              </w:rPr>
              <w:t/>
            </w:r>
            <w:r w:rsidRPr="00C30CFF">
              <w:rPr>
                <w:color w:val="000000"/>
                <w:sz w:val="24"/>
              </w:rPr>
              <w:t>002217</w:t>
            </w:r>
          </w:p>
        </w:tc>
      </w:tr>
      <w:tr w:rsidR="00F016DD" w:rsidRPr="0078105B" w:rsidTr="00414367">
        <w:tc>
          <w:tcPr>
            <w:tcW w:type="dxa" w:w="2835"/>
          </w:tcPr>
          <w:p w:rsidP="00162D92" w:rsidR="00F016DD" w:rsidRDefault="00F016DD" w:rsidRPr="00C30CFF">
            <w:pPr>
              <w:adjustRightInd w:val="0"/>
              <w:spacing w:before="29" w:line="360" w:lineRule="auto"/>
              <w:ind w:left="17"/>
              <w:jc w:val="left"/>
              <w:rPr>
                <w:color w:val="000000"/>
                <w:sz w:val="24"/>
              </w:rPr>
            </w:pPr>
            <w:r w:rsidRPr="00C30CFF">
              <w:rPr>
                <w:color w:val="000000"/>
                <w:sz w:val="24"/>
              </w:rPr>
              <w:t>报告期末下属</w:t>
            </w:r>
            <w:r w:rsidR="00162D92" w:rsidRPr="00C30CFF">
              <w:rPr>
                <w:color w:val="000000"/>
                <w:sz w:val="24"/>
              </w:rPr>
              <w:t>分</w:t>
            </w:r>
            <w:r w:rsidRPr="00C30CFF">
              <w:rPr>
                <w:color w:val="000000"/>
                <w:sz w:val="24"/>
              </w:rPr>
              <w:t>级基金的份额总额</w:t>
            </w:r>
          </w:p>
        </w:tc>
        <w:tc>
          <w:tcPr>
            <w:tcW w:type="dxa" w:w="2739"/>
            <w:vAlign w:val="center"/>
          </w:tcPr>
          <w:p w:rsidP="00950413" w:rsidR="00F016DD" w:rsidRDefault="00F016DD" w:rsidRPr="00C30CFF">
            <w:pPr>
              <w:jc w:val="left"/>
              <w:rPr>
                <w:sz w:val="24"/>
              </w:rPr>
            </w:pPr>
            <w:r w:rsidRPr="00C30CFF">
              <w:rPr>
                <w:color w:val="000000"/>
                <w:kern w:val="0"/>
                <w:sz w:val="24"/>
              </w:rPr>
              <w:t/>
            </w:r>
            <w:proofErr w:type="spellStart"/>
            <w:r w:rsidRPr="00C30CFF">
              <w:rPr>
                <w:color w:val="000000"/>
                <w:kern w:val="0"/>
                <w:sz w:val="24"/>
              </w:rPr>
              <w:t/>
            </w:r>
            <w:proofErr w:type="spellEnd"/>
            <w:r w:rsidRPr="00C30CFF">
              <w:rPr>
                <w:sz w:val="24"/>
              </w:rPr>
              <w:t>84,215,447.17</w:t>
            </w:r>
            <w:r w:rsidRPr="00C30CFF">
              <w:rPr>
                <w:color w:val="000000"/>
                <w:kern w:val="0"/>
                <w:sz w:val="24"/>
              </w:rPr>
              <w:t>份</w:t>
            </w:r>
          </w:p>
        </w:tc>
        <w:tc>
          <w:tcPr>
            <w:tcW w:type="dxa" w:w="2790"/>
            <w:vAlign w:val="center"/>
          </w:tcPr>
          <w:p w:rsidP="00950413" w:rsidR="00F016DD" w:rsidRDefault="00F016DD" w:rsidRPr="00C30CFF">
            <w:pPr>
              <w:jc w:val="left"/>
              <w:rPr>
                <w:sz w:val="24"/>
              </w:rPr>
            </w:pPr>
            <w:r w:rsidRPr="00C30CFF">
              <w:rPr>
                <w:color w:val="000000"/>
                <w:kern w:val="0"/>
                <w:sz w:val="24"/>
              </w:rPr>
              <w:t/>
            </w:r>
            <w:r w:rsidRPr="00C30CFF">
              <w:rPr>
                <w:sz w:val="24"/>
              </w:rPr>
              <w:t>72,879,932.72</w:t>
            </w:r>
            <w:r w:rsidRPr="00C30CFF">
              <w:rPr>
                <w:color w:val="000000"/>
                <w:kern w:val="0"/>
                <w:sz w:val="24"/>
              </w:rPr>
              <w:t>份</w:t>
            </w:r>
          </w:p>
        </w:tc>
      </w:tr>
    </w:tbl>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hAnsi="宋体"/>
          <w:color w:val="000000"/>
          <w:kern w:val="0"/>
          <w:sz w:val="24"/>
          <w:szCs w:val="24"/>
        </w:rPr>
        <w:t xml:space="preserve">3  </w:t>
      </w:r>
      <w:r w:rsidRPr="0078105B">
        <w:rPr>
          <w:rFonts w:ascii="宋体" w:cs="Arial" w:hAnsi="宋体" w:hint="eastAsia"/>
          <w:color w:val="000000"/>
          <w:kern w:val="0"/>
          <w:sz w:val="24"/>
          <w:szCs w:val="24"/>
        </w:rPr>
        <w:t>主要财务指标和基金净值表现</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3.1 </w:t>
      </w:r>
      <w:r w:rsidRPr="0078105B">
        <w:rPr>
          <w:rFonts w:ascii="宋体" w:cs="Arial" w:hAnsi="宋体" w:hint="eastAsia"/>
          <w:b/>
          <w:color w:val="000000"/>
          <w:kern w:val="0"/>
          <w:sz w:val="24"/>
        </w:rPr>
        <w:t>主要财务指标</w:t>
      </w:r>
    </w:p>
    <w:p w:rsidP="00E27360" w:rsidR="00F016DD" w:rsidRDefault="00F016DD" w:rsidRPr="00FA472B">
      <w:pPr>
        <w:autoSpaceDE w:val="0"/>
        <w:autoSpaceDN w:val="0"/>
        <w:adjustRightInd w:val="0"/>
        <w:spacing w:before="29" w:line="288" w:lineRule="auto"/>
        <w:ind w:left="15" w:right="480"/>
        <w:jc w:val="right"/>
        <w:rPr>
          <w:rFonts w:ascii="宋体" w:cs="Arial" w:hAnsi="宋体"/>
          <w:color w:val="000000"/>
          <w:kern w:val="0"/>
          <w:sz w:val="24"/>
        </w:rPr>
      </w:pPr>
      <w:r w:rsidRPr="00FA472B">
        <w:rPr>
          <w:rFonts w:ascii="宋体" w:cs="Arial" w:hAnsi="宋体" w:hint="eastAsia"/>
          <w:color w:val="000000"/>
          <w:kern w:val="0"/>
          <w:sz w:val="24"/>
        </w:rPr>
        <w:t>单位：人民币元</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481"/>
        <w:gridCol w:w="2481"/>
      </w:tblGrid>
      <w:tr w:rsidR="00F016DD" w:rsidRPr="00FA472B" w:rsidTr="008B5312">
        <w:tc>
          <w:tcPr>
            <w:tcW w:type="dxa" w:w="3402"/>
            <w:vMerge w:val="restart"/>
            <w:vAlign w:val="center"/>
          </w:tcPr>
          <w:p w:rsidP="00E205AA" w:rsidR="00F016DD" w:rsidRDefault="00F016DD" w:rsidRPr="00FA472B">
            <w:pPr>
              <w:adjustRightInd w:val="0"/>
              <w:spacing w:before="29" w:line="360" w:lineRule="auto"/>
              <w:ind w:left="17"/>
              <w:jc w:val="center"/>
              <w:rPr>
                <w:kern w:val="0"/>
                <w:sz w:val="24"/>
              </w:rPr>
            </w:pPr>
            <w:r w:rsidRPr="00FA472B">
              <w:rPr>
                <w:kern w:val="0"/>
                <w:sz w:val="24"/>
              </w:rPr>
              <w:t>主要财务指标</w:t>
            </w:r>
          </w:p>
        </w:tc>
        <w:tc>
          <w:tcPr>
            <w:tcW w:type="dxa" w:w="4962"/>
            <w:gridSpan w:val="2"/>
            <w:vAlign w:val="center"/>
          </w:tcPr>
          <w:p w:rsidP="00E205AA" w:rsidR="00F016DD" w:rsidRDefault="00F016DD" w:rsidRPr="00FA472B">
            <w:pPr>
              <w:adjustRightInd w:val="0"/>
              <w:spacing w:before="29" w:line="360" w:lineRule="auto"/>
              <w:ind w:left="17"/>
              <w:jc w:val="center"/>
              <w:rPr>
                <w:color w:val="000000"/>
                <w:sz w:val="24"/>
              </w:rPr>
            </w:pPr>
            <w:r w:rsidRPr="00FA472B">
              <w:rPr>
                <w:color w:val="000000"/>
                <w:sz w:val="24"/>
              </w:rPr>
              <w:t>报告期</w:t>
            </w:r>
          </w:p>
          <w:p w:rsidP="00E205AA" w:rsidR="00F016DD" w:rsidRDefault="00F016DD" w:rsidRPr="00FA472B">
            <w:pPr>
              <w:adjustRightInd w:val="0"/>
              <w:spacing w:before="29" w:line="360" w:lineRule="auto"/>
              <w:ind w:left="17"/>
              <w:jc w:val="center"/>
              <w:rPr>
                <w:color w:val="000000"/>
                <w:sz w:val="24"/>
              </w:rPr>
            </w:pPr>
            <w:r w:rsidRPr="00FA472B">
              <w:rPr>
                <w:color w:val="000000"/>
                <w:sz w:val="24"/>
              </w:rPr>
              <w:t>(</w:t>
            </w:r>
            <w:proofErr w:type="spellStart"/>
            <w:r w:rsidRPr="00FA472B">
              <w:rPr>
                <w:color w:val="000000"/>
                <w:sz w:val="24"/>
              </w:rPr>
              <w:t/>
            </w:r>
            <w:proofErr w:type="spellEnd"/>
            <w:r w:rsidRPr="00FA472B">
              <w:rPr>
                <w:color w:val="000000"/>
                <w:sz w:val="24"/>
              </w:rPr>
              <w:t>2020年7月1日-</w:t>
            </w:r>
            <w:proofErr w:type="spellStart"/>
            <w:r w:rsidRPr="00FA472B">
              <w:rPr>
                <w:color w:val="000000"/>
                <w:sz w:val="24"/>
              </w:rPr>
              <w:t/>
            </w:r>
            <w:proofErr w:type="spellEnd"/>
            <w:r w:rsidRPr="00FA472B">
              <w:rPr>
                <w:color w:val="000000"/>
                <w:sz w:val="24"/>
              </w:rPr>
              <w:t>2020年9月30日)</w:t>
            </w:r>
          </w:p>
        </w:tc>
      </w:tr>
      <w:tr w:rsidR="00F016DD" w:rsidRPr="00FA472B" w:rsidTr="008B5312">
        <w:tc>
          <w:tcPr>
            <w:tcW w:type="dxa" w:w="3402"/>
            <w:vMerge/>
            <w:vAlign w:val="center"/>
          </w:tcPr>
          <w:p w:rsidP="00E205AA" w:rsidR="00F016DD" w:rsidRDefault="00F016DD" w:rsidRPr="00FA472B">
            <w:pPr>
              <w:adjustRightInd w:val="0"/>
              <w:spacing w:before="29" w:line="360" w:lineRule="auto"/>
              <w:ind w:left="17"/>
              <w:jc w:val="center"/>
              <w:rPr>
                <w:kern w:val="0"/>
                <w:sz w:val="24"/>
              </w:rPr>
            </w:pPr>
          </w:p>
        </w:tc>
        <w:tc>
          <w:tcPr>
            <w:tcW w:type="dxa" w:w="2481"/>
            <w:vAlign w:val="center"/>
          </w:tcPr>
          <w:p w:rsidP="00E205AA" w:rsidR="00F016DD" w:rsidRDefault="00F016DD" w:rsidRPr="00FA472B">
            <w:pPr>
              <w:adjustRightInd w:val="0"/>
              <w:spacing w:before="29" w:line="360" w:lineRule="auto"/>
              <w:ind w:left="17"/>
              <w:jc w:val="center"/>
              <w:rPr>
                <w:color w:val="000000"/>
                <w:sz w:val="24"/>
              </w:rPr>
            </w:pPr>
            <w:r w:rsidRPr="00FA472B">
              <w:rPr>
                <w:color w:val="000000"/>
                <w:kern w:val="0"/>
                <w:sz w:val="24"/>
              </w:rPr>
              <w:t/>
            </w:r>
            <w:proofErr w:type="spellStart"/>
            <w:r w:rsidRPr="00FA472B">
              <w:rPr>
                <w:sz w:val="24"/>
              </w:rPr>
              <w:t/>
            </w:r>
            <w:proofErr w:type="spellEnd"/>
            <w:r w:rsidRPr="00FA472B">
              <w:rPr>
                <w:sz w:val="24"/>
              </w:rPr>
              <w:t>易方达量化策略精选混合A</w:t>
            </w:r>
          </w:p>
        </w:tc>
        <w:tc>
          <w:tcPr>
            <w:tcW w:type="dxa" w:w="2481"/>
            <w:vAlign w:val="center"/>
          </w:tcPr>
          <w:p w:rsidP="00E205AA" w:rsidR="00F016DD" w:rsidRDefault="00F016DD" w:rsidRPr="00FA472B">
            <w:pPr>
              <w:adjustRightInd w:val="0"/>
              <w:spacing w:before="29" w:line="360" w:lineRule="auto"/>
              <w:ind w:left="17"/>
              <w:jc w:val="center"/>
              <w:rPr>
                <w:color w:val="000000"/>
                <w:sz w:val="24"/>
              </w:rPr>
            </w:pPr>
            <w:r w:rsidRPr="00FA472B">
              <w:rPr>
                <w:color w:val="000000"/>
                <w:kern w:val="0"/>
                <w:sz w:val="24"/>
              </w:rPr>
              <w:t/>
            </w:r>
            <w:r w:rsidRPr="00FA472B">
              <w:rPr>
                <w:sz w:val="24"/>
              </w:rPr>
              <w:t>易方达量化策略精选混合C</w:t>
            </w:r>
          </w:p>
        </w:tc>
      </w:tr>
      <w:tr w:rsidR="00F016DD" w:rsidRPr="00FA472B" w:rsidTr="00973B57">
        <w:tc>
          <w:tcPr>
            <w:tcW w:type="dxa" w:w="3402"/>
          </w:tcPr>
          <w:p w:rsidP="00973B57" w:rsidR="00F016DD" w:rsidRDefault="00F016DD" w:rsidRPr="00FA472B">
            <w:pPr>
              <w:adjustRightInd w:val="0"/>
              <w:spacing w:before="29" w:line="360" w:lineRule="auto"/>
              <w:ind w:left="17"/>
              <w:rPr>
                <w:kern w:val="0"/>
                <w:sz w:val="24"/>
              </w:rPr>
            </w:pPr>
            <w:r w:rsidRPr="00FA472B">
              <w:rPr>
                <w:kern w:val="0"/>
                <w:sz w:val="24"/>
              </w:rPr>
              <w:t>1.</w:t>
            </w:r>
            <w:r w:rsidRPr="00FA472B">
              <w:rPr>
                <w:kern w:val="0"/>
                <w:sz w:val="24"/>
              </w:rPr>
              <w:t>本期已实现收益</w:t>
            </w:r>
          </w:p>
        </w:tc>
        <w:tc>
          <w:tcPr>
            <w:tcW w:type="dxa" w:w="2481"/>
            <w:vAlign w:val="bottom"/>
          </w:tcPr>
          <w:p w:rsidP="00973B57" w:rsidR="00F016DD" w:rsidRDefault="00F016DD" w:rsidRPr="00FA472B">
            <w:pPr>
              <w:adjustRightInd w:val="0"/>
              <w:spacing w:before="29" w:line="360" w:lineRule="auto"/>
              <w:ind w:left="17"/>
              <w:jc w:val="right"/>
              <w:rPr>
                <w:color w:val="000000"/>
                <w:sz w:val="24"/>
              </w:rPr>
            </w:pPr>
            <w:r w:rsidRPr="00FA472B">
              <w:rPr>
                <w:color w:val="000000"/>
                <w:sz w:val="24"/>
              </w:rPr>
              <w:t>18,252,470.34</w:t>
            </w:r>
          </w:p>
        </w:tc>
        <w:tc>
          <w:tcPr>
            <w:tcW w:type="dxa" w:w="2481"/>
            <w:vAlign w:val="bottom"/>
          </w:tcPr>
          <w:p w:rsidP="0037768B" w:rsidR="00F016DD" w:rsidRDefault="00F016DD" w:rsidRPr="00FA472B">
            <w:pPr>
              <w:adjustRightInd w:val="0"/>
              <w:spacing w:before="29" w:line="360" w:lineRule="auto"/>
              <w:ind w:left="17"/>
              <w:jc w:val="right"/>
              <w:rPr>
                <w:color w:val="000000"/>
                <w:sz w:val="24"/>
              </w:rPr>
            </w:pPr>
            <w:r w:rsidRPr="00FA472B">
              <w:rPr>
                <w:color w:val="000000"/>
                <w:sz w:val="24"/>
              </w:rPr>
              <w:t>14,054,272.60</w:t>
            </w:r>
          </w:p>
        </w:tc>
      </w:tr>
      <w:tr w:rsidR="00F016DD" w:rsidRPr="00FA472B" w:rsidTr="009A5C1D">
        <w:tc>
          <w:tcPr>
            <w:tcW w:type="dxa" w:w="3402"/>
          </w:tcPr>
          <w:p w:rsidP="00E205AA" w:rsidR="00F016DD" w:rsidRDefault="00F016DD" w:rsidRPr="00FA472B">
            <w:pPr>
              <w:adjustRightInd w:val="0"/>
              <w:spacing w:before="29" w:line="360" w:lineRule="auto"/>
              <w:ind w:left="17"/>
              <w:rPr>
                <w:kern w:val="0"/>
                <w:sz w:val="24"/>
              </w:rPr>
            </w:pPr>
            <w:r w:rsidRPr="00FA472B">
              <w:rPr>
                <w:kern w:val="0"/>
                <w:sz w:val="24"/>
              </w:rPr>
              <w:t>2.</w:t>
            </w:r>
            <w:r w:rsidRPr="00FA472B">
              <w:rPr>
                <w:kern w:val="0"/>
                <w:sz w:val="24"/>
              </w:rPr>
              <w:t>本期利润</w:t>
            </w:r>
          </w:p>
        </w:tc>
        <w:tc>
          <w:tcPr>
            <w:tcW w:type="dxa" w:w="2481"/>
            <w:vAlign w:val="bottom"/>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14,559,172.24</w:t>
            </w:r>
          </w:p>
        </w:tc>
        <w:tc>
          <w:tcPr>
            <w:tcW w:type="dxa" w:w="2481"/>
            <w:vAlign w:val="bottom"/>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8,494,214.97</w:t>
            </w:r>
          </w:p>
        </w:tc>
      </w:tr>
      <w:tr w:rsidR="00F016DD" w:rsidRPr="00FA472B" w:rsidTr="009A5C1D">
        <w:tc>
          <w:tcPr>
            <w:tcW w:type="dxa" w:w="3402"/>
          </w:tcPr>
          <w:p w:rsidP="00E205AA" w:rsidR="00F016DD" w:rsidRDefault="00F016DD" w:rsidRPr="00FA472B">
            <w:pPr>
              <w:adjustRightInd w:val="0"/>
              <w:spacing w:before="29" w:line="360" w:lineRule="auto"/>
              <w:ind w:left="17"/>
              <w:rPr>
                <w:kern w:val="0"/>
                <w:sz w:val="24"/>
              </w:rPr>
            </w:pPr>
            <w:r w:rsidRPr="00FA472B">
              <w:rPr>
                <w:kern w:val="0"/>
                <w:sz w:val="24"/>
              </w:rPr>
              <w:t>3.</w:t>
            </w:r>
            <w:r w:rsidRPr="00FA472B">
              <w:rPr>
                <w:kern w:val="0"/>
                <w:sz w:val="24"/>
              </w:rPr>
              <w:t>加权平均基金份额本期利润</w:t>
            </w:r>
          </w:p>
        </w:tc>
        <w:tc>
          <w:tcPr>
            <w:tcW w:type="dxa" w:w="2481"/>
            <w:vAlign w:val="bottom"/>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0.1921</w:t>
            </w:r>
          </w:p>
        </w:tc>
        <w:tc>
          <w:tcPr>
            <w:tcW w:type="dxa" w:w="2481"/>
            <w:vAlign w:val="bottom"/>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0.1420</w:t>
            </w:r>
          </w:p>
        </w:tc>
      </w:tr>
      <w:tr w:rsidR="00F016DD" w:rsidRPr="00FA472B" w:rsidTr="009A5C1D">
        <w:tc>
          <w:tcPr>
            <w:tcW w:type="dxa" w:w="3402"/>
          </w:tcPr>
          <w:p w:rsidP="00E205AA" w:rsidR="00F016DD" w:rsidRDefault="00F016DD" w:rsidRPr="00FA472B">
            <w:pPr>
              <w:adjustRightInd w:val="0"/>
              <w:spacing w:before="29" w:line="360" w:lineRule="auto"/>
              <w:ind w:left="17"/>
              <w:rPr>
                <w:kern w:val="0"/>
                <w:sz w:val="24"/>
              </w:rPr>
            </w:pPr>
            <w:r w:rsidRPr="00FA472B">
              <w:rPr>
                <w:kern w:val="0"/>
                <w:sz w:val="24"/>
              </w:rPr>
              <w:t>4.</w:t>
            </w:r>
            <w:r w:rsidRPr="00FA472B">
              <w:rPr>
                <w:kern w:val="0"/>
                <w:sz w:val="24"/>
              </w:rPr>
              <w:t>期末基金资产净值</w:t>
            </w:r>
          </w:p>
        </w:tc>
        <w:tc>
          <w:tcPr>
            <w:tcW w:type="dxa" w:w="2481"/>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131,382,072.50</w:t>
            </w:r>
          </w:p>
        </w:tc>
        <w:tc>
          <w:tcPr>
            <w:tcW w:type="dxa" w:w="2481"/>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112,129,385.65</w:t>
            </w:r>
          </w:p>
        </w:tc>
      </w:tr>
      <w:tr w:rsidR="00F016DD" w:rsidRPr="00FA472B" w:rsidTr="009A5C1D">
        <w:trPr>
          <w:trHeight w:val="158"/>
        </w:trPr>
        <w:tc>
          <w:tcPr>
            <w:tcW w:type="dxa" w:w="3402"/>
          </w:tcPr>
          <w:p w:rsidP="00E205AA" w:rsidR="00F016DD" w:rsidRDefault="00F016DD" w:rsidRPr="00FA472B">
            <w:pPr>
              <w:adjustRightInd w:val="0"/>
              <w:spacing w:before="29" w:line="360" w:lineRule="auto"/>
              <w:ind w:left="17"/>
              <w:rPr>
                <w:kern w:val="0"/>
                <w:sz w:val="24"/>
              </w:rPr>
            </w:pPr>
            <w:r w:rsidRPr="00FA472B">
              <w:rPr>
                <w:kern w:val="0"/>
                <w:sz w:val="24"/>
              </w:rPr>
              <w:lastRenderedPageBreak/>
              <w:t>5.</w:t>
            </w:r>
            <w:r w:rsidRPr="00FA472B">
              <w:rPr>
                <w:kern w:val="0"/>
                <w:sz w:val="24"/>
              </w:rPr>
              <w:t>期末基金份额净值</w:t>
            </w:r>
          </w:p>
        </w:tc>
        <w:tc>
          <w:tcPr>
            <w:tcW w:type="dxa" w:w="2481"/>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1.560</w:t>
            </w:r>
          </w:p>
        </w:tc>
        <w:tc>
          <w:tcPr>
            <w:tcW w:type="dxa" w:w="2481"/>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1.539</w:t>
            </w:r>
          </w:p>
        </w:tc>
      </w:tr>
    </w:tbl>
    <w:p>
      <w:pPr>
        <w:spacing w:line="360" w:lineRule="auto"/>
        <w:ind w:firstLine="480" w:firstLineChars="200"/>
        <w:rPr>
          <w:color w:val="000000"/>
          <w:sz w:val="24"/>
        </w:rPr>
      </w:pPr>
      <w:r>
        <w:rPr>
          <w:color w:val="000000"/>
          <w:sz w:val="24"/>
        </w:rPr>
        <w:t>注：1.所述基金业绩指标不包括持有人认购或交易基金的各项费用，计入费用后实际收益水平要低于所列数字。</w:t>
      </w:r>
    </w:p>
    <w:p w:rsidP="00C30CFF" w:rsidR="00F016DD" w:rsidRDefault="00F016DD" w:rsidRPr="00C30CFF">
      <w:pPr>
        <w:spacing w:line="360" w:lineRule="auto"/>
        <w:ind w:firstLine="480" w:firstLineChars="200"/>
        <w:rPr>
          <w:color w:val="000000"/>
          <w:sz w:val="24"/>
        </w:rPr>
      </w:pPr>
      <w:r w:rsidRPr="00C30CFF">
        <w:rPr>
          <w:color w:val="000000"/>
          <w:sz w:val="24"/>
        </w:rPr>
        <w:t/>
      </w:r>
      <w:proofErr w:type="spellStart"/>
      <w:proofErr w:type="gramStart"/>
      <w:r w:rsidRPr="00C30CFF">
        <w:rPr>
          <w:color w:val="000000"/>
          <w:sz w:val="24"/>
        </w:rPr>
        <w:t/>
      </w:r>
      <w:proofErr w:type="spellEnd"/>
      <w:proofErr w:type="gramEnd"/>
      <w:r w:rsidRPr="00C30CFF">
        <w:rPr>
          <w:color w:val="000000"/>
          <w:sz w:val="24"/>
        </w:rPr>
        <w:t>2.本期已实现收益指基金本期利息收入、投资收益、其他收入（不含公允价值变动收益）扣除相关费用后的余额，本期利润为本期已实现收益加上本期公允价值变动收益。</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3.2 </w:t>
      </w:r>
      <w:r w:rsidRPr="0078105B">
        <w:rPr>
          <w:rFonts w:ascii="宋体" w:cs="Arial" w:hAnsi="宋体" w:hint="eastAsia"/>
          <w:b/>
          <w:color w:val="000000"/>
          <w:kern w:val="0"/>
          <w:sz w:val="24"/>
        </w:rPr>
        <w:t>基金净值表现</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3.2.1</w:t>
      </w:r>
      <w:r w:rsidRPr="0078105B">
        <w:rPr>
          <w:rFonts w:ascii="宋体" w:cs="Arial" w:hAnsi="宋体" w:hint="eastAsia"/>
          <w:b/>
          <w:color w:val="000000"/>
          <w:kern w:val="0"/>
          <w:sz w:val="24"/>
        </w:rPr>
        <w:t>本报告</w:t>
      </w:r>
      <w:proofErr w:type="gramStart"/>
      <w:r w:rsidRPr="0078105B">
        <w:rPr>
          <w:rFonts w:ascii="宋体" w:cs="Arial" w:hAnsi="宋体" w:hint="eastAsia"/>
          <w:b/>
          <w:color w:val="000000"/>
          <w:kern w:val="0"/>
          <w:sz w:val="24"/>
        </w:rPr>
        <w:t>期基金</w:t>
      </w:r>
      <w:proofErr w:type="gramEnd"/>
      <w:r w:rsidRPr="0078105B">
        <w:rPr>
          <w:rFonts w:ascii="宋体" w:cs="Arial" w:hAnsi="宋体" w:hint="eastAsia"/>
          <w:b/>
          <w:color w:val="000000"/>
          <w:kern w:val="0"/>
          <w:sz w:val="24"/>
        </w:rPr>
        <w:t>份额净值增长率及其与同期业绩比较基准收益率的比较</w:t>
      </w:r>
    </w:p>
    <w:p w:rsidP="00174038" w:rsidR="00F016DD" w:rsidRDefault="00F016DD" w:rsidRPr="0078105B">
      <w:pPr>
        <w:spacing w:line="360" w:lineRule="auto"/>
        <w:ind w:firstLine="361" w:firstLineChars="150"/>
        <w:rPr>
          <w:rFonts w:ascii="宋体"/>
          <w:b/>
          <w:sz w:val="24"/>
        </w:rPr>
      </w:pPr>
      <w:r w:rsidRPr="0078105B">
        <w:rPr>
          <w:rFonts w:ascii="宋体" w:cs="Arial"/>
          <w:b/>
          <w:color w:val="000000"/>
          <w:kern w:val="0"/>
          <w:sz w:val="24"/>
        </w:rPr>
        <w:t/>
      </w:r>
      <w:proofErr w:type="gramStart"/>
      <w:r w:rsidRPr="0078105B">
        <w:rPr>
          <w:rFonts w:ascii="宋体" w:cs="Arial" w:hAnsi="宋体"/>
          <w:b/>
          <w:color w:val="000000"/>
          <w:kern w:val="0"/>
          <w:sz w:val="24"/>
        </w:rPr>
        <w:t/>
      </w:r>
      <w:proofErr w:type="spellStart"/>
      <w:r w:rsidRPr="0078105B">
        <w:rPr>
          <w:rFonts w:ascii="宋体" w:cs="Arial" w:hAnsi="宋体"/>
          <w:b/>
          <w:color w:val="000000"/>
          <w:kern w:val="0"/>
          <w:sz w:val="24"/>
        </w:rPr>
        <w:t/>
      </w:r>
      <w:proofErr w:type="spellEnd"/>
      <w:r w:rsidRPr="0078105B">
        <w:rPr>
          <w:rFonts w:ascii="宋体" w:cs="Arial" w:hAnsi="宋体"/>
          <w:b/>
          <w:color w:val="000000"/>
          <w:kern w:val="0"/>
          <w:sz w:val="24"/>
        </w:rPr>
        <w:t/>
      </w:r>
      <w:proofErr w:type="gramEnd"/>
      <w:r w:rsidRPr="0078105B">
        <w:rPr>
          <w:rFonts w:ascii="宋体" w:cs="Arial" w:hAnsi="宋体"/>
          <w:b/>
          <w:color w:val="000000"/>
          <w:kern w:val="0"/>
          <w:sz w:val="24"/>
        </w:rPr>
        <w:t>易方达量化策略精选混合A</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290"/>
        <w:gridCol w:w="1291"/>
        <w:gridCol w:w="1291"/>
        <w:gridCol w:w="1291"/>
        <w:gridCol w:w="1291"/>
        <w:gridCol w:w="1291"/>
        <w:gridCol w:w="1291"/>
      </w:tblGrid>
      <w:tr w:rsidR="00F016DD" w:rsidRPr="0078105B" w:rsidTr="00414367">
        <w:tc>
          <w:tcPr>
            <w:tcW w:type="dxa" w:w="1290"/>
            <w:vAlign w:val="center"/>
          </w:tcPr>
          <w:p w:rsidP="00F4518C" w:rsidR="00F016DD" w:rsidRDefault="00F016DD" w:rsidRPr="00FA472B">
            <w:pPr>
              <w:snapToGrid w:val="0"/>
              <w:spacing w:line="288" w:lineRule="auto"/>
              <w:jc w:val="center"/>
              <w:rPr>
                <w:color w:val="000000"/>
                <w:sz w:val="24"/>
              </w:rPr>
            </w:pPr>
            <w:r w:rsidRPr="00FA472B">
              <w:rPr>
                <w:color w:val="000000"/>
                <w:sz w:val="24"/>
              </w:rPr>
              <w:t>阶段</w:t>
            </w:r>
            <w:r w:rsidRPr="00FA472B">
              <w:rPr>
                <w:color w:val="000000"/>
                <w:sz w:val="24"/>
              </w:rPr>
              <w:t/>
            </w:r>
            <w:proofErr w:type="spellStart"/>
            <w:r w:rsidRPr="00FA472B">
              <w:rPr>
                <w:color w:val="000000"/>
                <w:sz w:val="24"/>
              </w:rPr>
              <w:t/>
            </w:r>
            <w:proofErr w:type="spellEnd"/>
            <w:r w:rsidRPr="00FA472B">
              <w:rPr>
                <w:color w:val="000000"/>
                <w:sz w:val="24"/>
              </w:rPr>
              <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净值增长率</w:t>
            </w:r>
            <w:r w:rsidRPr="00414367">
              <w:rPr>
                <w:rFonts w:ascii="宋体" w:cs="宋体" w:hAnsi="宋体" w:hint="eastAsia"/>
                <w:color w:val="000000"/>
                <w:sz w:val="24"/>
              </w:rPr>
              <w:t>①</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净值增长率标准差</w:t>
            </w:r>
            <w:r w:rsidRPr="00414367">
              <w:rPr>
                <w:rFonts w:ascii="宋体" w:cs="宋体" w:hAnsi="宋体" w:hint="eastAsia"/>
                <w:color w:val="000000"/>
                <w:sz w:val="24"/>
              </w:rPr>
              <w:t>②</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业绩比较基准收益率</w:t>
            </w:r>
            <w:r w:rsidRPr="00414367">
              <w:rPr>
                <w:rFonts w:ascii="宋体" w:cs="宋体" w:hAnsi="宋体" w:hint="eastAsia"/>
                <w:color w:val="000000"/>
                <w:sz w:val="24"/>
              </w:rPr>
              <w:t>③</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业绩比较基准收益率标准差</w:t>
            </w:r>
            <w:r w:rsidRPr="00414367">
              <w:rPr>
                <w:rFonts w:ascii="宋体" w:cs="宋体" w:hAnsi="宋体" w:hint="eastAsia"/>
                <w:color w:val="000000"/>
                <w:sz w:val="24"/>
              </w:rPr>
              <w:t>④</w:t>
            </w:r>
          </w:p>
        </w:tc>
        <w:tc>
          <w:tcPr>
            <w:tcW w:type="dxa" w:w="1291"/>
            <w:vAlign w:val="center"/>
          </w:tcPr>
          <w:p w:rsidP="00F4518C" w:rsidR="00F016DD" w:rsidRDefault="00F016DD" w:rsidRPr="00FA472B">
            <w:pPr>
              <w:snapToGrid w:val="0"/>
              <w:spacing w:line="288" w:lineRule="auto"/>
              <w:jc w:val="center"/>
              <w:rPr>
                <w:color w:val="000000"/>
                <w:sz w:val="24"/>
              </w:rPr>
            </w:pPr>
            <w:r w:rsidRPr="00414367">
              <w:rPr>
                <w:rFonts w:ascii="宋体" w:cs="宋体" w:hAnsi="宋体" w:hint="eastAsia"/>
                <w:color w:val="000000"/>
                <w:sz w:val="24"/>
              </w:rPr>
              <w:t>①</w:t>
            </w:r>
            <w:r w:rsidRPr="00FA472B">
              <w:rPr>
                <w:color w:val="000000"/>
                <w:sz w:val="24"/>
              </w:rPr>
              <w:t>－</w:t>
            </w:r>
            <w:r w:rsidRPr="00414367">
              <w:rPr>
                <w:rFonts w:ascii="宋体" w:cs="宋体" w:hAnsi="宋体" w:hint="eastAsia"/>
                <w:color w:val="000000"/>
                <w:sz w:val="24"/>
              </w:rPr>
              <w:t>③</w:t>
            </w:r>
          </w:p>
        </w:tc>
        <w:tc>
          <w:tcPr>
            <w:tcW w:type="dxa" w:w="1291"/>
            <w:vAlign w:val="center"/>
          </w:tcPr>
          <w:p w:rsidP="00F4518C" w:rsidR="00F016DD" w:rsidRDefault="00F016DD" w:rsidRPr="00FA472B">
            <w:pPr>
              <w:snapToGrid w:val="0"/>
              <w:spacing w:line="288" w:lineRule="auto"/>
              <w:jc w:val="center"/>
              <w:rPr>
                <w:color w:val="000000"/>
                <w:sz w:val="24"/>
              </w:rPr>
            </w:pPr>
            <w:r w:rsidRPr="00414367">
              <w:rPr>
                <w:rFonts w:ascii="宋体" w:cs="宋体" w:hAnsi="宋体" w:hint="eastAsia"/>
                <w:color w:val="000000"/>
                <w:sz w:val="24"/>
              </w:rPr>
              <w:t>②</w:t>
            </w:r>
            <w:r w:rsidRPr="00FA472B">
              <w:rPr>
                <w:color w:val="000000"/>
                <w:sz w:val="24"/>
              </w:rPr>
              <w:t>－</w:t>
            </w:r>
            <w:r w:rsidRPr="00414367">
              <w:rPr>
                <w:rFonts w:ascii="宋体" w:cs="宋体" w:hAnsi="宋体" w:hint="eastAsia"/>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14.62%</w:t>
            </w:r>
          </w:p>
        </w:tc>
        <w:tc>
          <w:tcPr>
            <w:vAlign w:val="center"/>
          </w:tcPr>
          <w:p>
            <w:pPr>
              <w:jc w:val="center"/>
            </w:pPr>
            <w:r>
              <w:rPr>
                <w:color w:val="000000"/>
                <w:sz w:val="24"/>
              </w:rPr>
              <w:t>1.57%</w:t>
            </w:r>
          </w:p>
        </w:tc>
        <w:tc>
          <w:tcPr>
            <w:vAlign w:val="center"/>
          </w:tcPr>
          <w:p>
            <w:pPr>
              <w:jc w:val="center"/>
            </w:pPr>
            <w:r>
              <w:rPr>
                <w:color w:val="000000"/>
                <w:sz w:val="24"/>
              </w:rPr>
              <w:t>6.35%</w:t>
            </w:r>
          </w:p>
        </w:tc>
        <w:tc>
          <w:tcPr>
            <w:vAlign w:val="center"/>
          </w:tcPr>
          <w:p>
            <w:pPr>
              <w:jc w:val="center"/>
            </w:pPr>
            <w:r>
              <w:rPr>
                <w:color w:val="000000"/>
                <w:sz w:val="24"/>
              </w:rPr>
              <w:t>0.97%</w:t>
            </w:r>
          </w:p>
        </w:tc>
        <w:tc>
          <w:tcPr>
            <w:vAlign w:val="center"/>
          </w:tcPr>
          <w:p>
            <w:pPr>
              <w:jc w:val="center"/>
            </w:pPr>
            <w:r>
              <w:rPr>
                <w:color w:val="000000"/>
                <w:sz w:val="24"/>
              </w:rPr>
              <w:t>8.27%</w:t>
            </w:r>
          </w:p>
        </w:tc>
        <w:tc>
          <w:tcPr>
            <w:vAlign w:val="center"/>
          </w:tcPr>
          <w:p>
            <w:pPr>
              <w:jc w:val="center"/>
            </w:pPr>
            <w:r>
              <w:rPr>
                <w:color w:val="000000"/>
                <w:sz w:val="24"/>
              </w:rPr>
              <w:t>0.60%</w:t>
            </w:r>
          </w:p>
        </w:tc>
      </w:tr>
      <w:tr>
        <w:tc>
          <w:tcPr>
            <w:vAlign w:val="center"/>
          </w:tcPr>
          <w:p>
            <w:pPr>
              <w:jc w:val="left"/>
            </w:pPr>
            <w:r>
              <w:rPr>
                <w:color w:val="000000"/>
                <w:sz w:val="24"/>
              </w:rPr>
              <w:t>过去六个月</w:t>
            </w:r>
          </w:p>
        </w:tc>
        <w:tc>
          <w:tcPr>
            <w:vAlign w:val="center"/>
          </w:tcPr>
          <w:p>
            <w:pPr>
              <w:jc w:val="center"/>
            </w:pPr>
            <w:r>
              <w:rPr>
                <w:color w:val="000000"/>
                <w:sz w:val="24"/>
              </w:rPr>
              <w:t>47.03%</w:t>
            </w:r>
          </w:p>
        </w:tc>
        <w:tc>
          <w:tcPr>
            <w:vAlign w:val="center"/>
          </w:tcPr>
          <w:p>
            <w:pPr>
              <w:jc w:val="center"/>
            </w:pPr>
            <w:r>
              <w:rPr>
                <w:color w:val="000000"/>
                <w:sz w:val="24"/>
              </w:rPr>
              <w:t>1.38%</w:t>
            </w:r>
          </w:p>
        </w:tc>
        <w:tc>
          <w:tcPr>
            <w:vAlign w:val="center"/>
          </w:tcPr>
          <w:p>
            <w:pPr>
              <w:jc w:val="center"/>
            </w:pPr>
            <w:r>
              <w:rPr>
                <w:color w:val="000000"/>
                <w:sz w:val="24"/>
              </w:rPr>
              <w:t>14.75%</w:t>
            </w:r>
          </w:p>
        </w:tc>
        <w:tc>
          <w:tcPr>
            <w:vAlign w:val="center"/>
          </w:tcPr>
          <w:p>
            <w:pPr>
              <w:jc w:val="center"/>
            </w:pPr>
            <w:r>
              <w:rPr>
                <w:color w:val="000000"/>
                <w:sz w:val="24"/>
              </w:rPr>
              <w:t>0.79%</w:t>
            </w:r>
          </w:p>
        </w:tc>
        <w:tc>
          <w:tcPr>
            <w:vAlign w:val="center"/>
          </w:tcPr>
          <w:p>
            <w:pPr>
              <w:jc w:val="center"/>
            </w:pPr>
            <w:r>
              <w:rPr>
                <w:color w:val="000000"/>
                <w:sz w:val="24"/>
              </w:rPr>
              <w:t>32.28%</w:t>
            </w:r>
          </w:p>
        </w:tc>
        <w:tc>
          <w:tcPr>
            <w:vAlign w:val="center"/>
          </w:tcPr>
          <w:p>
            <w:pPr>
              <w:jc w:val="center"/>
            </w:pPr>
            <w:r>
              <w:rPr>
                <w:color w:val="000000"/>
                <w:sz w:val="24"/>
              </w:rPr>
              <w:t>0.59%</w:t>
            </w:r>
          </w:p>
        </w:tc>
      </w:tr>
      <w:tr>
        <w:tc>
          <w:tcPr>
            <w:vAlign w:val="center"/>
          </w:tcPr>
          <w:p>
            <w:pPr>
              <w:jc w:val="left"/>
            </w:pPr>
            <w:r>
              <w:rPr>
                <w:color w:val="000000"/>
                <w:sz w:val="24"/>
              </w:rPr>
              <w:t>过去一年</w:t>
            </w:r>
          </w:p>
        </w:tc>
        <w:tc>
          <w:tcPr>
            <w:vAlign w:val="center"/>
          </w:tcPr>
          <w:p>
            <w:pPr>
              <w:jc w:val="center"/>
            </w:pPr>
            <w:r>
              <w:rPr>
                <w:color w:val="000000"/>
                <w:sz w:val="24"/>
              </w:rPr>
              <w:t>61.16%</w:t>
            </w:r>
          </w:p>
        </w:tc>
        <w:tc>
          <w:tcPr>
            <w:vAlign w:val="center"/>
          </w:tcPr>
          <w:p>
            <w:pPr>
              <w:jc w:val="center"/>
            </w:pPr>
            <w:r>
              <w:rPr>
                <w:color w:val="000000"/>
                <w:sz w:val="24"/>
              </w:rPr>
              <w:t>1.47%</w:t>
            </w:r>
          </w:p>
        </w:tc>
        <w:tc>
          <w:tcPr>
            <w:vAlign w:val="center"/>
          </w:tcPr>
          <w:p>
            <w:pPr>
              <w:jc w:val="center"/>
            </w:pPr>
            <w:r>
              <w:rPr>
                <w:color w:val="000000"/>
                <w:sz w:val="24"/>
              </w:rPr>
              <w:t>14.26%</w:t>
            </w:r>
          </w:p>
        </w:tc>
        <w:tc>
          <w:tcPr>
            <w:vAlign w:val="center"/>
          </w:tcPr>
          <w:p>
            <w:pPr>
              <w:jc w:val="center"/>
            </w:pPr>
            <w:r>
              <w:rPr>
                <w:color w:val="000000"/>
                <w:sz w:val="24"/>
              </w:rPr>
              <w:t>0.83%</w:t>
            </w:r>
          </w:p>
        </w:tc>
        <w:tc>
          <w:tcPr>
            <w:vAlign w:val="center"/>
          </w:tcPr>
          <w:p>
            <w:pPr>
              <w:jc w:val="center"/>
            </w:pPr>
            <w:r>
              <w:rPr>
                <w:color w:val="000000"/>
                <w:sz w:val="24"/>
              </w:rPr>
              <w:t>46.90%</w:t>
            </w:r>
          </w:p>
        </w:tc>
        <w:tc>
          <w:tcPr>
            <w:vAlign w:val="center"/>
          </w:tcPr>
          <w:p>
            <w:pPr>
              <w:jc w:val="center"/>
            </w:pPr>
            <w:r>
              <w:rPr>
                <w:color w:val="000000"/>
                <w:sz w:val="24"/>
              </w:rPr>
              <w:t>0.64%</w:t>
            </w:r>
          </w:p>
        </w:tc>
      </w:tr>
      <w:tr>
        <w:tc>
          <w:tcPr>
            <w:vAlign w:val="center"/>
          </w:tcPr>
          <w:p>
            <w:pPr>
              <w:jc w:val="left"/>
            </w:pPr>
            <w:r>
              <w:rPr>
                <w:color w:val="000000"/>
                <w:sz w:val="24"/>
              </w:rPr>
              <w:t>过去三年</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r>
      <w:tr>
        <w:tc>
          <w:tcPr>
            <w:vAlign w:val="center"/>
          </w:tcPr>
          <w:p>
            <w:pPr>
              <w:jc w:val="left"/>
            </w:pPr>
            <w:r>
              <w:rPr>
                <w:color w:val="000000"/>
                <w:sz w:val="24"/>
              </w:rPr>
              <w:t>过去五年</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r>
      <w:tr>
        <w:tc>
          <w:tcPr>
            <w:vAlign w:val="center"/>
          </w:tcPr>
          <w:p>
            <w:pPr>
              <w:jc w:val="left"/>
            </w:pPr>
            <w:r>
              <w:rPr>
                <w:color w:val="000000"/>
                <w:sz w:val="24"/>
              </w:rPr>
              <w:t>自基金合同生效起至今</w:t>
            </w:r>
          </w:p>
        </w:tc>
        <w:tc>
          <w:tcPr>
            <w:vAlign w:val="center"/>
          </w:tcPr>
          <w:p>
            <w:pPr>
              <w:jc w:val="center"/>
            </w:pPr>
            <w:r>
              <w:rPr>
                <w:color w:val="000000"/>
                <w:sz w:val="24"/>
              </w:rPr>
              <w:t>56.00%</w:t>
            </w:r>
          </w:p>
        </w:tc>
        <w:tc>
          <w:tcPr>
            <w:vAlign w:val="center"/>
          </w:tcPr>
          <w:p>
            <w:pPr>
              <w:jc w:val="center"/>
            </w:pPr>
            <w:r>
              <w:rPr>
                <w:color w:val="000000"/>
                <w:sz w:val="24"/>
              </w:rPr>
              <w:t>1.36%</w:t>
            </w:r>
          </w:p>
        </w:tc>
        <w:tc>
          <w:tcPr>
            <w:vAlign w:val="center"/>
          </w:tcPr>
          <w:p>
            <w:pPr>
              <w:jc w:val="center"/>
            </w:pPr>
            <w:r>
              <w:rPr>
                <w:color w:val="000000"/>
                <w:sz w:val="24"/>
              </w:rPr>
              <w:t>16.33%</w:t>
            </w:r>
          </w:p>
        </w:tc>
        <w:tc>
          <w:tcPr>
            <w:vAlign w:val="center"/>
          </w:tcPr>
          <w:p>
            <w:pPr>
              <w:jc w:val="center"/>
            </w:pPr>
            <w:r>
              <w:rPr>
                <w:color w:val="000000"/>
                <w:sz w:val="24"/>
              </w:rPr>
              <w:t>0.82%</w:t>
            </w:r>
          </w:p>
        </w:tc>
        <w:tc>
          <w:tcPr>
            <w:vAlign w:val="center"/>
          </w:tcPr>
          <w:p>
            <w:pPr>
              <w:jc w:val="center"/>
            </w:pPr>
            <w:r>
              <w:rPr>
                <w:color w:val="000000"/>
                <w:sz w:val="24"/>
              </w:rPr>
              <w:t>39.67%</w:t>
            </w:r>
          </w:p>
        </w:tc>
        <w:tc>
          <w:tcPr>
            <w:vAlign w:val="center"/>
          </w:tcPr>
          <w:p>
            <w:pPr>
              <w:jc w:val="center"/>
            </w:pPr>
            <w:r>
              <w:rPr>
                <w:color w:val="000000"/>
                <w:sz w:val="24"/>
              </w:rPr>
              <w:t>0.54%</w:t>
            </w:r>
          </w:p>
        </w:tc>
      </w:tr>
    </w:tbl>
    <w:p w:rsidP="00174038" w:rsidR="00F016DD" w:rsidRDefault="00F016DD" w:rsidRPr="0078105B">
      <w:pPr>
        <w:adjustRightInd w:val="0"/>
        <w:spacing w:line="360" w:lineRule="auto"/>
        <w:ind w:firstLine="361" w:firstLineChars="150"/>
        <w:rPr>
          <w:rFonts w:ascii="宋体" w:cs="Arial"/>
          <w:b/>
          <w:color w:val="000000"/>
          <w:kern w:val="0"/>
          <w:sz w:val="24"/>
        </w:rPr>
      </w:pPr>
      <w:r w:rsidRPr="0078105B">
        <w:rPr>
          <w:rFonts w:ascii="宋体" w:cs="Arial"/>
          <w:b/>
          <w:color w:val="000000"/>
          <w:kern w:val="0"/>
          <w:sz w:val="24"/>
        </w:rPr>
        <w:t/>
      </w:r>
      <w:proofErr w:type="gramStart"/>
      <w:r w:rsidRPr="0078105B">
        <w:rPr>
          <w:rFonts w:ascii="宋体" w:cs="Arial" w:hAnsi="宋体"/>
          <w:b/>
          <w:color w:val="000000"/>
          <w:kern w:val="0"/>
          <w:sz w:val="24"/>
        </w:rPr>
        <w:t/>
      </w:r>
      <w:proofErr w:type="gramEnd"/>
      <w:r w:rsidRPr="0078105B">
        <w:rPr>
          <w:rFonts w:ascii="宋体" w:cs="Arial" w:hAnsi="宋体"/>
          <w:b/>
          <w:color w:val="000000"/>
          <w:kern w:val="0"/>
          <w:sz w:val="24"/>
        </w:rPr>
        <w:t>易方达量化策略精选混合C</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290"/>
        <w:gridCol w:w="1291"/>
        <w:gridCol w:w="1291"/>
        <w:gridCol w:w="1291"/>
        <w:gridCol w:w="1291"/>
        <w:gridCol w:w="1291"/>
        <w:gridCol w:w="1291"/>
      </w:tblGrid>
      <w:tr w:rsidR="00F016DD" w:rsidRPr="0078105B" w:rsidTr="00F4518C">
        <w:tc>
          <w:tcPr>
            <w:tcW w:type="dxa" w:w="1290"/>
            <w:vAlign w:val="center"/>
          </w:tcPr>
          <w:p w:rsidP="00F4518C" w:rsidR="00F016DD" w:rsidRDefault="00F016DD" w:rsidRPr="00FA472B">
            <w:pPr>
              <w:snapToGrid w:val="0"/>
              <w:spacing w:line="288" w:lineRule="auto"/>
              <w:jc w:val="center"/>
              <w:rPr>
                <w:color w:val="000000"/>
                <w:sz w:val="24"/>
              </w:rPr>
            </w:pPr>
            <w:r w:rsidRPr="00FA472B">
              <w:rPr>
                <w:color w:val="000000"/>
                <w:sz w:val="24"/>
              </w:rPr>
              <w:t>阶段</w:t>
            </w:r>
            <w:r w:rsidRPr="00FA472B">
              <w:rPr>
                <w:color w:val="000000"/>
                <w:sz w:val="24"/>
              </w:rPr>
              <w:t/>
            </w:r>
            <w:proofErr w:type="spellStart"/>
            <w:r w:rsidRPr="00FA472B">
              <w:rPr>
                <w:color w:val="000000"/>
                <w:sz w:val="24"/>
              </w:rPr>
              <w:t/>
            </w:r>
            <w:proofErr w:type="spellEnd"/>
            <w:r w:rsidRPr="00FA472B">
              <w:rPr>
                <w:color w:val="000000"/>
                <w:sz w:val="24"/>
              </w:rPr>
              <w:t/>
            </w:r>
          </w:p>
        </w:tc>
        <w:tc>
          <w:tcPr>
            <w:tcW w:type="dxa" w:w="1291"/>
            <w:vAlign w:val="center"/>
          </w:tcPr>
          <w:p w:rsidP="00F4518C" w:rsidR="00F016DD" w:rsidRDefault="00F016DD" w:rsidRPr="00FA472B">
            <w:pPr>
              <w:snapToGrid w:val="0"/>
              <w:spacing w:line="288" w:lineRule="auto"/>
              <w:jc w:val="center"/>
              <w:rPr>
                <w:color w:val="000000"/>
                <w:sz w:val="24"/>
                <w:highlight w:val="green"/>
              </w:rPr>
            </w:pPr>
            <w:r w:rsidRPr="00FA472B">
              <w:rPr>
                <w:color w:val="000000"/>
                <w:sz w:val="24"/>
              </w:rPr>
              <w:t>净值增长率</w:t>
            </w:r>
            <w:r w:rsidRPr="00414367">
              <w:rPr>
                <w:rFonts w:ascii="宋体" w:cs="宋体" w:hAnsi="宋体" w:hint="eastAsia"/>
                <w:color w:val="000000"/>
                <w:sz w:val="24"/>
              </w:rPr>
              <w:t>①</w:t>
            </w:r>
          </w:p>
        </w:tc>
        <w:tc>
          <w:tcPr>
            <w:tcW w:type="dxa" w:w="1291"/>
            <w:vAlign w:val="center"/>
          </w:tcPr>
          <w:p w:rsidP="00F4518C" w:rsidR="00F016DD" w:rsidRDefault="00F016DD" w:rsidRPr="00FA472B">
            <w:pPr>
              <w:snapToGrid w:val="0"/>
              <w:spacing w:line="288" w:lineRule="auto"/>
              <w:jc w:val="center"/>
              <w:rPr>
                <w:color w:val="000000"/>
                <w:sz w:val="24"/>
                <w:highlight w:val="green"/>
              </w:rPr>
            </w:pPr>
            <w:r w:rsidRPr="00FA472B">
              <w:rPr>
                <w:color w:val="000000"/>
                <w:sz w:val="24"/>
              </w:rPr>
              <w:t>净值增长率标准差</w:t>
            </w:r>
            <w:r w:rsidRPr="00414367">
              <w:rPr>
                <w:rFonts w:ascii="宋体" w:cs="宋体" w:hAnsi="宋体" w:hint="eastAsia"/>
                <w:color w:val="000000"/>
                <w:sz w:val="24"/>
              </w:rPr>
              <w:t>②</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业绩比较基准收益率</w:t>
            </w:r>
            <w:r w:rsidRPr="00414367">
              <w:rPr>
                <w:rFonts w:ascii="宋体" w:cs="宋体" w:hAnsi="宋体" w:hint="eastAsia"/>
                <w:color w:val="000000"/>
                <w:sz w:val="24"/>
              </w:rPr>
              <w:t>③</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业绩比较基准收益率标准差</w:t>
            </w:r>
            <w:r w:rsidRPr="00414367">
              <w:rPr>
                <w:rFonts w:ascii="宋体" w:cs="宋体" w:hAnsi="宋体" w:hint="eastAsia"/>
                <w:color w:val="000000"/>
                <w:sz w:val="24"/>
              </w:rPr>
              <w:t>④</w:t>
            </w:r>
          </w:p>
        </w:tc>
        <w:tc>
          <w:tcPr>
            <w:tcW w:type="dxa" w:w="1291"/>
            <w:vAlign w:val="center"/>
          </w:tcPr>
          <w:p w:rsidP="00F4518C" w:rsidR="00F016DD" w:rsidRDefault="00F016DD" w:rsidRPr="00FA472B">
            <w:pPr>
              <w:snapToGrid w:val="0"/>
              <w:spacing w:line="288" w:lineRule="auto"/>
              <w:jc w:val="center"/>
              <w:rPr>
                <w:color w:val="000000"/>
                <w:sz w:val="24"/>
              </w:rPr>
            </w:pPr>
            <w:r w:rsidRPr="00414367">
              <w:rPr>
                <w:rFonts w:ascii="宋体" w:cs="宋体" w:hAnsi="宋体" w:hint="eastAsia"/>
                <w:color w:val="000000"/>
                <w:sz w:val="24"/>
              </w:rPr>
              <w:t>①</w:t>
            </w:r>
            <w:r w:rsidRPr="00FA472B">
              <w:rPr>
                <w:color w:val="000000"/>
                <w:sz w:val="24"/>
              </w:rPr>
              <w:t>－</w:t>
            </w:r>
            <w:r w:rsidRPr="00414367">
              <w:rPr>
                <w:rFonts w:ascii="宋体" w:cs="宋体" w:hAnsi="宋体" w:hint="eastAsia"/>
                <w:color w:val="000000"/>
                <w:sz w:val="24"/>
              </w:rPr>
              <w:t>③</w:t>
            </w:r>
          </w:p>
        </w:tc>
        <w:tc>
          <w:tcPr>
            <w:tcW w:type="dxa" w:w="1291"/>
            <w:vAlign w:val="center"/>
          </w:tcPr>
          <w:p w:rsidP="00F4518C" w:rsidR="00F016DD" w:rsidRDefault="00F016DD" w:rsidRPr="00FA472B">
            <w:pPr>
              <w:snapToGrid w:val="0"/>
              <w:spacing w:line="288" w:lineRule="auto"/>
              <w:jc w:val="center"/>
              <w:rPr>
                <w:color w:val="000000"/>
                <w:sz w:val="24"/>
              </w:rPr>
            </w:pPr>
            <w:r w:rsidRPr="00414367">
              <w:rPr>
                <w:rFonts w:ascii="宋体" w:cs="宋体" w:hAnsi="宋体" w:hint="eastAsia"/>
                <w:color w:val="000000"/>
                <w:sz w:val="24"/>
              </w:rPr>
              <w:t>②</w:t>
            </w:r>
            <w:r w:rsidRPr="00FA472B">
              <w:rPr>
                <w:color w:val="000000"/>
                <w:sz w:val="24"/>
              </w:rPr>
              <w:t>－</w:t>
            </w:r>
            <w:r w:rsidRPr="00414367">
              <w:rPr>
                <w:rFonts w:ascii="宋体" w:cs="宋体" w:hAnsi="宋体" w:hint="eastAsia"/>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14.51%</w:t>
            </w:r>
          </w:p>
        </w:tc>
        <w:tc>
          <w:tcPr>
            <w:vAlign w:val="center"/>
          </w:tcPr>
          <w:p>
            <w:pPr>
              <w:jc w:val="center"/>
            </w:pPr>
            <w:r>
              <w:rPr>
                <w:color w:val="000000"/>
                <w:sz w:val="24"/>
              </w:rPr>
              <w:t>1.57%</w:t>
            </w:r>
          </w:p>
        </w:tc>
        <w:tc>
          <w:tcPr>
            <w:vAlign w:val="center"/>
          </w:tcPr>
          <w:p>
            <w:pPr>
              <w:jc w:val="center"/>
            </w:pPr>
            <w:r>
              <w:rPr>
                <w:color w:val="000000"/>
                <w:sz w:val="24"/>
              </w:rPr>
              <w:t>6.35%</w:t>
            </w:r>
          </w:p>
        </w:tc>
        <w:tc>
          <w:tcPr>
            <w:vAlign w:val="center"/>
          </w:tcPr>
          <w:p>
            <w:pPr>
              <w:jc w:val="center"/>
            </w:pPr>
            <w:r>
              <w:rPr>
                <w:color w:val="000000"/>
                <w:sz w:val="24"/>
              </w:rPr>
              <w:t>0.97%</w:t>
            </w:r>
          </w:p>
        </w:tc>
        <w:tc>
          <w:tcPr>
            <w:vAlign w:val="center"/>
          </w:tcPr>
          <w:p>
            <w:pPr>
              <w:jc w:val="center"/>
            </w:pPr>
            <w:r>
              <w:rPr>
                <w:color w:val="000000"/>
                <w:sz w:val="24"/>
              </w:rPr>
              <w:t>8.16%</w:t>
            </w:r>
          </w:p>
        </w:tc>
        <w:tc>
          <w:tcPr>
            <w:vAlign w:val="center"/>
          </w:tcPr>
          <w:p>
            <w:pPr>
              <w:jc w:val="center"/>
            </w:pPr>
            <w:r>
              <w:rPr>
                <w:color w:val="000000"/>
                <w:sz w:val="24"/>
              </w:rPr>
              <w:t>0.60%</w:t>
            </w:r>
          </w:p>
        </w:tc>
      </w:tr>
      <w:tr>
        <w:tc>
          <w:tcPr>
            <w:vAlign w:val="center"/>
          </w:tcPr>
          <w:p>
            <w:pPr>
              <w:jc w:val="left"/>
            </w:pPr>
            <w:r>
              <w:rPr>
                <w:color w:val="000000"/>
                <w:sz w:val="24"/>
              </w:rPr>
              <w:t>过去六个月</w:t>
            </w:r>
          </w:p>
        </w:tc>
        <w:tc>
          <w:tcPr>
            <w:vAlign w:val="center"/>
          </w:tcPr>
          <w:p>
            <w:pPr>
              <w:jc w:val="center"/>
            </w:pPr>
            <w:r>
              <w:rPr>
                <w:color w:val="000000"/>
                <w:sz w:val="24"/>
              </w:rPr>
              <w:t>46.71%</w:t>
            </w:r>
          </w:p>
        </w:tc>
        <w:tc>
          <w:tcPr>
            <w:vAlign w:val="center"/>
          </w:tcPr>
          <w:p>
            <w:pPr>
              <w:jc w:val="center"/>
            </w:pPr>
            <w:r>
              <w:rPr>
                <w:color w:val="000000"/>
                <w:sz w:val="24"/>
              </w:rPr>
              <w:t>1.38%</w:t>
            </w:r>
          </w:p>
        </w:tc>
        <w:tc>
          <w:tcPr>
            <w:vAlign w:val="center"/>
          </w:tcPr>
          <w:p>
            <w:pPr>
              <w:jc w:val="center"/>
            </w:pPr>
            <w:r>
              <w:rPr>
                <w:color w:val="000000"/>
                <w:sz w:val="24"/>
              </w:rPr>
              <w:t>14.75%</w:t>
            </w:r>
          </w:p>
        </w:tc>
        <w:tc>
          <w:tcPr>
            <w:vAlign w:val="center"/>
          </w:tcPr>
          <w:p>
            <w:pPr>
              <w:jc w:val="center"/>
            </w:pPr>
            <w:r>
              <w:rPr>
                <w:color w:val="000000"/>
                <w:sz w:val="24"/>
              </w:rPr>
              <w:t>0.79%</w:t>
            </w:r>
          </w:p>
        </w:tc>
        <w:tc>
          <w:tcPr>
            <w:vAlign w:val="center"/>
          </w:tcPr>
          <w:p>
            <w:pPr>
              <w:jc w:val="center"/>
            </w:pPr>
            <w:r>
              <w:rPr>
                <w:color w:val="000000"/>
                <w:sz w:val="24"/>
              </w:rPr>
              <w:t>31.96%</w:t>
            </w:r>
          </w:p>
        </w:tc>
        <w:tc>
          <w:tcPr>
            <w:vAlign w:val="center"/>
          </w:tcPr>
          <w:p>
            <w:pPr>
              <w:jc w:val="center"/>
            </w:pPr>
            <w:r>
              <w:rPr>
                <w:color w:val="000000"/>
                <w:sz w:val="24"/>
              </w:rPr>
              <w:t>0.59%</w:t>
            </w:r>
          </w:p>
        </w:tc>
      </w:tr>
      <w:tr>
        <w:tc>
          <w:tcPr>
            <w:vAlign w:val="center"/>
          </w:tcPr>
          <w:p>
            <w:pPr>
              <w:jc w:val="left"/>
            </w:pPr>
            <w:r>
              <w:rPr>
                <w:color w:val="000000"/>
                <w:sz w:val="24"/>
              </w:rPr>
              <w:t>过去一年</w:t>
            </w:r>
          </w:p>
        </w:tc>
        <w:tc>
          <w:tcPr>
            <w:vAlign w:val="center"/>
          </w:tcPr>
          <w:p>
            <w:pPr>
              <w:jc w:val="center"/>
            </w:pPr>
            <w:r>
              <w:rPr>
                <w:color w:val="000000"/>
                <w:sz w:val="24"/>
              </w:rPr>
              <w:t>60.31%</w:t>
            </w:r>
          </w:p>
        </w:tc>
        <w:tc>
          <w:tcPr>
            <w:vAlign w:val="center"/>
          </w:tcPr>
          <w:p>
            <w:pPr>
              <w:jc w:val="center"/>
            </w:pPr>
            <w:r>
              <w:rPr>
                <w:color w:val="000000"/>
                <w:sz w:val="24"/>
              </w:rPr>
              <w:t>1.46%</w:t>
            </w:r>
          </w:p>
        </w:tc>
        <w:tc>
          <w:tcPr>
            <w:vAlign w:val="center"/>
          </w:tcPr>
          <w:p>
            <w:pPr>
              <w:jc w:val="center"/>
            </w:pPr>
            <w:r>
              <w:rPr>
                <w:color w:val="000000"/>
                <w:sz w:val="24"/>
              </w:rPr>
              <w:t>14.26%</w:t>
            </w:r>
          </w:p>
        </w:tc>
        <w:tc>
          <w:tcPr>
            <w:vAlign w:val="center"/>
          </w:tcPr>
          <w:p>
            <w:pPr>
              <w:jc w:val="center"/>
            </w:pPr>
            <w:r>
              <w:rPr>
                <w:color w:val="000000"/>
                <w:sz w:val="24"/>
              </w:rPr>
              <w:t>0.83%</w:t>
            </w:r>
          </w:p>
        </w:tc>
        <w:tc>
          <w:tcPr>
            <w:vAlign w:val="center"/>
          </w:tcPr>
          <w:p>
            <w:pPr>
              <w:jc w:val="center"/>
            </w:pPr>
            <w:r>
              <w:rPr>
                <w:color w:val="000000"/>
                <w:sz w:val="24"/>
              </w:rPr>
              <w:t>46.05%</w:t>
            </w:r>
          </w:p>
        </w:tc>
        <w:tc>
          <w:tcPr>
            <w:vAlign w:val="center"/>
          </w:tcPr>
          <w:p>
            <w:pPr>
              <w:jc w:val="center"/>
            </w:pPr>
            <w:r>
              <w:rPr>
                <w:color w:val="000000"/>
                <w:sz w:val="24"/>
              </w:rPr>
              <w:t>0.63%</w:t>
            </w:r>
          </w:p>
        </w:tc>
      </w:tr>
      <w:tr>
        <w:tc>
          <w:tcPr>
            <w:vAlign w:val="center"/>
          </w:tcPr>
          <w:p>
            <w:pPr>
              <w:jc w:val="left"/>
            </w:pPr>
            <w:r>
              <w:rPr>
                <w:color w:val="000000"/>
                <w:sz w:val="24"/>
              </w:rPr>
              <w:t>过去三年</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r>
      <w:tr>
        <w:tc>
          <w:tcPr>
            <w:vAlign w:val="center"/>
          </w:tcPr>
          <w:p>
            <w:pPr>
              <w:jc w:val="left"/>
            </w:pPr>
            <w:r>
              <w:rPr>
                <w:color w:val="000000"/>
                <w:sz w:val="24"/>
              </w:rPr>
              <w:t>过去五年</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r>
      <w:tr>
        <w:tc>
          <w:tcPr>
            <w:vAlign w:val="center"/>
          </w:tcPr>
          <w:p>
            <w:pPr>
              <w:jc w:val="left"/>
            </w:pPr>
            <w:r>
              <w:rPr>
                <w:color w:val="000000"/>
                <w:sz w:val="24"/>
              </w:rPr>
              <w:t>自基金合同生效起至今</w:t>
            </w:r>
          </w:p>
        </w:tc>
        <w:tc>
          <w:tcPr>
            <w:vAlign w:val="center"/>
          </w:tcPr>
          <w:p>
            <w:pPr>
              <w:jc w:val="center"/>
            </w:pPr>
            <w:r>
              <w:rPr>
                <w:color w:val="000000"/>
                <w:sz w:val="24"/>
              </w:rPr>
              <w:t>53.90%</w:t>
            </w:r>
          </w:p>
        </w:tc>
        <w:tc>
          <w:tcPr>
            <w:vAlign w:val="center"/>
          </w:tcPr>
          <w:p>
            <w:pPr>
              <w:jc w:val="center"/>
            </w:pPr>
            <w:r>
              <w:rPr>
                <w:color w:val="000000"/>
                <w:sz w:val="24"/>
              </w:rPr>
              <w:t>1.36%</w:t>
            </w:r>
          </w:p>
        </w:tc>
        <w:tc>
          <w:tcPr>
            <w:vAlign w:val="center"/>
          </w:tcPr>
          <w:p>
            <w:pPr>
              <w:jc w:val="center"/>
            </w:pPr>
            <w:r>
              <w:rPr>
                <w:color w:val="000000"/>
                <w:sz w:val="24"/>
              </w:rPr>
              <w:t>16.33%</w:t>
            </w:r>
          </w:p>
        </w:tc>
        <w:tc>
          <w:tcPr>
            <w:vAlign w:val="center"/>
          </w:tcPr>
          <w:p>
            <w:pPr>
              <w:jc w:val="center"/>
            </w:pPr>
            <w:r>
              <w:rPr>
                <w:color w:val="000000"/>
                <w:sz w:val="24"/>
              </w:rPr>
              <w:t>0.82%</w:t>
            </w:r>
          </w:p>
        </w:tc>
        <w:tc>
          <w:tcPr>
            <w:vAlign w:val="center"/>
          </w:tcPr>
          <w:p>
            <w:pPr>
              <w:jc w:val="center"/>
            </w:pPr>
            <w:r>
              <w:rPr>
                <w:color w:val="000000"/>
                <w:sz w:val="24"/>
              </w:rPr>
              <w:t>37.57%</w:t>
            </w:r>
          </w:p>
        </w:tc>
        <w:tc>
          <w:tcPr>
            <w:vAlign w:val="center"/>
          </w:tcPr>
          <w:p>
            <w:pPr>
              <w:jc w:val="center"/>
            </w:pPr>
            <w:r>
              <w:rPr>
                <w:color w:val="000000"/>
                <w:sz w:val="24"/>
              </w:rPr>
              <w:t>0.54%</w:t>
            </w:r>
          </w:p>
        </w:tc>
      </w:tr>
    </w:tbl>
    <w:p w:rsidP="00FC13C8" w:rsidR="00F016DD" w:rsidRDefault="00F016DD" w:rsidRPr="0078105B">
      <w:pPr>
        <w:spacing w:line="360" w:lineRule="auto"/>
        <w:rPr>
          <w:rFonts w:ascii="宋体" w:cs="Arial"/>
          <w:b/>
          <w:color w:val="000000"/>
          <w:kern w:val="0"/>
          <w:sz w:val="24"/>
        </w:rPr>
      </w:pPr>
      <w:r w:rsidRPr="0078105B">
        <w:rPr>
          <w:rFonts w:ascii="宋体" w:cs="Arial" w:hAnsi="宋体"/>
          <w:b/>
          <w:color w:val="000000"/>
          <w:kern w:val="0"/>
          <w:sz w:val="24"/>
        </w:rPr>
        <w:t>3.2.2</w:t>
      </w:r>
      <w:r w:rsidRPr="0078105B">
        <w:rPr>
          <w:rFonts w:ascii="宋体" w:cs="Arial" w:hAnsi="宋体" w:hint="eastAsia"/>
          <w:b/>
          <w:color w:val="000000"/>
          <w:kern w:val="0"/>
          <w:sz w:val="24"/>
        </w:rPr>
        <w:t xml:space="preserve">　</w:t>
      </w:r>
      <w:r w:rsidR="00AE2480" w:rsidRPr="00370BEA">
        <w:rPr>
          <w:rStyle w:val="af6"/>
          <w:rFonts w:hint="eastAsia"/>
          <w:color w:val="000000"/>
          <w:sz w:val="24"/>
          <w:shd w:color="auto" w:fill="FFFFFF" w:val="clear"/>
        </w:rPr>
        <w:t/>
      </w:r>
      <w:proofErr w:type="spellStart"/>
      <w:r w:rsidR="00AE2480" w:rsidRPr="00370BEA">
        <w:rPr>
          <w:rStyle w:val="af6"/>
          <w:rFonts w:hint="eastAsia"/>
          <w:color w:val="000000"/>
          <w:sz w:val="24"/>
          <w:shd w:color="auto" w:fill="FFFFFF" w:val="clear"/>
        </w:rPr>
        <w:t/>
      </w:r>
      <w:proofErr w:type="spellEnd"/>
      <w:r w:rsidR="00AE2480" w:rsidRPr="00370BEA">
        <w:rPr>
          <w:rStyle w:val="af6"/>
          <w:rFonts w:hint="eastAsia"/>
          <w:color w:val="000000"/>
          <w:sz w:val="24"/>
          <w:shd w:color="auto" w:fill="FFFFFF" w:val="clear"/>
        </w:rPr>
        <w:t>自基金合同生效以来</w:t>
      </w:r>
      <w:r w:rsidRPr="0078105B">
        <w:rPr>
          <w:rFonts w:ascii="宋体" w:hAnsi="宋体" w:hint="eastAsia"/>
          <w:b/>
          <w:color w:val="000000"/>
          <w:sz w:val="24"/>
        </w:rPr>
        <w:t>基金累计净值增长率变动及其与同期业绩比较基准收益率变动的比较</w:t>
      </w:r>
    </w:p>
    <w:p w:rsidP="00FC13C8" w:rsidR="00F016DD" w:rsidRDefault="00F016DD" w:rsidRPr="00FA472B">
      <w:pPr>
        <w:spacing w:line="360" w:lineRule="auto"/>
        <w:jc w:val="center"/>
        <w:rPr>
          <w:color w:val="000000"/>
          <w:sz w:val="24"/>
        </w:rPr>
      </w:pPr>
      <w:r w:rsidRPr="00FA472B">
        <w:rPr>
          <w:color w:val="000000"/>
          <w:sz w:val="24"/>
        </w:rPr>
        <w:t/>
      </w:r>
      <w:proofErr w:type="spellStart"/>
      <w:proofErr w:type="gramStart"/>
      <w:r w:rsidRPr="00FA472B">
        <w:rPr>
          <w:color w:val="000000"/>
          <w:sz w:val="24"/>
        </w:rPr>
        <w:t/>
      </w:r>
      <w:proofErr w:type="spellEnd"/>
      <w:proofErr w:type="gramEnd"/>
      <w:r w:rsidRPr="00FA472B">
        <w:rPr>
          <w:color w:val="000000"/>
          <w:sz w:val="24"/>
        </w:rPr>
        <w:t>易方达量化策略精选灵活配置混合型证券投资基金</w:t>
      </w:r>
    </w:p>
    <w:p w:rsidP="00526282" w:rsidR="00526282" w:rsidRDefault="00F016DD">
      <w:pPr>
        <w:pStyle w:val="a5"/>
        <w:snapToGrid w:val="0"/>
        <w:spacing w:line="360" w:lineRule="auto"/>
        <w:jc w:val="center"/>
        <w:rPr>
          <w:rFonts w:ascii="Times New Roman" w:eastAsiaTheme="minorEastAsia" w:hAnsi="Times New Roman"/>
          <w:color w:themeColor="text1" w:val="000000"/>
          <w:sz w:val="24"/>
          <w:szCs w:val="24"/>
        </w:rPr>
      </w:pPr>
      <w:r w:rsidRPr="00FA472B">
        <w:rPr>
          <w:rFonts w:ascii="Times New Roman" w:hAnsi="Times New Roman"/>
          <w:color w:val="000000"/>
          <w:sz w:val="24"/>
          <w:szCs w:val="24"/>
        </w:rPr>
        <w:t>累计净值增长率与业绩比较基准收益率的历史走势对比图</w:t>
      </w:r>
    </w:p>
    <w:p w:rsidP="00D477DB" w:rsidR="00F016DD" w:rsidRDefault="00526282" w:rsidRPr="00FA472B">
      <w:pPr>
        <w:pStyle w:val="a5"/>
        <w:snapToGrid w:val="0"/>
        <w:spacing w:line="360" w:lineRule="auto"/>
        <w:jc w:val="center"/>
        <w:rPr>
          <w:rFonts w:ascii="Times New Roman" w:hAnsi="Times New Roman"/>
          <w:sz w:val="24"/>
          <w:szCs w:val="24"/>
        </w:rPr>
      </w:pPr>
      <w:r w:rsidRPr="00526282">
        <w:rPr>
          <w:rFonts w:ascii="Times New Roman" w:hAnsi="Times New Roman"/>
          <w:sz w:val="24"/>
          <w:szCs w:val="24"/>
        </w:rPr>
        <w:t/>
      </w:r>
      <w:proofErr w:type="spellStart"/>
      <w:proofErr w:type="gramStart"/>
      <w:r w:rsidRPr="00526282">
        <w:rPr>
          <w:rFonts w:ascii="Times New Roman" w:hAnsi="Times New Roman"/>
          <w:sz w:val="24"/>
          <w:szCs w:val="24"/>
        </w:rPr>
        <w:t/>
      </w:r>
      <w:proofErr w:type="spellEnd"/>
      <w:r w:rsidRPr="00526282">
        <w:rPr>
          <w:rFonts w:ascii="Times New Roman" w:hAnsi="Times New Roman"/>
          <w:sz w:val="24"/>
          <w:szCs w:val="24"/>
        </w:rPr>
        <w:t/>
      </w:r>
      <w:proofErr w:type="gramEnd"/>
      <w:r w:rsidRPr="00526282">
        <w:rPr>
          <w:rFonts w:ascii="Times New Roman" w:hAnsi="Times New Roman"/>
          <w:sz w:val="24"/>
          <w:szCs w:val="24"/>
        </w:rPr>
        <w:t>（2017年12月19日至2020年9月30日）</w:t>
      </w:r>
    </w:p>
    <w:p w:rsidP="00526282" w:rsidR="00526282" w:rsidRDefault="00F016DD">
      <w:pPr>
        <w:snapToGrid w:val="0"/>
        <w:spacing w:line="360" w:lineRule="auto"/>
        <w:rPr>
          <w:rFonts w:eastAsiaTheme="minorEastAsia" w:hAnsiTheme="minorEastAsia"/>
          <w:color w:themeColor="text1" w:val="000000"/>
          <w:sz w:val="24"/>
        </w:rPr>
      </w:pPr>
      <w:r w:rsidRPr="00611CB2">
        <w:rPr>
          <w:color w:val="000000"/>
          <w:sz w:val="24"/>
        </w:rPr>
        <w:t/>
      </w:r>
      <w:proofErr w:type="gramStart"/>
      <w:r w:rsidRPr="00611CB2">
        <w:rPr>
          <w:color w:val="000000"/>
          <w:sz w:val="24"/>
        </w:rPr>
        <w:t/>
      </w:r>
      <w:proofErr w:type="spellStart"/>
      <w:r w:rsidRPr="00611CB2">
        <w:rPr>
          <w:color w:val="000000"/>
          <w:sz w:val="24"/>
        </w:rPr>
        <w:t/>
      </w:r>
      <w:proofErr w:type="spellEnd"/>
      <w:r w:rsidRPr="00611CB2">
        <w:rPr>
          <w:color w:val="000000"/>
          <w:sz w:val="24"/>
        </w:rPr>
        <w:t/>
      </w:r>
      <w:proofErr w:type="gramEnd"/>
      <w:r w:rsidRPr="00611CB2">
        <w:rPr>
          <w:color w:val="000000"/>
          <w:sz w:val="24"/>
        </w:rPr>
        <w:t>易方达量化策略精选混合A</w:t>
      </w:r>
    </w:p>
    <w:p w:rsidP="00FC7F43" w:rsidR="00F016DD" w:rsidRDefault="003177CA" w:rsidRPr="0078105B">
      <w:pPr>
        <w:pStyle w:val="20"/>
        <w:spacing w:line="288" w:lineRule="auto"/>
        <w:ind w:firstLine="0" w:firstLineChars="0"/>
        <w:jc w:val="center"/>
        <w:rPr>
          <w:color w:val="000000"/>
        </w:rPr>
      </w:pPr>
      <w:r>
        <w:rPr>
          <w:noProof/>
          <w:color w:val="000000"/>
        </w:rPr>
        <w:lastRenderedPageBreak/>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图片 2" o:spid="_x0000_i1025" style="width:435.75pt;height:258pt;visibility:visible" type="#_x0000_t75">
            <v:imagedata o:title="" r:id="rId10"/>
          </v:shape>
        </w:pict>
      </w:r>
    </w:p>
    <w:p w:rsidP="00526282" w:rsidR="00526282" w:rsidRDefault="00F016DD">
      <w:pPr>
        <w:snapToGrid w:val="0"/>
        <w:spacing w:before="312" w:beforeLines="100" w:line="360" w:lineRule="auto"/>
        <w:rPr>
          <w:rFonts w:eastAsiaTheme="minorEastAsia" w:hAnsiTheme="minorEastAsia"/>
          <w:color w:themeColor="text1" w:val="000000"/>
          <w:sz w:val="24"/>
        </w:rPr>
      </w:pPr>
      <w:r w:rsidRPr="00611CB2">
        <w:rPr>
          <w:color w:val="000000"/>
          <w:sz w:val="24"/>
        </w:rPr>
        <w:t/>
      </w:r>
      <w:proofErr w:type="gramStart"/>
      <w:r w:rsidRPr="00611CB2">
        <w:rPr>
          <w:color w:val="000000"/>
          <w:sz w:val="24"/>
        </w:rPr>
        <w:t/>
      </w:r>
      <w:proofErr w:type="gramEnd"/>
      <w:r w:rsidRPr="00611CB2">
        <w:rPr>
          <w:color w:val="000000"/>
          <w:sz w:val="24"/>
        </w:rPr>
        <w:t>易方达量化策略精选混合C</w:t>
      </w:r>
    </w:p>
    <w:p w:rsidP="00FC7F43" w:rsidR="00F016DD" w:rsidRDefault="003177CA" w:rsidRPr="0078105B">
      <w:pPr>
        <w:pStyle w:val="20"/>
        <w:spacing w:line="288" w:lineRule="auto"/>
        <w:ind w:firstLine="0" w:firstLineChars="0"/>
        <w:jc w:val="center"/>
        <w:rPr>
          <w:color w:val="000000"/>
        </w:rPr>
      </w:pPr>
      <w:r>
        <w:rPr>
          <w:noProof/>
          <w:color w:val="000000"/>
        </w:rPr>
        <w:pict>
          <v:shape id="图片 3" o:spid="_x0000_i1026" style="width:435.75pt;height:258pt;visibility:visible" type="#_x0000_t75">
            <v:imagedata o:title="" r:id="rId11"/>
          </v:shape>
        </w:pict>
      </w:r>
    </w:p>
    <w:p w:rsidP="00DF18FE" w:rsidR="00F016DD" w:rsidRDefault="00F016DD" w:rsidRPr="00DF18FE">
      <w:pPr>
        <w:spacing w:line="360" w:lineRule="auto"/>
        <w:ind w:firstLine="480" w:firstLineChars="200"/>
        <w:rPr>
          <w:color w:val="000000"/>
          <w:sz w:val="24"/>
        </w:rPr>
      </w:pPr>
      <w:r w:rsidRPr="00DF18FE">
        <w:rPr>
          <w:color w:val="000000"/>
          <w:sz w:val="24"/>
        </w:rPr>
        <w:lastRenderedPageBreak/>
        <w:t/>
      </w:r>
      <w:proofErr w:type="gramStart"/>
      <w:r w:rsidRPr="00DF18FE">
        <w:rPr>
          <w:color w:val="000000"/>
          <w:sz w:val="24"/>
        </w:rPr>
        <w:t/>
      </w:r>
      <w:proofErr w:type="gramEnd"/>
      <w:r w:rsidRPr="00DF18FE">
        <w:rPr>
          <w:color w:val="000000"/>
          <w:sz w:val="24"/>
        </w:rPr>
        <w:t>注：自基金合同生效至报告期末，A类基金份额净值增长率为56.00%，C类基金份额净值增长率为53.90%，同期业绩比较基准收益率为16.33%。</w:t>
      </w:r>
    </w:p>
    <w:p w:rsidP="006C5BC9" w:rsidR="00F016DD" w:rsidRDefault="00F016DD" w:rsidRPr="00FA472B">
      <w:pPr>
        <w:tabs>
          <w:tab w:pos="1800" w:val="left"/>
        </w:tabs>
        <w:spacing w:line="288" w:lineRule="auto"/>
        <w:rPr>
          <w:color w:val="000000"/>
          <w:sz w:val="24"/>
        </w:rPr>
      </w:pP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hAnsi="宋体"/>
          <w:color w:val="000000"/>
          <w:kern w:val="0"/>
          <w:sz w:val="24"/>
          <w:szCs w:val="24"/>
        </w:rPr>
        <w:t xml:space="preserve">4  </w:t>
      </w:r>
      <w:r w:rsidRPr="0078105B">
        <w:rPr>
          <w:rFonts w:ascii="宋体" w:cs="Arial" w:hAnsi="宋体" w:hint="eastAsia"/>
          <w:color w:val="000000"/>
          <w:kern w:val="0"/>
          <w:sz w:val="24"/>
          <w:szCs w:val="24"/>
        </w:rPr>
        <w:t>管理人报告</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4.1 </w:t>
      </w:r>
      <w:r w:rsidRPr="0078105B">
        <w:rPr>
          <w:rFonts w:ascii="宋体" w:cs="Arial" w:hAnsi="宋体" w:hint="eastAsia"/>
          <w:b/>
          <w:color w:val="000000"/>
          <w:kern w:val="0"/>
          <w:sz w:val="24"/>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7"/>
        <w:gridCol w:w="2835"/>
        <w:gridCol w:w="851"/>
        <w:gridCol w:w="850"/>
        <w:gridCol w:w="851"/>
        <w:gridCol w:w="2977"/>
      </w:tblGrid>
      <w:tr w:rsidR="00F016DD" w:rsidRPr="0078105B" w:rsidTr="00B54884">
        <w:trPr>
          <w:cantSplit/>
        </w:trPr>
        <w:tc>
          <w:tcPr>
            <w:tcW w:type="dxa" w:w="567"/>
            <w:vMerge w:val="restart"/>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type="dxa" w:w="2835"/>
            <w:vMerge w:val="restart"/>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type="dxa" w:w="1701"/>
            <w:gridSpan w:val="2"/>
          </w:tcPr>
          <w:p w:rsidP="0058694E" w:rsidR="00F016DD" w:rsidRDefault="00F016DD" w:rsidRPr="00FA472B">
            <w:pPr>
              <w:autoSpaceDE w:val="0"/>
              <w:autoSpaceDN w:val="0"/>
              <w:adjustRightInd w:val="0"/>
              <w:spacing w:before="29" w:line="288" w:lineRule="auto"/>
              <w:ind w:left="15"/>
              <w:jc w:val="center"/>
              <w:rPr>
                <w:color w:val="000000"/>
                <w:kern w:val="0"/>
                <w:sz w:val="24"/>
              </w:rPr>
            </w:pPr>
            <w:proofErr w:type="gramStart"/>
            <w:r w:rsidRPr="00FA472B">
              <w:rPr>
                <w:color w:val="000000"/>
                <w:kern w:val="0"/>
                <w:sz w:val="24"/>
              </w:rPr>
              <w:t>任本基金</w:t>
            </w:r>
            <w:proofErr w:type="gramEnd"/>
            <w:r w:rsidRPr="00FA472B">
              <w:rPr>
                <w:color w:val="000000"/>
                <w:kern w:val="0"/>
                <w:sz w:val="24"/>
              </w:rPr>
              <w:t>的基金经理期限</w:t>
            </w:r>
          </w:p>
        </w:tc>
        <w:tc>
          <w:tcPr>
            <w:tcW w:type="dxa" w:w="851"/>
            <w:vMerge w:val="restart"/>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type="dxa" w:w="2977"/>
            <w:vMerge w:val="restart"/>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F016DD" w:rsidRPr="0078105B" w:rsidTr="00B54884">
        <w:trPr>
          <w:cantSplit/>
        </w:trPr>
        <w:tc>
          <w:tcPr>
            <w:tcW w:type="dxa" w:w="567"/>
            <w:vMerge/>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p>
        </w:tc>
        <w:tc>
          <w:tcPr>
            <w:tcW w:type="dxa" w:w="2835"/>
            <w:vMerge/>
          </w:tcPr>
          <w:p w:rsidP="0058694E" w:rsidR="00F016DD" w:rsidRDefault="00F016DD" w:rsidRPr="00FA472B">
            <w:pPr>
              <w:autoSpaceDE w:val="0"/>
              <w:autoSpaceDN w:val="0"/>
              <w:adjustRightInd w:val="0"/>
              <w:spacing w:before="29" w:line="288" w:lineRule="auto"/>
              <w:ind w:left="15"/>
              <w:jc w:val="center"/>
              <w:rPr>
                <w:color w:val="000000"/>
                <w:kern w:val="0"/>
                <w:sz w:val="24"/>
              </w:rPr>
            </w:pPr>
          </w:p>
        </w:tc>
        <w:tc>
          <w:tcPr>
            <w:tcW w:type="dxa" w:w="851"/>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type="dxa" w:w="850"/>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type="dxa" w:w="851"/>
            <w:vMerge/>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p>
        </w:tc>
        <w:tc>
          <w:tcPr>
            <w:tcW w:type="dxa" w:w="2977"/>
            <w:vMerge/>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官泽帆</w:t>
            </w:r>
          </w:p>
        </w:tc>
        <w:tc>
          <w:tcPr>
            <w:vAlign w:val="center"/>
          </w:tcPr>
          <w:p>
            <w:pPr>
              <w:jc w:val="left"/>
            </w:pPr>
            <w:r>
              <w:rPr>
                <w:color w:val="000000"/>
                <w:sz w:val="24"/>
              </w:rPr>
              <w:t>本基金的基金经理、易方达沪深300量化增强证券投资基金的基金经理、易方达易百智能量化策略灵活配置混合型证券投资基金的基金经理</w:t>
            </w:r>
          </w:p>
        </w:tc>
        <w:tc>
          <w:tcPr>
            <w:vAlign w:val="center"/>
          </w:tcPr>
          <w:p>
            <w:pPr>
              <w:jc w:val="center"/>
            </w:pPr>
            <w:r>
              <w:rPr>
                <w:color w:val="000000"/>
                <w:sz w:val="24"/>
              </w:rPr>
              <w:t>2017-12-19</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硕士研究生，具有基金从业资格。曾任招商基金管理有限公司投资开发工程师，摩根士丹利华鑫基金管理有限公司数量化研究员、基金经理助理，易方达基金管理有限公司指数与量化投资部量化研究员、投资经理、基金经理助理。</w:t>
            </w:r>
          </w:p>
        </w:tc>
      </w:tr>
      <w:tr>
        <w:tc>
          <w:tcPr>
            <w:vAlign w:val="center"/>
          </w:tcPr>
          <w:p>
            <w:pPr>
              <w:jc w:val="center"/>
            </w:pPr>
            <w:r>
              <w:rPr>
                <w:color w:val="000000"/>
                <w:sz w:val="24"/>
              </w:rPr>
              <w:t>HUANG JIANSHENG（黄健生）</w:t>
            </w:r>
          </w:p>
        </w:tc>
        <w:tc>
          <w:tcPr>
            <w:vAlign w:val="center"/>
          </w:tcPr>
          <w:p>
            <w:pPr>
              <w:jc w:val="left"/>
            </w:pPr>
            <w:r>
              <w:rPr>
                <w:color w:val="000000"/>
                <w:sz w:val="24"/>
              </w:rPr>
              <w:t>本基金的基金经理、易方达沪深300量化增强证券投资基金的基金经理、量化投资部总经理、量化投资决策委员会委员</w:t>
            </w:r>
          </w:p>
        </w:tc>
        <w:tc>
          <w:tcPr>
            <w:vAlign w:val="center"/>
          </w:tcPr>
          <w:p>
            <w:pPr>
              <w:jc w:val="center"/>
            </w:pPr>
            <w:r>
              <w:rPr>
                <w:color w:val="000000"/>
                <w:sz w:val="24"/>
              </w:rPr>
              <w:t>2020-03-12</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both"/>
            </w:pPr>
            <w:r>
              <w:rPr>
                <w:color w:val="000000"/>
                <w:sz w:val="24"/>
              </w:rPr>
              <w:t>加拿大籍，硕士研究生，具有基金从业资格。曾任美国Sun Microsystems资深软件工程师，美国GMN Capital/伦敦GSA Capital量化投资研究员，美国巴克莱全球投资者（Barclays Global Investors）量化研究员，加拿大阿尔伯塔投资管理公司副基金经理，华泰柏瑞基金管理有限公司量化投资部门总监、投资经理。</w:t>
            </w:r>
          </w:p>
        </w:tc>
      </w:tr>
    </w:tbl>
    <w:p>
      <w:pPr>
        <w:tabs>
          <w:tab w:pos="426" w:val="left"/>
        </w:tabs>
        <w:spacing w:line="360" w:lineRule="auto"/>
        <w:ind w:firstLine="480" w:firstLineChars="200"/>
        <w:rPr>
          <w:kern w:val="0"/>
        </w:rPr>
      </w:pPr>
      <w:r>
        <w:rPr>
          <w:color w:val="000000"/>
          <w:sz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D86D97" w:rsidR="00D86D97" w:rsidRDefault="00F016DD" w:rsidRPr="00AF5C11">
      <w:pPr>
        <w:tabs>
          <w:tab w:pos="426" w:val="left"/>
        </w:tabs>
        <w:spacing w:line="360" w:lineRule="auto"/>
        <w:ind w:firstLine="480" w:firstLineChars="200"/>
        <w:rPr>
          <w:kern w:val="0"/>
        </w:rPr>
      </w:pPr>
      <w:r w:rsidRPr="00DF18FE">
        <w:rPr>
          <w:color w:val="000000"/>
          <w:sz w:val="24"/>
        </w:rPr>
        <w:t/>
      </w:r>
      <w:proofErr w:type="gramStart"/>
      <w:r w:rsidRPr="00DF18FE">
        <w:rPr>
          <w:color w:val="000000"/>
          <w:sz w:val="24"/>
        </w:rPr>
        <w:t/>
      </w:r>
      <w:proofErr w:type="gramEnd"/>
      <w:r w:rsidRPr="00DF18FE">
        <w:rPr>
          <w:color w:val="000000"/>
          <w:sz w:val="24"/>
        </w:rPr>
        <w:t>2.证券从业的含义遵从《证券业从业人员资格管理办法》的相关规定。</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4.2</w:t>
      </w:r>
      <w:r>
        <w:rPr>
          <w:rFonts w:cs="Arial" w:hint="eastAsia"/>
          <w:b/>
          <w:color w:val="000000"/>
          <w:kern w:val="0"/>
          <w:sz w:val="24"/>
        </w:rPr>
        <w:t>管理人对</w:t>
      </w:r>
      <w:r w:rsidRPr="00BB04BF">
        <w:rPr>
          <w:rFonts w:cs="Arial" w:hint="eastAsia"/>
          <w:b/>
          <w:color w:val="000000"/>
          <w:kern w:val="0"/>
          <w:sz w:val="24"/>
        </w:rPr>
        <w:t>报告期内本基金运作遵规守信情况</w:t>
      </w:r>
      <w:r>
        <w:rPr>
          <w:rFonts w:cs="Arial" w:hint="eastAsia"/>
          <w:b/>
          <w:color w:val="000000"/>
          <w:kern w:val="0"/>
          <w:sz w:val="24"/>
        </w:rPr>
        <w:t>的</w:t>
      </w:r>
      <w:r w:rsidRPr="00BB04BF">
        <w:rPr>
          <w:rFonts w:cs="Arial" w:hint="eastAsia"/>
          <w:b/>
          <w:color w:val="000000"/>
          <w:kern w:val="0"/>
          <w:sz w:val="24"/>
        </w:rPr>
        <w:t>说明</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4.3 </w:t>
      </w:r>
      <w:r w:rsidRPr="0078105B">
        <w:rPr>
          <w:rFonts w:ascii="宋体" w:cs="Arial" w:hAnsi="宋体" w:hint="eastAsia"/>
          <w:b/>
          <w:color w:val="000000"/>
          <w:kern w:val="0"/>
          <w:sz w:val="24"/>
        </w:rPr>
        <w:t>公平交易专项说明</w:t>
      </w:r>
    </w:p>
    <w:p w:rsidP="00FC13C8" w:rsidR="00F016DD" w:rsidRDefault="00F016DD" w:rsidRPr="00FA472B">
      <w:pPr>
        <w:spacing w:line="360" w:lineRule="auto"/>
        <w:rPr>
          <w:rFonts w:ascii="宋体" w:hAnsi="宋体"/>
          <w:sz w:val="24"/>
        </w:rPr>
      </w:pPr>
      <w:r w:rsidRPr="00FA472B">
        <w:rPr>
          <w:rFonts w:ascii="宋体" w:hAnsi="宋体"/>
          <w:sz w:val="24"/>
        </w:rPr>
        <w:t xml:space="preserve">4.3.1 </w:t>
      </w:r>
      <w:r w:rsidRPr="00FA472B">
        <w:rPr>
          <w:rFonts w:ascii="宋体" w:hAnsi="宋体" w:hint="eastAsia"/>
          <w:sz w:val="24"/>
        </w:rPr>
        <w:t>公平交易制度的执行情况</w:t>
      </w:r>
    </w:p>
    <w:p w:rsidP="00DF18FE" w:rsidR="00F016DD" w:rsidRDefault="00F016DD" w:rsidRPr="00EA6415">
      <w:pPr>
        <w:spacing w:line="360" w:lineRule="auto"/>
        <w:ind w:firstLine="480" w:firstLineChars="200"/>
        <w:rPr>
          <w:color w:val="00000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FC13C8" w:rsidR="00F016DD" w:rsidRDefault="00F016DD" w:rsidRPr="00FA472B">
      <w:pPr>
        <w:spacing w:line="360" w:lineRule="auto"/>
        <w:rPr>
          <w:rFonts w:ascii="宋体" w:hAnsi="宋体"/>
          <w:sz w:val="24"/>
        </w:rPr>
      </w:pPr>
      <w:r w:rsidRPr="00FA472B">
        <w:rPr>
          <w:rFonts w:ascii="宋体" w:hAnsi="宋体"/>
          <w:sz w:val="24"/>
        </w:rPr>
        <w:t xml:space="preserve">4.3.2 </w:t>
      </w:r>
      <w:r w:rsidRPr="00FA472B">
        <w:rPr>
          <w:rFonts w:ascii="宋体" w:hAnsi="宋体" w:hint="eastAsia"/>
          <w:sz w:val="24"/>
        </w:rPr>
        <w:t>异常交易行为的专项说明</w:t>
      </w:r>
    </w:p>
    <w:p>
      <w:pPr>
        <w:spacing w:line="360" w:lineRule="auto"/>
        <w:ind w:firstLine="480" w:firstLineChars="200"/>
        <w:rPr>
          <w:rFonts w:ascii="宋体" w:cs="Arial"/>
          <w:b/>
          <w:color w:val="000000"/>
          <w:kern w:val="0"/>
          <w:sz w:val="24"/>
        </w:rPr>
      </w:pPr>
      <w:r>
        <w:rPr>
          <w:color w:val="000000"/>
          <w:sz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1A4B71" w:rsidR="00F016DD" w:rsidRDefault="00F016DD" w:rsidRPr="0078105B">
      <w:pPr>
        <w:spacing w:line="360" w:lineRule="auto"/>
        <w:ind w:firstLine="480" w:firstLineChars="200"/>
        <w:rPr>
          <w:rFonts w:ascii="宋体" w:cs="Arial"/>
          <w:b/>
          <w:color w:val="000000"/>
          <w:kern w:val="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本报告期内，未发现本基金有可能导致不公平交易和利益输送的异常交易。</w:t>
      </w:r>
      <w:r w:rsidR="001A4B71" w:rsidRPr="0078105B">
        <w:rPr>
          <w:rFonts w:ascii="宋体" w:cs="Arial"/>
          <w:b/>
          <w:color w:val="000000"/>
          <w:kern w:val="0"/>
          <w:sz w:val="24"/>
        </w:rPr>
        <w:t xml:space="preserve"> </w:t>
      </w:r>
    </w:p>
    <w:p w:rsidP="001A4B71" w:rsidR="00F016DD" w:rsidRDefault="00F016DD" w:rsidRPr="001A4B71">
      <w:pPr>
        <w:autoSpaceDE w:val="0"/>
        <w:autoSpaceDN w:val="0"/>
        <w:adjustRightInd w:val="0"/>
        <w:spacing w:line="360" w:lineRule="auto"/>
        <w:jc w:val="left"/>
        <w:rPr>
          <w:rFonts w:ascii="宋体" w:cs="Arial" w:hAnsi="宋体"/>
          <w:b/>
          <w:color w:val="000000"/>
          <w:kern w:val="0"/>
          <w:sz w:val="24"/>
        </w:rPr>
      </w:pPr>
      <w:r w:rsidRPr="001A4B71">
        <w:rPr>
          <w:rFonts w:ascii="宋体" w:cs="Arial" w:hAnsi="宋体"/>
          <w:b/>
          <w:color w:val="000000"/>
          <w:kern w:val="0"/>
          <w:sz w:val="24"/>
        </w:rPr>
        <w:t>4.4</w:t>
      </w:r>
      <w:r w:rsidR="001A4B71">
        <w:rPr>
          <w:rFonts w:ascii="宋体" w:cs="Arial" w:hAnsi="宋体" w:hint="eastAsia"/>
          <w:b/>
          <w:color w:val="000000"/>
          <w:kern w:val="0"/>
          <w:sz w:val="24"/>
        </w:rPr>
        <w:t xml:space="preserve"> </w:t>
      </w:r>
      <w:r w:rsidRPr="001A4B71">
        <w:rPr>
          <w:rFonts w:ascii="宋体" w:cs="Arial" w:hAnsi="宋体" w:hint="eastAsia"/>
          <w:b/>
          <w:color w:val="000000"/>
          <w:kern w:val="0"/>
          <w:sz w:val="24"/>
        </w:rPr>
        <w:t>报告期内基金投资策略和运作分析</w:t>
      </w:r>
    </w:p>
    <w:p>
      <w:pPr>
        <w:spacing w:line="360" w:lineRule="auto"/>
        <w:ind w:firstLine="480" w:firstLineChars="200"/>
        <w:rPr>
          <w:color w:val="000000"/>
          <w:sz w:val="24"/>
        </w:rPr>
      </w:pPr>
      <w:r>
        <w:rPr>
          <w:color w:val="000000"/>
          <w:sz w:val="24"/>
        </w:rPr>
        <w:t>回顾本报告期，国内疫情形势持续稳定向好，国内供需两端的复苏仍在继续：8月，工业增加值同比增长5.6%，社会消费品零售额同比增速今年以来首度翻正至0.5%，全国规模以上工业企业实现利润也从年初的负增长转为正增长19.1%，与此同时通胀压力相对较小，国内宏观经济进一步改善的空间依然存在。欧美各主要国家的疫情在报告期内都有不同程度的反弹，但对各国经济的边际影响在逐步降低。然而，美国在报告期内对中国高科技企业打击力度加强，中美摩擦升级风险有所加大，给A股带来一定的不确定性。流动性方面，本报告期内随着国内经济形势的企稳，央行货币宽松的力度有所减弱，短端利率较二季度呈现一定的上行趋势；而海外货币宽松政策延续，9月美联储最新会议决议将继续维持前期宽松的货币政策，目前中国与美国息差、增长差等因素使得报告期内人民币相对美元较为强势，升值幅度明显。</w:t>
      </w:r>
    </w:p>
    <w:p>
      <w:pPr>
        <w:spacing w:line="360" w:lineRule="auto"/>
        <w:ind w:firstLine="480" w:firstLineChars="200"/>
        <w:rPr>
          <w:color w:val="000000"/>
          <w:sz w:val="24"/>
        </w:rPr>
      </w:pPr>
      <w:r>
        <w:rPr>
          <w:color w:val="000000"/>
          <w:sz w:val="24"/>
        </w:rPr>
        <w:t>三季度上证指数、沪深300、中证500和创业板指分别上涨7.82%、10.17%、5.59%和5.60%。风格和行业的表现相较今年上半年的趋势有一定的反转：上半年表现突出的医药以及TMT等行业则受中美贸易摩擦影响，叠加前期较大幅的上涨带来的资金获利了结的压力，三季度的表现相对落后；而处于相对估值低位、存在预期差的周期及部分中游制造行业，以及部分业绩维持景气趋势的行业如军工、食品饮料等则表现较为强势；风格上体现为过去一年持续回撤的防御型因子如估值、低波、红利等在三季度有不同程度的反弹，而代表上半年市场主力风格的成长、盈利质量和动量等因子则遭遇了一定的回撤。在疫情的负面影响逐渐消化完毕之时，7月以来市场曾迎来短期的快速拉升，成交额也快速放大。但随着后续外围风险的冲击，市场逐渐回归理性，截至9月底市场整体日成交额已回复至今年5月底的水平。</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报告期内，本基金在行业方面顺应市场风格趋势均衡配置，在选股方面依托量化选股模型，立足长期投资逻辑，优选经营稳健、盈利质量高的个股。本基金将继续坚持采用基本面量化模型，以长期稳健收益为目标优化策略模型，力争为投资人创造优良的投资回报。</w:t>
      </w:r>
    </w:p>
    <w:p w:rsidP="001A4B71" w:rsidR="00F016DD" w:rsidRDefault="00F016DD" w:rsidRPr="001A4B71">
      <w:pPr>
        <w:autoSpaceDE w:val="0"/>
        <w:autoSpaceDN w:val="0"/>
        <w:adjustRightInd w:val="0"/>
        <w:spacing w:line="360" w:lineRule="auto"/>
        <w:jc w:val="left"/>
        <w:rPr>
          <w:rFonts w:ascii="宋体" w:cs="Arial" w:hAnsi="宋体"/>
          <w:b/>
          <w:color w:val="000000"/>
          <w:kern w:val="0"/>
          <w:sz w:val="24"/>
        </w:rPr>
      </w:pPr>
      <w:r w:rsidRPr="001A4B71">
        <w:rPr>
          <w:rFonts w:ascii="宋体" w:cs="Arial" w:hAnsi="宋体"/>
          <w:b/>
          <w:color w:val="000000"/>
          <w:kern w:val="0"/>
          <w:sz w:val="24"/>
        </w:rPr>
        <w:t>4.</w:t>
      </w:r>
      <w:r w:rsidR="001A4B71">
        <w:rPr>
          <w:rFonts w:ascii="宋体" w:cs="Arial" w:hAnsi="宋体"/>
          <w:b/>
          <w:color w:val="000000"/>
          <w:kern w:val="0"/>
          <w:sz w:val="24"/>
        </w:rPr>
        <w:t>5</w:t>
      </w:r>
      <w:r w:rsidR="001A4B71">
        <w:rPr>
          <w:rFonts w:ascii="宋体" w:cs="Arial" w:hAnsi="宋体" w:hint="eastAsia"/>
          <w:b/>
          <w:color w:val="000000"/>
          <w:kern w:val="0"/>
          <w:sz w:val="24"/>
        </w:rPr>
        <w:t xml:space="preserve"> </w:t>
      </w:r>
      <w:r w:rsidRPr="001A4B71">
        <w:rPr>
          <w:rFonts w:ascii="宋体" w:cs="Arial" w:hAnsi="宋体" w:hint="eastAsia"/>
          <w:b/>
          <w:color w:val="000000"/>
          <w:kern w:val="0"/>
          <w:sz w:val="24"/>
        </w:rPr>
        <w:t>报告期内基金的业绩表现</w:t>
      </w:r>
    </w:p>
    <w:p w:rsidP="001A4B71" w:rsidR="00F016DD" w:rsidRDefault="00F016DD" w:rsidRPr="00DF18FE">
      <w:pPr>
        <w:spacing w:line="360" w:lineRule="auto"/>
        <w:ind w:firstLine="480" w:firstLineChars="200"/>
        <w:rPr>
          <w:color w:val="00000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截至报告期末，本基金A类基金份额净值为1.560元，本报告期份额净值增长率为14.62%，同期业绩比较基准收益率为6.35%；C类基金份额净值为1.539元，本报告期份额净值增长率为14.51%，同期业绩比较基准收益率为6.35%，各项指标均在合同规定的目标控制范围之内。</w:t>
      </w: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lastRenderedPageBreak/>
        <w:t>§</w:t>
      </w:r>
      <w:r w:rsidRPr="0078105B">
        <w:rPr>
          <w:rFonts w:ascii="宋体" w:cs="Arial" w:hAnsi="宋体"/>
          <w:color w:val="000000"/>
          <w:kern w:val="0"/>
          <w:sz w:val="24"/>
          <w:szCs w:val="24"/>
        </w:rPr>
        <w:t xml:space="preserve">5  </w:t>
      </w:r>
      <w:r w:rsidRPr="0078105B">
        <w:rPr>
          <w:rFonts w:ascii="宋体" w:cs="Arial" w:hAnsi="宋体" w:hint="eastAsia"/>
          <w:color w:val="000000"/>
          <w:kern w:val="0"/>
          <w:sz w:val="24"/>
          <w:szCs w:val="24"/>
        </w:rPr>
        <w:t>投资组合报告</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5.1 </w:t>
      </w:r>
      <w:r w:rsidRPr="0078105B">
        <w:rPr>
          <w:rFonts w:ascii="宋体" w:cs="Arial" w:hAnsi="宋体" w:hint="eastAsia"/>
          <w:b/>
          <w:color w:val="000000"/>
          <w:kern w:val="0"/>
          <w:sz w:val="24"/>
        </w:rPr>
        <w:t>报告期末基金资产组合情况</w:t>
      </w:r>
    </w:p>
    <w:tbl>
      <w:tblPr>
        <w:tblW w:type="dxa" w:w="8897"/>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720"/>
        <w:gridCol w:w="3357"/>
        <w:gridCol w:w="2977"/>
        <w:gridCol w:w="1843"/>
      </w:tblGrid>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序号</w:t>
            </w:r>
          </w:p>
        </w:tc>
        <w:tc>
          <w:tcPr>
            <w:tcW w:type="dxa" w:w="3357"/>
            <w:vAlign w:val="center"/>
          </w:tcPr>
          <w:p w:rsidP="00F4518C" w:rsidR="00F016DD" w:rsidRDefault="00F016DD" w:rsidRPr="00FA472B">
            <w:pPr>
              <w:spacing w:before="29" w:line="360" w:lineRule="auto"/>
              <w:ind w:left="17"/>
              <w:jc w:val="center"/>
              <w:rPr>
                <w:color w:val="000000"/>
                <w:sz w:val="24"/>
              </w:rPr>
            </w:pPr>
            <w:r w:rsidRPr="00FA472B">
              <w:rPr>
                <w:color w:val="000000"/>
                <w:sz w:val="24"/>
              </w:rPr>
              <w:t>项目</w:t>
            </w:r>
          </w:p>
        </w:tc>
        <w:tc>
          <w:tcPr>
            <w:tcW w:type="dxa" w:w="2977"/>
            <w:vAlign w:val="center"/>
          </w:tcPr>
          <w:p w:rsidP="00F4518C" w:rsidR="00F016DD" w:rsidRDefault="00F016DD" w:rsidRPr="00FA472B">
            <w:pPr>
              <w:spacing w:before="29" w:line="360" w:lineRule="auto"/>
              <w:ind w:left="17"/>
              <w:jc w:val="center"/>
              <w:rPr>
                <w:color w:val="000000"/>
                <w:sz w:val="24"/>
              </w:rPr>
            </w:pPr>
            <w:r w:rsidRPr="00FA472B">
              <w:rPr>
                <w:color w:val="000000"/>
                <w:sz w:val="24"/>
              </w:rPr>
              <w:t>金额</w:t>
            </w:r>
            <w:r w:rsidRPr="00FA472B">
              <w:rPr>
                <w:color w:val="000000"/>
                <w:sz w:val="24"/>
              </w:rPr>
              <w:t>(</w:t>
            </w:r>
            <w:r w:rsidRPr="00FA472B">
              <w:rPr>
                <w:color w:val="000000"/>
                <w:sz w:val="24"/>
              </w:rPr>
              <w:t>元</w:t>
            </w:r>
            <w:r w:rsidRPr="00FA472B">
              <w:rPr>
                <w:color w:val="000000"/>
                <w:sz w:val="24"/>
              </w:rPr>
              <w:t>)</w:t>
            </w:r>
          </w:p>
        </w:tc>
        <w:tc>
          <w:tcPr>
            <w:tcW w:type="dxa" w:w="1843"/>
            <w:vAlign w:val="center"/>
          </w:tcPr>
          <w:p w:rsidP="00F4518C" w:rsidR="00F016DD" w:rsidRDefault="00F016DD" w:rsidRPr="00FA472B">
            <w:pPr>
              <w:spacing w:before="29" w:line="360" w:lineRule="auto"/>
              <w:ind w:left="17"/>
              <w:jc w:val="center"/>
              <w:rPr>
                <w:color w:val="000000"/>
                <w:sz w:val="24"/>
              </w:rPr>
            </w:pPr>
            <w:r w:rsidRPr="00FA472B">
              <w:rPr>
                <w:color w:val="000000"/>
                <w:sz w:val="24"/>
              </w:rPr>
              <w:t>占基金总资产的比例</w:t>
            </w:r>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1</w:t>
            </w: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权益投资</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208,078,847.97</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85.12</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其中：股票</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208,078,847.97</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85.12</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2</w:t>
            </w: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固定收益投资</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其中：债券</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p>
        </w:tc>
        <w:tc>
          <w:tcPr>
            <w:tcW w:type="dxa" w:w="3357"/>
            <w:vAlign w:val="center"/>
          </w:tcPr>
          <w:p w:rsidP="00F4518C" w:rsidR="00F016DD" w:rsidRDefault="00F016DD" w:rsidRPr="00FA472B">
            <w:pPr>
              <w:autoSpaceDE w:val="0"/>
              <w:autoSpaceDN w:val="0"/>
              <w:adjustRightInd w:val="0"/>
              <w:spacing w:before="29" w:line="360" w:lineRule="auto"/>
              <w:ind w:left="17"/>
              <w:jc w:val="left"/>
              <w:rPr>
                <w:color w:val="000000"/>
                <w:sz w:val="24"/>
              </w:rPr>
            </w:pPr>
            <w:r w:rsidRPr="00FA472B">
              <w:rPr>
                <w:color w:val="000000"/>
                <w:sz w:val="24"/>
              </w:rPr>
              <w:t>资产支持证券</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r w:rsidRPr="00FA472B">
              <w:rPr>
                <w:color w:val="000000"/>
                <w:sz w:val="24"/>
              </w:rPr>
              <w:lastRenderedPageBreak/>
              <w:t/>
            </w:r>
            <w:proofErr w:type="spellEnd"/>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lastRenderedPageBreak/>
              <w:t/>
            </w:r>
            <w:r w:rsidRPr="00FA472B">
              <w:rPr>
                <w:color w:val="000000"/>
                <w:sz w:val="24"/>
              </w:rPr>
              <w:lastRenderedPageBreak/>
              <w:t>-</w:t>
            </w:r>
          </w:p>
        </w:tc>
      </w:tr>
      <w:tr w:rsidR="00F016DD" w:rsidRPr="00264E55" w:rsidTr="00F4518C">
        <w:trPr>
          <w:jc w:val="center"/>
        </w:trPr>
        <w:tc>
          <w:tcPr>
            <w:tcW w:type="dxa" w:w="720"/>
          </w:tcPr>
          <w:p w:rsidP="00F4518C" w:rsidR="00F016DD" w:rsidRDefault="00F016DD" w:rsidRPr="00FA472B">
            <w:pPr>
              <w:spacing w:before="29" w:line="360" w:lineRule="auto"/>
              <w:ind w:left="17"/>
              <w:jc w:val="center"/>
              <w:rPr>
                <w:color w:val="000000"/>
                <w:sz w:val="24"/>
              </w:rPr>
            </w:pPr>
            <w:r w:rsidRPr="00FA472B">
              <w:rPr>
                <w:color w:val="000000"/>
                <w:sz w:val="24"/>
              </w:rPr>
              <w:lastRenderedPageBreak/>
              <w:t>3</w:t>
            </w:r>
          </w:p>
        </w:tc>
        <w:tc>
          <w:tcPr>
            <w:tcW w:type="dxa" w:w="3357"/>
          </w:tcPr>
          <w:p w:rsidP="00174038" w:rsidR="00F016DD" w:rsidRDefault="00F016DD" w:rsidRPr="00FA472B">
            <w:pPr>
              <w:spacing w:before="29" w:line="360" w:lineRule="auto"/>
              <w:ind w:left="105" w:leftChars="50"/>
              <w:rPr>
                <w:color w:val="000000"/>
                <w:sz w:val="24"/>
              </w:rPr>
            </w:pPr>
            <w:r w:rsidRPr="00FA472B">
              <w:rPr>
                <w:color w:val="000000"/>
                <w:sz w:val="24"/>
              </w:rPr>
              <w:t>贵金属投资</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4</w:t>
            </w:r>
          </w:p>
        </w:tc>
        <w:tc>
          <w:tcPr>
            <w:tcW w:type="dxa" w:w="3357"/>
            <w:vAlign w:val="center"/>
          </w:tcPr>
          <w:p w:rsidP="00F4518C" w:rsidR="00F016DD" w:rsidRDefault="00F016DD" w:rsidRPr="00FA472B">
            <w:pPr>
              <w:spacing w:before="29" w:line="360" w:lineRule="auto"/>
              <w:ind w:left="17"/>
              <w:jc w:val="left"/>
              <w:rPr>
                <w:color w:val="000000"/>
                <w:sz w:val="24"/>
              </w:rPr>
            </w:pPr>
            <w:r w:rsidRPr="00FA472B">
              <w:rPr>
                <w:color w:val="000000"/>
                <w:sz w:val="24"/>
              </w:rPr>
              <w:t>金融衍生</w:t>
            </w:r>
            <w:proofErr w:type="gramStart"/>
            <w:r w:rsidRPr="00FA472B">
              <w:rPr>
                <w:color w:val="000000"/>
                <w:sz w:val="24"/>
              </w:rPr>
              <w:t>品投资</w:t>
            </w:r>
            <w:proofErr w:type="gramEnd"/>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5</w:t>
            </w: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买入返售金融资产</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其中：买断式回购的买入返售金融资产</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lastRenderedPageBreak/>
              <w:t>6</w:t>
            </w: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银行存款和结算备付金合计</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35,647,974.72</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14.58</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7</w:t>
            </w:r>
          </w:p>
        </w:tc>
        <w:tc>
          <w:tcPr>
            <w:tcW w:type="dxa" w:w="3357"/>
            <w:vAlign w:val="center"/>
          </w:tcPr>
          <w:p w:rsidP="00F4518C" w:rsidR="00F016DD" w:rsidRDefault="00F016DD" w:rsidRPr="00FA472B">
            <w:pPr>
              <w:jc w:val="left"/>
              <w:rPr>
                <w:sz w:val="24"/>
              </w:rPr>
            </w:pPr>
            <w:r w:rsidRPr="00FA472B">
              <w:rPr>
                <w:color w:val="000000"/>
                <w:sz w:val="24"/>
              </w:rPr>
              <w:t>其他资产</w:t>
            </w:r>
          </w:p>
        </w:tc>
        <w:tc>
          <w:tcPr>
            <w:tcW w:type="dxa" w:w="2977"/>
            <w:vAlign w:val="center"/>
          </w:tcPr>
          <w:p w:rsidP="00F4518C" w:rsidR="00F016DD" w:rsidRDefault="00F016DD" w:rsidRPr="00FA472B">
            <w:pPr>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729,986.94</w:t>
            </w:r>
          </w:p>
        </w:tc>
        <w:tc>
          <w:tcPr>
            <w:tcW w:type="dxa" w:w="1843"/>
            <w:vAlign w:val="center"/>
          </w:tcPr>
          <w:p w:rsidP="00F4518C" w:rsidR="00F016DD" w:rsidRDefault="00F016DD" w:rsidRPr="00FA472B">
            <w:pPr>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0.30</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8</w:t>
            </w:r>
          </w:p>
        </w:tc>
        <w:tc>
          <w:tcPr>
            <w:tcW w:type="dxa" w:w="3357"/>
            <w:vAlign w:val="center"/>
          </w:tcPr>
          <w:p w:rsidP="00F4518C" w:rsidR="00F016DD" w:rsidRDefault="00F016DD" w:rsidRPr="00FA472B">
            <w:pPr>
              <w:jc w:val="left"/>
              <w:rPr>
                <w:sz w:val="24"/>
              </w:rPr>
            </w:pPr>
            <w:r w:rsidRPr="00FA472B">
              <w:rPr>
                <w:color w:val="000000"/>
                <w:sz w:val="24"/>
              </w:rPr>
              <w:t>合计</w:t>
            </w:r>
          </w:p>
        </w:tc>
        <w:tc>
          <w:tcPr>
            <w:tcW w:type="dxa" w:w="2977"/>
            <w:vAlign w:val="center"/>
          </w:tcPr>
          <w:p w:rsidP="00F4518C" w:rsidR="00F016DD" w:rsidRDefault="00F016DD" w:rsidRPr="00FA472B">
            <w:pPr>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244,456,809.63</w:t>
            </w:r>
          </w:p>
        </w:tc>
        <w:tc>
          <w:tcPr>
            <w:tcW w:type="dxa" w:w="1843"/>
            <w:vAlign w:val="center"/>
          </w:tcPr>
          <w:p w:rsidP="00F4518C" w:rsidR="00F016DD" w:rsidRDefault="00F016DD" w:rsidRPr="00FA472B">
            <w:pPr>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100.00</w:t>
            </w:r>
          </w:p>
        </w:tc>
      </w:tr>
    </w:tbl>
    <w:p w:rsidP="00B54884" w:rsidR="00874AA3" w:rsidRDefault="00874AA3" w:rsidRPr="00C70969">
      <w:pPr>
        <w:autoSpaceDE w:val="0"/>
        <w:autoSpaceDN w:val="0"/>
        <w:adjustRightInd w:val="0"/>
        <w:spacing w:before="312" w:beforeLines="100" w:line="360" w:lineRule="auto"/>
        <w:jc w:val="left"/>
        <w:rPr>
          <w:rFonts w:eastAsiaTheme="minorEastAsia"/>
          <w:b/>
          <w:color w:themeColor="text1" w:val="000000"/>
          <w:kern w:val="0"/>
          <w:sz w:val="24"/>
        </w:rPr>
      </w:pPr>
      <w:r w:rsidRPr="00C70969">
        <w:rPr>
          <w:rFonts w:eastAsiaTheme="minorEastAsia"/>
          <w:b/>
          <w:color w:themeColor="text1" w:val="000000"/>
          <w:kern w:val="0"/>
          <w:sz w:val="24"/>
        </w:rPr>
        <w:t xml:space="preserve">5.2 </w:t>
      </w:r>
      <w:r w:rsidRPr="00C70969">
        <w:rPr>
          <w:rFonts w:eastAsiaTheme="minorEastAsia"/>
          <w:b/>
          <w:color w:themeColor="text1" w:val="000000"/>
          <w:kern w:val="0"/>
          <w:sz w:val="24"/>
        </w:rPr>
        <w:t>报告期末按行业分类的股票投资组合</w:t>
      </w:r>
    </w:p>
    <w:p w:rsidP="00874AA3" w:rsidR="00874AA3" w:rsidRDefault="00874AA3" w:rsidRPr="00C70969">
      <w:pPr>
        <w:rPr>
          <w:b/>
          <w:sz w:val="24"/>
        </w:rPr>
      </w:pPr>
      <w:r w:rsidRPr="00C70969">
        <w:rPr>
          <w:b/>
          <w:sz w:val="24"/>
        </w:rPr>
        <w:t xml:space="preserve"> </w:t>
      </w:r>
      <w:r w:rsidRPr="00C70969">
        <w:rPr>
          <w:b/>
          <w:color w:themeColor="text1" w:val="000000"/>
          <w:sz w:val="24"/>
        </w:rPr>
        <w:t/>
      </w:r>
      <w:proofErr w:type="spellStart"/>
      <w:r w:rsidRPr="00C70969">
        <w:rPr>
          <w:b/>
          <w:color w:themeColor="text1" w:val="000000"/>
          <w:sz w:val="24"/>
        </w:rPr>
        <w:t/>
      </w:r>
      <w:proofErr w:type="spellEnd"/>
      <w:r w:rsidRPr="00C70969">
        <w:rPr>
          <w:b/>
          <w:color w:themeColor="text1" w:val="000000"/>
          <w:sz w:val="24"/>
        </w:rPr>
        <w:t/>
      </w:r>
      <w:r w:rsidRPr="00C70969">
        <w:rPr>
          <w:rFonts w:eastAsiaTheme="minorEastAsia"/>
          <w:b/>
          <w:color w:themeColor="text1" w:val="000000"/>
          <w:kern w:val="0"/>
          <w:sz w:val="24"/>
        </w:rPr>
        <w:t>5.2.1</w:t>
      </w:r>
      <w:r w:rsidRPr="00C70969">
        <w:rPr>
          <w:rFonts w:eastAsiaTheme="minorEastAsia"/>
          <w:b/>
          <w:color w:themeColor="text1" w:val="000000"/>
          <w:kern w:val="0"/>
          <w:sz w:val="24"/>
        </w:rPr>
        <w:t>报告期末按行业分类的境内股票投资组合</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0" w:firstRow="0" w:lastColumn="0" w:lastRow="0" w:noHBand="0" w:noVBand="0" w:val="0000"/>
      </w:tblPr>
      <w:tblGrid>
        <w:gridCol w:w="540"/>
        <w:gridCol w:w="3691"/>
        <w:gridCol w:w="2852"/>
        <w:gridCol w:w="1648"/>
      </w:tblGrid>
      <w:tr w:rsidR="00874AA3" w:rsidRPr="00C70969" w:rsidTr="0001612A">
        <w:trPr>
          <w:trHeight w:val="390"/>
        </w:trPr>
        <w:tc>
          <w:tcPr>
            <w:tcW w:type="dxa" w:w="540"/>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代码</w:t>
            </w: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行业类别</w:t>
            </w:r>
          </w:p>
        </w:tc>
        <w:tc>
          <w:tcPr>
            <w:tcW w:type="dxa" w:w="2852"/>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公允价值（元）</w:t>
            </w:r>
          </w:p>
        </w:tc>
        <w:tc>
          <w:tcPr>
            <w:tcW w:type="dxa" w:w="1648"/>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占基金资产净值比例（％）</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A</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农、林、牧、渔业</w:t>
            </w:r>
          </w:p>
        </w:tc>
        <w:tc>
          <w:tcPr>
            <w:tcW w:type="dxa" w:w="2852"/>
            <w:vAlign w:val="center"/>
          </w:tcPr>
          <w:p w:rsidP="0071134C" w:rsidR="00874AA3" w:rsidRDefault="00874AA3" w:rsidRPr="00C70969">
            <w:pPr>
              <w:autoSpaceDE w:val="0"/>
              <w:autoSpaceDN w:val="0"/>
              <w:adjustRightInd w:val="0"/>
              <w:spacing w:before="29" w:line="360" w:lineRule="auto"/>
              <w:ind w:left="15"/>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805,120.00</w:t>
            </w:r>
          </w:p>
        </w:tc>
        <w:tc>
          <w:tcPr>
            <w:tcW w:type="dxa" w:w="1648"/>
            <w:tcMar>
              <w:top w:type="dxa" w:w="15"/>
              <w:left w:type="dxa" w:w="15"/>
              <w:bottom w:type="dxa" w:w="0"/>
              <w:right w:type="dxa" w:w="15"/>
            </w:tcMar>
            <w:vAlign w:val="center"/>
          </w:tcPr>
          <w:p w:rsidP="0071134C" w:rsidR="00874AA3" w:rsidRDefault="00874AA3" w:rsidRPr="00C70969">
            <w:pPr>
              <w:autoSpaceDE w:val="0"/>
              <w:autoSpaceDN w:val="0"/>
              <w:adjustRightInd w:val="0"/>
              <w:spacing w:before="29" w:line="360" w:lineRule="auto"/>
              <w:ind w:left="15"/>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0.33</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lastRenderedPageBreak/>
              <w:t>B</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采矿业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860,921.00</w:t>
            </w:r>
          </w:p>
          <w:p w:rsidP="0071134C" w:rsidR="00874AA3" w:rsidRDefault="00874AA3" w:rsidRPr="00C70969">
            <w:pPr>
              <w:jc w:val="right"/>
              <w:rPr>
                <w:rFonts w:eastAsiaTheme="minorEastAsia"/>
                <w:color w:themeColor="text1" w:val="000000"/>
                <w:sz w:val="24"/>
              </w:rPr>
            </w:pP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0.35</w:t>
            </w:r>
          </w:p>
          <w:p w:rsidP="0071134C" w:rsidR="00874AA3" w:rsidRDefault="00874AA3" w:rsidRPr="00C70969">
            <w:pPr>
              <w:jc w:val="right"/>
              <w:rPr>
                <w:rFonts w:eastAsiaTheme="minorEastAsia"/>
                <w:color w:themeColor="text1" w:val="000000"/>
                <w:sz w:val="24"/>
              </w:rPr>
            </w:pP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C</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制造业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154,724,437.12</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63.54</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D</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电力、热力、燃气及水生产和供应业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2,576,150.00</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1.06</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E</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建筑业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13,029.12</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0.01</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F</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批发和零售业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1,781,715.04</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0.73</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G</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交通运输、仓储和邮政业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3,722,315.30</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1.53</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H</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住宿和餐饮业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I</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信息传输、软件和信息技术服务业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14,328,917.75</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5.88</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J</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金融业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4,286,516.20</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1.76</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lastRenderedPageBreak/>
              <w:t>K</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房地产业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662,490.00</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0.27</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L</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租赁和商务服务业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5,838,775.74</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2.40</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M</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科学研究和技术服务业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5,429,690.62</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2.23</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N</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水利、环境和公共设施管理业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76,379.90</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0.03</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O</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居民服务、修理和其他服务业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P</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教育</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531,869.00</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0.22</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Q</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卫生和社会工作</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9,711,450.00</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3.99</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R</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文化、体育和娱乐业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2,274,223.18</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0.93</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S</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综合</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454,848.00</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0.19</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合计</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208,078,847.97</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r w:rsidRPr="00C70969">
              <w:rPr>
                <w:rFonts w:eastAsiaTheme="minorEastAsia"/>
                <w:color w:themeColor="text1" w:val="000000"/>
                <w:sz w:val="24"/>
              </w:rPr>
              <w:lastRenderedPageBreak/>
              <w:t/>
            </w:r>
            <w:proofErr w:type="spellEnd"/>
            <w:r w:rsidRPr="00C70969">
              <w:rPr>
                <w:rFonts w:eastAsiaTheme="minorEastAsia"/>
                <w:color w:themeColor="text1" w:val="000000"/>
                <w:sz w:val="24"/>
              </w:rPr>
              <w:t>85.45</w:t>
            </w:r>
          </w:p>
        </w:tc>
      </w:tr>
    </w:tbl>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5.3 </w:t>
      </w:r>
      <w:r w:rsidRPr="0078105B">
        <w:rPr>
          <w:rFonts w:ascii="宋体" w:cs="Arial" w:hAnsi="宋体" w:hint="eastAsia"/>
          <w:b/>
          <w:color w:val="000000"/>
          <w:kern w:val="0"/>
          <w:sz w:val="24"/>
        </w:rPr>
        <w:t>报告期末按公允价值占基金资产净值比例大小排序的前十名股票投资明细</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17"/>
        <w:gridCol w:w="1276"/>
        <w:gridCol w:w="1417"/>
        <w:gridCol w:w="1560"/>
        <w:gridCol w:w="2268"/>
        <w:gridCol w:w="1559"/>
      </w:tblGrid>
      <w:tr w:rsidR="00F016DD" w:rsidRPr="0078105B" w:rsidTr="00174038">
        <w:tc>
          <w:tcPr>
            <w:tcW w:type="dxa" w:w="817"/>
            <w:vAlign w:val="center"/>
          </w:tcPr>
          <w:p w:rsidP="000871DB" w:rsidR="00F016DD" w:rsidRDefault="00F016DD" w:rsidRPr="00FA472B">
            <w:pPr>
              <w:spacing w:before="29" w:line="360" w:lineRule="auto"/>
              <w:ind w:left="17"/>
              <w:jc w:val="center"/>
              <w:rPr>
                <w:color w:val="000000"/>
                <w:sz w:val="24"/>
              </w:rPr>
            </w:pPr>
            <w:r w:rsidRPr="00FA472B">
              <w:rPr>
                <w:color w:val="000000"/>
                <w:sz w:val="24"/>
              </w:rPr>
              <w:t>序号</w:t>
            </w:r>
          </w:p>
        </w:tc>
        <w:tc>
          <w:tcPr>
            <w:tcW w:type="dxa" w:w="1276"/>
            <w:vAlign w:val="center"/>
          </w:tcPr>
          <w:p w:rsidP="000871DB" w:rsidR="00F016DD" w:rsidRDefault="00F016DD" w:rsidRPr="00FA472B">
            <w:pPr>
              <w:spacing w:before="29" w:line="360" w:lineRule="auto"/>
              <w:ind w:left="17"/>
              <w:jc w:val="center"/>
              <w:rPr>
                <w:color w:val="000000"/>
                <w:sz w:val="24"/>
              </w:rPr>
            </w:pPr>
            <w:r w:rsidRPr="00FA472B">
              <w:rPr>
                <w:color w:val="000000"/>
                <w:sz w:val="24"/>
              </w:rPr>
              <w:t>股票代码</w:t>
            </w:r>
          </w:p>
        </w:tc>
        <w:tc>
          <w:tcPr>
            <w:tcW w:type="dxa" w:w="1417"/>
            <w:vAlign w:val="center"/>
          </w:tcPr>
          <w:p w:rsidP="000871DB" w:rsidR="00F016DD" w:rsidRDefault="00F016DD" w:rsidRPr="00FA472B">
            <w:pPr>
              <w:spacing w:before="29" w:line="360" w:lineRule="auto"/>
              <w:ind w:left="17"/>
              <w:jc w:val="center"/>
              <w:rPr>
                <w:color w:val="000000"/>
                <w:sz w:val="24"/>
              </w:rPr>
            </w:pPr>
            <w:r w:rsidRPr="00FA472B">
              <w:rPr>
                <w:color w:val="000000"/>
                <w:sz w:val="24"/>
              </w:rPr>
              <w:t>股票名称</w:t>
            </w:r>
          </w:p>
        </w:tc>
        <w:tc>
          <w:tcPr>
            <w:tcW w:type="dxa" w:w="1560"/>
            <w:vAlign w:val="center"/>
          </w:tcPr>
          <w:p w:rsidP="000871DB" w:rsidR="00F016DD" w:rsidRDefault="00F016DD" w:rsidRPr="00FA472B">
            <w:pPr>
              <w:spacing w:before="29" w:line="360" w:lineRule="auto"/>
              <w:ind w:left="17"/>
              <w:jc w:val="center"/>
              <w:rPr>
                <w:color w:val="000000"/>
                <w:sz w:val="24"/>
              </w:rPr>
            </w:pPr>
            <w:r w:rsidRPr="00FA472B">
              <w:rPr>
                <w:color w:val="000000"/>
                <w:sz w:val="24"/>
              </w:rPr>
              <w:t>数量</w:t>
            </w:r>
            <w:r w:rsidRPr="00FA472B">
              <w:rPr>
                <w:color w:val="000000"/>
                <w:sz w:val="24"/>
              </w:rPr>
              <w:t>(</w:t>
            </w:r>
            <w:r w:rsidRPr="00FA472B">
              <w:rPr>
                <w:color w:val="000000"/>
                <w:sz w:val="24"/>
              </w:rPr>
              <w:t>股</w:t>
            </w:r>
            <w:r w:rsidRPr="00FA472B">
              <w:rPr>
                <w:color w:val="000000"/>
                <w:sz w:val="24"/>
              </w:rPr>
              <w:t>)</w:t>
            </w:r>
          </w:p>
        </w:tc>
        <w:tc>
          <w:tcPr>
            <w:tcW w:type="dxa" w:w="2268"/>
            <w:vAlign w:val="center"/>
          </w:tcPr>
          <w:p w:rsidP="000871DB" w:rsidR="00F016DD" w:rsidRDefault="00F016DD" w:rsidRPr="00FA472B">
            <w:pPr>
              <w:autoSpaceDE w:val="0"/>
              <w:autoSpaceDN w:val="0"/>
              <w:adjustRightInd w:val="0"/>
              <w:spacing w:before="29" w:line="360" w:lineRule="auto"/>
              <w:ind w:left="17"/>
              <w:jc w:val="center"/>
              <w:rPr>
                <w:color w:val="000000"/>
                <w:sz w:val="24"/>
              </w:rPr>
            </w:pPr>
            <w:r w:rsidRPr="00FA472B">
              <w:rPr>
                <w:color w:val="000000"/>
                <w:sz w:val="24"/>
              </w:rPr>
              <w:t>公允价值</w:t>
            </w:r>
            <w:r w:rsidRPr="00FA472B">
              <w:rPr>
                <w:color w:val="000000"/>
                <w:sz w:val="24"/>
              </w:rPr>
              <w:t>(</w:t>
            </w:r>
            <w:r w:rsidRPr="00FA472B">
              <w:rPr>
                <w:color w:val="000000"/>
                <w:sz w:val="24"/>
              </w:rPr>
              <w:t>元</w:t>
            </w:r>
            <w:r w:rsidRPr="00FA472B">
              <w:rPr>
                <w:color w:val="000000"/>
                <w:sz w:val="24"/>
              </w:rPr>
              <w:t>)</w:t>
            </w:r>
          </w:p>
        </w:tc>
        <w:tc>
          <w:tcPr>
            <w:tcW w:type="dxa" w:w="1559"/>
            <w:vAlign w:val="center"/>
          </w:tcPr>
          <w:p w:rsidP="000871DB" w:rsidR="00F016DD" w:rsidRDefault="00F016DD" w:rsidRPr="00FA472B">
            <w:pPr>
              <w:spacing w:before="29" w:line="360" w:lineRule="auto"/>
              <w:ind w:left="17"/>
              <w:jc w:val="center"/>
              <w:rPr>
                <w:color w:val="000000"/>
                <w:sz w:val="24"/>
              </w:rPr>
            </w:pPr>
            <w:r w:rsidRPr="00FA472B">
              <w:rPr>
                <w:color w:val="000000"/>
                <w:sz w:val="24"/>
              </w:rPr>
              <w:t>占基金资产净值比例</w:t>
            </w:r>
            <w:r w:rsidRPr="00FA472B">
              <w:rPr>
                <w:color w:val="000000"/>
                <w:sz w:val="24"/>
              </w:rPr>
              <w:t>(</w:t>
            </w:r>
            <w:r w:rsidRPr="00FA472B">
              <w:rPr>
                <w:color w:val="000000"/>
                <w:sz w:val="24"/>
              </w:rPr>
              <w:t>％</w:t>
            </w:r>
            <w:r w:rsidRPr="00FA472B">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002475</w:t>
            </w:r>
          </w:p>
        </w:tc>
        <w:tc>
          <w:tcPr>
            <w:vAlign w:val="center"/>
          </w:tcPr>
          <w:p>
            <w:pPr>
              <w:jc w:val="center"/>
            </w:pPr>
            <w:r>
              <w:rPr>
                <w:color w:val="000000"/>
                <w:sz w:val="24"/>
              </w:rPr>
              <w:t>立讯精密</w:t>
            </w:r>
          </w:p>
        </w:tc>
        <w:tc>
          <w:tcPr>
            <w:vAlign w:val="center"/>
          </w:tcPr>
          <w:p>
            <w:pPr>
              <w:jc w:val="right"/>
            </w:pPr>
            <w:r>
              <w:rPr>
                <w:color w:val="000000"/>
                <w:sz w:val="24"/>
              </w:rPr>
              <w:t>226,646</w:t>
            </w:r>
          </w:p>
        </w:tc>
        <w:tc>
          <w:tcPr>
            <w:vAlign w:val="center"/>
          </w:tcPr>
          <w:p>
            <w:pPr>
              <w:jc w:val="right"/>
            </w:pPr>
            <w:r>
              <w:rPr>
                <w:color w:val="000000"/>
                <w:sz w:val="24"/>
              </w:rPr>
              <w:t>12,948,285.98</w:t>
            </w:r>
          </w:p>
        </w:tc>
        <w:tc>
          <w:tcPr>
            <w:vAlign w:val="center"/>
          </w:tcPr>
          <w:p>
            <w:pPr>
              <w:jc w:val="right"/>
            </w:pPr>
            <w:r>
              <w:rPr>
                <w:color w:val="000000"/>
                <w:sz w:val="24"/>
              </w:rPr>
              <w:t>5.32</w:t>
            </w:r>
          </w:p>
        </w:tc>
      </w:tr>
      <w:tr>
        <w:tc>
          <w:tcPr>
            <w:vAlign w:val="center"/>
          </w:tcPr>
          <w:p>
            <w:pPr>
              <w:jc w:val="center"/>
            </w:pPr>
            <w:r>
              <w:rPr>
                <w:color w:val="000000"/>
                <w:sz w:val="24"/>
              </w:rPr>
              <w:t>2</w:t>
            </w:r>
          </w:p>
        </w:tc>
        <w:tc>
          <w:tcPr>
            <w:vAlign w:val="center"/>
          </w:tcPr>
          <w:p>
            <w:pPr>
              <w:jc w:val="center"/>
            </w:pPr>
            <w:r>
              <w:rPr>
                <w:color w:val="000000"/>
                <w:sz w:val="24"/>
              </w:rPr>
              <w:t>600519</w:t>
            </w:r>
          </w:p>
        </w:tc>
        <w:tc>
          <w:tcPr>
            <w:vAlign w:val="center"/>
          </w:tcPr>
          <w:p>
            <w:pPr>
              <w:jc w:val="center"/>
            </w:pPr>
            <w:r>
              <w:rPr>
                <w:color w:val="000000"/>
                <w:sz w:val="24"/>
              </w:rPr>
              <w:t>贵州茅台</w:t>
            </w:r>
          </w:p>
        </w:tc>
        <w:tc>
          <w:tcPr>
            <w:vAlign w:val="center"/>
          </w:tcPr>
          <w:p>
            <w:pPr>
              <w:jc w:val="right"/>
            </w:pPr>
            <w:r>
              <w:rPr>
                <w:color w:val="000000"/>
                <w:sz w:val="24"/>
              </w:rPr>
              <w:t>6,900</w:t>
            </w:r>
          </w:p>
        </w:tc>
        <w:tc>
          <w:tcPr>
            <w:vAlign w:val="center"/>
          </w:tcPr>
          <w:p>
            <w:pPr>
              <w:jc w:val="right"/>
            </w:pPr>
            <w:r>
              <w:rPr>
                <w:color w:val="000000"/>
                <w:sz w:val="24"/>
              </w:rPr>
              <w:t>11,512,650.00</w:t>
            </w:r>
          </w:p>
        </w:tc>
        <w:tc>
          <w:tcPr>
            <w:vAlign w:val="center"/>
          </w:tcPr>
          <w:p>
            <w:pPr>
              <w:jc w:val="right"/>
            </w:pPr>
            <w:r>
              <w:rPr>
                <w:color w:val="000000"/>
                <w:sz w:val="24"/>
              </w:rPr>
              <w:t>4.73</w:t>
            </w:r>
          </w:p>
        </w:tc>
      </w:tr>
      <w:tr>
        <w:tc>
          <w:tcPr>
            <w:vAlign w:val="center"/>
          </w:tcPr>
          <w:p>
            <w:pPr>
              <w:jc w:val="center"/>
            </w:pPr>
            <w:r>
              <w:rPr>
                <w:color w:val="000000"/>
                <w:sz w:val="24"/>
              </w:rPr>
              <w:t>3</w:t>
            </w:r>
          </w:p>
        </w:tc>
        <w:tc>
          <w:tcPr>
            <w:vAlign w:val="center"/>
          </w:tcPr>
          <w:p>
            <w:pPr>
              <w:jc w:val="center"/>
            </w:pPr>
            <w:r>
              <w:rPr>
                <w:color w:val="000000"/>
                <w:sz w:val="24"/>
              </w:rPr>
              <w:t>000858</w:t>
            </w:r>
          </w:p>
        </w:tc>
        <w:tc>
          <w:tcPr>
            <w:vAlign w:val="center"/>
          </w:tcPr>
          <w:p>
            <w:pPr>
              <w:jc w:val="center"/>
            </w:pPr>
            <w:r>
              <w:rPr>
                <w:color w:val="000000"/>
                <w:sz w:val="24"/>
              </w:rPr>
              <w:t>五粮液</w:t>
            </w:r>
          </w:p>
        </w:tc>
        <w:tc>
          <w:tcPr>
            <w:vAlign w:val="center"/>
          </w:tcPr>
          <w:p>
            <w:pPr>
              <w:jc w:val="right"/>
            </w:pPr>
            <w:r>
              <w:rPr>
                <w:color w:val="000000"/>
                <w:sz w:val="24"/>
              </w:rPr>
              <w:t>35,994</w:t>
            </w:r>
          </w:p>
        </w:tc>
        <w:tc>
          <w:tcPr>
            <w:vAlign w:val="center"/>
          </w:tcPr>
          <w:p>
            <w:pPr>
              <w:jc w:val="right"/>
            </w:pPr>
            <w:r>
              <w:rPr>
                <w:color w:val="000000"/>
                <w:sz w:val="24"/>
              </w:rPr>
              <w:t>7,954,674.00</w:t>
            </w:r>
          </w:p>
        </w:tc>
        <w:tc>
          <w:tcPr>
            <w:vAlign w:val="center"/>
          </w:tcPr>
          <w:p>
            <w:pPr>
              <w:jc w:val="right"/>
            </w:pPr>
            <w:r>
              <w:rPr>
                <w:color w:val="000000"/>
                <w:sz w:val="24"/>
              </w:rPr>
              <w:t>3.27</w:t>
            </w:r>
          </w:p>
        </w:tc>
      </w:tr>
      <w:tr>
        <w:tc>
          <w:tcPr>
            <w:vAlign w:val="center"/>
          </w:tcPr>
          <w:p>
            <w:pPr>
              <w:jc w:val="center"/>
            </w:pPr>
            <w:r>
              <w:rPr>
                <w:color w:val="000000"/>
                <w:sz w:val="24"/>
              </w:rPr>
              <w:t>4</w:t>
            </w:r>
          </w:p>
        </w:tc>
        <w:tc>
          <w:tcPr>
            <w:vAlign w:val="center"/>
          </w:tcPr>
          <w:p>
            <w:pPr>
              <w:jc w:val="center"/>
            </w:pPr>
            <w:r>
              <w:rPr>
                <w:color w:val="000000"/>
                <w:sz w:val="24"/>
              </w:rPr>
              <w:t>601012</w:t>
            </w:r>
          </w:p>
        </w:tc>
        <w:tc>
          <w:tcPr>
            <w:vAlign w:val="center"/>
          </w:tcPr>
          <w:p>
            <w:pPr>
              <w:jc w:val="center"/>
            </w:pPr>
            <w:r>
              <w:rPr>
                <w:color w:val="000000"/>
                <w:sz w:val="24"/>
              </w:rPr>
              <w:t>隆基股份</w:t>
            </w:r>
          </w:p>
        </w:tc>
        <w:tc>
          <w:tcPr>
            <w:vAlign w:val="center"/>
          </w:tcPr>
          <w:p>
            <w:pPr>
              <w:jc w:val="right"/>
            </w:pPr>
            <w:r>
              <w:rPr>
                <w:color w:val="000000"/>
                <w:sz w:val="24"/>
              </w:rPr>
              <w:t>73,684</w:t>
            </w:r>
          </w:p>
        </w:tc>
        <w:tc>
          <w:tcPr>
            <w:vAlign w:val="center"/>
          </w:tcPr>
          <w:p>
            <w:pPr>
              <w:jc w:val="right"/>
            </w:pPr>
            <w:r>
              <w:rPr>
                <w:color w:val="000000"/>
                <w:sz w:val="24"/>
              </w:rPr>
              <w:t>5,527,036.84</w:t>
            </w:r>
          </w:p>
        </w:tc>
        <w:tc>
          <w:tcPr>
            <w:vAlign w:val="center"/>
          </w:tcPr>
          <w:p>
            <w:pPr>
              <w:jc w:val="right"/>
            </w:pPr>
            <w:r>
              <w:rPr>
                <w:color w:val="000000"/>
                <w:sz w:val="24"/>
              </w:rPr>
              <w:t>2.27</w:t>
            </w:r>
          </w:p>
        </w:tc>
      </w:tr>
      <w:tr>
        <w:tc>
          <w:tcPr>
            <w:vAlign w:val="center"/>
          </w:tcPr>
          <w:p>
            <w:pPr>
              <w:jc w:val="center"/>
            </w:pPr>
            <w:r>
              <w:rPr>
                <w:color w:val="000000"/>
                <w:sz w:val="24"/>
              </w:rPr>
              <w:t>5</w:t>
            </w:r>
          </w:p>
        </w:tc>
        <w:tc>
          <w:tcPr>
            <w:vAlign w:val="center"/>
          </w:tcPr>
          <w:p>
            <w:pPr>
              <w:jc w:val="center"/>
            </w:pPr>
            <w:r>
              <w:rPr>
                <w:color w:val="000000"/>
                <w:sz w:val="24"/>
              </w:rPr>
              <w:t>000661</w:t>
            </w:r>
          </w:p>
        </w:tc>
        <w:tc>
          <w:tcPr>
            <w:vAlign w:val="center"/>
          </w:tcPr>
          <w:p>
            <w:pPr>
              <w:jc w:val="center"/>
            </w:pPr>
            <w:r>
              <w:rPr>
                <w:color w:val="000000"/>
                <w:sz w:val="24"/>
              </w:rPr>
              <w:t>长春高新</w:t>
            </w:r>
          </w:p>
        </w:tc>
        <w:tc>
          <w:tcPr>
            <w:vAlign w:val="center"/>
          </w:tcPr>
          <w:p>
            <w:pPr>
              <w:jc w:val="right"/>
            </w:pPr>
            <w:r>
              <w:rPr>
                <w:color w:val="000000"/>
                <w:sz w:val="24"/>
              </w:rPr>
              <w:t>14,200</w:t>
            </w:r>
          </w:p>
        </w:tc>
        <w:tc>
          <w:tcPr>
            <w:vAlign w:val="center"/>
          </w:tcPr>
          <w:p>
            <w:pPr>
              <w:jc w:val="right"/>
            </w:pPr>
            <w:r>
              <w:rPr>
                <w:color w:val="000000"/>
                <w:sz w:val="24"/>
              </w:rPr>
              <w:t>5,248,888.00</w:t>
            </w:r>
          </w:p>
        </w:tc>
        <w:tc>
          <w:tcPr>
            <w:vAlign w:val="center"/>
          </w:tcPr>
          <w:p>
            <w:pPr>
              <w:jc w:val="right"/>
            </w:pPr>
            <w:r>
              <w:rPr>
                <w:color w:val="000000"/>
                <w:sz w:val="24"/>
              </w:rPr>
              <w:t>2.16</w:t>
            </w:r>
          </w:p>
        </w:tc>
      </w:tr>
      <w:tr>
        <w:tc>
          <w:tcPr>
            <w:vAlign w:val="center"/>
          </w:tcPr>
          <w:p>
            <w:pPr>
              <w:jc w:val="center"/>
            </w:pPr>
            <w:r>
              <w:rPr>
                <w:color w:val="000000"/>
                <w:sz w:val="24"/>
              </w:rPr>
              <w:t>6</w:t>
            </w:r>
          </w:p>
        </w:tc>
        <w:tc>
          <w:tcPr>
            <w:vAlign w:val="center"/>
          </w:tcPr>
          <w:p>
            <w:pPr>
              <w:jc w:val="center"/>
            </w:pPr>
            <w:r>
              <w:rPr>
                <w:color w:val="000000"/>
                <w:sz w:val="24"/>
              </w:rPr>
              <w:t>601888</w:t>
            </w:r>
          </w:p>
        </w:tc>
        <w:tc>
          <w:tcPr>
            <w:vAlign w:val="center"/>
          </w:tcPr>
          <w:p>
            <w:pPr>
              <w:jc w:val="center"/>
            </w:pPr>
            <w:r>
              <w:rPr>
                <w:color w:val="000000"/>
                <w:sz w:val="24"/>
              </w:rPr>
              <w:t>中国中免</w:t>
            </w:r>
          </w:p>
        </w:tc>
        <w:tc>
          <w:tcPr>
            <w:vAlign w:val="center"/>
          </w:tcPr>
          <w:p>
            <w:pPr>
              <w:jc w:val="right"/>
            </w:pPr>
            <w:r>
              <w:rPr>
                <w:color w:val="000000"/>
                <w:sz w:val="24"/>
              </w:rPr>
              <w:t>22,371</w:t>
            </w:r>
          </w:p>
        </w:tc>
        <w:tc>
          <w:tcPr>
            <w:vAlign w:val="center"/>
          </w:tcPr>
          <w:p>
            <w:pPr>
              <w:jc w:val="right"/>
            </w:pPr>
            <w:r>
              <w:rPr>
                <w:color w:val="000000"/>
                <w:sz w:val="24"/>
              </w:rPr>
              <w:t>4,987,390.74</w:t>
            </w:r>
          </w:p>
        </w:tc>
        <w:tc>
          <w:tcPr>
            <w:vAlign w:val="center"/>
          </w:tcPr>
          <w:p>
            <w:pPr>
              <w:jc w:val="right"/>
            </w:pPr>
            <w:r>
              <w:rPr>
                <w:color w:val="000000"/>
                <w:sz w:val="24"/>
              </w:rPr>
              <w:t>2.05</w:t>
            </w:r>
          </w:p>
        </w:tc>
      </w:tr>
      <w:tr>
        <w:tc>
          <w:tcPr>
            <w:vAlign w:val="center"/>
          </w:tcPr>
          <w:p>
            <w:pPr>
              <w:jc w:val="center"/>
            </w:pPr>
            <w:r>
              <w:rPr>
                <w:color w:val="000000"/>
                <w:sz w:val="24"/>
              </w:rPr>
              <w:t>7</w:t>
            </w:r>
          </w:p>
        </w:tc>
        <w:tc>
          <w:tcPr>
            <w:vAlign w:val="center"/>
          </w:tcPr>
          <w:p>
            <w:pPr>
              <w:jc w:val="center"/>
            </w:pPr>
            <w:r>
              <w:rPr>
                <w:color w:val="000000"/>
                <w:sz w:val="24"/>
              </w:rPr>
              <w:t>300760</w:t>
            </w:r>
          </w:p>
        </w:tc>
        <w:tc>
          <w:tcPr>
            <w:vAlign w:val="center"/>
          </w:tcPr>
          <w:p>
            <w:pPr>
              <w:jc w:val="center"/>
            </w:pPr>
            <w:r>
              <w:rPr>
                <w:color w:val="000000"/>
                <w:sz w:val="24"/>
              </w:rPr>
              <w:t>迈瑞医疗</w:t>
            </w:r>
          </w:p>
        </w:tc>
        <w:tc>
          <w:tcPr>
            <w:vAlign w:val="center"/>
          </w:tcPr>
          <w:p>
            <w:pPr>
              <w:jc w:val="right"/>
            </w:pPr>
            <w:r>
              <w:rPr>
                <w:color w:val="000000"/>
                <w:sz w:val="24"/>
              </w:rPr>
              <w:t>14,100</w:t>
            </w:r>
          </w:p>
        </w:tc>
        <w:tc>
          <w:tcPr>
            <w:vAlign w:val="center"/>
          </w:tcPr>
          <w:p>
            <w:pPr>
              <w:jc w:val="right"/>
            </w:pPr>
            <w:r>
              <w:rPr>
                <w:color w:val="000000"/>
                <w:sz w:val="24"/>
              </w:rPr>
              <w:t>4,906,800.00</w:t>
            </w:r>
          </w:p>
        </w:tc>
        <w:tc>
          <w:tcPr>
            <w:vAlign w:val="center"/>
          </w:tcPr>
          <w:p>
            <w:pPr>
              <w:jc w:val="right"/>
            </w:pPr>
            <w:r>
              <w:rPr>
                <w:color w:val="000000"/>
                <w:sz w:val="24"/>
              </w:rPr>
              <w:t>2.02</w:t>
            </w:r>
          </w:p>
        </w:tc>
      </w:tr>
      <w:tr>
        <w:tc>
          <w:tcPr>
            <w:vAlign w:val="center"/>
          </w:tcPr>
          <w:p>
            <w:pPr>
              <w:jc w:val="center"/>
            </w:pPr>
            <w:r>
              <w:rPr>
                <w:color w:val="000000"/>
                <w:sz w:val="24"/>
              </w:rPr>
              <w:t>8</w:t>
            </w:r>
          </w:p>
        </w:tc>
        <w:tc>
          <w:tcPr>
            <w:vAlign w:val="center"/>
          </w:tcPr>
          <w:p>
            <w:pPr>
              <w:jc w:val="center"/>
            </w:pPr>
            <w:r>
              <w:rPr>
                <w:color w:val="000000"/>
                <w:sz w:val="24"/>
              </w:rPr>
              <w:t>300347</w:t>
            </w:r>
          </w:p>
        </w:tc>
        <w:tc>
          <w:tcPr>
            <w:vAlign w:val="center"/>
          </w:tcPr>
          <w:p>
            <w:pPr>
              <w:jc w:val="center"/>
            </w:pPr>
            <w:r>
              <w:rPr>
                <w:color w:val="000000"/>
                <w:sz w:val="24"/>
              </w:rPr>
              <w:t>泰格医药</w:t>
            </w:r>
          </w:p>
        </w:tc>
        <w:tc>
          <w:tcPr>
            <w:vAlign w:val="center"/>
          </w:tcPr>
          <w:p>
            <w:pPr>
              <w:jc w:val="right"/>
            </w:pPr>
            <w:r>
              <w:rPr>
                <w:color w:val="000000"/>
                <w:sz w:val="24"/>
              </w:rPr>
              <w:t>42,600</w:t>
            </w:r>
          </w:p>
        </w:tc>
        <w:tc>
          <w:tcPr>
            <w:vAlign w:val="center"/>
          </w:tcPr>
          <w:p>
            <w:pPr>
              <w:jc w:val="right"/>
            </w:pPr>
            <w:r>
              <w:rPr>
                <w:color w:val="000000"/>
                <w:sz w:val="24"/>
              </w:rPr>
              <w:t>4,385,670.00</w:t>
            </w:r>
          </w:p>
        </w:tc>
        <w:tc>
          <w:tcPr>
            <w:vAlign w:val="center"/>
          </w:tcPr>
          <w:p>
            <w:pPr>
              <w:jc w:val="right"/>
            </w:pPr>
            <w:r>
              <w:rPr>
                <w:color w:val="000000"/>
                <w:sz w:val="24"/>
              </w:rPr>
              <w:t>1.80</w:t>
            </w:r>
          </w:p>
        </w:tc>
      </w:tr>
      <w:tr>
        <w:tc>
          <w:tcPr>
            <w:vAlign w:val="center"/>
          </w:tcPr>
          <w:p>
            <w:pPr>
              <w:jc w:val="center"/>
            </w:pPr>
            <w:r>
              <w:rPr>
                <w:color w:val="000000"/>
                <w:sz w:val="24"/>
              </w:rPr>
              <w:t>9</w:t>
            </w:r>
          </w:p>
        </w:tc>
        <w:tc>
          <w:tcPr>
            <w:vAlign w:val="center"/>
          </w:tcPr>
          <w:p>
            <w:pPr>
              <w:jc w:val="center"/>
            </w:pPr>
            <w:r>
              <w:rPr>
                <w:color w:val="000000"/>
                <w:sz w:val="24"/>
              </w:rPr>
              <w:t>300750</w:t>
            </w:r>
          </w:p>
        </w:tc>
        <w:tc>
          <w:tcPr>
            <w:vAlign w:val="center"/>
          </w:tcPr>
          <w:p>
            <w:pPr>
              <w:jc w:val="center"/>
            </w:pPr>
            <w:r>
              <w:rPr>
                <w:color w:val="000000"/>
                <w:sz w:val="24"/>
              </w:rPr>
              <w:t>宁德时代</w:t>
            </w:r>
          </w:p>
        </w:tc>
        <w:tc>
          <w:tcPr>
            <w:vAlign w:val="center"/>
          </w:tcPr>
          <w:p>
            <w:pPr>
              <w:jc w:val="right"/>
            </w:pPr>
            <w:r>
              <w:rPr>
                <w:color w:val="000000"/>
                <w:sz w:val="24"/>
              </w:rPr>
              <w:t>16,900</w:t>
            </w:r>
          </w:p>
        </w:tc>
        <w:tc>
          <w:tcPr>
            <w:vAlign w:val="center"/>
          </w:tcPr>
          <w:p>
            <w:pPr>
              <w:jc w:val="right"/>
            </w:pPr>
            <w:r>
              <w:rPr>
                <w:color w:val="000000"/>
                <w:sz w:val="24"/>
              </w:rPr>
              <w:t>3,535,480.00</w:t>
            </w:r>
          </w:p>
        </w:tc>
        <w:tc>
          <w:tcPr>
            <w:vAlign w:val="center"/>
          </w:tcPr>
          <w:p>
            <w:pPr>
              <w:jc w:val="right"/>
            </w:pPr>
            <w:r>
              <w:rPr>
                <w:color w:val="000000"/>
                <w:sz w:val="24"/>
              </w:rPr>
              <w:t>1.45</w:t>
            </w:r>
          </w:p>
        </w:tc>
      </w:tr>
      <w:tr>
        <w:tc>
          <w:tcPr>
            <w:vAlign w:val="center"/>
          </w:tcPr>
          <w:p>
            <w:pPr>
              <w:jc w:val="center"/>
            </w:pPr>
            <w:r>
              <w:rPr>
                <w:color w:val="000000"/>
                <w:sz w:val="24"/>
              </w:rPr>
              <w:t>10</w:t>
            </w:r>
          </w:p>
        </w:tc>
        <w:tc>
          <w:tcPr>
            <w:vAlign w:val="center"/>
          </w:tcPr>
          <w:p>
            <w:pPr>
              <w:jc w:val="center"/>
            </w:pPr>
            <w:r>
              <w:rPr>
                <w:color w:val="000000"/>
                <w:sz w:val="24"/>
              </w:rPr>
              <w:t>603386</w:t>
            </w:r>
          </w:p>
        </w:tc>
        <w:tc>
          <w:tcPr>
            <w:vAlign w:val="center"/>
          </w:tcPr>
          <w:p>
            <w:pPr>
              <w:jc w:val="center"/>
            </w:pPr>
            <w:r>
              <w:rPr>
                <w:color w:val="000000"/>
                <w:sz w:val="24"/>
              </w:rPr>
              <w:t>广东骏亚</w:t>
            </w:r>
          </w:p>
        </w:tc>
        <w:tc>
          <w:tcPr>
            <w:vAlign w:val="center"/>
          </w:tcPr>
          <w:p>
            <w:pPr>
              <w:jc w:val="right"/>
            </w:pPr>
            <w:r>
              <w:rPr>
                <w:color w:val="000000"/>
                <w:sz w:val="24"/>
              </w:rPr>
              <w:t>169,300</w:t>
            </w:r>
          </w:p>
        </w:tc>
        <w:tc>
          <w:tcPr>
            <w:vAlign w:val="center"/>
          </w:tcPr>
          <w:p>
            <w:pPr>
              <w:jc w:val="right"/>
            </w:pPr>
            <w:r>
              <w:rPr>
                <w:color w:val="000000"/>
                <w:sz w:val="24"/>
              </w:rPr>
              <w:t>3,111,734.00</w:t>
            </w:r>
          </w:p>
        </w:tc>
        <w:tc>
          <w:tcPr>
            <w:vAlign w:val="center"/>
          </w:tcPr>
          <w:p>
            <w:pPr>
              <w:jc w:val="right"/>
            </w:pPr>
            <w:r>
              <w:rPr>
                <w:color w:val="000000"/>
                <w:sz w:val="24"/>
              </w:rPr>
              <w:t>1.28</w:t>
            </w:r>
          </w:p>
        </w:tc>
      </w:tr>
    </w:tbl>
    <w:p w:rsidP="00B54884" w:rsidR="006A1153" w:rsidRDefault="00F016DD" w:rsidRPr="006A1153">
      <w:pPr>
        <w:autoSpaceDE w:val="0"/>
        <w:autoSpaceDN w:val="0"/>
        <w:adjustRightInd w:val="0"/>
        <w:spacing w:before="312" w:beforeLines="100" w:line="360" w:lineRule="auto"/>
        <w:jc w:val="left"/>
        <w:rPr>
          <w:rFonts w:eastAsiaTheme="minorEastAsia"/>
          <w:b/>
          <w:color w:themeColor="text1" w:val="000000"/>
          <w:kern w:val="0"/>
          <w:sz w:val="24"/>
        </w:rPr>
      </w:pPr>
      <w:r w:rsidRPr="0078105B">
        <w:rPr>
          <w:rFonts w:ascii="宋体" w:cs="Arial" w:hAnsi="宋体"/>
          <w:b/>
          <w:color w:val="000000"/>
          <w:kern w:val="0"/>
          <w:sz w:val="24"/>
        </w:rPr>
        <w:t xml:space="preserve">5.4 </w:t>
      </w:r>
      <w:r w:rsidRPr="0078105B">
        <w:rPr>
          <w:rFonts w:ascii="宋体" w:cs="Arial" w:hAnsi="宋体" w:hint="eastAsia"/>
          <w:b/>
          <w:color w:val="000000"/>
          <w:kern w:val="0"/>
          <w:sz w:val="24"/>
        </w:rPr>
        <w:t>报告期末按债券品种分类的债券投资组合</w:t>
      </w:r>
    </w:p>
    <w:p w:rsidP="006A1153" w:rsidR="00F016DD" w:rsidRDefault="006A1153" w:rsidRPr="00EA6415">
      <w:pPr>
        <w:spacing w:line="360" w:lineRule="auto"/>
        <w:ind w:firstLine="480" w:firstLineChars="200"/>
        <w:rPr>
          <w:color w:val="000000"/>
          <w:sz w:val="24"/>
        </w:rPr>
      </w:pPr>
      <w:r w:rsidRPr="00EA6415">
        <w:rPr>
          <w:color w:val="000000"/>
          <w:sz w:val="24"/>
        </w:rPr>
        <w:t/>
      </w:r>
      <w:proofErr w:type="spellStart"/>
      <w:r w:rsidRPr="00EA6415">
        <w:rPr>
          <w:color w:val="000000"/>
          <w:sz w:val="24"/>
        </w:rPr>
        <w:t/>
      </w:r>
      <w:proofErr w:type="spellEnd"/>
      <w:r w:rsidRPr="00EA6415">
        <w:rPr>
          <w:color w:val="000000"/>
          <w:sz w:val="24"/>
        </w:rPr>
        <w:t/>
      </w:r>
      <w:proofErr w:type="spellStart"/>
      <w:proofErr w:type="gramStart"/>
      <w:r w:rsidRPr="00EA6415">
        <w:rPr>
          <w:color w:val="000000"/>
          <w:sz w:val="24"/>
        </w:rPr>
        <w:t/>
      </w:r>
      <w:proofErr w:type="spellEnd"/>
      <w:proofErr w:type="gramEnd"/>
      <w:r w:rsidRPr="00EA6415">
        <w:rPr>
          <w:color w:val="000000"/>
          <w:sz w:val="24"/>
        </w:rPr>
        <w:t>本基金本报告期末未持有债券。</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5.5 </w:t>
      </w:r>
      <w:r w:rsidRPr="0078105B">
        <w:rPr>
          <w:rFonts w:ascii="宋体" w:cs="Arial" w:hAnsi="宋体" w:hint="eastAsia"/>
          <w:b/>
          <w:color w:val="000000"/>
          <w:kern w:val="0"/>
          <w:sz w:val="24"/>
        </w:rPr>
        <w:t>报告期末按公允价值占基金资产净值比例大小排</w:t>
      </w:r>
      <w:r>
        <w:rPr>
          <w:rFonts w:ascii="宋体" w:cs="Arial" w:hAnsi="宋体" w:hint="eastAsia"/>
          <w:b/>
          <w:color w:val="000000"/>
          <w:kern w:val="0"/>
          <w:sz w:val="24"/>
        </w:rPr>
        <w:t>序</w:t>
      </w:r>
      <w:r w:rsidRPr="0078105B">
        <w:rPr>
          <w:rFonts w:ascii="宋体" w:cs="Arial" w:hAnsi="宋体" w:hint="eastAsia"/>
          <w:b/>
          <w:color w:val="000000"/>
          <w:kern w:val="0"/>
          <w:sz w:val="24"/>
        </w:rPr>
        <w:t>的前五名债券投资明细</w:t>
      </w:r>
    </w:p>
    <w:p w:rsidP="00DF18FE" w:rsidR="00F016DD" w:rsidRDefault="00F016DD" w:rsidRPr="00DF18FE">
      <w:pPr>
        <w:spacing w:line="360" w:lineRule="auto"/>
        <w:ind w:firstLine="480" w:firstLineChars="200"/>
        <w:rPr>
          <w:color w:val="000000"/>
          <w:sz w:val="24"/>
        </w:rPr>
      </w:pPr>
      <w:r w:rsidRPr="00DF18FE">
        <w:rPr>
          <w:color w:val="000000"/>
          <w:sz w:val="24"/>
        </w:rPr>
        <w:lastRenderedPageBreak/>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本基金本报告期末未持有债券。</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5.6</w:t>
      </w:r>
      <w:r w:rsidRPr="0078105B">
        <w:rPr>
          <w:rFonts w:ascii="宋体" w:cs="Arial" w:hAnsi="宋体" w:hint="eastAsia"/>
          <w:b/>
          <w:color w:val="000000"/>
          <w:kern w:val="0"/>
          <w:sz w:val="24"/>
        </w:rPr>
        <w:t xml:space="preserve">　报告期末按公允价值占基金资产净值比例大小排</w:t>
      </w:r>
      <w:r>
        <w:rPr>
          <w:rFonts w:ascii="宋体" w:cs="Arial" w:hAnsi="宋体" w:hint="eastAsia"/>
          <w:b/>
          <w:color w:val="000000"/>
          <w:kern w:val="0"/>
          <w:sz w:val="24"/>
        </w:rPr>
        <w:t>序</w:t>
      </w:r>
      <w:r w:rsidRPr="0078105B">
        <w:rPr>
          <w:rFonts w:ascii="宋体" w:cs="Arial" w:hAnsi="宋体" w:hint="eastAsia"/>
          <w:b/>
          <w:color w:val="000000"/>
          <w:kern w:val="0"/>
          <w:sz w:val="24"/>
        </w:rPr>
        <w:t>的前十名资产支持证券投资明细</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本基金本报告期末未持有资产支持证券。</w:t>
      </w:r>
    </w:p>
    <w:p w:rsidP="006D462B" w:rsidR="00F016DD" w:rsidRDefault="00F016DD" w:rsidRPr="001D63BB">
      <w:pPr>
        <w:autoSpaceDE w:val="0"/>
        <w:autoSpaceDN w:val="0"/>
        <w:adjustRightInd w:val="0"/>
        <w:spacing w:line="360" w:lineRule="auto"/>
        <w:jc w:val="left"/>
        <w:rPr>
          <w:rFonts w:ascii="宋体"/>
          <w:b/>
          <w:bCs/>
          <w:color w:val="000000"/>
          <w:kern w:val="0"/>
          <w:sz w:val="24"/>
        </w:rPr>
      </w:pPr>
      <w:r w:rsidRPr="001B0A62">
        <w:rPr>
          <w:rFonts w:ascii="宋体"/>
          <w:b/>
          <w:bCs/>
          <w:color w:val="000000"/>
          <w:kern w:val="0"/>
          <w:sz w:val="24"/>
        </w:rPr>
        <w:t/>
      </w:r>
      <w:r w:rsidRPr="001B0A62">
        <w:rPr>
          <w:rFonts w:ascii="宋体" w:hAnsi="宋体"/>
          <w:b/>
          <w:bCs/>
          <w:color w:val="000000"/>
          <w:kern w:val="0"/>
          <w:sz w:val="24"/>
        </w:rPr>
        <w:t>5</w:t>
      </w:r>
      <w:proofErr w:type="gramStart"/>
      <w:r w:rsidRPr="001B0A62">
        <w:rPr>
          <w:rFonts w:ascii="宋体" w:hAnsi="宋体"/>
          <w:b/>
          <w:bCs/>
          <w:color w:val="000000"/>
          <w:kern w:val="0"/>
          <w:sz w:val="24"/>
        </w:rPr>
        <w:t>.</w:t>
      </w:r>
      <w:proofErr w:type="gramEnd"/>
      <w:r w:rsidRPr="001B0A62">
        <w:rPr>
          <w:rFonts w:ascii="宋体" w:hAnsi="宋体"/>
          <w:b/>
          <w:bCs/>
          <w:color w:val="000000"/>
          <w:kern w:val="0"/>
          <w:sz w:val="24"/>
        </w:rPr>
        <w:t/>
      </w:r>
      <w:r>
        <w:rPr>
          <w:rFonts w:ascii="宋体" w:hAnsi="宋体"/>
          <w:b/>
          <w:bCs/>
          <w:color w:val="000000"/>
          <w:kern w:val="0"/>
          <w:sz w:val="24"/>
        </w:rPr>
        <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lastRenderedPageBreak/>
        <w:t>本基金本报告期末未持有贵金属。</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Pr>
          <w:rFonts w:ascii="宋体" w:cs="Arial"/>
          <w:b/>
          <w:color w:val="000000"/>
          <w:kern w:val="0"/>
          <w:sz w:val="24"/>
        </w:rPr>
        <w:t/>
      </w:r>
      <w:proofErr w:type="gramStart"/>
      <w:r>
        <w:rPr>
          <w:rFonts w:ascii="宋体" w:cs="Arial" w:hAnsi="宋体"/>
          <w:b/>
          <w:color w:val="000000"/>
          <w:kern w:val="0"/>
          <w:sz w:val="24"/>
        </w:rPr>
        <w:t/>
      </w:r>
      <w:proofErr w:type="gramEnd"/>
      <w:r>
        <w:rPr>
          <w:rFonts w:ascii="宋体" w:cs="Arial" w:hAnsi="宋体"/>
          <w:b/>
          <w:color w:val="000000"/>
          <w:kern w:val="0"/>
          <w:sz w:val="24"/>
        </w:rPr>
        <w:t>5</w:t>
      </w:r>
      <w:r w:rsidRPr="0078105B">
        <w:rPr>
          <w:rFonts w:ascii="宋体" w:cs="Arial"/>
          <w:b/>
          <w:color w:val="000000"/>
          <w:kern w:val="0"/>
          <w:sz w:val="24"/>
        </w:rPr>
        <w:t>.</w:t>
      </w:r>
      <w:r>
        <w:rPr>
          <w:rFonts w:ascii="宋体" w:cs="Arial"/>
          <w:b/>
          <w:color w:val="000000"/>
          <w:kern w:val="0"/>
          <w:sz w:val="24"/>
        </w:rPr>
        <w:t/>
      </w:r>
      <w:r>
        <w:rPr>
          <w:rFonts w:ascii="宋体" w:cs="Arial" w:hAnsi="宋体"/>
          <w:b/>
          <w:color w:val="000000"/>
          <w:kern w:val="0"/>
          <w:sz w:val="24"/>
        </w:rPr>
        <w:t>8</w:t>
      </w:r>
      <w:r w:rsidRPr="0078105B">
        <w:rPr>
          <w:rFonts w:ascii="宋体" w:cs="Arial" w:hAnsi="宋体" w:hint="eastAsia"/>
          <w:b/>
          <w:color w:val="000000"/>
          <w:kern w:val="0"/>
          <w:sz w:val="24"/>
        </w:rPr>
        <w:t>报告期末按公允价值占基金资产净值比例大小排</w:t>
      </w:r>
      <w:r>
        <w:rPr>
          <w:rFonts w:ascii="宋体" w:cs="Arial" w:hAnsi="宋体" w:hint="eastAsia"/>
          <w:b/>
          <w:color w:val="000000"/>
          <w:kern w:val="0"/>
          <w:sz w:val="24"/>
        </w:rPr>
        <w:t>序</w:t>
      </w:r>
      <w:r w:rsidRPr="0078105B">
        <w:rPr>
          <w:rFonts w:ascii="宋体" w:cs="Arial" w:hAnsi="宋体" w:hint="eastAsia"/>
          <w:b/>
          <w:color w:val="000000"/>
          <w:kern w:val="0"/>
          <w:sz w:val="24"/>
        </w:rPr>
        <w:t>的前五名权证投资明细</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本基金本报告期末未持有权证。</w:t>
      </w:r>
    </w:p>
    <w:p w:rsidP="001D5CD0" w:rsidR="00F016DD" w:rsidRDefault="00F016DD" w:rsidRPr="00E85E29">
      <w:pPr>
        <w:adjustRightInd w:val="0"/>
        <w:snapToGrid w:val="0"/>
        <w:spacing w:line="360" w:lineRule="auto"/>
        <w:rPr>
          <w:rFonts w:ascii="宋体"/>
          <w:b/>
          <w:sz w:val="24"/>
        </w:rPr>
      </w:pPr>
      <w:r w:rsidRPr="00E85E29">
        <w:rPr>
          <w:rFonts w:ascii="宋体"/>
          <w:b/>
          <w:sz w:val="24"/>
        </w:rPr>
        <w:t/>
      </w:r>
      <w:proofErr w:type="spellStart"/>
      <w:r w:rsidRPr="00E85E29">
        <w:rPr>
          <w:rFonts w:ascii="宋体" w:hAnsi="宋体"/>
          <w:b/>
          <w:sz w:val="24"/>
        </w:rPr>
        <w:t/>
      </w:r>
      <w:proofErr w:type="spellEnd"/>
      <w:r>
        <w:rPr>
          <w:rFonts w:ascii="宋体"/>
          <w:b/>
          <w:sz w:val="24"/>
        </w:rPr>
        <w:t/>
      </w:r>
      <w:proofErr w:type="gramStart"/>
      <w:r>
        <w:rPr>
          <w:rFonts w:ascii="宋体" w:hAnsi="宋体"/>
          <w:b/>
          <w:sz w:val="24"/>
        </w:rPr>
        <w:t/>
      </w:r>
      <w:proofErr w:type="gramEnd"/>
      <w:r>
        <w:rPr>
          <w:rFonts w:ascii="宋体" w:hAnsi="宋体"/>
          <w:b/>
          <w:sz w:val="24"/>
        </w:rPr>
        <w:t>5.</w:t>
      </w:r>
      <w:r w:rsidRPr="00E85E29">
        <w:rPr>
          <w:rFonts w:ascii="宋体"/>
          <w:b/>
          <w:sz w:val="24"/>
        </w:rPr>
        <w:t>9</w:t>
      </w:r>
      <w:r w:rsidRPr="00E85E29">
        <w:rPr>
          <w:rFonts w:ascii="宋体" w:hAnsi="宋体" w:hint="eastAsia"/>
          <w:b/>
          <w:sz w:val="24"/>
        </w:rPr>
        <w:t>报告期末本基金投资的股指期货交易情况说明</w:t>
      </w:r>
    </w:p>
    <w:p w:rsidP="001F60E9" w:rsidR="001F60E9" w:rsidRDefault="001F60E9">
      <w:pPr>
        <w:spacing w:line="360" w:lineRule="auto"/>
        <w:ind w:firstLine="480" w:firstLineChars="200"/>
        <w:rPr>
          <w:rFonts w:eastAsiaTheme="minorEastAsia"/>
          <w:color w:themeColor="text1" w:val="000000"/>
          <w:sz w:val="24"/>
        </w:rPr>
      </w:pPr>
      <w:r>
        <w:rPr>
          <w:color w:val="000000"/>
          <w:sz w:val="24"/>
        </w:rPr>
        <w:t/>
      </w:r>
      <w:proofErr w:type="spellStart"/>
      <w:r>
        <w:rPr>
          <w:color w:val="000000"/>
          <w:sz w:val="24"/>
        </w:rPr>
        <w:t/>
      </w:r>
      <w:proofErr w:type="spellEnd"/>
      <w:r>
        <w:rPr>
          <w:color w:val="000000"/>
          <w:sz w:val="24"/>
        </w:rPr>
        <w:t/>
      </w:r>
      <w:proofErr w:type="spellStart"/>
      <w:proofErr w:type="gramStart"/>
      <w:r>
        <w:rPr>
          <w:color w:val="000000"/>
          <w:sz w:val="24"/>
        </w:rPr>
        <w:t/>
      </w:r>
      <w:r>
        <w:rPr>
          <w:rFonts w:eastAsiaTheme="minorEastAsia"/>
          <w:color w:themeColor="text1" w:val="000000"/>
          <w:sz w:val="24"/>
        </w:rPr>
        <w:t/>
      </w:r>
      <w:proofErr w:type="spellEnd"/>
      <w:proofErr w:type="gramEnd"/>
      <w:r>
        <w:rPr>
          <w:rFonts w:eastAsiaTheme="minorEastAsia"/>
          <w:color w:themeColor="text1" w:val="000000"/>
          <w:sz w:val="24"/>
        </w:rPr>
        <w:t>本基金本报告期末未投资股指期货。</w:t>
      </w:r>
    </w:p>
    <w:p w:rsidP="001D5CD0" w:rsidR="00F016DD" w:rsidRDefault="00F016DD" w:rsidRPr="00E85E29">
      <w:pPr>
        <w:adjustRightInd w:val="0"/>
        <w:snapToGrid w:val="0"/>
        <w:spacing w:line="360" w:lineRule="auto"/>
        <w:rPr>
          <w:rFonts w:ascii="宋体"/>
          <w:b/>
          <w:sz w:val="24"/>
        </w:rPr>
      </w:pPr>
      <w:r w:rsidRPr="00E85E29">
        <w:rPr>
          <w:rFonts w:ascii="宋体"/>
          <w:b/>
          <w:sz w:val="24"/>
        </w:rPr>
        <w:t/>
      </w:r>
      <w:proofErr w:type="spellStart"/>
      <w:r w:rsidRPr="00E85E29">
        <w:rPr>
          <w:rFonts w:ascii="宋体" w:hAnsi="宋体"/>
          <w:b/>
          <w:sz w:val="24"/>
        </w:rPr>
        <w:t/>
      </w:r>
      <w:proofErr w:type="spellEnd"/>
      <w:r w:rsidRPr="00E85E29">
        <w:rPr>
          <w:rFonts w:ascii="宋体" w:hAnsi="宋体"/>
          <w:b/>
          <w:sz w:val="24"/>
        </w:rPr>
        <w:t/>
      </w:r>
      <w:proofErr w:type="gramStart"/>
      <w:r w:rsidRPr="00E85E29">
        <w:rPr>
          <w:rFonts w:ascii="宋体" w:hAnsi="宋体"/>
          <w:b/>
          <w:sz w:val="24"/>
        </w:rPr>
        <w:t/>
      </w:r>
      <w:proofErr w:type="gramEnd"/>
      <w:r w:rsidRPr="00E85E29">
        <w:rPr>
          <w:rFonts w:ascii="宋体" w:hAnsi="宋体"/>
          <w:b/>
          <w:sz w:val="24"/>
        </w:rPr>
        <w:t>5.10</w:t>
      </w:r>
      <w:r w:rsidRPr="00E85E29">
        <w:rPr>
          <w:rFonts w:ascii="宋体" w:hAnsi="宋体" w:hint="eastAsia"/>
          <w:b/>
          <w:sz w:val="24"/>
        </w:rPr>
        <w:t>报告期末本基金投资的国债期货交易情况说明</w:t>
      </w:r>
    </w:p>
    <w:p w:rsidP="00B249C0" w:rsidR="00B249C0" w:rsidRDefault="00B249C0">
      <w:pPr>
        <w:spacing w:line="360" w:lineRule="auto"/>
        <w:ind w:firstLine="480" w:firstLineChars="200"/>
      </w:pPr>
      <w:r>
        <w:rPr>
          <w:color w:val="000000"/>
          <w:sz w:val="24"/>
        </w:rPr>
        <w:lastRenderedPageBreak/>
        <w:t/>
      </w:r>
      <w:proofErr w:type="spellStart"/>
      <w:r>
        <w:rPr>
          <w:color w:val="000000"/>
          <w:sz w:val="24"/>
        </w:rPr>
        <w:t/>
      </w:r>
      <w:proofErr w:type="spellEnd"/>
      <w:r>
        <w:rPr>
          <w:color w:val="000000"/>
          <w:sz w:val="24"/>
        </w:rPr>
        <w:t/>
      </w:r>
      <w:proofErr w:type="spellStart"/>
      <w:proofErr w:type="gramStart"/>
      <w:r>
        <w:rPr>
          <w:color w:val="000000"/>
          <w:sz w:val="24"/>
        </w:rPr>
        <w:t/>
      </w:r>
      <w:proofErr w:type="spellEnd"/>
      <w:proofErr w:type="gramEnd"/>
      <w:r>
        <w:rPr>
          <w:color w:val="000000"/>
          <w:sz w:val="24"/>
        </w:rPr>
        <w:t>本基金本报告期末未投资国债期货。</w:t>
      </w:r>
    </w:p>
    <w:p w:rsidP="001D5CD0" w:rsidR="00F016DD" w:rsidRDefault="00F016DD" w:rsidRPr="00E85E29">
      <w:pPr>
        <w:autoSpaceDE w:val="0"/>
        <w:autoSpaceDN w:val="0"/>
        <w:adjustRightInd w:val="0"/>
        <w:spacing w:line="360" w:lineRule="auto"/>
        <w:jc w:val="left"/>
        <w:rPr>
          <w:rFonts w:ascii="宋体" w:cs="Arial"/>
          <w:b/>
          <w:kern w:val="0"/>
          <w:sz w:val="24"/>
        </w:rPr>
      </w:pPr>
      <w:r w:rsidRPr="00E85E29">
        <w:rPr>
          <w:rFonts w:ascii="宋体" w:cs="Arial"/>
          <w:b/>
          <w:kern w:val="0"/>
          <w:sz w:val="24"/>
        </w:rPr>
        <w:t/>
      </w:r>
      <w:proofErr w:type="gramStart"/>
      <w:r w:rsidRPr="00E85E29">
        <w:rPr>
          <w:rFonts w:ascii="宋体" w:cs="Arial" w:hAnsi="宋体"/>
          <w:b/>
          <w:kern w:val="0"/>
          <w:sz w:val="24"/>
        </w:rPr>
        <w:t/>
      </w:r>
      <w:proofErr w:type="gramEnd"/>
      <w:r w:rsidRPr="00E85E29">
        <w:rPr>
          <w:rFonts w:ascii="宋体" w:cs="Arial" w:hAnsi="宋体"/>
          <w:b/>
          <w:kern w:val="0"/>
          <w:sz w:val="24"/>
        </w:rPr>
        <w:t>5.11</w:t>
      </w:r>
      <w:r w:rsidRPr="00E85E29">
        <w:rPr>
          <w:rFonts w:ascii="宋体" w:cs="Arial" w:hAnsi="宋体" w:hint="eastAsia"/>
          <w:b/>
          <w:kern w:val="0"/>
          <w:sz w:val="24"/>
        </w:rPr>
        <w:t>投资组合报告附注</w:t>
      </w:r>
    </w:p>
    <w:p w:rsidP="006456D3" w:rsidR="00F016DD" w:rsidRDefault="00B63F2B" w:rsidRPr="00414367">
      <w:pPr>
        <w:widowControl/>
        <w:spacing w:line="360" w:lineRule="auto"/>
        <w:rPr>
          <w:color w:val="000000"/>
          <w:sz w:val="24"/>
        </w:rPr>
      </w:pPr>
      <w:r>
        <w:rPr>
          <w:rFonts w:hint="eastAsia"/>
          <w:color w:val="000000"/>
          <w:sz w:val="24"/>
        </w:rPr>
        <w:t/>
      </w:r>
      <w:proofErr w:type="spellStart"/>
      <w:r>
        <w:rPr>
          <w:rFonts w:hint="eastAsia"/>
          <w:color w:val="000000"/>
          <w:sz w:val="24"/>
        </w:rPr>
        <w:t/>
      </w:r>
      <w:proofErr w:type="spellEnd"/>
      <w:r>
        <w:rPr>
          <w:rFonts w:hint="eastAsia"/>
          <w:color w:val="000000"/>
          <w:sz w:val="24"/>
        </w:rPr>
        <w:t/>
      </w:r>
      <w:r w:rsidR="00F016DD" w:rsidRPr="00414367">
        <w:rPr>
          <w:color w:val="000000"/>
          <w:sz w:val="24"/>
        </w:rPr>
        <w:t/>
      </w:r>
      <w:proofErr w:type="gramStart"/>
      <w:r w:rsidR="00F016DD" w:rsidRPr="00414367">
        <w:rPr>
          <w:color w:val="000000"/>
          <w:sz w:val="24"/>
        </w:rPr>
        <w:t/>
      </w:r>
      <w:proofErr w:type="gramEnd"/>
      <w:r w:rsidR="00F016DD" w:rsidRPr="00414367">
        <w:rPr>
          <w:color w:val="000000"/>
          <w:sz w:val="24"/>
        </w:rPr>
        <w:t>5.11.1</w:t>
      </w:r>
      <w:r w:rsidR="00293065">
        <w:rPr>
          <w:rFonts w:hint="eastAsia"/>
          <w:color w:val="000000"/>
          <w:sz w:val="24"/>
        </w:rPr>
        <w:t xml:space="preserve"> </w:t>
      </w:r>
      <w:r w:rsidR="00F016DD" w:rsidRPr="00414367">
        <w:rPr>
          <w:color w:val="000000"/>
          <w:sz w:val="24"/>
        </w:rPr>
        <w:t>2019年12月4日，广东骏亚电子科技股份有限公司收到惠州市生态环境局出具的《惠州市生态环境局行政处罚决定书》，公司因超标排污，被惠州市生态环境局处人民币9万元罚款。</w:t>
      </w:r>
    </w:p>
    <w:p>
      <w:pPr>
        <w:widowControl/>
        <w:spacing w:line="360" w:lineRule="auto"/>
        <w:rPr>
          <w:color w:val="000000"/>
          <w:sz w:val="24"/>
        </w:rPr>
      </w:pPr>
      <w:r>
        <w:rPr>
          <w:color w:val="000000"/>
          <w:sz w:val="24"/>
        </w:rPr>
        <w:t>2019年11月15日，杭州市税务局针对杭州泰格医药科技股份有限公司以下违法违规行为：1. 员工支付补充商业医疗保险，支出未并计当月的工资薪金收入代扣代缴相应的个人所得税；2. 将非本公司员工的补充商业医疗保险在管理费用列支，分别处以罚款69673元和20077.24元。</w:t>
      </w:r>
    </w:p>
    <w:p>
      <w:pPr>
        <w:widowControl/>
        <w:spacing w:line="360" w:lineRule="auto"/>
        <w:rPr>
          <w:color w:val="000000"/>
          <w:sz w:val="24"/>
        </w:rPr>
      </w:pPr>
      <w:r>
        <w:rPr>
          <w:color w:val="000000"/>
          <w:sz w:val="24"/>
        </w:rPr>
        <w:t>本基金投资广东骏亚、泰格医药的投资决策程序符合公司投资制度的规定。</w:t>
      </w:r>
    </w:p>
    <w:p>
      <w:pPr>
        <w:widowControl/>
        <w:spacing w:line="360" w:lineRule="auto"/>
        <w:rPr>
          <w:color w:val="000000"/>
          <w:sz w:val="24"/>
        </w:rPr>
      </w:pPr>
      <w:r>
        <w:rPr>
          <w:color w:val="000000"/>
          <w:sz w:val="24"/>
        </w:rPr>
        <w:t>除广东骏亚、泰格医药外，本基金投资的前十名证券的发行主体本期没有出现被监管部门立案调查，或在报告编制日前一年内受到公开谴责、处罚的情形。</w:t>
      </w:r>
    </w:p>
    <w:p w:rsidP="006456D3" w:rsidR="00F016DD" w:rsidRDefault="00B63F2B" w:rsidRPr="00414367">
      <w:pPr>
        <w:widowControl/>
        <w:spacing w:line="360" w:lineRule="auto"/>
        <w:rPr>
          <w:color w:val="000000"/>
          <w:sz w:val="24"/>
        </w:rPr>
      </w:pPr>
      <w:r>
        <w:rPr>
          <w:rFonts w:hint="eastAsia"/>
          <w:color w:val="000000"/>
          <w:sz w:val="24"/>
        </w:rPr>
        <w:t/>
      </w:r>
      <w:r w:rsidR="00F016DD" w:rsidRPr="00414367">
        <w:rPr>
          <w:color w:val="000000"/>
          <w:sz w:val="24"/>
        </w:rPr>
        <w:t/>
      </w:r>
      <w:proofErr w:type="gramStart"/>
      <w:r w:rsidR="00F016DD" w:rsidRPr="00414367">
        <w:rPr>
          <w:color w:val="000000"/>
          <w:sz w:val="24"/>
        </w:rPr>
        <w:t/>
      </w:r>
      <w:proofErr w:type="gramEnd"/>
      <w:r w:rsidR="00F016DD" w:rsidRPr="00414367">
        <w:rPr>
          <w:color w:val="000000"/>
          <w:sz w:val="24"/>
        </w:rPr>
        <w:t>5.11.2</w:t>
      </w:r>
      <w:r w:rsidR="00293065">
        <w:rPr>
          <w:rFonts w:hint="eastAsia"/>
          <w:color w:val="000000"/>
          <w:sz w:val="24"/>
        </w:rPr>
        <w:t xml:space="preserve"> </w:t>
      </w:r>
      <w:r w:rsidR="00F016DD" w:rsidRPr="00414367">
        <w:rPr>
          <w:color w:val="000000"/>
          <w:sz w:val="24"/>
        </w:rPr>
        <w:t>本基金投资的前十名股票没有超出基金合同规定的备选股票库。</w:t>
      </w:r>
    </w:p>
    <w:p w:rsidP="001D5CD0" w:rsidR="00F016DD" w:rsidRDefault="00F016DD" w:rsidRPr="00414367">
      <w:pPr>
        <w:autoSpaceDE w:val="0"/>
        <w:autoSpaceDN w:val="0"/>
        <w:adjustRightInd w:val="0"/>
        <w:spacing w:line="360" w:lineRule="auto"/>
        <w:rPr>
          <w:kern w:val="0"/>
          <w:sz w:val="24"/>
        </w:rPr>
      </w:pPr>
      <w:r w:rsidRPr="00414367">
        <w:rPr>
          <w:kern w:val="0"/>
          <w:sz w:val="24"/>
        </w:rPr>
        <w:lastRenderedPageBreak/>
        <w:t/>
      </w:r>
      <w:proofErr w:type="gramStart"/>
      <w:r w:rsidRPr="00414367">
        <w:rPr>
          <w:kern w:val="0"/>
          <w:sz w:val="24"/>
        </w:rPr>
        <w:t/>
      </w:r>
      <w:proofErr w:type="gramEnd"/>
      <w:r w:rsidRPr="00414367">
        <w:rPr>
          <w:kern w:val="0"/>
          <w:sz w:val="24"/>
        </w:rPr>
        <w:t>5.11.3</w:t>
      </w:r>
      <w:r w:rsidRPr="00414367">
        <w:rPr>
          <w:kern w:val="0"/>
          <w:sz w:val="24"/>
        </w:rPr>
        <w:t>其他资产构成</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235"/>
        <w:gridCol w:w="2761"/>
        <w:gridCol w:w="4808"/>
      </w:tblGrid>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7"/>
              <w:jc w:val="center"/>
              <w:rPr>
                <w:color w:val="000000"/>
                <w:kern w:val="0"/>
                <w:sz w:val="24"/>
              </w:rPr>
            </w:pPr>
            <w:r w:rsidRPr="00FA472B">
              <w:rPr>
                <w:color w:val="000000"/>
                <w:kern w:val="0"/>
                <w:sz w:val="24"/>
              </w:rPr>
              <w:t>序号</w:t>
            </w:r>
          </w:p>
        </w:tc>
        <w:tc>
          <w:tcPr>
            <w:tcW w:type="dxa" w:w="2761"/>
            <w:vAlign w:val="center"/>
          </w:tcPr>
          <w:p w:rsidP="00F4518C" w:rsidR="00F016DD" w:rsidRDefault="00F016DD" w:rsidRPr="00FA472B">
            <w:pPr>
              <w:autoSpaceDE w:val="0"/>
              <w:autoSpaceDN w:val="0"/>
              <w:adjustRightInd w:val="0"/>
              <w:spacing w:before="29" w:line="360" w:lineRule="auto"/>
              <w:ind w:left="17"/>
              <w:jc w:val="center"/>
              <w:rPr>
                <w:color w:val="000000"/>
                <w:kern w:val="0"/>
                <w:sz w:val="24"/>
              </w:rPr>
            </w:pPr>
            <w:r w:rsidRPr="00FA472B">
              <w:rPr>
                <w:color w:val="000000"/>
                <w:kern w:val="0"/>
                <w:sz w:val="24"/>
              </w:rPr>
              <w:t>名称</w:t>
            </w:r>
          </w:p>
        </w:tc>
        <w:tc>
          <w:tcPr>
            <w:tcW w:type="dxa" w:w="4808"/>
            <w:vAlign w:val="center"/>
          </w:tcPr>
          <w:p w:rsidP="00F4518C" w:rsidR="00F016DD" w:rsidRDefault="00F016DD" w:rsidRPr="00FA472B">
            <w:pPr>
              <w:autoSpaceDE w:val="0"/>
              <w:autoSpaceDN w:val="0"/>
              <w:adjustRightInd w:val="0"/>
              <w:spacing w:before="29" w:line="360" w:lineRule="auto"/>
              <w:ind w:left="17"/>
              <w:jc w:val="center"/>
              <w:rPr>
                <w:color w:val="000000"/>
                <w:kern w:val="0"/>
                <w:sz w:val="24"/>
              </w:rPr>
            </w:pPr>
            <w:r w:rsidRPr="00FA472B">
              <w:rPr>
                <w:color w:val="000000"/>
                <w:kern w:val="0"/>
                <w:sz w:val="24"/>
              </w:rPr>
              <w:t>金额</w:t>
            </w:r>
            <w:r w:rsidRPr="00FA472B">
              <w:rPr>
                <w:color w:val="000000"/>
                <w:kern w:val="0"/>
                <w:sz w:val="24"/>
              </w:rPr>
              <w:t>(</w:t>
            </w:r>
            <w:r w:rsidRPr="00FA472B">
              <w:rPr>
                <w:color w:val="000000"/>
                <w:kern w:val="0"/>
                <w:sz w:val="24"/>
              </w:rPr>
              <w:t>元</w:t>
            </w:r>
            <w:r w:rsidRPr="00FA472B">
              <w:rPr>
                <w:color w:val="000000"/>
                <w:kern w:val="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kern w:val="0"/>
                <w:sz w:val="24"/>
              </w:rPr>
            </w:pPr>
            <w:r w:rsidRPr="00FA472B">
              <w:rPr>
                <w:color w:val="000000"/>
                <w:sz w:val="24"/>
              </w:rPr>
              <w:t>1</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存出保证金</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50,338.02</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2</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应收证券清算款</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186,165.53</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3</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应收股利</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4</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应收利息</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4,325.28</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5</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应收申购款</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489,158.11</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6</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其他应收款</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7</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sz w:val="24"/>
              </w:rPr>
            </w:pPr>
            <w:r w:rsidRPr="00FA472B">
              <w:rPr>
                <w:color w:val="000000"/>
                <w:sz w:val="24"/>
              </w:rPr>
              <w:t>待摊费用</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8</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其他</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9</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合计</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729,986.94</w:t>
            </w:r>
          </w:p>
        </w:tc>
      </w:tr>
    </w:tbl>
    <w:p w:rsidP="001D5CD0" w:rsidR="00F016DD" w:rsidRDefault="00F016DD" w:rsidRPr="00E7356F">
      <w:pPr>
        <w:autoSpaceDE w:val="0"/>
        <w:autoSpaceDN w:val="0"/>
        <w:adjustRightInd w:val="0"/>
        <w:spacing w:line="360" w:lineRule="auto"/>
        <w:jc w:val="left"/>
        <w:rPr>
          <w:rFonts w:ascii="宋体" w:cs="Arial"/>
          <w:kern w:val="0"/>
          <w:sz w:val="24"/>
        </w:rPr>
      </w:pPr>
      <w:r w:rsidRPr="00E7356F">
        <w:rPr>
          <w:rFonts w:ascii="宋体" w:cs="Arial"/>
          <w:kern w:val="0"/>
          <w:sz w:val="24"/>
        </w:rPr>
        <w:t/>
      </w:r>
      <w:proofErr w:type="gramStart"/>
      <w:r w:rsidRPr="00E7356F">
        <w:rPr>
          <w:rFonts w:ascii="宋体" w:cs="Arial" w:hAnsi="宋体"/>
          <w:kern w:val="0"/>
          <w:sz w:val="24"/>
        </w:rPr>
        <w:t/>
      </w:r>
      <w:proofErr w:type="gramEnd"/>
      <w:r w:rsidRPr="00E7356F">
        <w:rPr>
          <w:rFonts w:ascii="宋体" w:cs="Arial" w:hAnsi="宋体"/>
          <w:kern w:val="0"/>
          <w:sz w:val="24"/>
        </w:rPr>
        <w:t>5.11.4</w:t>
      </w:r>
      <w:r w:rsidRPr="00E7356F">
        <w:rPr>
          <w:rFonts w:ascii="宋体" w:cs="Arial" w:hAnsi="宋体" w:hint="eastAsia"/>
          <w:kern w:val="0"/>
          <w:sz w:val="24"/>
        </w:rPr>
        <w:t>报告期末持有的处于转股期的可转换债券明细</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本基金本报告期末未持有处于转股期的可转换债券。</w:t>
      </w:r>
    </w:p>
    <w:p w:rsidP="001D5CD0" w:rsidR="00F016DD" w:rsidRDefault="00F016DD" w:rsidRPr="00E7356F">
      <w:pPr>
        <w:autoSpaceDE w:val="0"/>
        <w:autoSpaceDN w:val="0"/>
        <w:adjustRightInd w:val="0"/>
        <w:spacing w:line="360" w:lineRule="auto"/>
        <w:jc w:val="left"/>
        <w:rPr>
          <w:rFonts w:ascii="宋体"/>
          <w:bCs/>
          <w:sz w:val="24"/>
        </w:rPr>
      </w:pPr>
      <w:r w:rsidRPr="00E7356F">
        <w:rPr>
          <w:rFonts w:ascii="宋体" w:cs="Arial"/>
          <w:kern w:val="0"/>
          <w:sz w:val="24"/>
        </w:rPr>
        <w:t/>
      </w:r>
      <w:proofErr w:type="gramStart"/>
      <w:r w:rsidRPr="00E7356F">
        <w:rPr>
          <w:rFonts w:ascii="宋体" w:cs="Arial" w:hAnsi="宋体"/>
          <w:kern w:val="0"/>
          <w:sz w:val="24"/>
        </w:rPr>
        <w:t/>
      </w:r>
      <w:proofErr w:type="gramEnd"/>
      <w:r w:rsidRPr="00E7356F">
        <w:rPr>
          <w:rFonts w:ascii="宋体" w:cs="Arial" w:hAnsi="宋体"/>
          <w:kern w:val="0"/>
          <w:sz w:val="24"/>
        </w:rPr>
        <w:t>5.11.5</w:t>
      </w:r>
      <w:r w:rsidRPr="00E7356F">
        <w:rPr>
          <w:rFonts w:ascii="宋体" w:hAnsi="宋体" w:hint="eastAsia"/>
          <w:bCs/>
          <w:sz w:val="24"/>
        </w:rPr>
        <w:t>报告期末前十名股票中存在流通受限情况的说明</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gramStart"/>
      <w:r w:rsidRPr="00DF18FE">
        <w:rPr>
          <w:color w:val="000000"/>
          <w:sz w:val="24"/>
        </w:rPr>
        <w:t/>
      </w:r>
      <w:proofErr w:type="gramEnd"/>
      <w:r w:rsidRPr="00DF18FE">
        <w:rPr>
          <w:color w:val="000000"/>
          <w:sz w:val="24"/>
        </w:rPr>
        <w:t>本基金本报告期末前十名股票中不存在流通受限情况。</w:t>
      </w: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hAnsi="宋体"/>
          <w:color w:val="000000"/>
          <w:kern w:val="0"/>
          <w:sz w:val="24"/>
          <w:szCs w:val="24"/>
        </w:rPr>
        <w:t xml:space="preserve">6  </w:t>
      </w:r>
      <w:r w:rsidRPr="0078105B">
        <w:rPr>
          <w:rFonts w:ascii="宋体" w:cs="Arial" w:hAnsi="宋体" w:hint="eastAsia"/>
          <w:color w:val="000000"/>
          <w:kern w:val="0"/>
          <w:sz w:val="24"/>
          <w:szCs w:val="24"/>
        </w:rPr>
        <w:t>开放式基金份额变动</w:t>
      </w:r>
    </w:p>
    <w:p w:rsidP="00302187" w:rsidR="00F016DD" w:rsidRDefault="00F016DD" w:rsidRPr="00FA472B">
      <w:pPr>
        <w:autoSpaceDE w:val="0"/>
        <w:autoSpaceDN w:val="0"/>
        <w:adjustRightInd w:val="0"/>
        <w:spacing w:before="29" w:line="288" w:lineRule="auto"/>
        <w:ind w:left="15" w:right="480"/>
        <w:jc w:val="right"/>
        <w:rPr>
          <w:rFonts w:ascii="宋体" w:cs="Arial" w:hAnsi="宋体"/>
          <w:color w:val="000000"/>
          <w:kern w:val="0"/>
          <w:sz w:val="24"/>
        </w:rPr>
      </w:pPr>
      <w:r w:rsidRPr="00FA472B">
        <w:rPr>
          <w:rFonts w:ascii="宋体" w:cs="Arial" w:hAnsi="宋体" w:hint="eastAsia"/>
          <w:color w:val="000000"/>
          <w:kern w:val="0"/>
          <w:sz w:val="24"/>
        </w:rPr>
        <w:t>单位：份</w:t>
      </w:r>
    </w:p>
    <w:tbl>
      <w:tblPr>
        <w:tblW w:type="auto" w:w="0"/>
        <w:tblInd w:type="dxa" w:w="-106"/>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3900"/>
        <w:gridCol w:w="2367"/>
        <w:gridCol w:w="2367"/>
      </w:tblGrid>
      <w:tr w:rsidR="00F016DD" w:rsidRPr="0078105B" w:rsidTr="0001612A">
        <w:tc>
          <w:tcPr>
            <w:tcW w:type="dxa" w:w="3900"/>
            <w:vAlign w:val="center"/>
          </w:tcPr>
          <w:p w:rsidP="00B84643" w:rsidR="00F016DD" w:rsidRDefault="00F016DD" w:rsidRPr="00FA472B">
            <w:pPr>
              <w:autoSpaceDE w:val="0"/>
              <w:autoSpaceDN w:val="0"/>
              <w:adjustRightInd w:val="0"/>
              <w:spacing w:before="29" w:line="360" w:lineRule="auto"/>
              <w:ind w:left="17"/>
              <w:jc w:val="center"/>
              <w:rPr>
                <w:color w:val="000000"/>
                <w:kern w:val="0"/>
                <w:sz w:val="24"/>
              </w:rPr>
            </w:pPr>
            <w:r w:rsidRPr="00FA472B">
              <w:rPr>
                <w:color w:val="000000"/>
                <w:kern w:val="0"/>
                <w:sz w:val="24"/>
              </w:rPr>
              <w:t>项目</w:t>
            </w:r>
            <w:r w:rsidRPr="00FA472B">
              <w:rPr>
                <w:color w:val="000000"/>
                <w:kern w:val="0"/>
              </w:rPr>
              <w:t/>
            </w:r>
            <w:proofErr w:type="spellStart"/>
            <w:r w:rsidRPr="00FA472B">
              <w:rPr>
                <w:color w:val="000000"/>
                <w:kern w:val="0"/>
              </w:rPr>
              <w:t/>
            </w:r>
            <w:proofErr w:type="spellEnd"/>
            <w:r w:rsidRPr="00FA472B">
              <w:rPr>
                <w:color w:val="000000"/>
                <w:kern w:val="0"/>
              </w:rPr>
              <w:t/>
            </w:r>
          </w:p>
        </w:tc>
        <w:tc>
          <w:tcPr>
            <w:tcW w:type="dxa" w:w="2367"/>
            <w:vAlign w:val="center"/>
          </w:tcPr>
          <w:p w:rsidP="00A1276C" w:rsidR="00F016DD" w:rsidRDefault="00F016DD" w:rsidRPr="00FA472B">
            <w:pPr>
              <w:autoSpaceDE w:val="0"/>
              <w:autoSpaceDN w:val="0"/>
              <w:adjustRightInd w:val="0"/>
              <w:spacing w:before="29" w:line="360" w:lineRule="auto"/>
              <w:ind w:left="17"/>
              <w:jc w:val="right"/>
              <w:rPr>
                <w:color w:val="000000"/>
                <w:sz w:val="24"/>
              </w:rPr>
            </w:pPr>
            <w:r w:rsidRPr="00FA472B">
              <w:rPr>
                <w:color w:val="000000"/>
                <w:kern w:val="0"/>
                <w:sz w:val="24"/>
              </w:rPr>
              <w:t/>
            </w:r>
            <w:proofErr w:type="spellStart"/>
            <w:r w:rsidRPr="00FA472B">
              <w:rPr>
                <w:sz w:val="24"/>
              </w:rPr>
              <w:t/>
            </w:r>
            <w:proofErr w:type="spellEnd"/>
            <w:r w:rsidRPr="00FA472B">
              <w:rPr>
                <w:sz w:val="24"/>
              </w:rPr>
              <w:t>易方达量化策略精选混合A</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kern w:val="0"/>
                <w:sz w:val="24"/>
              </w:rPr>
              <w:t/>
            </w:r>
            <w:r w:rsidRPr="00FA472B">
              <w:rPr>
                <w:sz w:val="24"/>
              </w:rPr>
              <w:t>易方达量化策略精选混合C</w:t>
            </w:r>
          </w:p>
        </w:tc>
      </w:tr>
      <w:tr w:rsidR="00F016DD" w:rsidRPr="0078105B" w:rsidTr="0001612A">
        <w:tc>
          <w:tcPr>
            <w:tcW w:type="dxa" w:w="3900"/>
            <w:vAlign w:val="center"/>
          </w:tcPr>
          <w:p w:rsidP="00A1276C" w:rsidR="00F016DD" w:rsidRDefault="00F016DD" w:rsidRPr="00FA472B">
            <w:pPr>
              <w:autoSpaceDE w:val="0"/>
              <w:autoSpaceDN w:val="0"/>
              <w:adjustRightInd w:val="0"/>
              <w:spacing w:before="29" w:line="360" w:lineRule="auto"/>
              <w:ind w:left="17"/>
              <w:jc w:val="left"/>
              <w:rPr>
                <w:color w:val="000000"/>
                <w:kern w:val="0"/>
                <w:sz w:val="24"/>
              </w:rPr>
            </w:pPr>
            <w:r w:rsidRPr="00FA472B">
              <w:rPr>
                <w:color w:val="000000"/>
                <w:kern w:val="0"/>
                <w:sz w:val="24"/>
              </w:rPr>
              <w:t>报告期期</w:t>
            </w:r>
            <w:proofErr w:type="gramStart"/>
            <w:r w:rsidRPr="00FA472B">
              <w:rPr>
                <w:color w:val="000000"/>
                <w:kern w:val="0"/>
                <w:sz w:val="24"/>
              </w:rPr>
              <w:t>初基金</w:t>
            </w:r>
            <w:proofErr w:type="gramEnd"/>
            <w:r w:rsidRPr="00FA472B">
              <w:rPr>
                <w:color w:val="000000"/>
                <w:kern w:val="0"/>
                <w:sz w:val="24"/>
              </w:rPr>
              <w:t>份额总额</w:t>
            </w:r>
          </w:p>
        </w:tc>
        <w:tc>
          <w:tcPr>
            <w:tcW w:type="dxa" w:w="2367"/>
            <w:vAlign w:val="center"/>
          </w:tcPr>
          <w:p w:rsidP="00A1276C"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68,236,952.80</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40,088,885.18</w:t>
            </w:r>
          </w:p>
        </w:tc>
      </w:tr>
      <w:tr w:rsidR="00F016DD" w:rsidRPr="0078105B" w:rsidTr="0001612A">
        <w:tc>
          <w:tcPr>
            <w:tcW w:type="dxa" w:w="3900"/>
            <w:vAlign w:val="center"/>
          </w:tcPr>
          <w:p w:rsidP="00A1276C" w:rsidR="00F016DD" w:rsidRDefault="00F016DD" w:rsidRPr="00FA472B">
            <w:pPr>
              <w:autoSpaceDE w:val="0"/>
              <w:autoSpaceDN w:val="0"/>
              <w:adjustRightInd w:val="0"/>
              <w:spacing w:before="29" w:line="360" w:lineRule="auto"/>
              <w:ind w:left="17"/>
              <w:jc w:val="lef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报告期</w:t>
            </w:r>
            <w:r w:rsidRPr="00FA472B">
              <w:rPr>
                <w:color w:val="000000"/>
                <w:kern w:val="0"/>
                <w:sz w:val="24"/>
              </w:rPr>
              <w:t>基金总申购份额</w:t>
            </w:r>
          </w:p>
        </w:tc>
        <w:tc>
          <w:tcPr>
            <w:tcW w:type="dxa" w:w="2367"/>
            <w:vAlign w:val="center"/>
          </w:tcPr>
          <w:p w:rsidP="00A1276C"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26,286,260.07</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52,169,214.76</w:t>
            </w:r>
          </w:p>
        </w:tc>
      </w:tr>
      <w:tr w:rsidR="00F016DD" w:rsidRPr="0078105B" w:rsidTr="0001612A">
        <w:tc>
          <w:tcPr>
            <w:tcW w:type="dxa" w:w="3900"/>
            <w:vAlign w:val="center"/>
          </w:tcPr>
          <w:p w:rsidP="00A1276C" w:rsidR="00F016DD" w:rsidRDefault="00F016DD" w:rsidRPr="00FA472B">
            <w:pPr>
              <w:autoSpaceDE w:val="0"/>
              <w:autoSpaceDN w:val="0"/>
              <w:adjustRightInd w:val="0"/>
              <w:spacing w:before="29" w:line="360" w:lineRule="auto"/>
              <w:ind w:left="17"/>
              <w:jc w:val="left"/>
              <w:rPr>
                <w:color w:val="000000"/>
                <w:kern w:val="0"/>
                <w:sz w:val="24"/>
              </w:rPr>
            </w:pPr>
            <w:r w:rsidRPr="00FA472B">
              <w:rPr>
                <w:color w:val="000000"/>
                <w:kern w:val="0"/>
                <w:sz w:val="24"/>
              </w:rPr>
              <w:t>减：</w:t>
            </w:r>
            <w:r w:rsidRPr="00FA472B">
              <w:rPr>
                <w:color w:val="000000"/>
                <w:kern w:val="0"/>
                <w:sz w:val="24"/>
              </w:rPr>
              <w:t/>
            </w:r>
            <w:proofErr w:type="spellStart"/>
            <w:r w:rsidRPr="00FA472B">
              <w:rPr>
                <w:color w:val="000000"/>
                <w:kern w:val="0"/>
                <w:sz w:val="24"/>
              </w:rPr>
              <w:t/>
            </w:r>
            <w:r w:rsidRPr="00FA472B">
              <w:rPr>
                <w:color w:val="000000"/>
                <w:kern w:val="0"/>
                <w:sz w:val="24"/>
              </w:rPr>
              <w:lastRenderedPageBreak/>
              <w:t/>
            </w:r>
            <w:proofErr w:type="spellEnd"/>
            <w:r w:rsidRPr="00FA472B">
              <w:rPr>
                <w:color w:val="000000"/>
                <w:kern w:val="0"/>
                <w:sz w:val="24"/>
              </w:rPr>
              <w:t>报告期</w:t>
            </w:r>
            <w:r w:rsidRPr="00FA472B">
              <w:rPr>
                <w:color w:val="000000"/>
                <w:kern w:val="0"/>
                <w:sz w:val="24"/>
              </w:rPr>
              <w:t>基金总赎回份额</w:t>
            </w:r>
          </w:p>
        </w:tc>
        <w:tc>
          <w:tcPr>
            <w:tcW w:type="dxa" w:w="2367"/>
            <w:vAlign w:val="center"/>
          </w:tcPr>
          <w:p w:rsidP="00A1276C"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lastRenderedPageBreak/>
              <w:t/>
            </w:r>
            <w:proofErr w:type="spellStart"/>
            <w:r w:rsidRPr="00FA472B">
              <w:rPr>
                <w:color w:val="000000"/>
                <w:sz w:val="24"/>
              </w:rPr>
              <w:t/>
            </w:r>
            <w:r w:rsidRPr="00FA472B">
              <w:rPr>
                <w:color w:val="000000"/>
                <w:sz w:val="24"/>
              </w:rPr>
              <w:lastRenderedPageBreak/>
              <w:t/>
            </w:r>
            <w:proofErr w:type="spellEnd"/>
            <w:r w:rsidRPr="00FA472B">
              <w:rPr>
                <w:color w:val="000000"/>
                <w:sz w:val="24"/>
              </w:rPr>
              <w:t>10,307,765.70</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lastRenderedPageBreak/>
              <w:t/>
            </w:r>
            <w:r w:rsidRPr="00FA472B">
              <w:rPr>
                <w:color w:val="000000"/>
                <w:sz w:val="24"/>
              </w:rPr>
              <w:lastRenderedPageBreak/>
              <w:t>19,378,167.22</w:t>
            </w:r>
          </w:p>
        </w:tc>
      </w:tr>
      <w:tr w:rsidR="00F016DD" w:rsidRPr="0078105B" w:rsidTr="0001612A">
        <w:tc>
          <w:tcPr>
            <w:tcW w:type="dxa" w:w="3900"/>
            <w:vAlign w:val="center"/>
          </w:tcPr>
          <w:p w:rsidP="00A1276C" w:rsidR="00F016DD" w:rsidRDefault="00F016DD" w:rsidRPr="00FA472B">
            <w:pPr>
              <w:autoSpaceDE w:val="0"/>
              <w:autoSpaceDN w:val="0"/>
              <w:adjustRightInd w:val="0"/>
              <w:spacing w:before="29" w:line="360" w:lineRule="auto"/>
              <w:ind w:left="17"/>
              <w:jc w:val="left"/>
              <w:rPr>
                <w:color w:val="000000"/>
                <w:kern w:val="0"/>
                <w:sz w:val="24"/>
              </w:rPr>
            </w:pPr>
            <w:r w:rsidRPr="00FA472B">
              <w:rPr>
                <w:color w:val="000000"/>
                <w:kern w:val="0"/>
                <w:sz w:val="24"/>
              </w:rPr>
              <w:lastRenderedPageBreak/>
              <w:t/>
            </w:r>
            <w:proofErr w:type="spellStart"/>
            <w:r w:rsidRPr="00FA472B">
              <w:rPr>
                <w:color w:val="000000"/>
                <w:kern w:val="0"/>
                <w:sz w:val="24"/>
              </w:rPr>
              <w:t/>
            </w:r>
            <w:proofErr w:type="spellEnd"/>
            <w:r w:rsidRPr="00FA472B">
              <w:rPr>
                <w:color w:val="000000"/>
                <w:kern w:val="0"/>
                <w:sz w:val="24"/>
              </w:rPr>
              <w:t>报告期</w:t>
            </w:r>
            <w:r w:rsidRPr="00FA472B">
              <w:rPr>
                <w:color w:val="000000"/>
                <w:kern w:val="0"/>
                <w:sz w:val="24"/>
              </w:rPr>
              <w:t>基金拆分变动份额</w:t>
            </w:r>
            <w:r w:rsidR="009533AD" w:rsidRPr="009533AD">
              <w:rPr>
                <w:rFonts w:hint="eastAsia"/>
                <w:color w:val="000000"/>
                <w:kern w:val="0"/>
                <w:sz w:val="24"/>
              </w:rPr>
              <w:t>（份额减少以“</w:t>
            </w:r>
            <w:r w:rsidR="009533AD" w:rsidRPr="009533AD">
              <w:rPr>
                <w:rFonts w:hint="eastAsia"/>
                <w:color w:val="000000"/>
                <w:kern w:val="0"/>
                <w:sz w:val="24"/>
              </w:rPr>
              <w:t>-</w:t>
            </w:r>
            <w:r w:rsidR="009533AD" w:rsidRPr="009533AD">
              <w:rPr>
                <w:rFonts w:hint="eastAsia"/>
                <w:color w:val="000000"/>
                <w:kern w:val="0"/>
                <w:sz w:val="24"/>
              </w:rPr>
              <w:t>”填列）</w:t>
            </w:r>
          </w:p>
        </w:tc>
        <w:tc>
          <w:tcPr>
            <w:tcW w:type="dxa" w:w="2367"/>
            <w:vAlign w:val="center"/>
          </w:tcPr>
          <w:p w:rsidP="00A1276C"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w:t>
            </w:r>
          </w:p>
        </w:tc>
      </w:tr>
      <w:tr w:rsidR="00F016DD" w:rsidRPr="0078105B" w:rsidTr="0001612A">
        <w:tc>
          <w:tcPr>
            <w:tcW w:type="dxa" w:w="3900"/>
            <w:vAlign w:val="center"/>
          </w:tcPr>
          <w:p w:rsidP="00A1276C" w:rsidR="00F016DD" w:rsidRDefault="00F016DD" w:rsidRPr="00FA472B">
            <w:pPr>
              <w:autoSpaceDE w:val="0"/>
              <w:autoSpaceDN w:val="0"/>
              <w:adjustRightInd w:val="0"/>
              <w:spacing w:before="29" w:line="360" w:lineRule="auto"/>
              <w:ind w:left="17"/>
              <w:jc w:val="left"/>
              <w:rPr>
                <w:color w:val="000000"/>
                <w:kern w:val="0"/>
                <w:sz w:val="24"/>
              </w:rPr>
            </w:pPr>
            <w:r w:rsidRPr="00FA472B">
              <w:rPr>
                <w:color w:val="000000"/>
                <w:kern w:val="0"/>
                <w:sz w:val="24"/>
              </w:rPr>
              <w:t>报告期期末基金份额总额</w:t>
            </w:r>
          </w:p>
        </w:tc>
        <w:tc>
          <w:tcPr>
            <w:tcW w:type="dxa" w:w="2367"/>
            <w:vAlign w:val="center"/>
          </w:tcPr>
          <w:p w:rsidP="00B57BCF"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84,215,447.17</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72,879,932.72</w:t>
            </w:r>
          </w:p>
        </w:tc>
      </w:tr>
    </w:tbl>
    <w:p w:rsidP="00B54884" w:rsidR="00F016DD" w:rsidRDefault="00F016DD">
      <w:pPr>
        <w:pStyle w:val="1"/>
        <w:tabs>
          <w:tab w:pos="4156" w:val="center"/>
          <w:tab w:pos="8312" w:val="right"/>
        </w:tabs>
        <w:spacing w:after="312" w:afterLines="100" w:before="312" w:beforeLines="100" w:line="360" w:lineRule="auto"/>
        <w:jc w:val="center"/>
        <w:rPr>
          <w:rFonts w:ascii="方正仿宋简体"/>
          <w:sz w:val="24"/>
          <w:szCs w:val="24"/>
        </w:rPr>
      </w:pPr>
      <w:r w:rsidRPr="00AB67DE">
        <w:rPr>
          <w:rFonts w:ascii="宋体"/>
          <w:color w:val="000000"/>
          <w:kern w:val="0"/>
          <w:sz w:val="24"/>
          <w:szCs w:val="24"/>
        </w:rPr>
        <w:t/>
      </w:r>
      <w:proofErr w:type="spellStart"/>
      <w:r w:rsidRPr="00AB67DE">
        <w:rPr>
          <w:rFonts w:ascii="宋体" w:hAnsi="宋体"/>
          <w:color w:val="000000"/>
          <w:kern w:val="0"/>
          <w:sz w:val="24"/>
          <w:szCs w:val="24"/>
        </w:rPr>
        <w:t/>
      </w:r>
      <w:proofErr w:type="spellEnd"/>
      <w:r w:rsidRPr="00AB67DE">
        <w:rPr>
          <w:rFonts w:ascii="宋体" w:hAnsi="宋体"/>
          <w:color w:val="000000"/>
          <w:kern w:val="0"/>
          <w:sz w:val="24"/>
          <w:szCs w:val="24"/>
        </w:rPr>
        <w:t/>
      </w:r>
      <w:r w:rsidRPr="00AB67DE">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
      </w:r>
      <w:r w:rsidRPr="00AB67DE">
        <w:rPr>
          <w:rFonts w:ascii="宋体" w:cs="Arial"/>
          <w:color w:val="000000"/>
          <w:kern w:val="0"/>
          <w:sz w:val="24"/>
          <w:szCs w:val="24"/>
        </w:rPr>
        <w:t>7</w:t>
      </w:r>
      <w:r w:rsidR="0066098B" w:rsidRPr="0078105B">
        <w:rPr>
          <w:rFonts w:ascii="宋体" w:cs="Arial" w:hAnsi="宋体"/>
          <w:color w:val="000000"/>
          <w:kern w:val="0"/>
          <w:sz w:val="24"/>
          <w:szCs w:val="24"/>
        </w:rPr>
        <w:t xml:space="preserve">  </w:t>
      </w:r>
      <w:r w:rsidRPr="0016464C">
        <w:rPr>
          <w:rFonts w:ascii="方正仿宋简体" w:hint="eastAsia"/>
          <w:sz w:val="24"/>
          <w:szCs w:val="24"/>
        </w:rPr>
        <w:t>基金管理人运用</w:t>
      </w:r>
      <w:proofErr w:type="gramStart"/>
      <w:r w:rsidRPr="0016464C">
        <w:rPr>
          <w:rFonts w:ascii="方正仿宋简体" w:hint="eastAsia"/>
          <w:sz w:val="24"/>
          <w:szCs w:val="24"/>
        </w:rPr>
        <w:t>固有资金</w:t>
      </w:r>
      <w:proofErr w:type="gramEnd"/>
      <w:r w:rsidRPr="0016464C">
        <w:rPr>
          <w:rFonts w:ascii="方正仿宋简体" w:hint="eastAsia"/>
          <w:sz w:val="24"/>
          <w:szCs w:val="24"/>
        </w:rPr>
        <w:t>投资本基金情况</w:t>
      </w:r>
    </w:p>
    <w:p w:rsidP="00935FB1" w:rsidR="00F016DD" w:rsidRDefault="00F016DD" w:rsidRPr="00B76BBB">
      <w:pPr>
        <w:spacing w:line="360" w:lineRule="auto"/>
        <w:jc w:val="left"/>
        <w:rPr>
          <w:sz w:val="24"/>
        </w:rPr>
      </w:pPr>
      <w:r w:rsidRPr="00297260">
        <w:rPr>
          <w:b/>
          <w:sz w:val="24"/>
        </w:rPr>
        <w:t/>
      </w:r>
      <w:proofErr w:type="spellStart"/>
      <w:r w:rsidRPr="00297260">
        <w:rPr>
          <w:b/>
          <w:sz w:val="24"/>
        </w:rPr>
        <w:t/>
      </w:r>
      <w:proofErr w:type="spellEnd"/>
      <w:r w:rsidRPr="00297260">
        <w:rPr>
          <w:b/>
          <w:sz w:val="24"/>
        </w:rPr>
        <w:t/>
      </w:r>
      <w:r>
        <w:rPr>
          <w:b/>
          <w:sz w:val="24"/>
        </w:rPr>
        <w:t/>
      </w:r>
      <w:proofErr w:type="gramStart"/>
      <w:r>
        <w:rPr>
          <w:b/>
          <w:sz w:val="24"/>
        </w:rPr>
        <w:t/>
      </w:r>
      <w:proofErr w:type="gramEnd"/>
      <w:r>
        <w:rPr>
          <w:b/>
          <w:sz w:val="24"/>
        </w:rPr>
        <w:t xml:space="preserve">7.1 </w:t>
      </w:r>
      <w:r>
        <w:rPr>
          <w:rFonts w:hint="eastAsia"/>
          <w:b/>
          <w:sz w:val="24"/>
        </w:rPr>
        <w:t>基</w:t>
      </w:r>
      <w:r w:rsidRPr="00B404F1">
        <w:rPr>
          <w:rFonts w:hint="eastAsia"/>
          <w:b/>
          <w:sz w:val="24"/>
        </w:rPr>
        <w:t>金管理人持有本基金份额变动情况</w:t>
      </w:r>
    </w:p>
    <w:p w:rsidP="00DF18FE" w:rsidR="00F016DD" w:rsidRDefault="00CC78C7" w:rsidRPr="00DF18FE">
      <w:pPr>
        <w:spacing w:line="360" w:lineRule="auto"/>
        <w:ind w:firstLine="480" w:firstLineChars="200"/>
        <w:rPr>
          <w:color w:val="000000"/>
          <w:sz w:val="24"/>
        </w:rPr>
      </w:pPr>
      <w:r w:rsidRPr="00DF18FE">
        <w:rPr>
          <w:color w:val="000000"/>
          <w:sz w:val="24"/>
        </w:rPr>
        <w:t/>
      </w:r>
      <w:r w:rsidRPr="00EA6415">
        <w:rPr>
          <w:color w:val="000000"/>
          <w:sz w:val="24"/>
        </w:rPr>
        <w:t/>
      </w: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本报告期内基金管理人未持有本基金份额。</w:t>
      </w:r>
    </w:p>
    <w:p w:rsidP="00935FB1" w:rsidR="00F016DD" w:rsidRDefault="00F016DD" w:rsidRPr="00B76BBB">
      <w:pPr>
        <w:spacing w:line="360" w:lineRule="auto"/>
        <w:jc w:val="left"/>
        <w:rPr>
          <w:sz w:val="24"/>
        </w:rPr>
      </w:pPr>
      <w:r w:rsidRPr="00297260">
        <w:rPr>
          <w:b/>
          <w:sz w:val="24"/>
        </w:rPr>
        <w:t/>
      </w:r>
      <w:proofErr w:type="spellStart"/>
      <w:r w:rsidRPr="00297260">
        <w:rPr>
          <w:b/>
          <w:sz w:val="24"/>
        </w:rPr>
        <w:t/>
      </w:r>
      <w:proofErr w:type="spellEnd"/>
      <w:r w:rsidRPr="00297260">
        <w:rPr>
          <w:b/>
          <w:sz w:val="24"/>
        </w:rPr>
        <w:t/>
      </w:r>
      <w:r>
        <w:rPr>
          <w:b/>
          <w:sz w:val="24"/>
        </w:rPr>
        <w:t/>
      </w:r>
      <w:proofErr w:type="gramStart"/>
      <w:r>
        <w:rPr>
          <w:b/>
          <w:sz w:val="24"/>
        </w:rPr>
        <w:t/>
      </w:r>
      <w:proofErr w:type="gramEnd"/>
      <w:r>
        <w:rPr>
          <w:b/>
          <w:sz w:val="24"/>
        </w:rPr>
        <w:t xml:space="preserve">7.2 </w:t>
      </w:r>
      <w:r>
        <w:rPr>
          <w:rFonts w:hint="eastAsia"/>
          <w:b/>
          <w:sz w:val="24"/>
        </w:rPr>
        <w:t>基</w:t>
      </w:r>
      <w:r w:rsidRPr="00B404F1">
        <w:rPr>
          <w:rFonts w:hint="eastAsia"/>
          <w:b/>
          <w:sz w:val="24"/>
        </w:rPr>
        <w:t>金管理人运用固有资金投资本基金交易明细</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本报告期内基金管理人未运用固有资金申购、赎回、买卖本基金份额。</w:t>
      </w:r>
    </w:p>
    <w:p w:rsidP="00997454" w:rsidR="00997454" w:rsidRDefault="00997454" w:rsidRPr="00B75F09">
      <w:pPr>
        <w:pStyle w:val="1"/>
        <w:spacing w:after="312" w:afterLines="100" w:before="312" w:beforeLines="100" w:line="360" w:lineRule="auto"/>
        <w:jc w:val="center"/>
        <w:rPr>
          <w:rFonts w:ascii="宋体" w:cs="Arial" w:hAnsi="宋体"/>
          <w:color w:val="000000"/>
          <w:kern w:val="0"/>
          <w:sz w:val="24"/>
          <w:szCs w:val="24"/>
        </w:rPr>
      </w:pPr>
      <w:r w:rsidRPr="00B75F09">
        <w:rPr>
          <w:rFonts w:ascii="宋体" w:cs="Arial" w:hAnsi="宋体"/>
          <w:color w:val="000000"/>
          <w:kern w:val="0"/>
          <w:sz w:val="24"/>
          <w:szCs w:val="24"/>
        </w:rPr>
        <w:t/>
      </w:r>
      <w:proofErr w:type="spellStart"/>
      <w:r w:rsidRPr="00B75F09">
        <w:rPr>
          <w:rFonts w:ascii="宋体" w:cs="Arial" w:hAnsi="宋体"/>
          <w:color w:val="000000"/>
          <w:kern w:val="0"/>
          <w:sz w:val="24"/>
          <w:szCs w:val="24"/>
        </w:rPr>
        <w:t/>
      </w:r>
      <w:proofErr w:type="spellEnd"/>
      <w:r w:rsidRPr="00B75F09">
        <w:rPr>
          <w:rFonts w:ascii="宋体" w:cs="Arial" w:hAnsi="宋体"/>
          <w:color w:val="000000"/>
          <w:kern w:val="0"/>
          <w:sz w:val="24"/>
          <w:szCs w:val="24"/>
        </w:rPr>
        <w:t>§8</w:t>
      </w:r>
      <w:r w:rsidR="0066098B" w:rsidRPr="0078105B">
        <w:rPr>
          <w:rFonts w:ascii="宋体" w:cs="Arial" w:hAnsi="宋体"/>
          <w:color w:val="000000"/>
          <w:kern w:val="0"/>
          <w:sz w:val="24"/>
          <w:szCs w:val="24"/>
        </w:rPr>
        <w:t xml:space="preserve">  </w:t>
      </w:r>
      <w:r w:rsidRPr="00B75F09">
        <w:rPr>
          <w:rFonts w:ascii="宋体" w:cs="Arial" w:hAnsi="宋体"/>
          <w:color w:val="000000"/>
          <w:kern w:val="0"/>
          <w:sz w:val="24"/>
          <w:szCs w:val="24"/>
        </w:rPr>
        <w:t>影响投资者决策的其他重要信息</w:t>
      </w:r>
    </w:p>
    <w:p w:rsidP="00575C75" w:rsidR="00575C75" w:rsidRDefault="00575C75" w:rsidRPr="001F5F5D">
      <w:pPr>
        <w:autoSpaceDE w:val="0"/>
        <w:autoSpaceDN w:val="0"/>
        <w:adjustRightInd w:val="0"/>
        <w:spacing w:line="360" w:lineRule="auto"/>
        <w:jc w:val="left"/>
        <w:rPr>
          <w:rFonts w:ascii="宋体"/>
          <w:b/>
          <w:bCs/>
          <w:color w:val="000000"/>
          <w:kern w:val="0"/>
          <w:sz w:val="24"/>
        </w:rPr>
      </w:pPr>
      <w:r w:rsidRPr="001F5F5D">
        <w:rPr>
          <w:rFonts w:ascii="宋体"/>
          <w:b/>
          <w:bCs/>
          <w:color w:val="000000"/>
          <w:kern w:val="0"/>
          <w:sz w:val="24"/>
        </w:rPr>
        <w:t/>
      </w:r>
      <w:proofErr w:type="spellStart"/>
      <w:r w:rsidRPr="001F5F5D">
        <w:rPr>
          <w:rFonts w:ascii="宋体"/>
          <w:b/>
          <w:bCs/>
          <w:color w:val="000000"/>
          <w:kern w:val="0"/>
          <w:sz w:val="24"/>
        </w:rPr>
        <w:t/>
      </w:r>
      <w:proofErr w:type="spellEnd"/>
      <w:r w:rsidRPr="001F5F5D">
        <w:rPr>
          <w:rFonts w:ascii="宋体"/>
          <w:b/>
          <w:bCs/>
          <w:color w:val="000000"/>
          <w:kern w:val="0"/>
          <w:sz w:val="24"/>
        </w:rPr>
        <w:t/>
      </w:r>
      <w:proofErr w:type="gramStart"/>
      <w:r w:rsidRPr="001F5F5D">
        <w:rPr>
          <w:rFonts w:ascii="宋体"/>
          <w:b/>
          <w:bCs/>
          <w:color w:val="000000"/>
          <w:kern w:val="0"/>
          <w:sz w:val="24"/>
        </w:rPr>
        <w:t/>
      </w:r>
      <w:proofErr w:type="gramEnd"/>
      <w:r w:rsidRPr="001F5F5D">
        <w:rPr>
          <w:rFonts w:ascii="宋体"/>
          <w:b/>
          <w:bCs/>
          <w:color w:val="000000"/>
          <w:kern w:val="0"/>
          <w:sz w:val="24"/>
        </w:rPr>
        <w:t>8.1 报告期内单一投资者持有基金份额比例达到或超过20%的情况</w:t>
      </w:r>
    </w:p>
    <w:tbl>
      <w:tblPr>
        <w:tblStyle w:val="af2"/>
        <w:tblW w:type="dxa" w:w="9640"/>
        <w:jc w:val="center"/>
        <w:tblLayout w:type="fixed"/>
        <w:tblLook w:firstColumn="1" w:firstRow="1" w:lastColumn="0" w:lastRow="0" w:noHBand="0" w:noVBand="1" w:val="04A0"/>
      </w:tblPr>
      <w:tblGrid>
        <w:gridCol w:w="709"/>
        <w:gridCol w:w="709"/>
        <w:gridCol w:w="2126"/>
        <w:gridCol w:w="1276"/>
        <w:gridCol w:w="1276"/>
        <w:gridCol w:w="1276"/>
        <w:gridCol w:w="1417"/>
        <w:gridCol w:w="851"/>
      </w:tblGrid>
      <w:tr w:rsidR="00575C75" w:rsidRPr="00FC0759" w:rsidTr="00CD72D6">
        <w:trPr>
          <w:jc w:val="center"/>
        </w:trPr>
        <w:tc>
          <w:tcPr>
            <w:tcW w:type="dxa" w:w="709"/>
            <w:vMerge w:val="restart"/>
            <w:vAlign w:val="center"/>
          </w:tcPr>
          <w:p w:rsidP="00CD72D6" w:rsidR="00575C75" w:rsidRDefault="00575C75" w:rsidRPr="00FC0759">
            <w:pPr>
              <w:autoSpaceDE w:val="0"/>
              <w:autoSpaceDN w:val="0"/>
              <w:adjustRightInd w:val="0"/>
              <w:jc w:val="center"/>
              <w:rPr>
                <w:rFonts w:eastAsiaTheme="minorEastAsia"/>
                <w:b/>
                <w:bCs/>
                <w:color w:themeColor="text1" w:val="000000"/>
                <w:sz w:val="24"/>
              </w:rPr>
            </w:pPr>
            <w:r w:rsidRPr="00FC0759">
              <w:rPr>
                <w:color w:val="000000"/>
                <w:sz w:val="24"/>
              </w:rPr>
              <w:t>投资者类别</w:t>
            </w:r>
            <w:r w:rsidRPr="00FC0759">
              <w:rPr>
                <w:rFonts w:eastAsia="仿宋"/>
                <w:color w:themeColor="text1" w:val="000000"/>
                <w:sz w:val="24"/>
              </w:rPr>
              <w:t/>
            </w:r>
            <w:proofErr w:type="spellStart"/>
            <w:r w:rsidRPr="00FC0759">
              <w:rPr>
                <w:rFonts w:eastAsia="仿宋"/>
                <w:color w:themeColor="text1" w:val="000000"/>
                <w:sz w:val="24"/>
              </w:rPr>
              <w:t/>
            </w:r>
            <w:proofErr w:type="spellEnd"/>
            <w:r w:rsidRPr="00FC0759">
              <w:rPr>
                <w:rFonts w:eastAsia="仿宋"/>
                <w:color w:themeColor="text1" w:val="000000"/>
                <w:sz w:val="24"/>
              </w:rPr>
              <w:t/>
            </w:r>
            <w:proofErr w:type="spellStart"/>
            <w:r w:rsidRPr="00FC0759">
              <w:rPr>
                <w:rFonts w:eastAsia="仿宋"/>
                <w:color w:themeColor="text1" w:val="000000"/>
                <w:sz w:val="24"/>
              </w:rPr>
              <w:t/>
            </w:r>
            <w:proofErr w:type="spellEnd"/>
            <w:r w:rsidRPr="00FC0759">
              <w:rPr>
                <w:rFonts w:eastAsia="仿宋"/>
                <w:color w:themeColor="text1" w:val="000000"/>
                <w:sz w:val="24"/>
              </w:rPr>
              <w:t/>
            </w:r>
          </w:p>
        </w:tc>
        <w:tc>
          <w:tcPr>
            <w:tcW w:type="dxa" w:w="6663"/>
            <w:gridSpan w:val="5"/>
            <w:vAlign w:val="center"/>
          </w:tcPr>
          <w:p w:rsidP="00CD72D6" w:rsidR="00575C75" w:rsidRDefault="00575C75" w:rsidRPr="00FC0759">
            <w:pPr>
              <w:autoSpaceDE w:val="0"/>
              <w:autoSpaceDN w:val="0"/>
              <w:adjustRightInd w:val="0"/>
              <w:ind w:firstLine="1126"/>
              <w:jc w:val="center"/>
              <w:rPr>
                <w:rFonts w:eastAsiaTheme="minorEastAsia"/>
                <w:b/>
                <w:bCs/>
                <w:color w:themeColor="text1" w:val="000000"/>
                <w:sz w:val="24"/>
              </w:rPr>
            </w:pPr>
            <w:r w:rsidRPr="00FC0759">
              <w:rPr>
                <w:color w:val="000000"/>
                <w:sz w:val="24"/>
              </w:rPr>
              <w:t>报告期内持有基金份额变化情况</w:t>
            </w:r>
          </w:p>
        </w:tc>
        <w:tc>
          <w:tcPr>
            <w:tcW w:type="dxa" w:w="2268"/>
            <w:gridSpan w:val="2"/>
            <w:vAlign w:val="center"/>
          </w:tcPr>
          <w:p w:rsidP="00CD72D6" w:rsidR="00575C75" w:rsidRDefault="00575C75" w:rsidRPr="00FC0759">
            <w:pPr>
              <w:autoSpaceDE w:val="0"/>
              <w:autoSpaceDN w:val="0"/>
              <w:adjustRightInd w:val="0"/>
              <w:jc w:val="center"/>
              <w:rPr>
                <w:rFonts w:eastAsiaTheme="minorEastAsia"/>
                <w:b/>
                <w:bCs/>
                <w:color w:themeColor="text1" w:val="000000"/>
                <w:sz w:val="24"/>
              </w:rPr>
            </w:pPr>
            <w:r w:rsidRPr="00FC0759">
              <w:rPr>
                <w:color w:val="000000"/>
                <w:sz w:val="24"/>
              </w:rPr>
              <w:t>报告期末持有基金情况</w:t>
            </w:r>
          </w:p>
        </w:tc>
      </w:tr>
      <w:tr w:rsidR="00575C75" w:rsidRPr="00FC0759" w:rsidTr="00CD72D6">
        <w:trPr>
          <w:jc w:val="center"/>
        </w:trPr>
        <w:tc>
          <w:tcPr>
            <w:tcW w:type="dxa" w:w="709"/>
            <w:vMerge/>
            <w:vAlign w:val="center"/>
          </w:tcPr>
          <w:p w:rsidP="00CD72D6" w:rsidR="00575C75" w:rsidRDefault="00575C75" w:rsidRPr="00FC0759">
            <w:pPr>
              <w:autoSpaceDE w:val="0"/>
              <w:autoSpaceDN w:val="0"/>
              <w:adjustRightInd w:val="0"/>
              <w:ind w:firstLine="1234"/>
              <w:jc w:val="center"/>
              <w:rPr>
                <w:rFonts w:eastAsiaTheme="minorEastAsia"/>
                <w:b/>
                <w:bCs/>
                <w:color w:themeColor="text1" w:val="000000"/>
                <w:sz w:val="24"/>
              </w:rPr>
            </w:pPr>
          </w:p>
        </w:tc>
        <w:tc>
          <w:tcPr>
            <w:tcW w:type="dxa" w:w="709"/>
            <w:vAlign w:val="center"/>
          </w:tcPr>
          <w:p w:rsidP="00CD72D6" w:rsidR="00575C75" w:rsidRDefault="00575C75" w:rsidRPr="00FC0759">
            <w:pPr>
              <w:autoSpaceDE w:val="0"/>
              <w:autoSpaceDN w:val="0"/>
              <w:adjustRightInd w:val="0"/>
              <w:jc w:val="center"/>
              <w:rPr>
                <w:rFonts w:eastAsiaTheme="minorEastAsia"/>
                <w:b/>
                <w:bCs/>
                <w:color w:themeColor="text1" w:val="000000"/>
                <w:sz w:val="24"/>
              </w:rPr>
            </w:pPr>
            <w:r w:rsidRPr="00FC0759">
              <w:rPr>
                <w:color w:val="000000"/>
                <w:sz w:val="24"/>
              </w:rPr>
              <w:t>序号</w:t>
            </w:r>
          </w:p>
        </w:tc>
        <w:tc>
          <w:tcPr>
            <w:tcW w:type="dxa" w:w="2126"/>
            <w:vAlign w:val="center"/>
          </w:tcPr>
          <w:p w:rsidP="00CD72D6" w:rsidR="00575C75" w:rsidRDefault="00575C75" w:rsidRPr="00FC0759">
            <w:pPr>
              <w:autoSpaceDE w:val="0"/>
              <w:autoSpaceDN w:val="0"/>
              <w:adjustRightInd w:val="0"/>
              <w:jc w:val="center"/>
              <w:rPr>
                <w:rFonts w:eastAsiaTheme="minorEastAsia"/>
                <w:b/>
                <w:bCs/>
                <w:color w:themeColor="text1" w:val="000000"/>
                <w:sz w:val="24"/>
              </w:rPr>
            </w:pPr>
            <w:r w:rsidRPr="00FC0759">
              <w:rPr>
                <w:color w:val="000000"/>
                <w:sz w:val="24"/>
              </w:rPr>
              <w:t>持有基金份额比例达到或者超过</w:t>
            </w:r>
            <w:r w:rsidRPr="00FC0759">
              <w:rPr>
                <w:color w:val="000000"/>
                <w:sz w:val="24"/>
              </w:rPr>
              <w:t>20%</w:t>
            </w:r>
            <w:r w:rsidRPr="00FC0759">
              <w:rPr>
                <w:color w:val="000000"/>
                <w:sz w:val="24"/>
              </w:rPr>
              <w:t>的时间区间</w:t>
            </w:r>
          </w:p>
        </w:tc>
        <w:tc>
          <w:tcPr>
            <w:tcW w:type="dxa" w:w="1276"/>
            <w:vAlign w:val="center"/>
          </w:tcPr>
          <w:p w:rsidP="00CD72D6" w:rsidR="00575C75" w:rsidRDefault="00575C75" w:rsidRPr="00FC0759">
            <w:pPr>
              <w:widowControl/>
              <w:rPr>
                <w:rFonts w:eastAsiaTheme="minorEastAsia"/>
                <w:b/>
                <w:bCs/>
                <w:color w:themeColor="text1" w:val="000000"/>
                <w:sz w:val="24"/>
              </w:rPr>
            </w:pPr>
            <w:r w:rsidRPr="00FC0759">
              <w:rPr>
                <w:color w:val="000000"/>
                <w:sz w:val="24"/>
              </w:rPr>
              <w:t>期初份额</w:t>
            </w:r>
          </w:p>
        </w:tc>
        <w:tc>
          <w:tcPr>
            <w:tcW w:type="dxa" w:w="1276"/>
            <w:vAlign w:val="center"/>
          </w:tcPr>
          <w:p w:rsidP="00CD72D6" w:rsidR="00575C75" w:rsidRDefault="00575C75" w:rsidRPr="00FC0759">
            <w:pPr>
              <w:widowControl/>
              <w:rPr>
                <w:rFonts w:eastAsiaTheme="minorEastAsia"/>
                <w:b/>
                <w:bCs/>
                <w:color w:themeColor="text1" w:val="000000"/>
                <w:sz w:val="24"/>
              </w:rPr>
            </w:pPr>
            <w:r w:rsidRPr="00FC0759">
              <w:rPr>
                <w:color w:val="000000"/>
                <w:sz w:val="24"/>
              </w:rPr>
              <w:t>申购份额</w:t>
            </w:r>
          </w:p>
        </w:tc>
        <w:tc>
          <w:tcPr>
            <w:tcW w:type="dxa" w:w="1276"/>
            <w:vAlign w:val="center"/>
          </w:tcPr>
          <w:p w:rsidP="00CD72D6" w:rsidR="00575C75" w:rsidRDefault="00575C75" w:rsidRPr="00FC0759">
            <w:pPr>
              <w:widowControl/>
              <w:rPr>
                <w:rFonts w:eastAsiaTheme="minorEastAsia"/>
                <w:b/>
                <w:bCs/>
                <w:color w:themeColor="text1" w:val="000000"/>
                <w:sz w:val="24"/>
              </w:rPr>
            </w:pPr>
            <w:r w:rsidRPr="00FC0759">
              <w:rPr>
                <w:color w:val="000000"/>
                <w:sz w:val="24"/>
              </w:rPr>
              <w:t>赎回份额</w:t>
            </w:r>
          </w:p>
        </w:tc>
        <w:tc>
          <w:tcPr>
            <w:tcW w:type="dxa" w:w="1417"/>
            <w:vAlign w:val="center"/>
          </w:tcPr>
          <w:p w:rsidP="00CD72D6" w:rsidR="00575C75" w:rsidRDefault="00575C75" w:rsidRPr="00FC0759">
            <w:pPr>
              <w:autoSpaceDE w:val="0"/>
              <w:autoSpaceDN w:val="0"/>
              <w:adjustRightInd w:val="0"/>
              <w:jc w:val="center"/>
              <w:rPr>
                <w:rFonts w:eastAsiaTheme="minorEastAsia"/>
                <w:b/>
                <w:bCs/>
                <w:color w:themeColor="text1" w:val="000000"/>
                <w:sz w:val="24"/>
              </w:rPr>
            </w:pPr>
            <w:r w:rsidRPr="00FC0759">
              <w:rPr>
                <w:color w:val="000000"/>
                <w:sz w:val="24"/>
              </w:rPr>
              <w:t>持有份额</w:t>
            </w:r>
          </w:p>
        </w:tc>
        <w:tc>
          <w:tcPr>
            <w:tcW w:type="dxa" w:w="851"/>
            <w:vAlign w:val="center"/>
          </w:tcPr>
          <w:p w:rsidP="00CD72D6" w:rsidR="00575C75" w:rsidRDefault="00575C75" w:rsidRPr="00FC0759">
            <w:pPr>
              <w:autoSpaceDE w:val="0"/>
              <w:autoSpaceDN w:val="0"/>
              <w:adjustRightInd w:val="0"/>
              <w:jc w:val="center"/>
              <w:rPr>
                <w:rFonts w:eastAsiaTheme="minorEastAsia"/>
                <w:b/>
                <w:bCs/>
                <w:color w:themeColor="text1" w:val="000000"/>
                <w:sz w:val="24"/>
              </w:rPr>
            </w:pPr>
            <w:r w:rsidRPr="00FC0759">
              <w:rPr>
                <w:color w:val="000000"/>
                <w:sz w:val="24"/>
              </w:rPr>
              <w:t>份额占比</w:t>
            </w:r>
          </w:p>
        </w:tc>
      </w:tr>
      <w:tr>
        <w:tc>
          <w:tcPr>
            <w:vMerge w:val="restart"/>
            <w:vAlign w:val="center"/>
          </w:tcPr>
          <w:p>
            <w:r>
              <w:rPr>
                <w:rFonts w:eastAsiaTheme="minorEastAsia"/>
                <w:bCs/>
                <w:color w:themeColor="text1" w:val="000000"/>
                <w:sz w:val="24"/>
              </w:rPr>
              <w:t>机构</w:t>
            </w:r>
          </w:p>
        </w:tc>
        <w:tc>
          <w:tcPr>
            <w:vAlign w:val="center"/>
          </w:tcPr>
          <w:p>
            <w:pPr>
              <w:jc w:val="center"/>
            </w:pPr>
            <w:r>
              <w:rPr>
                <w:sz w:val="24"/>
              </w:rPr>
              <w:t>1</w:t>
            </w:r>
          </w:p>
        </w:tc>
        <w:tc>
          <w:tcPr>
            <w:vAlign w:val="center"/>
          </w:tcPr>
          <w:p>
            <w:pPr>
              <w:jc w:val="center"/>
            </w:pPr>
            <w:r>
              <w:rPr>
                <w:sz w:val="24"/>
              </w:rPr>
              <w:t>2020年07月01日~2020年09月30日</w:t>
            </w:r>
          </w:p>
        </w:tc>
        <w:tc>
          <w:tcPr>
            <w:vAlign w:val="center"/>
          </w:tcPr>
          <w:p>
            <w:pPr>
              <w:jc w:val="center"/>
            </w:pPr>
            <w:r>
              <w:rPr>
                <w:sz w:val="24"/>
              </w:rPr>
              <w:t>49,999,000.00</w:t>
            </w:r>
          </w:p>
        </w:tc>
        <w:tc>
          <w:tcPr>
            <w:vAlign w:val="center"/>
          </w:tcPr>
          <w:p>
            <w:pPr>
              <w:jc w:val="center"/>
            </w:pPr>
            <w:r>
              <w:rPr>
                <w:sz w:val="24"/>
              </w:rPr>
              <w:t>-</w:t>
            </w:r>
          </w:p>
        </w:tc>
        <w:tc>
          <w:tcPr>
            <w:vAlign w:val="center"/>
          </w:tcPr>
          <w:p>
            <w:pPr>
              <w:jc w:val="center"/>
            </w:pPr>
            <w:r>
              <w:rPr>
                <w:sz w:val="24"/>
              </w:rPr>
              <w:t>-</w:t>
            </w:r>
          </w:p>
        </w:tc>
        <w:tc>
          <w:tcPr>
            <w:vAlign w:val="center"/>
          </w:tcPr>
          <w:p>
            <w:pPr>
              <w:jc w:val="center"/>
            </w:pPr>
            <w:r>
              <w:rPr>
                <w:sz w:val="24"/>
              </w:rPr>
              <w:t>49,999,000.00</w:t>
            </w:r>
          </w:p>
        </w:tc>
        <w:tc>
          <w:tcPr>
            <w:vAlign w:val="center"/>
          </w:tcPr>
          <w:p>
            <w:pPr>
              <w:jc w:val="center"/>
            </w:pPr>
            <w:r>
              <w:rPr>
                <w:sz w:val="24"/>
              </w:rPr>
              <w:t>31.83%</w:t>
            </w:r>
          </w:p>
        </w:tc>
      </w:tr>
    </w:tbl>
    <w:tbl>
      <w:tblPr>
        <w:tblStyle w:val="af2"/>
        <w:tblW w:type="dxa" w:w="9637"/>
        <w:jc w:val="center"/>
        <w:tblLayout w:type="fixed"/>
        <w:tblLook w:firstColumn="1" w:firstRow="1" w:lastColumn="0" w:lastRow="0" w:noHBand="0" w:noVBand="1" w:val="04A0"/>
      </w:tblPr>
      <w:tblGrid>
        <w:gridCol w:w="9637"/>
      </w:tblGrid>
      <w:tr w:rsidR="00575C75" w:rsidRPr="00FC0759" w:rsidTr="00CD72D6">
        <w:trPr>
          <w:jc w:val="center"/>
        </w:trPr>
        <w:tc>
          <w:tcPr>
            <w:tcW w:type="dxa" w:w="9637"/>
            <w:vAlign w:val="center"/>
          </w:tcPr>
          <w:p w:rsidP="00BF07C4" w:rsidR="00575C75" w:rsidRDefault="00575C75" w:rsidRPr="00FC0759">
            <w:pPr>
              <w:autoSpaceDE w:val="0"/>
              <w:autoSpaceDN w:val="0"/>
              <w:adjustRightInd w:val="0"/>
              <w:jc w:val="center"/>
              <w:rPr>
                <w:sz w:val="24"/>
              </w:rPr>
            </w:pPr>
            <w:r w:rsidRPr="00FC0759">
              <w:rPr>
                <w:color w:val="000000"/>
                <w:sz w:val="24"/>
              </w:rPr>
              <w:t>产品特有风险</w:t>
            </w:r>
            <w:r w:rsidRPr="00FC0759">
              <w:rPr>
                <w:sz w:val="24"/>
              </w:rPr>
              <w:t/>
            </w:r>
            <w:proofErr w:type="spellStart"/>
            <w:r w:rsidRPr="00FC0759">
              <w:rPr>
                <w:sz w:val="24"/>
              </w:rPr>
              <w:t/>
            </w:r>
            <w:proofErr w:type="spellEnd"/>
            <w:r w:rsidRPr="00FC0759">
              <w:rPr>
                <w:sz w:val="24"/>
              </w:rPr>
              <w:t/>
            </w:r>
          </w:p>
        </w:tc>
      </w:tr>
      <w:tr w:rsidR="00575C75" w:rsidRPr="00FC0759" w:rsidTr="00CD72D6">
        <w:trPr>
          <w:jc w:val="center"/>
        </w:trPr>
        <w:tc>
          <w:tcPr>
            <w:tcW w:type="dxa" w:w="9637"/>
            <w:vAlign w:val="center"/>
          </w:tcPr>
          <w:p w:rsidP="00CD72D6" w:rsidR="00575C75" w:rsidRDefault="00575C75" w:rsidRPr="00FC0759">
            <w:pPr>
              <w:autoSpaceDE w:val="0"/>
              <w:autoSpaceDN w:val="0"/>
              <w:adjustRightInd w:val="0"/>
              <w:jc w:val="left"/>
              <w:rPr>
                <w:sz w:val="24"/>
              </w:rPr>
            </w:pPr>
            <w:r w:rsidRPr="00FC0759">
              <w:rPr>
                <w:sz w:val="24"/>
              </w:rPr>
              <w:t>报告期内，本基金存在单一投资者持有份额比例达到或超过20%的情况，由此可能导致的特有风险主要包括：当投资者持有份额占比较为集中时，个别投资者的大额赎回可能会对基金资产运作及净值表现产生较大影响；极端情况下基金管理人可能无法以合理价格及时变现基金资产以应对投资者的赎回申请，可能带来流动性风险；如个别投资者大额赎回引发巨额赎回，基金管理人可能根据基金合同约定决定部分延期赎回或暂停接受基金的赎回申请，可能影响投资者赎回业务办理；若个别投资者大额赎回后本基金出现连续六十个工作日基金资产净值低于5000万元，基金还可能面临转换运作方式、与其他基金合并或者终止基金合同等情形；持有基金份额占比较高的投资者在召开持有人大会并对审议事项进行投票表决时可能拥有较大话语权。</w:t>
            </w:r>
          </w:p>
        </w:tc>
      </w:tr>
    </w:tbl>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color w:val="000000"/>
          <w:kern w:val="0"/>
          <w:sz w:val="24"/>
          <w:szCs w:val="24"/>
        </w:rPr>
        <w:t/>
      </w:r>
      <w:r w:rsidRPr="0078105B">
        <w:rPr>
          <w:rFonts w:ascii="宋体" w:cs="Arial" w:hAnsi="宋体"/>
          <w:color w:val="000000"/>
          <w:kern w:val="0"/>
          <w:sz w:val="24"/>
          <w:szCs w:val="24"/>
        </w:rPr>
        <w:t>9</w:t>
      </w:r>
      <w:r w:rsidR="0066098B" w:rsidRPr="0078105B">
        <w:rPr>
          <w:rFonts w:ascii="宋体" w:cs="Arial" w:hAnsi="宋体"/>
          <w:color w:val="000000"/>
          <w:kern w:val="0"/>
          <w:sz w:val="24"/>
          <w:szCs w:val="24"/>
        </w:rPr>
        <w:t xml:space="preserve">  </w:t>
      </w:r>
      <w:r w:rsidRPr="0078105B">
        <w:rPr>
          <w:rFonts w:ascii="宋体" w:cs="Arial" w:hAnsi="宋体" w:hint="eastAsia"/>
          <w:color w:val="000000"/>
          <w:kern w:val="0"/>
          <w:sz w:val="24"/>
          <w:szCs w:val="24"/>
        </w:rPr>
        <w:t>备查文件目录</w:t>
      </w:r>
    </w:p>
    <w:p w:rsidP="00FC13C8" w:rsidR="00F016DD" w:rsidRDefault="00F016DD" w:rsidRPr="00E8153C">
      <w:pPr>
        <w:autoSpaceDE w:val="0"/>
        <w:autoSpaceDN w:val="0"/>
        <w:adjustRightInd w:val="0"/>
        <w:spacing w:line="360" w:lineRule="auto"/>
        <w:jc w:val="left"/>
        <w:rPr>
          <w:color w:val="000000"/>
          <w:kern w:val="0"/>
          <w:sz w:val="24"/>
        </w:rPr>
      </w:pPr>
      <w:r w:rsidRPr="00E8153C">
        <w:rPr>
          <w:color w:val="000000"/>
          <w:kern w:val="0"/>
          <w:sz w:val="24"/>
        </w:rPr>
        <w:t/>
      </w:r>
      <w:proofErr w:type="gramStart"/>
      <w:r w:rsidRPr="00E8153C">
        <w:rPr>
          <w:color w:val="000000"/>
          <w:kern w:val="0"/>
          <w:sz w:val="24"/>
        </w:rPr>
        <w:t/>
      </w:r>
      <w:proofErr w:type="gramEnd"/>
      <w:r w:rsidRPr="00E8153C">
        <w:rPr>
          <w:color w:val="000000"/>
          <w:kern w:val="0"/>
          <w:sz w:val="24"/>
        </w:rPr>
        <w:t>9.1</w:t>
      </w:r>
      <w:r w:rsidRPr="00E8153C">
        <w:rPr>
          <w:color w:val="000000"/>
          <w:kern w:val="0"/>
          <w:sz w:val="24"/>
        </w:rPr>
        <w:t>备查文件目录</w:t>
      </w:r>
    </w:p>
    <w:p>
      <w:pPr>
        <w:spacing w:line="360" w:lineRule="auto"/>
        <w:ind w:firstLine="480" w:firstLineChars="200"/>
        <w:rPr>
          <w:color w:val="000000"/>
          <w:sz w:val="24"/>
        </w:rPr>
      </w:pPr>
      <w:r>
        <w:rPr>
          <w:color w:val="000000"/>
          <w:sz w:val="24"/>
        </w:rPr>
        <w:t>1. 中国证监会准予易方达量化策略精选灵活配置混合型证券投资基金注册的文件；</w:t>
      </w:r>
    </w:p>
    <w:p>
      <w:pPr>
        <w:spacing w:line="360" w:lineRule="auto"/>
        <w:ind w:firstLine="480" w:firstLineChars="200"/>
        <w:rPr>
          <w:color w:val="000000"/>
          <w:sz w:val="24"/>
        </w:rPr>
      </w:pPr>
      <w:r>
        <w:rPr>
          <w:color w:val="000000"/>
          <w:sz w:val="24"/>
        </w:rPr>
        <w:t>2. 《易方达量化策略精选灵活配置混合型证券投资基金基金合同》；</w:t>
      </w:r>
    </w:p>
    <w:p>
      <w:pPr>
        <w:spacing w:line="360" w:lineRule="auto"/>
        <w:ind w:firstLine="480" w:firstLineChars="200"/>
        <w:rPr>
          <w:color w:val="000000"/>
          <w:sz w:val="24"/>
        </w:rPr>
      </w:pPr>
      <w:r>
        <w:rPr>
          <w:color w:val="000000"/>
          <w:sz w:val="24"/>
        </w:rPr>
        <w:t>3. 《易方达量化策略精选灵活配置混合型证券投资基金托管协议》；</w:t>
      </w:r>
    </w:p>
    <w:p>
      <w:pPr>
        <w:spacing w:line="360" w:lineRule="auto"/>
        <w:ind w:firstLine="480" w:firstLineChars="200"/>
        <w:rPr>
          <w:color w:val="000000"/>
          <w:sz w:val="24"/>
        </w:rPr>
      </w:pPr>
      <w:r>
        <w:rPr>
          <w:color w:val="000000"/>
          <w:sz w:val="24"/>
        </w:rPr>
        <w:t>4. 《易方达基金管理有限公司开放式基金业务规则》；</w:t>
      </w:r>
    </w:p>
    <w:p w:rsidP="00DF18FE" w:rsidR="00F016DD" w:rsidRDefault="00F016DD" w:rsidRPr="00E8153C">
      <w:pPr>
        <w:spacing w:line="360" w:lineRule="auto"/>
        <w:ind w:firstLine="480" w:firstLineChars="200"/>
        <w:rPr>
          <w:color w:val="000000"/>
          <w:sz w:val="24"/>
        </w:rPr>
      </w:pPr>
      <w:r w:rsidRPr="00E8153C">
        <w:rPr>
          <w:color w:val="000000"/>
          <w:sz w:val="24"/>
        </w:rPr>
        <w:t/>
      </w:r>
      <w:proofErr w:type="spellStart"/>
      <w:proofErr w:type="gramStart"/>
      <w:r w:rsidRPr="00E8153C">
        <w:rPr>
          <w:color w:val="000000"/>
          <w:sz w:val="24"/>
        </w:rPr>
        <w:t/>
      </w:r>
      <w:proofErr w:type="spellEnd"/>
      <w:proofErr w:type="gramEnd"/>
      <w:r w:rsidRPr="00E8153C">
        <w:rPr>
          <w:color w:val="000000"/>
          <w:sz w:val="24"/>
        </w:rPr>
        <w:t>5. 基金管理人业务资格批件、营业执照。</w:t>
      </w:r>
    </w:p>
    <w:p w:rsidP="00FC13C8" w:rsidR="00F016DD" w:rsidRDefault="00F016DD" w:rsidRPr="00E8153C">
      <w:pPr>
        <w:autoSpaceDE w:val="0"/>
        <w:autoSpaceDN w:val="0"/>
        <w:adjustRightInd w:val="0"/>
        <w:spacing w:line="360" w:lineRule="auto"/>
        <w:jc w:val="left"/>
        <w:rPr>
          <w:color w:val="000000"/>
          <w:kern w:val="0"/>
          <w:sz w:val="24"/>
        </w:rPr>
      </w:pPr>
      <w:r w:rsidRPr="00E8153C">
        <w:rPr>
          <w:color w:val="000000"/>
          <w:kern w:val="0"/>
          <w:sz w:val="24"/>
        </w:rPr>
        <w:t/>
      </w:r>
      <w:proofErr w:type="gramStart"/>
      <w:r w:rsidRPr="00E8153C">
        <w:rPr>
          <w:color w:val="000000"/>
          <w:kern w:val="0"/>
          <w:sz w:val="24"/>
        </w:rPr>
        <w:t/>
      </w:r>
      <w:proofErr w:type="gramEnd"/>
      <w:r w:rsidRPr="00E8153C">
        <w:rPr>
          <w:color w:val="000000"/>
          <w:kern w:val="0"/>
          <w:sz w:val="24"/>
        </w:rPr>
        <w:t>9.2</w:t>
      </w:r>
      <w:r w:rsidRPr="00E8153C">
        <w:rPr>
          <w:color w:val="000000"/>
          <w:kern w:val="0"/>
          <w:sz w:val="24"/>
        </w:rPr>
        <w:t>存放地点</w:t>
      </w:r>
    </w:p>
    <w:p w:rsidP="00DF18FE" w:rsidR="00F016DD" w:rsidRDefault="00F016DD" w:rsidRPr="00E8153C">
      <w:pPr>
        <w:spacing w:line="360" w:lineRule="auto"/>
        <w:ind w:firstLine="480" w:firstLineChars="200"/>
        <w:rPr>
          <w:color w:val="000000"/>
          <w:sz w:val="24"/>
        </w:rPr>
      </w:pPr>
      <w:r w:rsidRPr="00E8153C">
        <w:rPr>
          <w:color w:val="000000"/>
          <w:sz w:val="24"/>
        </w:rPr>
        <w:t/>
      </w:r>
      <w:proofErr w:type="spellStart"/>
      <w:proofErr w:type="gramStart"/>
      <w:r w:rsidRPr="00E8153C">
        <w:rPr>
          <w:color w:val="000000"/>
          <w:sz w:val="24"/>
        </w:rPr>
        <w:t/>
      </w:r>
      <w:proofErr w:type="spellEnd"/>
      <w:proofErr w:type="gramEnd"/>
      <w:r w:rsidRPr="00E8153C">
        <w:rPr>
          <w:color w:val="000000"/>
          <w:sz w:val="24"/>
        </w:rPr>
        <w:t>广州市天河区珠江新城珠江东路30号广州银行大厦40-43楼。</w:t>
      </w:r>
    </w:p>
    <w:p w:rsidP="00FC13C8" w:rsidR="00F016DD" w:rsidRDefault="00F016DD" w:rsidRPr="00E8153C">
      <w:pPr>
        <w:autoSpaceDE w:val="0"/>
        <w:autoSpaceDN w:val="0"/>
        <w:adjustRightInd w:val="0"/>
        <w:spacing w:line="360" w:lineRule="auto"/>
        <w:jc w:val="left"/>
        <w:rPr>
          <w:color w:val="000000"/>
          <w:kern w:val="0"/>
          <w:sz w:val="24"/>
        </w:rPr>
      </w:pPr>
      <w:r w:rsidRPr="00E8153C">
        <w:rPr>
          <w:color w:val="000000"/>
          <w:kern w:val="0"/>
          <w:sz w:val="24"/>
        </w:rPr>
        <w:t/>
      </w:r>
      <w:proofErr w:type="gramStart"/>
      <w:r w:rsidRPr="00E8153C">
        <w:rPr>
          <w:color w:val="000000"/>
          <w:kern w:val="0"/>
          <w:sz w:val="24"/>
        </w:rPr>
        <w:t/>
      </w:r>
      <w:proofErr w:type="gramEnd"/>
      <w:r w:rsidRPr="00E8153C">
        <w:rPr>
          <w:color w:val="000000"/>
          <w:kern w:val="0"/>
          <w:sz w:val="24"/>
        </w:rPr>
        <w:t>9.3</w:t>
      </w:r>
      <w:r w:rsidRPr="00E8153C">
        <w:rPr>
          <w:color w:val="000000"/>
          <w:kern w:val="0"/>
          <w:sz w:val="24"/>
        </w:rPr>
        <w:t>查阅方式</w:t>
      </w:r>
    </w:p>
    <w:p w:rsidP="00DF18FE" w:rsidR="00F016DD" w:rsidRDefault="00F016DD" w:rsidRPr="00E8153C">
      <w:pPr>
        <w:spacing w:line="360" w:lineRule="auto"/>
        <w:ind w:firstLine="480" w:firstLineChars="200"/>
        <w:rPr>
          <w:color w:val="000000"/>
          <w:sz w:val="24"/>
        </w:rPr>
      </w:pPr>
      <w:r w:rsidRPr="00E8153C">
        <w:rPr>
          <w:color w:val="000000"/>
          <w:sz w:val="24"/>
        </w:rPr>
        <w:t/>
      </w:r>
      <w:proofErr w:type="spellStart"/>
      <w:proofErr w:type="gramStart"/>
      <w:r w:rsidRPr="00E8153C">
        <w:rPr>
          <w:color w:val="000000"/>
          <w:sz w:val="24"/>
        </w:rPr>
        <w:t/>
      </w:r>
      <w:proofErr w:type="spellEnd"/>
      <w:proofErr w:type="gramEnd"/>
      <w:r w:rsidRPr="00E8153C">
        <w:rPr>
          <w:color w:val="000000"/>
          <w:sz w:val="24"/>
        </w:rPr>
        <w:t>投资者可在营业时间免费查阅，也可按工本费购买复印件。</w:t>
      </w:r>
    </w:p>
    <w:p w:rsidP="00FB3C94" w:rsidR="00F016DD" w:rsidRDefault="00F016DD" w:rsidRPr="0078105B">
      <w:pPr>
        <w:spacing w:line="360" w:lineRule="auto"/>
        <w:ind w:left="840"/>
        <w:jc w:val="right"/>
        <w:rPr>
          <w:rFonts w:ascii="宋体"/>
          <w:color w:val="000000"/>
          <w:sz w:val="24"/>
        </w:rPr>
      </w:pPr>
    </w:p>
    <w:p w:rsidP="00053FFD" w:rsidR="00F016DD" w:rsidRDefault="00F016DD" w:rsidRPr="0078105B">
      <w:pPr>
        <w:spacing w:line="360" w:lineRule="auto"/>
        <w:ind w:left="840"/>
        <w:jc w:val="center"/>
        <w:rPr>
          <w:rFonts w:ascii="宋体"/>
          <w:b/>
          <w:color w:val="000000"/>
          <w:sz w:val="24"/>
        </w:rPr>
      </w:pPr>
    </w:p>
    <w:p w:rsidP="00B1493B" w:rsidR="00F016DD" w:rsidRDefault="00F016DD" w:rsidRPr="0078105B">
      <w:pPr>
        <w:spacing w:line="360" w:lineRule="auto"/>
        <w:jc w:val="right"/>
        <w:rPr>
          <w:rFonts w:ascii="宋体" w:hAnsi="宋体"/>
          <w:b/>
          <w:bCs/>
          <w:sz w:val="24"/>
        </w:rPr>
      </w:pPr>
      <w:r w:rsidRPr="0078105B">
        <w:rPr>
          <w:rFonts w:ascii="宋体"/>
          <w:b/>
          <w:bCs/>
          <w:sz w:val="24"/>
        </w:rPr>
        <w:t/>
      </w:r>
      <w:proofErr w:type="spellStart"/>
      <w:proofErr w:type="gramStart"/>
      <w:r w:rsidRPr="0078105B">
        <w:rPr>
          <w:rFonts w:ascii="宋体" w:hAnsi="宋体"/>
          <w:b/>
          <w:bCs/>
          <w:sz w:val="24"/>
        </w:rPr>
        <w:t/>
      </w:r>
      <w:proofErr w:type="spellEnd"/>
      <w:proofErr w:type="gramEnd"/>
      <w:r w:rsidRPr="0078105B">
        <w:rPr>
          <w:rFonts w:ascii="宋体" w:hAnsi="宋体"/>
          <w:b/>
          <w:bCs/>
          <w:sz w:val="24"/>
        </w:rPr>
        <w:t>易方达基金管理有限公司</w:t>
      </w:r>
    </w:p>
    <w:p w:rsidP="00B1493B" w:rsidR="00F016DD" w:rsidRDefault="00F016DD" w:rsidRPr="0078105B">
      <w:pPr>
        <w:spacing w:line="360" w:lineRule="auto"/>
        <w:jc w:val="right"/>
        <w:rPr>
          <w:rFonts w:ascii="宋体" w:hAnsi="宋体"/>
          <w:b/>
          <w:bCs/>
          <w:sz w:val="24"/>
        </w:rPr>
      </w:pPr>
      <w:r w:rsidRPr="0078105B">
        <w:rPr>
          <w:rFonts w:ascii="宋体" w:hAnsi="宋体"/>
          <w:b/>
          <w:bCs/>
          <w:sz w:val="24"/>
        </w:rPr>
        <w:t/>
      </w:r>
      <w:proofErr w:type="spellStart"/>
      <w:proofErr w:type="gramStart"/>
      <w:r w:rsidRPr="0078105B">
        <w:rPr>
          <w:rFonts w:ascii="宋体" w:hAnsi="宋体"/>
          <w:b/>
          <w:bCs/>
          <w:sz w:val="24"/>
        </w:rPr>
        <w:t/>
      </w:r>
      <w:proofErr w:type="spellEnd"/>
      <w:proofErr w:type="gramEnd"/>
      <w:r w:rsidRPr="0078105B">
        <w:rPr>
          <w:rFonts w:ascii="宋体" w:hAnsi="宋体"/>
          <w:b/>
          <w:bCs/>
          <w:sz w:val="24"/>
        </w:rPr>
        <w:t>二〇二〇年十月二十八日</w:t>
      </w:r>
    </w:p>
    <w:sectPr w:rsidR="00F016DD" w:rsidRPr="0078105B" w:rsidSect="00A8324F">
      <w:footerReference r:id="rId12" w:type="even"/>
      <w:footerReference r:id="rId13" w:type="default"/>
      <w:pgSz w:h="16838" w:w="11906"/>
      <w:pgMar w:bottom="1440" w:footer="992" w:gutter="0" w:header="851" w:left="1800" w:right="1286"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CED" w:rsidRDefault="00C74CED">
      <w:r>
        <w:separator/>
      </w:r>
    </w:p>
  </w:endnote>
  <w:endnote w:type="continuationSeparator" w:id="0">
    <w:p w:rsidR="00C74CED" w:rsidRDefault="00C7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简体">
    <w:altName w:val="微软雅黑"/>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F7094A" w:rsidR="00611CB2" w:rsidRDefault="00611CB2" w:rsidRPr="001D0DB0">
    <w:pPr>
      <w:pStyle w:val="a6"/>
      <w:jc w:val="center"/>
    </w:pPr>
    <w:r>
      <w:rPr>
        <w:rFonts w:hint="eastAsia"/>
        <w:szCs w:val="21"/>
      </w:rPr>
      <w:t>第</w:t>
    </w:r>
    <w:r w:rsidR="00F85FCB">
      <w:rPr>
        <w:szCs w:val="21"/>
      </w:rPr>
      <w:fldChar w:fldCharType="begin"/>
    </w:r>
    <w:r>
      <w:rPr>
        <w:szCs w:val="21"/>
      </w:rPr>
      <w:instrText xml:space="preserve"> PAGE </w:instrText>
    </w:r>
    <w:r w:rsidR="00F85FCB">
      <w:rPr>
        <w:szCs w:val="21"/>
      </w:rPr>
      <w:fldChar w:fldCharType="separate"/>
    </w:r>
    <w:r w:rsidR="003177CA">
      <w:rPr>
        <w:noProof/>
        <w:szCs w:val="21"/>
      </w:rPr>
      <w:t>1</w:t>
    </w:r>
    <w:r w:rsidR="00F85FCB">
      <w:rPr>
        <w:szCs w:val="21"/>
      </w:rPr>
      <w:fldChar w:fldCharType="end"/>
    </w:r>
    <w:proofErr w:type="gramStart"/>
    <w:r>
      <w:rPr>
        <w:rFonts w:hint="eastAsia"/>
        <w:szCs w:val="21"/>
      </w:rPr>
      <w:t>页共</w:t>
    </w:r>
    <w:proofErr w:type="gramEnd"/>
    <w:r w:rsidR="00F85FCB">
      <w:rPr>
        <w:szCs w:val="21"/>
      </w:rPr>
      <w:fldChar w:fldCharType="begin"/>
    </w:r>
    <w:r>
      <w:rPr>
        <w:szCs w:val="21"/>
      </w:rPr>
      <w:instrText xml:space="preserve"> NUMPAGES </w:instrText>
    </w:r>
    <w:r w:rsidR="00F85FCB">
      <w:rPr>
        <w:szCs w:val="21"/>
      </w:rPr>
      <w:fldChar w:fldCharType="separate"/>
    </w:r>
    <w:r w:rsidR="003177CA">
      <w:rPr>
        <w:noProof/>
        <w:szCs w:val="21"/>
      </w:rPr>
      <w:t>30</w:t>
    </w:r>
    <w:r w:rsidR="00F85FCB">
      <w:rPr>
        <w:szCs w:val="21"/>
      </w:rPr>
      <w:fldChar w:fldCharType="end"/>
    </w:r>
    <w:r>
      <w:rPr>
        <w:rFonts w:hint="eastAsia"/>
        <w:szCs w:val="21"/>
      </w:rPr>
      <w:t>页</w:t>
    </w: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611CB2" w:rsidRDefault="00F85FCB">
    <w:pPr>
      <w:pStyle w:val="a6"/>
      <w:framePr w:hAnchor="margin" w:vAnchor="text" w:wrap="around" w:xAlign="center" w:y="1"/>
      <w:rPr>
        <w:rStyle w:val="a7"/>
      </w:rPr>
    </w:pPr>
    <w:r>
      <w:rPr>
        <w:rStyle w:val="a7"/>
      </w:rPr>
      <w:fldChar w:fldCharType="begin"/>
    </w:r>
    <w:r w:rsidR="00611CB2">
      <w:rPr>
        <w:rStyle w:val="a7"/>
      </w:rPr>
      <w:instrText xml:space="preserve">PAGE  </w:instrText>
    </w:r>
    <w:r>
      <w:rPr>
        <w:rStyle w:val="a7"/>
      </w:rPr>
      <w:fldChar w:fldCharType="end"/>
    </w:r>
  </w:p>
  <w:p w:rsidR="00611CB2" w:rsidRDefault="00611CB2">
    <w:pPr>
      <w:pStyle w:val="a6"/>
    </w:pP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611CB2" w:rsidRDefault="00F85FCB">
    <w:pPr>
      <w:pStyle w:val="a6"/>
      <w:framePr w:hAnchor="margin" w:vAnchor="text" w:wrap="around" w:xAlign="center" w:y="1"/>
      <w:rPr>
        <w:rStyle w:val="a7"/>
      </w:rPr>
    </w:pPr>
    <w:r>
      <w:rPr>
        <w:rStyle w:val="a7"/>
      </w:rPr>
      <w:fldChar w:fldCharType="begin"/>
    </w:r>
    <w:r w:rsidR="00611CB2">
      <w:rPr>
        <w:rStyle w:val="a7"/>
      </w:rPr>
      <w:instrText xml:space="preserve">PAGE  </w:instrText>
    </w:r>
    <w:r>
      <w:rPr>
        <w:rStyle w:val="a7"/>
      </w:rPr>
      <w:fldChar w:fldCharType="separate"/>
    </w:r>
    <w:r w:rsidR="007320AD">
      <w:rPr>
        <w:rStyle w:val="a7"/>
        <w:noProof/>
      </w:rPr>
      <w:t>8</w:t>
    </w:r>
    <w:r>
      <w:rPr>
        <w:rStyle w:val="a7"/>
      </w:rPr>
      <w:fldChar w:fldCharType="end"/>
    </w:r>
  </w:p>
  <w:p w:rsidR="00611CB2" w:rsidRDefault="00611CB2">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R="00C74CED" w:rsidRDefault="00C74CED">
      <w:r>
        <w:separator/>
      </w:r>
    </w:p>
  </w:footnote>
  <w:footnote w:id="0" w:type="continuationSeparator">
    <w:p w:rsidR="00C74CED" w:rsidRDefault="00C74CED">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1207F2" w:rsidR="00611CB2" w:rsidRDefault="00611CB2" w:rsidRPr="00DA451D">
    <w:pPr>
      <w:pStyle w:val="a9"/>
      <w:pBdr>
        <w:bottom w:color="auto" w:space="0" w:sz="6" w:val="single"/>
      </w:pBdr>
      <w:jc w:val="right"/>
    </w:pPr>
    <w:r w:rsidRPr="00DA451D">
      <w:t/>
    </w:r>
    <w:proofErr w:type="spellStart"/>
    <w:proofErr w:type="gramStart"/>
    <w:r w:rsidRPr="00DA451D">
      <w:t/>
    </w:r>
    <w:proofErr w:type="spellEnd"/>
    <w:proofErr w:type="gramEnd"/>
    <w:r w:rsidRPr="00DA451D">
      <w:t>易方达量化策略精选灵活配置混合型证券投资基金</w:t>
    </w:r>
    <w:proofErr w:type="spellStart"/>
    <w:r w:rsidRPr="00DA451D">
      <w:t/>
    </w:r>
    <w:proofErr w:type="spellEnd"/>
    <w:r w:rsidRPr="00DA451D">
      <w:t>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pos="1200" w:val="num"/>
        </w:tabs>
        <w:ind w:hanging="720" w:left="1200"/>
      </w:pPr>
      <w:rPr>
        <w:rFonts w:cs="Times New Roman" w:hAnsi="宋体" w:hint="default"/>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4">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lvlOverride w:ilvl="2">
      <w:lvl w:ilvl="2">
        <w:start w:val="1"/>
        <w:numFmt w:val="decimal"/>
        <w:lvlText w:val="%1.%2.%3"/>
        <w:lvlJc w:val="left"/>
        <w:pPr>
          <w:tabs>
            <w:tab w:pos="1418" w:val="num"/>
          </w:tabs>
          <w:ind w:hanging="567" w:left="1418"/>
        </w:pPr>
        <w:rPr>
          <w:rFonts w:cs="Times New Roman"/>
        </w:r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printPostScriptOverText/>
  <w:bordersDoNotSurroundHeader/>
  <w:bordersDoNotSurroundFooter/>
  <w:proofState w:grammar="clean" w:spelling="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02187"/>
    <w:rsid w:val="0000059C"/>
    <w:rsid w:val="000008B1"/>
    <w:rsid w:val="0000403B"/>
    <w:rsid w:val="00007441"/>
    <w:rsid w:val="00007F1F"/>
    <w:rsid w:val="000108A5"/>
    <w:rsid w:val="00010A83"/>
    <w:rsid w:val="000137C1"/>
    <w:rsid w:val="0001579C"/>
    <w:rsid w:val="0001612A"/>
    <w:rsid w:val="00016551"/>
    <w:rsid w:val="00020737"/>
    <w:rsid w:val="00020C27"/>
    <w:rsid w:val="000219D5"/>
    <w:rsid w:val="00022396"/>
    <w:rsid w:val="00023073"/>
    <w:rsid w:val="00023B86"/>
    <w:rsid w:val="00023B97"/>
    <w:rsid w:val="00024836"/>
    <w:rsid w:val="000252D8"/>
    <w:rsid w:val="0003338D"/>
    <w:rsid w:val="0003564A"/>
    <w:rsid w:val="00037B55"/>
    <w:rsid w:val="00037C73"/>
    <w:rsid w:val="00041CC8"/>
    <w:rsid w:val="00042065"/>
    <w:rsid w:val="00043FD2"/>
    <w:rsid w:val="00045558"/>
    <w:rsid w:val="00045BA9"/>
    <w:rsid w:val="0004626C"/>
    <w:rsid w:val="00047D87"/>
    <w:rsid w:val="000510AB"/>
    <w:rsid w:val="00053FFD"/>
    <w:rsid w:val="00056D5C"/>
    <w:rsid w:val="00061B0B"/>
    <w:rsid w:val="00061E09"/>
    <w:rsid w:val="00062C69"/>
    <w:rsid w:val="00062E1F"/>
    <w:rsid w:val="00064601"/>
    <w:rsid w:val="00064AE3"/>
    <w:rsid w:val="00064F4B"/>
    <w:rsid w:val="00065ABE"/>
    <w:rsid w:val="0006750A"/>
    <w:rsid w:val="000776C0"/>
    <w:rsid w:val="00077849"/>
    <w:rsid w:val="000803AD"/>
    <w:rsid w:val="000813D6"/>
    <w:rsid w:val="00081D05"/>
    <w:rsid w:val="000827CC"/>
    <w:rsid w:val="000871DB"/>
    <w:rsid w:val="000922C5"/>
    <w:rsid w:val="0009314F"/>
    <w:rsid w:val="00093A23"/>
    <w:rsid w:val="00097169"/>
    <w:rsid w:val="000A08FC"/>
    <w:rsid w:val="000A15F1"/>
    <w:rsid w:val="000A1617"/>
    <w:rsid w:val="000A40A5"/>
    <w:rsid w:val="000A457E"/>
    <w:rsid w:val="000A549A"/>
    <w:rsid w:val="000A5A81"/>
    <w:rsid w:val="000A6D8C"/>
    <w:rsid w:val="000A72F2"/>
    <w:rsid w:val="000A7BFD"/>
    <w:rsid w:val="000B000E"/>
    <w:rsid w:val="000B1CB9"/>
    <w:rsid w:val="000B24AF"/>
    <w:rsid w:val="000B251E"/>
    <w:rsid w:val="000B3E43"/>
    <w:rsid w:val="000B4E99"/>
    <w:rsid w:val="000B5B16"/>
    <w:rsid w:val="000B648A"/>
    <w:rsid w:val="000C45E7"/>
    <w:rsid w:val="000C5956"/>
    <w:rsid w:val="000C757F"/>
    <w:rsid w:val="000C7DD4"/>
    <w:rsid w:val="000D1164"/>
    <w:rsid w:val="000D1BBE"/>
    <w:rsid w:val="000D3773"/>
    <w:rsid w:val="000D4DE9"/>
    <w:rsid w:val="000D58E0"/>
    <w:rsid w:val="000D6660"/>
    <w:rsid w:val="000D6BA0"/>
    <w:rsid w:val="000D7ECA"/>
    <w:rsid w:val="000E2F81"/>
    <w:rsid w:val="000E3726"/>
    <w:rsid w:val="000E39DB"/>
    <w:rsid w:val="000F0558"/>
    <w:rsid w:val="000F0AC3"/>
    <w:rsid w:val="000F1611"/>
    <w:rsid w:val="000F175F"/>
    <w:rsid w:val="000F17D1"/>
    <w:rsid w:val="000F1CC9"/>
    <w:rsid w:val="000F5ABD"/>
    <w:rsid w:val="000F60FF"/>
    <w:rsid w:val="000F6F7C"/>
    <w:rsid w:val="001005BB"/>
    <w:rsid w:val="00103B0E"/>
    <w:rsid w:val="001040EA"/>
    <w:rsid w:val="00112BCF"/>
    <w:rsid w:val="00114E7E"/>
    <w:rsid w:val="00117465"/>
    <w:rsid w:val="00117F22"/>
    <w:rsid w:val="00120280"/>
    <w:rsid w:val="001207F2"/>
    <w:rsid w:val="00121533"/>
    <w:rsid w:val="0012304E"/>
    <w:rsid w:val="00123051"/>
    <w:rsid w:val="0012558C"/>
    <w:rsid w:val="001257C7"/>
    <w:rsid w:val="00125E66"/>
    <w:rsid w:val="001262F4"/>
    <w:rsid w:val="001263E1"/>
    <w:rsid w:val="00126AC0"/>
    <w:rsid w:val="00126C2B"/>
    <w:rsid w:val="00127A01"/>
    <w:rsid w:val="00130D77"/>
    <w:rsid w:val="00131EF6"/>
    <w:rsid w:val="0013251D"/>
    <w:rsid w:val="00134734"/>
    <w:rsid w:val="00134CBE"/>
    <w:rsid w:val="00140C30"/>
    <w:rsid w:val="001427AE"/>
    <w:rsid w:val="00142C74"/>
    <w:rsid w:val="001453EF"/>
    <w:rsid w:val="00145E5B"/>
    <w:rsid w:val="00147319"/>
    <w:rsid w:val="00147551"/>
    <w:rsid w:val="0015012F"/>
    <w:rsid w:val="00150C2E"/>
    <w:rsid w:val="0015170D"/>
    <w:rsid w:val="001517AE"/>
    <w:rsid w:val="00154FA5"/>
    <w:rsid w:val="0015531A"/>
    <w:rsid w:val="00156F9D"/>
    <w:rsid w:val="001602E3"/>
    <w:rsid w:val="00160539"/>
    <w:rsid w:val="00161548"/>
    <w:rsid w:val="00162D92"/>
    <w:rsid w:val="0016464C"/>
    <w:rsid w:val="0017176A"/>
    <w:rsid w:val="00172B54"/>
    <w:rsid w:val="00174038"/>
    <w:rsid w:val="00174D16"/>
    <w:rsid w:val="00176874"/>
    <w:rsid w:val="0017725A"/>
    <w:rsid w:val="0018052A"/>
    <w:rsid w:val="00180952"/>
    <w:rsid w:val="0018191A"/>
    <w:rsid w:val="00185B68"/>
    <w:rsid w:val="00186199"/>
    <w:rsid w:val="001874E3"/>
    <w:rsid w:val="001878B0"/>
    <w:rsid w:val="00194155"/>
    <w:rsid w:val="001A0417"/>
    <w:rsid w:val="001A0B71"/>
    <w:rsid w:val="001A1389"/>
    <w:rsid w:val="001A3016"/>
    <w:rsid w:val="001A3914"/>
    <w:rsid w:val="001A4B71"/>
    <w:rsid w:val="001A5FA6"/>
    <w:rsid w:val="001B053A"/>
    <w:rsid w:val="001B08B3"/>
    <w:rsid w:val="001B0A62"/>
    <w:rsid w:val="001B0C78"/>
    <w:rsid w:val="001B151C"/>
    <w:rsid w:val="001B1A13"/>
    <w:rsid w:val="001B22BA"/>
    <w:rsid w:val="001B3C1C"/>
    <w:rsid w:val="001B4983"/>
    <w:rsid w:val="001C2045"/>
    <w:rsid w:val="001C5040"/>
    <w:rsid w:val="001C715A"/>
    <w:rsid w:val="001D0DB0"/>
    <w:rsid w:val="001D0F6A"/>
    <w:rsid w:val="001D2FA5"/>
    <w:rsid w:val="001D3394"/>
    <w:rsid w:val="001D3D57"/>
    <w:rsid w:val="001D4980"/>
    <w:rsid w:val="001D5045"/>
    <w:rsid w:val="001D5A44"/>
    <w:rsid w:val="001D5CD0"/>
    <w:rsid w:val="001D63BB"/>
    <w:rsid w:val="001D724B"/>
    <w:rsid w:val="001E023C"/>
    <w:rsid w:val="001E0BA5"/>
    <w:rsid w:val="001F03E1"/>
    <w:rsid w:val="001F1F19"/>
    <w:rsid w:val="001F2BD1"/>
    <w:rsid w:val="001F3080"/>
    <w:rsid w:val="001F3CC6"/>
    <w:rsid w:val="001F5F5F"/>
    <w:rsid w:val="001F60E9"/>
    <w:rsid w:val="002035B9"/>
    <w:rsid w:val="00205064"/>
    <w:rsid w:val="0020548A"/>
    <w:rsid w:val="002079FA"/>
    <w:rsid w:val="00211668"/>
    <w:rsid w:val="002118A6"/>
    <w:rsid w:val="002122FF"/>
    <w:rsid w:val="002125F7"/>
    <w:rsid w:val="0021288A"/>
    <w:rsid w:val="002150AC"/>
    <w:rsid w:val="0021650B"/>
    <w:rsid w:val="00221938"/>
    <w:rsid w:val="00222262"/>
    <w:rsid w:val="00222ABD"/>
    <w:rsid w:val="002230A8"/>
    <w:rsid w:val="00227D20"/>
    <w:rsid w:val="00231BCE"/>
    <w:rsid w:val="0023336A"/>
    <w:rsid w:val="002359EB"/>
    <w:rsid w:val="0023649E"/>
    <w:rsid w:val="00236926"/>
    <w:rsid w:val="00241740"/>
    <w:rsid w:val="002424E4"/>
    <w:rsid w:val="00243122"/>
    <w:rsid w:val="002437F5"/>
    <w:rsid w:val="00244DB1"/>
    <w:rsid w:val="00244FDA"/>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4E55"/>
    <w:rsid w:val="00266645"/>
    <w:rsid w:val="00267386"/>
    <w:rsid w:val="00267C2E"/>
    <w:rsid w:val="00267DA9"/>
    <w:rsid w:val="00273E5C"/>
    <w:rsid w:val="0027576B"/>
    <w:rsid w:val="00275FD0"/>
    <w:rsid w:val="00280514"/>
    <w:rsid w:val="002810D8"/>
    <w:rsid w:val="002819E7"/>
    <w:rsid w:val="00282FF2"/>
    <w:rsid w:val="00283483"/>
    <w:rsid w:val="002844B5"/>
    <w:rsid w:val="0028459B"/>
    <w:rsid w:val="00285618"/>
    <w:rsid w:val="002872F8"/>
    <w:rsid w:val="00293065"/>
    <w:rsid w:val="002953E8"/>
    <w:rsid w:val="00296E4A"/>
    <w:rsid w:val="00297260"/>
    <w:rsid w:val="002976E5"/>
    <w:rsid w:val="002A1F14"/>
    <w:rsid w:val="002A2678"/>
    <w:rsid w:val="002A3369"/>
    <w:rsid w:val="002A3965"/>
    <w:rsid w:val="002A4B8A"/>
    <w:rsid w:val="002A5161"/>
    <w:rsid w:val="002A5C0F"/>
    <w:rsid w:val="002A6385"/>
    <w:rsid w:val="002A7929"/>
    <w:rsid w:val="002B41D7"/>
    <w:rsid w:val="002B5240"/>
    <w:rsid w:val="002B6A13"/>
    <w:rsid w:val="002C0904"/>
    <w:rsid w:val="002C0F67"/>
    <w:rsid w:val="002C1E84"/>
    <w:rsid w:val="002C36C3"/>
    <w:rsid w:val="002C77CC"/>
    <w:rsid w:val="002D2A00"/>
    <w:rsid w:val="002D5199"/>
    <w:rsid w:val="002E2862"/>
    <w:rsid w:val="002E2BEF"/>
    <w:rsid w:val="002E356A"/>
    <w:rsid w:val="002E4C01"/>
    <w:rsid w:val="002F0516"/>
    <w:rsid w:val="002F22D2"/>
    <w:rsid w:val="002F778A"/>
    <w:rsid w:val="00302187"/>
    <w:rsid w:val="003028D8"/>
    <w:rsid w:val="0030290F"/>
    <w:rsid w:val="00302DE9"/>
    <w:rsid w:val="00302FAB"/>
    <w:rsid w:val="00303869"/>
    <w:rsid w:val="00303F1D"/>
    <w:rsid w:val="00305084"/>
    <w:rsid w:val="00305153"/>
    <w:rsid w:val="00311ABF"/>
    <w:rsid w:val="00314A81"/>
    <w:rsid w:val="00314DD2"/>
    <w:rsid w:val="00315A7C"/>
    <w:rsid w:val="00317705"/>
    <w:rsid w:val="003177CA"/>
    <w:rsid w:val="00320453"/>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1704"/>
    <w:rsid w:val="003570C8"/>
    <w:rsid w:val="00367770"/>
    <w:rsid w:val="00371424"/>
    <w:rsid w:val="00371FF4"/>
    <w:rsid w:val="00372209"/>
    <w:rsid w:val="003771ED"/>
    <w:rsid w:val="0037768B"/>
    <w:rsid w:val="00381791"/>
    <w:rsid w:val="00382E6F"/>
    <w:rsid w:val="00387C00"/>
    <w:rsid w:val="00397960"/>
    <w:rsid w:val="00397F75"/>
    <w:rsid w:val="003A2008"/>
    <w:rsid w:val="003A3BC4"/>
    <w:rsid w:val="003A4AA3"/>
    <w:rsid w:val="003B405E"/>
    <w:rsid w:val="003B4843"/>
    <w:rsid w:val="003B494E"/>
    <w:rsid w:val="003C6E9E"/>
    <w:rsid w:val="003C792F"/>
    <w:rsid w:val="003D117A"/>
    <w:rsid w:val="003D36B2"/>
    <w:rsid w:val="003D42D5"/>
    <w:rsid w:val="003D656E"/>
    <w:rsid w:val="003D7783"/>
    <w:rsid w:val="003D78B5"/>
    <w:rsid w:val="003E0BD4"/>
    <w:rsid w:val="003E45B9"/>
    <w:rsid w:val="003E654C"/>
    <w:rsid w:val="003F0DE5"/>
    <w:rsid w:val="003F0E22"/>
    <w:rsid w:val="003F1058"/>
    <w:rsid w:val="003F13CD"/>
    <w:rsid w:val="003F46FC"/>
    <w:rsid w:val="003F4AA5"/>
    <w:rsid w:val="003F697D"/>
    <w:rsid w:val="003F7C45"/>
    <w:rsid w:val="00400500"/>
    <w:rsid w:val="0040132C"/>
    <w:rsid w:val="00404257"/>
    <w:rsid w:val="00407F66"/>
    <w:rsid w:val="004113B4"/>
    <w:rsid w:val="0041220A"/>
    <w:rsid w:val="00413B96"/>
    <w:rsid w:val="00413C2C"/>
    <w:rsid w:val="00414367"/>
    <w:rsid w:val="00415168"/>
    <w:rsid w:val="00415A8A"/>
    <w:rsid w:val="00415B04"/>
    <w:rsid w:val="00416A6B"/>
    <w:rsid w:val="0042044C"/>
    <w:rsid w:val="00421624"/>
    <w:rsid w:val="00424151"/>
    <w:rsid w:val="00425208"/>
    <w:rsid w:val="00425A5A"/>
    <w:rsid w:val="00425FB6"/>
    <w:rsid w:val="004268BB"/>
    <w:rsid w:val="0042785F"/>
    <w:rsid w:val="004314FF"/>
    <w:rsid w:val="004408EC"/>
    <w:rsid w:val="00440F74"/>
    <w:rsid w:val="00441816"/>
    <w:rsid w:val="00441FEC"/>
    <w:rsid w:val="004425E8"/>
    <w:rsid w:val="00443C8F"/>
    <w:rsid w:val="00447BC6"/>
    <w:rsid w:val="004501CE"/>
    <w:rsid w:val="00452481"/>
    <w:rsid w:val="00454A0F"/>
    <w:rsid w:val="0046335D"/>
    <w:rsid w:val="00463C2C"/>
    <w:rsid w:val="00471D81"/>
    <w:rsid w:val="004733AC"/>
    <w:rsid w:val="00483271"/>
    <w:rsid w:val="00490F85"/>
    <w:rsid w:val="0049210E"/>
    <w:rsid w:val="0049297D"/>
    <w:rsid w:val="0049327D"/>
    <w:rsid w:val="0049405D"/>
    <w:rsid w:val="0049455C"/>
    <w:rsid w:val="00495A03"/>
    <w:rsid w:val="004A135B"/>
    <w:rsid w:val="004A1BE1"/>
    <w:rsid w:val="004A3251"/>
    <w:rsid w:val="004A4980"/>
    <w:rsid w:val="004A4F68"/>
    <w:rsid w:val="004A63CB"/>
    <w:rsid w:val="004A67B0"/>
    <w:rsid w:val="004A6FB2"/>
    <w:rsid w:val="004B0847"/>
    <w:rsid w:val="004B0E6D"/>
    <w:rsid w:val="004B16E8"/>
    <w:rsid w:val="004B67DB"/>
    <w:rsid w:val="004C0541"/>
    <w:rsid w:val="004C3A16"/>
    <w:rsid w:val="004C634A"/>
    <w:rsid w:val="004C660B"/>
    <w:rsid w:val="004D050C"/>
    <w:rsid w:val="004D23D9"/>
    <w:rsid w:val="004D29A9"/>
    <w:rsid w:val="004D3537"/>
    <w:rsid w:val="004D4D4E"/>
    <w:rsid w:val="004D614E"/>
    <w:rsid w:val="004D650F"/>
    <w:rsid w:val="004E2133"/>
    <w:rsid w:val="004E4E04"/>
    <w:rsid w:val="004E6CBA"/>
    <w:rsid w:val="004F521C"/>
    <w:rsid w:val="00502CD8"/>
    <w:rsid w:val="0050361C"/>
    <w:rsid w:val="00503BF4"/>
    <w:rsid w:val="00506A40"/>
    <w:rsid w:val="0051064F"/>
    <w:rsid w:val="00513461"/>
    <w:rsid w:val="00513A0E"/>
    <w:rsid w:val="00515D7B"/>
    <w:rsid w:val="00515F29"/>
    <w:rsid w:val="0052009E"/>
    <w:rsid w:val="00523F04"/>
    <w:rsid w:val="00524368"/>
    <w:rsid w:val="0052438C"/>
    <w:rsid w:val="00526282"/>
    <w:rsid w:val="00530161"/>
    <w:rsid w:val="00532DB7"/>
    <w:rsid w:val="00536F71"/>
    <w:rsid w:val="00544342"/>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35"/>
    <w:rsid w:val="0057154B"/>
    <w:rsid w:val="0057278A"/>
    <w:rsid w:val="005742DB"/>
    <w:rsid w:val="00575C75"/>
    <w:rsid w:val="00577209"/>
    <w:rsid w:val="005800A9"/>
    <w:rsid w:val="00581139"/>
    <w:rsid w:val="00581645"/>
    <w:rsid w:val="0058694E"/>
    <w:rsid w:val="005875F9"/>
    <w:rsid w:val="00593A35"/>
    <w:rsid w:val="00593C74"/>
    <w:rsid w:val="00594934"/>
    <w:rsid w:val="005954CF"/>
    <w:rsid w:val="00597D8B"/>
    <w:rsid w:val="005A46FF"/>
    <w:rsid w:val="005A557E"/>
    <w:rsid w:val="005A63FD"/>
    <w:rsid w:val="005B462A"/>
    <w:rsid w:val="005B5137"/>
    <w:rsid w:val="005B6047"/>
    <w:rsid w:val="005C0ED7"/>
    <w:rsid w:val="005C5409"/>
    <w:rsid w:val="005C62A5"/>
    <w:rsid w:val="005C6FF7"/>
    <w:rsid w:val="005C7D00"/>
    <w:rsid w:val="005D01A4"/>
    <w:rsid w:val="005D0BAB"/>
    <w:rsid w:val="005D1893"/>
    <w:rsid w:val="005D26E9"/>
    <w:rsid w:val="005D2CAA"/>
    <w:rsid w:val="005D4B66"/>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101F5"/>
    <w:rsid w:val="00610DA5"/>
    <w:rsid w:val="00611663"/>
    <w:rsid w:val="00611CB2"/>
    <w:rsid w:val="0061321C"/>
    <w:rsid w:val="00613F44"/>
    <w:rsid w:val="006160BD"/>
    <w:rsid w:val="00620EDB"/>
    <w:rsid w:val="0062386E"/>
    <w:rsid w:val="00624C10"/>
    <w:rsid w:val="006253EF"/>
    <w:rsid w:val="00626075"/>
    <w:rsid w:val="0062680E"/>
    <w:rsid w:val="00630C47"/>
    <w:rsid w:val="00631158"/>
    <w:rsid w:val="00632923"/>
    <w:rsid w:val="006341E6"/>
    <w:rsid w:val="00634439"/>
    <w:rsid w:val="006366C6"/>
    <w:rsid w:val="00636B55"/>
    <w:rsid w:val="00636EB1"/>
    <w:rsid w:val="006373D6"/>
    <w:rsid w:val="006403D4"/>
    <w:rsid w:val="00642CBC"/>
    <w:rsid w:val="0064454A"/>
    <w:rsid w:val="00645293"/>
    <w:rsid w:val="006456D3"/>
    <w:rsid w:val="00651B78"/>
    <w:rsid w:val="0065237A"/>
    <w:rsid w:val="00652FF5"/>
    <w:rsid w:val="0065303C"/>
    <w:rsid w:val="00653246"/>
    <w:rsid w:val="00654382"/>
    <w:rsid w:val="006548FA"/>
    <w:rsid w:val="0066098B"/>
    <w:rsid w:val="00661244"/>
    <w:rsid w:val="006640DF"/>
    <w:rsid w:val="00666A3C"/>
    <w:rsid w:val="00667519"/>
    <w:rsid w:val="006676A0"/>
    <w:rsid w:val="00670857"/>
    <w:rsid w:val="00670868"/>
    <w:rsid w:val="00673D69"/>
    <w:rsid w:val="00676431"/>
    <w:rsid w:val="00677A9C"/>
    <w:rsid w:val="0068050D"/>
    <w:rsid w:val="00684C6B"/>
    <w:rsid w:val="00685FFC"/>
    <w:rsid w:val="00686943"/>
    <w:rsid w:val="00686EDE"/>
    <w:rsid w:val="00687AD5"/>
    <w:rsid w:val="00690A31"/>
    <w:rsid w:val="006911CE"/>
    <w:rsid w:val="00692002"/>
    <w:rsid w:val="00695251"/>
    <w:rsid w:val="00695B58"/>
    <w:rsid w:val="006A1153"/>
    <w:rsid w:val="006A4828"/>
    <w:rsid w:val="006A7C09"/>
    <w:rsid w:val="006B046C"/>
    <w:rsid w:val="006B252F"/>
    <w:rsid w:val="006B3940"/>
    <w:rsid w:val="006B4B1E"/>
    <w:rsid w:val="006B7FA5"/>
    <w:rsid w:val="006C168D"/>
    <w:rsid w:val="006C21E6"/>
    <w:rsid w:val="006C4033"/>
    <w:rsid w:val="006C5BC9"/>
    <w:rsid w:val="006C642C"/>
    <w:rsid w:val="006C7247"/>
    <w:rsid w:val="006D462B"/>
    <w:rsid w:val="006D7386"/>
    <w:rsid w:val="006E0DAD"/>
    <w:rsid w:val="006E313F"/>
    <w:rsid w:val="006E6CA2"/>
    <w:rsid w:val="006F1F1A"/>
    <w:rsid w:val="006F5AC2"/>
    <w:rsid w:val="006F6C28"/>
    <w:rsid w:val="007007EB"/>
    <w:rsid w:val="00701109"/>
    <w:rsid w:val="00701F57"/>
    <w:rsid w:val="00701FD8"/>
    <w:rsid w:val="00703E8A"/>
    <w:rsid w:val="00706046"/>
    <w:rsid w:val="007112F0"/>
    <w:rsid w:val="00711343"/>
    <w:rsid w:val="00714309"/>
    <w:rsid w:val="0071450F"/>
    <w:rsid w:val="00717772"/>
    <w:rsid w:val="00720B42"/>
    <w:rsid w:val="00721DBE"/>
    <w:rsid w:val="007226EC"/>
    <w:rsid w:val="00722B5E"/>
    <w:rsid w:val="00724F6D"/>
    <w:rsid w:val="0072678C"/>
    <w:rsid w:val="007320AD"/>
    <w:rsid w:val="00732D1D"/>
    <w:rsid w:val="00734119"/>
    <w:rsid w:val="007350D4"/>
    <w:rsid w:val="00736034"/>
    <w:rsid w:val="00736D15"/>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36C2"/>
    <w:rsid w:val="00784FE0"/>
    <w:rsid w:val="007858B1"/>
    <w:rsid w:val="0078648E"/>
    <w:rsid w:val="00790803"/>
    <w:rsid w:val="00791A3A"/>
    <w:rsid w:val="00791D9C"/>
    <w:rsid w:val="007A1AB6"/>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D7C43"/>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5146"/>
    <w:rsid w:val="0083623B"/>
    <w:rsid w:val="00836C5A"/>
    <w:rsid w:val="00837E59"/>
    <w:rsid w:val="00840AC0"/>
    <w:rsid w:val="00842100"/>
    <w:rsid w:val="008428A9"/>
    <w:rsid w:val="0084308F"/>
    <w:rsid w:val="00846C2B"/>
    <w:rsid w:val="0085139A"/>
    <w:rsid w:val="008524F6"/>
    <w:rsid w:val="008532F3"/>
    <w:rsid w:val="00854B3F"/>
    <w:rsid w:val="00861C2C"/>
    <w:rsid w:val="00863744"/>
    <w:rsid w:val="00865CFA"/>
    <w:rsid w:val="008668B8"/>
    <w:rsid w:val="0086748F"/>
    <w:rsid w:val="00867B4D"/>
    <w:rsid w:val="00867CF3"/>
    <w:rsid w:val="00874AA3"/>
    <w:rsid w:val="00874AB5"/>
    <w:rsid w:val="00877671"/>
    <w:rsid w:val="00877A13"/>
    <w:rsid w:val="008811F8"/>
    <w:rsid w:val="008869BC"/>
    <w:rsid w:val="00887DDD"/>
    <w:rsid w:val="00887DE6"/>
    <w:rsid w:val="00887E9F"/>
    <w:rsid w:val="008908AA"/>
    <w:rsid w:val="00890E08"/>
    <w:rsid w:val="008927F0"/>
    <w:rsid w:val="00894DCA"/>
    <w:rsid w:val="00896602"/>
    <w:rsid w:val="00897D88"/>
    <w:rsid w:val="008A00BE"/>
    <w:rsid w:val="008A1539"/>
    <w:rsid w:val="008A2C5D"/>
    <w:rsid w:val="008A3BE2"/>
    <w:rsid w:val="008A6957"/>
    <w:rsid w:val="008A6B30"/>
    <w:rsid w:val="008B05E7"/>
    <w:rsid w:val="008B0758"/>
    <w:rsid w:val="008B1875"/>
    <w:rsid w:val="008B4146"/>
    <w:rsid w:val="008B5312"/>
    <w:rsid w:val="008B59CE"/>
    <w:rsid w:val="008B6078"/>
    <w:rsid w:val="008B6085"/>
    <w:rsid w:val="008B7110"/>
    <w:rsid w:val="008B7F4A"/>
    <w:rsid w:val="008C04E1"/>
    <w:rsid w:val="008C04FE"/>
    <w:rsid w:val="008C2F50"/>
    <w:rsid w:val="008C3109"/>
    <w:rsid w:val="008C32F7"/>
    <w:rsid w:val="008C383A"/>
    <w:rsid w:val="008C5312"/>
    <w:rsid w:val="008C5DBD"/>
    <w:rsid w:val="008C61D6"/>
    <w:rsid w:val="008C7498"/>
    <w:rsid w:val="008D49AF"/>
    <w:rsid w:val="008D4A2B"/>
    <w:rsid w:val="008D4A9F"/>
    <w:rsid w:val="008D6294"/>
    <w:rsid w:val="008E1FE0"/>
    <w:rsid w:val="008E3939"/>
    <w:rsid w:val="008E3DDD"/>
    <w:rsid w:val="008F23F4"/>
    <w:rsid w:val="008F61C4"/>
    <w:rsid w:val="008F7763"/>
    <w:rsid w:val="009007CB"/>
    <w:rsid w:val="00901041"/>
    <w:rsid w:val="009010F0"/>
    <w:rsid w:val="00901162"/>
    <w:rsid w:val="00901C2E"/>
    <w:rsid w:val="00901D46"/>
    <w:rsid w:val="009028E2"/>
    <w:rsid w:val="00903692"/>
    <w:rsid w:val="00904E07"/>
    <w:rsid w:val="00906059"/>
    <w:rsid w:val="00912BAF"/>
    <w:rsid w:val="0091311E"/>
    <w:rsid w:val="00914EAB"/>
    <w:rsid w:val="0091541F"/>
    <w:rsid w:val="00920D98"/>
    <w:rsid w:val="0092108C"/>
    <w:rsid w:val="00922D49"/>
    <w:rsid w:val="009238DB"/>
    <w:rsid w:val="00925E37"/>
    <w:rsid w:val="00925EDD"/>
    <w:rsid w:val="0092665C"/>
    <w:rsid w:val="00930079"/>
    <w:rsid w:val="00930966"/>
    <w:rsid w:val="00932F64"/>
    <w:rsid w:val="00935FB1"/>
    <w:rsid w:val="00936075"/>
    <w:rsid w:val="00936D40"/>
    <w:rsid w:val="00937ABF"/>
    <w:rsid w:val="00937DB1"/>
    <w:rsid w:val="009463CC"/>
    <w:rsid w:val="0094687A"/>
    <w:rsid w:val="00950413"/>
    <w:rsid w:val="0095078E"/>
    <w:rsid w:val="00952404"/>
    <w:rsid w:val="00952A72"/>
    <w:rsid w:val="009533AD"/>
    <w:rsid w:val="009542B3"/>
    <w:rsid w:val="009550A8"/>
    <w:rsid w:val="00955FF2"/>
    <w:rsid w:val="0095693D"/>
    <w:rsid w:val="00956B0D"/>
    <w:rsid w:val="0096224F"/>
    <w:rsid w:val="0096260B"/>
    <w:rsid w:val="009631C1"/>
    <w:rsid w:val="00970C69"/>
    <w:rsid w:val="00973B57"/>
    <w:rsid w:val="00973E0D"/>
    <w:rsid w:val="0097403F"/>
    <w:rsid w:val="00976797"/>
    <w:rsid w:val="00980C0C"/>
    <w:rsid w:val="00982E47"/>
    <w:rsid w:val="00983E7D"/>
    <w:rsid w:val="00991642"/>
    <w:rsid w:val="0099260C"/>
    <w:rsid w:val="009942F4"/>
    <w:rsid w:val="00995B3C"/>
    <w:rsid w:val="00996BCA"/>
    <w:rsid w:val="00997454"/>
    <w:rsid w:val="009A045B"/>
    <w:rsid w:val="009A0513"/>
    <w:rsid w:val="009A1119"/>
    <w:rsid w:val="009A2283"/>
    <w:rsid w:val="009A31AF"/>
    <w:rsid w:val="009A3507"/>
    <w:rsid w:val="009A529F"/>
    <w:rsid w:val="009A5C1D"/>
    <w:rsid w:val="009A6018"/>
    <w:rsid w:val="009A7C28"/>
    <w:rsid w:val="009B0273"/>
    <w:rsid w:val="009B4286"/>
    <w:rsid w:val="009B5BF9"/>
    <w:rsid w:val="009B5DAF"/>
    <w:rsid w:val="009B5F83"/>
    <w:rsid w:val="009B61C5"/>
    <w:rsid w:val="009B769E"/>
    <w:rsid w:val="009C03E5"/>
    <w:rsid w:val="009C3F17"/>
    <w:rsid w:val="009C4D19"/>
    <w:rsid w:val="009C5FDB"/>
    <w:rsid w:val="009C65AF"/>
    <w:rsid w:val="009C70CB"/>
    <w:rsid w:val="009C74DD"/>
    <w:rsid w:val="009D0312"/>
    <w:rsid w:val="009D27AA"/>
    <w:rsid w:val="009D2AD9"/>
    <w:rsid w:val="009D514E"/>
    <w:rsid w:val="009D5A40"/>
    <w:rsid w:val="009D5C39"/>
    <w:rsid w:val="009D6FED"/>
    <w:rsid w:val="009E0A95"/>
    <w:rsid w:val="009E0D47"/>
    <w:rsid w:val="009E549D"/>
    <w:rsid w:val="009E54AF"/>
    <w:rsid w:val="009E5C59"/>
    <w:rsid w:val="009E6BB8"/>
    <w:rsid w:val="009F0FB1"/>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17E5B"/>
    <w:rsid w:val="00A20263"/>
    <w:rsid w:val="00A2168F"/>
    <w:rsid w:val="00A248B1"/>
    <w:rsid w:val="00A26437"/>
    <w:rsid w:val="00A30E4D"/>
    <w:rsid w:val="00A32410"/>
    <w:rsid w:val="00A32B48"/>
    <w:rsid w:val="00A35D6F"/>
    <w:rsid w:val="00A36D00"/>
    <w:rsid w:val="00A42462"/>
    <w:rsid w:val="00A43389"/>
    <w:rsid w:val="00A4642E"/>
    <w:rsid w:val="00A47AF8"/>
    <w:rsid w:val="00A52D75"/>
    <w:rsid w:val="00A53013"/>
    <w:rsid w:val="00A54BD6"/>
    <w:rsid w:val="00A5643A"/>
    <w:rsid w:val="00A57678"/>
    <w:rsid w:val="00A6090C"/>
    <w:rsid w:val="00A6200E"/>
    <w:rsid w:val="00A62D1E"/>
    <w:rsid w:val="00A65C6D"/>
    <w:rsid w:val="00A670C7"/>
    <w:rsid w:val="00A716B9"/>
    <w:rsid w:val="00A720D8"/>
    <w:rsid w:val="00A72216"/>
    <w:rsid w:val="00A733F2"/>
    <w:rsid w:val="00A75705"/>
    <w:rsid w:val="00A75BE1"/>
    <w:rsid w:val="00A8187C"/>
    <w:rsid w:val="00A82C9E"/>
    <w:rsid w:val="00A8324F"/>
    <w:rsid w:val="00A84193"/>
    <w:rsid w:val="00A85142"/>
    <w:rsid w:val="00A875B4"/>
    <w:rsid w:val="00A95B37"/>
    <w:rsid w:val="00A96B6F"/>
    <w:rsid w:val="00AA0CE8"/>
    <w:rsid w:val="00AA35FD"/>
    <w:rsid w:val="00AA3DB7"/>
    <w:rsid w:val="00AA5EF2"/>
    <w:rsid w:val="00AA5F63"/>
    <w:rsid w:val="00AA7EBD"/>
    <w:rsid w:val="00AB0590"/>
    <w:rsid w:val="00AB1112"/>
    <w:rsid w:val="00AB67DE"/>
    <w:rsid w:val="00AB69EF"/>
    <w:rsid w:val="00AC11DC"/>
    <w:rsid w:val="00AC23B0"/>
    <w:rsid w:val="00AC3E87"/>
    <w:rsid w:val="00AC469F"/>
    <w:rsid w:val="00AD0611"/>
    <w:rsid w:val="00AD0E4F"/>
    <w:rsid w:val="00AD26D7"/>
    <w:rsid w:val="00AD3905"/>
    <w:rsid w:val="00AD4555"/>
    <w:rsid w:val="00AD4A31"/>
    <w:rsid w:val="00AD5638"/>
    <w:rsid w:val="00AD7214"/>
    <w:rsid w:val="00AE1066"/>
    <w:rsid w:val="00AE12A4"/>
    <w:rsid w:val="00AE2480"/>
    <w:rsid w:val="00AE2E1B"/>
    <w:rsid w:val="00AE5129"/>
    <w:rsid w:val="00AE5645"/>
    <w:rsid w:val="00AE68BC"/>
    <w:rsid w:val="00AF1D6B"/>
    <w:rsid w:val="00AF24AA"/>
    <w:rsid w:val="00AF3AF9"/>
    <w:rsid w:val="00AF3E5F"/>
    <w:rsid w:val="00AF44C1"/>
    <w:rsid w:val="00AF4F09"/>
    <w:rsid w:val="00AF643E"/>
    <w:rsid w:val="00AF79C8"/>
    <w:rsid w:val="00B00FA8"/>
    <w:rsid w:val="00B011B0"/>
    <w:rsid w:val="00B0391C"/>
    <w:rsid w:val="00B047F6"/>
    <w:rsid w:val="00B06019"/>
    <w:rsid w:val="00B06246"/>
    <w:rsid w:val="00B0700F"/>
    <w:rsid w:val="00B1493B"/>
    <w:rsid w:val="00B15119"/>
    <w:rsid w:val="00B17169"/>
    <w:rsid w:val="00B23996"/>
    <w:rsid w:val="00B23CB2"/>
    <w:rsid w:val="00B249C0"/>
    <w:rsid w:val="00B24A18"/>
    <w:rsid w:val="00B255C5"/>
    <w:rsid w:val="00B25807"/>
    <w:rsid w:val="00B268DD"/>
    <w:rsid w:val="00B32AE1"/>
    <w:rsid w:val="00B35FEC"/>
    <w:rsid w:val="00B37780"/>
    <w:rsid w:val="00B37813"/>
    <w:rsid w:val="00B37EEF"/>
    <w:rsid w:val="00B404F1"/>
    <w:rsid w:val="00B41C1D"/>
    <w:rsid w:val="00B43917"/>
    <w:rsid w:val="00B4515C"/>
    <w:rsid w:val="00B46220"/>
    <w:rsid w:val="00B464EA"/>
    <w:rsid w:val="00B47574"/>
    <w:rsid w:val="00B5430C"/>
    <w:rsid w:val="00B54884"/>
    <w:rsid w:val="00B56A90"/>
    <w:rsid w:val="00B5711C"/>
    <w:rsid w:val="00B57BCF"/>
    <w:rsid w:val="00B57E36"/>
    <w:rsid w:val="00B60209"/>
    <w:rsid w:val="00B606A3"/>
    <w:rsid w:val="00B625CB"/>
    <w:rsid w:val="00B63F2B"/>
    <w:rsid w:val="00B64D3A"/>
    <w:rsid w:val="00B65D6F"/>
    <w:rsid w:val="00B673F3"/>
    <w:rsid w:val="00B67A25"/>
    <w:rsid w:val="00B7354A"/>
    <w:rsid w:val="00B7435B"/>
    <w:rsid w:val="00B74446"/>
    <w:rsid w:val="00B74B59"/>
    <w:rsid w:val="00B75F09"/>
    <w:rsid w:val="00B76BBB"/>
    <w:rsid w:val="00B77142"/>
    <w:rsid w:val="00B8024E"/>
    <w:rsid w:val="00B80C3A"/>
    <w:rsid w:val="00B84643"/>
    <w:rsid w:val="00B90452"/>
    <w:rsid w:val="00B90780"/>
    <w:rsid w:val="00B916D6"/>
    <w:rsid w:val="00B91AD8"/>
    <w:rsid w:val="00B9209B"/>
    <w:rsid w:val="00B9240D"/>
    <w:rsid w:val="00B95753"/>
    <w:rsid w:val="00B97E42"/>
    <w:rsid w:val="00BA0425"/>
    <w:rsid w:val="00BA0C05"/>
    <w:rsid w:val="00BA54D0"/>
    <w:rsid w:val="00BA7E30"/>
    <w:rsid w:val="00BB04BF"/>
    <w:rsid w:val="00BB1013"/>
    <w:rsid w:val="00BB4515"/>
    <w:rsid w:val="00BB7B89"/>
    <w:rsid w:val="00BC1A9B"/>
    <w:rsid w:val="00BC2A22"/>
    <w:rsid w:val="00BC4986"/>
    <w:rsid w:val="00BC5E2E"/>
    <w:rsid w:val="00BC6379"/>
    <w:rsid w:val="00BC6C3E"/>
    <w:rsid w:val="00BC7EEF"/>
    <w:rsid w:val="00BD2308"/>
    <w:rsid w:val="00BD43BB"/>
    <w:rsid w:val="00BD72C1"/>
    <w:rsid w:val="00BD7ADE"/>
    <w:rsid w:val="00BE1A85"/>
    <w:rsid w:val="00BE46ED"/>
    <w:rsid w:val="00BE4FD1"/>
    <w:rsid w:val="00BE642D"/>
    <w:rsid w:val="00BE6D7A"/>
    <w:rsid w:val="00BF07C4"/>
    <w:rsid w:val="00BF2511"/>
    <w:rsid w:val="00BF377F"/>
    <w:rsid w:val="00BF3F88"/>
    <w:rsid w:val="00BF416F"/>
    <w:rsid w:val="00BF57BE"/>
    <w:rsid w:val="00C0042B"/>
    <w:rsid w:val="00C02E58"/>
    <w:rsid w:val="00C030B6"/>
    <w:rsid w:val="00C04B38"/>
    <w:rsid w:val="00C067B7"/>
    <w:rsid w:val="00C10A09"/>
    <w:rsid w:val="00C121BC"/>
    <w:rsid w:val="00C12FA4"/>
    <w:rsid w:val="00C14D92"/>
    <w:rsid w:val="00C16739"/>
    <w:rsid w:val="00C17F3F"/>
    <w:rsid w:val="00C23BA2"/>
    <w:rsid w:val="00C260A2"/>
    <w:rsid w:val="00C30CFF"/>
    <w:rsid w:val="00C30DEC"/>
    <w:rsid w:val="00C31142"/>
    <w:rsid w:val="00C31DEF"/>
    <w:rsid w:val="00C338EB"/>
    <w:rsid w:val="00C35BB7"/>
    <w:rsid w:val="00C36B35"/>
    <w:rsid w:val="00C400CD"/>
    <w:rsid w:val="00C41617"/>
    <w:rsid w:val="00C4309A"/>
    <w:rsid w:val="00C43F23"/>
    <w:rsid w:val="00C43FF1"/>
    <w:rsid w:val="00C45494"/>
    <w:rsid w:val="00C52D18"/>
    <w:rsid w:val="00C559CE"/>
    <w:rsid w:val="00C55E19"/>
    <w:rsid w:val="00C563AD"/>
    <w:rsid w:val="00C563BF"/>
    <w:rsid w:val="00C56EF8"/>
    <w:rsid w:val="00C57512"/>
    <w:rsid w:val="00C57607"/>
    <w:rsid w:val="00C61133"/>
    <w:rsid w:val="00C64009"/>
    <w:rsid w:val="00C7016D"/>
    <w:rsid w:val="00C74CED"/>
    <w:rsid w:val="00C754C7"/>
    <w:rsid w:val="00C767B3"/>
    <w:rsid w:val="00C76C07"/>
    <w:rsid w:val="00C80F23"/>
    <w:rsid w:val="00C850A3"/>
    <w:rsid w:val="00C87568"/>
    <w:rsid w:val="00C9167A"/>
    <w:rsid w:val="00C92451"/>
    <w:rsid w:val="00C9272C"/>
    <w:rsid w:val="00C97764"/>
    <w:rsid w:val="00C97C9B"/>
    <w:rsid w:val="00CA2211"/>
    <w:rsid w:val="00CA28FE"/>
    <w:rsid w:val="00CA344C"/>
    <w:rsid w:val="00CA7FF7"/>
    <w:rsid w:val="00CB142D"/>
    <w:rsid w:val="00CB29F6"/>
    <w:rsid w:val="00CB2BBF"/>
    <w:rsid w:val="00CB481C"/>
    <w:rsid w:val="00CB4C8C"/>
    <w:rsid w:val="00CB62E1"/>
    <w:rsid w:val="00CB6EFE"/>
    <w:rsid w:val="00CC16F9"/>
    <w:rsid w:val="00CC28A9"/>
    <w:rsid w:val="00CC4183"/>
    <w:rsid w:val="00CC70A4"/>
    <w:rsid w:val="00CC78C7"/>
    <w:rsid w:val="00CD4A0C"/>
    <w:rsid w:val="00CD5CEF"/>
    <w:rsid w:val="00CE06EC"/>
    <w:rsid w:val="00CE592E"/>
    <w:rsid w:val="00CE5BB5"/>
    <w:rsid w:val="00CE5BC5"/>
    <w:rsid w:val="00CF16A4"/>
    <w:rsid w:val="00CF299F"/>
    <w:rsid w:val="00CF3357"/>
    <w:rsid w:val="00CF58DF"/>
    <w:rsid w:val="00D00BC3"/>
    <w:rsid w:val="00D03538"/>
    <w:rsid w:val="00D04410"/>
    <w:rsid w:val="00D05EE7"/>
    <w:rsid w:val="00D06394"/>
    <w:rsid w:val="00D06A9D"/>
    <w:rsid w:val="00D07C15"/>
    <w:rsid w:val="00D11D4F"/>
    <w:rsid w:val="00D13A01"/>
    <w:rsid w:val="00D15733"/>
    <w:rsid w:val="00D20364"/>
    <w:rsid w:val="00D207B2"/>
    <w:rsid w:val="00D2130C"/>
    <w:rsid w:val="00D26746"/>
    <w:rsid w:val="00D26DDD"/>
    <w:rsid w:val="00D27BDC"/>
    <w:rsid w:val="00D3194F"/>
    <w:rsid w:val="00D33751"/>
    <w:rsid w:val="00D36169"/>
    <w:rsid w:val="00D37343"/>
    <w:rsid w:val="00D37495"/>
    <w:rsid w:val="00D41727"/>
    <w:rsid w:val="00D427E4"/>
    <w:rsid w:val="00D45F1B"/>
    <w:rsid w:val="00D477DB"/>
    <w:rsid w:val="00D47A9E"/>
    <w:rsid w:val="00D52289"/>
    <w:rsid w:val="00D55A37"/>
    <w:rsid w:val="00D55B7E"/>
    <w:rsid w:val="00D564C7"/>
    <w:rsid w:val="00D64354"/>
    <w:rsid w:val="00D66685"/>
    <w:rsid w:val="00D70D35"/>
    <w:rsid w:val="00D71351"/>
    <w:rsid w:val="00D71997"/>
    <w:rsid w:val="00D753E9"/>
    <w:rsid w:val="00D777B9"/>
    <w:rsid w:val="00D82273"/>
    <w:rsid w:val="00D82FA5"/>
    <w:rsid w:val="00D84A4B"/>
    <w:rsid w:val="00D84B45"/>
    <w:rsid w:val="00D85287"/>
    <w:rsid w:val="00D857AE"/>
    <w:rsid w:val="00D8623D"/>
    <w:rsid w:val="00D867FB"/>
    <w:rsid w:val="00D86D97"/>
    <w:rsid w:val="00D873C4"/>
    <w:rsid w:val="00D90E11"/>
    <w:rsid w:val="00D9110D"/>
    <w:rsid w:val="00D91124"/>
    <w:rsid w:val="00D91987"/>
    <w:rsid w:val="00D92168"/>
    <w:rsid w:val="00D93426"/>
    <w:rsid w:val="00D94B22"/>
    <w:rsid w:val="00D958D3"/>
    <w:rsid w:val="00D9594F"/>
    <w:rsid w:val="00D97213"/>
    <w:rsid w:val="00DA134E"/>
    <w:rsid w:val="00DA13F3"/>
    <w:rsid w:val="00DA2DE3"/>
    <w:rsid w:val="00DA451D"/>
    <w:rsid w:val="00DA64AF"/>
    <w:rsid w:val="00DB1F4F"/>
    <w:rsid w:val="00DB2AC7"/>
    <w:rsid w:val="00DB704C"/>
    <w:rsid w:val="00DC693B"/>
    <w:rsid w:val="00DC7C77"/>
    <w:rsid w:val="00DD0F5D"/>
    <w:rsid w:val="00DD426D"/>
    <w:rsid w:val="00DD74FC"/>
    <w:rsid w:val="00DE117F"/>
    <w:rsid w:val="00DE1769"/>
    <w:rsid w:val="00DE1A17"/>
    <w:rsid w:val="00DE44C8"/>
    <w:rsid w:val="00DE64CC"/>
    <w:rsid w:val="00DE6AA9"/>
    <w:rsid w:val="00DE7B30"/>
    <w:rsid w:val="00DF0C0B"/>
    <w:rsid w:val="00DF18FE"/>
    <w:rsid w:val="00DF20C7"/>
    <w:rsid w:val="00DF4D0C"/>
    <w:rsid w:val="00DF5C20"/>
    <w:rsid w:val="00DF7D81"/>
    <w:rsid w:val="00E02DEB"/>
    <w:rsid w:val="00E042A1"/>
    <w:rsid w:val="00E0476C"/>
    <w:rsid w:val="00E0576B"/>
    <w:rsid w:val="00E067EA"/>
    <w:rsid w:val="00E06D18"/>
    <w:rsid w:val="00E104FA"/>
    <w:rsid w:val="00E12F1F"/>
    <w:rsid w:val="00E1320D"/>
    <w:rsid w:val="00E139F8"/>
    <w:rsid w:val="00E16022"/>
    <w:rsid w:val="00E1738C"/>
    <w:rsid w:val="00E174FF"/>
    <w:rsid w:val="00E205AA"/>
    <w:rsid w:val="00E22296"/>
    <w:rsid w:val="00E270C6"/>
    <w:rsid w:val="00E27360"/>
    <w:rsid w:val="00E27C04"/>
    <w:rsid w:val="00E27C82"/>
    <w:rsid w:val="00E30713"/>
    <w:rsid w:val="00E30EDF"/>
    <w:rsid w:val="00E312D7"/>
    <w:rsid w:val="00E316AF"/>
    <w:rsid w:val="00E31FBA"/>
    <w:rsid w:val="00E328E2"/>
    <w:rsid w:val="00E336BB"/>
    <w:rsid w:val="00E3384E"/>
    <w:rsid w:val="00E34B63"/>
    <w:rsid w:val="00E374C8"/>
    <w:rsid w:val="00E40156"/>
    <w:rsid w:val="00E4042D"/>
    <w:rsid w:val="00E4135D"/>
    <w:rsid w:val="00E43750"/>
    <w:rsid w:val="00E50630"/>
    <w:rsid w:val="00E508EB"/>
    <w:rsid w:val="00E521E3"/>
    <w:rsid w:val="00E53B7A"/>
    <w:rsid w:val="00E550C9"/>
    <w:rsid w:val="00E55405"/>
    <w:rsid w:val="00E5645D"/>
    <w:rsid w:val="00E627A4"/>
    <w:rsid w:val="00E6280E"/>
    <w:rsid w:val="00E62C9C"/>
    <w:rsid w:val="00E630EE"/>
    <w:rsid w:val="00E64D70"/>
    <w:rsid w:val="00E67A61"/>
    <w:rsid w:val="00E70455"/>
    <w:rsid w:val="00E73221"/>
    <w:rsid w:val="00E7356F"/>
    <w:rsid w:val="00E75116"/>
    <w:rsid w:val="00E763EB"/>
    <w:rsid w:val="00E80A5B"/>
    <w:rsid w:val="00E8153C"/>
    <w:rsid w:val="00E8342F"/>
    <w:rsid w:val="00E84632"/>
    <w:rsid w:val="00E847EE"/>
    <w:rsid w:val="00E85E29"/>
    <w:rsid w:val="00E876F9"/>
    <w:rsid w:val="00E90508"/>
    <w:rsid w:val="00E90B39"/>
    <w:rsid w:val="00E94FFB"/>
    <w:rsid w:val="00E96A72"/>
    <w:rsid w:val="00E96B52"/>
    <w:rsid w:val="00EA01F7"/>
    <w:rsid w:val="00EA083F"/>
    <w:rsid w:val="00EA1D33"/>
    <w:rsid w:val="00EA1F5A"/>
    <w:rsid w:val="00EA375F"/>
    <w:rsid w:val="00EA6415"/>
    <w:rsid w:val="00EA7104"/>
    <w:rsid w:val="00EA7533"/>
    <w:rsid w:val="00EB067F"/>
    <w:rsid w:val="00EB2419"/>
    <w:rsid w:val="00EB45F5"/>
    <w:rsid w:val="00EB58F5"/>
    <w:rsid w:val="00EB6E6B"/>
    <w:rsid w:val="00EC010F"/>
    <w:rsid w:val="00EC224D"/>
    <w:rsid w:val="00EC2C9B"/>
    <w:rsid w:val="00EC2E3A"/>
    <w:rsid w:val="00EC3CCB"/>
    <w:rsid w:val="00EC54CD"/>
    <w:rsid w:val="00EC5A74"/>
    <w:rsid w:val="00EC737D"/>
    <w:rsid w:val="00ED2154"/>
    <w:rsid w:val="00ED4277"/>
    <w:rsid w:val="00ED576D"/>
    <w:rsid w:val="00ED7C8C"/>
    <w:rsid w:val="00ED7DDB"/>
    <w:rsid w:val="00ED7FDD"/>
    <w:rsid w:val="00EE0DEA"/>
    <w:rsid w:val="00EE431B"/>
    <w:rsid w:val="00EE4874"/>
    <w:rsid w:val="00EE53E5"/>
    <w:rsid w:val="00EE6654"/>
    <w:rsid w:val="00EE73FB"/>
    <w:rsid w:val="00EE7BF0"/>
    <w:rsid w:val="00EF2674"/>
    <w:rsid w:val="00EF556F"/>
    <w:rsid w:val="00EF7BE0"/>
    <w:rsid w:val="00EF7D07"/>
    <w:rsid w:val="00F016DD"/>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33991"/>
    <w:rsid w:val="00F3477D"/>
    <w:rsid w:val="00F347FE"/>
    <w:rsid w:val="00F34859"/>
    <w:rsid w:val="00F356F7"/>
    <w:rsid w:val="00F40055"/>
    <w:rsid w:val="00F40868"/>
    <w:rsid w:val="00F44FDE"/>
    <w:rsid w:val="00F4518C"/>
    <w:rsid w:val="00F46467"/>
    <w:rsid w:val="00F4715C"/>
    <w:rsid w:val="00F47FF8"/>
    <w:rsid w:val="00F50707"/>
    <w:rsid w:val="00F529B5"/>
    <w:rsid w:val="00F52AA4"/>
    <w:rsid w:val="00F56162"/>
    <w:rsid w:val="00F56B7E"/>
    <w:rsid w:val="00F6052F"/>
    <w:rsid w:val="00F60F44"/>
    <w:rsid w:val="00F62FDE"/>
    <w:rsid w:val="00F645D2"/>
    <w:rsid w:val="00F654E6"/>
    <w:rsid w:val="00F662CD"/>
    <w:rsid w:val="00F67E39"/>
    <w:rsid w:val="00F703A8"/>
    <w:rsid w:val="00F707F1"/>
    <w:rsid w:val="00F7094A"/>
    <w:rsid w:val="00F710BE"/>
    <w:rsid w:val="00F72579"/>
    <w:rsid w:val="00F804B9"/>
    <w:rsid w:val="00F80AE2"/>
    <w:rsid w:val="00F8265F"/>
    <w:rsid w:val="00F83FF9"/>
    <w:rsid w:val="00F85A1C"/>
    <w:rsid w:val="00F85FCB"/>
    <w:rsid w:val="00F870C3"/>
    <w:rsid w:val="00F91B52"/>
    <w:rsid w:val="00F97478"/>
    <w:rsid w:val="00F97B71"/>
    <w:rsid w:val="00F97B9E"/>
    <w:rsid w:val="00FA0527"/>
    <w:rsid w:val="00FA085E"/>
    <w:rsid w:val="00FA0947"/>
    <w:rsid w:val="00FA2D49"/>
    <w:rsid w:val="00FA472B"/>
    <w:rsid w:val="00FA4B52"/>
    <w:rsid w:val="00FA4D4F"/>
    <w:rsid w:val="00FA4D5B"/>
    <w:rsid w:val="00FA54E8"/>
    <w:rsid w:val="00FA6245"/>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7D41"/>
    <w:rsid w:val="00FE0072"/>
    <w:rsid w:val="00FE0C71"/>
    <w:rsid w:val="00FE1E47"/>
    <w:rsid w:val="00FE275D"/>
    <w:rsid w:val="00FE4F1A"/>
    <w:rsid w:val="00FE65AC"/>
    <w:rsid w:val="00FE7FBD"/>
    <w:rsid w:val="00FF10BC"/>
    <w:rsid w:val="00FF5DCF"/>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0" w:unhideWhenUsed="0"/>
    <w:lsdException w:locked="1" w:name="heading 3" w:qFormat="1" w:uiPriority="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Normal Indent" w:semiHidden="0" w:uiPriority="0" w:unhideWhenUsed="0"/>
    <w:lsdException w:name="annotation text" w:uiPriority="0"/>
    <w:lsdException w:locked="1" w:name="header" w:semiHidden="0" w:uiPriority="0" w:unhideWhenUsed="0"/>
    <w:lsdException w:locked="1" w:name="caption" w:qFormat="1" w:uiPriority="0"/>
    <w:lsdException w:name="annotation reference"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22" w:unhideWhenUsed="0"/>
    <w:lsdException w:locked="1" w:name="Emphasis" w:qFormat="1" w:semiHidden="0" w:uiPriority="0" w:unhideWhenUsed="0"/>
    <w:lsdException w:locked="1" w:name="Plain Text" w:semiHidden="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6A4828"/>
    <w:pPr>
      <w:keepNext/>
      <w:keepLines/>
      <w:spacing w:after="260" w:before="260" w:line="360" w:lineRule="auto"/>
      <w:outlineLvl w:val="1"/>
    </w:pPr>
    <w:rPr>
      <w:rFonts w:ascii="Cambria" w:hAnsi="Cambria"/>
      <w:b/>
      <w:bCs/>
      <w:kern w:val="0"/>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180952"/>
    <w:rPr>
      <w:b/>
      <w:kern w:val="44"/>
      <w:sz w:val="44"/>
    </w:rPr>
  </w:style>
  <w:style w:customStyle="1" w:styleId="2Char" w:type="character">
    <w:name w:val="标题 2 Char"/>
    <w:link w:val="2"/>
    <w:uiPriority w:val="99"/>
    <w:semiHidden/>
    <w:locked/>
    <w:rsid w:val="00AB1112"/>
    <w:rPr>
      <w:rFonts w:ascii="Cambria" w:eastAsia="宋体" w:hAnsi="Cambria"/>
      <w:b/>
      <w:sz w:val="32"/>
    </w:rPr>
  </w:style>
  <w:style w:styleId="a0" w:type="paragraph">
    <w:name w:val="Normal Indent"/>
    <w:basedOn w:val="a"/>
    <w:uiPriority w:val="99"/>
    <w:rsid w:val="006A4828"/>
    <w:pPr>
      <w:ind w:firstLine="420" w:firstLineChars="200"/>
    </w:pPr>
  </w:style>
  <w:style w:styleId="a4" w:type="paragraph">
    <w:name w:val="Body Text Indent"/>
    <w:basedOn w:val="a"/>
    <w:link w:val="Char"/>
    <w:uiPriority w:val="99"/>
    <w:rsid w:val="006A4828"/>
    <w:pPr>
      <w:widowControl/>
      <w:spacing w:after="100" w:afterAutospacing="1" w:before="100" w:beforeAutospacing="1"/>
      <w:jc w:val="left"/>
    </w:pPr>
    <w:rPr>
      <w:kern w:val="0"/>
      <w:sz w:val="24"/>
    </w:rPr>
  </w:style>
  <w:style w:customStyle="1" w:styleId="Char" w:type="character">
    <w:name w:val="正文文本缩进 Char"/>
    <w:link w:val="a4"/>
    <w:uiPriority w:val="99"/>
    <w:semiHidden/>
    <w:locked/>
    <w:rsid w:val="00AB1112"/>
    <w:rPr>
      <w:sz w:val="24"/>
    </w:rPr>
  </w:style>
  <w:style w:styleId="a5" w:type="paragraph">
    <w:name w:val="Plain Text"/>
    <w:basedOn w:val="a"/>
    <w:link w:val="Char0"/>
    <w:uiPriority w:val="99"/>
    <w:rsid w:val="006A4828"/>
    <w:rPr>
      <w:rFonts w:ascii="宋体" w:hAnsi="Courier New"/>
      <w:szCs w:val="21"/>
    </w:rPr>
  </w:style>
  <w:style w:customStyle="1" w:styleId="Char0" w:type="character">
    <w:name w:val="纯文本 Char"/>
    <w:link w:val="a5"/>
    <w:uiPriority w:val="99"/>
    <w:locked/>
    <w:rsid w:val="009A045B"/>
    <w:rPr>
      <w:rFonts w:ascii="宋体" w:hAnsi="Courier New"/>
      <w:kern w:val="2"/>
      <w:sz w:val="21"/>
    </w:rPr>
  </w:style>
  <w:style w:styleId="20" w:type="paragraph">
    <w:name w:val="Body Text Indent 2"/>
    <w:basedOn w:val="a"/>
    <w:link w:val="2Char0"/>
    <w:uiPriority w:val="99"/>
    <w:rsid w:val="006A4828"/>
    <w:pPr>
      <w:spacing w:line="560" w:lineRule="exact"/>
      <w:ind w:firstLine="480" w:firstLineChars="200"/>
    </w:pPr>
    <w:rPr>
      <w:kern w:val="0"/>
      <w:sz w:val="24"/>
    </w:rPr>
  </w:style>
  <w:style w:customStyle="1" w:styleId="2Char0" w:type="character">
    <w:name w:val="正文文本缩进 2 Char"/>
    <w:link w:val="20"/>
    <w:uiPriority w:val="99"/>
    <w:semiHidden/>
    <w:locked/>
    <w:rsid w:val="00AB1112"/>
    <w:rPr>
      <w:sz w:val="24"/>
    </w:rPr>
  </w:style>
  <w:style w:styleId="a6" w:type="paragraph">
    <w:name w:val="footer"/>
    <w:basedOn w:val="a"/>
    <w:link w:val="Char1"/>
    <w:uiPriority w:val="99"/>
    <w:rsid w:val="006A4828"/>
    <w:pPr>
      <w:tabs>
        <w:tab w:pos="4153" w:val="center"/>
        <w:tab w:pos="8306" w:val="right"/>
      </w:tabs>
      <w:snapToGrid w:val="0"/>
      <w:jc w:val="left"/>
    </w:pPr>
    <w:rPr>
      <w:kern w:val="0"/>
      <w:sz w:val="18"/>
      <w:szCs w:val="18"/>
    </w:rPr>
  </w:style>
  <w:style w:customStyle="1" w:styleId="Char1" w:type="character">
    <w:name w:val="页脚 Char"/>
    <w:link w:val="a6"/>
    <w:uiPriority w:val="99"/>
    <w:semiHidden/>
    <w:locked/>
    <w:rsid w:val="00AB1112"/>
    <w:rPr>
      <w:sz w:val="18"/>
    </w:rPr>
  </w:style>
  <w:style w:styleId="a7" w:type="character">
    <w:name w:val="page number"/>
    <w:uiPriority w:val="99"/>
    <w:rsid w:val="006A4828"/>
    <w:rPr>
      <w:rFonts w:cs="Times New Roman"/>
    </w:rPr>
  </w:style>
  <w:style w:styleId="a8" w:type="character">
    <w:name w:val="Hyperlink"/>
    <w:uiPriority w:val="99"/>
    <w:rsid w:val="006A4828"/>
    <w:rPr>
      <w:rFonts w:cs="Times New Roman"/>
      <w:color w:val="0000FF"/>
      <w:u w:val="single"/>
    </w:rPr>
  </w:style>
  <w:style w:styleId="3" w:type="paragraph">
    <w:name w:val="Body Text Indent 3"/>
    <w:basedOn w:val="a"/>
    <w:link w:val="3Char"/>
    <w:uiPriority w:val="99"/>
    <w:rsid w:val="006A4828"/>
    <w:pPr>
      <w:spacing w:line="560" w:lineRule="exact"/>
      <w:ind w:firstLine="420" w:firstLineChars="200"/>
    </w:pPr>
    <w:rPr>
      <w:kern w:val="0"/>
      <w:sz w:val="16"/>
      <w:szCs w:val="16"/>
    </w:rPr>
  </w:style>
  <w:style w:customStyle="1" w:styleId="3Char" w:type="character">
    <w:name w:val="正文文本缩进 3 Char"/>
    <w:link w:val="3"/>
    <w:uiPriority w:val="99"/>
    <w:semiHidden/>
    <w:locked/>
    <w:rsid w:val="00AB1112"/>
    <w:rPr>
      <w:sz w:val="16"/>
    </w:rPr>
  </w:style>
  <w:style w:styleId="a9" w:type="paragraph">
    <w:name w:val="header"/>
    <w:basedOn w:val="a"/>
    <w:link w:val="Char2"/>
    <w:uiPriority w:val="99"/>
    <w:rsid w:val="006A4828"/>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1207F2"/>
    <w:rPr>
      <w:kern w:val="2"/>
      <w:sz w:val="18"/>
    </w:rPr>
  </w:style>
  <w:style w:customStyle="1" w:styleId="10" w:type="character">
    <w:name w:val="已访问的超链接1"/>
    <w:uiPriority w:val="99"/>
    <w:rsid w:val="006A4828"/>
    <w:rPr>
      <w:color w:val="800080"/>
      <w:u w:val="single"/>
    </w:rPr>
  </w:style>
  <w:style w:styleId="aa" w:type="paragraph">
    <w:name w:val="List"/>
    <w:basedOn w:val="ab"/>
    <w:uiPriority w:val="99"/>
    <w:rsid w:val="006A4828"/>
    <w:pPr>
      <w:spacing w:after="220" w:line="220" w:lineRule="atLeast"/>
      <w:ind w:hanging="360" w:left="1440"/>
    </w:pPr>
    <w:rPr>
      <w:szCs w:val="20"/>
    </w:rPr>
  </w:style>
  <w:style w:styleId="ab" w:type="paragraph">
    <w:name w:val="Body Text"/>
    <w:basedOn w:val="a"/>
    <w:link w:val="Char3"/>
    <w:uiPriority w:val="99"/>
    <w:rsid w:val="006A4828"/>
    <w:pPr>
      <w:spacing w:after="120"/>
    </w:pPr>
    <w:rPr>
      <w:kern w:val="0"/>
      <w:sz w:val="24"/>
    </w:rPr>
  </w:style>
  <w:style w:customStyle="1" w:styleId="Char3" w:type="character">
    <w:name w:val="正文文本 Char"/>
    <w:link w:val="ab"/>
    <w:uiPriority w:val="99"/>
    <w:semiHidden/>
    <w:locked/>
    <w:rsid w:val="00AB1112"/>
    <w:rPr>
      <w:sz w:val="24"/>
    </w:rPr>
  </w:style>
  <w:style w:styleId="ac" w:type="paragraph">
    <w:name w:val="Date"/>
    <w:basedOn w:val="a"/>
    <w:next w:val="a"/>
    <w:link w:val="Char4"/>
    <w:uiPriority w:val="99"/>
    <w:rsid w:val="006A4828"/>
    <w:rPr>
      <w:sz w:val="24"/>
      <w:szCs w:val="20"/>
    </w:rPr>
  </w:style>
  <w:style w:customStyle="1" w:styleId="Char4" w:type="character">
    <w:name w:val="日期 Char"/>
    <w:link w:val="ac"/>
    <w:uiPriority w:val="99"/>
    <w:locked/>
    <w:rsid w:val="00D66685"/>
    <w:rPr>
      <w:kern w:val="2"/>
      <w:sz w:val="24"/>
    </w:rPr>
  </w:style>
  <w:style w:customStyle="1" w:styleId="c1" w:type="character">
    <w:name w:val="c1"/>
    <w:uiPriority w:val="99"/>
    <w:rsid w:val="006A4828"/>
    <w:rPr>
      <w:color w:val="000000"/>
      <w:sz w:val="18"/>
    </w:rPr>
  </w:style>
  <w:style w:styleId="11" w:type="paragraph">
    <w:name w:val="index 1"/>
    <w:basedOn w:val="a"/>
    <w:next w:val="a"/>
    <w:autoRedefine/>
    <w:uiPriority w:val="99"/>
    <w:semiHidden/>
    <w:rsid w:val="006A4828"/>
    <w:pPr>
      <w:jc w:val="right"/>
    </w:pPr>
    <w:rPr>
      <w:color w:val="008000"/>
    </w:rPr>
  </w:style>
  <w:style w:customStyle="1" w:styleId="font5" w:type="paragraph">
    <w:name w:val="font5"/>
    <w:basedOn w:val="a"/>
    <w:uiPriority w:val="99"/>
    <w:rsid w:val="006A4828"/>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uiPriority w:val="99"/>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link w:val="Char5"/>
    <w:uiPriority w:val="99"/>
    <w:semiHidden/>
    <w:rsid w:val="006A4828"/>
    <w:rPr>
      <w:kern w:val="0"/>
      <w:sz w:val="2"/>
      <w:szCs w:val="20"/>
    </w:rPr>
  </w:style>
  <w:style w:customStyle="1" w:styleId="Char5" w:type="character">
    <w:name w:val="批注框文本 Char"/>
    <w:link w:val="ad"/>
    <w:uiPriority w:val="99"/>
    <w:semiHidden/>
    <w:locked/>
    <w:rsid w:val="00AB1112"/>
    <w:rPr>
      <w:sz w:val="2"/>
    </w:rPr>
  </w:style>
  <w:style w:styleId="ae" w:type="character">
    <w:name w:val="annotation reference"/>
    <w:semiHidden/>
    <w:rsid w:val="006A4828"/>
    <w:rPr>
      <w:rFonts w:cs="Times New Roman"/>
      <w:sz w:val="21"/>
    </w:rPr>
  </w:style>
  <w:style w:styleId="af" w:type="paragraph">
    <w:name w:val="annotation text"/>
    <w:basedOn w:val="a"/>
    <w:link w:val="Char6"/>
    <w:semiHidden/>
    <w:rsid w:val="006A4828"/>
    <w:pPr>
      <w:jc w:val="left"/>
    </w:pPr>
    <w:rPr>
      <w:kern w:val="0"/>
      <w:sz w:val="24"/>
    </w:rPr>
  </w:style>
  <w:style w:customStyle="1" w:styleId="Char6" w:type="character">
    <w:name w:val="批注文字 Char"/>
    <w:link w:val="af"/>
    <w:uiPriority w:val="99"/>
    <w:semiHidden/>
    <w:locked/>
    <w:rsid w:val="00AB1112"/>
    <w:rPr>
      <w:sz w:val="24"/>
    </w:rPr>
  </w:style>
  <w:style w:styleId="af0" w:type="paragraph">
    <w:name w:val="annotation subject"/>
    <w:basedOn w:val="af"/>
    <w:next w:val="af"/>
    <w:link w:val="Char7"/>
    <w:uiPriority w:val="99"/>
    <w:semiHidden/>
    <w:rsid w:val="006A4828"/>
    <w:rPr>
      <w:b/>
      <w:bCs/>
    </w:rPr>
  </w:style>
  <w:style w:customStyle="1" w:styleId="Char7" w:type="character">
    <w:name w:val="批注主题 Char"/>
    <w:link w:val="af0"/>
    <w:uiPriority w:val="99"/>
    <w:semiHidden/>
    <w:locked/>
    <w:rsid w:val="00AB1112"/>
    <w:rPr>
      <w:b/>
      <w:sz w:val="24"/>
    </w:rPr>
  </w:style>
  <w:style w:customStyle="1" w:styleId="Char8" w:type="paragraph">
    <w:name w:val="Char"/>
    <w:basedOn w:val="a"/>
    <w:uiPriority w:val="99"/>
    <w:rsid w:val="006A4828"/>
  </w:style>
  <w:style w:styleId="af1" w:type="paragraph">
    <w:name w:val="Document Map"/>
    <w:basedOn w:val="a"/>
    <w:link w:val="Char9"/>
    <w:uiPriority w:val="99"/>
    <w:semiHidden/>
    <w:rsid w:val="000A549A"/>
    <w:pPr>
      <w:shd w:color="auto" w:fill="000080" w:val="clear"/>
    </w:pPr>
    <w:rPr>
      <w:kern w:val="0"/>
      <w:sz w:val="2"/>
      <w:szCs w:val="20"/>
    </w:rPr>
  </w:style>
  <w:style w:customStyle="1" w:styleId="Char9" w:type="character">
    <w:name w:val="文档结构图 Char"/>
    <w:link w:val="af1"/>
    <w:uiPriority w:val="99"/>
    <w:semiHidden/>
    <w:locked/>
    <w:rsid w:val="00AB1112"/>
    <w:rPr>
      <w:sz w:val="2"/>
    </w:rPr>
  </w:style>
  <w:style w:styleId="af2" w:type="table">
    <w:name w:val="Table Grid"/>
    <w:basedOn w:val="a2"/>
    <w:qFormat/>
    <w:rsid w:val="009A31AF"/>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f3" w:type="paragraph">
    <w:name w:val="footnote text"/>
    <w:basedOn w:val="a"/>
    <w:link w:val="Chara"/>
    <w:uiPriority w:val="99"/>
    <w:rsid w:val="000B251E"/>
    <w:pPr>
      <w:snapToGrid w:val="0"/>
      <w:jc w:val="left"/>
    </w:pPr>
    <w:rPr>
      <w:sz w:val="18"/>
      <w:szCs w:val="18"/>
    </w:rPr>
  </w:style>
  <w:style w:customStyle="1" w:styleId="Chara" w:type="character">
    <w:name w:val="脚注文本 Char"/>
    <w:link w:val="af3"/>
    <w:uiPriority w:val="99"/>
    <w:locked/>
    <w:rsid w:val="00CB481C"/>
    <w:rPr>
      <w:kern w:val="2"/>
      <w:sz w:val="18"/>
    </w:rPr>
  </w:style>
  <w:style w:styleId="af4" w:type="character">
    <w:name w:val="footnote reference"/>
    <w:uiPriority w:val="99"/>
    <w:rsid w:val="000B251E"/>
    <w:rPr>
      <w:rFonts w:cs="Times New Roman"/>
      <w:vertAlign w:val="superscript"/>
    </w:rPr>
  </w:style>
  <w:style w:styleId="af5" w:type="paragraph">
    <w:name w:val="Normal (Web)"/>
    <w:basedOn w:val="a"/>
    <w:uiPriority w:val="99"/>
    <w:rsid w:val="00B25807"/>
    <w:pPr>
      <w:widowControl/>
      <w:spacing w:after="100" w:afterAutospacing="1" w:before="100" w:beforeAutospacing="1"/>
      <w:jc w:val="left"/>
    </w:pPr>
    <w:rPr>
      <w:rFonts w:ascii="宋体" w:hAnsi="宋体"/>
      <w:kern w:val="0"/>
      <w:sz w:val="24"/>
    </w:rPr>
  </w:style>
  <w:style w:customStyle="1" w:styleId="Char10" w:type="paragraph">
    <w:name w:val="Char1"/>
    <w:basedOn w:val="a"/>
    <w:uiPriority w:val="99"/>
    <w:rsid w:val="00D97213"/>
  </w:style>
  <w:style w:customStyle="1" w:styleId="t1" w:type="character">
    <w:name w:val="t1"/>
    <w:uiPriority w:val="99"/>
    <w:rsid w:val="002D2A00"/>
    <w:rPr>
      <w:color w:val="990000"/>
    </w:rPr>
  </w:style>
  <w:style w:customStyle="1" w:styleId="Default" w:type="paragraph">
    <w:name w:val="Default"/>
    <w:uiPriority w:val="99"/>
    <w:rsid w:val="00CB481C"/>
    <w:pPr>
      <w:widowControl w:val="0"/>
      <w:autoSpaceDE w:val="0"/>
      <w:autoSpaceDN w:val="0"/>
      <w:adjustRightInd w:val="0"/>
    </w:pPr>
    <w:rPr>
      <w:rFonts w:ascii="FangSong" w:cs="FangSong" w:hAnsi="FangSong"/>
      <w:color w:val="000000"/>
      <w:sz w:val="24"/>
      <w:szCs w:val="24"/>
    </w:rPr>
  </w:style>
  <w:style w:customStyle="1" w:styleId="5" w:type="numbering">
    <w:name w:val="样式5"/>
    <w:rsid w:val="00C00FED"/>
    <w:pPr>
      <w:numPr>
        <w:numId w:val="8"/>
      </w:numPr>
    </w:pPr>
  </w:style>
  <w:style w:styleId="af6" w:type="character">
    <w:name w:val="Strong"/>
    <w:uiPriority w:val="22"/>
    <w:qFormat/>
    <w:locked/>
    <w:rsid w:val="00AE24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Char">
    <w:name w:val="5"/>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021212">
      <w:bodyDiv w:val="1"/>
      <w:marLeft w:val="0"/>
      <w:marRight w:val="0"/>
      <w:marTop w:val="0"/>
      <w:marBottom w:val="0"/>
      <w:divBdr>
        <w:top w:val="none" w:sz="0" w:space="0" w:color="auto"/>
        <w:left w:val="none" w:sz="0" w:space="0" w:color="auto"/>
        <w:bottom w:val="none" w:sz="0" w:space="0" w:color="auto"/>
        <w:right w:val="none" w:sz="0" w:space="0" w:color="auto"/>
      </w:divBdr>
    </w:div>
    <w:div w:id="888423083">
      <w:marLeft w:val="0"/>
      <w:marRight w:val="0"/>
      <w:marTop w:val="0"/>
      <w:marBottom w:val="0"/>
      <w:divBdr>
        <w:top w:val="none" w:sz="0" w:space="0" w:color="auto"/>
        <w:left w:val="none" w:sz="0" w:space="0" w:color="auto"/>
        <w:bottom w:val="none" w:sz="0" w:space="0" w:color="auto"/>
        <w:right w:val="none" w:sz="0" w:space="0" w:color="auto"/>
      </w:divBdr>
    </w:div>
    <w:div w:id="888423084">
      <w:marLeft w:val="0"/>
      <w:marRight w:val="0"/>
      <w:marTop w:val="0"/>
      <w:marBottom w:val="0"/>
      <w:divBdr>
        <w:top w:val="none" w:sz="0" w:space="0" w:color="auto"/>
        <w:left w:val="none" w:sz="0" w:space="0" w:color="auto"/>
        <w:bottom w:val="none" w:sz="0" w:space="0" w:color="auto"/>
        <w:right w:val="none" w:sz="0" w:space="0" w:color="auto"/>
      </w:divBdr>
    </w:div>
    <w:div w:id="888423085">
      <w:marLeft w:val="0"/>
      <w:marRight w:val="0"/>
      <w:marTop w:val="0"/>
      <w:marBottom w:val="0"/>
      <w:divBdr>
        <w:top w:val="none" w:sz="0" w:space="0" w:color="auto"/>
        <w:left w:val="none" w:sz="0" w:space="0" w:color="auto"/>
        <w:bottom w:val="none" w:sz="0" w:space="0" w:color="auto"/>
        <w:right w:val="none" w:sz="0" w:space="0" w:color="auto"/>
      </w:divBdr>
    </w:div>
    <w:div w:id="888423086">
      <w:marLeft w:val="0"/>
      <w:marRight w:val="0"/>
      <w:marTop w:val="0"/>
      <w:marBottom w:val="0"/>
      <w:divBdr>
        <w:top w:val="none" w:sz="0" w:space="0" w:color="auto"/>
        <w:left w:val="none" w:sz="0" w:space="0" w:color="auto"/>
        <w:bottom w:val="none" w:sz="0" w:space="0" w:color="auto"/>
        <w:right w:val="none" w:sz="0" w:space="0" w:color="auto"/>
      </w:divBdr>
    </w:div>
    <w:div w:id="888423087">
      <w:marLeft w:val="0"/>
      <w:marRight w:val="0"/>
      <w:marTop w:val="0"/>
      <w:marBottom w:val="0"/>
      <w:divBdr>
        <w:top w:val="none" w:sz="0" w:space="0" w:color="auto"/>
        <w:left w:val="none" w:sz="0" w:space="0" w:color="auto"/>
        <w:bottom w:val="none" w:sz="0" w:space="0" w:color="auto"/>
        <w:right w:val="none" w:sz="0" w:space="0" w:color="auto"/>
      </w:divBdr>
    </w:div>
    <w:div w:id="888423088">
      <w:marLeft w:val="0"/>
      <w:marRight w:val="0"/>
      <w:marTop w:val="0"/>
      <w:marBottom w:val="0"/>
      <w:divBdr>
        <w:top w:val="none" w:sz="0" w:space="0" w:color="auto"/>
        <w:left w:val="none" w:sz="0" w:space="0" w:color="auto"/>
        <w:bottom w:val="none" w:sz="0" w:space="0" w:color="auto"/>
        <w:right w:val="none" w:sz="0" w:space="0" w:color="auto"/>
      </w:divBdr>
    </w:div>
    <w:div w:id="888423089">
      <w:marLeft w:val="0"/>
      <w:marRight w:val="0"/>
      <w:marTop w:val="0"/>
      <w:marBottom w:val="0"/>
      <w:divBdr>
        <w:top w:val="none" w:sz="0" w:space="0" w:color="auto"/>
        <w:left w:val="none" w:sz="0" w:space="0" w:color="auto"/>
        <w:bottom w:val="none" w:sz="0" w:space="0" w:color="auto"/>
        <w:right w:val="none" w:sz="0" w:space="0" w:color="auto"/>
      </w:divBdr>
    </w:div>
    <w:div w:id="888423090">
      <w:marLeft w:val="0"/>
      <w:marRight w:val="0"/>
      <w:marTop w:val="0"/>
      <w:marBottom w:val="0"/>
      <w:divBdr>
        <w:top w:val="none" w:sz="0" w:space="0" w:color="auto"/>
        <w:left w:val="none" w:sz="0" w:space="0" w:color="auto"/>
        <w:bottom w:val="none" w:sz="0" w:space="0" w:color="auto"/>
        <w:right w:val="none" w:sz="0" w:space="0" w:color="auto"/>
      </w:divBdr>
    </w:div>
    <w:div w:id="888423091">
      <w:marLeft w:val="0"/>
      <w:marRight w:val="0"/>
      <w:marTop w:val="0"/>
      <w:marBottom w:val="0"/>
      <w:divBdr>
        <w:top w:val="none" w:sz="0" w:space="0" w:color="auto"/>
        <w:left w:val="none" w:sz="0" w:space="0" w:color="auto"/>
        <w:bottom w:val="none" w:sz="0" w:space="0" w:color="auto"/>
        <w:right w:val="none" w:sz="0" w:space="0" w:color="auto"/>
      </w:divBdr>
    </w:div>
    <w:div w:id="888423092">
      <w:marLeft w:val="0"/>
      <w:marRight w:val="0"/>
      <w:marTop w:val="0"/>
      <w:marBottom w:val="0"/>
      <w:divBdr>
        <w:top w:val="none" w:sz="0" w:space="0" w:color="auto"/>
        <w:left w:val="none" w:sz="0" w:space="0" w:color="auto"/>
        <w:bottom w:val="none" w:sz="0" w:space="0" w:color="auto"/>
        <w:right w:val="none" w:sz="0" w:space="0" w:color="auto"/>
      </w:divBdr>
    </w:div>
    <w:div w:id="888423093">
      <w:marLeft w:val="0"/>
      <w:marRight w:val="0"/>
      <w:marTop w:val="0"/>
      <w:marBottom w:val="0"/>
      <w:divBdr>
        <w:top w:val="none" w:sz="0" w:space="0" w:color="auto"/>
        <w:left w:val="none" w:sz="0" w:space="0" w:color="auto"/>
        <w:bottom w:val="none" w:sz="0" w:space="0" w:color="auto"/>
        <w:right w:val="none" w:sz="0" w:space="0" w:color="auto"/>
      </w:divBdr>
    </w:div>
    <w:div w:id="888423095">
      <w:marLeft w:val="0"/>
      <w:marRight w:val="0"/>
      <w:marTop w:val="0"/>
      <w:marBottom w:val="0"/>
      <w:divBdr>
        <w:top w:val="none" w:sz="0" w:space="0" w:color="auto"/>
        <w:left w:val="none" w:sz="0" w:space="0" w:color="auto"/>
        <w:bottom w:val="none" w:sz="0" w:space="0" w:color="auto"/>
        <w:right w:val="none" w:sz="0" w:space="0" w:color="auto"/>
      </w:divBdr>
    </w:div>
    <w:div w:id="888423096">
      <w:marLeft w:val="0"/>
      <w:marRight w:val="0"/>
      <w:marTop w:val="0"/>
      <w:marBottom w:val="0"/>
      <w:divBdr>
        <w:top w:val="none" w:sz="0" w:space="0" w:color="auto"/>
        <w:left w:val="none" w:sz="0" w:space="0" w:color="auto"/>
        <w:bottom w:val="none" w:sz="0" w:space="0" w:color="auto"/>
        <w:right w:val="none" w:sz="0" w:space="0" w:color="auto"/>
      </w:divBdr>
    </w:div>
    <w:div w:id="888423097">
      <w:marLeft w:val="0"/>
      <w:marRight w:val="0"/>
      <w:marTop w:val="0"/>
      <w:marBottom w:val="0"/>
      <w:divBdr>
        <w:top w:val="none" w:sz="0" w:space="0" w:color="auto"/>
        <w:left w:val="none" w:sz="0" w:space="0" w:color="auto"/>
        <w:bottom w:val="none" w:sz="0" w:space="0" w:color="auto"/>
        <w:right w:val="none" w:sz="0" w:space="0" w:color="auto"/>
      </w:divBdr>
    </w:div>
    <w:div w:id="888423098">
      <w:marLeft w:val="0"/>
      <w:marRight w:val="0"/>
      <w:marTop w:val="0"/>
      <w:marBottom w:val="0"/>
      <w:divBdr>
        <w:top w:val="none" w:sz="0" w:space="0" w:color="auto"/>
        <w:left w:val="none" w:sz="0" w:space="0" w:color="auto"/>
        <w:bottom w:val="none" w:sz="0" w:space="0" w:color="auto"/>
        <w:right w:val="none" w:sz="0" w:space="0" w:color="auto"/>
      </w:divBdr>
    </w:div>
    <w:div w:id="888423099">
      <w:marLeft w:val="0"/>
      <w:marRight w:val="0"/>
      <w:marTop w:val="0"/>
      <w:marBottom w:val="0"/>
      <w:divBdr>
        <w:top w:val="none" w:sz="0" w:space="0" w:color="auto"/>
        <w:left w:val="none" w:sz="0" w:space="0" w:color="auto"/>
        <w:bottom w:val="none" w:sz="0" w:space="0" w:color="auto"/>
        <w:right w:val="none" w:sz="0" w:space="0" w:color="auto"/>
      </w:divBdr>
    </w:div>
    <w:div w:id="888423100">
      <w:marLeft w:val="150"/>
      <w:marRight w:val="150"/>
      <w:marTop w:val="150"/>
      <w:marBottom w:val="150"/>
      <w:divBdr>
        <w:top w:val="none" w:sz="0" w:space="0" w:color="auto"/>
        <w:left w:val="none" w:sz="0" w:space="0" w:color="auto"/>
        <w:bottom w:val="none" w:sz="0" w:space="0" w:color="auto"/>
        <w:right w:val="none" w:sz="0" w:space="0" w:color="auto"/>
      </w:divBdr>
      <w:divsChild>
        <w:div w:id="888423094">
          <w:marLeft w:val="0"/>
          <w:marRight w:val="0"/>
          <w:marTop w:val="0"/>
          <w:marBottom w:val="0"/>
          <w:divBdr>
            <w:top w:val="none" w:sz="0" w:space="0" w:color="auto"/>
            <w:left w:val="none" w:sz="0" w:space="0" w:color="auto"/>
            <w:bottom w:val="none" w:sz="0" w:space="0" w:color="auto"/>
            <w:right w:val="none" w:sz="0" w:space="0" w:color="auto"/>
          </w:divBdr>
        </w:div>
      </w:divsChild>
    </w:div>
    <w:div w:id="1691950885">
      <w:bodyDiv w:val="1"/>
      <w:marLeft w:val="0"/>
      <w:marRight w:val="0"/>
      <w:marTop w:val="0"/>
      <w:marBottom w:val="0"/>
      <w:divBdr>
        <w:top w:val="none" w:sz="0" w:space="0" w:color="auto"/>
        <w:left w:val="none" w:sz="0" w:space="0" w:color="auto"/>
        <w:bottom w:val="none" w:sz="0" w:space="0" w:color="auto"/>
        <w:right w:val="none" w:sz="0" w:space="0" w:color="auto"/>
      </w:divBdr>
    </w:div>
    <w:div w:id="1704014345">
      <w:bodyDiv w:val="1"/>
      <w:marLeft w:val="0"/>
      <w:marRight w:val="0"/>
      <w:marTop w:val="0"/>
      <w:marBottom w:val="0"/>
      <w:divBdr>
        <w:top w:val="none" w:sz="0" w:space="0" w:color="auto"/>
        <w:left w:val="none" w:sz="0" w:space="0" w:color="auto"/>
        <w:bottom w:val="none" w:sz="0" w:space="0" w:color="auto"/>
        <w:right w:val="none" w:sz="0" w:space="0" w:color="auto"/>
      </w:divBdr>
    </w:div>
    <w:div w:id="1712071077">
      <w:bodyDiv w:val="1"/>
      <w:marLeft w:val="0"/>
      <w:marRight w:val="0"/>
      <w:marTop w:val="0"/>
      <w:marBottom w:val="0"/>
      <w:divBdr>
        <w:top w:val="none" w:sz="0" w:space="0" w:color="auto"/>
        <w:left w:val="none" w:sz="0" w:space="0" w:color="auto"/>
        <w:bottom w:val="none" w:sz="0" w:space="0" w:color="auto"/>
        <w:right w:val="none" w:sz="0" w:space="0" w:color="auto"/>
      </w:divBdr>
    </w:div>
    <w:div w:id="17940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media/image1.jpeg" Type="http://schemas.openxmlformats.org/officeDocument/2006/relationships/image"/>
<Relationship Id="rId11" Target="media/image2.jpeg" Type="http://schemas.openxmlformats.org/officeDocument/2006/relationships/image"/>
<Relationship Id="rId12" Target="footer2.xml" Type="http://schemas.openxmlformats.org/officeDocument/2006/relationships/footer"/>
<Relationship Id="rId13" Target="footer3.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settings.xml.rels><?xml version="1.0" encoding="UTF-8" standalone="no"?>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abc季报.dot</Template>
  <TotalTime>413</TotalTime>
  <Pages>30</Pages>
  <Words>4559</Words>
  <Characters>25992</Characters>
  <Application>Microsoft Office Word</Application>
  <DocSecurity>0</DocSecurity>
  <Lines>216</Lines>
  <Paragraphs>60</Paragraphs>
  <ScaleCrop>false</ScaleCrop>
  <Company>TRT. Ltd. Co.</Company>
  <LinksUpToDate>false</LinksUpToDate>
  <CharactersWithSpaces>30491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2013-06-21T06:56:00Z</dcterms:created>
  <dc:creator>bonnieliu</dc:creator>
  <cp:lastModifiedBy>sirong han</cp:lastModifiedBy>
  <cp:lastPrinted>2007-07-19T00:46:00Z</cp:lastPrinted>
  <dcterms:modified xsi:type="dcterms:W3CDTF">2020-10-20T06:24:00Z</dcterms:modified>
  <cp:revision>181</cp:revision>
</cp:coreProperties>
</file>