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易方达国防军工混合型证券投资基金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中国建设银行股份有限公司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易方达国防军工混合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001475</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001475</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2015年6月19日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6,349,524,794.57</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本基金在严格控制风险的前提下，追求超越业绩比较基准的投资回报。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将基于定量与定性相结合的宏观及市场分析，确定组合中股票、债券、货币市场工具及其他金融工具的比例。在股票投资方面，本基金将根据对国防军工行业各细分子行业（主要包括航空、航天、兵器、船舶、信息安全等）的综合分析，确定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在债券投资方面，本基金将通过类属配置与券种选择两个层次进行投资管理。</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申万国防军工指数收益率×70%+一年期人民币定期存款利率（税后）×30%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本基金为混合基金，理论上其预期风险与预期收益水平低于股票基金，高于债券基金和货币市场基金。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中国建设银行股份有限公司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279,806,209.68</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1,126,399,888.99</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0.2267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8,532,391,565.91</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1.344</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38.99%</w:t>
            </w:r>
          </w:p>
        </w:tc>
        <w:tc>
          <w:tcPr>
            <w:vAlign w:val="center"/>
          </w:tcPr>
          <w:p>
            <w:pPr>
              <w:jc w:val="center"/>
            </w:pPr>
            <w:r>
              <w:rPr>
                <w:color w:val="000000"/>
                <w:kern w:val="0"/>
                <w:sz w:val="24"/>
                <w:szCs w:val="24"/>
              </w:rPr>
              <w:t>2.79%</w:t>
            </w:r>
          </w:p>
        </w:tc>
        <w:tc>
          <w:tcPr>
            <w:vAlign w:val="center"/>
          </w:tcPr>
          <w:p>
            <w:pPr>
              <w:jc w:val="center"/>
            </w:pPr>
            <w:r>
              <w:rPr>
                <w:color w:val="000000"/>
                <w:kern w:val="0"/>
                <w:sz w:val="24"/>
                <w:szCs w:val="24"/>
              </w:rPr>
              <w:t>21.08%</w:t>
            </w:r>
          </w:p>
        </w:tc>
        <w:tc>
          <w:tcPr>
            <w:vAlign w:val="center"/>
          </w:tcPr>
          <w:p>
            <w:pPr>
              <w:jc w:val="center"/>
            </w:pPr>
            <w:r>
              <w:rPr>
                <w:color w:val="000000"/>
                <w:kern w:val="0"/>
                <w:sz w:val="24"/>
                <w:szCs w:val="24"/>
              </w:rPr>
              <w:t>2.07%</w:t>
            </w:r>
          </w:p>
        </w:tc>
        <w:tc>
          <w:tcPr>
            <w:vAlign w:val="center"/>
          </w:tcPr>
          <w:p>
            <w:pPr>
              <w:jc w:val="center"/>
            </w:pPr>
            <w:r>
              <w:rPr>
                <w:color w:val="000000"/>
                <w:kern w:val="0"/>
                <w:sz w:val="24"/>
                <w:szCs w:val="24"/>
              </w:rPr>
              <w:t>17.91%</w:t>
            </w:r>
          </w:p>
        </w:tc>
        <w:tc>
          <w:tcPr>
            <w:vAlign w:val="center"/>
          </w:tcPr>
          <w:p>
            <w:pPr>
              <w:jc w:val="center"/>
            </w:pPr>
            <w:r>
              <w:rPr>
                <w:color w:val="000000"/>
                <w:kern w:val="0"/>
                <w:sz w:val="24"/>
                <w:szCs w:val="24"/>
              </w:rPr>
              <w:t>0.72%</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71.21%</w:t>
            </w:r>
          </w:p>
        </w:tc>
        <w:tc>
          <w:tcPr>
            <w:vAlign w:val="center"/>
          </w:tcPr>
          <w:p>
            <w:pPr>
              <w:jc w:val="center"/>
            </w:pPr>
            <w:r>
              <w:rPr>
                <w:color w:val="000000"/>
                <w:kern w:val="0"/>
                <w:sz w:val="24"/>
                <w:szCs w:val="24"/>
              </w:rPr>
              <w:t>2.19%</w:t>
            </w:r>
          </w:p>
        </w:tc>
        <w:tc>
          <w:tcPr>
            <w:vAlign w:val="center"/>
          </w:tcPr>
          <w:p>
            <w:pPr>
              <w:jc w:val="center"/>
            </w:pPr>
            <w:r>
              <w:rPr>
                <w:color w:val="000000"/>
                <w:kern w:val="0"/>
                <w:sz w:val="24"/>
                <w:szCs w:val="24"/>
              </w:rPr>
              <w:t>30.58%</w:t>
            </w:r>
          </w:p>
        </w:tc>
        <w:tc>
          <w:tcPr>
            <w:vAlign w:val="center"/>
          </w:tcPr>
          <w:p>
            <w:pPr>
              <w:jc w:val="center"/>
            </w:pPr>
            <w:r>
              <w:rPr>
                <w:color w:val="000000"/>
                <w:kern w:val="0"/>
                <w:sz w:val="24"/>
                <w:szCs w:val="24"/>
              </w:rPr>
              <w:t>1.63%</w:t>
            </w:r>
          </w:p>
        </w:tc>
        <w:tc>
          <w:tcPr>
            <w:vAlign w:val="center"/>
          </w:tcPr>
          <w:p>
            <w:pPr>
              <w:jc w:val="center"/>
            </w:pPr>
            <w:r>
              <w:rPr>
                <w:color w:val="000000"/>
                <w:kern w:val="0"/>
                <w:sz w:val="24"/>
                <w:szCs w:val="24"/>
              </w:rPr>
              <w:t>40.63%</w:t>
            </w:r>
          </w:p>
        </w:tc>
        <w:tc>
          <w:tcPr>
            <w:vAlign w:val="center"/>
          </w:tcPr>
          <w:p>
            <w:pPr>
              <w:jc w:val="center"/>
            </w:pPr>
            <w:r>
              <w:rPr>
                <w:color w:val="000000"/>
                <w:kern w:val="0"/>
                <w:sz w:val="24"/>
                <w:szCs w:val="24"/>
              </w:rPr>
              <w:t>0.56%</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72.09%</w:t>
            </w:r>
          </w:p>
        </w:tc>
        <w:tc>
          <w:tcPr>
            <w:vAlign w:val="center"/>
          </w:tcPr>
          <w:p>
            <w:pPr>
              <w:jc w:val="center"/>
            </w:pPr>
            <w:r>
              <w:rPr>
                <w:color w:val="000000"/>
                <w:kern w:val="0"/>
                <w:sz w:val="24"/>
                <w:szCs w:val="24"/>
              </w:rPr>
              <w:t>2.01%</w:t>
            </w:r>
          </w:p>
        </w:tc>
        <w:tc>
          <w:tcPr>
            <w:vAlign w:val="center"/>
          </w:tcPr>
          <w:p>
            <w:pPr>
              <w:jc w:val="center"/>
            </w:pPr>
            <w:r>
              <w:rPr>
                <w:color w:val="000000"/>
                <w:kern w:val="0"/>
                <w:sz w:val="24"/>
                <w:szCs w:val="24"/>
              </w:rPr>
              <w:t>26.12%</w:t>
            </w:r>
          </w:p>
        </w:tc>
        <w:tc>
          <w:tcPr>
            <w:vAlign w:val="center"/>
          </w:tcPr>
          <w:p>
            <w:pPr>
              <w:jc w:val="center"/>
            </w:pPr>
            <w:r>
              <w:rPr>
                <w:color w:val="000000"/>
                <w:kern w:val="0"/>
                <w:sz w:val="24"/>
                <w:szCs w:val="24"/>
              </w:rPr>
              <w:t>1.51%</w:t>
            </w:r>
          </w:p>
        </w:tc>
        <w:tc>
          <w:tcPr>
            <w:vAlign w:val="center"/>
          </w:tcPr>
          <w:p>
            <w:pPr>
              <w:jc w:val="center"/>
            </w:pPr>
            <w:r>
              <w:rPr>
                <w:color w:val="000000"/>
                <w:kern w:val="0"/>
                <w:sz w:val="24"/>
                <w:szCs w:val="24"/>
              </w:rPr>
              <w:t>45.97%</w:t>
            </w:r>
          </w:p>
        </w:tc>
        <w:tc>
          <w:tcPr>
            <w:vAlign w:val="center"/>
          </w:tcPr>
          <w:p>
            <w:pPr>
              <w:jc w:val="center"/>
            </w:pPr>
            <w:r>
              <w:rPr>
                <w:color w:val="000000"/>
                <w:kern w:val="0"/>
                <w:sz w:val="24"/>
                <w:szCs w:val="24"/>
              </w:rPr>
              <w:t>0.50%</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46.25%</w:t>
            </w:r>
          </w:p>
        </w:tc>
        <w:tc>
          <w:tcPr>
            <w:vAlign w:val="center"/>
          </w:tcPr>
          <w:p>
            <w:pPr>
              <w:jc w:val="center"/>
            </w:pPr>
            <w:r>
              <w:rPr>
                <w:color w:val="000000"/>
                <w:kern w:val="0"/>
                <w:sz w:val="24"/>
                <w:szCs w:val="24"/>
              </w:rPr>
              <w:t>1.74%</w:t>
            </w:r>
          </w:p>
        </w:tc>
        <w:tc>
          <w:tcPr>
            <w:vAlign w:val="center"/>
          </w:tcPr>
          <w:p>
            <w:pPr>
              <w:jc w:val="center"/>
            </w:pPr>
            <w:r>
              <w:rPr>
                <w:color w:val="000000"/>
                <w:kern w:val="0"/>
                <w:sz w:val="24"/>
                <w:szCs w:val="24"/>
              </w:rPr>
              <w:t>10.33%</w:t>
            </w:r>
          </w:p>
        </w:tc>
        <w:tc>
          <w:tcPr>
            <w:vAlign w:val="center"/>
          </w:tcPr>
          <w:p>
            <w:pPr>
              <w:jc w:val="center"/>
            </w:pPr>
            <w:r>
              <w:rPr>
                <w:color w:val="000000"/>
                <w:kern w:val="0"/>
                <w:sz w:val="24"/>
                <w:szCs w:val="24"/>
              </w:rPr>
              <w:t>1.35%</w:t>
            </w:r>
          </w:p>
        </w:tc>
        <w:tc>
          <w:tcPr>
            <w:vAlign w:val="center"/>
          </w:tcPr>
          <w:p>
            <w:pPr>
              <w:jc w:val="center"/>
            </w:pPr>
            <w:r>
              <w:rPr>
                <w:color w:val="000000"/>
                <w:kern w:val="0"/>
                <w:sz w:val="24"/>
                <w:szCs w:val="24"/>
              </w:rPr>
              <w:t>35.92%</w:t>
            </w:r>
          </w:p>
        </w:tc>
        <w:tc>
          <w:tcPr>
            <w:vAlign w:val="center"/>
          </w:tcPr>
          <w:p>
            <w:pPr>
              <w:jc w:val="center"/>
            </w:pPr>
            <w:r>
              <w:rPr>
                <w:color w:val="000000"/>
                <w:kern w:val="0"/>
                <w:sz w:val="24"/>
                <w:szCs w:val="24"/>
              </w:rPr>
              <w:t>0.39%</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57.01%</w:t>
            </w:r>
          </w:p>
        </w:tc>
        <w:tc>
          <w:tcPr>
            <w:vAlign w:val="center"/>
          </w:tcPr>
          <w:p>
            <w:pPr>
              <w:jc w:val="center"/>
            </w:pPr>
            <w:r>
              <w:rPr>
                <w:color w:val="000000"/>
                <w:kern w:val="0"/>
                <w:sz w:val="24"/>
                <w:szCs w:val="24"/>
              </w:rPr>
              <w:t>1.70%</w:t>
            </w:r>
          </w:p>
        </w:tc>
        <w:tc>
          <w:tcPr>
            <w:vAlign w:val="center"/>
          </w:tcPr>
          <w:p>
            <w:pPr>
              <w:jc w:val="center"/>
            </w:pPr>
            <w:r>
              <w:rPr>
                <w:color w:val="000000"/>
                <w:kern w:val="0"/>
                <w:sz w:val="24"/>
                <w:szCs w:val="24"/>
              </w:rPr>
              <w:t>0.56%</w:t>
            </w:r>
          </w:p>
        </w:tc>
        <w:tc>
          <w:tcPr>
            <w:vAlign w:val="center"/>
          </w:tcPr>
          <w:p>
            <w:pPr>
              <w:jc w:val="center"/>
            </w:pPr>
            <w:r>
              <w:rPr>
                <w:color w:val="000000"/>
                <w:kern w:val="0"/>
                <w:sz w:val="24"/>
                <w:szCs w:val="24"/>
              </w:rPr>
              <w:t>1.39%</w:t>
            </w:r>
          </w:p>
        </w:tc>
        <w:tc>
          <w:tcPr>
            <w:vAlign w:val="center"/>
          </w:tcPr>
          <w:p>
            <w:pPr>
              <w:jc w:val="center"/>
            </w:pPr>
            <w:r>
              <w:rPr>
                <w:color w:val="000000"/>
                <w:kern w:val="0"/>
                <w:sz w:val="24"/>
                <w:szCs w:val="24"/>
              </w:rPr>
              <w:t>56.45%</w:t>
            </w:r>
          </w:p>
        </w:tc>
        <w:tc>
          <w:tcPr>
            <w:vAlign w:val="center"/>
          </w:tcPr>
          <w:p>
            <w:pPr>
              <w:jc w:val="center"/>
            </w:pPr>
            <w:r>
              <w:rPr>
                <w:color w:val="000000"/>
                <w:kern w:val="0"/>
                <w:sz w:val="24"/>
                <w:szCs w:val="24"/>
              </w:rPr>
              <w:t>0.31%</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34.40%</w:t>
            </w:r>
          </w:p>
        </w:tc>
        <w:tc>
          <w:tcPr>
            <w:vAlign w:val="center"/>
          </w:tcPr>
          <w:p>
            <w:pPr>
              <w:jc w:val="center"/>
            </w:pPr>
            <w:r>
              <w:rPr>
                <w:color w:val="000000"/>
                <w:kern w:val="0"/>
                <w:sz w:val="24"/>
                <w:szCs w:val="24"/>
              </w:rPr>
              <w:t>1.76%</w:t>
            </w:r>
          </w:p>
        </w:tc>
        <w:tc>
          <w:tcPr>
            <w:vAlign w:val="center"/>
          </w:tcPr>
          <w:p>
            <w:pPr>
              <w:jc w:val="center"/>
            </w:pPr>
            <w:r>
              <w:rPr>
                <w:color w:val="000000"/>
                <w:kern w:val="0"/>
                <w:sz w:val="24"/>
                <w:szCs w:val="24"/>
              </w:rPr>
              <w:t>-28.57%</w:t>
            </w:r>
          </w:p>
        </w:tc>
        <w:tc>
          <w:tcPr>
            <w:vAlign w:val="center"/>
          </w:tcPr>
          <w:p>
            <w:pPr>
              <w:jc w:val="center"/>
            </w:pPr>
            <w:r>
              <w:rPr>
                <w:color w:val="000000"/>
                <w:kern w:val="0"/>
                <w:sz w:val="24"/>
                <w:szCs w:val="24"/>
              </w:rPr>
              <w:t>1.66%</w:t>
            </w:r>
          </w:p>
        </w:tc>
        <w:tc>
          <w:tcPr>
            <w:vAlign w:val="center"/>
          </w:tcPr>
          <w:p>
            <w:pPr>
              <w:jc w:val="center"/>
            </w:pPr>
            <w:r>
              <w:rPr>
                <w:color w:val="000000"/>
                <w:kern w:val="0"/>
                <w:sz w:val="24"/>
                <w:szCs w:val="24"/>
              </w:rPr>
              <w:t>62.97%</w:t>
            </w:r>
          </w:p>
        </w:tc>
        <w:tc>
          <w:tcPr>
            <w:vAlign w:val="center"/>
          </w:tcPr>
          <w:p>
            <w:pPr>
              <w:jc w:val="center"/>
            </w:pPr>
            <w:r>
              <w:rPr>
                <w:color w:val="000000"/>
                <w:kern w:val="0"/>
                <w:sz w:val="24"/>
                <w:szCs w:val="24"/>
              </w:rPr>
              <w:t>0.10%</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易方达国防军工混合型证券投资基金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2015年6月19日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注：自基金合同生效至报告期末，基金份额净值增长率为34.40%，同期业绩比较基准收益率为-28.57%。</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何崇恺</w:t>
            </w:r>
          </w:p>
        </w:tc>
        <w:tc>
          <w:tcPr>
            <w:vAlign w:val="center"/>
          </w:tcPr>
          <w:p>
            <w:pPr>
              <w:jc w:val="left"/>
            </w:pPr>
            <w:r>
              <w:rPr>
                <w:color w:val="000000"/>
                <w:sz w:val="24"/>
              </w:rPr>
              <w:t>本基金的基金经理、行业研究员</w:t>
            </w:r>
          </w:p>
        </w:tc>
        <w:tc>
          <w:tcPr>
            <w:vAlign w:val="center"/>
          </w:tcPr>
          <w:p>
            <w:pPr>
              <w:jc w:val="center"/>
            </w:pPr>
            <w:r>
              <w:rPr>
                <w:color w:val="000000"/>
                <w:sz w:val="24"/>
              </w:rPr>
              <w:t>2019-11-28</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硕士研究生，具有基金从业资格。</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市场在流动性宽松预期下，整体呈现上涨态势。其中上证指数上涨7.82%，沪深300指数上涨10.17%，创业板指数上涨5.60%。同期中证军工指数上涨28.91%，表现突出，大幅战胜沪深300等指数，从细分子板块看，军用飞机、复合材料、电子元器件、国防信息化等产业链标的相对表现较好，而船舶产业链标的表现较差。</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三季度采取了比较积极的投资策略，保持了较高股票仓位。三季度军工板块剧烈上涨后部分回调，本基金坚持对军工板块优质公司的集中持仓，并适当增配了部分业绩增速较快且估值吸引力较大的细分领域成长股，以机制灵活、竞争力较强的民营企业或者激励机制较好的国有企业为主。军工板块业绩成长主要受到军费增长的驱动，与宏观经济的短期波动相关性较小。当前我国崛起之路面临较大的外部挑战，因此我国国防力量建设任重道远，我们认为长期看军工行业成长空间依然巨大。</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截至报告期末，本基金份额净值为1.344元，本报告期份额净值增长率为38.99%，同期业绩比较基准收益率为21.08%。</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8,008,940,237.38</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92.10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8,008,940,237.38</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92.10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639,180,605.89</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7.35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47,543,331.83</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0.55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8,695,664,175.10</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7,564,774,519.61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88.66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262,605,958.65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3.08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181,429,514.16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2.13</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8,008,940,237.38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93.87</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002013</w:t>
            </w:r>
          </w:p>
        </w:tc>
        <w:tc>
          <w:tcPr>
            <w:vAlign w:val="center"/>
          </w:tcPr>
          <w:p>
            <w:pPr>
              <w:jc w:val="center"/>
            </w:pPr>
            <w:r>
              <w:rPr>
                <w:color w:val="000000"/>
                <w:kern w:val="0"/>
                <w:sz w:val="24"/>
                <w:szCs w:val="24"/>
              </w:rPr>
              <w:t>中航机电</w:t>
            </w:r>
          </w:p>
        </w:tc>
        <w:tc>
          <w:tcPr>
            <w:vAlign w:val="center"/>
          </w:tcPr>
          <w:p>
            <w:pPr>
              <w:jc w:val="right"/>
            </w:pPr>
            <w:r>
              <w:rPr>
                <w:color w:val="000000"/>
                <w:kern w:val="0"/>
                <w:sz w:val="24"/>
                <w:szCs w:val="24"/>
              </w:rPr>
              <w:t>72,832,988</w:t>
            </w:r>
          </w:p>
        </w:tc>
        <w:tc>
          <w:tcPr>
            <w:vAlign w:val="center"/>
          </w:tcPr>
          <w:p>
            <w:pPr>
              <w:jc w:val="right"/>
            </w:pPr>
            <w:r>
              <w:rPr>
                <w:color w:val="000000"/>
                <w:kern w:val="0"/>
                <w:sz w:val="24"/>
                <w:szCs w:val="24"/>
              </w:rPr>
              <w:t>835,394,372.36</w:t>
            </w:r>
          </w:p>
        </w:tc>
        <w:tc>
          <w:tcPr>
            <w:vAlign w:val="center"/>
          </w:tcPr>
          <w:p>
            <w:pPr>
              <w:jc w:val="right"/>
            </w:pPr>
            <w:r>
              <w:rPr>
                <w:color w:val="000000"/>
                <w:kern w:val="0"/>
                <w:sz w:val="24"/>
                <w:szCs w:val="24"/>
              </w:rPr>
              <w:t>9.79</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002049</w:t>
            </w:r>
          </w:p>
        </w:tc>
        <w:tc>
          <w:tcPr>
            <w:vAlign w:val="center"/>
          </w:tcPr>
          <w:p>
            <w:pPr>
              <w:jc w:val="center"/>
            </w:pPr>
            <w:r>
              <w:rPr>
                <w:color w:val="000000"/>
                <w:kern w:val="0"/>
                <w:sz w:val="24"/>
                <w:szCs w:val="24"/>
              </w:rPr>
              <w:t>紫光国微</w:t>
            </w:r>
          </w:p>
        </w:tc>
        <w:tc>
          <w:tcPr>
            <w:vAlign w:val="center"/>
          </w:tcPr>
          <w:p>
            <w:pPr>
              <w:jc w:val="right"/>
            </w:pPr>
            <w:r>
              <w:rPr>
                <w:color w:val="000000"/>
                <w:kern w:val="0"/>
                <w:sz w:val="24"/>
                <w:szCs w:val="24"/>
              </w:rPr>
              <w:t>6,740,395</w:t>
            </w:r>
          </w:p>
        </w:tc>
        <w:tc>
          <w:tcPr>
            <w:vAlign w:val="center"/>
          </w:tcPr>
          <w:p>
            <w:pPr>
              <w:jc w:val="right"/>
            </w:pPr>
            <w:r>
              <w:rPr>
                <w:color w:val="000000"/>
                <w:kern w:val="0"/>
                <w:sz w:val="24"/>
                <w:szCs w:val="24"/>
              </w:rPr>
              <w:t>800,624,118.10</w:t>
            </w:r>
          </w:p>
        </w:tc>
        <w:tc>
          <w:tcPr>
            <w:vAlign w:val="center"/>
          </w:tcPr>
          <w:p>
            <w:pPr>
              <w:jc w:val="right"/>
            </w:pPr>
            <w:r>
              <w:rPr>
                <w:color w:val="000000"/>
                <w:kern w:val="0"/>
                <w:sz w:val="24"/>
                <w:szCs w:val="24"/>
              </w:rPr>
              <w:t>9.38</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600760</w:t>
            </w:r>
          </w:p>
        </w:tc>
        <w:tc>
          <w:tcPr>
            <w:vAlign w:val="center"/>
          </w:tcPr>
          <w:p>
            <w:pPr>
              <w:jc w:val="center"/>
            </w:pPr>
            <w:r>
              <w:rPr>
                <w:color w:val="000000"/>
                <w:kern w:val="0"/>
                <w:sz w:val="24"/>
                <w:szCs w:val="24"/>
              </w:rPr>
              <w:t>中航沈飞</w:t>
            </w:r>
          </w:p>
        </w:tc>
        <w:tc>
          <w:tcPr>
            <w:vAlign w:val="center"/>
          </w:tcPr>
          <w:p>
            <w:pPr>
              <w:jc w:val="right"/>
            </w:pPr>
            <w:r>
              <w:rPr>
                <w:color w:val="000000"/>
                <w:kern w:val="0"/>
                <w:sz w:val="24"/>
                <w:szCs w:val="24"/>
              </w:rPr>
              <w:t>11,585,639</w:t>
            </w:r>
          </w:p>
        </w:tc>
        <w:tc>
          <w:tcPr>
            <w:vAlign w:val="center"/>
          </w:tcPr>
          <w:p>
            <w:pPr>
              <w:jc w:val="right"/>
            </w:pPr>
            <w:r>
              <w:rPr>
                <w:color w:val="000000"/>
                <w:kern w:val="0"/>
                <w:sz w:val="24"/>
                <w:szCs w:val="24"/>
              </w:rPr>
              <w:t>663,741,258.31</w:t>
            </w:r>
          </w:p>
        </w:tc>
        <w:tc>
          <w:tcPr>
            <w:vAlign w:val="center"/>
          </w:tcPr>
          <w:p>
            <w:pPr>
              <w:jc w:val="right"/>
            </w:pPr>
            <w:r>
              <w:rPr>
                <w:color w:val="000000"/>
                <w:kern w:val="0"/>
                <w:sz w:val="24"/>
                <w:szCs w:val="24"/>
              </w:rPr>
              <w:t>7.78</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002985</w:t>
            </w:r>
          </w:p>
        </w:tc>
        <w:tc>
          <w:tcPr>
            <w:vAlign w:val="center"/>
          </w:tcPr>
          <w:p>
            <w:pPr>
              <w:jc w:val="center"/>
            </w:pPr>
            <w:r>
              <w:rPr>
                <w:color w:val="000000"/>
                <w:kern w:val="0"/>
                <w:sz w:val="24"/>
                <w:szCs w:val="24"/>
              </w:rPr>
              <w:t>北摩高科</w:t>
            </w:r>
          </w:p>
        </w:tc>
        <w:tc>
          <w:tcPr>
            <w:vAlign w:val="center"/>
          </w:tcPr>
          <w:p>
            <w:pPr>
              <w:jc w:val="right"/>
            </w:pPr>
            <w:r>
              <w:rPr>
                <w:color w:val="000000"/>
                <w:kern w:val="0"/>
                <w:sz w:val="24"/>
                <w:szCs w:val="24"/>
              </w:rPr>
              <w:t>3,837,237</w:t>
            </w:r>
          </w:p>
        </w:tc>
        <w:tc>
          <w:tcPr>
            <w:vAlign w:val="center"/>
          </w:tcPr>
          <w:p>
            <w:pPr>
              <w:jc w:val="right"/>
            </w:pPr>
            <w:r>
              <w:rPr>
                <w:color w:val="000000"/>
                <w:kern w:val="0"/>
                <w:sz w:val="24"/>
                <w:szCs w:val="24"/>
              </w:rPr>
              <w:t>608,624,160.57</w:t>
            </w:r>
          </w:p>
        </w:tc>
        <w:tc>
          <w:tcPr>
            <w:vAlign w:val="center"/>
          </w:tcPr>
          <w:p>
            <w:pPr>
              <w:jc w:val="right"/>
            </w:pPr>
            <w:r>
              <w:rPr>
                <w:color w:val="000000"/>
                <w:kern w:val="0"/>
                <w:sz w:val="24"/>
                <w:szCs w:val="24"/>
              </w:rPr>
              <w:t>7.13</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688122</w:t>
            </w:r>
          </w:p>
        </w:tc>
        <w:tc>
          <w:tcPr>
            <w:vAlign w:val="center"/>
          </w:tcPr>
          <w:p>
            <w:pPr>
              <w:jc w:val="center"/>
            </w:pPr>
            <w:r>
              <w:rPr>
                <w:color w:val="000000"/>
                <w:kern w:val="0"/>
                <w:sz w:val="24"/>
                <w:szCs w:val="24"/>
              </w:rPr>
              <w:t>西部超导</w:t>
            </w:r>
          </w:p>
        </w:tc>
        <w:tc>
          <w:tcPr>
            <w:vAlign w:val="center"/>
          </w:tcPr>
          <w:p>
            <w:pPr>
              <w:jc w:val="right"/>
            </w:pPr>
            <w:r>
              <w:rPr>
                <w:color w:val="000000"/>
                <w:kern w:val="0"/>
                <w:sz w:val="24"/>
                <w:szCs w:val="24"/>
              </w:rPr>
              <w:t>9,773,415</w:t>
            </w:r>
          </w:p>
        </w:tc>
        <w:tc>
          <w:tcPr>
            <w:vAlign w:val="center"/>
          </w:tcPr>
          <w:p>
            <w:pPr>
              <w:jc w:val="right"/>
            </w:pPr>
            <w:r>
              <w:rPr>
                <w:color w:val="000000"/>
                <w:kern w:val="0"/>
                <w:sz w:val="24"/>
                <w:szCs w:val="24"/>
              </w:rPr>
              <w:t>562,975,265.25</w:t>
            </w:r>
          </w:p>
        </w:tc>
        <w:tc>
          <w:tcPr>
            <w:vAlign w:val="center"/>
          </w:tcPr>
          <w:p>
            <w:pPr>
              <w:jc w:val="right"/>
            </w:pPr>
            <w:r>
              <w:rPr>
                <w:color w:val="000000"/>
                <w:kern w:val="0"/>
                <w:sz w:val="24"/>
                <w:szCs w:val="24"/>
              </w:rPr>
              <w:t>6.60</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002179</w:t>
            </w:r>
          </w:p>
        </w:tc>
        <w:tc>
          <w:tcPr>
            <w:vAlign w:val="center"/>
          </w:tcPr>
          <w:p>
            <w:pPr>
              <w:jc w:val="center"/>
            </w:pPr>
            <w:r>
              <w:rPr>
                <w:color w:val="000000"/>
                <w:kern w:val="0"/>
                <w:sz w:val="24"/>
                <w:szCs w:val="24"/>
              </w:rPr>
              <w:t>中航光电</w:t>
            </w:r>
          </w:p>
        </w:tc>
        <w:tc>
          <w:tcPr>
            <w:vAlign w:val="center"/>
          </w:tcPr>
          <w:p>
            <w:pPr>
              <w:jc w:val="right"/>
            </w:pPr>
            <w:r>
              <w:rPr>
                <w:color w:val="000000"/>
                <w:kern w:val="0"/>
                <w:sz w:val="24"/>
                <w:szCs w:val="24"/>
              </w:rPr>
              <w:t>11,941,763</w:t>
            </w:r>
          </w:p>
        </w:tc>
        <w:tc>
          <w:tcPr>
            <w:vAlign w:val="center"/>
          </w:tcPr>
          <w:p>
            <w:pPr>
              <w:jc w:val="right"/>
            </w:pPr>
            <w:r>
              <w:rPr>
                <w:color w:val="000000"/>
                <w:kern w:val="0"/>
                <w:sz w:val="24"/>
                <w:szCs w:val="24"/>
              </w:rPr>
              <w:t>552,903,626.90</w:t>
            </w:r>
          </w:p>
        </w:tc>
        <w:tc>
          <w:tcPr>
            <w:vAlign w:val="center"/>
          </w:tcPr>
          <w:p>
            <w:pPr>
              <w:jc w:val="right"/>
            </w:pPr>
            <w:r>
              <w:rPr>
                <w:color w:val="000000"/>
                <w:kern w:val="0"/>
                <w:sz w:val="24"/>
                <w:szCs w:val="24"/>
              </w:rPr>
              <w:t>6.48</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002025</w:t>
            </w:r>
          </w:p>
        </w:tc>
        <w:tc>
          <w:tcPr>
            <w:vAlign w:val="center"/>
          </w:tcPr>
          <w:p>
            <w:pPr>
              <w:jc w:val="center"/>
            </w:pPr>
            <w:r>
              <w:rPr>
                <w:color w:val="000000"/>
                <w:kern w:val="0"/>
                <w:sz w:val="24"/>
                <w:szCs w:val="24"/>
              </w:rPr>
              <w:t>航天电器</w:t>
            </w:r>
          </w:p>
        </w:tc>
        <w:tc>
          <w:tcPr>
            <w:vAlign w:val="center"/>
          </w:tcPr>
          <w:p>
            <w:pPr>
              <w:jc w:val="right"/>
            </w:pPr>
            <w:r>
              <w:rPr>
                <w:color w:val="000000"/>
                <w:kern w:val="0"/>
                <w:sz w:val="24"/>
                <w:szCs w:val="24"/>
              </w:rPr>
              <w:t>9,427,546</w:t>
            </w:r>
          </w:p>
        </w:tc>
        <w:tc>
          <w:tcPr>
            <w:vAlign w:val="center"/>
          </w:tcPr>
          <w:p>
            <w:pPr>
              <w:jc w:val="right"/>
            </w:pPr>
            <w:r>
              <w:rPr>
                <w:color w:val="000000"/>
                <w:kern w:val="0"/>
                <w:sz w:val="24"/>
                <w:szCs w:val="24"/>
              </w:rPr>
              <w:t>498,905,734.32</w:t>
            </w:r>
          </w:p>
        </w:tc>
        <w:tc>
          <w:tcPr>
            <w:vAlign w:val="center"/>
          </w:tcPr>
          <w:p>
            <w:pPr>
              <w:jc w:val="right"/>
            </w:pPr>
            <w:r>
              <w:rPr>
                <w:color w:val="000000"/>
                <w:kern w:val="0"/>
                <w:sz w:val="24"/>
                <w:szCs w:val="24"/>
              </w:rPr>
              <w:t>5.85</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000547</w:t>
            </w:r>
          </w:p>
        </w:tc>
        <w:tc>
          <w:tcPr>
            <w:vAlign w:val="center"/>
          </w:tcPr>
          <w:p>
            <w:pPr>
              <w:jc w:val="center"/>
            </w:pPr>
            <w:r>
              <w:rPr>
                <w:color w:val="000000"/>
                <w:kern w:val="0"/>
                <w:sz w:val="24"/>
                <w:szCs w:val="24"/>
              </w:rPr>
              <w:t>航天发展</w:t>
            </w:r>
          </w:p>
        </w:tc>
        <w:tc>
          <w:tcPr>
            <w:vAlign w:val="center"/>
          </w:tcPr>
          <w:p>
            <w:pPr>
              <w:jc w:val="right"/>
            </w:pPr>
            <w:r>
              <w:rPr>
                <w:color w:val="000000"/>
                <w:kern w:val="0"/>
                <w:sz w:val="24"/>
                <w:szCs w:val="24"/>
              </w:rPr>
              <w:t>21,275,958</w:t>
            </w:r>
          </w:p>
        </w:tc>
        <w:tc>
          <w:tcPr>
            <w:vAlign w:val="center"/>
          </w:tcPr>
          <w:p>
            <w:pPr>
              <w:jc w:val="right"/>
            </w:pPr>
            <w:r>
              <w:rPr>
                <w:color w:val="000000"/>
                <w:kern w:val="0"/>
                <w:sz w:val="24"/>
                <w:szCs w:val="24"/>
              </w:rPr>
              <w:t>452,326,867.08</w:t>
            </w:r>
          </w:p>
        </w:tc>
        <w:tc>
          <w:tcPr>
            <w:vAlign w:val="center"/>
          </w:tcPr>
          <w:p>
            <w:pPr>
              <w:jc w:val="right"/>
            </w:pPr>
            <w:r>
              <w:rPr>
                <w:color w:val="000000"/>
                <w:kern w:val="0"/>
                <w:sz w:val="24"/>
                <w:szCs w:val="24"/>
              </w:rPr>
              <w:t>5.30</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603712</w:t>
            </w:r>
          </w:p>
        </w:tc>
        <w:tc>
          <w:tcPr>
            <w:vAlign w:val="center"/>
          </w:tcPr>
          <w:p>
            <w:pPr>
              <w:jc w:val="center"/>
            </w:pPr>
            <w:r>
              <w:rPr>
                <w:color w:val="000000"/>
                <w:kern w:val="0"/>
                <w:sz w:val="24"/>
                <w:szCs w:val="24"/>
              </w:rPr>
              <w:t>七一二</w:t>
            </w:r>
          </w:p>
        </w:tc>
        <w:tc>
          <w:tcPr>
            <w:vAlign w:val="center"/>
          </w:tcPr>
          <w:p>
            <w:pPr>
              <w:jc w:val="right"/>
            </w:pPr>
            <w:r>
              <w:rPr>
                <w:color w:val="000000"/>
                <w:kern w:val="0"/>
                <w:sz w:val="24"/>
                <w:szCs w:val="24"/>
              </w:rPr>
              <w:t>8,968,226</w:t>
            </w:r>
          </w:p>
        </w:tc>
        <w:tc>
          <w:tcPr>
            <w:vAlign w:val="center"/>
          </w:tcPr>
          <w:p>
            <w:pPr>
              <w:jc w:val="right"/>
            </w:pPr>
            <w:r>
              <w:rPr>
                <w:color w:val="000000"/>
                <w:kern w:val="0"/>
                <w:sz w:val="24"/>
                <w:szCs w:val="24"/>
              </w:rPr>
              <w:t>402,224,936.10</w:t>
            </w:r>
          </w:p>
        </w:tc>
        <w:tc>
          <w:tcPr>
            <w:vAlign w:val="center"/>
          </w:tcPr>
          <w:p>
            <w:pPr>
              <w:jc w:val="right"/>
            </w:pPr>
            <w:r>
              <w:rPr>
                <w:color w:val="000000"/>
                <w:kern w:val="0"/>
                <w:sz w:val="24"/>
                <w:szCs w:val="24"/>
              </w:rPr>
              <w:t>4.71</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300696</w:t>
            </w:r>
          </w:p>
        </w:tc>
        <w:tc>
          <w:tcPr>
            <w:vAlign w:val="center"/>
          </w:tcPr>
          <w:p>
            <w:pPr>
              <w:jc w:val="center"/>
            </w:pPr>
            <w:r>
              <w:rPr>
                <w:color w:val="000000"/>
                <w:kern w:val="0"/>
                <w:sz w:val="24"/>
                <w:szCs w:val="24"/>
              </w:rPr>
              <w:t>爱乐达</w:t>
            </w:r>
          </w:p>
        </w:tc>
        <w:tc>
          <w:tcPr>
            <w:vAlign w:val="center"/>
          </w:tcPr>
          <w:p>
            <w:pPr>
              <w:jc w:val="right"/>
            </w:pPr>
            <w:r>
              <w:rPr>
                <w:color w:val="000000"/>
                <w:kern w:val="0"/>
                <w:sz w:val="24"/>
                <w:szCs w:val="24"/>
              </w:rPr>
              <w:t>6,552,568</w:t>
            </w:r>
          </w:p>
        </w:tc>
        <w:tc>
          <w:tcPr>
            <w:vAlign w:val="center"/>
          </w:tcPr>
          <w:p>
            <w:pPr>
              <w:jc w:val="right"/>
            </w:pPr>
            <w:r>
              <w:rPr>
                <w:color w:val="000000"/>
                <w:kern w:val="0"/>
                <w:sz w:val="24"/>
                <w:szCs w:val="24"/>
              </w:rPr>
              <w:t>380,667,869.97</w:t>
            </w:r>
          </w:p>
        </w:tc>
        <w:tc>
          <w:tcPr>
            <w:vAlign w:val="center"/>
          </w:tcPr>
          <w:p>
            <w:pPr>
              <w:jc w:val="right"/>
            </w:pPr>
            <w:r>
              <w:rPr>
                <w:color w:val="000000"/>
                <w:kern w:val="0"/>
                <w:sz w:val="24"/>
                <w:szCs w:val="24"/>
              </w:rPr>
              <w:t>4.46</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2020年3月4日，贵阳海关针对贵州航天电器股份有限公司未经海关同意，在未办理异地监管手续的情况下擅自处置减免税设备的违法违规行为，科处罚款人民币23万元整。</w:t>
      </w:r>
    </w:p>
    <w:p>
      <w:pPr>
        <w:spacing w:line="360" w:lineRule="auto"/>
        <w:rPr>
          <w:rFonts w:ascii="宋体" w:hAnsi="宋体"/>
          <w:color w:val="000000"/>
          <w:sz w:val="24"/>
          <w:szCs w:val="24"/>
        </w:rPr>
      </w:pPr>
      <w:r>
        <w:rPr>
          <w:rFonts w:ascii="宋体" w:hAnsi="宋体"/>
          <w:color w:val="000000"/>
          <w:sz w:val="24"/>
          <w:szCs w:val="24"/>
        </w:rPr>
        <w:t>本基金投资航天电器的投资决策程序符合公司投资制度的规定。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除航天电器外，本基金投资的前十名证券的发行主体本期没有出现被监管部门立案调查，或在报告编制日前一年内受到公开谴责、处罚的情形。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1,442,582.64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612,033.39</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63,509.14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45,425,206.66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47,543,331.83</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688122</w:t>
            </w:r>
          </w:p>
        </w:tc>
        <w:tc>
          <w:tcPr>
            <w:vAlign w:val="center"/>
          </w:tcPr>
          <w:p>
            <w:pPr>
              <w:jc w:val="center"/>
            </w:pPr>
            <w:r>
              <w:rPr>
                <w:color w:val="000000"/>
                <w:kern w:val="0"/>
                <w:sz w:val="24"/>
                <w:szCs w:val="24"/>
              </w:rPr>
              <w:t>西部超导</w:t>
            </w:r>
          </w:p>
        </w:tc>
        <w:tc>
          <w:tcPr>
            <w:vAlign w:val="center"/>
          </w:tcPr>
          <w:p>
            <w:pPr>
              <w:jc w:val="right"/>
            </w:pPr>
            <w:r>
              <w:rPr>
                <w:color w:val="000000"/>
                <w:kern w:val="0"/>
                <w:sz w:val="24"/>
                <w:szCs w:val="24"/>
              </w:rPr>
              <w:t>71,469,000.00</w:t>
            </w:r>
          </w:p>
        </w:tc>
        <w:tc>
          <w:tcPr>
            <w:vAlign w:val="center"/>
          </w:tcPr>
          <w:p>
            <w:pPr>
              <w:jc w:val="right"/>
            </w:pPr>
            <w:r>
              <w:rPr>
                <w:color w:val="000000"/>
                <w:kern w:val="0"/>
                <w:sz w:val="24"/>
                <w:szCs w:val="24"/>
              </w:rPr>
              <w:t>0.84</w:t>
            </w:r>
          </w:p>
        </w:tc>
        <w:tc>
          <w:tcPr>
            <w:vAlign w:val="center"/>
          </w:tcPr>
          <w:p>
            <w:pPr>
              <w:jc w:val="right"/>
            </w:pPr>
            <w:r>
              <w:rPr>
                <w:color w:val="000000"/>
                <w:kern w:val="0"/>
                <w:sz w:val="24"/>
                <w:szCs w:val="24"/>
              </w:rPr>
              <w:t>大宗交易流通受限</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300696</w:t>
            </w:r>
          </w:p>
        </w:tc>
        <w:tc>
          <w:tcPr>
            <w:vAlign w:val="center"/>
          </w:tcPr>
          <w:p>
            <w:pPr>
              <w:jc w:val="center"/>
            </w:pPr>
            <w:r>
              <w:rPr>
                <w:color w:val="000000"/>
                <w:kern w:val="0"/>
                <w:sz w:val="24"/>
                <w:szCs w:val="24"/>
              </w:rPr>
              <w:t>爱乐达</w:t>
            </w:r>
          </w:p>
        </w:tc>
        <w:tc>
          <w:tcPr>
            <w:vAlign w:val="center"/>
          </w:tcPr>
          <w:p>
            <w:pPr>
              <w:jc w:val="right"/>
            </w:pPr>
            <w:r>
              <w:rPr>
                <w:color w:val="000000"/>
                <w:kern w:val="0"/>
                <w:sz w:val="24"/>
                <w:szCs w:val="24"/>
              </w:rPr>
              <w:t>53,708,339.49</w:t>
            </w:r>
          </w:p>
        </w:tc>
        <w:tc>
          <w:tcPr>
            <w:vAlign w:val="center"/>
          </w:tcPr>
          <w:p>
            <w:pPr>
              <w:jc w:val="right"/>
            </w:pPr>
            <w:r>
              <w:rPr>
                <w:color w:val="000000"/>
                <w:kern w:val="0"/>
                <w:sz w:val="24"/>
                <w:szCs w:val="24"/>
              </w:rPr>
              <w:t>0.63</w:t>
            </w:r>
          </w:p>
        </w:tc>
        <w:tc>
          <w:tcPr>
            <w:vAlign w:val="center"/>
          </w:tcPr>
          <w:p>
            <w:pPr>
              <w:jc w:val="right"/>
            </w:pPr>
            <w:r>
              <w:rPr>
                <w:color w:val="000000"/>
                <w:kern w:val="0"/>
                <w:sz w:val="24"/>
                <w:szCs w:val="24"/>
              </w:rPr>
              <w:t>大宗交易流通受限</w:t>
            </w:r>
          </w:p>
        </w:tc>
      </w:tr>
    </w:tbl>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3,332,482,829.38</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7,540,083,517.28</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4,523,041,552.09</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6,349,524,794.57</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1.中国证监会准予易方达国防军工混合型证券投资基金注册的文件；</w:t>
      </w:r>
    </w:p>
    <w:p>
      <w:pPr>
        <w:spacing w:line="360" w:lineRule="auto"/>
        <w:ind w:firstLine="480" w:firstLineChars="200"/>
        <w:rPr>
          <w:color w:val="000000"/>
          <w:sz w:val="24"/>
          <w:szCs w:val="24"/>
        </w:rPr>
      </w:pPr>
      <w:r>
        <w:rPr>
          <w:color w:val="000000"/>
          <w:sz w:val="24"/>
          <w:szCs w:val="24"/>
        </w:rPr>
        <w:t>2.《易方达国防军工混合型证券投资基金基金合同》；</w:t>
      </w:r>
    </w:p>
    <w:p>
      <w:pPr>
        <w:spacing w:line="360" w:lineRule="auto"/>
        <w:ind w:firstLine="480" w:firstLineChars="200"/>
        <w:rPr>
          <w:color w:val="000000"/>
          <w:sz w:val="24"/>
          <w:szCs w:val="24"/>
        </w:rPr>
      </w:pPr>
      <w:r>
        <w:rPr>
          <w:color w:val="000000"/>
          <w:sz w:val="24"/>
          <w:szCs w:val="24"/>
        </w:rPr>
        <w:t>3.《易方达国防军工混合型证券投资基金托管协议》；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易方达国防军工混合型证券投资基金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