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易方达现代服务业灵活配置混合型证券投资基金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中国建设银行股份有限公司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基金托管人中国建设银行股份有限公司根据本基金合同规定，于2020年10月26日复核了本报告中的财务指标、净值表现和投资组合报告等内容，保证复核内容不存在虚假记载、误导性陈述或者重大遗漏。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易方达现代服务业混合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001857</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001857</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2017年11月22日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305,172,430.67</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在严格控制风险的前提下，追求超越业绩比较基准的投资回报。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基于定量与定性相结合的宏观及市场分析，考虑宏观经济走势和市场估值与流动性进行资产配置。股票投资方面，本基金综合考虑行业景气度及可持续性、行业竞争格局、技术水平及其发展趋势、政策变化等因素在现代服务产业中进行子行业配置，同时在公司基本面评价、估值水平分析等基础上进行股票组合的构建。在债券投资方面，本基金将主要通过类属配置与券种选择两个层次进行投资管理。</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65%×中证800 指数收益率＋35%×一年期人民币定期存款利率（税后）</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本基金为混合型基金，理论上其预期风险与预期收益水平低于股票型基金，高于债券型基金和货币市场基金。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中国建设银行股份有限公司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79,469,136.45</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105,931,253.59</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0.3460</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551,577,684.67</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1.807</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22.51%</w:t>
            </w:r>
          </w:p>
        </w:tc>
        <w:tc>
          <w:tcPr>
            <w:vAlign w:val="center"/>
          </w:tcPr>
          <w:p>
            <w:pPr>
              <w:jc w:val="center"/>
            </w:pPr>
            <w:r>
              <w:rPr>
                <w:color w:val="000000"/>
                <w:kern w:val="0"/>
                <w:sz w:val="24"/>
                <w:szCs w:val="24"/>
              </w:rPr>
              <w:t>1.74%</w:t>
            </w:r>
          </w:p>
        </w:tc>
        <w:tc>
          <w:tcPr>
            <w:vAlign w:val="center"/>
          </w:tcPr>
          <w:p>
            <w:pPr>
              <w:jc w:val="center"/>
            </w:pPr>
            <w:r>
              <w:rPr>
                <w:color w:val="000000"/>
                <w:kern w:val="0"/>
                <w:sz w:val="24"/>
                <w:szCs w:val="24"/>
              </w:rPr>
              <w:t>6.13%</w:t>
            </w:r>
          </w:p>
        </w:tc>
        <w:tc>
          <w:tcPr>
            <w:vAlign w:val="center"/>
          </w:tcPr>
          <w:p>
            <w:pPr>
              <w:jc w:val="center"/>
            </w:pPr>
            <w:r>
              <w:rPr>
                <w:color w:val="000000"/>
                <w:kern w:val="0"/>
                <w:sz w:val="24"/>
                <w:szCs w:val="24"/>
              </w:rPr>
              <w:t>1.05%</w:t>
            </w:r>
          </w:p>
        </w:tc>
        <w:tc>
          <w:tcPr>
            <w:vAlign w:val="center"/>
          </w:tcPr>
          <w:p>
            <w:pPr>
              <w:jc w:val="center"/>
            </w:pPr>
            <w:r>
              <w:rPr>
                <w:color w:val="000000"/>
                <w:kern w:val="0"/>
                <w:sz w:val="24"/>
                <w:szCs w:val="24"/>
              </w:rPr>
              <w:t>16.38%</w:t>
            </w:r>
          </w:p>
        </w:tc>
        <w:tc>
          <w:tcPr>
            <w:vAlign w:val="center"/>
          </w:tcPr>
          <w:p>
            <w:pPr>
              <w:jc w:val="center"/>
            </w:pPr>
            <w:r>
              <w:rPr>
                <w:color w:val="000000"/>
                <w:kern w:val="0"/>
                <w:sz w:val="24"/>
                <w:szCs w:val="24"/>
              </w:rPr>
              <w:t>0.69%</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56.18%</w:t>
            </w:r>
          </w:p>
        </w:tc>
        <w:tc>
          <w:tcPr>
            <w:vAlign w:val="center"/>
          </w:tcPr>
          <w:p>
            <w:pPr>
              <w:jc w:val="center"/>
            </w:pPr>
            <w:r>
              <w:rPr>
                <w:color w:val="000000"/>
                <w:kern w:val="0"/>
                <w:sz w:val="24"/>
                <w:szCs w:val="24"/>
              </w:rPr>
              <w:t>1.47%</w:t>
            </w:r>
          </w:p>
        </w:tc>
        <w:tc>
          <w:tcPr>
            <w:vAlign w:val="center"/>
          </w:tcPr>
          <w:p>
            <w:pPr>
              <w:jc w:val="center"/>
            </w:pPr>
            <w:r>
              <w:rPr>
                <w:color w:val="000000"/>
                <w:kern w:val="0"/>
                <w:sz w:val="24"/>
                <w:szCs w:val="24"/>
              </w:rPr>
              <w:t>15.65%</w:t>
            </w:r>
          </w:p>
        </w:tc>
        <w:tc>
          <w:tcPr>
            <w:vAlign w:val="center"/>
          </w:tcPr>
          <w:p>
            <w:pPr>
              <w:jc w:val="center"/>
            </w:pPr>
            <w:r>
              <w:rPr>
                <w:color w:val="000000"/>
                <w:kern w:val="0"/>
                <w:sz w:val="24"/>
                <w:szCs w:val="24"/>
              </w:rPr>
              <w:t>0.86%</w:t>
            </w:r>
          </w:p>
        </w:tc>
        <w:tc>
          <w:tcPr>
            <w:vAlign w:val="center"/>
          </w:tcPr>
          <w:p>
            <w:pPr>
              <w:jc w:val="center"/>
            </w:pPr>
            <w:r>
              <w:rPr>
                <w:color w:val="000000"/>
                <w:kern w:val="0"/>
                <w:sz w:val="24"/>
                <w:szCs w:val="24"/>
              </w:rPr>
              <w:t>40.53%</w:t>
            </w:r>
          </w:p>
        </w:tc>
        <w:tc>
          <w:tcPr>
            <w:vAlign w:val="center"/>
          </w:tcPr>
          <w:p>
            <w:pPr>
              <w:jc w:val="center"/>
            </w:pPr>
            <w:r>
              <w:rPr>
                <w:color w:val="000000"/>
                <w:kern w:val="0"/>
                <w:sz w:val="24"/>
                <w:szCs w:val="24"/>
              </w:rPr>
              <w:t>0.61%</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49.34%</w:t>
            </w:r>
          </w:p>
        </w:tc>
        <w:tc>
          <w:tcPr>
            <w:vAlign w:val="center"/>
          </w:tcPr>
          <w:p>
            <w:pPr>
              <w:jc w:val="center"/>
            </w:pPr>
            <w:r>
              <w:rPr>
                <w:color w:val="000000"/>
                <w:kern w:val="0"/>
                <w:sz w:val="24"/>
                <w:szCs w:val="24"/>
              </w:rPr>
              <w:t>1.57%</w:t>
            </w:r>
          </w:p>
        </w:tc>
        <w:tc>
          <w:tcPr>
            <w:vAlign w:val="center"/>
          </w:tcPr>
          <w:p>
            <w:pPr>
              <w:jc w:val="center"/>
            </w:pPr>
            <w:r>
              <w:rPr>
                <w:color w:val="000000"/>
                <w:kern w:val="0"/>
                <w:sz w:val="24"/>
                <w:szCs w:val="24"/>
              </w:rPr>
              <w:t>14.74%</w:t>
            </w:r>
          </w:p>
        </w:tc>
        <w:tc>
          <w:tcPr>
            <w:vAlign w:val="center"/>
          </w:tcPr>
          <w:p>
            <w:pPr>
              <w:jc w:val="center"/>
            </w:pPr>
            <w:r>
              <w:rPr>
                <w:color w:val="000000"/>
                <w:kern w:val="0"/>
                <w:sz w:val="24"/>
                <w:szCs w:val="24"/>
              </w:rPr>
              <w:t>0.92%</w:t>
            </w:r>
          </w:p>
        </w:tc>
        <w:tc>
          <w:tcPr>
            <w:vAlign w:val="center"/>
          </w:tcPr>
          <w:p>
            <w:pPr>
              <w:jc w:val="center"/>
            </w:pPr>
            <w:r>
              <w:rPr>
                <w:color w:val="000000"/>
                <w:kern w:val="0"/>
                <w:sz w:val="24"/>
                <w:szCs w:val="24"/>
              </w:rPr>
              <w:t>34.60%</w:t>
            </w:r>
          </w:p>
        </w:tc>
        <w:tc>
          <w:tcPr>
            <w:vAlign w:val="center"/>
          </w:tcPr>
          <w:p>
            <w:pPr>
              <w:jc w:val="center"/>
            </w:pPr>
            <w:r>
              <w:rPr>
                <w:color w:val="000000"/>
                <w:kern w:val="0"/>
                <w:sz w:val="24"/>
                <w:szCs w:val="24"/>
              </w:rPr>
              <w:t>0.65%</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80.70%</w:t>
            </w:r>
          </w:p>
        </w:tc>
        <w:tc>
          <w:tcPr>
            <w:vAlign w:val="center"/>
          </w:tcPr>
          <w:p>
            <w:pPr>
              <w:jc w:val="center"/>
            </w:pPr>
            <w:r>
              <w:rPr>
                <w:color w:val="000000"/>
                <w:kern w:val="0"/>
                <w:sz w:val="24"/>
                <w:szCs w:val="24"/>
              </w:rPr>
              <w:t>1.59%</w:t>
            </w:r>
          </w:p>
        </w:tc>
        <w:tc>
          <w:tcPr>
            <w:vAlign w:val="center"/>
          </w:tcPr>
          <w:p>
            <w:pPr>
              <w:jc w:val="center"/>
            </w:pPr>
            <w:r>
              <w:rPr>
                <w:color w:val="000000"/>
                <w:kern w:val="0"/>
                <w:sz w:val="24"/>
                <w:szCs w:val="24"/>
              </w:rPr>
              <w:t>6.74%</w:t>
            </w:r>
          </w:p>
        </w:tc>
        <w:tc>
          <w:tcPr>
            <w:vAlign w:val="center"/>
          </w:tcPr>
          <w:p>
            <w:pPr>
              <w:jc w:val="center"/>
            </w:pPr>
            <w:r>
              <w:rPr>
                <w:color w:val="000000"/>
                <w:kern w:val="0"/>
                <w:sz w:val="24"/>
                <w:szCs w:val="24"/>
              </w:rPr>
              <w:t>0.89%</w:t>
            </w:r>
          </w:p>
        </w:tc>
        <w:tc>
          <w:tcPr>
            <w:vAlign w:val="center"/>
          </w:tcPr>
          <w:p>
            <w:pPr>
              <w:jc w:val="center"/>
            </w:pPr>
            <w:r>
              <w:rPr>
                <w:color w:val="000000"/>
                <w:kern w:val="0"/>
                <w:sz w:val="24"/>
                <w:szCs w:val="24"/>
              </w:rPr>
              <w:t>73.96%</w:t>
            </w:r>
          </w:p>
        </w:tc>
        <w:tc>
          <w:tcPr>
            <w:vAlign w:val="center"/>
          </w:tcPr>
          <w:p>
            <w:pPr>
              <w:jc w:val="center"/>
            </w:pPr>
            <w:r>
              <w:rPr>
                <w:color w:val="000000"/>
                <w:kern w:val="0"/>
                <w:sz w:val="24"/>
                <w:szCs w:val="24"/>
              </w:rPr>
              <w:t>0.70%</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易方达现代服务业灵活配置混合型证券投资基金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2017年11月22日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注：自基金合同生效至报告期末，基金份额净值增长率为80.70%，同期业绩比较基准收益率为6.74%。</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王元春</w:t>
            </w:r>
          </w:p>
        </w:tc>
        <w:tc>
          <w:tcPr>
            <w:vAlign w:val="center"/>
          </w:tcPr>
          <w:p>
            <w:pPr>
              <w:jc w:val="left"/>
            </w:pPr>
            <w:r>
              <w:rPr>
                <w:color w:val="000000"/>
                <w:sz w:val="24"/>
              </w:rPr>
              <w:t>本基金的基金经理、易方达瑞恒灵活配置混合型证券投资基金的基金经理、易方达消费行业股票型证券投资基金的基金经理助理</w:t>
            </w:r>
          </w:p>
        </w:tc>
        <w:tc>
          <w:tcPr>
            <w:vAlign w:val="center"/>
          </w:tcPr>
          <w:p>
            <w:pPr>
              <w:jc w:val="center"/>
            </w:pPr>
            <w:r>
              <w:rPr>
                <w:color w:val="000000"/>
                <w:sz w:val="24"/>
              </w:rPr>
              <w:t>2018-12-08</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硕士研究生，具有基金从业资格。曾任广东新价值投资有限公司研究部行业研究员，光大永明资产管理股份有限公司研究部行业研究员，易方达基金管理有限公司行业研究员。</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今年疫情以来全球宽松是主旋律，因此2020年三季度A股市场延续了二季度的趋势有所上涨，但没有出现类似二季度的结构分化。三季度上证50指数上涨9.87%，创业板指数上涨5.60%。得益于上半年的坚持以及部分调整，本基金报告期内表现也较为优秀。</w:t>
      </w:r>
    </w:p>
    <w:p>
      <w:pPr>
        <w:spacing w:line="360" w:lineRule="auto"/>
        <w:ind w:firstLine="480" w:firstLineChars="200"/>
        <w:rPr>
          <w:color w:val="000000"/>
          <w:sz w:val="24"/>
          <w:szCs w:val="24"/>
        </w:rPr>
      </w:pPr>
      <w:r>
        <w:rPr>
          <w:color w:val="000000"/>
          <w:sz w:val="24"/>
          <w:szCs w:val="24"/>
        </w:rPr>
        <w:t>短期的业绩并不意味什么，投资是一场终生长跑，我们并不知道未来会如何。如何平衡长期业绩和短期考核，我们认为古老的智慧往往能派得上用场。佛学有云：“菩萨畏因，凡夫畏果。”一个人要想好的结果，不如有好的开始。什么是好的开始，我们认为就是坚持高标准的研究和投资。我们希望研究和投资的每一个公司，即便因为某种原因卖出了，也能够不断地为股东创造价值和回报，这才能证明我们投资它的初衷是对的。</w:t>
      </w:r>
    </w:p>
    <w:p>
      <w:pPr>
        <w:spacing w:line="360" w:lineRule="auto"/>
        <w:ind w:firstLine="480" w:firstLineChars="200"/>
        <w:rPr>
          <w:color w:val="000000"/>
          <w:sz w:val="24"/>
          <w:szCs w:val="24"/>
        </w:rPr>
      </w:pPr>
      <w:r>
        <w:rPr>
          <w:color w:val="000000"/>
          <w:sz w:val="24"/>
          <w:szCs w:val="24"/>
        </w:rPr>
        <w:t>三季度我们重点思考了渠道的品牌力价值。过去我们接触到的常常是产品品牌，比如爱马仕意味着奢侈严谨；但如今渠道品牌也比过去多出很多的意义，比如沃尔玛代表天天低价。虽然总体上渠道品牌的客户忠诚度要逊色于产品品牌，但如果有公司能利用它来不断加强和客户的联系，不断延展产业链的深度，那么它们将会不断累积起巨大的优势，这就是巴菲特所说的“不断加深护城河”。我认为大多数互联网巨头以及一些优秀的医疗服务公司都具备这种特征。</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具体到三季度的组合运作上，我们没有做太大的调整，只增加了对部分上述优秀的医疗服务公司的持仓，但由于“市场先生”给的窗口期较短，因此未能够持有足以影响基金业绩的仓位。</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截至报告期末，本基金份额净值为1.807元，本报告期份额净值增长率为22.51%，同期业绩比较基准收益率为6.13%。</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498,780,216.95</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89.94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498,780,216.95</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89.94</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53,709,026.84</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9.69</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2,052,007.32</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0.37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554,541,251.11</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348,330,013.77</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63.15</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18,653.36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678,269.98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0.12</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84,380,653.64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15.30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45,502,054.00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8.25</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30,161.76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41,958.98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19,746,114.00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3.58</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27,838.10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498,780,216.95</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90.43</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000568</w:t>
            </w:r>
          </w:p>
        </w:tc>
        <w:tc>
          <w:tcPr>
            <w:vAlign w:val="center"/>
          </w:tcPr>
          <w:p>
            <w:pPr>
              <w:jc w:val="center"/>
            </w:pPr>
            <w:r>
              <w:rPr>
                <w:color w:val="000000"/>
                <w:kern w:val="0"/>
                <w:sz w:val="24"/>
                <w:szCs w:val="24"/>
              </w:rPr>
              <w:t>泸州老窖</w:t>
            </w:r>
          </w:p>
        </w:tc>
        <w:tc>
          <w:tcPr>
            <w:vAlign w:val="center"/>
          </w:tcPr>
          <w:p>
            <w:pPr>
              <w:jc w:val="right"/>
            </w:pPr>
            <w:r>
              <w:rPr>
                <w:color w:val="000000"/>
                <w:kern w:val="0"/>
                <w:sz w:val="24"/>
                <w:szCs w:val="24"/>
              </w:rPr>
              <w:t>359,980</w:t>
            </w:r>
          </w:p>
        </w:tc>
        <w:tc>
          <w:tcPr>
            <w:vAlign w:val="center"/>
          </w:tcPr>
          <w:p>
            <w:pPr>
              <w:jc w:val="right"/>
            </w:pPr>
            <w:r>
              <w:rPr>
                <w:color w:val="000000"/>
                <w:kern w:val="0"/>
                <w:sz w:val="24"/>
                <w:szCs w:val="24"/>
              </w:rPr>
              <w:t>51,675,129.00</w:t>
            </w:r>
          </w:p>
        </w:tc>
        <w:tc>
          <w:tcPr>
            <w:vAlign w:val="center"/>
          </w:tcPr>
          <w:p>
            <w:pPr>
              <w:jc w:val="right"/>
            </w:pPr>
            <w:r>
              <w:rPr>
                <w:color w:val="000000"/>
                <w:kern w:val="0"/>
                <w:sz w:val="24"/>
                <w:szCs w:val="24"/>
              </w:rPr>
              <w:t>9.37</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000858</w:t>
            </w:r>
          </w:p>
        </w:tc>
        <w:tc>
          <w:tcPr>
            <w:vAlign w:val="center"/>
          </w:tcPr>
          <w:p>
            <w:pPr>
              <w:jc w:val="center"/>
            </w:pPr>
            <w:r>
              <w:rPr>
                <w:color w:val="000000"/>
                <w:kern w:val="0"/>
                <w:sz w:val="24"/>
                <w:szCs w:val="24"/>
              </w:rPr>
              <w:t>五粮液</w:t>
            </w:r>
          </w:p>
        </w:tc>
        <w:tc>
          <w:tcPr>
            <w:vAlign w:val="center"/>
          </w:tcPr>
          <w:p>
            <w:pPr>
              <w:jc w:val="right"/>
            </w:pPr>
            <w:r>
              <w:rPr>
                <w:color w:val="000000"/>
                <w:kern w:val="0"/>
                <w:sz w:val="24"/>
                <w:szCs w:val="24"/>
              </w:rPr>
              <w:t>218,439</w:t>
            </w:r>
          </w:p>
        </w:tc>
        <w:tc>
          <w:tcPr>
            <w:vAlign w:val="center"/>
          </w:tcPr>
          <w:p>
            <w:pPr>
              <w:jc w:val="right"/>
            </w:pPr>
            <w:r>
              <w:rPr>
                <w:color w:val="000000"/>
                <w:kern w:val="0"/>
                <w:sz w:val="24"/>
                <w:szCs w:val="24"/>
              </w:rPr>
              <w:t>48,275,019.00</w:t>
            </w:r>
          </w:p>
        </w:tc>
        <w:tc>
          <w:tcPr>
            <w:vAlign w:val="center"/>
          </w:tcPr>
          <w:p>
            <w:pPr>
              <w:jc w:val="right"/>
            </w:pPr>
            <w:r>
              <w:rPr>
                <w:color w:val="000000"/>
                <w:kern w:val="0"/>
                <w:sz w:val="24"/>
                <w:szCs w:val="24"/>
              </w:rPr>
              <w:t>8.75</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000333</w:t>
            </w:r>
          </w:p>
        </w:tc>
        <w:tc>
          <w:tcPr>
            <w:vAlign w:val="center"/>
          </w:tcPr>
          <w:p>
            <w:pPr>
              <w:jc w:val="center"/>
            </w:pPr>
            <w:r>
              <w:rPr>
                <w:color w:val="000000"/>
                <w:kern w:val="0"/>
                <w:sz w:val="24"/>
                <w:szCs w:val="24"/>
              </w:rPr>
              <w:t>美的集团</w:t>
            </w:r>
          </w:p>
        </w:tc>
        <w:tc>
          <w:tcPr>
            <w:vAlign w:val="center"/>
          </w:tcPr>
          <w:p>
            <w:pPr>
              <w:jc w:val="right"/>
            </w:pPr>
            <w:r>
              <w:rPr>
                <w:color w:val="000000"/>
                <w:kern w:val="0"/>
                <w:sz w:val="24"/>
                <w:szCs w:val="24"/>
              </w:rPr>
              <w:t>645,693</w:t>
            </w:r>
          </w:p>
        </w:tc>
        <w:tc>
          <w:tcPr>
            <w:vAlign w:val="center"/>
          </w:tcPr>
          <w:p>
            <w:pPr>
              <w:jc w:val="right"/>
            </w:pPr>
            <w:r>
              <w:rPr>
                <w:color w:val="000000"/>
                <w:kern w:val="0"/>
                <w:sz w:val="24"/>
                <w:szCs w:val="24"/>
              </w:rPr>
              <w:t>46,877,311.80</w:t>
            </w:r>
          </w:p>
        </w:tc>
        <w:tc>
          <w:tcPr>
            <w:vAlign w:val="center"/>
          </w:tcPr>
          <w:p>
            <w:pPr>
              <w:jc w:val="right"/>
            </w:pPr>
            <w:r>
              <w:rPr>
                <w:color w:val="000000"/>
                <w:kern w:val="0"/>
                <w:sz w:val="24"/>
                <w:szCs w:val="24"/>
              </w:rPr>
              <w:t>8.50</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600519</w:t>
            </w:r>
          </w:p>
        </w:tc>
        <w:tc>
          <w:tcPr>
            <w:vAlign w:val="center"/>
          </w:tcPr>
          <w:p>
            <w:pPr>
              <w:jc w:val="center"/>
            </w:pPr>
            <w:r>
              <w:rPr>
                <w:color w:val="000000"/>
                <w:kern w:val="0"/>
                <w:sz w:val="24"/>
                <w:szCs w:val="24"/>
              </w:rPr>
              <w:t>贵州茅台</w:t>
            </w:r>
          </w:p>
        </w:tc>
        <w:tc>
          <w:tcPr>
            <w:vAlign w:val="center"/>
          </w:tcPr>
          <w:p>
            <w:pPr>
              <w:jc w:val="right"/>
            </w:pPr>
            <w:r>
              <w:rPr>
                <w:color w:val="000000"/>
                <w:kern w:val="0"/>
                <w:sz w:val="24"/>
                <w:szCs w:val="24"/>
              </w:rPr>
              <w:t>27,819</w:t>
            </w:r>
          </w:p>
        </w:tc>
        <w:tc>
          <w:tcPr>
            <w:vAlign w:val="center"/>
          </w:tcPr>
          <w:p>
            <w:pPr>
              <w:jc w:val="right"/>
            </w:pPr>
            <w:r>
              <w:rPr>
                <w:color w:val="000000"/>
                <w:kern w:val="0"/>
                <w:sz w:val="24"/>
                <w:szCs w:val="24"/>
              </w:rPr>
              <w:t>46,416,001.50</w:t>
            </w:r>
          </w:p>
        </w:tc>
        <w:tc>
          <w:tcPr>
            <w:vAlign w:val="center"/>
          </w:tcPr>
          <w:p>
            <w:pPr>
              <w:jc w:val="right"/>
            </w:pPr>
            <w:r>
              <w:rPr>
                <w:color w:val="000000"/>
                <w:kern w:val="0"/>
                <w:sz w:val="24"/>
                <w:szCs w:val="24"/>
              </w:rPr>
              <w:t>8.42</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601888</w:t>
            </w:r>
          </w:p>
        </w:tc>
        <w:tc>
          <w:tcPr>
            <w:vAlign w:val="center"/>
          </w:tcPr>
          <w:p>
            <w:pPr>
              <w:jc w:val="center"/>
            </w:pPr>
            <w:r>
              <w:rPr>
                <w:color w:val="000000"/>
                <w:kern w:val="0"/>
                <w:sz w:val="24"/>
                <w:szCs w:val="24"/>
              </w:rPr>
              <w:t>中国中免</w:t>
            </w:r>
          </w:p>
        </w:tc>
        <w:tc>
          <w:tcPr>
            <w:vAlign w:val="center"/>
          </w:tcPr>
          <w:p>
            <w:pPr>
              <w:jc w:val="right"/>
            </w:pPr>
            <w:r>
              <w:rPr>
                <w:color w:val="000000"/>
                <w:kern w:val="0"/>
                <w:sz w:val="24"/>
                <w:szCs w:val="24"/>
              </w:rPr>
              <w:t>204,100</w:t>
            </w:r>
          </w:p>
        </w:tc>
        <w:tc>
          <w:tcPr>
            <w:vAlign w:val="center"/>
          </w:tcPr>
          <w:p>
            <w:pPr>
              <w:jc w:val="right"/>
            </w:pPr>
            <w:r>
              <w:rPr>
                <w:color w:val="000000"/>
                <w:kern w:val="0"/>
                <w:sz w:val="24"/>
                <w:szCs w:val="24"/>
              </w:rPr>
              <w:t>45,502,054.00</w:t>
            </w:r>
          </w:p>
        </w:tc>
        <w:tc>
          <w:tcPr>
            <w:vAlign w:val="center"/>
          </w:tcPr>
          <w:p>
            <w:pPr>
              <w:jc w:val="right"/>
            </w:pPr>
            <w:r>
              <w:rPr>
                <w:color w:val="000000"/>
                <w:kern w:val="0"/>
                <w:sz w:val="24"/>
                <w:szCs w:val="24"/>
              </w:rPr>
              <w:t>8.25</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600036</w:t>
            </w:r>
          </w:p>
        </w:tc>
        <w:tc>
          <w:tcPr>
            <w:vAlign w:val="center"/>
          </w:tcPr>
          <w:p>
            <w:pPr>
              <w:jc w:val="center"/>
            </w:pPr>
            <w:r>
              <w:rPr>
                <w:color w:val="000000"/>
                <w:kern w:val="0"/>
                <w:sz w:val="24"/>
                <w:szCs w:val="24"/>
              </w:rPr>
              <w:t>招商银行</w:t>
            </w:r>
          </w:p>
        </w:tc>
        <w:tc>
          <w:tcPr>
            <w:vAlign w:val="center"/>
          </w:tcPr>
          <w:p>
            <w:pPr>
              <w:jc w:val="right"/>
            </w:pPr>
            <w:r>
              <w:rPr>
                <w:color w:val="000000"/>
                <w:kern w:val="0"/>
                <w:sz w:val="24"/>
                <w:szCs w:val="24"/>
              </w:rPr>
              <w:t>1,192,401</w:t>
            </w:r>
          </w:p>
        </w:tc>
        <w:tc>
          <w:tcPr>
            <w:vAlign w:val="center"/>
          </w:tcPr>
          <w:p>
            <w:pPr>
              <w:jc w:val="right"/>
            </w:pPr>
            <w:r>
              <w:rPr>
                <w:color w:val="000000"/>
                <w:kern w:val="0"/>
                <w:sz w:val="24"/>
                <w:szCs w:val="24"/>
              </w:rPr>
              <w:t>42,926,436.00</w:t>
            </w:r>
          </w:p>
        </w:tc>
        <w:tc>
          <w:tcPr>
            <w:vAlign w:val="center"/>
          </w:tcPr>
          <w:p>
            <w:pPr>
              <w:jc w:val="right"/>
            </w:pPr>
            <w:r>
              <w:rPr>
                <w:color w:val="000000"/>
                <w:kern w:val="0"/>
                <w:sz w:val="24"/>
                <w:szCs w:val="24"/>
              </w:rPr>
              <w:t>7.78</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000860</w:t>
            </w:r>
          </w:p>
        </w:tc>
        <w:tc>
          <w:tcPr>
            <w:vAlign w:val="center"/>
          </w:tcPr>
          <w:p>
            <w:pPr>
              <w:jc w:val="center"/>
            </w:pPr>
            <w:r>
              <w:rPr>
                <w:color w:val="000000"/>
                <w:kern w:val="0"/>
                <w:sz w:val="24"/>
                <w:szCs w:val="24"/>
              </w:rPr>
              <w:t>顺鑫农业</w:t>
            </w:r>
          </w:p>
        </w:tc>
        <w:tc>
          <w:tcPr>
            <w:vAlign w:val="center"/>
          </w:tcPr>
          <w:p>
            <w:pPr>
              <w:jc w:val="right"/>
            </w:pPr>
            <w:r>
              <w:rPr>
                <w:color w:val="000000"/>
                <w:kern w:val="0"/>
                <w:sz w:val="24"/>
                <w:szCs w:val="24"/>
              </w:rPr>
              <w:t>695,573</w:t>
            </w:r>
          </w:p>
        </w:tc>
        <w:tc>
          <w:tcPr>
            <w:vAlign w:val="center"/>
          </w:tcPr>
          <w:p>
            <w:pPr>
              <w:jc w:val="right"/>
            </w:pPr>
            <w:r>
              <w:rPr>
                <w:color w:val="000000"/>
                <w:kern w:val="0"/>
                <w:sz w:val="24"/>
                <w:szCs w:val="24"/>
              </w:rPr>
              <w:t>41,845,671.68</w:t>
            </w:r>
          </w:p>
        </w:tc>
        <w:tc>
          <w:tcPr>
            <w:vAlign w:val="center"/>
          </w:tcPr>
          <w:p>
            <w:pPr>
              <w:jc w:val="right"/>
            </w:pPr>
            <w:r>
              <w:rPr>
                <w:color w:val="000000"/>
                <w:kern w:val="0"/>
                <w:sz w:val="24"/>
                <w:szCs w:val="24"/>
              </w:rPr>
              <w:t>7.59</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002142</w:t>
            </w:r>
          </w:p>
        </w:tc>
        <w:tc>
          <w:tcPr>
            <w:vAlign w:val="center"/>
          </w:tcPr>
          <w:p>
            <w:pPr>
              <w:jc w:val="center"/>
            </w:pPr>
            <w:r>
              <w:rPr>
                <w:color w:val="000000"/>
                <w:kern w:val="0"/>
                <w:sz w:val="24"/>
                <w:szCs w:val="24"/>
              </w:rPr>
              <w:t>宁波银行</w:t>
            </w:r>
          </w:p>
        </w:tc>
        <w:tc>
          <w:tcPr>
            <w:vAlign w:val="center"/>
          </w:tcPr>
          <w:p>
            <w:pPr>
              <w:jc w:val="right"/>
            </w:pPr>
            <w:r>
              <w:rPr>
                <w:color w:val="000000"/>
                <w:kern w:val="0"/>
                <w:sz w:val="24"/>
                <w:szCs w:val="24"/>
              </w:rPr>
              <w:t>1,316,843</w:t>
            </w:r>
          </w:p>
        </w:tc>
        <w:tc>
          <w:tcPr>
            <w:vAlign w:val="center"/>
          </w:tcPr>
          <w:p>
            <w:pPr>
              <w:jc w:val="right"/>
            </w:pPr>
            <w:r>
              <w:rPr>
                <w:color w:val="000000"/>
                <w:kern w:val="0"/>
                <w:sz w:val="24"/>
                <w:szCs w:val="24"/>
              </w:rPr>
              <w:t>41,454,217.64</w:t>
            </w:r>
          </w:p>
        </w:tc>
        <w:tc>
          <w:tcPr>
            <w:vAlign w:val="center"/>
          </w:tcPr>
          <w:p>
            <w:pPr>
              <w:jc w:val="right"/>
            </w:pPr>
            <w:r>
              <w:rPr>
                <w:color w:val="000000"/>
                <w:kern w:val="0"/>
                <w:sz w:val="24"/>
                <w:szCs w:val="24"/>
              </w:rPr>
              <w:t>7.52</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000661</w:t>
            </w:r>
          </w:p>
        </w:tc>
        <w:tc>
          <w:tcPr>
            <w:vAlign w:val="center"/>
          </w:tcPr>
          <w:p>
            <w:pPr>
              <w:jc w:val="center"/>
            </w:pPr>
            <w:r>
              <w:rPr>
                <w:color w:val="000000"/>
                <w:kern w:val="0"/>
                <w:sz w:val="24"/>
                <w:szCs w:val="24"/>
              </w:rPr>
              <w:t>长春高新</w:t>
            </w:r>
          </w:p>
        </w:tc>
        <w:tc>
          <w:tcPr>
            <w:vAlign w:val="center"/>
          </w:tcPr>
          <w:p>
            <w:pPr>
              <w:jc w:val="right"/>
            </w:pPr>
            <w:r>
              <w:rPr>
                <w:color w:val="000000"/>
                <w:kern w:val="0"/>
                <w:sz w:val="24"/>
                <w:szCs w:val="24"/>
              </w:rPr>
              <w:t>84,559</w:t>
            </w:r>
          </w:p>
        </w:tc>
        <w:tc>
          <w:tcPr>
            <w:vAlign w:val="center"/>
          </w:tcPr>
          <w:p>
            <w:pPr>
              <w:jc w:val="right"/>
            </w:pPr>
            <w:r>
              <w:rPr>
                <w:color w:val="000000"/>
                <w:kern w:val="0"/>
                <w:sz w:val="24"/>
                <w:szCs w:val="24"/>
              </w:rPr>
              <w:t>31,256,388.76</w:t>
            </w:r>
          </w:p>
        </w:tc>
        <w:tc>
          <w:tcPr>
            <w:vAlign w:val="center"/>
          </w:tcPr>
          <w:p>
            <w:pPr>
              <w:jc w:val="right"/>
            </w:pPr>
            <w:r>
              <w:rPr>
                <w:color w:val="000000"/>
                <w:kern w:val="0"/>
                <w:sz w:val="24"/>
                <w:szCs w:val="24"/>
              </w:rPr>
              <w:t>5.67</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000651</w:t>
            </w:r>
          </w:p>
        </w:tc>
        <w:tc>
          <w:tcPr>
            <w:vAlign w:val="center"/>
          </w:tcPr>
          <w:p>
            <w:pPr>
              <w:jc w:val="center"/>
            </w:pPr>
            <w:r>
              <w:rPr>
                <w:color w:val="000000"/>
                <w:kern w:val="0"/>
                <w:sz w:val="24"/>
                <w:szCs w:val="24"/>
              </w:rPr>
              <w:t>格力电器</w:t>
            </w:r>
          </w:p>
        </w:tc>
        <w:tc>
          <w:tcPr>
            <w:vAlign w:val="center"/>
          </w:tcPr>
          <w:p>
            <w:pPr>
              <w:jc w:val="right"/>
            </w:pPr>
            <w:r>
              <w:rPr>
                <w:color w:val="000000"/>
                <w:kern w:val="0"/>
                <w:sz w:val="24"/>
                <w:szCs w:val="24"/>
              </w:rPr>
              <w:t>456,328</w:t>
            </w:r>
          </w:p>
        </w:tc>
        <w:tc>
          <w:tcPr>
            <w:vAlign w:val="center"/>
          </w:tcPr>
          <w:p>
            <w:pPr>
              <w:jc w:val="right"/>
            </w:pPr>
            <w:r>
              <w:rPr>
                <w:color w:val="000000"/>
                <w:kern w:val="0"/>
                <w:sz w:val="24"/>
                <w:szCs w:val="24"/>
              </w:rPr>
              <w:t>24,322,282.40</w:t>
            </w:r>
          </w:p>
        </w:tc>
        <w:tc>
          <w:tcPr>
            <w:vAlign w:val="center"/>
          </w:tcPr>
          <w:p>
            <w:pPr>
              <w:jc w:val="right"/>
            </w:pPr>
            <w:r>
              <w:rPr>
                <w:color w:val="000000"/>
                <w:kern w:val="0"/>
                <w:sz w:val="24"/>
                <w:szCs w:val="24"/>
              </w:rPr>
              <w:t>4.41</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P="00403A06" w:rsidR="00750D48" w:rsidRDefault="00CA4677"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2019年12月5日，宁波银保监局对宁波银行作出“罚款人民币40万元，并责令该行对相关直接责任人给予纪律处分”的行政处罚。违法违规事由：设立时点性规模考核指标，股权质押管理不合规。</w:t>
      </w:r>
    </w:p>
    <w:p>
      <w:pPr>
        <w:spacing w:line="360" w:lineRule="auto"/>
        <w:rPr>
          <w:rFonts w:ascii="宋体" w:hAnsi="宋体"/>
          <w:color w:val="000000"/>
          <w:sz w:val="24"/>
          <w:szCs w:val="24"/>
        </w:rPr>
      </w:pPr>
      <w:r>
        <w:rPr>
          <w:rFonts w:ascii="宋体" w:hAnsi="宋体"/>
          <w:color w:val="000000"/>
          <w:sz w:val="24"/>
          <w:szCs w:val="24"/>
        </w:rPr>
        <w:t>2020年7月28日，中国银行保险监督管理委员会上海监管局针对招商银行股份有限公司信用卡中心的如下违法违规行为作出责令改正、并处罚款100万元的行政处罚决定：1、2019年7月，该中心对某客户个人信息未尽安全保护义务；2、2014年12月至2019年5月，该中心对某信用卡申请人资信水平调查严重不审慎。</w:t>
      </w:r>
    </w:p>
    <w:p>
      <w:pPr>
        <w:spacing w:line="360" w:lineRule="auto"/>
        <w:rPr>
          <w:rFonts w:ascii="宋体" w:hAnsi="宋体"/>
          <w:color w:val="000000"/>
          <w:sz w:val="24"/>
          <w:szCs w:val="24"/>
        </w:rPr>
      </w:pPr>
      <w:r>
        <w:rPr>
          <w:rFonts w:ascii="宋体" w:hAnsi="宋体"/>
          <w:color w:val="000000"/>
          <w:sz w:val="24"/>
          <w:szCs w:val="24"/>
        </w:rPr>
        <w:t>2019年11月18日，珠海市交通运输局对珠海格力电器股份有限公司违反《超限运输车辆行驶公路管理规定》第四十三条的行为作出“罚款4000元”的行政处罚决定。2019年12月4日，珠海市交通运输局对珠海格力电器股份有限公司违反《超限运输车辆行驶公路管理规定》第四十三条的行为作出“罚款4000元”的行政处罚决定。</w:t>
      </w:r>
    </w:p>
    <w:p>
      <w:pPr>
        <w:spacing w:line="360" w:lineRule="auto"/>
        <w:rPr>
          <w:rFonts w:ascii="宋体" w:hAnsi="宋体"/>
          <w:color w:val="000000"/>
          <w:sz w:val="24"/>
          <w:szCs w:val="24"/>
        </w:rPr>
      </w:pPr>
      <w:r>
        <w:rPr>
          <w:rFonts w:ascii="宋体" w:hAnsi="宋体"/>
          <w:color w:val="000000"/>
          <w:sz w:val="24"/>
          <w:szCs w:val="24"/>
        </w:rPr>
        <w:t>本基金投资宁波银行、招商银行、格力电器的投资决策程序符合公司投资制度的规定。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除宁波银行、招商银行、格力电器外，本基金投资的前十名证券的发行主体本期没有出现被监管部门立案调查，或在报告编制日前一年内受到公开谴责、处罚的情形。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92,286.24</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1,193,907.07</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3,403.22</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762,410.79</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2,052,007.32</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本基金本报告期末前十名股票中不存在流通受限情况。</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343,147,380.56</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89,036,836.03</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127,011,785.92</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305,172,430.67</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1.中国证监会准予易方达现代服务业灵活配置混合型证券投资基金注册的文件；</w:t>
      </w:r>
    </w:p>
    <w:p>
      <w:pPr>
        <w:spacing w:line="360" w:lineRule="auto"/>
        <w:ind w:firstLine="480" w:firstLineChars="200"/>
        <w:rPr>
          <w:color w:val="000000"/>
          <w:sz w:val="24"/>
          <w:szCs w:val="24"/>
        </w:rPr>
      </w:pPr>
      <w:r>
        <w:rPr>
          <w:color w:val="000000"/>
          <w:sz w:val="24"/>
          <w:szCs w:val="24"/>
        </w:rPr>
        <w:t>2.《易方达现代服务业灵活配置混合型证券投资基金基金合同》；</w:t>
      </w:r>
    </w:p>
    <w:p>
      <w:pPr>
        <w:spacing w:line="360" w:lineRule="auto"/>
        <w:ind w:firstLine="480" w:firstLineChars="200"/>
        <w:rPr>
          <w:color w:val="000000"/>
          <w:sz w:val="24"/>
          <w:szCs w:val="24"/>
        </w:rPr>
      </w:pPr>
      <w:r>
        <w:rPr>
          <w:color w:val="000000"/>
          <w:sz w:val="24"/>
          <w:szCs w:val="24"/>
        </w:rPr>
        <w:t>3.《易方达现代服务业灵活配置混合型证券投资基金托管协议》；</w:t>
      </w:r>
    </w:p>
    <w:p>
      <w:pPr>
        <w:spacing w:line="360" w:lineRule="auto"/>
        <w:ind w:firstLine="480" w:firstLineChars="200"/>
        <w:rPr>
          <w:color w:val="000000"/>
          <w:sz w:val="24"/>
          <w:szCs w:val="24"/>
        </w:rPr>
      </w:pPr>
      <w:r>
        <w:rPr>
          <w:color w:val="000000"/>
          <w:sz w:val="24"/>
          <w:szCs w:val="24"/>
        </w:rPr>
        <w:t>4.《易方达基金管理有限公司开放式基金业务规则》；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5.基金管理人业务资格批件、营业执照。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易方达现代服务业灵活配置混合型证券投资基金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