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542546" w:rsidR="00750D48" w:rsidRDefault="00750D48" w:rsidRPr="00264E55">
      <w:pPr>
        <w:spacing w:line="360" w:lineRule="auto"/>
        <w:jc w:val="center"/>
        <w:rPr>
          <w:rFonts w:ascii="宋体" w:hAnsi="宋体"/>
          <w:b/>
          <w:sz w:val="36"/>
          <w:szCs w:val="36"/>
        </w:rPr>
      </w:pPr>
      <w:r w:rsidRPr="00264E55">
        <w:rPr>
          <w:rFonts w:ascii="宋体"/>
          <w:b/>
          <w:sz w:val="36"/>
          <w:szCs w:val="36"/>
        </w:rPr>
        <w:t/>
      </w:r>
      <w:proofErr w:type="spellStart"/>
      <w:proofErr w:type="gramStart"/>
      <w:r w:rsidRPr="00264E55">
        <w:rPr>
          <w:rFonts w:ascii="宋体" w:hAnsi="宋体"/>
          <w:b/>
          <w:sz w:val="36"/>
          <w:szCs w:val="36"/>
        </w:rPr>
        <w:t/>
      </w:r>
      <w:proofErr w:type="spellEnd"/>
      <w:proofErr w:type="gramEnd"/>
      <w:r w:rsidRPr="00264E55">
        <w:rPr>
          <w:rFonts w:ascii="宋体" w:hAnsi="宋体"/>
          <w:b/>
          <w:sz w:val="36"/>
          <w:szCs w:val="36"/>
        </w:rPr>
        <w:t>易方达国企改革混合型证券投资基金</w:t>
      </w:r>
    </w:p>
    <w:p w:rsidP="00542546" w:rsidR="00750D48" w:rsidRDefault="00750D48" w:rsidRPr="00264E55">
      <w:pPr>
        <w:spacing w:line="360" w:lineRule="auto"/>
        <w:jc w:val="center"/>
        <w:rPr>
          <w:rFonts w:ascii="宋体" w:hAnsi="宋体"/>
          <w:b/>
          <w:sz w:val="36"/>
          <w:szCs w:val="36"/>
        </w:rPr>
      </w:pPr>
      <w:r w:rsidRPr="00264E55">
        <w:rPr>
          <w:rFonts w:ascii="宋体" w:hAnsi="宋体"/>
          <w:b/>
          <w:sz w:val="36"/>
          <w:szCs w:val="36"/>
        </w:rPr>
        <w:t/>
      </w:r>
      <w:proofErr w:type="spellStart"/>
      <w:r w:rsidRPr="00264E55">
        <w:rPr>
          <w:rFonts w:ascii="宋体" w:hAnsi="宋体"/>
          <w:b/>
          <w:sz w:val="36"/>
          <w:szCs w:val="36"/>
        </w:rPr>
        <w:t/>
      </w:r>
      <w:proofErr w:type="spellEnd"/>
      <w:r w:rsidRPr="00264E55">
        <w:rPr>
          <w:rFonts w:ascii="宋体" w:hAnsi="宋体"/>
          <w:b/>
          <w:sz w:val="36"/>
          <w:szCs w:val="36"/>
        </w:rPr>
        <w:t>2020年第3季度报告</w:t>
      </w:r>
    </w:p>
    <w:p w:rsidP="00542546" w:rsidR="00750D48" w:rsidRDefault="00750D48" w:rsidRPr="00093704">
      <w:pPr>
        <w:spacing w:line="360" w:lineRule="auto"/>
        <w:jc w:val="center"/>
        <w:rPr>
          <w:rFonts w:ascii="宋体" w:hAnsi="宋体"/>
          <w:b/>
          <w:sz w:val="24"/>
          <w:szCs w:val="24"/>
        </w:rPr>
      </w:pPr>
      <w:r w:rsidRPr="00093704">
        <w:rPr>
          <w:rFonts w:ascii="宋体"/>
          <w:b/>
          <w:sz w:val="24"/>
          <w:szCs w:val="24"/>
        </w:rPr>
        <w:t/>
      </w:r>
      <w:proofErr w:type="spellStart"/>
      <w:proofErr w:type="gramStart"/>
      <w:r w:rsidRPr="00093704">
        <w:rPr>
          <w:rFonts w:ascii="宋体" w:hAnsi="宋体"/>
          <w:b/>
          <w:sz w:val="24"/>
          <w:szCs w:val="24"/>
        </w:rPr>
        <w:t/>
      </w:r>
      <w:proofErr w:type="spellEnd"/>
      <w:proofErr w:type="gramEnd"/>
      <w:r w:rsidRPr="00093704">
        <w:rPr>
          <w:rFonts w:ascii="宋体" w:hAnsi="宋体"/>
          <w:b/>
          <w:sz w:val="24"/>
          <w:szCs w:val="24"/>
        </w:rPr>
        <w:t>2020年9月30日</w:t>
      </w: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rPr>
          <w:rFonts w:ascii="宋体"/>
          <w:b/>
          <w:bCs/>
          <w:color w:val="000000"/>
          <w:sz w:val="24"/>
          <w:szCs w:val="24"/>
        </w:rPr>
      </w:pP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易方达基金管理有限公司</w:t>
      </w: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中国工商银行股份有限公司</w:t>
      </w:r>
    </w:p>
    <w:p w:rsidP="00EB572F" w:rsidR="00750D48" w:rsidRDefault="00750D48" w:rsidRPr="00264E55">
      <w:pPr>
        <w:spacing w:line="360" w:lineRule="auto"/>
        <w:ind w:firstLine="2168" w:firstLineChars="900"/>
        <w:rPr>
          <w:rFonts w:ascii="宋体" w:hAnsi="宋体"/>
          <w:b/>
          <w:color w:val="000000"/>
          <w:sz w:val="24"/>
          <w:szCs w:val="24"/>
        </w:rPr>
        <w:sectPr w:rsidR="00750D48" w:rsidRPr="00264E55" w:rsidSect="00304A12">
          <w:headerReference r:id="rId9" w:type="default"/>
          <w:footerReference r:id="rId10" w:type="default"/>
          <w:pgSz w:h="15840" w:w="11926"/>
          <w:pgMar w:bottom="851" w:footer="992" w:gutter="0" w:header="851" w:left="1418" w:right="1418" w:top="1418"/>
          <w:cols w:space="720"/>
          <w:noEndnote/>
        </w:sectPr>
      </w:pPr>
      <w:r w:rsidRPr="00264E55">
        <w:rPr>
          <w:rFonts w:ascii="宋体" w:hAnsi="宋体" w:hint="eastAsia"/>
          <w:b/>
          <w:color w:val="000000"/>
          <w:sz w:val="24"/>
          <w:szCs w:val="24"/>
        </w:rPr>
        <w:t>报告送出日期：</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二〇二〇年十月二十八日</w:t>
      </w:r>
    </w:p>
    <w:p w:rsidP="004D28A3" w:rsidR="00750D48" w:rsidRDefault="00750D48" w:rsidRPr="00264E55">
      <w:pPr>
        <w:pStyle w:val="1"/>
        <w:spacing w:after="312" w:afterLines="100" w:before="312" w:before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pPr>
        <w:spacing w:line="360"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szCs w:val="24"/>
        </w:rPr>
      </w:pPr>
      <w:r>
        <w:rPr>
          <w:color w:val="000000"/>
          <w:sz w:val="24"/>
          <w:szCs w:val="24"/>
        </w:rPr>
        <w:t xml:space="preserve">基金托管人中国工商银行股份有限公司根据本基金合同规定，于2020年10月26日复核了本报告中的财务指标、净值表现和投资组合报告等内容，保证复核内容不存在虚假记载、误导性陈述或者重大遗漏。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line="360"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szCs w:val="24"/>
        </w:rPr>
      </w:pPr>
      <w:r>
        <w:rPr>
          <w:color w:val="000000"/>
          <w:sz w:val="24"/>
          <w:szCs w:val="24"/>
        </w:rPr>
        <w:t>本报告中财务资料未经审计。</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proofErr w:type="gramStart"/>
      <w:r w:rsidRPr="006C56AA">
        <w:rPr>
          <w:color w:val="000000"/>
          <w:sz w:val="24"/>
          <w:szCs w:val="24"/>
        </w:rPr>
        <w:t/>
      </w:r>
      <w:proofErr w:type="spellEnd"/>
      <w:proofErr w:type="gramEnd"/>
      <w:r w:rsidRPr="006C56AA">
        <w:rPr>
          <w:color w:val="000000"/>
          <w:sz w:val="24"/>
          <w:szCs w:val="24"/>
        </w:rPr>
        <w:t>本报告期自2020年7月1日起至9月30日止。</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750D48" w:rsidRPr="00264E55" w:rsidTr="00500A03">
        <w:tc>
          <w:tcPr>
            <w:tcW w:type="dxa" w:w="2835"/>
          </w:tcPr>
          <w:p w:rsidP="007B5AFB" w:rsidR="00750D48" w:rsidRDefault="00750D48" w:rsidRPr="00232B03">
            <w:pPr>
              <w:adjustRightInd w:val="0"/>
              <w:spacing w:before="29" w:line="360" w:lineRule="auto"/>
              <w:ind w:left="17"/>
              <w:jc w:val="left"/>
              <w:rPr>
                <w:kern w:val="0"/>
                <w:sz w:val="24"/>
                <w:szCs w:val="24"/>
              </w:rPr>
            </w:pPr>
            <w:r w:rsidRPr="00232B03">
              <w:rPr>
                <w:kern w:val="0"/>
                <w:sz w:val="24"/>
                <w:szCs w:val="24"/>
              </w:rPr>
              <w:t>基金简称</w:t>
            </w:r>
          </w:p>
        </w:tc>
        <w:tc>
          <w:tcPr>
            <w:tcW w:type="dxa" w:w="5479"/>
            <w:gridSpan w:val="2"/>
          </w:tcPr>
          <w:p w:rsidP="007B5AFB"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易方达国企改革混合</w:t>
            </w:r>
          </w:p>
        </w:tc>
      </w:tr>
      <w:tr w:rsidR="00750D48" w:rsidRPr="00264E55" w:rsidTr="00D94B8D">
        <w:tc>
          <w:tcPr>
            <w:tcW w:type="dxa" w:w="2835"/>
          </w:tcPr>
          <w:p w:rsidR="00750D48" w:rsidRDefault="00750D48" w:rsidRPr="00232B03">
            <w:pPr>
              <w:adjustRightInd w:val="0"/>
              <w:spacing w:before="29" w:line="360" w:lineRule="auto"/>
              <w:ind w:left="17"/>
              <w:jc w:val="left"/>
              <w:rPr>
                <w:kern w:val="0"/>
                <w:sz w:val="24"/>
                <w:szCs w:val="24"/>
              </w:rPr>
            </w:pPr>
            <w:r w:rsidRPr="00232B03">
              <w:rPr>
                <w:kern w:val="0"/>
                <w:sz w:val="24"/>
                <w:szCs w:val="24"/>
              </w:rPr>
              <w:t>基金主代码</w:t>
            </w:r>
          </w:p>
        </w:tc>
        <w:tc>
          <w:tcPr>
            <w:tcW w:type="dxa" w:w="5479"/>
            <w:gridSpan w:val="2"/>
          </w:tcPr>
          <w:p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001382</w:t>
            </w:r>
          </w:p>
        </w:tc>
      </w:tr>
      <w:tr w:rsidR="00750D48" w:rsidRPr="00264E55" w:rsidTr="00D94B8D">
        <w:tc>
          <w:tcPr>
            <w:tcW w:type="dxa" w:w="2835"/>
          </w:tcPr>
          <w:p w:rsidP="00895A8A" w:rsidR="00750D48" w:rsidRDefault="00750D48" w:rsidRPr="00232B03">
            <w:pPr>
              <w:adjustRightInd w:val="0"/>
              <w:spacing w:before="29" w:line="360" w:lineRule="auto"/>
              <w:ind w:left="17"/>
              <w:jc w:val="left"/>
              <w:rPr>
                <w:kern w:val="0"/>
                <w:sz w:val="24"/>
                <w:szCs w:val="24"/>
              </w:rPr>
            </w:pPr>
            <w:r w:rsidRPr="00232B03">
              <w:rPr>
                <w:kern w:val="0"/>
                <w:sz w:val="24"/>
                <w:szCs w:val="24"/>
              </w:rPr>
              <w:t>交易代码</w:t>
            </w:r>
          </w:p>
        </w:tc>
        <w:tc>
          <w:tcPr>
            <w:tcW w:type="dxa" w:w="5479"/>
            <w:gridSpan w:val="2"/>
          </w:tcPr>
          <w:p w:rsidP="00895A8A" w:rsidR="00750D48" w:rsidRDefault="00750D48" w:rsidRPr="00232B03">
            <w:pPr>
              <w:adjustRightInd w:val="0"/>
              <w:spacing w:before="29" w:line="360" w:lineRule="auto"/>
              <w:ind w:left="17"/>
              <w:jc w:val="left"/>
              <w:rPr>
                <w:color w:val="000000"/>
                <w:kern w:val="0"/>
                <w:sz w:val="24"/>
                <w:szCs w:val="24"/>
              </w:rPr>
            </w:pPr>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001382</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基金运作方式</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契约型开放式</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基金合同生效日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2017年8月23日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报告期末基金份额总额</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75,545,245.90</w:t>
            </w:r>
            <w:r w:rsidRPr="00232B03">
              <w:rPr>
                <w:color w:val="000000"/>
                <w:kern w:val="0"/>
                <w:sz w:val="24"/>
                <w:szCs w:val="24"/>
              </w:rPr>
              <w:t>份</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投资目标</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本基金在控制风险的前提下，追求超越业绩比较基准的投资回报。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投资策略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基于定量与定性相结合的宏观及政策分析，综合考虑宏观经济环境、政策形势、市场估值与流动性等因素，关注国家宏观经济与产业经济层面相关改革政策的政策导向及其变化对市场和相关产业的影响。股票投资方面，本基金将采取自上而下的政策跟踪和分析，结合自下而上的国企改革事件分析、基本面评价及估值分析，优选受益于国有企业改革或在全面深化国企改革推动下预期盈利水平将显著提升的上市公司。债券投资方面，本基金将主要通过类属配置与券种选择两个层次进行投资管理。</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业绩比较基准</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中证国有企业改革指数收益率×80%+一年期人民币定期存款利率（税后）×20%</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风险收益特征</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本基金为混合型基金，理论上其预期风险与预期收益水平低于股票型基金，高于债券型基金和货币市场基金。</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基金管理人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易方达基金管理有限公司</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基金托管人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中国工商银行股份有限公司</w:t>
            </w:r>
          </w:p>
        </w:tc>
      </w:tr>
    </w:tbl>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P="00392044" w:rsidR="00392044" w:rsidRDefault="00392044"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392044" w:rsidRPr="006506EF" w:rsidTr="00C3442A">
        <w:tc>
          <w:tcPr>
            <w:tcW w:type="dxa" w:w="3402"/>
            <w:vAlign w:val="center"/>
          </w:tcPr>
          <w:p w:rsidP="00C3442A" w:rsidR="00392044" w:rsidRDefault="00392044"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报告期</w:t>
            </w:r>
          </w:p>
          <w:p w:rsidP="00C3442A" w:rsidR="00392044" w:rsidRDefault="00392044"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12,439,369.26</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21,127,696.43</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0.3421</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150,368,313.25</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1.990</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bl>
    <w:p>
      <w:pPr>
        <w:spacing w:line="360" w:lineRule="auto"/>
        <w:ind w:firstLine="480" w:firstLineChars="200"/>
        <w:rPr>
          <w:color w:val="000000"/>
          <w:sz w:val="24"/>
          <w:szCs w:val="24"/>
        </w:rPr>
      </w:pPr>
      <w:r>
        <w:rPr>
          <w:color w:val="000000"/>
          <w:sz w:val="24"/>
        </w:rPr>
        <w:t>注：1.所述基金业绩指标不包括持有人认购或交易基金的各项费用，计入费用后实际收益水平要低于所列数字。</w:t>
      </w:r>
    </w:p>
    <w:p w:rsidP="00232B03" w:rsidR="00750D48" w:rsidRDefault="00392044" w:rsidRPr="00232B03">
      <w:pPr>
        <w:spacing w:line="360" w:lineRule="auto"/>
        <w:ind w:firstLine="480" w:firstLineChars="200"/>
        <w:rPr>
          <w:color w:val="000000"/>
          <w:sz w:val="24"/>
          <w:szCs w:val="24"/>
        </w:rPr>
      </w:pPr>
      <w:r w:rsidRPr="006506EF">
        <w:rPr>
          <w:color w:val="000000"/>
          <w:sz w:val="24"/>
        </w:rPr>
        <w:t/>
      </w:r>
      <w:proofErr w:type="spellStart"/>
      <w:r w:rsidRPr="006506EF">
        <w:rPr>
          <w:color w:val="000000"/>
          <w:sz w:val="24"/>
        </w:rPr>
        <w:t/>
      </w:r>
      <w:proofErr w:type="spellEnd"/>
      <w:r w:rsidRPr="006506EF">
        <w:rPr>
          <w:color w:val="000000"/>
          <w:sz w:val="24"/>
        </w:rPr>
        <w:t/>
      </w:r>
      <w:proofErr w:type="spellStart"/>
      <w:proofErr w:type="gramStart"/>
      <w:r w:rsidRPr="006506EF">
        <w:rPr>
          <w:color w:val="000000"/>
          <w:sz w:val="24"/>
        </w:rPr>
        <w:t/>
      </w:r>
      <w:proofErr w:type="spellEnd"/>
      <w:proofErr w:type="gram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P="009E7C6A" w:rsidR="00750D48" w:rsidRDefault="00750D48" w:rsidRPr="00264E55">
      <w:pPr>
        <w:autoSpaceDE w:val="0"/>
        <w:autoSpaceDN w:val="0"/>
        <w:adjustRightInd w:val="0"/>
        <w:spacing w:line="360" w:lineRule="auto"/>
        <w:jc w:val="left"/>
        <w:rPr>
          <w:rFonts w:ascii="宋体" w:cs="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cs="宋体" w:hAnsi="宋体" w:hint="eastAsia"/>
          <w:b/>
          <w:bCs/>
          <w:color w:val="000000"/>
          <w:kern w:val="0"/>
          <w:sz w:val="24"/>
          <w:szCs w:val="24"/>
        </w:rPr>
        <w:t>本报告</w:t>
      </w:r>
      <w:proofErr w:type="gramStart"/>
      <w:r w:rsidRPr="00264E55">
        <w:rPr>
          <w:rFonts w:ascii="宋体" w:cs="宋体" w:hAnsi="宋体" w:hint="eastAsia"/>
          <w:b/>
          <w:bCs/>
          <w:color w:val="000000"/>
          <w:kern w:val="0"/>
          <w:sz w:val="24"/>
          <w:szCs w:val="24"/>
        </w:rPr>
        <w:t>期基金</w:t>
      </w:r>
      <w:proofErr w:type="gramEnd"/>
      <w:r w:rsidRPr="00264E55">
        <w:rPr>
          <w:rFonts w:ascii="宋体" w:cs="宋体" w:hAnsi="宋体" w:hint="eastAsia"/>
          <w:b/>
          <w:bCs/>
          <w:color w:val="000000"/>
          <w:kern w:val="0"/>
          <w:sz w:val="24"/>
          <w:szCs w:val="24"/>
        </w:rPr>
        <w:t>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395"/>
        <w:gridCol w:w="1092"/>
        <w:gridCol w:w="1161"/>
        <w:gridCol w:w="1181"/>
        <w:gridCol w:w="1188"/>
        <w:gridCol w:w="1199"/>
        <w:gridCol w:w="1204"/>
      </w:tblGrid>
      <w:tr w:rsidR="00750D48" w:rsidRPr="00264E55" w:rsidTr="00B05049">
        <w:tc>
          <w:tcPr>
            <w:tcW w:type="dxa" w:w="1395"/>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
            </w:r>
          </w:p>
        </w:tc>
        <w:tc>
          <w:tcPr>
            <w:tcW w:type="dxa" w:w="1092"/>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cs="宋体" w:hAnsi="宋体" w:hint="eastAsia"/>
                <w:color w:val="000000"/>
                <w:kern w:val="0"/>
                <w:sz w:val="24"/>
                <w:szCs w:val="24"/>
              </w:rPr>
              <w:t>①</w:t>
            </w:r>
          </w:p>
        </w:tc>
        <w:tc>
          <w:tcPr>
            <w:tcW w:type="dxa" w:w="116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cs="宋体" w:hAnsi="宋体" w:hint="eastAsia"/>
                <w:color w:val="000000"/>
                <w:kern w:val="0"/>
                <w:sz w:val="24"/>
                <w:szCs w:val="24"/>
              </w:rPr>
              <w:t>②</w:t>
            </w:r>
          </w:p>
        </w:tc>
        <w:tc>
          <w:tcPr>
            <w:tcW w:type="dxa" w:w="118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cs="宋体" w:hAnsi="宋体" w:hint="eastAsia"/>
                <w:color w:val="000000"/>
                <w:kern w:val="0"/>
                <w:sz w:val="24"/>
                <w:szCs w:val="24"/>
              </w:rPr>
              <w:lastRenderedPageBreak/>
              <w:t>③</w:t>
            </w:r>
          </w:p>
        </w:tc>
        <w:tc>
          <w:tcPr>
            <w:tcW w:type="dxa" w:w="1188"/>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业绩比较基准收益率</w:t>
            </w:r>
            <w:r w:rsidRPr="00232B03">
              <w:rPr>
                <w:color w:val="000000"/>
                <w:kern w:val="0"/>
                <w:sz w:val="24"/>
                <w:szCs w:val="24"/>
              </w:rPr>
              <w:lastRenderedPageBreak/>
              <w:t>标准差</w:t>
            </w:r>
            <w:r w:rsidRPr="00232B03">
              <w:rPr>
                <w:rFonts w:ascii="宋体" w:cs="宋体" w:hAnsi="宋体" w:hint="eastAsia"/>
                <w:color w:val="000000"/>
                <w:kern w:val="0"/>
                <w:sz w:val="24"/>
                <w:szCs w:val="24"/>
              </w:rPr>
              <w:t>④</w:t>
            </w:r>
          </w:p>
        </w:tc>
        <w:tc>
          <w:tcPr>
            <w:tcW w:type="dxa" w:w="1199"/>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lastRenderedPageBreak/>
              <w:t>①</w:t>
            </w:r>
            <w:r w:rsidRPr="00232B03">
              <w:rPr>
                <w:color w:val="000000"/>
                <w:kern w:val="0"/>
                <w:sz w:val="24"/>
                <w:szCs w:val="24"/>
              </w:rPr>
              <w:t>-</w:t>
            </w:r>
            <w:r w:rsidRPr="00232B03">
              <w:rPr>
                <w:rFonts w:ascii="宋体" w:cs="宋体" w:hAnsi="宋体" w:hint="eastAsia"/>
                <w:color w:val="000000"/>
                <w:kern w:val="0"/>
                <w:sz w:val="24"/>
                <w:szCs w:val="24"/>
              </w:rPr>
              <w:t>③</w:t>
            </w:r>
          </w:p>
        </w:tc>
        <w:tc>
          <w:tcPr>
            <w:tcW w:type="dxa" w:w="1204"/>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t>②</w:t>
            </w:r>
            <w:r w:rsidRPr="00232B03">
              <w:rPr>
                <w:color w:val="000000"/>
                <w:kern w:val="0"/>
                <w:sz w:val="24"/>
                <w:szCs w:val="24"/>
              </w:rPr>
              <w:t>-</w:t>
            </w:r>
            <w:r w:rsidRPr="00232B03">
              <w:rPr>
                <w:rFonts w:ascii="宋体" w:cs="宋体" w:hAnsi="宋体" w:hint="eastAsia"/>
                <w:color w:val="000000"/>
                <w:kern w:val="0"/>
                <w:sz w:val="24"/>
                <w:szCs w:val="24"/>
              </w:rPr>
              <w:t>④</w:t>
            </w:r>
          </w:p>
        </w:tc>
      </w:tr>
      <w:tr>
        <w:tc>
          <w:tcPr>
            <w:vAlign w:val="center"/>
          </w:tcPr>
          <w:p>
            <w:pPr>
              <w:jc w:val="left"/>
            </w:pPr>
            <w:r>
              <w:rPr>
                <w:color w:val="000000"/>
                <w:kern w:val="0"/>
                <w:sz w:val="24"/>
                <w:szCs w:val="24"/>
              </w:rPr>
              <w:t>过去三个月</w:t>
            </w:r>
          </w:p>
        </w:tc>
        <w:tc>
          <w:tcPr>
            <w:vAlign w:val="center"/>
          </w:tcPr>
          <w:p>
            <w:pPr>
              <w:jc w:val="center"/>
            </w:pPr>
            <w:r>
              <w:rPr>
                <w:color w:val="000000"/>
                <w:kern w:val="0"/>
                <w:sz w:val="24"/>
                <w:szCs w:val="24"/>
              </w:rPr>
              <w:t>24.69%</w:t>
            </w:r>
          </w:p>
        </w:tc>
        <w:tc>
          <w:tcPr>
            <w:vAlign w:val="center"/>
          </w:tcPr>
          <w:p>
            <w:pPr>
              <w:jc w:val="center"/>
            </w:pPr>
            <w:r>
              <w:rPr>
                <w:color w:val="000000"/>
                <w:kern w:val="0"/>
                <w:sz w:val="24"/>
                <w:szCs w:val="24"/>
              </w:rPr>
              <w:t>1.81%</w:t>
            </w:r>
          </w:p>
        </w:tc>
        <w:tc>
          <w:tcPr>
            <w:vAlign w:val="center"/>
          </w:tcPr>
          <w:p>
            <w:pPr>
              <w:jc w:val="center"/>
            </w:pPr>
            <w:r>
              <w:rPr>
                <w:color w:val="000000"/>
                <w:kern w:val="0"/>
                <w:sz w:val="24"/>
                <w:szCs w:val="24"/>
              </w:rPr>
              <w:t>8.11%</w:t>
            </w:r>
          </w:p>
        </w:tc>
        <w:tc>
          <w:tcPr>
            <w:vAlign w:val="center"/>
          </w:tcPr>
          <w:p>
            <w:pPr>
              <w:jc w:val="center"/>
            </w:pPr>
            <w:r>
              <w:rPr>
                <w:color w:val="000000"/>
                <w:kern w:val="0"/>
                <w:sz w:val="24"/>
                <w:szCs w:val="24"/>
              </w:rPr>
              <w:t>1.35%</w:t>
            </w:r>
          </w:p>
        </w:tc>
        <w:tc>
          <w:tcPr>
            <w:vAlign w:val="center"/>
          </w:tcPr>
          <w:p>
            <w:pPr>
              <w:jc w:val="center"/>
            </w:pPr>
            <w:r>
              <w:rPr>
                <w:color w:val="000000"/>
                <w:kern w:val="0"/>
                <w:sz w:val="24"/>
                <w:szCs w:val="24"/>
              </w:rPr>
              <w:t>16.58%</w:t>
            </w:r>
          </w:p>
        </w:tc>
        <w:tc>
          <w:tcPr>
            <w:vAlign w:val="center"/>
          </w:tcPr>
          <w:p>
            <w:pPr>
              <w:jc w:val="center"/>
            </w:pPr>
            <w:r>
              <w:rPr>
                <w:color w:val="000000"/>
                <w:kern w:val="0"/>
                <w:sz w:val="24"/>
                <w:szCs w:val="24"/>
              </w:rPr>
              <w:t>0.46%</w:t>
            </w:r>
          </w:p>
        </w:tc>
      </w:tr>
      <w:tr>
        <w:tc>
          <w:tcPr>
            <w:vAlign w:val="center"/>
          </w:tcPr>
          <w:p>
            <w:pPr>
              <w:jc w:val="left"/>
            </w:pPr>
            <w:r>
              <w:rPr>
                <w:color w:val="000000"/>
                <w:kern w:val="0"/>
                <w:sz w:val="24"/>
                <w:szCs w:val="24"/>
              </w:rPr>
              <w:t>过去六个月</w:t>
            </w:r>
          </w:p>
        </w:tc>
        <w:tc>
          <w:tcPr>
            <w:vAlign w:val="center"/>
          </w:tcPr>
          <w:p>
            <w:pPr>
              <w:jc w:val="center"/>
            </w:pPr>
            <w:r>
              <w:rPr>
                <w:color w:val="000000"/>
                <w:kern w:val="0"/>
                <w:sz w:val="24"/>
                <w:szCs w:val="24"/>
              </w:rPr>
              <w:t>57.19%</w:t>
            </w:r>
          </w:p>
        </w:tc>
        <w:tc>
          <w:tcPr>
            <w:vAlign w:val="center"/>
          </w:tcPr>
          <w:p>
            <w:pPr>
              <w:jc w:val="center"/>
            </w:pPr>
            <w:r>
              <w:rPr>
                <w:color w:val="000000"/>
                <w:kern w:val="0"/>
                <w:sz w:val="24"/>
                <w:szCs w:val="24"/>
              </w:rPr>
              <w:t>1.53%</w:t>
            </w:r>
          </w:p>
        </w:tc>
        <w:tc>
          <w:tcPr>
            <w:vAlign w:val="center"/>
          </w:tcPr>
          <w:p>
            <w:pPr>
              <w:jc w:val="center"/>
            </w:pPr>
            <w:r>
              <w:rPr>
                <w:color w:val="000000"/>
                <w:kern w:val="0"/>
                <w:sz w:val="24"/>
                <w:szCs w:val="24"/>
              </w:rPr>
              <w:t>19.12%</w:t>
            </w:r>
          </w:p>
        </w:tc>
        <w:tc>
          <w:tcPr>
            <w:vAlign w:val="center"/>
          </w:tcPr>
          <w:p>
            <w:pPr>
              <w:jc w:val="center"/>
            </w:pPr>
            <w:r>
              <w:rPr>
                <w:color w:val="000000"/>
                <w:kern w:val="0"/>
                <w:sz w:val="24"/>
                <w:szCs w:val="24"/>
              </w:rPr>
              <w:t>1.11%</w:t>
            </w:r>
          </w:p>
        </w:tc>
        <w:tc>
          <w:tcPr>
            <w:vAlign w:val="center"/>
          </w:tcPr>
          <w:p>
            <w:pPr>
              <w:jc w:val="center"/>
            </w:pPr>
            <w:r>
              <w:rPr>
                <w:color w:val="000000"/>
                <w:kern w:val="0"/>
                <w:sz w:val="24"/>
                <w:szCs w:val="24"/>
              </w:rPr>
              <w:t>38.07%</w:t>
            </w:r>
          </w:p>
        </w:tc>
        <w:tc>
          <w:tcPr>
            <w:vAlign w:val="center"/>
          </w:tcPr>
          <w:p>
            <w:pPr>
              <w:jc w:val="center"/>
            </w:pPr>
            <w:r>
              <w:rPr>
                <w:color w:val="000000"/>
                <w:kern w:val="0"/>
                <w:sz w:val="24"/>
                <w:szCs w:val="24"/>
              </w:rPr>
              <w:t>0.42%</w:t>
            </w:r>
          </w:p>
        </w:tc>
      </w:tr>
      <w:tr>
        <w:tc>
          <w:tcPr>
            <w:vAlign w:val="center"/>
          </w:tcPr>
          <w:p>
            <w:pPr>
              <w:jc w:val="left"/>
            </w:pPr>
            <w:r>
              <w:rPr>
                <w:color w:val="000000"/>
                <w:kern w:val="0"/>
                <w:sz w:val="24"/>
                <w:szCs w:val="24"/>
              </w:rPr>
              <w:t>过去一年</w:t>
            </w:r>
          </w:p>
        </w:tc>
        <w:tc>
          <w:tcPr>
            <w:vAlign w:val="center"/>
          </w:tcPr>
          <w:p>
            <w:pPr>
              <w:jc w:val="center"/>
            </w:pPr>
            <w:r>
              <w:rPr>
                <w:color w:val="000000"/>
                <w:kern w:val="0"/>
                <w:sz w:val="24"/>
                <w:szCs w:val="24"/>
              </w:rPr>
              <w:t>48.51%</w:t>
            </w:r>
          </w:p>
        </w:tc>
        <w:tc>
          <w:tcPr>
            <w:vAlign w:val="center"/>
          </w:tcPr>
          <w:p>
            <w:pPr>
              <w:jc w:val="center"/>
            </w:pPr>
            <w:r>
              <w:rPr>
                <w:color w:val="000000"/>
                <w:kern w:val="0"/>
                <w:sz w:val="24"/>
                <w:szCs w:val="24"/>
              </w:rPr>
              <w:t>1.57%</w:t>
            </w:r>
          </w:p>
        </w:tc>
        <w:tc>
          <w:tcPr>
            <w:vAlign w:val="center"/>
          </w:tcPr>
          <w:p>
            <w:pPr>
              <w:jc w:val="center"/>
            </w:pPr>
            <w:r>
              <w:rPr>
                <w:color w:val="000000"/>
                <w:kern w:val="0"/>
                <w:sz w:val="24"/>
                <w:szCs w:val="24"/>
              </w:rPr>
              <w:t>16.58%</w:t>
            </w:r>
          </w:p>
        </w:tc>
        <w:tc>
          <w:tcPr>
            <w:vAlign w:val="center"/>
          </w:tcPr>
          <w:p>
            <w:pPr>
              <w:jc w:val="center"/>
            </w:pPr>
            <w:r>
              <w:rPr>
                <w:color w:val="000000"/>
                <w:kern w:val="0"/>
                <w:sz w:val="24"/>
                <w:szCs w:val="24"/>
              </w:rPr>
              <w:t>1.16%</w:t>
            </w:r>
          </w:p>
        </w:tc>
        <w:tc>
          <w:tcPr>
            <w:vAlign w:val="center"/>
          </w:tcPr>
          <w:p>
            <w:pPr>
              <w:jc w:val="center"/>
            </w:pPr>
            <w:r>
              <w:rPr>
                <w:color w:val="000000"/>
                <w:kern w:val="0"/>
                <w:sz w:val="24"/>
                <w:szCs w:val="24"/>
              </w:rPr>
              <w:t>31.93%</w:t>
            </w:r>
          </w:p>
        </w:tc>
        <w:tc>
          <w:tcPr>
            <w:vAlign w:val="center"/>
          </w:tcPr>
          <w:p>
            <w:pPr>
              <w:jc w:val="center"/>
            </w:pPr>
            <w:r>
              <w:rPr>
                <w:color w:val="000000"/>
                <w:kern w:val="0"/>
                <w:sz w:val="24"/>
                <w:szCs w:val="24"/>
              </w:rPr>
              <w:t>0.41%</w:t>
            </w:r>
          </w:p>
        </w:tc>
      </w:tr>
      <w:tr>
        <w:tc>
          <w:tcPr>
            <w:vAlign w:val="center"/>
          </w:tcPr>
          <w:p>
            <w:pPr>
              <w:jc w:val="left"/>
            </w:pPr>
            <w:r>
              <w:rPr>
                <w:color w:val="000000"/>
                <w:kern w:val="0"/>
                <w:sz w:val="24"/>
                <w:szCs w:val="24"/>
              </w:rPr>
              <w:t>过去三年</w:t>
            </w:r>
          </w:p>
        </w:tc>
        <w:tc>
          <w:tcPr>
            <w:vAlign w:val="center"/>
          </w:tcPr>
          <w:p>
            <w:pPr>
              <w:jc w:val="center"/>
            </w:pPr>
            <w:r>
              <w:rPr>
                <w:color w:val="000000"/>
                <w:kern w:val="0"/>
                <w:sz w:val="24"/>
                <w:szCs w:val="24"/>
              </w:rPr>
              <w:t>98.60%</w:t>
            </w:r>
          </w:p>
        </w:tc>
        <w:tc>
          <w:tcPr>
            <w:vAlign w:val="center"/>
          </w:tcPr>
          <w:p>
            <w:pPr>
              <w:jc w:val="center"/>
            </w:pPr>
            <w:r>
              <w:rPr>
                <w:color w:val="000000"/>
                <w:kern w:val="0"/>
                <w:sz w:val="24"/>
                <w:szCs w:val="24"/>
              </w:rPr>
              <w:t>1.61%</w:t>
            </w:r>
          </w:p>
        </w:tc>
        <w:tc>
          <w:tcPr>
            <w:vAlign w:val="center"/>
          </w:tcPr>
          <w:p>
            <w:pPr>
              <w:jc w:val="center"/>
            </w:pPr>
            <w:r>
              <w:rPr>
                <w:color w:val="000000"/>
                <w:kern w:val="0"/>
                <w:sz w:val="24"/>
                <w:szCs w:val="24"/>
              </w:rPr>
              <w:t>11.90%</w:t>
            </w:r>
          </w:p>
        </w:tc>
        <w:tc>
          <w:tcPr>
            <w:vAlign w:val="center"/>
          </w:tcPr>
          <w:p>
            <w:pPr>
              <w:jc w:val="center"/>
            </w:pPr>
            <w:r>
              <w:rPr>
                <w:color w:val="000000"/>
                <w:kern w:val="0"/>
                <w:sz w:val="24"/>
                <w:szCs w:val="24"/>
              </w:rPr>
              <w:t>1.09%</w:t>
            </w:r>
          </w:p>
        </w:tc>
        <w:tc>
          <w:tcPr>
            <w:vAlign w:val="center"/>
          </w:tcPr>
          <w:p>
            <w:pPr>
              <w:jc w:val="center"/>
            </w:pPr>
            <w:r>
              <w:rPr>
                <w:color w:val="000000"/>
                <w:kern w:val="0"/>
                <w:sz w:val="24"/>
                <w:szCs w:val="24"/>
              </w:rPr>
              <w:t>86.70%</w:t>
            </w:r>
          </w:p>
        </w:tc>
        <w:tc>
          <w:tcPr>
            <w:vAlign w:val="center"/>
          </w:tcPr>
          <w:p>
            <w:pPr>
              <w:jc w:val="center"/>
            </w:pPr>
            <w:r>
              <w:rPr>
                <w:color w:val="000000"/>
                <w:kern w:val="0"/>
                <w:sz w:val="24"/>
                <w:szCs w:val="24"/>
              </w:rPr>
              <w:t>0.52%</w:t>
            </w:r>
          </w:p>
        </w:tc>
      </w:tr>
      <w:tr>
        <w:tc>
          <w:tcPr>
            <w:vAlign w:val="center"/>
          </w:tcPr>
          <w:p>
            <w:pPr>
              <w:jc w:val="left"/>
            </w:pPr>
            <w:r>
              <w:rPr>
                <w:color w:val="000000"/>
                <w:kern w:val="0"/>
                <w:sz w:val="24"/>
                <w:szCs w:val="24"/>
              </w:rPr>
              <w:t>过去五年</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c>
          <w:tcPr>
            <w:vAlign w:val="center"/>
          </w:tcPr>
          <w:p>
            <w:pPr>
              <w:jc w:val="center"/>
            </w:pPr>
            <w:r>
              <w:rPr>
                <w:color w:val="000000"/>
                <w:kern w:val="0"/>
                <w:sz w:val="24"/>
                <w:szCs w:val="24"/>
              </w:rPr>
              <w:t>-</w:t>
            </w:r>
          </w:p>
        </w:tc>
      </w:tr>
      <w:tr>
        <w:tc>
          <w:tcPr>
            <w:vAlign w:val="center"/>
          </w:tcPr>
          <w:p>
            <w:pPr>
              <w:jc w:val="left"/>
            </w:pPr>
            <w:r>
              <w:rPr>
                <w:color w:val="000000"/>
                <w:kern w:val="0"/>
                <w:sz w:val="24"/>
                <w:szCs w:val="24"/>
              </w:rPr>
              <w:t>自基金合同生效起至今</w:t>
            </w:r>
          </w:p>
        </w:tc>
        <w:tc>
          <w:tcPr>
            <w:vAlign w:val="center"/>
          </w:tcPr>
          <w:p>
            <w:pPr>
              <w:jc w:val="center"/>
            </w:pPr>
            <w:r>
              <w:rPr>
                <w:color w:val="000000"/>
                <w:kern w:val="0"/>
                <w:sz w:val="24"/>
                <w:szCs w:val="24"/>
              </w:rPr>
              <w:t>99.00%</w:t>
            </w:r>
          </w:p>
        </w:tc>
        <w:tc>
          <w:tcPr>
            <w:vAlign w:val="center"/>
          </w:tcPr>
          <w:p>
            <w:pPr>
              <w:jc w:val="center"/>
            </w:pPr>
            <w:r>
              <w:rPr>
                <w:color w:val="000000"/>
                <w:kern w:val="0"/>
                <w:sz w:val="24"/>
                <w:szCs w:val="24"/>
              </w:rPr>
              <w:t>1.58%</w:t>
            </w:r>
          </w:p>
        </w:tc>
        <w:tc>
          <w:tcPr>
            <w:vAlign w:val="center"/>
          </w:tcPr>
          <w:p>
            <w:pPr>
              <w:jc w:val="center"/>
            </w:pPr>
            <w:r>
              <w:rPr>
                <w:color w:val="000000"/>
                <w:kern w:val="0"/>
                <w:sz w:val="24"/>
                <w:szCs w:val="24"/>
              </w:rPr>
              <w:t>11.59%</w:t>
            </w:r>
          </w:p>
        </w:tc>
        <w:tc>
          <w:tcPr>
            <w:vAlign w:val="center"/>
          </w:tcPr>
          <w:p>
            <w:pPr>
              <w:jc w:val="center"/>
            </w:pPr>
            <w:r>
              <w:rPr>
                <w:color w:val="000000"/>
                <w:kern w:val="0"/>
                <w:sz w:val="24"/>
                <w:szCs w:val="24"/>
              </w:rPr>
              <w:t>1.07%</w:t>
            </w:r>
          </w:p>
        </w:tc>
        <w:tc>
          <w:tcPr>
            <w:vAlign w:val="center"/>
          </w:tcPr>
          <w:p>
            <w:pPr>
              <w:jc w:val="center"/>
            </w:pPr>
            <w:r>
              <w:rPr>
                <w:color w:val="000000"/>
                <w:kern w:val="0"/>
                <w:sz w:val="24"/>
                <w:szCs w:val="24"/>
              </w:rPr>
              <w:t>87.41%</w:t>
            </w:r>
          </w:p>
        </w:tc>
        <w:tc>
          <w:tcPr>
            <w:vAlign w:val="center"/>
          </w:tcPr>
          <w:p>
            <w:pPr>
              <w:jc w:val="center"/>
            </w:pPr>
            <w:r>
              <w:rPr>
                <w:color w:val="000000"/>
                <w:kern w:val="0"/>
                <w:sz w:val="24"/>
                <w:szCs w:val="24"/>
              </w:rPr>
              <w:t>0.51%</w:t>
            </w:r>
          </w:p>
        </w:tc>
      </w:tr>
    </w:tbl>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color="auto" w:fill="FFFFFF" w:val="clear"/>
          </w:rPr>
          <w:t/>
        </w:r>
        <w:proofErr w:type="spellStart"/>
        <w:r w:rsidR="00D87469" w:rsidRPr="00370BEA">
          <w:rPr>
            <w:rStyle w:val="afb"/>
            <w:rFonts w:hint="eastAsia"/>
            <w:color w:val="000000"/>
            <w:sz w:val="24"/>
            <w:shd w:color="auto" w:fill="FFFFFF" w:val="clear"/>
          </w:rPr>
          <w:t/>
        </w:r>
        <w:proofErr w:type="spellEnd"/>
        <w:r w:rsidR="00D87469" w:rsidRPr="00370BEA">
          <w:rPr>
            <w:rStyle w:val="afb"/>
            <w:rFonts w:hint="eastAsia"/>
            <w:color w:val="000000"/>
            <w:sz w:val="24"/>
            <w:shd w:color="auto" w:fill="FFFFFF" w:val="clear"/>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P="009E7C6A" w:rsidR="00750D48" w:rsidRDefault="00750D48" w:rsidRPr="0074694E">
      <w:pPr>
        <w:spacing w:line="360" w:lineRule="auto"/>
        <w:jc w:val="center"/>
        <w:rPr>
          <w:color w:val="000000"/>
          <w:sz w:val="24"/>
          <w:szCs w:val="24"/>
        </w:rPr>
      </w:pPr>
      <w:r w:rsidRPr="0074694E">
        <w:rPr>
          <w:color w:val="000000"/>
          <w:sz w:val="24"/>
          <w:szCs w:val="24"/>
        </w:rPr>
        <w:t/>
      </w:r>
      <w:proofErr w:type="spellStart"/>
      <w:r w:rsidRPr="0074694E">
        <w:rPr>
          <w:color w:val="000000"/>
          <w:sz w:val="24"/>
          <w:szCs w:val="24"/>
        </w:rPr>
        <w:t/>
      </w:r>
      <w:proofErr w:type="spellEnd"/>
      <w:r w:rsidRPr="0074694E">
        <w:rPr>
          <w:color w:val="000000"/>
          <w:sz w:val="24"/>
          <w:szCs w:val="24"/>
        </w:rPr>
        <w:t>易方达国企改革混合型证券投资基金</w:t>
      </w:r>
    </w:p>
    <w:p w:rsidP="009E7C6A" w:rsidR="00750D48" w:rsidRDefault="00750D48" w:rsidRPr="0074694E">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P="009E7C6A" w:rsidR="00750D48" w:rsidRDefault="005F7917" w:rsidRPr="0074694E">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2017年8月23日</w:t>
      </w:r>
      <w:r w:rsidRPr="0074694E">
        <w:rPr>
          <w:rFonts w:ascii="Times New Roman" w:hAnsi="Times New Roman"/>
          <w:sz w:val="24"/>
          <w:szCs w:val="24"/>
        </w:rPr>
        <w:t>至</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2020年9月30日</w:t>
      </w:r>
      <w:r w:rsidRPr="0074694E">
        <w:rPr>
          <w:rFonts w:ascii="Times New Roman" w:hAnsi="Times New Roman"/>
          <w:sz w:val="24"/>
          <w:szCs w:val="24"/>
        </w:rPr>
        <w:t>）</w:t>
      </w:r>
    </w:p>
    <w:p w:rsidP="004061AC" w:rsidR="00750D48" w:rsidRDefault="000D33A8" w:rsidRPr="00264E55">
      <w:pPr>
        <w:pStyle w:val="a5"/>
        <w:snapToGrid w:val="0"/>
        <w:spacing w:before="120" w:line="360" w:lineRule="auto"/>
        <w:jc w:val="center"/>
        <w:rPr>
          <w:rFonts w:hAnsi="宋体"/>
          <w:color w:val="000000"/>
          <w:sz w:val="24"/>
          <w:szCs w:val="24"/>
        </w:rPr>
      </w:pPr>
      <w:r>
        <w:rPr>
          <w:rFonts w:hAnsi="宋体"/>
          <w:noProof/>
          <w:color w:val="000000"/>
          <w:sz w:val="24"/>
          <w:szCs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2.5pt;height:241.5pt;visibility:visible" type="#_x0000_t75">
            <v:imagedata o:title="" r:id="rId11"/>
          </v:shape>
        </w:pic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注：自基金合同生效至报告期末，基金份额净值增长率为99.00%，同期业绩比较基准收益率为11.59%。</w:t>
      </w:r>
    </w:p>
    <w:p w:rsidP="00693843" w:rsidR="00750D48" w:rsidRDefault="00750D48" w:rsidRPr="00232B03">
      <w:pPr>
        <w:tabs>
          <w:tab w:pos="1800" w:val="left"/>
        </w:tabs>
        <w:spacing w:line="288" w:lineRule="auto"/>
        <w:rPr>
          <w:color w:val="000000"/>
          <w:sz w:val="24"/>
          <w:szCs w:val="24"/>
        </w:rPr>
      </w:pP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P="004D28A3" w:rsidR="004D28A3" w:rsidRDefault="00750D48" w:rsidRPr="0078105B">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4D28A3" w:rsidRPr="0078105B" w:rsidTr="003328D9">
        <w:trPr>
          <w:cantSplit/>
        </w:trPr>
        <w:tc>
          <w:tcPr>
            <w:tcW w:type="dxa" w:w="56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type="dxa" w:w="56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835"/>
            <w:vMerge/>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郭杰</w:t>
            </w:r>
          </w:p>
        </w:tc>
        <w:tc>
          <w:tcPr>
            <w:vAlign w:val="center"/>
          </w:tcPr>
          <w:p>
            <w:pPr>
              <w:jc w:val="left"/>
            </w:pPr>
            <w:r>
              <w:rPr>
                <w:color w:val="000000"/>
                <w:sz w:val="24"/>
              </w:rPr>
              <w:t>本基金的基金经理、易方达改革红利混合型证券投资基金的基金经理、易方达ESG责任投资股票型发起式证券投资基金的基金经理、研究部副总经理</w:t>
            </w:r>
          </w:p>
        </w:tc>
        <w:tc>
          <w:tcPr>
            <w:vAlign w:val="center"/>
          </w:tcPr>
          <w:p>
            <w:pPr>
              <w:jc w:val="center"/>
            </w:pPr>
            <w:r>
              <w:rPr>
                <w:color w:val="000000"/>
                <w:sz w:val="24"/>
              </w:rPr>
              <w:t>2017-08-23</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硕士研究生，具有基金从业资格。曾任易方达基金管理有限公司行业研究员、基金经理助理、易方达资源行业股票型证券投资基金基金经理、易方达科汇灵活配置混合型证券投资基金基金经理、易方达新丝路灵活配置混合型证券投资基金基金经理。</w:t>
            </w:r>
          </w:p>
        </w:tc>
      </w:tr>
    </w:tbl>
    <w:p>
      <w:pPr>
        <w:tabs>
          <w:tab w:pos="426" w:val="left"/>
        </w:tabs>
        <w:spacing w:line="360" w:lineRule="auto"/>
        <w:ind w:firstLine="480" w:firstLineChars="200"/>
        <w:rPr>
          <w:kern w:val="0"/>
        </w:rPr>
      </w:pPr>
      <w:r>
        <w:rPr>
          <w:color w:val="000000"/>
          <w:sz w:val="24"/>
          <w:szCs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1BA1" w:rsidR="00C71BA1" w:rsidRDefault="004D28A3" w:rsidRPr="00AF5C11">
      <w:pPr>
        <w:tabs>
          <w:tab w:pos="426" w:val="left"/>
        </w:tabs>
        <w:spacing w:line="360" w:lineRule="auto"/>
        <w:ind w:firstLine="480" w:firstLineChars="200"/>
        <w:rPr>
          <w:kern w:val="0"/>
        </w:rPr>
      </w:pPr>
      <w:r w:rsidRPr="004D28A3">
        <w:rPr>
          <w:color w:val="000000"/>
          <w:sz w:val="24"/>
          <w:szCs w:val="24"/>
        </w:rPr>
        <w:t/>
      </w:r>
      <w:proofErr w:type="gramStart"/>
      <w:r w:rsidRPr="004D28A3">
        <w:rPr>
          <w:color w:val="000000"/>
          <w:sz w:val="24"/>
          <w:szCs w:val="24"/>
        </w:rPr>
        <w:t/>
      </w:r>
      <w:proofErr w:type="gramEnd"/>
      <w:r w:rsidRPr="004D28A3">
        <w:rPr>
          <w:color w:val="000000"/>
          <w:sz w:val="24"/>
          <w:szCs w:val="24"/>
        </w:rPr>
        <w:t>2.证券从业的含义遵从《证券业从业人员资格管理办法》的相关规定。</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4.3.1</w:t>
        </w:r>
      </w:smartTag>
      <w:r w:rsidRPr="008768CB">
        <w:rPr>
          <w:b/>
          <w:color w:val="000000"/>
          <w:sz w:val="24"/>
          <w:szCs w:val="24"/>
        </w:rPr>
        <w:t>公平交易制度的执行情况</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4.3.2</w:t>
        </w:r>
      </w:smartTag>
      <w:r w:rsidRPr="008768CB">
        <w:rPr>
          <w:b/>
          <w:color w:val="000000"/>
          <w:sz w:val="24"/>
          <w:szCs w:val="24"/>
        </w:rPr>
        <w:t>异常交易行为的专项说明</w:t>
      </w:r>
    </w:p>
    <w:p>
      <w:pPr>
        <w:spacing w:line="360" w:lineRule="auto"/>
        <w:ind w:firstLine="480" w:firstLineChars="200"/>
        <w:rPr>
          <w:rFonts w:ascii="宋体"/>
          <w:b/>
          <w:bCs/>
          <w:color w:val="000000"/>
          <w:kern w:val="0"/>
          <w:sz w:val="24"/>
          <w:szCs w:val="24"/>
        </w:rPr>
      </w:pPr>
      <w:r>
        <w:rPr>
          <w:color w:val="000000"/>
          <w:sz w:val="24"/>
          <w:szCs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306390" w:rsidR="00750D48" w:rsidRDefault="00750D48" w:rsidRPr="00264E55">
      <w:pPr>
        <w:spacing w:line="360" w:lineRule="auto"/>
        <w:ind w:firstLine="480" w:firstLineChars="200"/>
        <w:rPr>
          <w:rFonts w:ascii="宋体"/>
          <w:b/>
          <w:bCs/>
          <w:color w:val="000000"/>
          <w:kern w:val="0"/>
          <w:sz w:val="24"/>
          <w:szCs w:val="24"/>
        </w:rPr>
      </w:pPr>
      <w:r w:rsidRPr="000018BC">
        <w:rPr>
          <w:color w:val="000000"/>
          <w:sz w:val="24"/>
          <w:szCs w:val="24"/>
        </w:rPr>
        <w:t/>
      </w:r>
      <w:proofErr w:type="spellStart"/>
      <w:r w:rsidRPr="000018BC">
        <w:rPr>
          <w:color w:val="000000"/>
          <w:sz w:val="24"/>
          <w:szCs w:val="24"/>
        </w:rPr>
        <w:t/>
      </w:r>
      <w:proofErr w:type="spellEnd"/>
      <w:r w:rsidRPr="000018BC">
        <w:rPr>
          <w:color w:val="000000"/>
          <w:sz w:val="24"/>
          <w:szCs w:val="24"/>
        </w:rPr>
        <w:t>本报告期内，未发现本基金有可能导致不公平交易和利益输送的异常交易。</w:t>
      </w:r>
      <w:r w:rsidR="00306390" w:rsidRPr="00264E55">
        <w:rPr>
          <w:rFonts w:ascii="宋体"/>
          <w:b/>
          <w:bCs/>
          <w:color w:val="000000"/>
          <w:kern w:val="0"/>
          <w:sz w:val="24"/>
          <w:szCs w:val="24"/>
        </w:rPr>
        <w:t xml:space="preserve"> </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4.4</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报告期内基金投资策略和运作分析</w:t>
      </w:r>
    </w:p>
    <w:p>
      <w:pPr>
        <w:spacing w:line="360" w:lineRule="auto"/>
        <w:ind w:firstLine="480" w:firstLineChars="200"/>
        <w:rPr>
          <w:color w:val="000000"/>
          <w:sz w:val="24"/>
          <w:szCs w:val="24"/>
        </w:rPr>
      </w:pPr>
      <w:r>
        <w:rPr>
          <w:color w:val="000000"/>
          <w:sz w:val="24"/>
          <w:szCs w:val="24"/>
        </w:rPr>
        <w:t>三季度国内新冠疫情控制较好，而全球疫情仍有反复。全球范围都释放了宽松的流动性，虽然经济短期内受冲击明显，但并未引发系统性金融风险。国内因为疫情控制情况较好，经济保持了持续复苏的势头，叠加宽松的流动性，股票市场的情绪从悲观恢复至乐观状态。到季末沪深300指数收于4587点，上涨10.17%。受疫情冲击小、长期稳定的消费、医药等行业的表现好于经济波动相关度高的行业。</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聚焦于在国有企业中精选符合标准的个股，投资目标是实现中长期的稳定收益，通过分享优质企业的增长和盈利，实现资本的回报。我们对最好的生意的独到理解，特别是面向C端的消费服务产业最受我们青睐，这样的商业模式具有高利润率、高回报率、高稳定性的特征，同时受益于中国庞大人口基数下的巨大市场和消费持续升级的趋势，是本基金最看好的投资领域。报告期内，本基金围绕该领域，选择最好的生意并长期持有的投资策略精选个股，整体看组合的结构变化不大。</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w:t>
      </w:r>
      <w:r>
        <w:rPr>
          <w:rFonts w:ascii="宋体" w:hAnsi="宋体"/>
          <w:b/>
          <w:bCs/>
          <w:color w:val="000000"/>
          <w:kern w:val="0"/>
          <w:sz w:val="24"/>
          <w:szCs w:val="24"/>
        </w:rPr>
        <w:t>5</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报告期内基金的业绩表现</w:t>
      </w:r>
    </w:p>
    <w:p w:rsidP="00306390" w:rsidR="00750D48" w:rsidRDefault="00750D48">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截至报告期末，本基金份额净值为1.990元，本报告期份额净值增长率为24.69%，同期业绩比较基准收益率为8.11%。</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序号</w:t>
            </w:r>
          </w:p>
        </w:tc>
        <w:tc>
          <w:tcPr>
            <w:tcW w:type="dxa" w:w="3357"/>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项目</w:t>
            </w:r>
          </w:p>
        </w:tc>
        <w:tc>
          <w:tcPr>
            <w:tcW w:type="dxa" w:w="2977"/>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type="dxa" w:w="1843"/>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1</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权益投资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139,911,016.90</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91.80</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其中：股票</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139,911,016.90</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91.80</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2</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固定收益投资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其中：债券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w:t>
            </w:r>
          </w:p>
        </w:tc>
      </w:tr>
      <w:tr w:rsidR="00750D48" w:rsidRPr="00264E55" w:rsidTr="00B05049">
        <w:trPr>
          <w:jc w:val="center"/>
        </w:trPr>
        <w:tc>
          <w:tcPr>
            <w:tcW w:type="dxa" w:w="720"/>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3</w:t>
            </w:r>
          </w:p>
        </w:tc>
        <w:tc>
          <w:tcPr>
            <w:tcW w:type="dxa" w:w="3357"/>
          </w:tcPr>
          <w:p w:rsidP="00EB572F" w:rsidR="00750D48" w:rsidRDefault="00750D48" w:rsidRPr="00232B03">
            <w:pPr>
              <w:spacing w:before="29" w:line="360" w:lineRule="auto"/>
              <w:ind w:left="105" w:leftChars="50"/>
              <w:rPr>
                <w:color w:val="000000"/>
                <w:kern w:val="0"/>
                <w:sz w:val="24"/>
                <w:szCs w:val="24"/>
              </w:rPr>
            </w:pPr>
            <w:r w:rsidRPr="00232B03">
              <w:rPr>
                <w:color w:val="000000"/>
                <w:kern w:val="0"/>
                <w:sz w:val="24"/>
                <w:szCs w:val="24"/>
              </w:rPr>
              <w:t>贵金属投资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4</w:t>
            </w:r>
          </w:p>
        </w:tc>
        <w:tc>
          <w:tcPr>
            <w:tcW w:type="dxa" w:w="3357"/>
            <w:vAlign w:val="center"/>
          </w:tcPr>
          <w:p w:rsidP="00B05049" w:rsidR="00750D48" w:rsidRDefault="00750D48" w:rsidRPr="00232B03">
            <w:pPr>
              <w:spacing w:before="29" w:line="360" w:lineRule="auto"/>
              <w:ind w:left="17"/>
              <w:jc w:val="left"/>
              <w:rPr>
                <w:color w:val="000000"/>
                <w:kern w:val="0"/>
                <w:sz w:val="24"/>
                <w:szCs w:val="24"/>
              </w:rPr>
            </w:pPr>
            <w:r w:rsidRPr="00232B03">
              <w:rPr>
                <w:color w:val="000000"/>
                <w:kern w:val="0"/>
                <w:sz w:val="24"/>
                <w:szCs w:val="24"/>
              </w:rPr>
              <w:t>金融衍生品投资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5</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6</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银行存款和结算备付金合计</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11,456,287.98</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7.52</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7</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其他资产</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1,043,049.48</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0.68</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8</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合计</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152,410,354.36</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100.00</w:t>
            </w:r>
          </w:p>
        </w:tc>
      </w:tr>
    </w:tbl>
    <w:p w:rsidP="008C2A4F" w:rsidR="008C2A4F" w:rsidRDefault="008C2A4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5.2 </w:t>
      </w:r>
      <w:r w:rsidRPr="00220C32">
        <w:rPr>
          <w:rFonts w:asciiTheme="minorEastAsia" w:eastAsiaTheme="minorEastAsia" w:hAnsiTheme="minorEastAsia" w:hint="eastAsia"/>
          <w:b/>
          <w:bCs/>
          <w:color w:themeColor="text1" w:val="000000"/>
          <w:kern w:val="0"/>
          <w:sz w:val="24"/>
          <w:szCs w:val="24"/>
        </w:rPr>
        <w:t>报告期末按行业分类的股票投资组合</w:t>
      </w:r>
    </w:p>
    <w:p w:rsidP="008C2A4F" w:rsidR="008C2A4F" w:rsidRDefault="008C2A4F" w:rsidRPr="000D7474">
      <w:pPr>
        <w:rPr>
          <w:rFonts w:asciiTheme="minorEastAsia" w:eastAsiaTheme="minorEastAsia" w:hAnsiTheme="minorEastAsia"/>
          <w:b/>
          <w:bCs/>
          <w:color w:themeColor="text1" w:val="000000"/>
          <w:kern w:val="0"/>
          <w:sz w:val="24"/>
          <w:szCs w:val="24"/>
        </w:rPr>
      </w:pPr>
      <w:r w:rsidRPr="000D7474">
        <w:rPr>
          <w:rFonts w:asciiTheme="minorEastAsia" w:eastAsiaTheme="minorEastAsia" w:hAnsiTheme="minorEastAsia"/>
          <w:b/>
          <w:bCs/>
          <w:color w:themeColor="text1" w:val="000000"/>
          <w:kern w:val="0"/>
          <w:sz w:val="24"/>
          <w:szCs w:val="24"/>
        </w:rPr>
        <w:t/>
      </w:r>
      <w:proofErr w:type="spellStart"/>
      <w:r w:rsidRPr="000D7474">
        <w:rPr>
          <w:rFonts w:asciiTheme="minorEastAsia" w:eastAsiaTheme="minorEastAsia" w:hAnsiTheme="minorEastAsia"/>
          <w:b/>
          <w:bCs/>
          <w:color w:themeColor="text1" w:val="000000"/>
          <w:kern w:val="0"/>
          <w:sz w:val="24"/>
          <w:szCs w:val="24"/>
        </w:rPr>
        <w:t/>
      </w:r>
      <w:proofErr w:type="spellEnd"/>
      <w:r w:rsidRPr="000D7474">
        <w:rPr>
          <w:rFonts w:asciiTheme="minorEastAsia" w:eastAsiaTheme="minorEastAsia" w:hAnsiTheme="minorEastAsia"/>
          <w:b/>
          <w:bCs/>
          <w:color w:themeColor="text1" w:val="000000"/>
          <w:kern w:val="0"/>
          <w:sz w:val="24"/>
          <w:szCs w:val="24"/>
        </w:rPr>
        <w:t/>
      </w:r>
      <w:r w:rsidRPr="000D7474">
        <w:rPr>
          <w:rFonts w:asciiTheme="minorEastAsia" w:eastAsiaTheme="minorEastAsia" w:hAnsiTheme="minorEastAsia" w:hint="eastAsia"/>
          <w:b/>
          <w:bCs/>
          <w:color w:themeColor="text1" w:val="000000"/>
          <w:kern w:val="0"/>
          <w:sz w:val="24"/>
          <w:szCs w:val="24"/>
        </w:rPr>
        <w:t>5.2.1报告期末按行业分类的境内股票投资组合</w:t>
      </w:r>
    </w:p>
    <w:tbl>
      <w:tblPr>
        <w:tblW w:type="dxa" w:w="8789"/>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09"/>
        <w:gridCol w:w="3544"/>
        <w:gridCol w:w="2977"/>
        <w:gridCol w:w="1559"/>
      </w:tblGrid>
      <w:tr w:rsidR="008C2A4F" w:rsidRPr="008C2A4F" w:rsidTr="003B5535">
        <w:trPr>
          <w:trHeight w:val="390"/>
        </w:trPr>
        <w:tc>
          <w:tcPr>
            <w:tcW w:type="dxa" w:w="709"/>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代码</w:t>
            </w: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行业类别</w:t>
            </w:r>
          </w:p>
        </w:tc>
        <w:tc>
          <w:tcPr>
            <w:tcW w:type="dxa" w:w="2977"/>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公允价值（元）</w:t>
            </w:r>
          </w:p>
        </w:tc>
        <w:tc>
          <w:tcPr>
            <w:tcW w:type="dxa" w:w="155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占基金资产净值比例（％）</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A</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农、林、牧、渔业</w:t>
            </w:r>
          </w:p>
        </w:tc>
        <w:tc>
          <w:tcPr>
            <w:tcW w:type="dxa" w:w="2977"/>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B</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采矿业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C</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制造业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125,423,032.69</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83.41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D</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电力、热力、燃气及水生产和供应业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14,405,842.00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9.58</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E</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建筑业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10,676.64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F</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批发和零售业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6,578.52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G</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交通运输、仓储和邮政业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5,935.16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H</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住宿和餐饮业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I</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信息传输、软件和信息技术服务业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35,048.49</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0.02</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J</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金融业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K</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房地产业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L</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租赁和商务服务业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M</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科学研究和技术服务业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12,363.28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N</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水利、环境和公共设施管理业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11,540.12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O</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居民服务、修理和其他服务业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P</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教育</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Q</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卫生和社会工作</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R</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文化、体育和娱乐业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S</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综合</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合计</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139,911,016.90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93.05</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750D48" w:rsidRPr="00264E55" w:rsidTr="00191BDE">
        <w:tc>
          <w:tcPr>
            <w:tcW w:type="dxa" w:w="851"/>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股票代码</w:t>
            </w:r>
          </w:p>
        </w:tc>
        <w:tc>
          <w:tcPr>
            <w:tcW w:type="dxa" w:w="1418"/>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股票名称</w:t>
            </w:r>
          </w:p>
        </w:tc>
        <w:tc>
          <w:tcPr>
            <w:tcW w:type="dxa" w:w="1701"/>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type="dxa" w:w="1984"/>
            <w:vAlign w:val="center"/>
          </w:tcPr>
          <w:p w:rsidP="005F7917"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559"/>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000568</w:t>
            </w:r>
          </w:p>
        </w:tc>
        <w:tc>
          <w:tcPr>
            <w:vAlign w:val="center"/>
          </w:tcPr>
          <w:p>
            <w:pPr>
              <w:jc w:val="center"/>
            </w:pPr>
            <w:r>
              <w:rPr>
                <w:color w:val="000000"/>
                <w:kern w:val="0"/>
                <w:sz w:val="24"/>
                <w:szCs w:val="24"/>
              </w:rPr>
              <w:t>泸州老窖</w:t>
            </w:r>
          </w:p>
        </w:tc>
        <w:tc>
          <w:tcPr>
            <w:vAlign w:val="center"/>
          </w:tcPr>
          <w:p>
            <w:pPr>
              <w:jc w:val="right"/>
            </w:pPr>
            <w:r>
              <w:rPr>
                <w:color w:val="000000"/>
                <w:kern w:val="0"/>
                <w:sz w:val="24"/>
                <w:szCs w:val="24"/>
              </w:rPr>
              <w:t>103,014</w:t>
            </w:r>
          </w:p>
        </w:tc>
        <w:tc>
          <w:tcPr>
            <w:vAlign w:val="center"/>
          </w:tcPr>
          <w:p>
            <w:pPr>
              <w:jc w:val="right"/>
            </w:pPr>
            <w:r>
              <w:rPr>
                <w:color w:val="000000"/>
                <w:kern w:val="0"/>
                <w:sz w:val="24"/>
                <w:szCs w:val="24"/>
              </w:rPr>
              <w:t>14,787,659.70</w:t>
            </w:r>
          </w:p>
        </w:tc>
        <w:tc>
          <w:tcPr>
            <w:vAlign w:val="center"/>
          </w:tcPr>
          <w:p>
            <w:pPr>
              <w:jc w:val="right"/>
            </w:pPr>
            <w:r>
              <w:rPr>
                <w:color w:val="000000"/>
                <w:kern w:val="0"/>
                <w:sz w:val="24"/>
                <w:szCs w:val="24"/>
              </w:rPr>
              <w:t>9.83</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600519</w:t>
            </w:r>
          </w:p>
        </w:tc>
        <w:tc>
          <w:tcPr>
            <w:vAlign w:val="center"/>
          </w:tcPr>
          <w:p>
            <w:pPr>
              <w:jc w:val="center"/>
            </w:pPr>
            <w:r>
              <w:rPr>
                <w:color w:val="000000"/>
                <w:kern w:val="0"/>
                <w:sz w:val="24"/>
                <w:szCs w:val="24"/>
              </w:rPr>
              <w:t>贵州茅台</w:t>
            </w:r>
          </w:p>
        </w:tc>
        <w:tc>
          <w:tcPr>
            <w:vAlign w:val="center"/>
          </w:tcPr>
          <w:p>
            <w:pPr>
              <w:jc w:val="right"/>
            </w:pPr>
            <w:r>
              <w:rPr>
                <w:color w:val="000000"/>
                <w:kern w:val="0"/>
                <w:sz w:val="24"/>
                <w:szCs w:val="24"/>
              </w:rPr>
              <w:t>8,782</w:t>
            </w:r>
          </w:p>
        </w:tc>
        <w:tc>
          <w:tcPr>
            <w:vAlign w:val="center"/>
          </w:tcPr>
          <w:p>
            <w:pPr>
              <w:jc w:val="right"/>
            </w:pPr>
            <w:r>
              <w:rPr>
                <w:color w:val="000000"/>
                <w:kern w:val="0"/>
                <w:sz w:val="24"/>
                <w:szCs w:val="24"/>
              </w:rPr>
              <w:t>14,652,767.00</w:t>
            </w:r>
          </w:p>
        </w:tc>
        <w:tc>
          <w:tcPr>
            <w:vAlign w:val="center"/>
          </w:tcPr>
          <w:p>
            <w:pPr>
              <w:jc w:val="right"/>
            </w:pPr>
            <w:r>
              <w:rPr>
                <w:color w:val="000000"/>
                <w:kern w:val="0"/>
                <w:sz w:val="24"/>
                <w:szCs w:val="24"/>
              </w:rPr>
              <w:t>9.74</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000858</w:t>
            </w:r>
          </w:p>
        </w:tc>
        <w:tc>
          <w:tcPr>
            <w:vAlign w:val="center"/>
          </w:tcPr>
          <w:p>
            <w:pPr>
              <w:jc w:val="center"/>
            </w:pPr>
            <w:r>
              <w:rPr>
                <w:color w:val="000000"/>
                <w:kern w:val="0"/>
                <w:sz w:val="24"/>
                <w:szCs w:val="24"/>
              </w:rPr>
              <w:t>五粮液</w:t>
            </w:r>
          </w:p>
        </w:tc>
        <w:tc>
          <w:tcPr>
            <w:vAlign w:val="center"/>
          </w:tcPr>
          <w:p>
            <w:pPr>
              <w:jc w:val="right"/>
            </w:pPr>
            <w:r>
              <w:rPr>
                <w:color w:val="000000"/>
                <w:kern w:val="0"/>
                <w:sz w:val="24"/>
                <w:szCs w:val="24"/>
              </w:rPr>
              <w:t>65,358</w:t>
            </w:r>
          </w:p>
        </w:tc>
        <w:tc>
          <w:tcPr>
            <w:vAlign w:val="center"/>
          </w:tcPr>
          <w:p>
            <w:pPr>
              <w:jc w:val="right"/>
            </w:pPr>
            <w:r>
              <w:rPr>
                <w:color w:val="000000"/>
                <w:kern w:val="0"/>
                <w:sz w:val="24"/>
                <w:szCs w:val="24"/>
              </w:rPr>
              <w:t>14,444,118.00</w:t>
            </w:r>
          </w:p>
        </w:tc>
        <w:tc>
          <w:tcPr>
            <w:vAlign w:val="center"/>
          </w:tcPr>
          <w:p>
            <w:pPr>
              <w:jc w:val="right"/>
            </w:pPr>
            <w:r>
              <w:rPr>
                <w:color w:val="000000"/>
                <w:kern w:val="0"/>
                <w:sz w:val="24"/>
                <w:szCs w:val="24"/>
              </w:rPr>
              <w:t>9.61</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600886</w:t>
            </w:r>
          </w:p>
        </w:tc>
        <w:tc>
          <w:tcPr>
            <w:vAlign w:val="center"/>
          </w:tcPr>
          <w:p>
            <w:pPr>
              <w:jc w:val="center"/>
            </w:pPr>
            <w:r>
              <w:rPr>
                <w:color w:val="000000"/>
                <w:kern w:val="0"/>
                <w:sz w:val="24"/>
                <w:szCs w:val="24"/>
              </w:rPr>
              <w:t>国投电力</w:t>
            </w:r>
          </w:p>
        </w:tc>
        <w:tc>
          <w:tcPr>
            <w:vAlign w:val="center"/>
          </w:tcPr>
          <w:p>
            <w:pPr>
              <w:jc w:val="right"/>
            </w:pPr>
            <w:r>
              <w:rPr>
                <w:color w:val="000000"/>
                <w:kern w:val="0"/>
                <w:sz w:val="24"/>
                <w:szCs w:val="24"/>
              </w:rPr>
              <w:t>1,597,100</w:t>
            </w:r>
          </w:p>
        </w:tc>
        <w:tc>
          <w:tcPr>
            <w:vAlign w:val="center"/>
          </w:tcPr>
          <w:p>
            <w:pPr>
              <w:jc w:val="right"/>
            </w:pPr>
            <w:r>
              <w:rPr>
                <w:color w:val="000000"/>
                <w:kern w:val="0"/>
                <w:sz w:val="24"/>
                <w:szCs w:val="24"/>
              </w:rPr>
              <w:t>14,405,842.00</w:t>
            </w:r>
          </w:p>
        </w:tc>
        <w:tc>
          <w:tcPr>
            <w:vAlign w:val="center"/>
          </w:tcPr>
          <w:p>
            <w:pPr>
              <w:jc w:val="right"/>
            </w:pPr>
            <w:r>
              <w:rPr>
                <w:color w:val="000000"/>
                <w:kern w:val="0"/>
                <w:sz w:val="24"/>
                <w:szCs w:val="24"/>
              </w:rPr>
              <w:t>9.58</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000596</w:t>
            </w:r>
          </w:p>
        </w:tc>
        <w:tc>
          <w:tcPr>
            <w:vAlign w:val="center"/>
          </w:tcPr>
          <w:p>
            <w:pPr>
              <w:jc w:val="center"/>
            </w:pPr>
            <w:r>
              <w:rPr>
                <w:color w:val="000000"/>
                <w:kern w:val="0"/>
                <w:sz w:val="24"/>
                <w:szCs w:val="24"/>
              </w:rPr>
              <w:t>古井贡酒</w:t>
            </w:r>
          </w:p>
        </w:tc>
        <w:tc>
          <w:tcPr>
            <w:vAlign w:val="center"/>
          </w:tcPr>
          <w:p>
            <w:pPr>
              <w:jc w:val="right"/>
            </w:pPr>
            <w:r>
              <w:rPr>
                <w:color w:val="000000"/>
                <w:kern w:val="0"/>
                <w:sz w:val="24"/>
                <w:szCs w:val="24"/>
              </w:rPr>
              <w:t>50,203</w:t>
            </w:r>
          </w:p>
        </w:tc>
        <w:tc>
          <w:tcPr>
            <w:vAlign w:val="center"/>
          </w:tcPr>
          <w:p>
            <w:pPr>
              <w:jc w:val="right"/>
            </w:pPr>
            <w:r>
              <w:rPr>
                <w:color w:val="000000"/>
                <w:kern w:val="0"/>
                <w:sz w:val="24"/>
                <w:szCs w:val="24"/>
              </w:rPr>
              <w:t>10,883,006.34</w:t>
            </w:r>
          </w:p>
        </w:tc>
        <w:tc>
          <w:tcPr>
            <w:vAlign w:val="center"/>
          </w:tcPr>
          <w:p>
            <w:pPr>
              <w:jc w:val="right"/>
            </w:pPr>
            <w:r>
              <w:rPr>
                <w:color w:val="000000"/>
                <w:kern w:val="0"/>
                <w:sz w:val="24"/>
                <w:szCs w:val="24"/>
              </w:rPr>
              <w:t>7.24</w:t>
            </w:r>
          </w:p>
        </w:tc>
      </w:tr>
      <w:tr>
        <w:tc>
          <w:tcPr>
            <w:vAlign w:val="center"/>
          </w:tcPr>
          <w:p>
            <w:pPr>
              <w:jc w:val="center"/>
            </w:pPr>
            <w:r>
              <w:rPr>
                <w:color w:val="000000"/>
                <w:kern w:val="0"/>
                <w:sz w:val="24"/>
                <w:szCs w:val="24"/>
              </w:rPr>
              <w:t>6</w:t>
            </w:r>
          </w:p>
        </w:tc>
        <w:tc>
          <w:tcPr>
            <w:vAlign w:val="center"/>
          </w:tcPr>
          <w:p>
            <w:pPr>
              <w:jc w:val="center"/>
            </w:pPr>
            <w:r>
              <w:rPr>
                <w:color w:val="000000"/>
                <w:kern w:val="0"/>
                <w:sz w:val="24"/>
                <w:szCs w:val="24"/>
              </w:rPr>
              <w:t>002304</w:t>
            </w:r>
          </w:p>
        </w:tc>
        <w:tc>
          <w:tcPr>
            <w:vAlign w:val="center"/>
          </w:tcPr>
          <w:p>
            <w:pPr>
              <w:jc w:val="center"/>
            </w:pPr>
            <w:r>
              <w:rPr>
                <w:color w:val="000000"/>
                <w:kern w:val="0"/>
                <w:sz w:val="24"/>
                <w:szCs w:val="24"/>
              </w:rPr>
              <w:t>洋河股份</w:t>
            </w:r>
          </w:p>
        </w:tc>
        <w:tc>
          <w:tcPr>
            <w:vAlign w:val="center"/>
          </w:tcPr>
          <w:p>
            <w:pPr>
              <w:jc w:val="right"/>
            </w:pPr>
            <w:r>
              <w:rPr>
                <w:color w:val="000000"/>
                <w:kern w:val="0"/>
                <w:sz w:val="24"/>
                <w:szCs w:val="24"/>
              </w:rPr>
              <w:t>84,667</w:t>
            </w:r>
          </w:p>
        </w:tc>
        <w:tc>
          <w:tcPr>
            <w:vAlign w:val="center"/>
          </w:tcPr>
          <w:p>
            <w:pPr>
              <w:jc w:val="right"/>
            </w:pPr>
            <w:r>
              <w:rPr>
                <w:color w:val="000000"/>
                <w:kern w:val="0"/>
                <w:sz w:val="24"/>
                <w:szCs w:val="24"/>
              </w:rPr>
              <w:t>10,582,528.33</w:t>
            </w:r>
          </w:p>
        </w:tc>
        <w:tc>
          <w:tcPr>
            <w:vAlign w:val="center"/>
          </w:tcPr>
          <w:p>
            <w:pPr>
              <w:jc w:val="right"/>
            </w:pPr>
            <w:r>
              <w:rPr>
                <w:color w:val="000000"/>
                <w:kern w:val="0"/>
                <w:sz w:val="24"/>
                <w:szCs w:val="24"/>
              </w:rPr>
              <w:t>7.04</w:t>
            </w:r>
          </w:p>
        </w:tc>
      </w:tr>
      <w:tr>
        <w:tc>
          <w:tcPr>
            <w:vAlign w:val="center"/>
          </w:tcPr>
          <w:p>
            <w:pPr>
              <w:jc w:val="center"/>
            </w:pPr>
            <w:r>
              <w:rPr>
                <w:color w:val="000000"/>
                <w:kern w:val="0"/>
                <w:sz w:val="24"/>
                <w:szCs w:val="24"/>
              </w:rPr>
              <w:t>7</w:t>
            </w:r>
          </w:p>
        </w:tc>
        <w:tc>
          <w:tcPr>
            <w:vAlign w:val="center"/>
          </w:tcPr>
          <w:p>
            <w:pPr>
              <w:jc w:val="center"/>
            </w:pPr>
            <w:r>
              <w:rPr>
                <w:color w:val="000000"/>
                <w:kern w:val="0"/>
                <w:sz w:val="24"/>
                <w:szCs w:val="24"/>
              </w:rPr>
              <w:t>600276</w:t>
            </w:r>
          </w:p>
        </w:tc>
        <w:tc>
          <w:tcPr>
            <w:vAlign w:val="center"/>
          </w:tcPr>
          <w:p>
            <w:pPr>
              <w:jc w:val="center"/>
            </w:pPr>
            <w:r>
              <w:rPr>
                <w:color w:val="000000"/>
                <w:kern w:val="0"/>
                <w:sz w:val="24"/>
                <w:szCs w:val="24"/>
              </w:rPr>
              <w:t>恒瑞医药</w:t>
            </w:r>
          </w:p>
        </w:tc>
        <w:tc>
          <w:tcPr>
            <w:vAlign w:val="center"/>
          </w:tcPr>
          <w:p>
            <w:pPr>
              <w:jc w:val="right"/>
            </w:pPr>
            <w:r>
              <w:rPr>
                <w:color w:val="000000"/>
                <w:kern w:val="0"/>
                <w:sz w:val="24"/>
                <w:szCs w:val="24"/>
              </w:rPr>
              <w:t>116,383</w:t>
            </w:r>
          </w:p>
        </w:tc>
        <w:tc>
          <w:tcPr>
            <w:vAlign w:val="center"/>
          </w:tcPr>
          <w:p>
            <w:pPr>
              <w:jc w:val="right"/>
            </w:pPr>
            <w:r>
              <w:rPr>
                <w:color w:val="000000"/>
                <w:kern w:val="0"/>
                <w:sz w:val="24"/>
                <w:szCs w:val="24"/>
              </w:rPr>
              <w:t>10,453,521.06</w:t>
            </w:r>
          </w:p>
        </w:tc>
        <w:tc>
          <w:tcPr>
            <w:vAlign w:val="center"/>
          </w:tcPr>
          <w:p>
            <w:pPr>
              <w:jc w:val="right"/>
            </w:pPr>
            <w:r>
              <w:rPr>
                <w:color w:val="000000"/>
                <w:kern w:val="0"/>
                <w:sz w:val="24"/>
                <w:szCs w:val="24"/>
              </w:rPr>
              <w:t>6.95</w:t>
            </w:r>
          </w:p>
        </w:tc>
      </w:tr>
      <w:tr>
        <w:tc>
          <w:tcPr>
            <w:vAlign w:val="center"/>
          </w:tcPr>
          <w:p>
            <w:pPr>
              <w:jc w:val="center"/>
            </w:pPr>
            <w:r>
              <w:rPr>
                <w:color w:val="000000"/>
                <w:kern w:val="0"/>
                <w:sz w:val="24"/>
                <w:szCs w:val="24"/>
              </w:rPr>
              <w:t>8</w:t>
            </w:r>
          </w:p>
        </w:tc>
        <w:tc>
          <w:tcPr>
            <w:vAlign w:val="center"/>
          </w:tcPr>
          <w:p>
            <w:pPr>
              <w:jc w:val="center"/>
            </w:pPr>
            <w:r>
              <w:rPr>
                <w:color w:val="000000"/>
                <w:kern w:val="0"/>
                <w:sz w:val="24"/>
                <w:szCs w:val="24"/>
              </w:rPr>
              <w:t>000333</w:t>
            </w:r>
          </w:p>
        </w:tc>
        <w:tc>
          <w:tcPr>
            <w:vAlign w:val="center"/>
          </w:tcPr>
          <w:p>
            <w:pPr>
              <w:jc w:val="center"/>
            </w:pPr>
            <w:r>
              <w:rPr>
                <w:color w:val="000000"/>
                <w:kern w:val="0"/>
                <w:sz w:val="24"/>
                <w:szCs w:val="24"/>
              </w:rPr>
              <w:t>美的集团</w:t>
            </w:r>
          </w:p>
        </w:tc>
        <w:tc>
          <w:tcPr>
            <w:vAlign w:val="center"/>
          </w:tcPr>
          <w:p>
            <w:pPr>
              <w:jc w:val="right"/>
            </w:pPr>
            <w:r>
              <w:rPr>
                <w:color w:val="000000"/>
                <w:kern w:val="0"/>
                <w:sz w:val="24"/>
                <w:szCs w:val="24"/>
              </w:rPr>
              <w:t>138,200</w:t>
            </w:r>
          </w:p>
        </w:tc>
        <w:tc>
          <w:tcPr>
            <w:vAlign w:val="center"/>
          </w:tcPr>
          <w:p>
            <w:pPr>
              <w:jc w:val="right"/>
            </w:pPr>
            <w:r>
              <w:rPr>
                <w:color w:val="000000"/>
                <w:kern w:val="0"/>
                <w:sz w:val="24"/>
                <w:szCs w:val="24"/>
              </w:rPr>
              <w:t>10,033,320.00</w:t>
            </w:r>
          </w:p>
        </w:tc>
        <w:tc>
          <w:tcPr>
            <w:vAlign w:val="center"/>
          </w:tcPr>
          <w:p>
            <w:pPr>
              <w:jc w:val="right"/>
            </w:pPr>
            <w:r>
              <w:rPr>
                <w:color w:val="000000"/>
                <w:kern w:val="0"/>
                <w:sz w:val="24"/>
                <w:szCs w:val="24"/>
              </w:rPr>
              <w:t>6.67</w:t>
            </w:r>
          </w:p>
        </w:tc>
      </w:tr>
      <w:tr>
        <w:tc>
          <w:tcPr>
            <w:vAlign w:val="center"/>
          </w:tcPr>
          <w:p>
            <w:pPr>
              <w:jc w:val="center"/>
            </w:pPr>
            <w:r>
              <w:rPr>
                <w:color w:val="000000"/>
                <w:kern w:val="0"/>
                <w:sz w:val="24"/>
                <w:szCs w:val="24"/>
              </w:rPr>
              <w:t>9</w:t>
            </w:r>
          </w:p>
        </w:tc>
        <w:tc>
          <w:tcPr>
            <w:vAlign w:val="center"/>
          </w:tcPr>
          <w:p>
            <w:pPr>
              <w:jc w:val="center"/>
            </w:pPr>
            <w:r>
              <w:rPr>
                <w:color w:val="000000"/>
                <w:kern w:val="0"/>
                <w:sz w:val="24"/>
                <w:szCs w:val="24"/>
              </w:rPr>
              <w:t>603369</w:t>
            </w:r>
          </w:p>
        </w:tc>
        <w:tc>
          <w:tcPr>
            <w:vAlign w:val="center"/>
          </w:tcPr>
          <w:p>
            <w:pPr>
              <w:jc w:val="center"/>
            </w:pPr>
            <w:r>
              <w:rPr>
                <w:color w:val="000000"/>
                <w:kern w:val="0"/>
                <w:sz w:val="24"/>
                <w:szCs w:val="24"/>
              </w:rPr>
              <w:t>今世缘</w:t>
            </w:r>
          </w:p>
        </w:tc>
        <w:tc>
          <w:tcPr>
            <w:vAlign w:val="center"/>
          </w:tcPr>
          <w:p>
            <w:pPr>
              <w:jc w:val="right"/>
            </w:pPr>
            <w:r>
              <w:rPr>
                <w:color w:val="000000"/>
                <w:kern w:val="0"/>
                <w:sz w:val="24"/>
                <w:szCs w:val="24"/>
              </w:rPr>
              <w:t>170,958</w:t>
            </w:r>
          </w:p>
        </w:tc>
        <w:tc>
          <w:tcPr>
            <w:vAlign w:val="center"/>
          </w:tcPr>
          <w:p>
            <w:pPr>
              <w:jc w:val="right"/>
            </w:pPr>
            <w:r>
              <w:rPr>
                <w:color w:val="000000"/>
                <w:kern w:val="0"/>
                <w:sz w:val="24"/>
                <w:szCs w:val="24"/>
              </w:rPr>
              <w:t>7,593,954.36</w:t>
            </w:r>
          </w:p>
        </w:tc>
        <w:tc>
          <w:tcPr>
            <w:vAlign w:val="center"/>
          </w:tcPr>
          <w:p>
            <w:pPr>
              <w:jc w:val="right"/>
            </w:pPr>
            <w:r>
              <w:rPr>
                <w:color w:val="000000"/>
                <w:kern w:val="0"/>
                <w:sz w:val="24"/>
                <w:szCs w:val="24"/>
              </w:rPr>
              <w:t>5.05</w:t>
            </w:r>
          </w:p>
        </w:tc>
      </w:tr>
      <w:tr>
        <w:tc>
          <w:tcPr>
            <w:vAlign w:val="center"/>
          </w:tcPr>
          <w:p>
            <w:pPr>
              <w:jc w:val="center"/>
            </w:pPr>
            <w:r>
              <w:rPr>
                <w:color w:val="000000"/>
                <w:kern w:val="0"/>
                <w:sz w:val="24"/>
                <w:szCs w:val="24"/>
              </w:rPr>
              <w:t>10</w:t>
            </w:r>
          </w:p>
        </w:tc>
        <w:tc>
          <w:tcPr>
            <w:vAlign w:val="center"/>
          </w:tcPr>
          <w:p>
            <w:pPr>
              <w:jc w:val="center"/>
            </w:pPr>
            <w:r>
              <w:rPr>
                <w:color w:val="000000"/>
                <w:kern w:val="0"/>
                <w:sz w:val="24"/>
                <w:szCs w:val="24"/>
              </w:rPr>
              <w:t>000651</w:t>
            </w:r>
          </w:p>
        </w:tc>
        <w:tc>
          <w:tcPr>
            <w:vAlign w:val="center"/>
          </w:tcPr>
          <w:p>
            <w:pPr>
              <w:jc w:val="center"/>
            </w:pPr>
            <w:r>
              <w:rPr>
                <w:color w:val="000000"/>
                <w:kern w:val="0"/>
                <w:sz w:val="24"/>
                <w:szCs w:val="24"/>
              </w:rPr>
              <w:t>格力电器</w:t>
            </w:r>
          </w:p>
        </w:tc>
        <w:tc>
          <w:tcPr>
            <w:vAlign w:val="center"/>
          </w:tcPr>
          <w:p>
            <w:pPr>
              <w:jc w:val="right"/>
            </w:pPr>
            <w:r>
              <w:rPr>
                <w:color w:val="000000"/>
                <w:kern w:val="0"/>
                <w:sz w:val="24"/>
                <w:szCs w:val="24"/>
              </w:rPr>
              <w:t>124,424</w:t>
            </w:r>
          </w:p>
        </w:tc>
        <w:tc>
          <w:tcPr>
            <w:vAlign w:val="center"/>
          </w:tcPr>
          <w:p>
            <w:pPr>
              <w:jc w:val="right"/>
            </w:pPr>
            <w:r>
              <w:rPr>
                <w:color w:val="000000"/>
                <w:kern w:val="0"/>
                <w:sz w:val="24"/>
                <w:szCs w:val="24"/>
              </w:rPr>
              <w:t>6,631,799.20</w:t>
            </w:r>
          </w:p>
        </w:tc>
        <w:tc>
          <w:tcPr>
            <w:vAlign w:val="center"/>
          </w:tcPr>
          <w:p>
            <w:pPr>
              <w:jc w:val="right"/>
            </w:pPr>
            <w:r>
              <w:rPr>
                <w:color w:val="000000"/>
                <w:kern w:val="0"/>
                <w:sz w:val="24"/>
                <w:szCs w:val="24"/>
              </w:rPr>
              <w:t>4.41</w:t>
            </w:r>
          </w:p>
        </w:tc>
      </w:tr>
    </w:tbl>
    <w:p w:rsidP="00CA4677" w:rsidR="00CA4677" w:rsidRDefault="00750D48" w:rsidRPr="00283CAD">
      <w:pPr>
        <w:autoSpaceDE w:val="0"/>
        <w:autoSpaceDN w:val="0"/>
        <w:adjustRightInd w:val="0"/>
        <w:spacing w:line="360" w:lineRule="auto"/>
        <w:jc w:val="left"/>
        <w:rPr>
          <w:rFonts w:eastAsiaTheme="minorEastAsia"/>
          <w:b/>
          <w:bCs/>
          <w:color w:themeColor="text1" w:val="000000"/>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p w:rsidP="00403A06" w:rsidR="00750D48" w:rsidRDefault="00CA4677"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w:t>
      </w:r>
      <w:r w:rsidRPr="00264E55">
        <w:rPr>
          <w:rFonts w:ascii="宋体" w:hAnsi="宋体" w:hint="eastAsia"/>
          <w:b/>
          <w:bCs/>
          <w:color w:val="000000"/>
          <w:kern w:val="0"/>
          <w:sz w:val="24"/>
          <w:szCs w:val="24"/>
        </w:rPr>
        <w:lastRenderedPageBreak/>
        <w:t>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本基金本报告期末未持有资产支持证券。</w:t>
      </w:r>
    </w:p>
    <w:p w:rsidP="001D63BB" w:rsidR="00750D48" w:rsidRDefault="00750D48" w:rsidRPr="001D63BB">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r w:rsidRPr="001B0A62">
        <w:rPr>
          <w:rFonts w:ascii="宋体" w:hAnsi="宋体"/>
          <w:b/>
          <w:bCs/>
          <w:color w:val="000000"/>
          <w:kern w:val="0"/>
          <w:sz w:val="24"/>
          <w:szCs w:val="24"/>
        </w:rPr>
        <w:t>5</w:t>
      </w:r>
      <w:proofErr w:type="gramStart"/>
      <w:r w:rsidRPr="001B0A62">
        <w:rPr>
          <w:rFonts w:ascii="宋体" w:hAnsi="宋体"/>
          <w:b/>
          <w:bCs/>
          <w:color w:val="000000"/>
          <w:kern w:val="0"/>
          <w:sz w:val="24"/>
          <w:szCs w:val="24"/>
        </w:rPr>
        <w:t>.</w:t>
      </w:r>
      <w:proofErr w:type="gramEnd"/>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7</w:t>
      </w:r>
      <w:r w:rsidR="00C84CB0">
        <w:rPr>
          <w:rFonts w:ascii="宋体" w:hint="eastAsia"/>
          <w:b/>
          <w:bCs/>
          <w:color w:val="000000"/>
          <w:kern w:val="0"/>
          <w:sz w:val="24"/>
          <w:szCs w:val="24"/>
        </w:rPr>
        <w:t xml:space="preserve"> </w:t>
      </w:r>
      <w:r w:rsidRPr="001D63BB">
        <w:rPr>
          <w:rFonts w:ascii="宋体" w:hAnsi="宋体" w:hint="eastAsia"/>
          <w:b/>
          <w:bCs/>
          <w:color w:val="000000"/>
          <w:kern w:val="0"/>
          <w:sz w:val="24"/>
          <w:szCs w:val="24"/>
        </w:rPr>
        <w:t>报告期末按公允价值占基金资产净值比例大小排序的前五名贵金属投资明细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本基金本报告期末未持有贵金属。</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Pr>
          <w:rFonts w:ascii="宋体"/>
          <w:b/>
          <w:bCs/>
          <w:color w:val="000000"/>
          <w:kern w:val="0"/>
          <w:sz w:val="24"/>
          <w:szCs w:val="24"/>
        </w:rPr>
        <w:t/>
      </w:r>
      <w:proofErr w:type="gramStart"/>
      <w:r>
        <w:rPr>
          <w:rFonts w:ascii="宋体" w:hAnsi="宋体"/>
          <w:b/>
          <w:bCs/>
          <w:color w:val="000000"/>
          <w:kern w:val="0"/>
          <w:sz w:val="24"/>
          <w:szCs w:val="24"/>
        </w:rPr>
        <w:t/>
      </w:r>
      <w:proofErr w:type="gramEnd"/>
      <w:r w:rsidRPr="001B0A62">
        <w:rPr>
          <w:rFonts w:ascii="宋体"/>
          <w:b/>
          <w:bCs/>
          <w:color w:val="000000"/>
          <w:kern w:val="0"/>
          <w:sz w:val="24"/>
          <w:szCs w:val="24"/>
        </w:rPr>
        <w:t>5.</w:t>
      </w:r>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8</w:t>
      </w:r>
      <w:r w:rsidR="00C84CB0">
        <w:rPr>
          <w:rFonts w:ascii="宋体" w:hint="eastAsia"/>
          <w:b/>
          <w:bCs/>
          <w:color w:val="000000"/>
          <w:kern w:val="0"/>
          <w:sz w:val="24"/>
          <w:szCs w:val="24"/>
        </w:rPr>
        <w:t xml:space="preserve">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w:t>
      </w:r>
      <w:r w:rsidRPr="00264E55">
        <w:rPr>
          <w:rFonts w:ascii="宋体" w:hAnsi="宋体" w:hint="eastAsia"/>
          <w:b/>
          <w:bCs/>
          <w:color w:val="000000"/>
          <w:kern w:val="0"/>
          <w:sz w:val="24"/>
          <w:szCs w:val="24"/>
        </w:rPr>
        <w:lastRenderedPageBreak/>
        <w:t>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本基金本报告期末未持有权证。</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w:t>
      </w:r>
      <w:r>
        <w:rPr>
          <w:rFonts w:ascii="宋体"/>
          <w:b/>
          <w:bCs/>
          <w:color w:val="000000"/>
          <w:kern w:val="0"/>
          <w:sz w:val="24"/>
          <w:szCs w:val="24"/>
        </w:rPr>
        <w:t>.</w:t>
      </w:r>
      <w:r>
        <w:rPr>
          <w:rFonts w:ascii="宋体" w:hAnsi="宋体"/>
          <w:b/>
          <w:bCs/>
          <w:color w:val="000000"/>
          <w:kern w:val="0"/>
          <w:sz w:val="24"/>
          <w:szCs w:val="24"/>
        </w:rPr>
        <w:t/>
      </w:r>
      <w:r w:rsidRPr="001B0A62">
        <w:rPr>
          <w:rFonts w:ascii="宋体"/>
          <w:b/>
          <w:bCs/>
          <w:color w:val="000000"/>
          <w:kern w:val="0"/>
          <w:sz w:val="24"/>
          <w:szCs w:val="24"/>
        </w:rPr>
        <w:t>9</w:t>
      </w:r>
      <w:r w:rsidR="00C84CB0">
        <w:rPr>
          <w:rFonts w:asci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报告期末本基金投资的股指期货交易情况说明</w:t>
      </w:r>
    </w:p>
    <w:p w:rsidP="00277FAE" w:rsidR="00277FAE" w:rsidRDefault="00277FAE">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5.10</w:t>
      </w:r>
      <w:r w:rsidR="00C84CB0">
        <w:rPr>
          <w:rFonts w:ascii="宋体" w:hAns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报告期末本基金投资的国债期货交易情况说明</w:t>
      </w:r>
    </w:p>
    <w:p w:rsidP="00277FAE" w:rsidR="00277FAE" w:rsidRDefault="00277FAE">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proofErr w:type="gramStart"/>
      <w:r w:rsidRPr="00264E55">
        <w:rPr>
          <w:rFonts w:ascii="宋体" w:hAnsi="宋体"/>
          <w:b/>
          <w:bCs/>
          <w:color w:val="000000"/>
          <w:kern w:val="0"/>
          <w:sz w:val="24"/>
          <w:szCs w:val="24"/>
        </w:rPr>
        <w:t/>
      </w:r>
      <w:proofErr w:type="gramEnd"/>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P="001B0A62" w:rsidR="00750D48" w:rsidRDefault="002C5960" w:rsidRPr="00264E55">
      <w:pPr>
        <w:spacing w:line="360" w:lineRule="auto"/>
        <w:rPr>
          <w:rFonts w:ascii="宋体" w:hAnsi="宋体"/>
          <w:color w:val="000000"/>
          <w:sz w:val="24"/>
          <w:szCs w:val="24"/>
        </w:rPr>
      </w:pPr>
      <w:r>
        <w:rPr>
          <w:rFonts w:hint="eastAsia"/>
          <w:color w:val="000000"/>
          <w:sz w:val="24"/>
        </w:rPr>
        <w:t/>
      </w:r>
      <w:r w:rsidR="00750D48" w:rsidRPr="00264E55">
        <w:rPr>
          <w:rFonts w:ascii="宋体"/>
          <w:color w:val="000000"/>
          <w:sz w:val="24"/>
          <w:szCs w:val="24"/>
        </w:rPr>
        <w:t/>
      </w:r>
      <w:r w:rsidR="00750D48" w:rsidRPr="00264E55">
        <w:rPr>
          <w:rFonts w:ascii="宋体" w:hAnsi="宋体"/>
          <w:color w:val="000000"/>
          <w:sz w:val="24"/>
          <w:szCs w:val="24"/>
        </w:rPr>
        <w:t>5.11.1</w:t>
      </w:r>
      <w:r w:rsidR="00065E3C">
        <w:rPr>
          <w:rFonts w:ascii="宋体" w:hAnsi="宋体" w:hint="eastAsia"/>
          <w:color w:val="000000"/>
          <w:sz w:val="24"/>
          <w:szCs w:val="24"/>
        </w:rPr>
        <w:t xml:space="preserve"> </w:t>
      </w:r>
      <w:r w:rsidR="00750D48" w:rsidRPr="00264E55">
        <w:rPr>
          <w:rFonts w:ascii="宋体" w:hAnsi="宋体"/>
          <w:color w:val="000000"/>
          <w:sz w:val="24"/>
          <w:szCs w:val="24"/>
        </w:rPr>
        <w:t>2019年11月18日，珠海市交通运输局对珠海格力电器股份有限公司违反《超限运输车辆行驶公路管理规定》第四十三条的行为作出“罚款4000元”的行政处罚决定。2019年12月4日，珠海市交通运输局对珠海格力电器股份有限公司违反《超限运输车辆行驶公路管理规定》第四十三条的行为作出“罚款4000元”的行政处罚决定。</w:t>
      </w:r>
    </w:p>
    <w:p>
      <w:pPr>
        <w:spacing w:line="360" w:lineRule="auto"/>
        <w:rPr>
          <w:rFonts w:ascii="宋体" w:hAnsi="宋体"/>
          <w:color w:val="000000"/>
          <w:sz w:val="24"/>
          <w:szCs w:val="24"/>
        </w:rPr>
      </w:pPr>
      <w:r>
        <w:rPr>
          <w:rFonts w:ascii="宋体" w:hAnsi="宋体"/>
          <w:color w:val="000000"/>
          <w:sz w:val="24"/>
          <w:szCs w:val="24"/>
        </w:rPr>
        <w:t>本基金投资格力电器的投资决策程序符合公司投资制度的规定。</w:t>
      </w:r>
    </w:p>
    <w:p>
      <w:pPr>
        <w:spacing w:line="360" w:lineRule="auto"/>
        <w:rPr>
          <w:rFonts w:ascii="宋体" w:hAnsi="宋体"/>
          <w:color w:val="000000"/>
          <w:sz w:val="24"/>
          <w:szCs w:val="24"/>
        </w:rPr>
      </w:pPr>
      <w:r>
        <w:rPr>
          <w:rFonts w:ascii="宋体" w:hAnsi="宋体"/>
          <w:color w:val="000000"/>
          <w:sz w:val="24"/>
          <w:szCs w:val="24"/>
        </w:rPr>
        <w:t>除格力电器外，本基金投资的前十名证券的发行主体本期没有出现被监管部门立案调查，或在报告编制日前一年内受到公开谴责、处罚的情形。</w:t>
      </w:r>
    </w:p>
    <w:p w:rsidP="001B0A62" w:rsidR="00750D48" w:rsidRDefault="002C5960" w:rsidRPr="00264E55">
      <w:pPr>
        <w:spacing w:line="360" w:lineRule="auto"/>
        <w:rPr>
          <w:rFonts w:ascii="宋体" w:hAnsi="宋体"/>
          <w:color w:val="000000"/>
          <w:sz w:val="24"/>
          <w:szCs w:val="24"/>
        </w:rPr>
      </w:pPr>
      <w:r w:rsidRPr="00773B02">
        <w:rPr>
          <w:rFonts w:asciiTheme="majorEastAsia" w:eastAsiaTheme="majorEastAsia" w:hAnsiTheme="majorEastAsia" w:hint="eastAsia"/>
          <w:color w:val="000000"/>
          <w:sz w:val="24"/>
        </w:rPr>
        <w:t/>
      </w:r>
      <w:proofErr w:type="spellStart"/>
      <w:r w:rsidRPr="00773B02">
        <w:rPr>
          <w:rFonts w:asciiTheme="majorEastAsia" w:eastAsiaTheme="majorEastAsia" w:hAnsiTheme="majorEastAsia" w:hint="eastAsia"/>
          <w:color w:val="000000"/>
          <w:sz w:val="24"/>
        </w:rPr>
        <w:t/>
      </w:r>
      <w:proofErr w:type="spellEnd"/>
      <w:r w:rsidRPr="00773B02">
        <w:rPr>
          <w:rFonts w:asciiTheme="majorEastAsia" w:eastAsiaTheme="majorEastAsia" w:hAnsiTheme="majorEastAsia" w:hint="eastAsia"/>
          <w:color w:val="000000"/>
          <w:sz w:val="24"/>
        </w:rPr>
        <w:t/>
      </w:r>
      <w:r w:rsidR="00750D48" w:rsidRPr="00773B02">
        <w:rPr>
          <w:rFonts w:asciiTheme="majorEastAsia" w:eastAsiaTheme="majorEastAsia" w:hAnsiTheme="majorEastAsia"/>
          <w:color w:val="000000"/>
          <w:sz w:val="24"/>
          <w:szCs w:val="24"/>
        </w:rPr>
        <w:t/>
      </w:r>
      <w:proofErr w:type="gramStart"/>
      <w:r w:rsidR="00750D48" w:rsidRPr="00773B02">
        <w:rPr>
          <w:rFonts w:asciiTheme="majorEastAsia" w:eastAsiaTheme="majorEastAsia" w:hAnsiTheme="majorEastAsia"/>
          <w:color w:val="000000"/>
          <w:sz w:val="24"/>
          <w:szCs w:val="24"/>
        </w:rPr>
        <w:t/>
      </w:r>
      <w:proofErr w:type="gramEnd"/>
      <w:r w:rsidR="00750D48" w:rsidRPr="00773B02">
        <w:rPr>
          <w:rFonts w:asciiTheme="majorEastAsia" w:eastAsiaTheme="majorEastAsia" w:hAnsiTheme="majorEastAsia"/>
          <w:color w:val="000000"/>
          <w:sz w:val="24"/>
          <w:szCs w:val="24"/>
        </w:rPr>
        <w:t>5.11.2</w:t>
      </w:r>
      <w:r w:rsidR="00065E3C" w:rsidRPr="00773B02">
        <w:rPr>
          <w:rFonts w:asciiTheme="majorEastAsia" w:eastAsiaTheme="majorEastAsia" w:hAnsiTheme="majorEastAsia" w:hint="eastAsia"/>
          <w:color w:val="000000"/>
          <w:sz w:val="24"/>
          <w:szCs w:val="24"/>
        </w:rPr>
        <w:t xml:space="preserve"> </w:t>
      </w:r>
      <w:r w:rsidR="00750D48" w:rsidRPr="00264E55">
        <w:rPr>
          <w:rFonts w:ascii="宋体" w:hAnsi="宋体"/>
          <w:color w:val="000000"/>
          <w:sz w:val="24"/>
          <w:szCs w:val="24"/>
        </w:rPr>
        <w:lastRenderedPageBreak/>
        <w:t>本基金投资的前十名股票没有超出基金合同规定的备选股票库。</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 xml:space="preserve">5.11.3 </w:t>
      </w:r>
      <w:r w:rsidR="00B371D4">
        <w:rPr>
          <w:rFonts w:ascii="宋体" w:hAnsi="宋体" w:hint="eastAsia"/>
          <w:bCs/>
          <w:color w:val="000000"/>
          <w:kern w:val="0"/>
          <w:sz w:val="24"/>
          <w:szCs w:val="24"/>
        </w:rPr>
        <w:t>其他</w:t>
      </w:r>
      <w:r w:rsidRPr="001C7E00">
        <w:rPr>
          <w:rFonts w:ascii="宋体" w:hAnsi="宋体" w:hint="eastAsia"/>
          <w:bCs/>
          <w:color w:val="000000"/>
          <w:kern w:val="0"/>
          <w:sz w:val="24"/>
          <w:szCs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470"/>
        <w:gridCol w:w="4808"/>
      </w:tblGrid>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type="dxa" w:w="2470"/>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type="dxa" w:w="4808"/>
            <w:vAlign w:val="center"/>
          </w:tcPr>
          <w:p w:rsidP="005F7917"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18,907.96</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322,100.41</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1,309.96</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700,731.15</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1,043,049.48</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本基金本报告期末未持有处于转股期的可转换债券。</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本基金本报告期末前十名股票中不存在流通受限情况。</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P="004061AC" w:rsidR="00750D48" w:rsidRDefault="00750D48" w:rsidRPr="00264E55">
      <w:pPr>
        <w:autoSpaceDE w:val="0"/>
        <w:autoSpaceDN w:val="0"/>
        <w:adjustRightInd w:val="0"/>
        <w:spacing w:before="29" w:line="360" w:lineRule="auto"/>
        <w:ind w:left="15"/>
        <w:jc w:val="right"/>
        <w:rPr>
          <w:rFonts w:ascii="宋体"/>
          <w:color w:val="000000"/>
          <w:kern w:val="0"/>
          <w:sz w:val="24"/>
          <w:szCs w:val="24"/>
        </w:rPr>
      </w:pPr>
      <w:r w:rsidRPr="00264E55">
        <w:rPr>
          <w:rFonts w:ascii="宋体" w:cs="宋体" w:hAnsi="宋体" w:hint="eastAsia"/>
          <w:color w:val="000000"/>
          <w:kern w:val="0"/>
          <w:sz w:val="24"/>
          <w:szCs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609"/>
        <w:gridCol w:w="4025"/>
      </w:tblGrid>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55,897,486.45</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基金总申购份额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59,537,647.99</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w:t>
            </w: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基金总赎回份额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39,889,888.54</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lastRenderedPageBreak/>
              <w:t>报告期期末基金份额总额</w:t>
            </w:r>
          </w:p>
        </w:tc>
        <w:tc>
          <w:tcPr>
            <w:tcW w:type="dxa" w:w="4025"/>
            <w:vAlign w:val="center"/>
          </w:tcPr>
          <w:p w:rsidP="000A2B53"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75,545,245.90</w:t>
            </w:r>
          </w:p>
        </w:tc>
      </w:tr>
    </w:tbl>
    <w:p w:rsidP="004D28A3" w:rsidR="00750D48" w:rsidRDefault="00750D4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EB374A" w:rsidR="00750D48" w:rsidRDefault="00750D48">
      <w:pPr>
        <w:spacing w:line="360" w:lineRule="auto"/>
        <w:jc w:val="left"/>
        <w:rPr>
          <w:sz w:val="24"/>
          <w:szCs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232B03" w:rsidR="00750D48" w:rsidRDefault="00AC11B0"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本报告期内基金管理人未持有本基金份额。</w:t>
      </w:r>
    </w:p>
    <w:p w:rsidP="00EB374A" w:rsidR="00750D48" w:rsidRDefault="00750D4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6C56AA"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本报告期内基金管理人未运用固有资金申购、赎回、买卖本基金份额。</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pPr>
        <w:spacing w:line="360" w:lineRule="auto"/>
        <w:ind w:firstLine="480" w:firstLineChars="200"/>
        <w:rPr>
          <w:color w:val="000000"/>
          <w:sz w:val="24"/>
          <w:szCs w:val="24"/>
        </w:rPr>
      </w:pPr>
      <w:r>
        <w:rPr>
          <w:color w:val="000000"/>
          <w:sz w:val="24"/>
          <w:szCs w:val="24"/>
        </w:rPr>
        <w:t>1.中国证监会准予易方达国企改革混合型证券投资基金注册的文件；</w:t>
      </w:r>
    </w:p>
    <w:p>
      <w:pPr>
        <w:spacing w:line="360" w:lineRule="auto"/>
        <w:ind w:firstLine="480" w:firstLineChars="200"/>
        <w:rPr>
          <w:color w:val="000000"/>
          <w:sz w:val="24"/>
          <w:szCs w:val="24"/>
        </w:rPr>
      </w:pPr>
      <w:r>
        <w:rPr>
          <w:color w:val="000000"/>
          <w:sz w:val="24"/>
          <w:szCs w:val="24"/>
        </w:rPr>
        <w:t>2.《易方达国企改革混合型证券投资基金基金合同》；</w:t>
      </w:r>
    </w:p>
    <w:p>
      <w:pPr>
        <w:spacing w:line="360" w:lineRule="auto"/>
        <w:ind w:firstLine="480" w:firstLineChars="200"/>
        <w:rPr>
          <w:color w:val="000000"/>
          <w:sz w:val="24"/>
          <w:szCs w:val="24"/>
        </w:rPr>
      </w:pPr>
      <w:r>
        <w:rPr>
          <w:color w:val="000000"/>
          <w:sz w:val="24"/>
          <w:szCs w:val="24"/>
        </w:rPr>
        <w:t>3.《易方达国企改革混合型证券投资基金托管协议》；</w:t>
      </w:r>
    </w:p>
    <w:p>
      <w:pPr>
        <w:spacing w:line="360" w:lineRule="auto"/>
        <w:ind w:firstLine="480" w:firstLineChars="200"/>
        <w:rPr>
          <w:color w:val="000000"/>
          <w:sz w:val="24"/>
          <w:szCs w:val="24"/>
        </w:rPr>
      </w:pPr>
      <w:r>
        <w:rPr>
          <w:color w:val="000000"/>
          <w:sz w:val="24"/>
          <w:szCs w:val="24"/>
        </w:rPr>
        <w:t>4.《易方达基金管理有限公司开放式基金业务规则》；</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5.基金管理人业务资格批件、营业执照。</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lastRenderedPageBreak/>
        <w:t/>
      </w:r>
      <w:proofErr w:type="spellStart"/>
      <w:r w:rsidRPr="006C56AA">
        <w:rPr>
          <w:color w:val="000000"/>
          <w:sz w:val="24"/>
          <w:szCs w:val="24"/>
        </w:rPr>
        <w:t/>
      </w:r>
      <w:proofErr w:type="spellEnd"/>
      <w:r w:rsidRPr="006C56AA">
        <w:rPr>
          <w:color w:val="000000"/>
          <w:sz w:val="24"/>
          <w:szCs w:val="24"/>
        </w:rPr>
        <w:t>广州市天河区珠江新城珠江东路30号广州银行大厦40-43楼。</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投资者可在营业时间免费查阅，也可按工本费购买复印件。</w:t>
      </w: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C71497" w:rsidR="00750D48" w:rsidRDefault="00750D48" w:rsidRPr="00264E55">
      <w:pPr>
        <w:spacing w:line="360" w:lineRule="auto"/>
        <w:jc w:val="right"/>
        <w:rPr>
          <w:rFonts w:ascii="宋体" w:hAnsi="宋体"/>
          <w:b/>
          <w:bCs/>
          <w:sz w:val="24"/>
          <w:szCs w:val="24"/>
        </w:rPr>
      </w:pPr>
      <w:r w:rsidRPr="00264E55">
        <w:rPr>
          <w:rFonts w:asci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易方达基金管理有限公司</w:t>
      </w:r>
    </w:p>
    <w:p w:rsidP="00191817" w:rsidR="00750D48" w:rsidRDefault="00750D48" w:rsidRPr="00191817">
      <w:pPr>
        <w:spacing w:line="360" w:lineRule="auto"/>
        <w:jc w:val="right"/>
        <w:rPr>
          <w:rFonts w:ascii="宋体" w:hAnsi="宋体"/>
          <w:b/>
          <w:bCs/>
          <w:sz w:val="24"/>
          <w:szCs w:val="24"/>
        </w:rPr>
      </w:pPr>
      <w:r w:rsidRPr="00264E55">
        <w:rPr>
          <w:rFonts w:ascii="宋体" w:hAns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二〇二〇年十月二十八日</w:t>
      </w:r>
    </w:p>
    <w:sectPr w:rsidR="00750D48" w:rsidRPr="00191817" w:rsidSect="00304A12">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00" w:rsidRDefault="008E0E00" w:rsidP="00876D65">
      <w:r>
        <w:separator/>
      </w:r>
    </w:p>
  </w:endnote>
  <w:endnote w:type="continuationSeparator" w:id="0">
    <w:p w:rsidR="008E0E00" w:rsidRDefault="008E0E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EF56B5"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1</w:t>
    </w:r>
    <w:r>
      <w:rPr>
        <w:rStyle w:val="a7"/>
      </w:rPr>
      <w:fldChar w:fldCharType="end"/>
    </w:r>
    <w:proofErr w:type="gramStart"/>
    <w:r>
      <w:rPr>
        <w:rStyle w:val="a7"/>
        <w:rFonts w:hint="eastAsia"/>
      </w:rPr>
      <w:t>页共</w:t>
    </w:r>
    <w:proofErr w:type="gramEnd"/>
    <w:r w:rsidR="00764C38">
      <w:fldChar w:fldCharType="begin"/>
    </w:r>
    <w:r w:rsidR="00764C38">
      <w:instrText xml:space="preserve"> NUMPAGES  \* Arabic  \* MERGEFORMAT </w:instrText>
    </w:r>
    <w:r w:rsidR="00764C38">
      <w:fldChar w:fldCharType="separate"/>
    </w:r>
    <w:r w:rsidR="000D33A8" w:rsidRPr="000D33A8">
      <w:rPr>
        <w:rStyle w:val="a7"/>
        <w:noProof/>
      </w:rPr>
      <w:t>28</w:t>
    </w:r>
    <w:r w:rsidR="00764C38">
      <w:rPr>
        <w:rStyle w:val="a7"/>
        <w:noProof/>
      </w:rPr>
      <w:fldChar w:fldCharType="end"/>
    </w:r>
    <w:r>
      <w:rPr>
        <w:rStyle w:val="a7"/>
        <w:rFonts w:hint="eastAsia"/>
      </w:rPr>
      <w:t>页</w:t>
    </w:r>
  </w:p>
  <w:p w:rsidP="00EF56B5" w:rsidR="003328D9" w:rsidRDefault="003328D9" w:rsidRPr="00EF56B5">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6</w:t>
    </w:r>
    <w:r>
      <w:rPr>
        <w:rStyle w:val="a7"/>
      </w:rPr>
      <w:fldChar w:fldCharType="end"/>
    </w:r>
    <w:proofErr w:type="gramStart"/>
    <w:r>
      <w:rPr>
        <w:rStyle w:val="a7"/>
        <w:rFonts w:hint="eastAsia"/>
      </w:rPr>
      <w:t>页共</w:t>
    </w:r>
    <w:proofErr w:type="gramEnd"/>
    <w:fldSimple w:instr=" NUMPAGES  \* Arabic  \* MERGEFORMAT ">
      <w:r w:rsidR="000D33A8" w:rsidRPr="000D33A8">
        <w:rPr>
          <w:rStyle w:val="a7"/>
          <w:noProof/>
        </w:rPr>
        <w:t>28</w:t>
      </w:r>
    </w:fldSimple>
    <w:r>
      <w:rPr>
        <w:rStyle w:val="a7"/>
        <w:rFonts w:hint="eastAsia"/>
      </w:rPr>
      <w:t>页</w:t>
    </w:r>
  </w:p>
  <w:p w:rsidR="003328D9" w:rsidRDefault="003328D9">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P="00876D65" w:rsidR="008E0E00" w:rsidRDefault="008E0E00">
      <w:r>
        <w:separator/>
      </w:r>
    </w:p>
  </w:footnote>
  <w:footnote w:id="0" w:type="continuationSeparator">
    <w:p w:rsidP="00876D65" w:rsidR="008E0E00" w:rsidRDefault="008E0E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090A26" w:rsidR="003328D9" w:rsidRDefault="003328D9" w:rsidRPr="00093704">
    <w:pPr>
      <w:pStyle w:val="a9"/>
      <w:pBdr>
        <w:bottom w:color="auto" w:space="0" w:sz="6" w:val="single"/>
      </w:pBdr>
      <w:jc w:val="right"/>
    </w:pPr>
    <w:r w:rsidRPr="00093704">
      <w:t/>
    </w:r>
    <w:proofErr w:type="spellStart"/>
    <w:proofErr w:type="gramStart"/>
    <w:r w:rsidRPr="00093704">
      <w:t/>
    </w:r>
    <w:proofErr w:type="spellEnd"/>
    <w:proofErr w:type="gramEnd"/>
    <w:r w:rsidRPr="00093704">
      <w:t>易方达国企改革混合型证券投资基金</w:t>
    </w:r>
    <w:proofErr w:type="spellStart"/>
    <w:r w:rsidRPr="00093704">
      <w:t/>
    </w:r>
    <w:proofErr w:type="spellEnd"/>
    <w:r w:rsidRPr="00093704">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hAnsi="Wingdings" w:hint="default"/>
      </w:rPr>
    </w:lvl>
    <w:lvl w:ilvl="2" w:tplc="04090005">
      <w:start w:val="1"/>
      <w:numFmt w:val="bullet"/>
      <w:lvlText w:val=""/>
      <w:lvlJc w:val="left"/>
      <w:pPr>
        <w:tabs>
          <w:tab w:pos="1680" w:val="num"/>
        </w:tabs>
        <w:ind w:hanging="420" w:left="1680"/>
      </w:pPr>
      <w:rPr>
        <w:rFonts w:ascii="Wingdings" w:hAnsi="Wingdings" w:hint="default"/>
      </w:rPr>
    </w:lvl>
    <w:lvl w:ilvl="3" w:tplc="04090001">
      <w:start w:val="1"/>
      <w:numFmt w:val="bullet"/>
      <w:lvlText w:val=""/>
      <w:lvlJc w:val="left"/>
      <w:pPr>
        <w:tabs>
          <w:tab w:pos="2100" w:val="num"/>
        </w:tabs>
        <w:ind w:hanging="420" w:left="2100"/>
      </w:pPr>
      <w:rPr>
        <w:rFonts w:ascii="Wingdings" w:hAnsi="Wingdings" w:hint="default"/>
      </w:rPr>
    </w:lvl>
    <w:lvl w:ilvl="4" w:tplc="04090003">
      <w:start w:val="1"/>
      <w:numFmt w:val="bullet"/>
      <w:lvlText w:val=""/>
      <w:lvlJc w:val="left"/>
      <w:pPr>
        <w:tabs>
          <w:tab w:pos="2520" w:val="num"/>
        </w:tabs>
        <w:ind w:hanging="420" w:left="2520"/>
      </w:pPr>
      <w:rPr>
        <w:rFonts w:ascii="Wingdings" w:hAnsi="Wingdings" w:hint="default"/>
      </w:rPr>
    </w:lvl>
    <w:lvl w:ilvl="5" w:tplc="04090005">
      <w:start w:val="1"/>
      <w:numFmt w:val="bullet"/>
      <w:lvlText w:val=""/>
      <w:lvlJc w:val="left"/>
      <w:pPr>
        <w:tabs>
          <w:tab w:pos="2940" w:val="num"/>
        </w:tabs>
        <w:ind w:hanging="420" w:left="2940"/>
      </w:pPr>
      <w:rPr>
        <w:rFonts w:ascii="Wingdings" w:hAnsi="Wingdings" w:hint="default"/>
      </w:rPr>
    </w:lvl>
    <w:lvl w:ilvl="6" w:tplc="04090001">
      <w:start w:val="1"/>
      <w:numFmt w:val="bullet"/>
      <w:lvlText w:val=""/>
      <w:lvlJc w:val="left"/>
      <w:pPr>
        <w:tabs>
          <w:tab w:pos="3360" w:val="num"/>
        </w:tabs>
        <w:ind w:hanging="420" w:left="3360"/>
      </w:pPr>
      <w:rPr>
        <w:rFonts w:ascii="Wingdings" w:hAnsi="Wingdings" w:hint="default"/>
      </w:rPr>
    </w:lvl>
    <w:lvl w:ilvl="7" w:tplc="04090003">
      <w:start w:val="1"/>
      <w:numFmt w:val="bullet"/>
      <w:lvlText w:val=""/>
      <w:lvlJc w:val="left"/>
      <w:pPr>
        <w:tabs>
          <w:tab w:pos="3780" w:val="num"/>
        </w:tabs>
        <w:ind w:hanging="420" w:left="3780"/>
      </w:pPr>
      <w:rPr>
        <w:rFonts w:ascii="Wingdings" w:hAnsi="Wingdings" w:hint="default"/>
      </w:rPr>
    </w:lvl>
    <w:lvl w:ilvl="8"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szCs w:val="24"/>
      </w:rPr>
    </w:lvl>
    <w:lvl w:ilvl="1" w:tplc="04090019">
      <w:start w:val="1"/>
      <w:numFmt w:val="lowerLetter"/>
      <w:lvlText w:val="%2)"/>
      <w:lvlJc w:val="left"/>
      <w:pPr>
        <w:tabs>
          <w:tab w:pos="1320" w:val="num"/>
        </w:tabs>
        <w:ind w:hanging="420" w:left="1320"/>
      </w:pPr>
      <w:rPr>
        <w:rFonts w:cs="Times New Roman"/>
      </w:rPr>
    </w:lvl>
    <w:lvl w:ilvl="2" w:tplc="0409001B">
      <w:start w:val="1"/>
      <w:numFmt w:val="lowerRoman"/>
      <w:lvlText w:val="%3."/>
      <w:lvlJc w:val="right"/>
      <w:pPr>
        <w:tabs>
          <w:tab w:pos="1740" w:val="num"/>
        </w:tabs>
        <w:ind w:hanging="420" w:left="1740"/>
      </w:pPr>
      <w:rPr>
        <w:rFonts w:cs="Times New Roman"/>
      </w:rPr>
    </w:lvl>
    <w:lvl w:ilvl="3" w:tplc="0409000F">
      <w:start w:val="1"/>
      <w:numFmt w:val="decimal"/>
      <w:lvlText w:val="%4."/>
      <w:lvlJc w:val="left"/>
      <w:pPr>
        <w:tabs>
          <w:tab w:pos="2160" w:val="num"/>
        </w:tabs>
        <w:ind w:hanging="420" w:left="2160"/>
      </w:pPr>
      <w:rPr>
        <w:rFonts w:cs="Times New Roman"/>
      </w:rPr>
    </w:lvl>
    <w:lvl w:ilvl="4" w:tplc="04090019">
      <w:start w:val="1"/>
      <w:numFmt w:val="lowerLetter"/>
      <w:lvlText w:val="%5)"/>
      <w:lvlJc w:val="left"/>
      <w:pPr>
        <w:tabs>
          <w:tab w:pos="2580" w:val="num"/>
        </w:tabs>
        <w:ind w:hanging="420" w:left="2580"/>
      </w:pPr>
      <w:rPr>
        <w:rFonts w:cs="Times New Roman"/>
      </w:rPr>
    </w:lvl>
    <w:lvl w:ilvl="5" w:tplc="0409001B">
      <w:start w:val="1"/>
      <w:numFmt w:val="lowerRoman"/>
      <w:lvlText w:val="%6."/>
      <w:lvlJc w:val="right"/>
      <w:pPr>
        <w:tabs>
          <w:tab w:pos="3000" w:val="num"/>
        </w:tabs>
        <w:ind w:hanging="420" w:left="3000"/>
      </w:pPr>
      <w:rPr>
        <w:rFonts w:cs="Times New Roman"/>
      </w:rPr>
    </w:lvl>
    <w:lvl w:ilvl="6" w:tplc="0409000F">
      <w:start w:val="1"/>
      <w:numFmt w:val="decimal"/>
      <w:lvlText w:val="%7."/>
      <w:lvlJc w:val="left"/>
      <w:pPr>
        <w:tabs>
          <w:tab w:pos="3420" w:val="num"/>
        </w:tabs>
        <w:ind w:hanging="420" w:left="3420"/>
      </w:pPr>
      <w:rPr>
        <w:rFonts w:cs="Times New Roman"/>
      </w:rPr>
    </w:lvl>
    <w:lvl w:ilvl="7" w:tplc="04090019">
      <w:start w:val="1"/>
      <w:numFmt w:val="lowerLetter"/>
      <w:lvlText w:val="%8)"/>
      <w:lvlJc w:val="left"/>
      <w:pPr>
        <w:tabs>
          <w:tab w:pos="3840" w:val="num"/>
        </w:tabs>
        <w:ind w:hanging="420" w:left="3840"/>
      </w:pPr>
      <w:rPr>
        <w:rFonts w:cs="Times New Roman"/>
      </w:rPr>
    </w:lvl>
    <w:lvl w:ilvl="8"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plc="0409000F">
      <w:start w:val="1"/>
      <w:numFmt w:val="decimal"/>
      <w:lvlText w:val="%4."/>
      <w:lvlJc w:val="left"/>
      <w:pPr>
        <w:tabs>
          <w:tab w:pos="1680" w:val="num"/>
        </w:tabs>
        <w:ind w:hanging="420" w:left="1680"/>
      </w:pPr>
      <w:rPr>
        <w:rFonts w:cs="Times New Roman"/>
      </w:rPr>
    </w:lvl>
    <w:lvl w:ilvl="4" w:tplc="04090019">
      <w:start w:val="1"/>
      <w:numFmt w:val="lowerLetter"/>
      <w:lvlText w:val="%5)"/>
      <w:lvlJc w:val="left"/>
      <w:pPr>
        <w:tabs>
          <w:tab w:pos="2100" w:val="num"/>
        </w:tabs>
        <w:ind w:hanging="420" w:left="2100"/>
      </w:pPr>
      <w:rPr>
        <w:rFonts w:cs="Times New Roman"/>
      </w:rPr>
    </w:lvl>
    <w:lvl w:ilvl="5" w:tplc="0409001B">
      <w:start w:val="1"/>
      <w:numFmt w:val="lowerRoman"/>
      <w:lvlText w:val="%6."/>
      <w:lvlJc w:val="right"/>
      <w:pPr>
        <w:tabs>
          <w:tab w:pos="2520" w:val="num"/>
        </w:tabs>
        <w:ind w:hanging="420" w:left="2520"/>
      </w:pPr>
      <w:rPr>
        <w:rFonts w:cs="Times New Roman"/>
      </w:rPr>
    </w:lvl>
    <w:lvl w:ilvl="6" w:tplc="0409000F">
      <w:start w:val="1"/>
      <w:numFmt w:val="decimal"/>
      <w:lvlText w:val="%7."/>
      <w:lvlJc w:val="left"/>
      <w:pPr>
        <w:tabs>
          <w:tab w:pos="2940" w:val="num"/>
        </w:tabs>
        <w:ind w:hanging="420" w:left="2940"/>
      </w:pPr>
      <w:rPr>
        <w:rFonts w:cs="Times New Roman"/>
      </w:rPr>
    </w:lvl>
    <w:lvl w:ilvl="7" w:tplc="04090019">
      <w:start w:val="1"/>
      <w:numFmt w:val="lowerLetter"/>
      <w:lvlText w:val="%8)"/>
      <w:lvlJc w:val="left"/>
      <w:pPr>
        <w:tabs>
          <w:tab w:pos="3360" w:val="num"/>
        </w:tabs>
        <w:ind w:hanging="420" w:left="3360"/>
      </w:pPr>
      <w:rPr>
        <w:rFonts w:cs="Times New Roman"/>
      </w:rPr>
    </w:lvl>
    <w:lvl w:ilvl="8"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bordersDoNotSurroundHeader/>
  <w:bordersDoNotSurroundFooter/>
  <w:proofState w:grammar="clean"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018BC"/>
    <w:rsid w:val="00007D64"/>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3A8"/>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11CB"/>
    <w:rsid w:val="00213821"/>
    <w:rsid w:val="00215133"/>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06390"/>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5535"/>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0AB6"/>
    <w:rsid w:val="007125DB"/>
    <w:rsid w:val="00717B71"/>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73B02"/>
    <w:rsid w:val="00780186"/>
    <w:rsid w:val="0078089C"/>
    <w:rsid w:val="00787D16"/>
    <w:rsid w:val="00796CA8"/>
    <w:rsid w:val="00797305"/>
    <w:rsid w:val="007B035B"/>
    <w:rsid w:val="007B4C04"/>
    <w:rsid w:val="007B5AFB"/>
    <w:rsid w:val="007C1B9B"/>
    <w:rsid w:val="007C54B1"/>
    <w:rsid w:val="007C5862"/>
    <w:rsid w:val="007C7EC8"/>
    <w:rsid w:val="007F31E6"/>
    <w:rsid w:val="008014F9"/>
    <w:rsid w:val="0080358B"/>
    <w:rsid w:val="008059BD"/>
    <w:rsid w:val="00812D46"/>
    <w:rsid w:val="00815999"/>
    <w:rsid w:val="00815A38"/>
    <w:rsid w:val="00815D8D"/>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8CB"/>
    <w:rsid w:val="00876D65"/>
    <w:rsid w:val="00891261"/>
    <w:rsid w:val="00895A8A"/>
    <w:rsid w:val="008A09E5"/>
    <w:rsid w:val="008A21B2"/>
    <w:rsid w:val="008B2FDD"/>
    <w:rsid w:val="008C2A4F"/>
    <w:rsid w:val="008C75E7"/>
    <w:rsid w:val="008C7CA8"/>
    <w:rsid w:val="008D09EC"/>
    <w:rsid w:val="008D799F"/>
    <w:rsid w:val="008E07EB"/>
    <w:rsid w:val="008E0E00"/>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577D9"/>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371D4"/>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BE5A26"/>
    <w:rsid w:val="00C11A5E"/>
    <w:rsid w:val="00C21520"/>
    <w:rsid w:val="00C222B2"/>
    <w:rsid w:val="00C225FB"/>
    <w:rsid w:val="00C41870"/>
    <w:rsid w:val="00C46B88"/>
    <w:rsid w:val="00C5218C"/>
    <w:rsid w:val="00C52191"/>
    <w:rsid w:val="00C5642F"/>
    <w:rsid w:val="00C57A3E"/>
    <w:rsid w:val="00C63554"/>
    <w:rsid w:val="00C71497"/>
    <w:rsid w:val="00C71BA1"/>
    <w:rsid w:val="00C72F5B"/>
    <w:rsid w:val="00C73619"/>
    <w:rsid w:val="00C73BCD"/>
    <w:rsid w:val="00C77AEF"/>
    <w:rsid w:val="00C77E37"/>
    <w:rsid w:val="00C84CB0"/>
    <w:rsid w:val="00C86EB7"/>
    <w:rsid w:val="00C87129"/>
    <w:rsid w:val="00C91E1B"/>
    <w:rsid w:val="00CA2BD3"/>
    <w:rsid w:val="00CA4677"/>
    <w:rsid w:val="00CA5FD5"/>
    <w:rsid w:val="00CA7703"/>
    <w:rsid w:val="00CB0F92"/>
    <w:rsid w:val="00CD4E6D"/>
    <w:rsid w:val="00CD5707"/>
    <w:rsid w:val="00CD7702"/>
    <w:rsid w:val="00CD7FC9"/>
    <w:rsid w:val="00CE06DF"/>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34206"/>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DE38CC"/>
    <w:rsid w:val="00E06069"/>
    <w:rsid w:val="00E115C0"/>
    <w:rsid w:val="00E168D7"/>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0244"/>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cs="Times New Roman" w:eastAsia="宋体" w:hAnsi="Calibri"/>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footnote text" w:semiHidden="0" w:uiPriority="0" w:unhideWhenUsed="0"/>
    <w:lsdException w:locked="1" w:name="caption" w:qFormat="1" w:uiPriority="0"/>
    <w:lsdException w:locked="1" w:name="footnote reference"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Date" w:semiHidden="0" w:uiPriority="0" w:unhideWhenUsed="0"/>
    <w:lsdException w:locked="1" w:name="Strong" w:qFormat="1" w:semiHidden="0" w:uiPriority="22" w:unhideWhenUsed="0"/>
    <w:lsdException w:locked="1" w:name="Emphasis" w:qFormat="1"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hAnsi="Times New Roman"/>
      <w:kern w:val="2"/>
      <w:sz w:val="21"/>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hAnsi="Arial"/>
      <w:b/>
      <w:bCs/>
      <w:kern w:val="0"/>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4061AC"/>
    <w:rPr>
      <w:rFonts w:ascii="Times New Roman" w:cs="Times New Roman" w:eastAsia="宋体" w:hAnsi="Times New Roman"/>
      <w:b/>
      <w:bCs/>
      <w:kern w:val="44"/>
      <w:sz w:val="44"/>
      <w:szCs w:val="44"/>
    </w:rPr>
  </w:style>
  <w:style w:customStyle="1" w:styleId="2Char" w:type="character">
    <w:name w:val="标题 2 Char"/>
    <w:link w:val="2"/>
    <w:uiPriority w:val="99"/>
    <w:locked/>
    <w:rsid w:val="004061AC"/>
    <w:rPr>
      <w:rFonts w:ascii="Arial" w:cs="Arial" w:eastAsia="宋体" w:hAnsi="Arial"/>
      <w:b/>
      <w:bCs/>
      <w:sz w:val="24"/>
      <w:szCs w:val="24"/>
    </w:rPr>
  </w:style>
  <w:style w:customStyle="1" w:styleId="3Char" w:type="character">
    <w:name w:val="标题 3 Char"/>
    <w:link w:val="3"/>
    <w:uiPriority w:val="99"/>
    <w:locked/>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eastAsia="Arial Unicode MS" w:hAnsi="Arial Unicode MS"/>
      <w:kern w:val="0"/>
      <w:sz w:val="24"/>
      <w:szCs w:val="24"/>
    </w:rPr>
  </w:style>
  <w:style w:customStyle="1" w:styleId="Char" w:type="character">
    <w:name w:val="正文文本缩进 Char"/>
    <w:link w:val="a4"/>
    <w:uiPriority w:val="99"/>
    <w:locked/>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hAnsi="Courier New"/>
      <w:kern w:val="0"/>
    </w:rPr>
  </w:style>
  <w:style w:customStyle="1" w:styleId="Char0" w:type="character">
    <w:name w:val="纯文本 Char"/>
    <w:link w:val="a5"/>
    <w:uiPriority w:val="99"/>
    <w:locked/>
    <w:rsid w:val="004061AC"/>
    <w:rPr>
      <w:rFonts w:ascii="宋体" w:cs="宋体" w:eastAsia="宋体" w:hAnsi="Courier New"/>
      <w:sz w:val="21"/>
      <w:szCs w:val="21"/>
    </w:rPr>
  </w:style>
  <w:style w:styleId="20" w:type="paragraph">
    <w:name w:val="Body Text Indent 2"/>
    <w:basedOn w:val="a"/>
    <w:link w:val="2Char0"/>
    <w:uiPriority w:val="99"/>
    <w:rsid w:val="004061AC"/>
    <w:pPr>
      <w:spacing w:line="560" w:lineRule="exact"/>
      <w:ind w:firstLine="480" w:firstLineChars="200"/>
    </w:pPr>
    <w:rPr>
      <w:rFonts w:ascii="宋体" w:hAnsi="宋体"/>
      <w:color w:val="FF0000"/>
      <w:kern w:val="0"/>
      <w:sz w:val="24"/>
      <w:szCs w:val="24"/>
    </w:rPr>
  </w:style>
  <w:style w:customStyle="1" w:styleId="2Char0" w:type="character">
    <w:name w:val="正文文本缩进 2 Char"/>
    <w:link w:val="20"/>
    <w:uiPriority w:val="99"/>
    <w:locked/>
    <w:rsid w:val="004061AC"/>
    <w:rPr>
      <w:rFonts w:ascii="宋体" w:cs="宋体" w:eastAsia="宋体" w:hAnsi="宋体"/>
      <w:color w:val="FF0000"/>
      <w:sz w:val="24"/>
      <w:szCs w:val="24"/>
    </w:rPr>
  </w:style>
  <w:style w:styleId="a6" w:type="paragraph">
    <w:name w:val="footer"/>
    <w:basedOn w:val="a"/>
    <w:link w:val="Char1"/>
    <w:uiPriority w:val="99"/>
    <w:rsid w:val="004061AC"/>
    <w:pPr>
      <w:tabs>
        <w:tab w:pos="4153" w:val="center"/>
        <w:tab w:pos="8306" w:val="right"/>
      </w:tabs>
      <w:snapToGrid w:val="0"/>
      <w:jc w:val="left"/>
    </w:pPr>
    <w:rPr>
      <w:kern w:val="0"/>
      <w:sz w:val="18"/>
      <w:szCs w:val="18"/>
    </w:rPr>
  </w:style>
  <w:style w:customStyle="1" w:styleId="Char1" w:type="character">
    <w:name w:val="页脚 Char"/>
    <w:link w:val="a6"/>
    <w:uiPriority w:val="99"/>
    <w:locked/>
    <w:rsid w:val="004061AC"/>
    <w:rPr>
      <w:rFonts w:ascii="Times New Roman" w:cs="Times New Roman" w:eastAsia="宋体" w:hAnsi="Times New Roman"/>
      <w:sz w:val="18"/>
      <w:szCs w:val="18"/>
    </w:rPr>
  </w:style>
  <w:style w:styleId="a7" w:type="character">
    <w:name w:val="page number"/>
    <w:uiPriority w:val="99"/>
    <w:rsid w:val="004061AC"/>
    <w:rPr>
      <w:rFonts w:cs="Times New Roman"/>
    </w:rPr>
  </w:style>
  <w:style w:styleId="a8" w:type="character">
    <w:name w:val="Hyperlink"/>
    <w:uiPriority w:val="99"/>
    <w:rsid w:val="004061AC"/>
    <w:rPr>
      <w:rFonts w:cs="Times New Roman"/>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hAnsi="Arial"/>
      <w:color w:val="FF0000"/>
      <w:kern w:val="0"/>
    </w:rPr>
  </w:style>
  <w:style w:customStyle="1" w:styleId="3Char0" w:type="character">
    <w:name w:val="正文文本缩进 3 Char"/>
    <w:link w:val="30"/>
    <w:uiPriority w:val="99"/>
    <w:locked/>
    <w:rsid w:val="004061AC"/>
    <w:rPr>
      <w:rFonts w:ascii="Arial" w:cs="Arial" w:eastAsia="宋体" w:hAnsi="Arial"/>
      <w:color w:val="FF0000"/>
      <w:sz w:val="21"/>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kern w:val="0"/>
      <w:sz w:val="18"/>
      <w:szCs w:val="18"/>
    </w:rPr>
  </w:style>
  <w:style w:customStyle="1" w:styleId="Char2" w:type="character">
    <w:name w:val="页眉 Char"/>
    <w:link w:val="a9"/>
    <w:uiPriority w:val="99"/>
    <w:locked/>
    <w:rsid w:val="004061AC"/>
    <w:rPr>
      <w:rFonts w:ascii="Times New Roman" w:cs="Times New Roman" w:eastAsia="宋体" w:hAnsi="Times New Roman"/>
      <w:sz w:val="18"/>
      <w:szCs w:val="18"/>
    </w:rPr>
  </w:style>
  <w:style w:styleId="aa" w:type="character">
    <w:name w:val="FollowedHyperlink"/>
    <w:uiPriority w:val="99"/>
    <w:rsid w:val="004061AC"/>
    <w:rPr>
      <w:rFonts w:cs="Times New Roman"/>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rPr>
      <w:kern w:val="0"/>
    </w:rPr>
  </w:style>
  <w:style w:customStyle="1" w:styleId="Char3" w:type="character">
    <w:name w:val="正文文本 Char"/>
    <w:link w:val="ac"/>
    <w:uiPriority w:val="99"/>
    <w:locked/>
    <w:rsid w:val="004061AC"/>
    <w:rPr>
      <w:rFonts w:ascii="Times New Roman" w:cs="Times New Roman" w:eastAsia="宋体" w:hAnsi="Times New Roman"/>
      <w:sz w:val="21"/>
      <w:szCs w:val="21"/>
    </w:rPr>
  </w:style>
  <w:style w:styleId="ad" w:type="paragraph">
    <w:name w:val="Date"/>
    <w:basedOn w:val="a"/>
    <w:next w:val="a"/>
    <w:link w:val="Char4"/>
    <w:uiPriority w:val="99"/>
    <w:rsid w:val="004061AC"/>
    <w:rPr>
      <w:kern w:val="0"/>
      <w:sz w:val="24"/>
      <w:szCs w:val="24"/>
    </w:rPr>
  </w:style>
  <w:style w:customStyle="1" w:styleId="Char4" w:type="character">
    <w:name w:val="日期 Char"/>
    <w:link w:val="ad"/>
    <w:uiPriority w:val="99"/>
    <w:locked/>
    <w:rsid w:val="004061AC"/>
    <w:rPr>
      <w:rFonts w:ascii="Times New Roman" w:cs="Times New Roman" w:eastAsia="宋体" w:hAnsi="Times New Roman"/>
      <w:sz w:val="24"/>
      <w:szCs w:val="24"/>
    </w:rPr>
  </w:style>
  <w:style w:customStyle="1" w:styleId="c1" w:type="character">
    <w:name w:val="c1"/>
    <w:uiPriority w:val="99"/>
    <w:rsid w:val="004061AC"/>
    <w:rPr>
      <w:rFonts w:cs="Times New Roman"/>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kern w:val="0"/>
      <w:sz w:val="18"/>
      <w:szCs w:val="18"/>
    </w:rPr>
  </w:style>
  <w:style w:customStyle="1" w:styleId="Char5" w:type="character">
    <w:name w:val="批注框文本 Char"/>
    <w:link w:val="ae"/>
    <w:uiPriority w:val="99"/>
    <w:semiHidden/>
    <w:locked/>
    <w:rsid w:val="004061AC"/>
    <w:rPr>
      <w:rFonts w:ascii="Times New Roman" w:cs="Times New Roman" w:eastAsia="宋体" w:hAnsi="Times New Roman"/>
      <w:sz w:val="18"/>
      <w:szCs w:val="18"/>
    </w:rPr>
  </w:style>
  <w:style w:styleId="af" w:type="character">
    <w:name w:val="annotation reference"/>
    <w:uiPriority w:val="99"/>
    <w:semiHidden/>
    <w:rsid w:val="004061AC"/>
    <w:rPr>
      <w:rFonts w:cs="Times New Roman"/>
      <w:sz w:val="21"/>
      <w:szCs w:val="21"/>
    </w:rPr>
  </w:style>
  <w:style w:styleId="af0" w:type="paragraph">
    <w:name w:val="annotation text"/>
    <w:basedOn w:val="a"/>
    <w:link w:val="Char6"/>
    <w:uiPriority w:val="99"/>
    <w:semiHidden/>
    <w:rsid w:val="004061AC"/>
    <w:pPr>
      <w:jc w:val="left"/>
    </w:pPr>
    <w:rPr>
      <w:kern w:val="0"/>
    </w:rPr>
  </w:style>
  <w:style w:customStyle="1" w:styleId="Char6" w:type="character">
    <w:name w:val="批注文字 Char"/>
    <w:link w:val="af0"/>
    <w:uiPriority w:val="99"/>
    <w:semiHidden/>
    <w:locked/>
    <w:rsid w:val="004061AC"/>
    <w:rPr>
      <w:rFonts w:ascii="Times New Roman" w:cs="Times New Roman" w:eastAsia="宋体" w:hAnsi="Times New Roman"/>
      <w:sz w:val="21"/>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link w:val="af1"/>
    <w:uiPriority w:val="99"/>
    <w:semiHidden/>
    <w:locked/>
    <w:rsid w:val="004061AC"/>
    <w:rPr>
      <w:rFonts w:ascii="Times New Roman" w:cs="Times New Roman" w:eastAsia="宋体" w:hAnsi="Times New Roman"/>
      <w:b/>
      <w:bCs/>
      <w:sz w:val="21"/>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rPr>
      <w:kern w:val="0"/>
    </w:rPr>
  </w:style>
  <w:style w:customStyle="1" w:styleId="Char9" w:type="character">
    <w:name w:val="文档结构图 Char"/>
    <w:link w:val="af2"/>
    <w:uiPriority w:val="99"/>
    <w:semiHidden/>
    <w:locked/>
    <w:rsid w:val="004061AC"/>
    <w:rPr>
      <w:rFonts w:ascii="Times New Roman" w:cs="Times New Roman" w:eastAsia="宋体" w:hAnsi="Times New Roman"/>
      <w:sz w:val="21"/>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uiPriority w:val="99"/>
    <w:rsid w:val="004061AC"/>
    <w:pPr>
      <w:snapToGrid w:val="0"/>
      <w:jc w:val="left"/>
    </w:pPr>
    <w:rPr>
      <w:kern w:val="0"/>
      <w:sz w:val="18"/>
      <w:szCs w:val="18"/>
    </w:rPr>
  </w:style>
  <w:style w:customStyle="1" w:styleId="Chara" w:type="character">
    <w:name w:val="脚注文本 Char"/>
    <w:link w:val="af4"/>
    <w:uiPriority w:val="99"/>
    <w:locked/>
    <w:rsid w:val="004061AC"/>
    <w:rPr>
      <w:rFonts w:ascii="Times New Roman" w:cs="Times New Roman" w:eastAsia="宋体" w:hAnsi="Times New Roman"/>
      <w:sz w:val="18"/>
      <w:szCs w:val="18"/>
    </w:rPr>
  </w:style>
  <w:style w:styleId="af5" w:type="character">
    <w:name w:val="footnote reference"/>
    <w:uiPriority w:val="99"/>
    <w:rsid w:val="004061AC"/>
    <w:rPr>
      <w:rFonts w:cs="Times New Roman"/>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hAnsi="Times New Roman"/>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hAnsi="Cambria"/>
      <w:b/>
      <w:bCs/>
      <w:kern w:val="0"/>
      <w:sz w:val="32"/>
      <w:szCs w:val="32"/>
    </w:rPr>
  </w:style>
  <w:style w:customStyle="1" w:styleId="Charb" w:type="character">
    <w:name w:val="标题 Char"/>
    <w:link w:val="af8"/>
    <w:uiPriority w:val="99"/>
    <w:locked/>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99"/>
    <w:qFormat/>
    <w:rsid w:val="004061AC"/>
    <w:rPr>
      <w:rFonts w:cs="Calibri"/>
      <w:sz w:val="22"/>
      <w:szCs w:val="22"/>
    </w:rPr>
  </w:style>
  <w:style w:customStyle="1" w:styleId="Charc" w:type="character">
    <w:name w:val="无间隔 Char"/>
    <w:link w:val="af9"/>
    <w:uiPriority w:val="99"/>
    <w:locked/>
    <w:rsid w:val="004061AC"/>
    <w:rPr>
      <w:rFonts w:cs="Calibri"/>
      <w:sz w:val="22"/>
      <w:szCs w:val="22"/>
      <w:lang w:bidi="ar-SA" w:eastAsia="zh-CN" w:val="en-US"/>
    </w:rPr>
  </w:style>
  <w:style w:customStyle="1" w:styleId="t1" w:type="character">
    <w:name w:val="t1"/>
    <w:uiPriority w:val="99"/>
    <w:rsid w:val="004061AC"/>
    <w:rPr>
      <w:rFonts w:cs="Times New Roman"/>
      <w:color w:val="auto"/>
    </w:rPr>
  </w:style>
  <w:style w:styleId="afa" w:type="paragraph">
    <w:name w:val="List Paragraph"/>
    <w:basedOn w:val="a"/>
    <w:uiPriority w:val="99"/>
    <w:qFormat/>
    <w:rsid w:val="00154BE1"/>
    <w:pPr>
      <w:ind w:firstLine="420" w:firstLineChars="200"/>
    </w:pPr>
  </w:style>
  <w:style w:customStyle="1" w:styleId="Default" w:type="paragraph">
    <w:name w:val="Default"/>
    <w:uiPriority w:val="99"/>
    <w:rsid w:val="00275745"/>
    <w:pPr>
      <w:widowControl w:val="0"/>
      <w:autoSpaceDE w:val="0"/>
      <w:autoSpaceDN w:val="0"/>
      <w:adjustRightInd w:val="0"/>
    </w:pPr>
    <w:rPr>
      <w:rFonts w:ascii="FangSong" w:cs="FangSong" w:hAnsi="FangSong"/>
      <w:color w:val="000000"/>
      <w:sz w:val="24"/>
      <w:szCs w:val="24"/>
    </w:rPr>
  </w:style>
  <w:style w:styleId="afb" w:type="character">
    <w:name w:val="Strong"/>
    <w:uiPriority w:val="22"/>
    <w:qFormat/>
    <w:locked/>
    <w:rsid w:val="00D8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28B9-6F43-4DF9-B921-60ACE4E4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28</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sirong han</cp:lastModifiedBy>
  <dcterms:modified xsi:type="dcterms:W3CDTF">2020-10-20T06:18:00Z</dcterms:modified>
  <cp:revision>357</cp:revision>
</cp:coreProperties>
</file>