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易方达新经济灵活配置混合型证券投资基金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中国工商银行股份有限公司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易方达新经济混合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001018</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001018</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2015年2月12日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862,254,884.51</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本基金在严格控制风险的基础上，力争实现基金资产的稳健增值。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市场分析，确定组合中股票、债券等资产类别的配置比例。本基金将重点考察并持续关注经济发展方向、产业政策及制度改革导向、科学技术、行业景气度及商业模式等因素，精选具有较高成长性和合理估值水平的个股，构建股票投资组合。</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中证800指数收益率×65%+一年期人民币定期存款利率（税后）×35%</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本基金为混合型基金，理论上其预期风险收益水平低于股票型基金，高于债券型基金和货币市场基金。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中国工商银行股份有限公司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248,059,852.55</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60,385,946.92</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0.0715</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2,471,577,456.22</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2.866</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2.76%</w:t>
            </w:r>
          </w:p>
        </w:tc>
        <w:tc>
          <w:tcPr>
            <w:vAlign w:val="center"/>
          </w:tcPr>
          <w:p>
            <w:pPr>
              <w:jc w:val="center"/>
            </w:pPr>
            <w:r>
              <w:rPr>
                <w:color w:val="000000"/>
                <w:kern w:val="0"/>
                <w:sz w:val="24"/>
                <w:szCs w:val="24"/>
              </w:rPr>
              <w:t>1.60%</w:t>
            </w:r>
          </w:p>
        </w:tc>
        <w:tc>
          <w:tcPr>
            <w:vAlign w:val="center"/>
          </w:tcPr>
          <w:p>
            <w:pPr>
              <w:jc w:val="center"/>
            </w:pPr>
            <w:r>
              <w:rPr>
                <w:color w:val="000000"/>
                <w:kern w:val="0"/>
                <w:sz w:val="24"/>
                <w:szCs w:val="24"/>
              </w:rPr>
              <w:t>6.13%</w:t>
            </w:r>
          </w:p>
        </w:tc>
        <w:tc>
          <w:tcPr>
            <w:vAlign w:val="center"/>
          </w:tcPr>
          <w:p>
            <w:pPr>
              <w:jc w:val="center"/>
            </w:pPr>
            <w:r>
              <w:rPr>
                <w:color w:val="000000"/>
                <w:kern w:val="0"/>
                <w:sz w:val="24"/>
                <w:szCs w:val="24"/>
              </w:rPr>
              <w:t>1.05%</w:t>
            </w:r>
          </w:p>
        </w:tc>
        <w:tc>
          <w:tcPr>
            <w:vAlign w:val="center"/>
          </w:tcPr>
          <w:p>
            <w:pPr>
              <w:jc w:val="center"/>
            </w:pPr>
            <w:r>
              <w:rPr>
                <w:color w:val="000000"/>
                <w:kern w:val="0"/>
                <w:sz w:val="24"/>
                <w:szCs w:val="24"/>
              </w:rPr>
              <w:t>-3.37%</w:t>
            </w:r>
          </w:p>
        </w:tc>
        <w:tc>
          <w:tcPr>
            <w:vAlign w:val="center"/>
          </w:tcPr>
          <w:p>
            <w:pPr>
              <w:jc w:val="center"/>
            </w:pPr>
            <w:r>
              <w:rPr>
                <w:color w:val="000000"/>
                <w:kern w:val="0"/>
                <w:sz w:val="24"/>
                <w:szCs w:val="24"/>
              </w:rPr>
              <w:t>0.55%</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40.97%</w:t>
            </w:r>
          </w:p>
        </w:tc>
        <w:tc>
          <w:tcPr>
            <w:vAlign w:val="center"/>
          </w:tcPr>
          <w:p>
            <w:pPr>
              <w:jc w:val="center"/>
            </w:pPr>
            <w:r>
              <w:rPr>
                <w:color w:val="000000"/>
                <w:kern w:val="0"/>
                <w:sz w:val="24"/>
                <w:szCs w:val="24"/>
              </w:rPr>
              <w:t>1.45%</w:t>
            </w:r>
          </w:p>
        </w:tc>
        <w:tc>
          <w:tcPr>
            <w:vAlign w:val="center"/>
          </w:tcPr>
          <w:p>
            <w:pPr>
              <w:jc w:val="center"/>
            </w:pPr>
            <w:r>
              <w:rPr>
                <w:color w:val="000000"/>
                <w:kern w:val="0"/>
                <w:sz w:val="24"/>
                <w:szCs w:val="24"/>
              </w:rPr>
              <w:t>15.65%</w:t>
            </w:r>
          </w:p>
        </w:tc>
        <w:tc>
          <w:tcPr>
            <w:vAlign w:val="center"/>
          </w:tcPr>
          <w:p>
            <w:pPr>
              <w:jc w:val="center"/>
            </w:pPr>
            <w:r>
              <w:rPr>
                <w:color w:val="000000"/>
                <w:kern w:val="0"/>
                <w:sz w:val="24"/>
                <w:szCs w:val="24"/>
              </w:rPr>
              <w:t>0.86%</w:t>
            </w:r>
          </w:p>
        </w:tc>
        <w:tc>
          <w:tcPr>
            <w:vAlign w:val="center"/>
          </w:tcPr>
          <w:p>
            <w:pPr>
              <w:jc w:val="center"/>
            </w:pPr>
            <w:r>
              <w:rPr>
                <w:color w:val="000000"/>
                <w:kern w:val="0"/>
                <w:sz w:val="24"/>
                <w:szCs w:val="24"/>
              </w:rPr>
              <w:t>25.32%</w:t>
            </w:r>
          </w:p>
        </w:tc>
        <w:tc>
          <w:tcPr>
            <w:vAlign w:val="center"/>
          </w:tcPr>
          <w:p>
            <w:pPr>
              <w:jc w:val="center"/>
            </w:pPr>
            <w:r>
              <w:rPr>
                <w:color w:val="000000"/>
                <w:kern w:val="0"/>
                <w:sz w:val="24"/>
                <w:szCs w:val="24"/>
              </w:rPr>
              <w:t>0.59%</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59.75%</w:t>
            </w:r>
          </w:p>
        </w:tc>
        <w:tc>
          <w:tcPr>
            <w:vAlign w:val="center"/>
          </w:tcPr>
          <w:p>
            <w:pPr>
              <w:jc w:val="center"/>
            </w:pPr>
            <w:r>
              <w:rPr>
                <w:color w:val="000000"/>
                <w:kern w:val="0"/>
                <w:sz w:val="24"/>
                <w:szCs w:val="24"/>
              </w:rPr>
              <w:t>1.56%</w:t>
            </w:r>
          </w:p>
        </w:tc>
        <w:tc>
          <w:tcPr>
            <w:vAlign w:val="center"/>
          </w:tcPr>
          <w:p>
            <w:pPr>
              <w:jc w:val="center"/>
            </w:pPr>
            <w:r>
              <w:rPr>
                <w:color w:val="000000"/>
                <w:kern w:val="0"/>
                <w:sz w:val="24"/>
                <w:szCs w:val="24"/>
              </w:rPr>
              <w:t>14.74%</w:t>
            </w:r>
          </w:p>
        </w:tc>
        <w:tc>
          <w:tcPr>
            <w:vAlign w:val="center"/>
          </w:tcPr>
          <w:p>
            <w:pPr>
              <w:jc w:val="center"/>
            </w:pPr>
            <w:r>
              <w:rPr>
                <w:color w:val="000000"/>
                <w:kern w:val="0"/>
                <w:sz w:val="24"/>
                <w:szCs w:val="24"/>
              </w:rPr>
              <w:t>0.92%</w:t>
            </w:r>
          </w:p>
        </w:tc>
        <w:tc>
          <w:tcPr>
            <w:vAlign w:val="center"/>
          </w:tcPr>
          <w:p>
            <w:pPr>
              <w:jc w:val="center"/>
            </w:pPr>
            <w:r>
              <w:rPr>
                <w:color w:val="000000"/>
                <w:kern w:val="0"/>
                <w:sz w:val="24"/>
                <w:szCs w:val="24"/>
              </w:rPr>
              <w:t>45.01%</w:t>
            </w:r>
          </w:p>
        </w:tc>
        <w:tc>
          <w:tcPr>
            <w:vAlign w:val="center"/>
          </w:tcPr>
          <w:p>
            <w:pPr>
              <w:jc w:val="center"/>
            </w:pPr>
            <w:r>
              <w:rPr>
                <w:color w:val="000000"/>
                <w:kern w:val="0"/>
                <w:sz w:val="24"/>
                <w:szCs w:val="24"/>
              </w:rPr>
              <w:t>0.64%</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82.66%</w:t>
            </w:r>
          </w:p>
        </w:tc>
        <w:tc>
          <w:tcPr>
            <w:vAlign w:val="center"/>
          </w:tcPr>
          <w:p>
            <w:pPr>
              <w:jc w:val="center"/>
            </w:pPr>
            <w:r>
              <w:rPr>
                <w:color w:val="000000"/>
                <w:kern w:val="0"/>
                <w:sz w:val="24"/>
                <w:szCs w:val="24"/>
              </w:rPr>
              <w:t>1.54%</w:t>
            </w:r>
          </w:p>
        </w:tc>
        <w:tc>
          <w:tcPr>
            <w:vAlign w:val="center"/>
          </w:tcPr>
          <w:p>
            <w:pPr>
              <w:jc w:val="center"/>
            </w:pPr>
            <w:r>
              <w:rPr>
                <w:color w:val="000000"/>
                <w:kern w:val="0"/>
                <w:sz w:val="24"/>
                <w:szCs w:val="24"/>
              </w:rPr>
              <w:t>11.29%</w:t>
            </w:r>
          </w:p>
        </w:tc>
        <w:tc>
          <w:tcPr>
            <w:vAlign w:val="center"/>
          </w:tcPr>
          <w:p>
            <w:pPr>
              <w:jc w:val="center"/>
            </w:pPr>
            <w:r>
              <w:rPr>
                <w:color w:val="000000"/>
                <w:kern w:val="0"/>
                <w:sz w:val="24"/>
                <w:szCs w:val="24"/>
              </w:rPr>
              <w:t>0.87%</w:t>
            </w:r>
          </w:p>
        </w:tc>
        <w:tc>
          <w:tcPr>
            <w:vAlign w:val="center"/>
          </w:tcPr>
          <w:p>
            <w:pPr>
              <w:jc w:val="center"/>
            </w:pPr>
            <w:r>
              <w:rPr>
                <w:color w:val="000000"/>
                <w:kern w:val="0"/>
                <w:sz w:val="24"/>
                <w:szCs w:val="24"/>
              </w:rPr>
              <w:t>71.37%</w:t>
            </w:r>
          </w:p>
        </w:tc>
        <w:tc>
          <w:tcPr>
            <w:vAlign w:val="center"/>
          </w:tcPr>
          <w:p>
            <w:pPr>
              <w:jc w:val="center"/>
            </w:pPr>
            <w:r>
              <w:rPr>
                <w:color w:val="000000"/>
                <w:kern w:val="0"/>
                <w:sz w:val="24"/>
                <w:szCs w:val="24"/>
              </w:rPr>
              <w:t>0.67%</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186.03%</w:t>
            </w:r>
          </w:p>
        </w:tc>
        <w:tc>
          <w:tcPr>
            <w:vAlign w:val="center"/>
          </w:tcPr>
          <w:p>
            <w:pPr>
              <w:jc w:val="center"/>
            </w:pPr>
            <w:r>
              <w:rPr>
                <w:color w:val="000000"/>
                <w:kern w:val="0"/>
                <w:sz w:val="24"/>
                <w:szCs w:val="24"/>
              </w:rPr>
              <w:t>1.57%</w:t>
            </w:r>
          </w:p>
        </w:tc>
        <w:tc>
          <w:tcPr>
            <w:vAlign w:val="center"/>
          </w:tcPr>
          <w:p>
            <w:pPr>
              <w:jc w:val="center"/>
            </w:pPr>
            <w:r>
              <w:rPr>
                <w:color w:val="000000"/>
                <w:kern w:val="0"/>
                <w:sz w:val="24"/>
                <w:szCs w:val="24"/>
              </w:rPr>
              <w:t>25.17%</w:t>
            </w:r>
          </w:p>
        </w:tc>
        <w:tc>
          <w:tcPr>
            <w:vAlign w:val="center"/>
          </w:tcPr>
          <w:p>
            <w:pPr>
              <w:jc w:val="center"/>
            </w:pPr>
            <w:r>
              <w:rPr>
                <w:color w:val="000000"/>
                <w:kern w:val="0"/>
                <w:sz w:val="24"/>
                <w:szCs w:val="24"/>
              </w:rPr>
              <w:t>0.86%</w:t>
            </w:r>
          </w:p>
        </w:tc>
        <w:tc>
          <w:tcPr>
            <w:vAlign w:val="center"/>
          </w:tcPr>
          <w:p>
            <w:pPr>
              <w:jc w:val="center"/>
            </w:pPr>
            <w:r>
              <w:rPr>
                <w:color w:val="000000"/>
                <w:kern w:val="0"/>
                <w:sz w:val="24"/>
                <w:szCs w:val="24"/>
              </w:rPr>
              <w:t>160.86%</w:t>
            </w:r>
          </w:p>
        </w:tc>
        <w:tc>
          <w:tcPr>
            <w:vAlign w:val="center"/>
          </w:tcPr>
          <w:p>
            <w:pPr>
              <w:jc w:val="center"/>
            </w:pPr>
            <w:r>
              <w:rPr>
                <w:color w:val="000000"/>
                <w:kern w:val="0"/>
                <w:sz w:val="24"/>
                <w:szCs w:val="24"/>
              </w:rPr>
              <w:t>0.71%</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186.60%</w:t>
            </w:r>
          </w:p>
        </w:tc>
        <w:tc>
          <w:tcPr>
            <w:vAlign w:val="center"/>
          </w:tcPr>
          <w:p>
            <w:pPr>
              <w:jc w:val="center"/>
            </w:pPr>
            <w:r>
              <w:rPr>
                <w:color w:val="000000"/>
                <w:kern w:val="0"/>
                <w:sz w:val="24"/>
                <w:szCs w:val="24"/>
              </w:rPr>
              <w:t>1.83%</w:t>
            </w:r>
          </w:p>
        </w:tc>
        <w:tc>
          <w:tcPr>
            <w:vAlign w:val="center"/>
          </w:tcPr>
          <w:p>
            <w:pPr>
              <w:jc w:val="center"/>
            </w:pPr>
            <w:r>
              <w:rPr>
                <w:color w:val="000000"/>
                <w:kern w:val="0"/>
                <w:sz w:val="24"/>
                <w:szCs w:val="24"/>
              </w:rPr>
              <w:t>25.43%</w:t>
            </w:r>
          </w:p>
        </w:tc>
        <w:tc>
          <w:tcPr>
            <w:vAlign w:val="center"/>
          </w:tcPr>
          <w:p>
            <w:pPr>
              <w:jc w:val="center"/>
            </w:pPr>
            <w:r>
              <w:rPr>
                <w:color w:val="000000"/>
                <w:kern w:val="0"/>
                <w:sz w:val="24"/>
                <w:szCs w:val="24"/>
              </w:rPr>
              <w:t>1.01%</w:t>
            </w:r>
          </w:p>
        </w:tc>
        <w:tc>
          <w:tcPr>
            <w:vAlign w:val="center"/>
          </w:tcPr>
          <w:p>
            <w:pPr>
              <w:jc w:val="center"/>
            </w:pPr>
            <w:r>
              <w:rPr>
                <w:color w:val="000000"/>
                <w:kern w:val="0"/>
                <w:sz w:val="24"/>
                <w:szCs w:val="24"/>
              </w:rPr>
              <w:t>161.17%</w:t>
            </w:r>
          </w:p>
        </w:tc>
        <w:tc>
          <w:tcPr>
            <w:vAlign w:val="center"/>
          </w:tcPr>
          <w:p>
            <w:pPr>
              <w:jc w:val="center"/>
            </w:pPr>
            <w:r>
              <w:rPr>
                <w:color w:val="000000"/>
                <w:kern w:val="0"/>
                <w:sz w:val="24"/>
                <w:szCs w:val="24"/>
              </w:rPr>
              <w:t>0.82%</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易方达新经济灵活配置混合型证券投资基金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2015年2月12日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注：自基金合同生效至报告期末，基金份额净值增长率为186.60%，同期业绩比较基准收益率为25.43%。</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陈皓</w:t>
            </w:r>
          </w:p>
        </w:tc>
        <w:tc>
          <w:tcPr>
            <w:vAlign w:val="center"/>
          </w:tcPr>
          <w:p>
            <w:pPr>
              <w:jc w:val="left"/>
            </w:pPr>
            <w:r>
              <w:rPr>
                <w:color w:val="000000"/>
                <w:sz w:val="24"/>
              </w:rPr>
              <w:t>本基金的基金经理、易方达平稳增长证券投资基金的基金经理、易方达科翔混合型证券投资基金的基金经理、易方达科讯混合型证券投资基金的基金经理、易方达科融混合型证券投资基金的基金经理（自2019年03月26日至2020年07月31日）、易方达均衡成长股票型证券投资基金的基金经理、易方达创新未来18个月封闭运作混合型证券投资基金的基金经理、副总经理级高级管理人员、投资一部总经理、权益投资决策委员会委员</w:t>
            </w:r>
          </w:p>
        </w:tc>
        <w:tc>
          <w:tcPr>
            <w:vAlign w:val="center"/>
          </w:tcPr>
          <w:p>
            <w:pPr>
              <w:jc w:val="center"/>
            </w:pPr>
            <w:r>
              <w:rPr>
                <w:color w:val="000000"/>
                <w:sz w:val="24"/>
              </w:rPr>
              <w:t>2015-02-12</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上证指数上涨7.82%，创业板指数上涨5.60%，市场整体表现较好，大盘蓝筹整体走势强于中小盘成长板块。细分领域中，以食品饮料为代表的消费板块三季度涨幅较大，偏成长的领域中军工、光伏表现较强，而以信息技术为代表的科技板块受流动性以及中美关系等因素影响表现较弱。</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我们从季度初判断新兴成长板块可能会经历一段时间的盘整和消化，一方面板块前期涨幅较大估值较高，另一方面流动性环境也出现边际变化，于是我们在三季度整体采取了相对稳健的投资策略。我们从七月开始适当降低了股票仓位，并降低了对高弹性成长个股的配置比例，增加了对部分消费类个股及安全边际较强的大盘蓝筹股，让组合在科技板块整体回调幅度较大的情况下控制了净值回撤幅度。但三季度我们对光伏、免税、疫苗等偏成长领域的机会把握不足，这让我们的组合在成长板块整体风格不占优的情况下表现弱于了市场平均。我们对此有深刻的总结和思考，希望通过我们的勤勉尽责和投资体系的持续进化提升，为投资人贡献持续优异的回报。</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截至报告期末，本基金份额净值为2.866元，本报告期份额净值增长率为2.76%，同期业绩比较基准收益率为6.13%。</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2,101,399,614.70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84.51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2,101,399,614.70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84.51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375,075,653.13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15.08</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10,200,882.22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0.41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2,486,676,150.05</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1,422,683,191.44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57.56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293,126,926.02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11.86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129,414,265.00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5.24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36,632,652.00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1.48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119,670,493.62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4.84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99,741,841.66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4.04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2,101,399,614.70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85.02</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300476</w:t>
            </w:r>
          </w:p>
        </w:tc>
        <w:tc>
          <w:tcPr>
            <w:vAlign w:val="center"/>
          </w:tcPr>
          <w:p>
            <w:pPr>
              <w:jc w:val="center"/>
            </w:pPr>
            <w:r>
              <w:rPr>
                <w:color w:val="000000"/>
                <w:kern w:val="0"/>
                <w:sz w:val="24"/>
                <w:szCs w:val="24"/>
              </w:rPr>
              <w:t>胜宏科技</w:t>
            </w:r>
          </w:p>
        </w:tc>
        <w:tc>
          <w:tcPr>
            <w:vAlign w:val="center"/>
          </w:tcPr>
          <w:p>
            <w:pPr>
              <w:jc w:val="right"/>
            </w:pPr>
            <w:r>
              <w:rPr>
                <w:color w:val="000000"/>
                <w:kern w:val="0"/>
                <w:sz w:val="24"/>
                <w:szCs w:val="24"/>
              </w:rPr>
              <w:t>6,698,800</w:t>
            </w:r>
          </w:p>
        </w:tc>
        <w:tc>
          <w:tcPr>
            <w:vAlign w:val="center"/>
          </w:tcPr>
          <w:p>
            <w:pPr>
              <w:jc w:val="right"/>
            </w:pPr>
            <w:r>
              <w:rPr>
                <w:color w:val="000000"/>
                <w:kern w:val="0"/>
                <w:sz w:val="24"/>
                <w:szCs w:val="24"/>
              </w:rPr>
              <w:t>136,052,628.00</w:t>
            </w:r>
          </w:p>
        </w:tc>
        <w:tc>
          <w:tcPr>
            <w:vAlign w:val="center"/>
          </w:tcPr>
          <w:p>
            <w:pPr>
              <w:jc w:val="right"/>
            </w:pPr>
            <w:r>
              <w:rPr>
                <w:color w:val="000000"/>
                <w:kern w:val="0"/>
                <w:sz w:val="24"/>
                <w:szCs w:val="24"/>
              </w:rPr>
              <w:t>5.50</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527,357</w:t>
            </w:r>
          </w:p>
        </w:tc>
        <w:tc>
          <w:tcPr>
            <w:vAlign w:val="center"/>
          </w:tcPr>
          <w:p>
            <w:pPr>
              <w:jc w:val="right"/>
            </w:pPr>
            <w:r>
              <w:rPr>
                <w:color w:val="000000"/>
                <w:kern w:val="0"/>
                <w:sz w:val="24"/>
                <w:szCs w:val="24"/>
              </w:rPr>
              <w:t>116,545,897.00</w:t>
            </w:r>
          </w:p>
        </w:tc>
        <w:tc>
          <w:tcPr>
            <w:vAlign w:val="center"/>
          </w:tcPr>
          <w:p>
            <w:pPr>
              <w:jc w:val="right"/>
            </w:pPr>
            <w:r>
              <w:rPr>
                <w:color w:val="000000"/>
                <w:kern w:val="0"/>
                <w:sz w:val="24"/>
                <w:szCs w:val="24"/>
              </w:rPr>
              <w:t>4.72</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2,082,363</w:t>
            </w:r>
          </w:p>
        </w:tc>
        <w:tc>
          <w:tcPr>
            <w:vAlign w:val="center"/>
          </w:tcPr>
          <w:p>
            <w:pPr>
              <w:jc w:val="right"/>
            </w:pPr>
            <w:r>
              <w:rPr>
                <w:color w:val="000000"/>
                <w:kern w:val="0"/>
                <w:sz w:val="24"/>
                <w:szCs w:val="24"/>
              </w:rPr>
              <w:t>101,839,497.79</w:t>
            </w:r>
          </w:p>
        </w:tc>
        <w:tc>
          <w:tcPr>
            <w:vAlign w:val="center"/>
          </w:tcPr>
          <w:p>
            <w:pPr>
              <w:jc w:val="right"/>
            </w:pPr>
            <w:r>
              <w:rPr>
                <w:color w:val="000000"/>
                <w:kern w:val="0"/>
                <w:sz w:val="24"/>
                <w:szCs w:val="24"/>
              </w:rPr>
              <w:t>4.12</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601888</w:t>
            </w:r>
          </w:p>
        </w:tc>
        <w:tc>
          <w:tcPr>
            <w:vAlign w:val="center"/>
          </w:tcPr>
          <w:p>
            <w:pPr>
              <w:jc w:val="center"/>
            </w:pPr>
            <w:r>
              <w:rPr>
                <w:color w:val="000000"/>
                <w:kern w:val="0"/>
                <w:sz w:val="24"/>
                <w:szCs w:val="24"/>
              </w:rPr>
              <w:t>中国中免</w:t>
            </w:r>
          </w:p>
        </w:tc>
        <w:tc>
          <w:tcPr>
            <w:vAlign w:val="center"/>
          </w:tcPr>
          <w:p>
            <w:pPr>
              <w:jc w:val="right"/>
            </w:pPr>
            <w:r>
              <w:rPr>
                <w:color w:val="000000"/>
                <w:kern w:val="0"/>
                <w:sz w:val="24"/>
                <w:szCs w:val="24"/>
              </w:rPr>
              <w:t>444,714</w:t>
            </w:r>
          </w:p>
        </w:tc>
        <w:tc>
          <w:tcPr>
            <w:vAlign w:val="center"/>
          </w:tcPr>
          <w:p>
            <w:pPr>
              <w:jc w:val="right"/>
            </w:pPr>
            <w:r>
              <w:rPr>
                <w:color w:val="000000"/>
                <w:kern w:val="0"/>
                <w:sz w:val="24"/>
                <w:szCs w:val="24"/>
              </w:rPr>
              <w:t>99,144,539.16</w:t>
            </w:r>
          </w:p>
        </w:tc>
        <w:tc>
          <w:tcPr>
            <w:vAlign w:val="center"/>
          </w:tcPr>
          <w:p>
            <w:pPr>
              <w:jc w:val="right"/>
            </w:pPr>
            <w:r>
              <w:rPr>
                <w:color w:val="000000"/>
                <w:kern w:val="0"/>
                <w:sz w:val="24"/>
                <w:szCs w:val="24"/>
              </w:rPr>
              <w:t>4.01</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3,985,187</w:t>
            </w:r>
          </w:p>
        </w:tc>
        <w:tc>
          <w:tcPr>
            <w:vAlign w:val="center"/>
          </w:tcPr>
          <w:p>
            <w:pPr>
              <w:jc w:val="right"/>
            </w:pPr>
            <w:r>
              <w:rPr>
                <w:color w:val="000000"/>
                <w:kern w:val="0"/>
                <w:sz w:val="24"/>
                <w:szCs w:val="24"/>
              </w:rPr>
              <w:t>94,996,784.75</w:t>
            </w:r>
          </w:p>
        </w:tc>
        <w:tc>
          <w:tcPr>
            <w:vAlign w:val="center"/>
          </w:tcPr>
          <w:p>
            <w:pPr>
              <w:jc w:val="right"/>
            </w:pPr>
            <w:r>
              <w:rPr>
                <w:color w:val="000000"/>
                <w:kern w:val="0"/>
                <w:sz w:val="24"/>
                <w:szCs w:val="24"/>
              </w:rPr>
              <w:t>3.84</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1,080,275</w:t>
            </w:r>
          </w:p>
        </w:tc>
        <w:tc>
          <w:tcPr>
            <w:vAlign w:val="center"/>
          </w:tcPr>
          <w:p>
            <w:pPr>
              <w:jc w:val="right"/>
            </w:pPr>
            <w:r>
              <w:rPr>
                <w:color w:val="000000"/>
                <w:kern w:val="0"/>
                <w:sz w:val="24"/>
                <w:szCs w:val="24"/>
              </w:rPr>
              <w:t>84,464,999.43</w:t>
            </w:r>
          </w:p>
        </w:tc>
        <w:tc>
          <w:tcPr>
            <w:vAlign w:val="center"/>
          </w:tcPr>
          <w:p>
            <w:pPr>
              <w:jc w:val="right"/>
            </w:pPr>
            <w:r>
              <w:rPr>
                <w:color w:val="000000"/>
                <w:kern w:val="0"/>
                <w:sz w:val="24"/>
                <w:szCs w:val="24"/>
              </w:rPr>
              <w:t>3.42</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603259</w:t>
            </w:r>
          </w:p>
        </w:tc>
        <w:tc>
          <w:tcPr>
            <w:vAlign w:val="center"/>
          </w:tcPr>
          <w:p>
            <w:pPr>
              <w:jc w:val="center"/>
            </w:pPr>
            <w:r>
              <w:rPr>
                <w:color w:val="000000"/>
                <w:kern w:val="0"/>
                <w:sz w:val="24"/>
                <w:szCs w:val="24"/>
              </w:rPr>
              <w:t>药明康德</w:t>
            </w:r>
          </w:p>
        </w:tc>
        <w:tc>
          <w:tcPr>
            <w:vAlign w:val="center"/>
          </w:tcPr>
          <w:p>
            <w:pPr>
              <w:jc w:val="right"/>
            </w:pPr>
            <w:r>
              <w:rPr>
                <w:color w:val="000000"/>
                <w:kern w:val="0"/>
                <w:sz w:val="24"/>
                <w:szCs w:val="24"/>
              </w:rPr>
              <w:t>784,057</w:t>
            </w:r>
          </w:p>
        </w:tc>
        <w:tc>
          <w:tcPr>
            <w:vAlign w:val="center"/>
          </w:tcPr>
          <w:p>
            <w:pPr>
              <w:jc w:val="right"/>
            </w:pPr>
            <w:r>
              <w:rPr>
                <w:color w:val="000000"/>
                <w:kern w:val="0"/>
                <w:sz w:val="24"/>
                <w:szCs w:val="24"/>
              </w:rPr>
              <w:t>79,581,785.50</w:t>
            </w:r>
          </w:p>
        </w:tc>
        <w:tc>
          <w:tcPr>
            <w:vAlign w:val="center"/>
          </w:tcPr>
          <w:p>
            <w:pPr>
              <w:jc w:val="right"/>
            </w:pPr>
            <w:r>
              <w:rPr>
                <w:color w:val="000000"/>
                <w:kern w:val="0"/>
                <w:sz w:val="24"/>
                <w:szCs w:val="24"/>
              </w:rPr>
              <w:t>3.22</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000547</w:t>
            </w:r>
          </w:p>
        </w:tc>
        <w:tc>
          <w:tcPr>
            <w:vAlign w:val="center"/>
          </w:tcPr>
          <w:p>
            <w:pPr>
              <w:jc w:val="center"/>
            </w:pPr>
            <w:r>
              <w:rPr>
                <w:color w:val="000000"/>
                <w:kern w:val="0"/>
                <w:sz w:val="24"/>
                <w:szCs w:val="24"/>
              </w:rPr>
              <w:t>航天发展</w:t>
            </w:r>
          </w:p>
        </w:tc>
        <w:tc>
          <w:tcPr>
            <w:vAlign w:val="center"/>
          </w:tcPr>
          <w:p>
            <w:pPr>
              <w:jc w:val="right"/>
            </w:pPr>
            <w:r>
              <w:rPr>
                <w:color w:val="000000"/>
                <w:kern w:val="0"/>
                <w:sz w:val="24"/>
                <w:szCs w:val="24"/>
              </w:rPr>
              <w:t>3,270,695</w:t>
            </w:r>
          </w:p>
        </w:tc>
        <w:tc>
          <w:tcPr>
            <w:vAlign w:val="center"/>
          </w:tcPr>
          <w:p>
            <w:pPr>
              <w:jc w:val="right"/>
            </w:pPr>
            <w:r>
              <w:rPr>
                <w:color w:val="000000"/>
                <w:kern w:val="0"/>
                <w:sz w:val="24"/>
                <w:szCs w:val="24"/>
              </w:rPr>
              <w:t>69,534,975.70</w:t>
            </w:r>
          </w:p>
        </w:tc>
        <w:tc>
          <w:tcPr>
            <w:vAlign w:val="center"/>
          </w:tcPr>
          <w:p>
            <w:pPr>
              <w:jc w:val="right"/>
            </w:pPr>
            <w:r>
              <w:rPr>
                <w:color w:val="000000"/>
                <w:kern w:val="0"/>
                <w:sz w:val="24"/>
                <w:szCs w:val="24"/>
              </w:rPr>
              <w:t>2.81</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600570</w:t>
            </w:r>
          </w:p>
        </w:tc>
        <w:tc>
          <w:tcPr>
            <w:vAlign w:val="center"/>
          </w:tcPr>
          <w:p>
            <w:pPr>
              <w:jc w:val="center"/>
            </w:pPr>
            <w:r>
              <w:rPr>
                <w:color w:val="000000"/>
                <w:kern w:val="0"/>
                <w:sz w:val="24"/>
                <w:szCs w:val="24"/>
              </w:rPr>
              <w:t>恒生电子</w:t>
            </w:r>
          </w:p>
        </w:tc>
        <w:tc>
          <w:tcPr>
            <w:vAlign w:val="center"/>
          </w:tcPr>
          <w:p>
            <w:pPr>
              <w:jc w:val="right"/>
            </w:pPr>
            <w:r>
              <w:rPr>
                <w:color w:val="000000"/>
                <w:kern w:val="0"/>
                <w:sz w:val="24"/>
                <w:szCs w:val="24"/>
              </w:rPr>
              <w:t>668,307</w:t>
            </w:r>
          </w:p>
        </w:tc>
        <w:tc>
          <w:tcPr>
            <w:vAlign w:val="center"/>
          </w:tcPr>
          <w:p>
            <w:pPr>
              <w:jc w:val="right"/>
            </w:pPr>
            <w:r>
              <w:rPr>
                <w:color w:val="000000"/>
                <w:kern w:val="0"/>
                <w:sz w:val="24"/>
                <w:szCs w:val="24"/>
              </w:rPr>
              <w:t>65,888,387.13</w:t>
            </w:r>
          </w:p>
        </w:tc>
        <w:tc>
          <w:tcPr>
            <w:vAlign w:val="center"/>
          </w:tcPr>
          <w:p>
            <w:pPr>
              <w:jc w:val="right"/>
            </w:pPr>
            <w:r>
              <w:rPr>
                <w:color w:val="000000"/>
                <w:kern w:val="0"/>
                <w:sz w:val="24"/>
                <w:szCs w:val="24"/>
              </w:rPr>
              <w:t>2.67</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000403</w:t>
            </w:r>
          </w:p>
        </w:tc>
        <w:tc>
          <w:tcPr>
            <w:vAlign w:val="center"/>
          </w:tcPr>
          <w:p>
            <w:pPr>
              <w:jc w:val="center"/>
            </w:pPr>
            <w:r>
              <w:rPr>
                <w:color w:val="000000"/>
                <w:kern w:val="0"/>
                <w:sz w:val="24"/>
                <w:szCs w:val="24"/>
              </w:rPr>
              <w:t>双林生物</w:t>
            </w:r>
          </w:p>
        </w:tc>
        <w:tc>
          <w:tcPr>
            <w:vAlign w:val="center"/>
          </w:tcPr>
          <w:p>
            <w:pPr>
              <w:jc w:val="right"/>
            </w:pPr>
            <w:r>
              <w:rPr>
                <w:color w:val="000000"/>
                <w:kern w:val="0"/>
                <w:sz w:val="24"/>
                <w:szCs w:val="24"/>
              </w:rPr>
              <w:t>1,899,098</w:t>
            </w:r>
          </w:p>
        </w:tc>
        <w:tc>
          <w:tcPr>
            <w:vAlign w:val="center"/>
          </w:tcPr>
          <w:p>
            <w:pPr>
              <w:jc w:val="right"/>
            </w:pPr>
            <w:r>
              <w:rPr>
                <w:color w:val="000000"/>
                <w:kern w:val="0"/>
                <w:sz w:val="24"/>
                <w:szCs w:val="24"/>
              </w:rPr>
              <w:t>65,575,853.94</w:t>
            </w:r>
          </w:p>
        </w:tc>
        <w:tc>
          <w:tcPr>
            <w:vAlign w:val="center"/>
          </w:tcPr>
          <w:p>
            <w:pPr>
              <w:jc w:val="right"/>
            </w:pPr>
            <w:r>
              <w:rPr>
                <w:color w:val="000000"/>
                <w:kern w:val="0"/>
                <w:sz w:val="24"/>
                <w:szCs w:val="24"/>
              </w:rPr>
              <w:t>2.65</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750D48">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xml:space="preserve">5.9.1 </w:t>
      </w:r>
      <w:r w:rsidRPr="001B0A62">
        <w:rPr>
          <w:rFonts w:ascii="宋体" w:hAnsi="宋体" w:hint="eastAsia"/>
          <w:b/>
          <w:bCs/>
          <w:color w:val="000000"/>
          <w:kern w:val="0"/>
          <w:sz w:val="24"/>
          <w:szCs w:val="24"/>
        </w:rPr>
        <w:t>报告期末本基金投资的股指期货持仓和损益明细</w:t>
      </w:r>
      <w:r w:rsidRPr="00D92F47">
        <w:rPr>
          <w:rFonts w:ascii="宋体"/>
          <w:b/>
          <w:bCs/>
          <w:color w:val="000000"/>
          <w:kern w:val="0"/>
          <w:sz w:val="24"/>
          <w:szCs w:val="24"/>
        </w:rPr>
        <w:t/>
      </w:r>
      <w:proofErr w:type="spellStart"/>
      <w:r w:rsidRPr="00D92F47">
        <w:rPr>
          <w:rFonts w:ascii="宋体" w:hAnsi="宋体"/>
          <w:b/>
          <w:bCs/>
          <w:color w:val="000000"/>
          <w:kern w:val="0"/>
          <w:sz w:val="24"/>
          <w:szCs w:val="24"/>
        </w:rPr>
        <w:t/>
      </w:r>
      <w:proofErr w:type="spellEnd"/>
      <w:r w:rsidRPr="00D92F47">
        <w:rPr>
          <w:rFonts w:ascii="宋体" w:hAnsi="宋体"/>
          <w:b/>
          <w:bCs/>
          <w:color w:val="000000"/>
          <w:kern w:val="0"/>
          <w:sz w:val="24"/>
          <w:szCs w:val="24"/>
        </w:rPr>
        <w:t/>
      </w:r>
    </w:p>
    <w:tbl>
      <w:tblPr>
        <w:tblW w:type="dxa" w:w="884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133"/>
        <w:gridCol w:w="1302"/>
        <w:gridCol w:w="993"/>
        <w:gridCol w:w="1700"/>
        <w:gridCol w:w="1641"/>
        <w:gridCol w:w="2074"/>
      </w:tblGrid>
      <w:tr w:rsidR="00277FAE" w:rsidTr="003B5535">
        <w:trPr>
          <w:trHeight w:val="105"/>
          <w:jc w:val="center"/>
        </w:trPr>
        <w:tc>
          <w:tcPr>
            <w:tcW w:type="dxa" w:w="1134"/>
            <w:hideMark/>
          </w:tcPr>
          <w:p w:rsidR="00277FAE" w:rsidRDefault="00277FAE">
            <w:pPr>
              <w:pStyle w:val="Default"/>
              <w:rPr>
                <w:rFonts w:ascii="Times New Roman" w:cs="Times New Roman" w:hAnsi="Times New Roman"/>
              </w:rPr>
            </w:pPr>
            <w:r>
              <w:rPr>
                <w:rFonts w:ascii="Times New Roman" w:cs="Times New Roman" w:hAnsi="Times New Roman" w:hint="eastAsia"/>
              </w:rPr>
              <w:t>代码</w:t>
            </w:r>
            <w:r>
              <w:rPr>
                <w:rFonts w:ascii="Times New Roman" w:cs="Times New Roman" w:hAnsi="Times New Roman"/>
                <w:b/>
              </w:rPr>
              <w:t/>
            </w:r>
            <w:proofErr w:type="spellStart"/>
            <w:r>
              <w:rPr>
                <w:rFonts w:ascii="Times New Roman" w:cs="Times New Roman" w:hAnsi="Times New Roman"/>
                <w:b/>
              </w:rPr>
              <w:t/>
            </w:r>
            <w:proofErr w:type="spellEnd"/>
            <w:r>
              <w:rPr>
                <w:rFonts w:ascii="Times New Roman" w:cs="Times New Roman" w:hAnsi="Times New Roman"/>
              </w:rPr>
              <w:t/>
            </w:r>
            <w:r>
              <w:rPr>
                <w:rFonts w:ascii="Times New Roman" w:cs="Times New Roman" w:eastAsiaTheme="minorEastAsia" w:hAnsi="Times New Roman"/>
                <w:b/>
              </w:rPr>
              <w:t/>
            </w:r>
            <w:proofErr w:type="spellStart"/>
            <w:r>
              <w:rPr>
                <w:rFonts w:ascii="Times New Roman" w:cs="Times New Roman" w:eastAsiaTheme="minorEastAsia" w:hAnsi="Times New Roman"/>
                <w:b/>
              </w:rPr>
              <w:t/>
            </w:r>
            <w:proofErr w:type="spellEnd"/>
            <w:r>
              <w:rPr>
                <w:rFonts w:ascii="Times New Roman" w:cs="Times New Roman" w:eastAsiaTheme="minorEastAsia" w:hAnsi="Times New Roman"/>
                <w:b/>
              </w:rPr>
              <w:t/>
            </w:r>
          </w:p>
        </w:tc>
        <w:tc>
          <w:tcPr>
            <w:tcW w:type="dxa" w:w="1303"/>
            <w:hideMark/>
          </w:tcPr>
          <w:p w:rsidR="00277FAE" w:rsidRDefault="00277FAE">
            <w:pPr>
              <w:pStyle w:val="Default"/>
              <w:rPr>
                <w:rFonts w:ascii="Times New Roman" w:cs="Times New Roman" w:hAnsi="Times New Roman"/>
              </w:rPr>
            </w:pPr>
            <w:r>
              <w:rPr>
                <w:rFonts w:ascii="Times New Roman" w:cs="Times New Roman" w:hAnsi="Times New Roman" w:hint="eastAsia"/>
              </w:rPr>
              <w:t>名称</w:t>
            </w:r>
          </w:p>
        </w:tc>
        <w:tc>
          <w:tcPr>
            <w:tcW w:type="dxa" w:w="993"/>
            <w:hideMark/>
          </w:tcPr>
          <w:p w:rsidR="00277FAE" w:rsidRDefault="00277FAE">
            <w:pPr>
              <w:pStyle w:val="Default"/>
              <w:rPr>
                <w:rFonts w:ascii="Times New Roman" w:cs="Times New Roman" w:hAnsi="Times New Roman"/>
              </w:rPr>
            </w:pPr>
            <w:r>
              <w:rPr>
                <w:rFonts w:ascii="Times New Roman" w:cs="Times New Roman" w:hAnsi="Times New Roman" w:hint="eastAsia"/>
              </w:rPr>
              <w:t>持仓量</w:t>
            </w:r>
          </w:p>
        </w:tc>
        <w:tc>
          <w:tcPr>
            <w:tcW w:type="dxa" w:w="1700"/>
            <w:hideMark/>
          </w:tcPr>
          <w:p w:rsidR="00277FAE" w:rsidRDefault="00277FAE">
            <w:pPr>
              <w:pStyle w:val="Default"/>
              <w:rPr>
                <w:rFonts w:ascii="Times New Roman" w:cs="Times New Roman" w:hAnsi="Times New Roman"/>
              </w:rPr>
            </w:pPr>
            <w:r>
              <w:rPr>
                <w:rFonts w:ascii="Times New Roman" w:cs="Times New Roman" w:hAnsi="Times New Roman" w:hint="eastAsia"/>
              </w:rPr>
              <w:t>合约市值（元）</w:t>
            </w:r>
          </w:p>
        </w:tc>
        <w:tc>
          <w:tcPr>
            <w:tcW w:type="dxa" w:w="1641"/>
            <w:hideMark/>
          </w:tcPr>
          <w:p w:rsidR="00277FAE" w:rsidRDefault="00277FAE">
            <w:pPr>
              <w:pStyle w:val="Default"/>
              <w:rPr>
                <w:rFonts w:ascii="Times New Roman" w:cs="Times New Roman" w:hAnsi="Times New Roman"/>
              </w:rPr>
            </w:pPr>
            <w:r>
              <w:rPr>
                <w:rFonts w:ascii="Times New Roman" w:cs="Times New Roman" w:hAnsi="Times New Roman" w:hint="eastAsia"/>
              </w:rPr>
              <w:t>公允价值变动（元）</w:t>
            </w:r>
          </w:p>
        </w:tc>
        <w:tc>
          <w:tcPr>
            <w:tcW w:type="dxa" w:w="2074"/>
            <w:hideMark/>
          </w:tcPr>
          <w:p w:rsidR="00277FAE" w:rsidRDefault="00277FAE">
            <w:pPr>
              <w:pStyle w:val="Default"/>
              <w:jc w:val="center"/>
              <w:rPr>
                <w:rFonts w:ascii="Times New Roman" w:cs="Times New Roman" w:hAnsi="Times New Roman"/>
                <w:color w:val="auto"/>
              </w:rPr>
            </w:pPr>
            <w:r>
              <w:rPr>
                <w:rFonts w:ascii="Times New Roman" w:cs="Times New Roman" w:hAnsi="Times New Roman" w:hint="eastAsia"/>
                <w:color w:val="auto"/>
              </w:rPr>
              <w:t>风险说明</w:t>
            </w:r>
          </w:p>
        </w:tc>
      </w:tr>
      <w:tr>
        <w:tc>
          <w:tcPr>
            <w:vAlign w:val="center"/>
          </w:tcPr>
          <w:p>
            <w:pPr>
              <w:jc w:val="center"/>
            </w:pPr>
            <w:r>
              <w:rPr>
                <w:rFonts w:ascii="Times New Roman" w:cs="Times New Roman" w:hAnsi="Times New Roman"/>
              </w:rPr>
              <w:t>-</w:t>
            </w:r>
          </w:p>
        </w:tc>
        <w:tc>
          <w:tcPr>
            <w:vAlign w:val="center"/>
          </w:tcPr>
          <w:p>
            <w:pPr>
              <w:jc w:val="center"/>
            </w:pPr>
            <w:r>
              <w:rPr>
                <w:rFonts w:ascii="Times New Roman" w:cs="Times New Roman" w:hAnsi="Times New Roman"/>
              </w:rPr>
              <w:t>-</w:t>
            </w:r>
          </w:p>
        </w:tc>
        <w:tc>
          <w:tcPr>
            <w:vAlign w:val="center"/>
          </w:tcPr>
          <w:p>
            <w:pPr>
              <w:jc w:val="center"/>
            </w:pPr>
            <w:r>
              <w:rPr>
                <w:rFonts w:ascii="Times New Roman" w:cs="Times New Roman" w:hAnsi="Times New Roman"/>
              </w:rPr>
              <w:t>-</w:t>
            </w:r>
          </w:p>
        </w:tc>
        <w:tc>
          <w:tcPr>
            <w:vAlign w:val="center"/>
          </w:tcPr>
          <w:p>
            <w:pPr>
              <w:jc w:val="center"/>
            </w:pPr>
            <w:r>
              <w:rPr>
                <w:rFonts w:ascii="Times New Roman" w:cs="Times New Roman" w:hAnsi="Times New Roman"/>
              </w:rPr>
              <w:t>-</w:t>
            </w:r>
          </w:p>
        </w:tc>
        <w:tc>
          <w:tcPr>
            <w:vAlign w:val="center"/>
          </w:tcPr>
          <w:p>
            <w:pPr>
              <w:jc w:val="center"/>
            </w:pPr>
            <w:r>
              <w:rPr>
                <w:rFonts w:ascii="Times New Roman" w:cs="Times New Roman" w:hAnsi="Times New Roman"/>
              </w:rPr>
              <w:t>-</w:t>
            </w:r>
          </w:p>
        </w:tc>
        <w:tc>
          <w:tcPr>
            <w:vAlign w:val="center"/>
          </w:tcPr>
          <w:p>
            <w:pPr>
              <w:jc w:val="center"/>
            </w:pPr>
            <w:r>
              <w:rPr>
                <w:rFonts w:ascii="Times New Roman" w:cs="Times New Roman" w:hAnsi="Times New Roman"/>
              </w:rPr>
              <w:t>-</w:t>
            </w:r>
          </w:p>
        </w:tc>
      </w:tr>
      <w:tr w:rsidR="00277FAE" w:rsidTr="003B5535">
        <w:trPr>
          <w:trHeight w:val="105"/>
          <w:jc w:val="center"/>
        </w:trPr>
        <w:tc>
          <w:tcPr>
            <w:tcW w:type="dxa" w:w="6771"/>
            <w:gridSpan w:val="5"/>
            <w:hideMark/>
          </w:tcPr>
          <w:p w:rsidR="00277FAE" w:rsidRDefault="00277FAE">
            <w:pPr>
              <w:pStyle w:val="Default"/>
              <w:rPr>
                <w:rFonts w:ascii="Times New Roman" w:cs="Times New Roman" w:hAnsi="Times New Roman"/>
              </w:rPr>
            </w:pPr>
            <w:r>
              <w:rPr>
                <w:rFonts w:ascii="Times New Roman" w:cs="Times New Roman" w:hAnsi="Times New Roman" w:hint="eastAsia"/>
              </w:rPr>
              <w:t>公允价值变动总额合计</w:t>
            </w:r>
            <w:r>
              <w:rPr>
                <w:rFonts w:ascii="Times New Roman" w:cs="Times New Roman" w:hAnsi="Times New Roman"/>
              </w:rPr>
              <w:t>(</w:t>
            </w:r>
            <w:r>
              <w:rPr>
                <w:rFonts w:ascii="Times New Roman" w:cs="Times New Roman" w:hAnsi="Times New Roman" w:hint="eastAsia"/>
              </w:rPr>
              <w:t>元</w:t>
            </w:r>
            <w:r>
              <w:rPr>
                <w:rFonts w:ascii="Times New Roman" w:cs="Times New Roman" w:hAnsi="Times New Roman"/>
              </w:rPr>
              <w:t>)</w:t>
            </w:r>
          </w:p>
        </w:tc>
        <w:tc>
          <w:tcPr>
            <w:tcW w:type="dxa" w:w="2074"/>
            <w:hideMark/>
          </w:tcPr>
          <w:p w:rsidR="00277FAE" w:rsidRDefault="00277FAE">
            <w:pPr>
              <w:pStyle w:val="Default"/>
              <w:jc w:val="right"/>
              <w:rPr>
                <w:rFonts w:ascii="Times New Roman" w:cs="Times New Roman" w:hAnsi="Times New Roman"/>
                <w:color w:val="auto"/>
              </w:rPr>
            </w:pPr>
            <w:r>
              <w:rPr>
                <w:rFonts w:ascii="Times New Roman" w:cs="Times New Roman" w:hAnsi="Times New Roman"/>
                <w:color w:val="auto"/>
              </w:rPr>
              <w:t/>
            </w:r>
            <w:proofErr w:type="spellStart"/>
            <w:r>
              <w:rPr>
                <w:rFonts w:ascii="Times New Roman" w:cs="Times New Roman" w:hAnsi="Times New Roman"/>
                <w:color w:val="auto"/>
              </w:rPr>
              <w:t/>
            </w:r>
            <w:proofErr w:type="spellEnd"/>
            <w:r>
              <w:rPr>
                <w:rFonts w:ascii="Times New Roman" w:cs="Times New Roman" w:hAnsi="Times New Roman"/>
                <w:color w:val="auto"/>
              </w:rPr>
              <w:t>-</w:t>
            </w:r>
          </w:p>
        </w:tc>
      </w:tr>
      <w:tr w:rsidR="00277FAE" w:rsidTr="003B5535">
        <w:trPr>
          <w:trHeight w:val="105"/>
          <w:jc w:val="center"/>
        </w:trPr>
        <w:tc>
          <w:tcPr>
            <w:tcW w:type="dxa" w:w="6771"/>
            <w:gridSpan w:val="5"/>
            <w:hideMark/>
          </w:tcPr>
          <w:p w:rsidR="00277FAE" w:rsidRDefault="00277FAE">
            <w:pPr>
              <w:pStyle w:val="Default"/>
              <w:rPr>
                <w:rFonts w:ascii="Times New Roman" w:cs="Times New Roman" w:hAnsi="Times New Roman"/>
                <w:color w:val="auto"/>
              </w:rPr>
            </w:pPr>
            <w:r>
              <w:rPr>
                <w:rFonts w:ascii="Times New Roman" w:cs="Times New Roman" w:hAnsi="Times New Roman" w:hint="eastAsia"/>
                <w:color w:val="auto"/>
              </w:rPr>
              <w:t>股指期货投资本期收益</w:t>
            </w:r>
            <w:r>
              <w:rPr>
                <w:rFonts w:ascii="Times New Roman" w:cs="Times New Roman" w:hAnsi="Times New Roman"/>
              </w:rPr>
              <w:t>(</w:t>
            </w:r>
            <w:r>
              <w:rPr>
                <w:rFonts w:ascii="Times New Roman" w:cs="Times New Roman" w:hAnsi="Times New Roman" w:hint="eastAsia"/>
              </w:rPr>
              <w:t>元</w:t>
            </w:r>
            <w:r>
              <w:rPr>
                <w:rFonts w:ascii="Times New Roman" w:cs="Times New Roman" w:hAnsi="Times New Roman"/>
              </w:rPr>
              <w:t>)</w:t>
            </w:r>
          </w:p>
        </w:tc>
        <w:tc>
          <w:tcPr>
            <w:tcW w:type="dxa" w:w="2074"/>
            <w:hideMark/>
          </w:tcPr>
          <w:p w:rsidR="00277FAE" w:rsidRDefault="00277FAE">
            <w:pPr>
              <w:pStyle w:val="Default"/>
              <w:jc w:val="right"/>
              <w:rPr>
                <w:rFonts w:ascii="Times New Roman" w:cs="Times New Roman" w:hAnsi="Times New Roman"/>
                <w:color w:val="auto"/>
              </w:rPr>
            </w:pPr>
            <w:r>
              <w:rPr>
                <w:rFonts w:ascii="Times New Roman" w:cs="Times New Roman" w:hAnsi="Times New Roman"/>
                <w:color w:val="auto"/>
              </w:rPr>
              <w:t/>
            </w:r>
            <w:proofErr w:type="spellStart"/>
            <w:r>
              <w:rPr>
                <w:rFonts w:ascii="Times New Roman" w:cs="Times New Roman" w:hAnsi="Times New Roman"/>
                <w:color w:val="auto"/>
              </w:rPr>
              <w:t/>
            </w:r>
            <w:r>
              <w:rPr>
                <w:rFonts w:ascii="Times New Roman" w:cs="Times New Roman" w:hAnsi="Times New Roman"/>
                <w:color w:val="auto"/>
              </w:rPr>
              <w:lastRenderedPageBreak/>
              <w:t/>
            </w:r>
            <w:proofErr w:type="spellEnd"/>
            <w:r>
              <w:rPr>
                <w:rFonts w:ascii="Times New Roman" w:cs="Times New Roman" w:hAnsi="Times New Roman"/>
                <w:color w:val="auto"/>
              </w:rPr>
              <w:t>-3,750,320.00</w:t>
            </w:r>
          </w:p>
        </w:tc>
      </w:tr>
      <w:tr w:rsidR="00277FAE" w:rsidTr="003B5535">
        <w:trPr>
          <w:trHeight w:val="105"/>
          <w:jc w:val="center"/>
        </w:trPr>
        <w:tc>
          <w:tcPr>
            <w:tcW w:type="dxa" w:w="6771"/>
            <w:gridSpan w:val="5"/>
            <w:hideMark/>
          </w:tcPr>
          <w:p w:rsidR="00277FAE" w:rsidRDefault="00277FAE">
            <w:pPr>
              <w:pStyle w:val="Default"/>
              <w:rPr>
                <w:rFonts w:ascii="Times New Roman" w:cs="Times New Roman" w:hAnsi="Times New Roman"/>
                <w:color w:val="auto"/>
              </w:rPr>
            </w:pPr>
            <w:r>
              <w:rPr>
                <w:rFonts w:ascii="Times New Roman" w:cs="Times New Roman" w:hAnsi="Times New Roman" w:hint="eastAsia"/>
                <w:color w:val="auto"/>
              </w:rPr>
              <w:lastRenderedPageBreak/>
              <w:t>股指期货投资本期公允价值变动</w:t>
            </w:r>
            <w:r>
              <w:rPr>
                <w:rFonts w:ascii="Times New Roman" w:cs="Times New Roman" w:hAnsi="Times New Roman"/>
              </w:rPr>
              <w:t>(</w:t>
            </w:r>
            <w:r>
              <w:rPr>
                <w:rFonts w:ascii="Times New Roman" w:cs="Times New Roman" w:hAnsi="Times New Roman" w:hint="eastAsia"/>
              </w:rPr>
              <w:t>元</w:t>
            </w:r>
            <w:r>
              <w:rPr>
                <w:rFonts w:ascii="Times New Roman" w:cs="Times New Roman" w:hAnsi="Times New Roman"/>
              </w:rPr>
              <w:t>)</w:t>
            </w:r>
          </w:p>
        </w:tc>
        <w:tc>
          <w:tcPr>
            <w:tcW w:type="dxa" w:w="2074"/>
            <w:hideMark/>
          </w:tcPr>
          <w:p w:rsidR="00277FAE" w:rsidRDefault="00277FAE">
            <w:pPr>
              <w:pStyle w:val="Default"/>
              <w:jc w:val="right"/>
              <w:rPr>
                <w:rFonts w:ascii="Times New Roman" w:cs="Times New Roman" w:hAnsi="Times New Roman"/>
                <w:color w:val="auto"/>
              </w:rPr>
            </w:pPr>
            <w:r>
              <w:rPr>
                <w:rFonts w:ascii="Times New Roman" w:cs="Times New Roman" w:hAnsi="Times New Roman"/>
                <w:color w:val="auto"/>
              </w:rPr>
              <w:t>-</w:t>
            </w:r>
          </w:p>
        </w:tc>
      </w:tr>
    </w:tbl>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注：本基金本报告期末未投资股指期货。</w:t>
      </w:r>
    </w:p>
    <w:p w:rsidP="00277FAE"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xml:space="preserve">5.9.2 </w:t>
      </w:r>
      <w:r w:rsidRPr="001B0A62">
        <w:rPr>
          <w:rFonts w:ascii="宋体" w:hAnsi="宋体" w:hint="eastAsia"/>
          <w:b/>
          <w:bCs/>
          <w:color w:val="000000"/>
          <w:kern w:val="0"/>
          <w:sz w:val="24"/>
          <w:szCs w:val="24"/>
        </w:rPr>
        <w:t>本基金投资股指期货的投资政策</w:t>
      </w:r>
      <w:r w:rsidRPr="00D92F47">
        <w:rPr>
          <w:rFonts w:ascii="宋体"/>
          <w:b/>
          <w:bCs/>
          <w:color w:val="000000"/>
          <w:kern w:val="0"/>
          <w:sz w:val="24"/>
          <w:szCs w:val="24"/>
        </w:rPr>
        <w:t/>
      </w:r>
      <w:proofErr w:type="spellStart"/>
      <w:r w:rsidRPr="00D92F47">
        <w:rPr>
          <w:rFonts w:ascii="宋体" w:hAnsi="宋体"/>
          <w:b/>
          <w:bCs/>
          <w:color w:val="000000"/>
          <w:kern w:val="0"/>
          <w:sz w:val="24"/>
          <w:szCs w:val="24"/>
        </w:rPr>
        <w:t/>
      </w:r>
      <w:proofErr w:type="spellEnd"/>
      <w:r w:rsidRPr="00D92F47">
        <w:rPr>
          <w:rFonts w:ascii="宋体" w:hAnsi="宋体"/>
          <w:b/>
          <w:bCs/>
          <w:color w:val="000000"/>
          <w:kern w:val="0"/>
          <w:sz w:val="24"/>
          <w:szCs w:val="24"/>
        </w:rPr>
        <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可投资股指期货和其他经中国证监会允许的衍生金融产品。本基金投资股指期货根据风险管理的原则,以套期保值为目的,主要选择流动性好、交易活跃的股指期货合约。本基金力争利用股指期货的杠杆作用，降低股票仓位频繁调整的交易成本，达到对冲股票系统性风险、降低净值波动、提高组合风险调整后收益的效果。本报告期内,本基金投资股指期货符合既定的投资政策和投资目的。</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10月31日，上海市崇明区建设和管理委员会根据《上海市崇明区建设和管理委员会第2120190022号》决定文书，对上海城地香江数据科技股份有限公司处以人民币2万元罚款。2020年3月18日，镇江市住房和城乡建设局针对上海城地建设股份有限公司未按照扬尘污染防治方案采取防尘降尘措施的违法违规行为，对公司处以人民币1.5万元罚款。</w:t>
      </w:r>
    </w:p>
    <w:p>
      <w:pPr>
        <w:spacing w:line="360" w:lineRule="auto"/>
        <w:rPr>
          <w:rFonts w:ascii="宋体" w:hAnsi="宋体"/>
          <w:color w:val="000000"/>
          <w:sz w:val="24"/>
          <w:szCs w:val="24"/>
        </w:rPr>
      </w:pPr>
      <w:r>
        <w:rPr>
          <w:rFonts w:ascii="宋体" w:hAnsi="宋体"/>
          <w:color w:val="000000"/>
          <w:sz w:val="24"/>
          <w:szCs w:val="24"/>
        </w:rPr>
        <w:t>本基金投资城地股份的投资决策程序符合公司投资制度的规定。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除城地股份外，本基金投资的前十名证券的发行主体本期没有出现被监管部门立案调查，或在报告编制日前一年内受到公开谴责、处罚的情形。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508,537.78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4,744,384.21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50,387.41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4,897,572.82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10,200,882.22</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27,456,000.00</w:t>
            </w:r>
          </w:p>
        </w:tc>
        <w:tc>
          <w:tcPr>
            <w:vAlign w:val="center"/>
          </w:tcPr>
          <w:p>
            <w:pPr>
              <w:jc w:val="right"/>
            </w:pPr>
            <w:r>
              <w:rPr>
                <w:color w:val="000000"/>
                <w:kern w:val="0"/>
                <w:sz w:val="24"/>
                <w:szCs w:val="24"/>
              </w:rPr>
              <w:t>1.11</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26,990,547.79</w:t>
            </w:r>
          </w:p>
        </w:tc>
        <w:tc>
          <w:tcPr>
            <w:vAlign w:val="center"/>
          </w:tcPr>
          <w:p>
            <w:pPr>
              <w:jc w:val="right"/>
            </w:pPr>
            <w:r>
              <w:rPr>
                <w:color w:val="000000"/>
                <w:kern w:val="0"/>
                <w:sz w:val="24"/>
                <w:szCs w:val="24"/>
              </w:rPr>
              <w:t>1.09</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9,519,587.16</w:t>
            </w:r>
          </w:p>
        </w:tc>
        <w:tc>
          <w:tcPr>
            <w:vAlign w:val="center"/>
          </w:tcPr>
          <w:p>
            <w:pPr>
              <w:jc w:val="right"/>
            </w:pPr>
            <w:r>
              <w:rPr>
                <w:color w:val="000000"/>
                <w:kern w:val="0"/>
                <w:sz w:val="24"/>
                <w:szCs w:val="24"/>
              </w:rPr>
              <w:t>0.39</w:t>
            </w:r>
          </w:p>
        </w:tc>
        <w:tc>
          <w:tcPr>
            <w:vAlign w:val="center"/>
          </w:tcPr>
          <w:p>
            <w:pPr>
              <w:jc w:val="right"/>
            </w:pPr>
            <w:r>
              <w:rPr>
                <w:color w:val="000000"/>
                <w:kern w:val="0"/>
                <w:sz w:val="24"/>
                <w:szCs w:val="24"/>
              </w:rPr>
              <w:t>非公开发行流通受限</w:t>
            </w:r>
          </w:p>
        </w:tc>
      </w:tr>
    </w:tbl>
    <w:p>
      <w:pPr>
        <w:spacing w:line="360" w:lineRule="auto"/>
        <w:ind w:firstLine="480" w:firstLineChars="200"/>
        <w:rPr>
          <w:color w:val="000000"/>
          <w:sz w:val="24"/>
          <w:szCs w:val="24"/>
        </w:rPr>
      </w:pPr>
      <w:r>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根据《深圳/上海证券交易所上市公司股东及董事、监事、高级管理人员减持股份实施细则》，大股东以外的股东减持所持有的上市公司非公开发行股份，采取集中竞价交易方式的，在任意连续90日内，减持股份的总数不得超过公司股份总数的1%。持有上市公司非公开发行股份的股东，通过集中竞价交易减持该部分股份的，除遵守前款规定外，自股份解除限售之日起12个月内，减持数量不得超过其持有该次非公开发行股份数量的50%。</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832,573,129.42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387,962,369.63</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358,280,614.54</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862,254,884.51</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AC11B0" w:rsidR="00AC11B0" w:rsidRDefault="00AC11B0" w:rsidRPr="005A564A">
      <w:pPr>
        <w:autoSpaceDE w:val="0"/>
        <w:autoSpaceDN w:val="0"/>
        <w:adjustRightInd w:val="0"/>
        <w:spacing w:before="29" w:line="360" w:lineRule="auto"/>
        <w:ind w:left="15"/>
        <w:jc w:val="right"/>
        <w:rPr>
          <w:sz w:val="24"/>
        </w:rPr>
      </w:pPr>
      <w:r w:rsidRPr="005A564A">
        <w:rPr>
          <w:sz w:val="24"/>
        </w:rPr>
        <w:t/>
      </w:r>
      <w:proofErr w:type="spellStart"/>
      <w:r w:rsidRPr="005A564A">
        <w:rPr>
          <w:sz w:val="24"/>
        </w:rPr>
        <w:t/>
      </w:r>
      <w:proofErr w:type="spellEnd"/>
      <w:r w:rsidRPr="005A564A">
        <w:rPr>
          <w:sz w:val="24"/>
        </w:rPr>
        <w:t/>
      </w:r>
      <w:r w:rsidRPr="005A564A">
        <w:rPr>
          <w:sz w:val="24"/>
        </w:rPr>
        <w:t>单位：份</w:t>
      </w:r>
    </w:p>
    <w:tbl>
      <w:tblPr>
        <w:tblW w:type="dxa" w:w="841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5037"/>
        <w:gridCol w:w="3378"/>
      </w:tblGrid>
      <w:tr w:rsidR="00AC11B0" w:rsidRPr="003B42FF" w:rsidTr="003B5535">
        <w:tc>
          <w:tcPr>
            <w:tcW w:type="dxa" w:w="5037"/>
            <w:vAlign w:val="center"/>
            <w:hideMark/>
          </w:tcPr>
          <w:p w:rsidP="003328D9" w:rsidR="00AC11B0" w:rsidRDefault="00AC11B0" w:rsidRPr="003B42FF">
            <w:pPr>
              <w:pStyle w:val="ad"/>
              <w:adjustRightInd w:val="0"/>
              <w:snapToGrid w:val="0"/>
              <w:spacing w:line="360" w:lineRule="exact"/>
              <w:rPr>
                <w:rFonts w:eastAsiaTheme="minorEastAsia"/>
                <w:color w:themeColor="text1" w:val="000000"/>
              </w:rPr>
            </w:pPr>
            <w:r w:rsidRPr="003B42FF">
              <w:rPr>
                <w:rFonts w:eastAsiaTheme="minorEastAsia"/>
                <w:color w:themeColor="text1" w:val="000000"/>
              </w:rPr>
              <w:t>报告期期初管理人持有的本基金份额</w:t>
            </w:r>
            <w:r w:rsidRPr="003B42FF">
              <w:rPr>
                <w:rFonts w:eastAsiaTheme="minorEastAsia"/>
                <w:bCs/>
                <w:color w:val="000000"/>
              </w:rPr>
              <w:t/>
            </w:r>
            <w:proofErr w:type="spellStart"/>
            <w:r w:rsidRPr="003B42FF">
              <w:rPr>
                <w:rFonts w:eastAsiaTheme="minorEastAsia"/>
                <w:bCs/>
                <w:color w:val="000000"/>
              </w:rPr>
              <w:t/>
            </w:r>
            <w:proofErr w:type="spellEnd"/>
            <w:r w:rsidRPr="003B42FF">
              <w:rPr>
                <w:rFonts w:eastAsiaTheme="minorEastAsia"/>
                <w:bCs/>
                <w:color w:val="000000"/>
              </w:rPr>
              <w:t/>
            </w:r>
            <w:r w:rsidRPr="003B42FF">
              <w:rPr>
                <w:rFonts w:eastAsiaTheme="minorEastAsia"/>
                <w:color w:themeColor="text1" w:val="000000"/>
              </w:rPr>
              <w:t/>
            </w:r>
            <w:proofErr w:type="spellStart"/>
            <w:r w:rsidRPr="003B42FF">
              <w:rPr>
                <w:rFonts w:eastAsiaTheme="minorEastAsia"/>
                <w:color w:themeColor="text1" w:val="000000"/>
              </w:rPr>
              <w:t/>
            </w:r>
            <w:proofErr w:type="spellEnd"/>
            <w:r w:rsidRPr="003B42FF">
              <w:rPr>
                <w:rFonts w:eastAsiaTheme="minorEastAsia"/>
                <w:color w:themeColor="text1" w:val="000000"/>
              </w:rPr>
              <w:t/>
            </w:r>
          </w:p>
        </w:tc>
        <w:tc>
          <w:tcPr>
            <w:tcW w:type="dxa" w:w="3378"/>
            <w:vAlign w:val="center"/>
            <w:hideMark/>
          </w:tcPr>
          <w:p w:rsidP="003328D9" w:rsidR="00AC11B0" w:rsidRDefault="00AC11B0" w:rsidRPr="003B42FF">
            <w:pPr>
              <w:jc w:val="right"/>
              <w:rPr>
                <w:rFonts w:eastAsiaTheme="minorEastAsia"/>
                <w:color w:themeColor="text1" w:val="000000"/>
                <w:sz w:val="24"/>
                <w:szCs w:val="24"/>
              </w:rPr>
            </w:pPr>
            <w:r w:rsidRPr="003B42FF">
              <w:rPr>
                <w:rFonts w:eastAsiaTheme="minorEastAsia"/>
                <w:color w:themeColor="text1" w:val="000000"/>
                <w:sz w:val="24"/>
                <w:szCs w:val="24"/>
              </w:rPr>
              <w:t>49,602,678.57</w:t>
            </w:r>
          </w:p>
        </w:tc>
      </w:tr>
      <w:tr w:rsidR="00AC11B0" w:rsidRPr="003B42FF" w:rsidTr="003B5535">
        <w:tc>
          <w:tcPr>
            <w:tcW w:type="dxa" w:w="5037"/>
            <w:vAlign w:val="center"/>
            <w:hideMark/>
          </w:tcPr>
          <w:p w:rsidP="003328D9" w:rsidR="00AC11B0" w:rsidRDefault="00AC11B0" w:rsidRPr="003B42FF">
            <w:pPr>
              <w:adjustRightInd w:val="0"/>
              <w:snapToGrid w:val="0"/>
              <w:spacing w:line="360" w:lineRule="exact"/>
              <w:rPr>
                <w:rFonts w:eastAsiaTheme="minorEastAsia"/>
                <w:color w:themeColor="text1" w:val="000000"/>
                <w:sz w:val="24"/>
                <w:szCs w:val="24"/>
              </w:rPr>
            </w:pPr>
            <w:r w:rsidRPr="003B42FF">
              <w:rPr>
                <w:rFonts w:eastAsiaTheme="minorEastAsia"/>
                <w:color w:themeColor="text1" w:val="000000"/>
                <w:kern w:val="0"/>
                <w:sz w:val="24"/>
                <w:szCs w:val="24"/>
              </w:rPr>
              <w:t/>
            </w:r>
            <w:proofErr w:type="spellStart"/>
            <w:r w:rsidRPr="003B42FF">
              <w:rPr>
                <w:rFonts w:eastAsiaTheme="minorEastAsia"/>
                <w:color w:themeColor="text1" w:val="000000"/>
                <w:kern w:val="0"/>
                <w:sz w:val="24"/>
                <w:szCs w:val="24"/>
              </w:rPr>
              <w:t/>
            </w:r>
            <w:r w:rsidR="00DA718D">
              <w:rPr>
                <w:color w:val="000000"/>
                <w:kern w:val="0"/>
                <w:sz w:val="24"/>
              </w:rPr>
              <w:t/>
            </w:r>
            <w:proofErr w:type="spellEnd"/>
            <w:r w:rsidRPr="003B42FF">
              <w:rPr>
                <w:rFonts w:eastAsiaTheme="minorEastAsia"/>
                <w:color w:themeColor="text1" w:val="000000"/>
                <w:kern w:val="0"/>
                <w:sz w:val="24"/>
                <w:szCs w:val="24"/>
              </w:rPr>
              <w:t>报告期</w:t>
            </w:r>
            <w:r w:rsidR="00B53067" w:rsidRPr="00B53067">
              <w:rPr>
                <w:rFonts w:eastAsiaTheme="minorEastAsia"/>
                <w:color w:themeColor="text1" w:val="000000"/>
                <w:sz w:val="24"/>
                <w:szCs w:val="24"/>
              </w:rPr>
              <w:t>期间</w:t>
            </w:r>
            <w:r w:rsidRPr="003B42FF">
              <w:rPr>
                <w:rFonts w:eastAsiaTheme="minorEastAsia"/>
                <w:color w:themeColor="text1" w:val="000000"/>
                <w:sz w:val="24"/>
                <w:szCs w:val="24"/>
              </w:rPr>
              <w:t>买入</w:t>
            </w:r>
            <w:r w:rsidRPr="003B42FF">
              <w:rPr>
                <w:rFonts w:eastAsiaTheme="minorEastAsia"/>
                <w:color w:themeColor="text1" w:val="000000"/>
                <w:sz w:val="24"/>
                <w:szCs w:val="24"/>
              </w:rPr>
              <w:t>/</w:t>
            </w:r>
            <w:r w:rsidRPr="003B42FF">
              <w:rPr>
                <w:rFonts w:eastAsiaTheme="minorEastAsia"/>
                <w:color w:themeColor="text1" w:val="000000"/>
                <w:sz w:val="24"/>
                <w:szCs w:val="24"/>
              </w:rPr>
              <w:t>申购总份额</w:t>
            </w:r>
          </w:p>
        </w:tc>
        <w:tc>
          <w:tcPr>
            <w:tcW w:type="dxa" w:w="3378"/>
            <w:vAlign w:val="center"/>
            <w:hideMark/>
          </w:tcPr>
          <w:p w:rsidP="003328D9" w:rsidR="00AC11B0" w:rsidRDefault="00AC11B0" w:rsidRPr="003B42FF">
            <w:pPr>
              <w:jc w:val="right"/>
              <w:rPr>
                <w:rFonts w:eastAsiaTheme="minorEastAsia"/>
                <w:color w:themeColor="text1" w:val="000000"/>
                <w:kern w:val="0"/>
                <w:sz w:val="24"/>
                <w:szCs w:val="24"/>
              </w:rPr>
            </w:pPr>
            <w:r w:rsidRPr="003B42FF">
              <w:rPr>
                <w:rFonts w:eastAsiaTheme="minorEastAsia"/>
                <w:color w:themeColor="text1" w:val="000000"/>
                <w:sz w:val="24"/>
                <w:szCs w:val="24"/>
              </w:rPr>
              <w:t/>
            </w:r>
            <w:proofErr w:type="spellStart"/>
            <w:r w:rsidRPr="003B42FF">
              <w:rPr>
                <w:rFonts w:eastAsiaTheme="minorEastAsia"/>
                <w:color w:themeColor="text1" w:val="000000"/>
                <w:sz w:val="24"/>
                <w:szCs w:val="24"/>
              </w:rPr>
              <w:t/>
            </w:r>
            <w:proofErr w:type="spellEnd"/>
            <w:r w:rsidRPr="003B42FF">
              <w:rPr>
                <w:rFonts w:eastAsiaTheme="minorEastAsia"/>
                <w:color w:themeColor="text1" w:val="000000"/>
                <w:sz w:val="24"/>
                <w:szCs w:val="24"/>
              </w:rPr>
              <w:t>-</w:t>
            </w:r>
          </w:p>
        </w:tc>
      </w:tr>
      <w:tr w:rsidR="00AC11B0" w:rsidRPr="003B42FF" w:rsidTr="003B5535">
        <w:tc>
          <w:tcPr>
            <w:tcW w:type="dxa" w:w="5037"/>
            <w:vAlign w:val="center"/>
            <w:hideMark/>
          </w:tcPr>
          <w:p w:rsidP="003328D9" w:rsidR="00AC11B0" w:rsidRDefault="00AC11B0" w:rsidRPr="003B42FF">
            <w:pPr>
              <w:adjustRightInd w:val="0"/>
              <w:snapToGrid w:val="0"/>
              <w:spacing w:line="360" w:lineRule="exact"/>
              <w:rPr>
                <w:rFonts w:eastAsiaTheme="minorEastAsia"/>
                <w:color w:themeColor="text1" w:val="000000"/>
                <w:sz w:val="24"/>
                <w:szCs w:val="24"/>
              </w:rPr>
            </w:pPr>
            <w:r w:rsidRPr="003B42FF">
              <w:rPr>
                <w:rFonts w:eastAsiaTheme="minorEastAsia"/>
                <w:color w:themeColor="text1" w:val="000000"/>
                <w:kern w:val="0"/>
                <w:sz w:val="24"/>
                <w:szCs w:val="24"/>
              </w:rPr>
              <w:t/>
            </w:r>
            <w:proofErr w:type="spellStart"/>
            <w:r w:rsidRPr="003B42FF">
              <w:rPr>
                <w:rFonts w:eastAsiaTheme="minorEastAsia"/>
                <w:color w:themeColor="text1" w:val="000000"/>
                <w:kern w:val="0"/>
                <w:sz w:val="24"/>
                <w:szCs w:val="24"/>
              </w:rPr>
              <w:t/>
            </w:r>
            <w:r w:rsidR="00DA718D">
              <w:rPr>
                <w:color w:val="000000"/>
                <w:kern w:val="0"/>
                <w:sz w:val="24"/>
              </w:rPr>
              <w:t/>
            </w:r>
            <w:proofErr w:type="spellEnd"/>
            <w:r w:rsidRPr="003B42FF">
              <w:rPr>
                <w:rFonts w:eastAsiaTheme="minorEastAsia"/>
                <w:color w:themeColor="text1" w:val="000000"/>
                <w:kern w:val="0"/>
                <w:sz w:val="24"/>
                <w:szCs w:val="24"/>
              </w:rPr>
              <w:t>报告期</w:t>
            </w:r>
            <w:r w:rsidR="00B53067" w:rsidRPr="00B53067">
              <w:rPr>
                <w:rFonts w:eastAsiaTheme="minorEastAsia"/>
                <w:color w:themeColor="text1" w:val="000000"/>
                <w:sz w:val="24"/>
                <w:szCs w:val="24"/>
              </w:rPr>
              <w:t>期间</w:t>
            </w:r>
            <w:r w:rsidRPr="003B42FF">
              <w:rPr>
                <w:rFonts w:eastAsiaTheme="minorEastAsia"/>
                <w:color w:themeColor="text1" w:val="000000"/>
                <w:sz w:val="24"/>
                <w:szCs w:val="24"/>
              </w:rPr>
              <w:t>卖出</w:t>
            </w:r>
            <w:r w:rsidRPr="003B42FF">
              <w:rPr>
                <w:rFonts w:eastAsiaTheme="minorEastAsia"/>
                <w:color w:themeColor="text1" w:val="000000"/>
                <w:sz w:val="24"/>
                <w:szCs w:val="24"/>
              </w:rPr>
              <w:t>/</w:t>
            </w:r>
            <w:r w:rsidRPr="003B42FF">
              <w:rPr>
                <w:rFonts w:eastAsiaTheme="minorEastAsia"/>
                <w:color w:themeColor="text1" w:val="000000"/>
                <w:sz w:val="24"/>
                <w:szCs w:val="24"/>
              </w:rPr>
              <w:t>赎回总份额</w:t>
            </w:r>
          </w:p>
        </w:tc>
        <w:tc>
          <w:tcPr>
            <w:tcW w:type="dxa" w:w="3378"/>
            <w:vAlign w:val="center"/>
            <w:hideMark/>
          </w:tcPr>
          <w:p w:rsidP="003328D9" w:rsidR="00AC11B0" w:rsidRDefault="00AC11B0" w:rsidRPr="003B42FF">
            <w:pPr>
              <w:jc w:val="right"/>
              <w:rPr>
                <w:rFonts w:eastAsiaTheme="minorEastAsia"/>
                <w:color w:themeColor="text1" w:val="000000"/>
                <w:kern w:val="0"/>
                <w:sz w:val="24"/>
                <w:szCs w:val="24"/>
              </w:rPr>
            </w:pPr>
            <w:r w:rsidRPr="003B42FF">
              <w:rPr>
                <w:rFonts w:eastAsiaTheme="minorEastAsia"/>
                <w:color w:themeColor="text1" w:val="000000"/>
                <w:sz w:val="24"/>
                <w:szCs w:val="24"/>
              </w:rPr>
              <w:t/>
            </w:r>
            <w:proofErr w:type="spellStart"/>
            <w:r w:rsidRPr="003B42FF">
              <w:rPr>
                <w:rFonts w:eastAsiaTheme="minorEastAsia"/>
                <w:color w:themeColor="text1" w:val="000000"/>
                <w:sz w:val="24"/>
                <w:szCs w:val="24"/>
              </w:rPr>
              <w:t/>
            </w:r>
            <w:proofErr w:type="spellEnd"/>
            <w:r w:rsidRPr="003B42FF">
              <w:rPr>
                <w:rFonts w:eastAsiaTheme="minorEastAsia"/>
                <w:color w:themeColor="text1" w:val="000000"/>
                <w:sz w:val="24"/>
                <w:szCs w:val="24"/>
              </w:rPr>
              <w:t>-</w:t>
            </w:r>
          </w:p>
        </w:tc>
      </w:tr>
      <w:tr w:rsidR="00AC11B0" w:rsidRPr="003B42FF" w:rsidTr="003B5535">
        <w:tc>
          <w:tcPr>
            <w:tcW w:type="dxa" w:w="5037"/>
            <w:vAlign w:val="center"/>
            <w:hideMark/>
          </w:tcPr>
          <w:p w:rsidP="003328D9" w:rsidR="00AC11B0" w:rsidRDefault="00AC11B0" w:rsidRPr="003B42FF">
            <w:pPr>
              <w:adjustRightInd w:val="0"/>
              <w:snapToGrid w:val="0"/>
              <w:spacing w:line="360" w:lineRule="exact"/>
              <w:rPr>
                <w:rFonts w:eastAsiaTheme="minorEastAsia"/>
                <w:color w:themeColor="text1" w:val="000000"/>
                <w:sz w:val="24"/>
                <w:szCs w:val="24"/>
              </w:rPr>
            </w:pPr>
            <w:r w:rsidRPr="003B42FF">
              <w:rPr>
                <w:rFonts w:eastAsiaTheme="minorEastAsia"/>
                <w:color w:themeColor="text1" w:val="000000"/>
                <w:sz w:val="24"/>
                <w:szCs w:val="24"/>
              </w:rPr>
              <w:t>报告期期末管理人持有的本基金份额</w:t>
            </w:r>
          </w:p>
        </w:tc>
        <w:tc>
          <w:tcPr>
            <w:tcW w:type="dxa" w:w="3378"/>
            <w:vAlign w:val="center"/>
            <w:hideMark/>
          </w:tcPr>
          <w:p w:rsidP="003328D9" w:rsidR="00AC11B0" w:rsidRDefault="00AC11B0" w:rsidRPr="003B42FF">
            <w:pPr>
              <w:jc w:val="right"/>
              <w:rPr>
                <w:rFonts w:eastAsiaTheme="minorEastAsia"/>
                <w:color w:themeColor="text1" w:val="000000"/>
                <w:sz w:val="24"/>
                <w:szCs w:val="24"/>
              </w:rPr>
            </w:pPr>
            <w:r w:rsidRPr="003B42FF">
              <w:rPr>
                <w:rFonts w:eastAsiaTheme="minorEastAsia"/>
                <w:color w:themeColor="text1" w:val="000000"/>
                <w:sz w:val="24"/>
                <w:szCs w:val="24"/>
              </w:rPr>
              <w:t/>
            </w:r>
            <w:proofErr w:type="spellStart"/>
            <w:r w:rsidRPr="003B42FF">
              <w:rPr>
                <w:rFonts w:eastAsiaTheme="minorEastAsia"/>
                <w:color w:themeColor="text1" w:val="000000"/>
                <w:sz w:val="24"/>
                <w:szCs w:val="24"/>
              </w:rPr>
              <w:t/>
            </w:r>
            <w:proofErr w:type="spellEnd"/>
            <w:r w:rsidRPr="003B42FF">
              <w:rPr>
                <w:rFonts w:eastAsiaTheme="minorEastAsia"/>
                <w:color w:themeColor="text1" w:val="000000"/>
                <w:sz w:val="24"/>
                <w:szCs w:val="24"/>
              </w:rPr>
              <w:t>49,602,678.57</w:t>
            </w:r>
          </w:p>
        </w:tc>
      </w:tr>
      <w:tr w:rsidR="00AC11B0" w:rsidRPr="003B42FF" w:rsidTr="003B5535">
        <w:tc>
          <w:tcPr>
            <w:tcW w:type="dxa" w:w="5037"/>
            <w:vAlign w:val="center"/>
            <w:hideMark/>
          </w:tcPr>
          <w:p w:rsidP="003328D9" w:rsidR="00AC11B0" w:rsidRDefault="00AC11B0" w:rsidRPr="003B42FF">
            <w:pPr>
              <w:adjustRightInd w:val="0"/>
              <w:snapToGrid w:val="0"/>
              <w:spacing w:line="360" w:lineRule="exact"/>
              <w:rPr>
                <w:rFonts w:eastAsiaTheme="minorEastAsia"/>
                <w:color w:themeColor="text1" w:val="000000"/>
                <w:sz w:val="24"/>
                <w:szCs w:val="24"/>
              </w:rPr>
            </w:pPr>
            <w:r w:rsidRPr="003B42FF">
              <w:rPr>
                <w:rFonts w:eastAsiaTheme="minorEastAsia"/>
                <w:color w:themeColor="text1" w:val="000000"/>
                <w:sz w:val="24"/>
                <w:szCs w:val="24"/>
              </w:rPr>
              <w:t>报告期期末持有的本基金份额占基金总份额比例（</w:t>
            </w:r>
            <w:r w:rsidRPr="003B42FF">
              <w:rPr>
                <w:rFonts w:eastAsiaTheme="minorEastAsia"/>
                <w:color w:themeColor="text1" w:val="000000"/>
                <w:sz w:val="24"/>
                <w:szCs w:val="24"/>
              </w:rPr>
              <w:t>%</w:t>
            </w:r>
            <w:r w:rsidRPr="003B42FF">
              <w:rPr>
                <w:rFonts w:eastAsiaTheme="minorEastAsia"/>
                <w:color w:themeColor="text1" w:val="000000"/>
                <w:sz w:val="24"/>
                <w:szCs w:val="24"/>
              </w:rPr>
              <w:t>）</w:t>
            </w:r>
          </w:p>
        </w:tc>
        <w:tc>
          <w:tcPr>
            <w:tcW w:type="dxa" w:w="3378"/>
            <w:vAlign w:val="center"/>
            <w:hideMark/>
          </w:tcPr>
          <w:p w:rsidP="003328D9" w:rsidR="00AC11B0" w:rsidRDefault="00AC11B0" w:rsidRPr="003B42FF">
            <w:pPr>
              <w:jc w:val="right"/>
              <w:rPr>
                <w:rFonts w:eastAsiaTheme="minorEastAsia"/>
                <w:color w:themeColor="text1" w:val="000000"/>
                <w:kern w:val="0"/>
                <w:sz w:val="24"/>
                <w:szCs w:val="24"/>
              </w:rPr>
            </w:pPr>
            <w:r w:rsidRPr="003B42FF">
              <w:rPr>
                <w:rFonts w:eastAsiaTheme="minorEastAsia"/>
                <w:color w:themeColor="text1" w:val="000000"/>
                <w:sz w:val="24"/>
                <w:szCs w:val="24"/>
              </w:rPr>
              <w:t/>
            </w:r>
            <w:proofErr w:type="spellStart"/>
            <w:r w:rsidRPr="003B42FF">
              <w:rPr>
                <w:rFonts w:eastAsiaTheme="minorEastAsia"/>
                <w:color w:themeColor="text1" w:val="000000"/>
                <w:sz w:val="24"/>
                <w:szCs w:val="24"/>
              </w:rPr>
              <w:t/>
            </w:r>
            <w:proofErr w:type="spellEnd"/>
            <w:r w:rsidRPr="003B42FF">
              <w:rPr>
                <w:rFonts w:eastAsiaTheme="minorEastAsia"/>
                <w:color w:themeColor="text1" w:val="000000"/>
                <w:sz w:val="24"/>
                <w:szCs w:val="24"/>
              </w:rPr>
              <w:t>5.7527</w:t>
            </w:r>
          </w:p>
        </w:tc>
      </w:tr>
    </w:tbl>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xml:space="preserve">本报告期内基金管理人未运用固有资金申购、赎回、买卖本基金份额。 </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1.中国证监会准予易方达新经济灵活配置混合型证券投资基金注册的文件；</w:t>
      </w:r>
    </w:p>
    <w:p>
      <w:pPr>
        <w:spacing w:line="360" w:lineRule="auto"/>
        <w:ind w:firstLine="480" w:firstLineChars="200"/>
        <w:rPr>
          <w:color w:val="000000"/>
          <w:sz w:val="24"/>
          <w:szCs w:val="24"/>
        </w:rPr>
      </w:pPr>
      <w:r>
        <w:rPr>
          <w:color w:val="000000"/>
          <w:sz w:val="24"/>
          <w:szCs w:val="24"/>
        </w:rPr>
        <w:t>2.《易方达新经济灵活配置混合型证券投资基金基金合同》；</w:t>
      </w:r>
    </w:p>
    <w:p>
      <w:pPr>
        <w:spacing w:line="360" w:lineRule="auto"/>
        <w:ind w:firstLine="480" w:firstLineChars="200"/>
        <w:rPr>
          <w:color w:val="000000"/>
          <w:sz w:val="24"/>
          <w:szCs w:val="24"/>
        </w:rPr>
      </w:pPr>
      <w:r>
        <w:rPr>
          <w:color w:val="000000"/>
          <w:sz w:val="24"/>
          <w:szCs w:val="24"/>
        </w:rPr>
        <w:t>3.《易方达新经济灵活配置混合型证券投资基金托管协议》；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易方达新经济灵活配置混合型证券投资基金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