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P="00196812" w:rsidR="00EA3F40" w:rsidRDefault="00EA3F40" w:rsidRPr="0097021E">
      <w:pPr>
        <w:autoSpaceDE w:val="0"/>
        <w:autoSpaceDN w:val="0"/>
        <w:adjustRightInd w:val="0"/>
        <w:spacing w:line="360" w:lineRule="auto"/>
        <w:jc w:val="left"/>
        <w:rPr>
          <w:rFonts w:ascii="宋体" w:cs="Arial"/>
          <w:color w:val="000000"/>
          <w:kern w:val="0"/>
          <w:sz w:val="24"/>
        </w:rPr>
      </w:pPr>
    </w:p>
    <w:p w:rsidP="00196812" w:rsidR="00EA3F40" w:rsidRDefault="00EA3F40" w:rsidRPr="0097021E">
      <w:pPr>
        <w:autoSpaceDE w:val="0"/>
        <w:autoSpaceDN w:val="0"/>
        <w:adjustRightInd w:val="0"/>
        <w:spacing w:line="360" w:lineRule="auto"/>
        <w:jc w:val="left"/>
        <w:rPr>
          <w:rFonts w:ascii="宋体" w:cs="Arial"/>
          <w:color w:val="000000"/>
          <w:kern w:val="0"/>
          <w:sz w:val="24"/>
        </w:rPr>
      </w:pPr>
    </w:p>
    <w:p w:rsidP="00196812" w:rsidR="00EA3F40" w:rsidRDefault="00EA3F40" w:rsidRPr="0097021E">
      <w:pPr>
        <w:autoSpaceDE w:val="0"/>
        <w:autoSpaceDN w:val="0"/>
        <w:adjustRightInd w:val="0"/>
        <w:spacing w:line="360" w:lineRule="auto"/>
        <w:jc w:val="left"/>
        <w:rPr>
          <w:rFonts w:ascii="宋体" w:cs="Arial"/>
          <w:color w:val="000000"/>
          <w:kern w:val="0"/>
          <w:sz w:val="24"/>
        </w:rPr>
      </w:pPr>
    </w:p>
    <w:p w:rsidP="00196812" w:rsidR="00EA3F40" w:rsidRDefault="00EA3F40" w:rsidRPr="0097021E">
      <w:pPr>
        <w:autoSpaceDE w:val="0"/>
        <w:autoSpaceDN w:val="0"/>
        <w:adjustRightInd w:val="0"/>
        <w:spacing w:line="360" w:lineRule="auto"/>
        <w:jc w:val="left"/>
        <w:rPr>
          <w:rFonts w:ascii="宋体" w:cs="Arial"/>
          <w:color w:val="000000"/>
          <w:kern w:val="0"/>
          <w:sz w:val="24"/>
        </w:rPr>
      </w:pPr>
    </w:p>
    <w:p w:rsidP="0002085F" w:rsidR="00EA3F40" w:rsidRDefault="00EA3F40" w:rsidRPr="0097021E">
      <w:pPr>
        <w:spacing w:line="360" w:lineRule="auto"/>
        <w:jc w:val="center"/>
        <w:rPr>
          <w:rFonts w:ascii="宋体" w:hAnsi="宋体"/>
          <w:b/>
          <w:sz w:val="36"/>
          <w:szCs w:val="36"/>
        </w:rPr>
      </w:pPr>
      <w:r w:rsidRPr="0097021E">
        <w:rPr>
          <w:rFonts w:ascii="宋体"/>
          <w:b/>
          <w:sz w:val="36"/>
          <w:szCs w:val="36"/>
        </w:rPr>
        <w:t/>
      </w:r>
      <w:r w:rsidRPr="0097021E">
        <w:rPr>
          <w:rFonts w:ascii="宋体" w:hAnsi="宋体"/>
          <w:b/>
          <w:sz w:val="36"/>
          <w:szCs w:val="36"/>
        </w:rPr>
        <w:t>易方达龙宝货币市场基金</w:t>
      </w:r>
    </w:p>
    <w:p w:rsidP="0002085F" w:rsidR="00EA3F40" w:rsidRDefault="00EA3F40" w:rsidRPr="0097021E">
      <w:pPr>
        <w:spacing w:line="360" w:lineRule="auto"/>
        <w:jc w:val="center"/>
        <w:rPr>
          <w:rFonts w:ascii="宋体" w:hAnsi="宋体"/>
          <w:b/>
          <w:sz w:val="36"/>
          <w:szCs w:val="36"/>
        </w:rPr>
      </w:pPr>
      <w:r w:rsidRPr="0097021E">
        <w:rPr>
          <w:rFonts w:ascii="宋体" w:hAnsi="宋体"/>
          <w:b/>
          <w:sz w:val="36"/>
          <w:szCs w:val="36"/>
        </w:rPr>
        <w:t>2020年第3季度报告</w:t>
      </w:r>
    </w:p>
    <w:p w:rsidP="0002085F" w:rsidR="00EA3F40" w:rsidRDefault="00EA3F40" w:rsidRPr="00936106">
      <w:pPr>
        <w:spacing w:line="360" w:lineRule="auto"/>
        <w:jc w:val="center"/>
        <w:rPr>
          <w:rFonts w:ascii="宋体" w:hAnsi="宋体"/>
          <w:b/>
          <w:sz w:val="24"/>
          <w:szCs w:val="36"/>
        </w:rPr>
      </w:pPr>
      <w:r w:rsidRPr="00936106">
        <w:rPr>
          <w:rFonts w:ascii="宋体"/>
          <w:b/>
          <w:sz w:val="24"/>
          <w:szCs w:val="36"/>
        </w:rPr>
        <w:t/>
      </w:r>
      <w:r w:rsidRPr="00936106">
        <w:rPr>
          <w:rFonts w:ascii="宋体" w:hAnsi="宋体"/>
          <w:b/>
          <w:sz w:val="24"/>
          <w:szCs w:val="36"/>
        </w:rPr>
        <w:t>2020年9月30日</w:t>
      </w:r>
    </w:p>
    <w:p w:rsidP="00196812" w:rsidR="00EA3F40" w:rsidRDefault="00EA3F40" w:rsidRPr="0097021E">
      <w:pPr>
        <w:spacing w:line="360" w:lineRule="auto"/>
        <w:jc w:val="center"/>
        <w:rPr>
          <w:rFonts w:ascii="宋体"/>
          <w:b/>
          <w:color w:val="000000"/>
          <w:sz w:val="24"/>
        </w:rPr>
      </w:pPr>
    </w:p>
    <w:p w:rsidP="00196812" w:rsidR="00EA3F40" w:rsidRDefault="00EA3F40" w:rsidRPr="0097021E">
      <w:pPr>
        <w:spacing w:line="360" w:lineRule="auto"/>
        <w:jc w:val="center"/>
        <w:rPr>
          <w:rFonts w:ascii="宋体"/>
          <w:b/>
          <w:color w:val="000000"/>
          <w:sz w:val="24"/>
        </w:rPr>
      </w:pPr>
    </w:p>
    <w:p w:rsidP="00196812" w:rsidR="00EA3F40" w:rsidRDefault="00EA3F40" w:rsidRPr="0097021E">
      <w:pPr>
        <w:spacing w:line="360" w:lineRule="auto"/>
        <w:jc w:val="center"/>
        <w:rPr>
          <w:rFonts w:ascii="宋体"/>
          <w:b/>
          <w:color w:val="000000"/>
          <w:sz w:val="24"/>
        </w:rPr>
      </w:pPr>
    </w:p>
    <w:p w:rsidP="00196812" w:rsidR="00EA3F40" w:rsidRDefault="00EA3F40" w:rsidRPr="0097021E">
      <w:pPr>
        <w:spacing w:line="360" w:lineRule="auto"/>
        <w:jc w:val="center"/>
        <w:rPr>
          <w:rFonts w:ascii="宋体"/>
          <w:b/>
          <w:color w:val="000000"/>
          <w:sz w:val="24"/>
        </w:rPr>
      </w:pPr>
    </w:p>
    <w:p w:rsidP="00196812" w:rsidR="00EA3F40" w:rsidRDefault="00EA3F40" w:rsidRPr="0097021E">
      <w:pPr>
        <w:spacing w:line="360" w:lineRule="auto"/>
        <w:jc w:val="center"/>
        <w:rPr>
          <w:rFonts w:ascii="宋体"/>
          <w:b/>
          <w:color w:val="000000"/>
          <w:sz w:val="24"/>
        </w:rPr>
      </w:pPr>
    </w:p>
    <w:p w:rsidP="00196812" w:rsidR="00EA3F40" w:rsidRDefault="00EA3F40" w:rsidRPr="0097021E">
      <w:pPr>
        <w:spacing w:line="360" w:lineRule="auto"/>
        <w:jc w:val="center"/>
        <w:rPr>
          <w:rFonts w:ascii="宋体"/>
          <w:b/>
          <w:color w:val="000000"/>
          <w:sz w:val="24"/>
        </w:rPr>
      </w:pPr>
    </w:p>
    <w:p w:rsidP="00196812" w:rsidR="00EA3F40" w:rsidRDefault="00EA3F40" w:rsidRPr="0097021E">
      <w:pPr>
        <w:spacing w:line="360" w:lineRule="auto"/>
        <w:jc w:val="center"/>
        <w:rPr>
          <w:rFonts w:ascii="宋体"/>
          <w:b/>
          <w:color w:val="000000"/>
          <w:sz w:val="24"/>
        </w:rPr>
      </w:pPr>
    </w:p>
    <w:p w:rsidP="00196812" w:rsidR="00EA3F40" w:rsidRDefault="00EA3F40" w:rsidRPr="0097021E">
      <w:pPr>
        <w:spacing w:line="360" w:lineRule="auto"/>
        <w:jc w:val="center"/>
        <w:rPr>
          <w:rFonts w:ascii="宋体"/>
          <w:b/>
          <w:color w:val="000000"/>
          <w:sz w:val="24"/>
        </w:rPr>
      </w:pPr>
    </w:p>
    <w:p w:rsidP="00196812" w:rsidR="00EA3F40" w:rsidRDefault="00EA3F40" w:rsidRPr="0097021E">
      <w:pPr>
        <w:spacing w:line="360" w:lineRule="auto"/>
        <w:jc w:val="center"/>
        <w:rPr>
          <w:rFonts w:ascii="宋体"/>
          <w:b/>
          <w:color w:val="000000"/>
          <w:sz w:val="24"/>
        </w:rPr>
      </w:pPr>
    </w:p>
    <w:p w:rsidP="00196812" w:rsidR="00EA3F40" w:rsidRDefault="00EA3F40" w:rsidRPr="0097021E">
      <w:pPr>
        <w:spacing w:line="360" w:lineRule="auto"/>
        <w:jc w:val="center"/>
        <w:rPr>
          <w:rFonts w:ascii="宋体"/>
          <w:b/>
          <w:color w:val="000000"/>
          <w:sz w:val="24"/>
        </w:rPr>
      </w:pPr>
    </w:p>
    <w:p w:rsidP="00196812" w:rsidR="00EA3F40" w:rsidRDefault="00EA3F40" w:rsidRPr="0097021E">
      <w:pPr>
        <w:spacing w:line="360" w:lineRule="auto"/>
        <w:jc w:val="center"/>
        <w:rPr>
          <w:rFonts w:ascii="宋体"/>
          <w:b/>
          <w:color w:val="000000"/>
          <w:sz w:val="24"/>
        </w:rPr>
      </w:pPr>
    </w:p>
    <w:p w:rsidP="00196812" w:rsidR="00EA3F40" w:rsidRDefault="00EA3F40" w:rsidRPr="0097021E">
      <w:pPr>
        <w:spacing w:line="360" w:lineRule="auto"/>
        <w:jc w:val="center"/>
        <w:rPr>
          <w:rFonts w:ascii="宋体"/>
          <w:b/>
          <w:color w:val="000000"/>
          <w:sz w:val="24"/>
        </w:rPr>
      </w:pPr>
    </w:p>
    <w:p w:rsidP="00196812" w:rsidR="00EA3F40" w:rsidRDefault="00EA3F40" w:rsidRPr="0097021E">
      <w:pPr>
        <w:spacing w:line="360" w:lineRule="auto"/>
        <w:jc w:val="center"/>
        <w:rPr>
          <w:rFonts w:ascii="宋体"/>
          <w:b/>
          <w:color w:val="000000"/>
          <w:sz w:val="24"/>
        </w:rPr>
      </w:pPr>
    </w:p>
    <w:p w:rsidP="00196812" w:rsidR="00EA3F40" w:rsidRDefault="00EA3F40" w:rsidRPr="0097021E">
      <w:pPr>
        <w:spacing w:line="360" w:lineRule="auto"/>
        <w:rPr>
          <w:rFonts w:ascii="宋体"/>
          <w:b/>
          <w:color w:val="000000"/>
          <w:sz w:val="24"/>
        </w:rPr>
      </w:pPr>
    </w:p>
    <w:p w:rsidP="009216A0" w:rsidR="00EA3F40" w:rsidRDefault="00EA3F40" w:rsidRPr="0097021E">
      <w:pPr>
        <w:spacing w:line="360" w:lineRule="auto"/>
        <w:ind w:firstLine="2168" w:firstLineChars="900"/>
        <w:rPr>
          <w:rFonts w:ascii="宋体" w:hAnsi="宋体"/>
          <w:b/>
          <w:color w:val="000000"/>
          <w:sz w:val="24"/>
        </w:rPr>
      </w:pPr>
      <w:r w:rsidRPr="0097021E">
        <w:rPr>
          <w:rFonts w:ascii="宋体" w:hAnsi="宋体" w:hint="eastAsia"/>
          <w:b/>
          <w:color w:val="000000"/>
          <w:sz w:val="24"/>
        </w:rPr>
        <w:t>基金管理人：</w:t>
      </w:r>
      <w:r w:rsidRPr="0097021E">
        <w:rPr>
          <w:rFonts w:ascii="宋体"/>
          <w:b/>
          <w:color w:val="000000"/>
          <w:sz w:val="24"/>
        </w:rPr>
        <w:t/>
      </w:r>
      <w:r w:rsidRPr="0097021E">
        <w:rPr>
          <w:rFonts w:ascii="宋体" w:hAnsi="宋体"/>
          <w:b/>
          <w:color w:val="000000"/>
          <w:sz w:val="24"/>
        </w:rPr>
        <w:t>易方达基金管理有限公司</w:t>
      </w:r>
    </w:p>
    <w:p w:rsidP="009216A0" w:rsidR="00EA3F40" w:rsidRDefault="00EA3F40" w:rsidRPr="0097021E">
      <w:pPr>
        <w:spacing w:line="360" w:lineRule="auto"/>
        <w:ind w:firstLine="2168" w:firstLineChars="900"/>
        <w:rPr>
          <w:rFonts w:ascii="宋体" w:hAnsi="宋体"/>
          <w:b/>
          <w:color w:val="000000"/>
          <w:sz w:val="24"/>
        </w:rPr>
      </w:pPr>
      <w:r w:rsidRPr="0097021E">
        <w:rPr>
          <w:rFonts w:ascii="宋体" w:hAnsi="宋体" w:hint="eastAsia"/>
          <w:b/>
          <w:color w:val="000000"/>
          <w:sz w:val="24"/>
        </w:rPr>
        <w:t>基金托管人：</w:t>
      </w:r>
      <w:r w:rsidRPr="0097021E">
        <w:rPr>
          <w:rFonts w:ascii="宋体"/>
          <w:b/>
          <w:color w:val="000000"/>
          <w:sz w:val="24"/>
        </w:rPr>
        <w:t/>
      </w:r>
      <w:r w:rsidRPr="0097021E">
        <w:rPr>
          <w:rFonts w:ascii="宋体" w:hAnsi="宋体"/>
          <w:b/>
          <w:color w:val="000000"/>
          <w:sz w:val="24"/>
        </w:rPr>
        <w:t>华夏银行股份有限公司</w:t>
      </w:r>
    </w:p>
    <w:p w:rsidP="009216A0" w:rsidR="00EA3F40" w:rsidRDefault="00EA3F40" w:rsidRPr="0097021E">
      <w:pPr>
        <w:spacing w:line="360" w:lineRule="auto"/>
        <w:ind w:firstLine="2168" w:firstLineChars="900"/>
        <w:rPr>
          <w:rFonts w:ascii="宋体" w:hAnsi="宋体"/>
          <w:b/>
          <w:color w:val="000000"/>
          <w:sz w:val="24"/>
        </w:rPr>
        <w:sectPr w:rsidR="00EA3F40" w:rsidRPr="0097021E" w:rsidSect="005633AD">
          <w:headerReference r:id="rId8" w:type="default"/>
          <w:footerReference r:id="rId9" w:type="default"/>
          <w:pgSz w:h="15840" w:w="11926"/>
          <w:pgMar w:bottom="851" w:footer="992" w:gutter="0" w:header="851" w:left="1418" w:right="1418" w:top="1418"/>
          <w:cols w:space="720"/>
          <w:noEndnote/>
        </w:sectPr>
      </w:pPr>
      <w:r w:rsidRPr="0097021E">
        <w:rPr>
          <w:rFonts w:ascii="宋体" w:hAnsi="宋体" w:hint="eastAsia"/>
          <w:b/>
          <w:color w:val="000000"/>
          <w:sz w:val="24"/>
        </w:rPr>
        <w:t>报告送出日期：</w:t>
      </w:r>
      <w:r w:rsidRPr="0097021E">
        <w:rPr>
          <w:rFonts w:ascii="宋体"/>
          <w:b/>
          <w:color w:val="000000"/>
          <w:sz w:val="24"/>
        </w:rPr>
        <w:t/>
      </w:r>
      <w:r w:rsidRPr="0097021E">
        <w:rPr>
          <w:rFonts w:ascii="宋体" w:hAnsi="宋体"/>
          <w:b/>
          <w:color w:val="000000"/>
          <w:sz w:val="24"/>
        </w:rPr>
        <w:t>二〇二〇年十月二十八日</w:t>
      </w:r>
    </w:p>
    <w:p w:rsidP="00E23C1B" w:rsidR="00EA3F40" w:rsidRDefault="00EA3F40" w:rsidRPr="0097021E">
      <w:pPr>
        <w:pStyle w:val="1"/>
        <w:spacing w:after="312" w:afterLines="100" w:before="312" w:beforeLines="100" w:line="360" w:lineRule="auto"/>
        <w:jc w:val="center"/>
        <w:rPr>
          <w:rFonts w:ascii="宋体" w:cs="Arial"/>
          <w:b w:val="0"/>
          <w:color w:val="000000"/>
          <w:kern w:val="0"/>
          <w:sz w:val="24"/>
          <w:szCs w:val="24"/>
        </w:rPr>
      </w:pPr>
      <w:r w:rsidRPr="0097021E">
        <w:rPr>
          <w:rFonts w:ascii="宋体" w:cs="Arial" w:hAnsi="宋体" w:hint="eastAsia"/>
          <w:color w:val="000000"/>
          <w:kern w:val="0"/>
          <w:sz w:val="24"/>
          <w:szCs w:val="24"/>
        </w:rPr>
        <w:lastRenderedPageBreak/>
        <w:t>§</w:t>
      </w:r>
      <w:r w:rsidRPr="0097021E">
        <w:rPr>
          <w:rFonts w:ascii="宋体" w:cs="Arial" w:hAnsi="宋体"/>
          <w:color w:val="000000"/>
          <w:kern w:val="0"/>
          <w:sz w:val="24"/>
          <w:szCs w:val="24"/>
        </w:rPr>
        <w:t xml:space="preserve">1  </w:t>
      </w:r>
      <w:r w:rsidRPr="0097021E">
        <w:rPr>
          <w:rFonts w:ascii="宋体" w:cs="Arial" w:hAnsi="宋体" w:hint="eastAsia"/>
          <w:color w:val="000000"/>
          <w:kern w:val="0"/>
          <w:sz w:val="24"/>
          <w:szCs w:val="24"/>
        </w:rPr>
        <w:t>重要提示</w:t>
      </w:r>
    </w:p>
    <w:p>
      <w:pPr>
        <w:adjustRightInd w:val="0"/>
        <w:spacing w:line="360"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adjustRightInd w:val="0"/>
        <w:spacing w:line="360" w:lineRule="auto"/>
        <w:ind w:firstLine="480" w:firstLineChars="200"/>
        <w:rPr>
          <w:color w:val="000000"/>
          <w:sz w:val="24"/>
        </w:rPr>
      </w:pPr>
      <w:r>
        <w:rPr>
          <w:color w:val="000000"/>
          <w:sz w:val="24"/>
        </w:rPr>
        <w:t xml:space="preserve">基金托管人华夏银行股份有限公司根据本基金合同规定，于2020年10月26日复核了本报告中的财务指标、净值表现和投资组合报告等内容，保证复核内容不存在虚假记载、误导性陈述或者重大遗漏。 </w:t>
      </w:r>
    </w:p>
    <w:p>
      <w:pPr>
        <w:adjustRightInd w:val="0"/>
        <w:spacing w:line="360"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adjustRightInd w:val="0"/>
        <w:spacing w:line="360"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adjustRightInd w:val="0"/>
        <w:spacing w:line="360" w:lineRule="auto"/>
        <w:ind w:firstLine="480" w:firstLineChars="200"/>
        <w:rPr>
          <w:color w:val="000000"/>
          <w:sz w:val="24"/>
        </w:rPr>
      </w:pPr>
      <w:r>
        <w:rPr>
          <w:color w:val="000000"/>
          <w:sz w:val="24"/>
        </w:rPr>
        <w:t>本报告中财务资料未经审计。</w:t>
      </w:r>
    </w:p>
    <w:p w:rsidP="001752C7" w:rsidR="00EA3F40" w:rsidRDefault="00EA3F40" w:rsidRPr="001752C7">
      <w:pPr>
        <w:adjustRightInd w:val="0"/>
        <w:spacing w:line="360" w:lineRule="auto"/>
        <w:ind w:firstLine="480" w:firstLineChars="200"/>
        <w:rPr>
          <w:color w:val="000000"/>
          <w:sz w:val="24"/>
        </w:rPr>
      </w:pPr>
      <w:r w:rsidRPr="001752C7">
        <w:rPr>
          <w:color w:val="000000"/>
          <w:sz w:val="24"/>
        </w:rPr>
        <w:t>本报告期自2020年7月1日起至9月30日止。</w:t>
      </w:r>
    </w:p>
    <w:p w:rsidP="00E23C1B" w:rsidR="00EA3F40" w:rsidRDefault="00EA3F40" w:rsidRPr="0097021E">
      <w:pPr>
        <w:pStyle w:val="1"/>
        <w:spacing w:after="312" w:afterLines="100" w:before="312" w:beforeLines="100" w:line="360" w:lineRule="auto"/>
        <w:jc w:val="center"/>
        <w:rPr>
          <w:rFonts w:ascii="宋体" w:cs="Arial"/>
          <w:color w:val="000000"/>
          <w:kern w:val="0"/>
          <w:sz w:val="24"/>
          <w:szCs w:val="24"/>
        </w:rPr>
      </w:pPr>
      <w:r w:rsidRPr="0097021E">
        <w:rPr>
          <w:rFonts w:ascii="宋体" w:cs="Arial" w:hAnsi="宋体" w:hint="eastAsia"/>
          <w:color w:val="000000"/>
          <w:kern w:val="0"/>
          <w:sz w:val="24"/>
          <w:szCs w:val="24"/>
        </w:rPr>
        <w:t>§</w:t>
      </w:r>
      <w:r w:rsidRPr="0097021E">
        <w:rPr>
          <w:rFonts w:ascii="宋体" w:cs="Arial" w:hAnsi="宋体"/>
          <w:color w:val="000000"/>
          <w:kern w:val="0"/>
          <w:sz w:val="24"/>
          <w:szCs w:val="24"/>
        </w:rPr>
        <w:t xml:space="preserve">2  </w:t>
      </w:r>
      <w:r w:rsidRPr="0097021E">
        <w:rPr>
          <w:rFonts w:ascii="宋体" w:cs="Arial" w:hAnsi="宋体" w:hint="eastAsia"/>
          <w:color w:val="000000"/>
          <w:kern w:val="0"/>
          <w:sz w:val="24"/>
          <w:szCs w:val="24"/>
        </w:rPr>
        <w:t>基金产品概况</w:t>
      </w:r>
    </w:p>
    <w:tbl>
      <w:tblPr>
        <w:tblW w:type="dxa" w:w="9736"/>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2835"/>
        <w:gridCol w:w="2300"/>
        <w:gridCol w:w="1150"/>
        <w:gridCol w:w="1150"/>
        <w:gridCol w:w="2301"/>
      </w:tblGrid>
      <w:tr w:rsidR="00EA3F40" w:rsidRPr="0097021E" w:rsidTr="001669F2">
        <w:trPr>
          <w:jc w:val="center"/>
        </w:trPr>
        <w:tc>
          <w:tcPr>
            <w:tcW w:type="dxa" w:w="2835"/>
          </w:tcPr>
          <w:p w:rsidP="00196812" w:rsidR="00EA3F40" w:rsidRDefault="00EA3F40" w:rsidRPr="00613409">
            <w:pPr>
              <w:adjustRightInd w:val="0"/>
              <w:spacing w:before="29" w:line="360" w:lineRule="auto"/>
              <w:ind w:left="17"/>
              <w:jc w:val="left"/>
              <w:rPr>
                <w:kern w:val="0"/>
                <w:sz w:val="24"/>
              </w:rPr>
            </w:pPr>
            <w:r w:rsidRPr="00613409">
              <w:rPr>
                <w:kern w:val="0"/>
                <w:sz w:val="24"/>
              </w:rPr>
              <w:t>基金简称</w:t>
            </w:r>
          </w:p>
        </w:tc>
        <w:tc>
          <w:tcPr>
            <w:tcW w:type="dxa" w:w="6901"/>
            <w:gridSpan w:val="4"/>
          </w:tcPr>
          <w:p w:rsidP="00196812" w:rsidR="00EA3F40" w:rsidRDefault="00EA3F40" w:rsidRPr="00613409">
            <w:pPr>
              <w:adjustRightInd w:val="0"/>
              <w:spacing w:before="29" w:line="360" w:lineRule="auto"/>
              <w:ind w:left="17"/>
              <w:jc w:val="left"/>
              <w:rPr>
                <w:color w:val="000000"/>
                <w:kern w:val="0"/>
                <w:sz w:val="24"/>
              </w:rPr>
            </w:pPr>
            <w:r w:rsidRPr="00613409">
              <w:rPr>
                <w:color w:val="000000"/>
                <w:kern w:val="0"/>
                <w:sz w:val="24"/>
              </w:rPr>
              <w:t>易方达龙宝货币</w:t>
            </w:r>
          </w:p>
        </w:tc>
      </w:tr>
      <w:tr w:rsidR="00EA3F40" w:rsidRPr="0097021E" w:rsidTr="001669F2">
        <w:trPr>
          <w:jc w:val="center"/>
        </w:trPr>
        <w:tc>
          <w:tcPr>
            <w:tcW w:type="dxa" w:w="2835"/>
          </w:tcPr>
          <w:p w:rsidP="00196812" w:rsidR="00EA3F40" w:rsidRDefault="00EA3F40" w:rsidRPr="00613409">
            <w:pPr>
              <w:adjustRightInd w:val="0"/>
              <w:spacing w:before="29" w:line="360" w:lineRule="auto"/>
              <w:ind w:left="17"/>
              <w:jc w:val="left"/>
              <w:rPr>
                <w:kern w:val="0"/>
                <w:sz w:val="24"/>
              </w:rPr>
            </w:pPr>
            <w:r w:rsidRPr="00613409">
              <w:rPr>
                <w:kern w:val="0"/>
                <w:sz w:val="24"/>
              </w:rPr>
              <w:t>基金主代码</w:t>
            </w:r>
          </w:p>
        </w:tc>
        <w:tc>
          <w:tcPr>
            <w:tcW w:type="dxa" w:w="6901"/>
            <w:gridSpan w:val="4"/>
          </w:tcPr>
          <w:p w:rsidP="00196812" w:rsidR="00EA3F40" w:rsidRDefault="00EA3F40" w:rsidRPr="00613409">
            <w:pPr>
              <w:adjustRightInd w:val="0"/>
              <w:spacing w:before="29" w:line="360" w:lineRule="auto"/>
              <w:ind w:left="17"/>
              <w:jc w:val="left"/>
              <w:rPr>
                <w:color w:val="000000"/>
                <w:kern w:val="0"/>
                <w:sz w:val="24"/>
              </w:rPr>
            </w:pPr>
            <w:r w:rsidRPr="00613409">
              <w:rPr>
                <w:color w:val="000000"/>
                <w:kern w:val="0"/>
                <w:sz w:val="24"/>
              </w:rPr>
              <w:t>000789</w:t>
            </w:r>
          </w:p>
        </w:tc>
      </w:tr>
      <w:tr w:rsidR="00EA3F40" w:rsidRPr="0097021E" w:rsidTr="001669F2">
        <w:trPr>
          <w:jc w:val="center"/>
        </w:trPr>
        <w:tc>
          <w:tcPr>
            <w:tcW w:type="dxa" w:w="2835"/>
          </w:tcPr>
          <w:p w:rsidP="00196812" w:rsidR="00EA3F40" w:rsidRDefault="00EA3F40" w:rsidRPr="00613409">
            <w:pPr>
              <w:adjustRightInd w:val="0"/>
              <w:spacing w:before="29" w:line="360" w:lineRule="auto"/>
              <w:ind w:left="17"/>
              <w:jc w:val="left"/>
              <w:rPr>
                <w:sz w:val="24"/>
              </w:rPr>
            </w:pPr>
            <w:r w:rsidRPr="00613409">
              <w:rPr>
                <w:kern w:val="0"/>
                <w:sz w:val="24"/>
              </w:rPr>
              <w:t>基金运作方式</w:t>
            </w:r>
          </w:p>
        </w:tc>
        <w:tc>
          <w:tcPr>
            <w:tcW w:type="dxa" w:w="6901"/>
            <w:gridSpan w:val="4"/>
          </w:tcPr>
          <w:p w:rsidP="00196812" w:rsidR="00EA3F40" w:rsidRDefault="00EA3F40" w:rsidRPr="00613409">
            <w:pPr>
              <w:adjustRightInd w:val="0"/>
              <w:spacing w:before="29" w:line="360" w:lineRule="auto"/>
              <w:ind w:left="17"/>
              <w:jc w:val="left"/>
              <w:rPr>
                <w:color w:val="000000"/>
                <w:sz w:val="24"/>
              </w:rPr>
            </w:pPr>
            <w:r w:rsidRPr="00613409">
              <w:rPr>
                <w:color w:val="000000"/>
                <w:kern w:val="0"/>
                <w:sz w:val="24"/>
              </w:rPr>
              <w:t>契约型开放式</w:t>
            </w:r>
          </w:p>
        </w:tc>
      </w:tr>
      <w:tr w:rsidR="00EA3F40" w:rsidRPr="0097021E" w:rsidTr="001669F2">
        <w:trPr>
          <w:jc w:val="center"/>
        </w:trPr>
        <w:tc>
          <w:tcPr>
            <w:tcW w:type="dxa" w:w="2835"/>
          </w:tcPr>
          <w:p w:rsidP="00196812" w:rsidR="00EA3F40" w:rsidRDefault="00EA3F40" w:rsidRPr="00613409">
            <w:pPr>
              <w:adjustRightInd w:val="0"/>
              <w:spacing w:before="29" w:line="360" w:lineRule="auto"/>
              <w:ind w:left="17"/>
              <w:jc w:val="left"/>
              <w:rPr>
                <w:sz w:val="24"/>
              </w:rPr>
            </w:pPr>
            <w:r w:rsidRPr="00613409">
              <w:rPr>
                <w:kern w:val="0"/>
                <w:sz w:val="24"/>
              </w:rPr>
              <w:t>基金合同生效日</w:t>
            </w:r>
          </w:p>
        </w:tc>
        <w:tc>
          <w:tcPr>
            <w:tcW w:type="dxa" w:w="6901"/>
            <w:gridSpan w:val="4"/>
          </w:tcPr>
          <w:p w:rsidP="00196812" w:rsidR="00EA3F40" w:rsidRDefault="00EA3F40" w:rsidRPr="00613409">
            <w:pPr>
              <w:adjustRightInd w:val="0"/>
              <w:spacing w:before="29" w:line="360" w:lineRule="auto"/>
              <w:ind w:left="17"/>
              <w:jc w:val="left"/>
              <w:rPr>
                <w:color w:val="000000"/>
                <w:sz w:val="24"/>
              </w:rPr>
            </w:pPr>
            <w:r w:rsidRPr="00613409">
              <w:rPr>
                <w:color w:val="000000"/>
                <w:kern w:val="0"/>
                <w:sz w:val="24"/>
              </w:rPr>
              <w:t>2014年9月12日</w:t>
            </w:r>
          </w:p>
        </w:tc>
      </w:tr>
      <w:tr w:rsidR="00EA3F40" w:rsidRPr="0097021E" w:rsidTr="001669F2">
        <w:trPr>
          <w:jc w:val="center"/>
        </w:trPr>
        <w:tc>
          <w:tcPr>
            <w:tcW w:type="dxa" w:w="2835"/>
          </w:tcPr>
          <w:p w:rsidP="00196812" w:rsidR="00EA3F40" w:rsidRDefault="00EA3F40" w:rsidRPr="00613409">
            <w:pPr>
              <w:adjustRightInd w:val="0"/>
              <w:spacing w:before="29" w:line="360" w:lineRule="auto"/>
              <w:ind w:left="17"/>
              <w:jc w:val="left"/>
              <w:rPr>
                <w:sz w:val="24"/>
              </w:rPr>
            </w:pPr>
            <w:r w:rsidRPr="00613409">
              <w:rPr>
                <w:kern w:val="0"/>
                <w:sz w:val="24"/>
              </w:rPr>
              <w:t>报告期末基金份额总额</w:t>
            </w:r>
          </w:p>
        </w:tc>
        <w:tc>
          <w:tcPr>
            <w:tcW w:type="dxa" w:w="6901"/>
            <w:gridSpan w:val="4"/>
          </w:tcPr>
          <w:p w:rsidP="00196812" w:rsidR="00EA3F40" w:rsidRDefault="00EA3F40" w:rsidRPr="00613409">
            <w:pPr>
              <w:adjustRightInd w:val="0"/>
              <w:spacing w:before="29" w:line="360" w:lineRule="auto"/>
              <w:ind w:left="17"/>
              <w:jc w:val="left"/>
              <w:rPr>
                <w:color w:val="000000"/>
                <w:sz w:val="24"/>
              </w:rPr>
            </w:pPr>
            <w:r w:rsidRPr="00613409">
              <w:rPr>
                <w:color w:val="000000"/>
                <w:kern w:val="0"/>
                <w:sz w:val="24"/>
              </w:rPr>
              <w:t>955,842,077.14</w:t>
            </w:r>
            <w:r w:rsidRPr="00613409">
              <w:rPr>
                <w:color w:val="000000"/>
                <w:kern w:val="0"/>
                <w:sz w:val="24"/>
              </w:rPr>
              <w:t>份</w:t>
            </w:r>
          </w:p>
        </w:tc>
      </w:tr>
      <w:tr w:rsidR="00EA3F40" w:rsidRPr="0097021E" w:rsidTr="001669F2">
        <w:trPr>
          <w:jc w:val="center"/>
        </w:trPr>
        <w:tc>
          <w:tcPr>
            <w:tcW w:type="dxa" w:w="2835"/>
          </w:tcPr>
          <w:p w:rsidP="00196812" w:rsidR="00EA3F40" w:rsidRDefault="00EA3F40" w:rsidRPr="00613409">
            <w:pPr>
              <w:adjustRightInd w:val="0"/>
              <w:spacing w:before="29" w:line="360" w:lineRule="auto"/>
              <w:ind w:left="17"/>
              <w:jc w:val="left"/>
              <w:rPr>
                <w:sz w:val="24"/>
              </w:rPr>
            </w:pPr>
            <w:r w:rsidRPr="00613409">
              <w:rPr>
                <w:kern w:val="0"/>
                <w:sz w:val="24"/>
              </w:rPr>
              <w:t>投资目标</w:t>
            </w:r>
          </w:p>
        </w:tc>
        <w:tc>
          <w:tcPr>
            <w:tcW w:type="dxa" w:w="6901"/>
            <w:gridSpan w:val="4"/>
          </w:tcPr>
          <w:p w:rsidP="00196812" w:rsidR="00EA3F40" w:rsidRDefault="00EA3F40" w:rsidRPr="00613409">
            <w:pPr>
              <w:adjustRightInd w:val="0"/>
              <w:spacing w:before="29" w:line="360" w:lineRule="auto"/>
              <w:ind w:left="17"/>
              <w:jc w:val="left"/>
              <w:rPr>
                <w:color w:val="000000"/>
                <w:sz w:val="24"/>
              </w:rPr>
            </w:pPr>
            <w:r w:rsidRPr="00613409">
              <w:rPr>
                <w:color w:val="000000"/>
                <w:kern w:val="0"/>
                <w:sz w:val="24"/>
              </w:rPr>
              <w:t>在有效控制投资风险和保持高流动性的基础上，力争获得高于业绩比较基准的投资回报。</w:t>
            </w:r>
          </w:p>
        </w:tc>
      </w:tr>
      <w:tr w:rsidR="00EA3F40" w:rsidRPr="0097021E" w:rsidTr="001669F2">
        <w:trPr>
          <w:jc w:val="center"/>
        </w:trPr>
        <w:tc>
          <w:tcPr>
            <w:tcW w:type="dxa" w:w="2835"/>
          </w:tcPr>
          <w:p w:rsidP="00196812" w:rsidR="00EA3F40" w:rsidRDefault="00EA3F40" w:rsidRPr="00613409">
            <w:pPr>
              <w:adjustRightInd w:val="0"/>
              <w:spacing w:before="29" w:line="360" w:lineRule="auto"/>
              <w:ind w:left="17"/>
              <w:jc w:val="left"/>
              <w:rPr>
                <w:sz w:val="24"/>
              </w:rPr>
            </w:pPr>
            <w:r w:rsidRPr="00613409">
              <w:rPr>
                <w:kern w:val="0"/>
                <w:sz w:val="24"/>
              </w:rPr>
              <w:t>投资策略</w:t>
            </w:r>
          </w:p>
        </w:tc>
        <w:tc>
          <w:tcPr>
            <w:tcW w:type="dxa" w:w="6901"/>
            <w:gridSpan w:val="4"/>
          </w:tcPr>
          <w:p w:rsidP="00196812" w:rsidR="00EA3F40" w:rsidRDefault="00EA3F40" w:rsidRPr="00613409">
            <w:pPr>
              <w:adjustRightInd w:val="0"/>
              <w:spacing w:before="29" w:line="360" w:lineRule="auto"/>
              <w:ind w:left="17"/>
              <w:jc w:val="left"/>
              <w:rPr>
                <w:color w:val="000000"/>
                <w:sz w:val="24"/>
              </w:rPr>
            </w:pPr>
            <w:r w:rsidRPr="00613409">
              <w:rPr>
                <w:color w:val="000000"/>
                <w:kern w:val="0"/>
                <w:sz w:val="24"/>
              </w:rPr>
              <w:t>本基金将对基金资产组合进行积极管理，在深入研究国内外的宏观经济走势、货币政策变化趋势、市场资金供求状况的基础上，综合考虑各类投资品种的收益性、流动性和风险特征，力争获得高于业绩比较基准的投资回报。</w:t>
            </w:r>
          </w:p>
        </w:tc>
      </w:tr>
      <w:tr w:rsidR="00EA3F40" w:rsidRPr="0097021E" w:rsidTr="001669F2">
        <w:trPr>
          <w:jc w:val="center"/>
        </w:trPr>
        <w:tc>
          <w:tcPr>
            <w:tcW w:type="dxa" w:w="2835"/>
          </w:tcPr>
          <w:p w:rsidP="00196812" w:rsidR="00EA3F40" w:rsidRDefault="00EA3F40" w:rsidRPr="00613409">
            <w:pPr>
              <w:adjustRightInd w:val="0"/>
              <w:spacing w:before="29" w:line="360" w:lineRule="auto"/>
              <w:ind w:left="17"/>
              <w:jc w:val="left"/>
              <w:rPr>
                <w:sz w:val="24"/>
              </w:rPr>
            </w:pPr>
            <w:r w:rsidRPr="00613409">
              <w:rPr>
                <w:kern w:val="0"/>
                <w:sz w:val="24"/>
              </w:rPr>
              <w:t>业绩比较基准</w:t>
            </w:r>
          </w:p>
        </w:tc>
        <w:tc>
          <w:tcPr>
            <w:tcW w:type="dxa" w:w="6901"/>
            <w:gridSpan w:val="4"/>
          </w:tcPr>
          <w:p w:rsidP="00196812" w:rsidR="00EA3F40" w:rsidRDefault="00EA3F40" w:rsidRPr="00613409">
            <w:pPr>
              <w:adjustRightInd w:val="0"/>
              <w:spacing w:before="29" w:line="360" w:lineRule="auto"/>
              <w:ind w:left="17"/>
              <w:jc w:val="left"/>
              <w:rPr>
                <w:color w:val="000000"/>
                <w:sz w:val="24"/>
              </w:rPr>
            </w:pPr>
            <w:r w:rsidRPr="00613409">
              <w:rPr>
                <w:color w:val="000000"/>
                <w:kern w:val="0"/>
                <w:sz w:val="24"/>
              </w:rPr>
              <w:t>中国人民银行公布的七天通知存款利率（税后）</w:t>
            </w:r>
          </w:p>
        </w:tc>
      </w:tr>
      <w:tr w:rsidR="00EA3F40" w:rsidRPr="0097021E" w:rsidTr="001669F2">
        <w:trPr>
          <w:jc w:val="center"/>
        </w:trPr>
        <w:tc>
          <w:tcPr>
            <w:tcW w:type="dxa" w:w="2835"/>
          </w:tcPr>
          <w:p w:rsidP="00196812" w:rsidR="00EA3F40" w:rsidRDefault="00EA3F40" w:rsidRPr="00613409">
            <w:pPr>
              <w:adjustRightInd w:val="0"/>
              <w:spacing w:before="29" w:line="360" w:lineRule="auto"/>
              <w:ind w:left="17"/>
              <w:jc w:val="left"/>
              <w:rPr>
                <w:kern w:val="0"/>
                <w:sz w:val="24"/>
              </w:rPr>
            </w:pPr>
            <w:r w:rsidRPr="00613409">
              <w:rPr>
                <w:kern w:val="0"/>
                <w:sz w:val="24"/>
              </w:rPr>
              <w:t>风险收益特征</w:t>
            </w:r>
          </w:p>
        </w:tc>
        <w:tc>
          <w:tcPr>
            <w:tcW w:type="dxa" w:w="6901"/>
            <w:gridSpan w:val="4"/>
          </w:tcPr>
          <w:p w:rsidP="00196812" w:rsidR="00EA3F40" w:rsidRDefault="00EA3F40" w:rsidRPr="00613409">
            <w:pPr>
              <w:adjustRightInd w:val="0"/>
              <w:spacing w:before="29" w:line="360" w:lineRule="auto"/>
              <w:ind w:left="17"/>
              <w:jc w:val="left"/>
              <w:rPr>
                <w:color w:val="000000"/>
                <w:kern w:val="0"/>
                <w:sz w:val="24"/>
              </w:rPr>
            </w:pPr>
            <w:r w:rsidRPr="00613409">
              <w:rPr>
                <w:color w:val="000000"/>
                <w:kern w:val="0"/>
                <w:sz w:val="24"/>
              </w:rPr>
              <w:t>本基金为货币市场基金，本基金的风险和预期收益低于股票型基金、混合型基金、债券型基金。</w:t>
            </w:r>
          </w:p>
        </w:tc>
      </w:tr>
      <w:tr w:rsidR="00EA3F40" w:rsidRPr="0097021E" w:rsidTr="001669F2">
        <w:trPr>
          <w:jc w:val="center"/>
        </w:trPr>
        <w:tc>
          <w:tcPr>
            <w:tcW w:type="dxa" w:w="2835"/>
          </w:tcPr>
          <w:p w:rsidP="00196812" w:rsidR="00EA3F40" w:rsidRDefault="00EA3F40" w:rsidRPr="00613409">
            <w:pPr>
              <w:adjustRightInd w:val="0"/>
              <w:spacing w:before="29" w:line="360" w:lineRule="auto"/>
              <w:ind w:left="17"/>
              <w:jc w:val="left"/>
              <w:rPr>
                <w:sz w:val="24"/>
              </w:rPr>
            </w:pPr>
            <w:r w:rsidRPr="00613409">
              <w:rPr>
                <w:kern w:val="0"/>
                <w:sz w:val="24"/>
              </w:rPr>
              <w:t>基金管理人</w:t>
            </w:r>
          </w:p>
        </w:tc>
        <w:tc>
          <w:tcPr>
            <w:tcW w:type="dxa" w:w="6901"/>
            <w:gridSpan w:val="4"/>
          </w:tcPr>
          <w:p w:rsidP="00196812" w:rsidR="00EA3F40" w:rsidRDefault="00EA3F40" w:rsidRPr="00613409">
            <w:pPr>
              <w:adjustRightInd w:val="0"/>
              <w:spacing w:before="29" w:line="360" w:lineRule="auto"/>
              <w:ind w:left="17"/>
              <w:jc w:val="left"/>
              <w:rPr>
                <w:color w:val="000000"/>
                <w:sz w:val="24"/>
              </w:rPr>
            </w:pPr>
            <w:r w:rsidRPr="00613409">
              <w:rPr>
                <w:color w:val="000000"/>
                <w:kern w:val="0"/>
                <w:sz w:val="24"/>
              </w:rPr>
              <w:t>易方达基金管理有限公司</w:t>
            </w:r>
          </w:p>
        </w:tc>
      </w:tr>
      <w:tr w:rsidR="00EA3F40" w:rsidRPr="0097021E" w:rsidTr="001669F2">
        <w:trPr>
          <w:jc w:val="center"/>
        </w:trPr>
        <w:tc>
          <w:tcPr>
            <w:tcW w:type="dxa" w:w="2835"/>
          </w:tcPr>
          <w:p w:rsidP="00196812" w:rsidR="00EA3F40" w:rsidRDefault="00EA3F40" w:rsidRPr="00613409">
            <w:pPr>
              <w:adjustRightInd w:val="0"/>
              <w:spacing w:before="29" w:line="360" w:lineRule="auto"/>
              <w:ind w:left="17"/>
              <w:jc w:val="left"/>
              <w:rPr>
                <w:sz w:val="24"/>
              </w:rPr>
            </w:pPr>
            <w:r w:rsidRPr="00613409">
              <w:rPr>
                <w:kern w:val="0"/>
                <w:sz w:val="24"/>
              </w:rPr>
              <w:t>基金托管人</w:t>
            </w:r>
          </w:p>
        </w:tc>
        <w:tc>
          <w:tcPr>
            <w:tcW w:type="dxa" w:w="6901"/>
            <w:gridSpan w:val="4"/>
          </w:tcPr>
          <w:p w:rsidP="00196812" w:rsidR="00EA3F40" w:rsidRDefault="00EA3F40" w:rsidRPr="00613409">
            <w:pPr>
              <w:adjustRightInd w:val="0"/>
              <w:spacing w:before="29" w:line="360" w:lineRule="auto"/>
              <w:ind w:left="17"/>
              <w:jc w:val="left"/>
              <w:rPr>
                <w:color w:val="000000"/>
                <w:sz w:val="24"/>
              </w:rPr>
            </w:pPr>
            <w:r w:rsidRPr="00613409">
              <w:rPr>
                <w:color w:val="000000"/>
                <w:kern w:val="0"/>
                <w:sz w:val="24"/>
              </w:rPr>
              <w:t>华夏银行股份有限公司</w:t>
            </w:r>
          </w:p>
        </w:tc>
      </w:tr>
      <w:tr w:rsidR="00EA3F40" w:rsidRPr="0097021E" w:rsidTr="001669F2">
        <w:trPr>
          <w:jc w:val="center"/>
        </w:trPr>
        <w:tc>
          <w:tcPr>
            <w:tcW w:type="dxa" w:w="2835"/>
          </w:tcPr>
          <w:p w:rsidP="00D271A9" w:rsidR="00EA3F40" w:rsidRDefault="00EA3F40" w:rsidRPr="00613409">
            <w:pPr>
              <w:adjustRightInd w:val="0"/>
              <w:spacing w:before="29" w:line="360" w:lineRule="auto"/>
              <w:ind w:left="17"/>
              <w:jc w:val="left"/>
              <w:rPr>
                <w:kern w:val="0"/>
                <w:sz w:val="24"/>
              </w:rPr>
            </w:pPr>
            <w:r w:rsidRPr="00613409">
              <w:rPr>
                <w:color w:val="000000"/>
                <w:sz w:val="24"/>
              </w:rPr>
              <w:t>下属</w:t>
            </w:r>
            <w:r w:rsidR="00D271A9" w:rsidRPr="00613409">
              <w:rPr>
                <w:color w:val="000000"/>
                <w:sz w:val="24"/>
              </w:rPr>
              <w:t>分</w:t>
            </w:r>
            <w:r w:rsidRPr="00613409">
              <w:rPr>
                <w:color w:val="000000"/>
                <w:sz w:val="24"/>
              </w:rPr>
              <w:t>级基金的基金简称</w:t>
            </w:r>
          </w:p>
        </w:tc>
        <w:tc>
          <w:tcPr>
            <w:tcW w:type="dxa" w:w="2300"/>
            <w:vAlign w:val="center"/>
          </w:tcPr>
          <w:p w:rsidP="00196812" w:rsidR="00EA3F40" w:rsidRDefault="00EA3F40" w:rsidRPr="00613409">
            <w:pPr>
              <w:spacing w:line="360" w:lineRule="auto"/>
              <w:jc w:val="left"/>
              <w:rPr>
                <w:sz w:val="24"/>
              </w:rPr>
            </w:pPr>
            <w:r w:rsidRPr="00613409">
              <w:rPr>
                <w:color w:val="000000"/>
                <w:kern w:val="0"/>
                <w:sz w:val="24"/>
              </w:rPr>
              <w:t/>
            </w:r>
            <w:r w:rsidRPr="00613409">
              <w:rPr>
                <w:sz w:val="24"/>
              </w:rPr>
              <w:t>易方达龙宝货币A</w:t>
            </w:r>
          </w:p>
        </w:tc>
        <w:tc>
          <w:tcPr>
            <w:tcW w:type="dxa" w:w="2300"/>
            <w:gridSpan w:val="2"/>
            <w:vAlign w:val="center"/>
          </w:tcPr>
          <w:p w:rsidP="00196812" w:rsidR="00EA3F40" w:rsidRDefault="00EA3F40" w:rsidRPr="00613409">
            <w:pPr>
              <w:spacing w:line="360" w:lineRule="auto"/>
              <w:jc w:val="left"/>
              <w:rPr>
                <w:sz w:val="24"/>
              </w:rPr>
            </w:pPr>
            <w:r w:rsidRPr="00613409">
              <w:rPr>
                <w:color w:val="000000"/>
                <w:kern w:val="0"/>
                <w:sz w:val="24"/>
              </w:rPr>
              <w:t/>
            </w:r>
            <w:r w:rsidRPr="00613409">
              <w:rPr>
                <w:sz w:val="24"/>
              </w:rPr>
              <w:t>易方达龙宝货币B</w:t>
            </w:r>
          </w:p>
        </w:tc>
        <w:tc>
          <w:tcPr>
            <w:tcW w:type="dxa" w:w="2301"/>
            <w:vAlign w:val="center"/>
          </w:tcPr>
          <w:p w:rsidP="00025C5D" w:rsidR="00EA3F40" w:rsidRDefault="00EA3F40" w:rsidRPr="00613409">
            <w:pPr>
              <w:spacing w:line="360" w:lineRule="auto"/>
              <w:jc w:val="left"/>
              <w:rPr>
                <w:sz w:val="24"/>
              </w:rPr>
            </w:pPr>
            <w:r w:rsidRPr="00613409">
              <w:rPr>
                <w:color w:val="000000"/>
                <w:kern w:val="0"/>
                <w:sz w:val="24"/>
              </w:rPr>
              <w:t/>
            </w:r>
            <w:r w:rsidRPr="00613409">
              <w:rPr>
                <w:sz w:val="24"/>
              </w:rPr>
              <w:t>易方达龙宝货币C</w:t>
            </w:r>
          </w:p>
        </w:tc>
      </w:tr>
      <w:tr w:rsidR="00E325AB" w:rsidRPr="0097021E" w:rsidTr="001669F2">
        <w:trPr>
          <w:jc w:val="center"/>
        </w:trPr>
        <w:tc>
          <w:tcPr>
            <w:tcW w:type="dxa" w:w="2835"/>
          </w:tcPr>
          <w:p w:rsidP="00D271A9" w:rsidR="00E325AB" w:rsidRDefault="00E325AB" w:rsidRPr="00613409">
            <w:pPr>
              <w:adjustRightInd w:val="0"/>
              <w:spacing w:before="29" w:line="360" w:lineRule="auto"/>
              <w:ind w:left="17"/>
              <w:jc w:val="left"/>
              <w:rPr>
                <w:color w:val="000000"/>
                <w:sz w:val="24"/>
              </w:rPr>
            </w:pPr>
            <w:r w:rsidRPr="00613409">
              <w:rPr>
                <w:color w:val="000000"/>
                <w:sz w:val="24"/>
              </w:rPr>
              <w:lastRenderedPageBreak/>
              <w:t>下属</w:t>
            </w:r>
            <w:r w:rsidR="00D271A9" w:rsidRPr="00613409">
              <w:rPr>
                <w:color w:val="000000"/>
                <w:sz w:val="24"/>
              </w:rPr>
              <w:t>分</w:t>
            </w:r>
            <w:r w:rsidRPr="00613409">
              <w:rPr>
                <w:color w:val="000000"/>
                <w:sz w:val="24"/>
              </w:rPr>
              <w:t>级基金的交易代码</w:t>
            </w:r>
          </w:p>
        </w:tc>
        <w:tc>
          <w:tcPr>
            <w:tcW w:type="dxa" w:w="2300"/>
            <w:vAlign w:val="center"/>
          </w:tcPr>
          <w:p w:rsidP="00196812" w:rsidR="00E325AB" w:rsidRDefault="00E325AB" w:rsidRPr="00613409">
            <w:pPr>
              <w:spacing w:line="360" w:lineRule="auto"/>
              <w:jc w:val="left"/>
              <w:rPr>
                <w:sz w:val="24"/>
              </w:rPr>
            </w:pPr>
            <w:r w:rsidRPr="00613409">
              <w:rPr>
                <w:color w:val="000000"/>
                <w:kern w:val="0"/>
                <w:sz w:val="24"/>
              </w:rPr>
              <w:t/>
            </w:r>
            <w:r w:rsidRPr="00613409">
              <w:rPr>
                <w:sz w:val="24"/>
              </w:rPr>
              <w:t>000789</w:t>
            </w:r>
          </w:p>
        </w:tc>
        <w:tc>
          <w:tcPr>
            <w:tcW w:type="dxa" w:w="2300"/>
            <w:gridSpan w:val="2"/>
            <w:vAlign w:val="center"/>
          </w:tcPr>
          <w:p w:rsidP="00196812" w:rsidR="00E325AB" w:rsidRDefault="00E325AB" w:rsidRPr="00613409">
            <w:pPr>
              <w:spacing w:line="360" w:lineRule="auto"/>
              <w:jc w:val="left"/>
              <w:rPr>
                <w:sz w:val="24"/>
              </w:rPr>
            </w:pPr>
            <w:r w:rsidRPr="00613409">
              <w:rPr>
                <w:color w:val="000000"/>
                <w:kern w:val="0"/>
                <w:sz w:val="24"/>
              </w:rPr>
              <w:t/>
            </w:r>
            <w:r w:rsidRPr="00613409">
              <w:rPr>
                <w:sz w:val="24"/>
              </w:rPr>
              <w:t>000790</w:t>
            </w:r>
          </w:p>
        </w:tc>
        <w:tc>
          <w:tcPr>
            <w:tcW w:type="dxa" w:w="2301"/>
            <w:vAlign w:val="center"/>
          </w:tcPr>
          <w:p w:rsidP="001669F2" w:rsidR="00E325AB" w:rsidRDefault="00E325AB" w:rsidRPr="00613409">
            <w:pPr>
              <w:spacing w:line="360" w:lineRule="auto"/>
              <w:jc w:val="left"/>
              <w:rPr>
                <w:sz w:val="24"/>
              </w:rPr>
            </w:pPr>
            <w:r w:rsidRPr="00613409">
              <w:rPr>
                <w:color w:val="000000"/>
                <w:kern w:val="0"/>
                <w:sz w:val="24"/>
              </w:rPr>
              <w:t/>
            </w:r>
            <w:r w:rsidRPr="00613409">
              <w:rPr>
                <w:sz w:val="24"/>
              </w:rPr>
              <w:t>005098</w:t>
            </w:r>
          </w:p>
        </w:tc>
      </w:tr>
      <w:tr w:rsidR="00E325AB" w:rsidRPr="0097021E" w:rsidTr="001669F2">
        <w:trPr>
          <w:jc w:val="center"/>
        </w:trPr>
        <w:tc>
          <w:tcPr>
            <w:tcW w:type="dxa" w:w="2835"/>
          </w:tcPr>
          <w:p w:rsidP="00D271A9" w:rsidR="00E325AB" w:rsidRDefault="00E325AB" w:rsidRPr="00613409">
            <w:pPr>
              <w:adjustRightInd w:val="0"/>
              <w:spacing w:before="29" w:line="360" w:lineRule="auto"/>
              <w:ind w:left="17"/>
              <w:jc w:val="left"/>
              <w:rPr>
                <w:color w:val="000000"/>
                <w:sz w:val="24"/>
              </w:rPr>
            </w:pPr>
            <w:r w:rsidRPr="00613409">
              <w:rPr>
                <w:color w:val="000000"/>
                <w:sz w:val="24"/>
              </w:rPr>
              <w:t>报告期末下属</w:t>
            </w:r>
            <w:r w:rsidR="00D271A9" w:rsidRPr="00613409">
              <w:rPr>
                <w:color w:val="000000"/>
                <w:sz w:val="24"/>
              </w:rPr>
              <w:t>分</w:t>
            </w:r>
            <w:r w:rsidRPr="00613409">
              <w:rPr>
                <w:color w:val="000000"/>
                <w:sz w:val="24"/>
              </w:rPr>
              <w:t>级基金的份额总额</w:t>
            </w:r>
          </w:p>
        </w:tc>
        <w:tc>
          <w:tcPr>
            <w:tcW w:type="dxa" w:w="2300"/>
            <w:vAlign w:val="center"/>
          </w:tcPr>
          <w:p w:rsidP="00196812" w:rsidR="00E325AB" w:rsidRDefault="00E325AB" w:rsidRPr="00613409">
            <w:pPr>
              <w:spacing w:line="360" w:lineRule="auto"/>
              <w:jc w:val="left"/>
              <w:rPr>
                <w:sz w:val="24"/>
              </w:rPr>
            </w:pPr>
            <w:r w:rsidRPr="00613409">
              <w:rPr>
                <w:color w:val="000000"/>
                <w:kern w:val="0"/>
                <w:sz w:val="24"/>
              </w:rPr>
              <w:t/>
            </w:r>
            <w:r w:rsidRPr="00613409">
              <w:rPr>
                <w:sz w:val="24"/>
              </w:rPr>
              <w:t>645,516,032.93</w:t>
            </w:r>
            <w:r w:rsidRPr="00613409">
              <w:rPr>
                <w:sz w:val="24"/>
              </w:rPr>
              <w:t>份</w:t>
            </w:r>
          </w:p>
        </w:tc>
        <w:tc>
          <w:tcPr>
            <w:tcW w:type="dxa" w:w="2300"/>
            <w:gridSpan w:val="2"/>
            <w:vAlign w:val="center"/>
          </w:tcPr>
          <w:p w:rsidP="00196812" w:rsidR="00E325AB" w:rsidRDefault="00E325AB" w:rsidRPr="00613409">
            <w:pPr>
              <w:spacing w:line="360" w:lineRule="auto"/>
              <w:jc w:val="left"/>
              <w:rPr>
                <w:sz w:val="24"/>
              </w:rPr>
            </w:pPr>
            <w:r w:rsidRPr="00613409">
              <w:rPr>
                <w:color w:val="000000"/>
                <w:kern w:val="0"/>
                <w:sz w:val="24"/>
              </w:rPr>
              <w:t/>
            </w:r>
            <w:r w:rsidRPr="00613409">
              <w:rPr>
                <w:sz w:val="24"/>
              </w:rPr>
              <w:t>73,707,438.05</w:t>
            </w:r>
            <w:r w:rsidRPr="00613409">
              <w:rPr>
                <w:sz w:val="24"/>
              </w:rPr>
              <w:t>份</w:t>
            </w:r>
          </w:p>
        </w:tc>
        <w:tc>
          <w:tcPr>
            <w:tcW w:type="dxa" w:w="2301"/>
            <w:vAlign w:val="center"/>
          </w:tcPr>
          <w:p w:rsidP="00025C5D" w:rsidR="00E325AB" w:rsidRDefault="00E325AB" w:rsidRPr="00613409">
            <w:pPr>
              <w:spacing w:line="360" w:lineRule="auto"/>
              <w:jc w:val="left"/>
              <w:rPr>
                <w:sz w:val="24"/>
              </w:rPr>
            </w:pPr>
            <w:r w:rsidRPr="00613409">
              <w:rPr>
                <w:color w:val="000000"/>
                <w:kern w:val="0"/>
                <w:sz w:val="24"/>
              </w:rPr>
              <w:t/>
            </w:r>
            <w:r w:rsidRPr="00613409">
              <w:rPr>
                <w:sz w:val="24"/>
              </w:rPr>
              <w:t>236,618,606.16</w:t>
            </w:r>
            <w:r w:rsidRPr="00613409">
              <w:rPr>
                <w:sz w:val="24"/>
              </w:rPr>
              <w:t>份</w:t>
            </w:r>
          </w:p>
        </w:tc>
      </w:tr>
    </w:tbl>
    <w:p w:rsidP="001752C7" w:rsidR="00EA3F40" w:rsidRDefault="00EA3F40" w:rsidRPr="001752C7">
      <w:pPr>
        <w:adjustRightInd w:val="0"/>
        <w:spacing w:line="360" w:lineRule="auto"/>
        <w:ind w:firstLine="480" w:firstLineChars="200"/>
        <w:rPr>
          <w:color w:val="000000"/>
          <w:sz w:val="24"/>
        </w:rPr>
      </w:pPr>
      <w:r w:rsidRPr="001752C7">
        <w:rPr>
          <w:color w:val="000000"/>
          <w:sz w:val="24"/>
        </w:rPr>
        <w:t>注：自2017年8月29日起，本基金增设C类份额类别，份额首次确认日为2017年8月30日。</w:t>
      </w:r>
    </w:p>
    <w:p w:rsidP="00E23C1B" w:rsidR="00EA3F40" w:rsidRDefault="00EA3F40" w:rsidRPr="0097021E">
      <w:pPr>
        <w:pStyle w:val="1"/>
        <w:spacing w:after="312" w:afterLines="100" w:before="312" w:beforeLines="100" w:line="360" w:lineRule="auto"/>
        <w:jc w:val="center"/>
        <w:rPr>
          <w:rFonts w:ascii="宋体" w:cs="Arial"/>
          <w:color w:val="000000"/>
          <w:kern w:val="0"/>
          <w:sz w:val="24"/>
          <w:szCs w:val="24"/>
        </w:rPr>
      </w:pPr>
      <w:r w:rsidRPr="0097021E">
        <w:rPr>
          <w:rFonts w:ascii="宋体" w:cs="Arial" w:hAnsi="宋体" w:hint="eastAsia"/>
          <w:color w:val="000000"/>
          <w:kern w:val="0"/>
          <w:sz w:val="24"/>
          <w:szCs w:val="24"/>
        </w:rPr>
        <w:t>§</w:t>
      </w:r>
      <w:r w:rsidRPr="0097021E">
        <w:rPr>
          <w:rFonts w:ascii="宋体" w:cs="Arial" w:hAnsi="宋体"/>
          <w:color w:val="000000"/>
          <w:kern w:val="0"/>
          <w:sz w:val="24"/>
          <w:szCs w:val="24"/>
        </w:rPr>
        <w:t xml:space="preserve">3  </w:t>
      </w:r>
      <w:r w:rsidRPr="0097021E">
        <w:rPr>
          <w:rFonts w:ascii="宋体" w:cs="Arial" w:hAnsi="宋体" w:hint="eastAsia"/>
          <w:color w:val="000000"/>
          <w:kern w:val="0"/>
          <w:sz w:val="24"/>
          <w:szCs w:val="24"/>
        </w:rPr>
        <w:t>主要财务指标和基金净值表现</w:t>
      </w:r>
    </w:p>
    <w:p w:rsidP="009A755D" w:rsidR="00EA3F40" w:rsidRDefault="00EA3F40" w:rsidRPr="0097021E">
      <w:pPr>
        <w:spacing w:line="360" w:lineRule="auto"/>
        <w:rPr>
          <w:rFonts w:ascii="宋体" w:cs="Arial"/>
          <w:b/>
          <w:color w:val="000000"/>
          <w:kern w:val="0"/>
          <w:sz w:val="24"/>
        </w:rPr>
      </w:pPr>
      <w:r w:rsidRPr="0097021E">
        <w:rPr>
          <w:rFonts w:ascii="宋体" w:cs="Arial" w:hAnsi="宋体"/>
          <w:b/>
          <w:color w:val="000000"/>
          <w:kern w:val="0"/>
          <w:sz w:val="24"/>
        </w:rPr>
        <w:t xml:space="preserve">3.1 </w:t>
      </w:r>
      <w:r w:rsidRPr="0097021E">
        <w:rPr>
          <w:rFonts w:ascii="宋体" w:cs="Arial" w:hAnsi="宋体" w:hint="eastAsia"/>
          <w:b/>
          <w:color w:val="000000"/>
          <w:kern w:val="0"/>
          <w:sz w:val="24"/>
        </w:rPr>
        <w:t>主要财务指标</w:t>
      </w:r>
    </w:p>
    <w:p w:rsidP="00196812" w:rsidR="00EA3F40" w:rsidRDefault="00EA3F40" w:rsidRPr="0097021E">
      <w:pPr>
        <w:autoSpaceDE w:val="0"/>
        <w:autoSpaceDN w:val="0"/>
        <w:adjustRightInd w:val="0"/>
        <w:spacing w:before="29" w:line="360" w:lineRule="auto"/>
        <w:ind w:left="15"/>
        <w:jc w:val="right"/>
        <w:rPr>
          <w:rFonts w:ascii="宋体" w:cs="Arial"/>
          <w:color w:val="000000"/>
          <w:kern w:val="0"/>
          <w:sz w:val="24"/>
        </w:rPr>
      </w:pPr>
      <w:r w:rsidRPr="0097021E">
        <w:rPr>
          <w:rFonts w:ascii="宋体" w:cs="Arial" w:hAnsi="宋体" w:hint="eastAsia"/>
          <w:color w:val="000000"/>
          <w:kern w:val="0"/>
          <w:sz w:val="24"/>
        </w:rPr>
        <w:t>单位：人民币元</w:t>
      </w:r>
    </w:p>
    <w:tbl>
      <w:tblPr>
        <w:tblW w:type="dxa" w:w="9594"/>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402"/>
        <w:gridCol w:w="2481"/>
        <w:gridCol w:w="1855"/>
        <w:gridCol w:w="1856"/>
      </w:tblGrid>
      <w:tr w:rsidR="00EA3F40" w:rsidRPr="00613409" w:rsidTr="00025C5D">
        <w:trPr>
          <w:jc w:val="center"/>
        </w:trPr>
        <w:tc>
          <w:tcPr>
            <w:tcW w:type="dxa" w:w="3402"/>
            <w:vMerge w:val="restart"/>
            <w:vAlign w:val="center"/>
          </w:tcPr>
          <w:p w:rsidP="00196812" w:rsidR="00EA3F40" w:rsidRDefault="00EA3F40" w:rsidRPr="00613409">
            <w:pPr>
              <w:adjustRightInd w:val="0"/>
              <w:spacing w:before="29" w:line="360" w:lineRule="auto"/>
              <w:ind w:left="17"/>
              <w:jc w:val="center"/>
              <w:rPr>
                <w:kern w:val="0"/>
                <w:sz w:val="24"/>
              </w:rPr>
            </w:pPr>
            <w:r w:rsidRPr="00613409">
              <w:rPr>
                <w:kern w:val="0"/>
                <w:sz w:val="24"/>
              </w:rPr>
              <w:t>主要财务指标</w:t>
            </w:r>
          </w:p>
        </w:tc>
        <w:tc>
          <w:tcPr>
            <w:tcW w:type="dxa" w:w="6192"/>
            <w:gridSpan w:val="3"/>
            <w:vAlign w:val="center"/>
          </w:tcPr>
          <w:p w:rsidP="00196812" w:rsidR="00EA3F40" w:rsidRDefault="00EA3F40" w:rsidRPr="00613409">
            <w:pPr>
              <w:adjustRightInd w:val="0"/>
              <w:spacing w:before="29" w:line="360" w:lineRule="auto"/>
              <w:ind w:left="17"/>
              <w:jc w:val="center"/>
              <w:rPr>
                <w:color w:val="000000"/>
                <w:sz w:val="24"/>
              </w:rPr>
            </w:pPr>
            <w:r w:rsidRPr="00613409">
              <w:rPr>
                <w:color w:val="000000"/>
                <w:sz w:val="24"/>
              </w:rPr>
              <w:t>报告期</w:t>
            </w:r>
            <w:r w:rsidRPr="00613409">
              <w:rPr>
                <w:color w:val="000000"/>
                <w:sz w:val="24"/>
              </w:rPr>
              <w:t>(2020年7月1日-2020年9月30日)</w:t>
            </w:r>
          </w:p>
        </w:tc>
      </w:tr>
      <w:tr w:rsidR="00EA3F40" w:rsidRPr="00613409" w:rsidTr="00025C5D">
        <w:trPr>
          <w:jc w:val="center"/>
        </w:trPr>
        <w:tc>
          <w:tcPr>
            <w:tcW w:type="dxa" w:w="3402"/>
            <w:vMerge/>
            <w:vAlign w:val="center"/>
          </w:tcPr>
          <w:p w:rsidP="00196812" w:rsidR="00EA3F40" w:rsidRDefault="00EA3F40" w:rsidRPr="00613409">
            <w:pPr>
              <w:adjustRightInd w:val="0"/>
              <w:spacing w:before="29" w:line="360" w:lineRule="auto"/>
              <w:ind w:left="17"/>
              <w:jc w:val="center"/>
              <w:rPr>
                <w:kern w:val="0"/>
                <w:sz w:val="24"/>
              </w:rPr>
            </w:pPr>
          </w:p>
        </w:tc>
        <w:tc>
          <w:tcPr>
            <w:tcW w:type="dxa" w:w="2481"/>
            <w:vAlign w:val="center"/>
          </w:tcPr>
          <w:p w:rsidP="00196812" w:rsidR="00EA3F40" w:rsidRDefault="00EA3F40" w:rsidRPr="00613409">
            <w:pPr>
              <w:adjustRightInd w:val="0"/>
              <w:spacing w:before="29" w:line="360" w:lineRule="auto"/>
              <w:ind w:left="17"/>
              <w:jc w:val="center"/>
              <w:rPr>
                <w:color w:val="000000"/>
                <w:sz w:val="24"/>
              </w:rPr>
            </w:pPr>
            <w:r w:rsidRPr="00613409">
              <w:rPr>
                <w:color w:val="000000"/>
                <w:kern w:val="0"/>
                <w:sz w:val="24"/>
              </w:rPr>
              <w:t/>
            </w:r>
            <w:r w:rsidRPr="00613409">
              <w:rPr>
                <w:sz w:val="24"/>
              </w:rPr>
              <w:t>易方达龙宝货币A</w:t>
            </w:r>
          </w:p>
        </w:tc>
        <w:tc>
          <w:tcPr>
            <w:tcW w:type="dxa" w:w="1855"/>
            <w:vAlign w:val="center"/>
          </w:tcPr>
          <w:p w:rsidP="00196812" w:rsidR="00EA3F40" w:rsidRDefault="00EA3F40" w:rsidRPr="00613409">
            <w:pPr>
              <w:adjustRightInd w:val="0"/>
              <w:spacing w:before="29" w:line="360" w:lineRule="auto"/>
              <w:ind w:left="17"/>
              <w:jc w:val="center"/>
              <w:rPr>
                <w:color w:val="000000"/>
                <w:sz w:val="24"/>
              </w:rPr>
            </w:pPr>
            <w:r w:rsidRPr="00613409">
              <w:rPr>
                <w:color w:val="000000"/>
                <w:kern w:val="0"/>
                <w:sz w:val="24"/>
              </w:rPr>
              <w:t/>
            </w:r>
            <w:r w:rsidRPr="00613409">
              <w:rPr>
                <w:sz w:val="24"/>
              </w:rPr>
              <w:t>易方达龙宝货币B</w:t>
            </w:r>
          </w:p>
        </w:tc>
        <w:tc>
          <w:tcPr>
            <w:tcW w:type="dxa" w:w="1856"/>
            <w:vAlign w:val="center"/>
          </w:tcPr>
          <w:p w:rsidP="00025C5D" w:rsidR="00EA3F40" w:rsidRDefault="00EA3F40" w:rsidRPr="00613409">
            <w:pPr>
              <w:adjustRightInd w:val="0"/>
              <w:spacing w:before="29" w:line="360" w:lineRule="auto"/>
              <w:ind w:left="17"/>
              <w:jc w:val="center"/>
              <w:rPr>
                <w:color w:val="000000"/>
                <w:sz w:val="24"/>
              </w:rPr>
            </w:pPr>
            <w:r w:rsidRPr="00613409">
              <w:rPr>
                <w:color w:val="000000"/>
                <w:kern w:val="0"/>
                <w:sz w:val="24"/>
              </w:rPr>
              <w:t/>
            </w:r>
            <w:r w:rsidRPr="00613409">
              <w:rPr>
                <w:sz w:val="24"/>
              </w:rPr>
              <w:t>易方达龙宝货币C</w:t>
            </w:r>
          </w:p>
        </w:tc>
      </w:tr>
      <w:tr w:rsidR="00EA3F40" w:rsidRPr="00613409" w:rsidTr="00025C5D">
        <w:trPr>
          <w:trHeight w:val="840"/>
          <w:jc w:val="center"/>
        </w:trPr>
        <w:tc>
          <w:tcPr>
            <w:tcW w:type="dxa" w:w="3402"/>
          </w:tcPr>
          <w:p w:rsidP="00196812" w:rsidR="00EA3F40" w:rsidRDefault="00EA3F40" w:rsidRPr="00613409">
            <w:pPr>
              <w:adjustRightInd w:val="0"/>
              <w:spacing w:before="29" w:line="360" w:lineRule="auto"/>
              <w:ind w:left="17"/>
              <w:rPr>
                <w:kern w:val="0"/>
                <w:sz w:val="24"/>
              </w:rPr>
            </w:pPr>
            <w:r w:rsidRPr="00613409">
              <w:rPr>
                <w:kern w:val="0"/>
                <w:sz w:val="24"/>
              </w:rPr>
              <w:t>1.</w:t>
            </w:r>
            <w:r w:rsidRPr="00613409">
              <w:rPr>
                <w:kern w:val="0"/>
                <w:sz w:val="24"/>
              </w:rPr>
              <w:t>本期已实现收益</w:t>
            </w:r>
          </w:p>
        </w:tc>
        <w:tc>
          <w:tcPr>
            <w:tcW w:type="dxa" w:w="2481"/>
            <w:vAlign w:val="bottom"/>
          </w:tcPr>
          <w:p w:rsidP="00196812" w:rsidR="00EA3F40" w:rsidRDefault="00EA3F40" w:rsidRPr="00613409">
            <w:pPr>
              <w:adjustRightInd w:val="0"/>
              <w:spacing w:before="29" w:line="360" w:lineRule="auto"/>
              <w:ind w:left="17"/>
              <w:jc w:val="right"/>
              <w:rPr>
                <w:color w:val="000000"/>
                <w:sz w:val="24"/>
              </w:rPr>
            </w:pPr>
            <w:r w:rsidRPr="00613409">
              <w:rPr>
                <w:color w:val="000000"/>
                <w:sz w:val="24"/>
              </w:rPr>
              <w:t>3,054,657.74</w:t>
            </w:r>
          </w:p>
        </w:tc>
        <w:tc>
          <w:tcPr>
            <w:tcW w:type="dxa" w:w="1855"/>
            <w:vAlign w:val="bottom"/>
          </w:tcPr>
          <w:p w:rsidP="00196812" w:rsidR="00EA3F40" w:rsidRDefault="00EA3F40" w:rsidRPr="00613409">
            <w:pPr>
              <w:adjustRightInd w:val="0"/>
              <w:spacing w:before="29" w:line="360" w:lineRule="auto"/>
              <w:ind w:left="17"/>
              <w:jc w:val="right"/>
              <w:rPr>
                <w:color w:val="000000"/>
                <w:sz w:val="24"/>
              </w:rPr>
            </w:pPr>
            <w:r w:rsidRPr="00613409">
              <w:rPr>
                <w:color w:val="000000"/>
                <w:sz w:val="24"/>
              </w:rPr>
              <w:t>415,039.65</w:t>
            </w:r>
          </w:p>
        </w:tc>
        <w:tc>
          <w:tcPr>
            <w:tcW w:type="dxa" w:w="1856"/>
            <w:vAlign w:val="bottom"/>
          </w:tcPr>
          <w:p w:rsidP="00025C5D" w:rsidR="00EA3F40" w:rsidRDefault="00EA3F40" w:rsidRPr="00613409">
            <w:pPr>
              <w:adjustRightInd w:val="0"/>
              <w:spacing w:before="29" w:line="360" w:lineRule="auto"/>
              <w:ind w:left="17"/>
              <w:jc w:val="right"/>
              <w:rPr>
                <w:color w:val="000000"/>
                <w:sz w:val="24"/>
              </w:rPr>
            </w:pPr>
            <w:r w:rsidRPr="00613409">
              <w:rPr>
                <w:color w:val="000000"/>
                <w:sz w:val="24"/>
              </w:rPr>
              <w:t>1,220,509.57</w:t>
            </w:r>
          </w:p>
        </w:tc>
      </w:tr>
      <w:tr w:rsidR="00EA3F40" w:rsidRPr="00613409" w:rsidTr="00025C5D">
        <w:trPr>
          <w:jc w:val="center"/>
        </w:trPr>
        <w:tc>
          <w:tcPr>
            <w:tcW w:type="dxa" w:w="3402"/>
          </w:tcPr>
          <w:p w:rsidP="00196812" w:rsidR="00EA3F40" w:rsidRDefault="00EA3F40" w:rsidRPr="00613409">
            <w:pPr>
              <w:adjustRightInd w:val="0"/>
              <w:spacing w:before="29" w:line="360" w:lineRule="auto"/>
              <w:ind w:left="17"/>
              <w:rPr>
                <w:kern w:val="0"/>
                <w:sz w:val="24"/>
              </w:rPr>
            </w:pPr>
            <w:r w:rsidRPr="00613409">
              <w:rPr>
                <w:kern w:val="0"/>
                <w:sz w:val="24"/>
              </w:rPr>
              <w:t>2.</w:t>
            </w:r>
            <w:r w:rsidRPr="00613409">
              <w:rPr>
                <w:kern w:val="0"/>
                <w:sz w:val="24"/>
              </w:rPr>
              <w:t>本期利润</w:t>
            </w:r>
          </w:p>
        </w:tc>
        <w:tc>
          <w:tcPr>
            <w:tcW w:type="dxa" w:w="2481"/>
            <w:vAlign w:val="bottom"/>
          </w:tcPr>
          <w:p w:rsidP="00196812" w:rsidR="00EA3F40" w:rsidRDefault="00EA3F40" w:rsidRPr="00613409">
            <w:pPr>
              <w:adjustRightInd w:val="0"/>
              <w:spacing w:before="29" w:line="360" w:lineRule="auto"/>
              <w:ind w:left="17"/>
              <w:jc w:val="right"/>
              <w:rPr>
                <w:color w:val="000000"/>
                <w:sz w:val="24"/>
              </w:rPr>
            </w:pPr>
            <w:r w:rsidRPr="00613409">
              <w:rPr>
                <w:color w:val="000000"/>
                <w:sz w:val="24"/>
              </w:rPr>
              <w:t>3,054,657.74</w:t>
            </w:r>
          </w:p>
        </w:tc>
        <w:tc>
          <w:tcPr>
            <w:tcW w:type="dxa" w:w="1855"/>
            <w:vAlign w:val="bottom"/>
          </w:tcPr>
          <w:p w:rsidP="00196812" w:rsidR="00EA3F40" w:rsidRDefault="00EA3F40" w:rsidRPr="00613409">
            <w:pPr>
              <w:adjustRightInd w:val="0"/>
              <w:spacing w:before="29" w:line="360" w:lineRule="auto"/>
              <w:ind w:left="17"/>
              <w:jc w:val="right"/>
              <w:rPr>
                <w:color w:val="000000"/>
                <w:sz w:val="24"/>
              </w:rPr>
            </w:pPr>
            <w:r w:rsidRPr="00613409">
              <w:rPr>
                <w:color w:val="000000"/>
                <w:sz w:val="24"/>
              </w:rPr>
              <w:t>415,039.65</w:t>
            </w:r>
          </w:p>
        </w:tc>
        <w:tc>
          <w:tcPr>
            <w:tcW w:type="dxa" w:w="1856"/>
            <w:vAlign w:val="bottom"/>
          </w:tcPr>
          <w:p w:rsidP="00025C5D" w:rsidR="00EA3F40" w:rsidRDefault="00EA3F40" w:rsidRPr="00613409">
            <w:pPr>
              <w:adjustRightInd w:val="0"/>
              <w:spacing w:before="29" w:line="360" w:lineRule="auto"/>
              <w:ind w:left="17"/>
              <w:jc w:val="right"/>
              <w:rPr>
                <w:color w:val="000000"/>
                <w:sz w:val="24"/>
              </w:rPr>
            </w:pPr>
            <w:r w:rsidRPr="00613409">
              <w:rPr>
                <w:color w:val="000000"/>
                <w:sz w:val="24"/>
              </w:rPr>
              <w:t>1,220,509.57</w:t>
            </w:r>
          </w:p>
        </w:tc>
      </w:tr>
      <w:tr w:rsidR="00EA3F40" w:rsidRPr="00613409" w:rsidTr="00025C5D">
        <w:trPr>
          <w:jc w:val="center"/>
        </w:trPr>
        <w:tc>
          <w:tcPr>
            <w:tcW w:type="dxa" w:w="3402"/>
          </w:tcPr>
          <w:p w:rsidP="00196812" w:rsidR="00EA3F40" w:rsidRDefault="00EA3F40" w:rsidRPr="00613409">
            <w:pPr>
              <w:adjustRightInd w:val="0"/>
              <w:spacing w:before="29" w:line="360" w:lineRule="auto"/>
              <w:ind w:left="17"/>
              <w:rPr>
                <w:kern w:val="0"/>
                <w:sz w:val="24"/>
              </w:rPr>
            </w:pPr>
            <w:r w:rsidRPr="00613409">
              <w:rPr>
                <w:kern w:val="0"/>
                <w:sz w:val="24"/>
              </w:rPr>
              <w:t>3.</w:t>
            </w:r>
            <w:r w:rsidRPr="00613409">
              <w:rPr>
                <w:kern w:val="0"/>
                <w:sz w:val="24"/>
              </w:rPr>
              <w:t>期末基金资产净值</w:t>
            </w:r>
          </w:p>
        </w:tc>
        <w:tc>
          <w:tcPr>
            <w:tcW w:type="dxa" w:w="2481"/>
          </w:tcPr>
          <w:p w:rsidP="00196812" w:rsidR="00EA3F40" w:rsidRDefault="00EA3F40" w:rsidRPr="00613409">
            <w:pPr>
              <w:adjustRightInd w:val="0"/>
              <w:spacing w:before="29" w:line="360" w:lineRule="auto"/>
              <w:ind w:left="17"/>
              <w:jc w:val="right"/>
              <w:rPr>
                <w:color w:val="000000"/>
                <w:sz w:val="24"/>
              </w:rPr>
            </w:pPr>
            <w:r w:rsidRPr="00613409">
              <w:rPr>
                <w:color w:val="000000"/>
                <w:sz w:val="24"/>
              </w:rPr>
              <w:t>645,516,032.93</w:t>
            </w:r>
          </w:p>
        </w:tc>
        <w:tc>
          <w:tcPr>
            <w:tcW w:type="dxa" w:w="1855"/>
          </w:tcPr>
          <w:p w:rsidP="00196812" w:rsidR="00EA3F40" w:rsidRDefault="00EA3F40" w:rsidRPr="00613409">
            <w:pPr>
              <w:adjustRightInd w:val="0"/>
              <w:spacing w:before="29" w:line="360" w:lineRule="auto"/>
              <w:ind w:left="17"/>
              <w:jc w:val="right"/>
              <w:rPr>
                <w:color w:val="000000"/>
                <w:sz w:val="24"/>
              </w:rPr>
            </w:pPr>
            <w:r w:rsidRPr="00613409">
              <w:rPr>
                <w:color w:val="000000"/>
                <w:sz w:val="24"/>
              </w:rPr>
              <w:t>73,707,438.05</w:t>
            </w:r>
          </w:p>
        </w:tc>
        <w:tc>
          <w:tcPr>
            <w:tcW w:type="dxa" w:w="1856"/>
          </w:tcPr>
          <w:p w:rsidP="00025C5D" w:rsidR="00EA3F40" w:rsidRDefault="00EA3F40" w:rsidRPr="00613409">
            <w:pPr>
              <w:adjustRightInd w:val="0"/>
              <w:spacing w:before="29" w:line="360" w:lineRule="auto"/>
              <w:ind w:left="17"/>
              <w:jc w:val="right"/>
              <w:rPr>
                <w:color w:val="000000"/>
                <w:sz w:val="24"/>
              </w:rPr>
            </w:pPr>
            <w:r w:rsidRPr="00613409">
              <w:rPr>
                <w:color w:val="000000"/>
                <w:sz w:val="24"/>
              </w:rPr>
              <w:t>236,618,606.16</w:t>
            </w:r>
          </w:p>
        </w:tc>
      </w:tr>
    </w:tbl>
    <w:p>
      <w:pPr>
        <w:adjustRightInd w:val="0"/>
        <w:spacing w:line="360" w:lineRule="auto"/>
        <w:ind w:firstLine="480" w:firstLineChars="200"/>
        <w:rPr>
          <w:color w:val="000000"/>
          <w:sz w:val="24"/>
        </w:rPr>
      </w:pPr>
      <w:r>
        <w:rPr>
          <w:color w:val="000000"/>
          <w:sz w:val="24"/>
        </w:rPr>
        <w:t>注：1.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P="00613409" w:rsidR="00EA3F40" w:rsidRDefault="00EA3F40" w:rsidRPr="00613409">
      <w:pPr>
        <w:adjustRightInd w:val="0"/>
        <w:spacing w:line="360" w:lineRule="auto"/>
        <w:ind w:firstLine="480" w:firstLineChars="200"/>
        <w:rPr>
          <w:color w:val="000000"/>
          <w:sz w:val="24"/>
        </w:rPr>
      </w:pPr>
      <w:r w:rsidRPr="001752C7">
        <w:rPr>
          <w:color w:val="000000"/>
          <w:sz w:val="24"/>
        </w:rPr>
        <w:t>2.本基金利润分配是按日结转份额。</w:t>
      </w:r>
    </w:p>
    <w:p w:rsidP="009A755D" w:rsidR="00EA3F40" w:rsidRDefault="00EA3F40" w:rsidRPr="0097021E">
      <w:pPr>
        <w:spacing w:line="360" w:lineRule="auto"/>
        <w:rPr>
          <w:rFonts w:ascii="宋体" w:cs="Arial"/>
          <w:b/>
          <w:color w:val="000000"/>
          <w:kern w:val="0"/>
          <w:sz w:val="24"/>
        </w:rPr>
      </w:pPr>
      <w:r w:rsidRPr="0097021E">
        <w:rPr>
          <w:rFonts w:ascii="宋体" w:cs="Arial" w:hAnsi="宋体"/>
          <w:b/>
          <w:color w:val="000000"/>
          <w:kern w:val="0"/>
          <w:sz w:val="24"/>
        </w:rPr>
        <w:t xml:space="preserve">3.2 </w:t>
      </w:r>
      <w:r w:rsidRPr="0097021E">
        <w:rPr>
          <w:rFonts w:ascii="宋体" w:cs="Arial" w:hAnsi="宋体" w:hint="eastAsia"/>
          <w:b/>
          <w:color w:val="000000"/>
          <w:kern w:val="0"/>
          <w:sz w:val="24"/>
        </w:rPr>
        <w:t>基金净值表现</w:t>
      </w:r>
    </w:p>
    <w:p w:rsidP="009A755D" w:rsidR="00EA3F40" w:rsidRDefault="00EA3F40" w:rsidRPr="0097021E">
      <w:pPr>
        <w:spacing w:line="360" w:lineRule="auto"/>
        <w:rPr>
          <w:rFonts w:ascii="宋体" w:cs="Arial"/>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97021E">
          <w:rPr>
            <w:rFonts w:ascii="宋体" w:cs="Arial" w:hAnsi="宋体"/>
            <w:b/>
            <w:color w:val="000000"/>
            <w:kern w:val="0"/>
            <w:sz w:val="24"/>
          </w:rPr>
          <w:t>3.2.1</w:t>
        </w:r>
      </w:smartTag>
      <w:r w:rsidRPr="0097021E">
        <w:rPr>
          <w:rFonts w:ascii="宋体" w:cs="Arial" w:hAnsi="宋体"/>
          <w:b/>
          <w:color w:val="000000"/>
          <w:kern w:val="0"/>
          <w:sz w:val="24"/>
        </w:rPr>
        <w:t xml:space="preserve"> </w:t>
      </w:r>
      <w:r w:rsidRPr="0097021E">
        <w:rPr>
          <w:rFonts w:ascii="宋体" w:cs="Arial" w:hAnsi="宋体" w:hint="eastAsia"/>
          <w:b/>
          <w:color w:val="000000"/>
          <w:kern w:val="0"/>
          <w:sz w:val="24"/>
        </w:rPr>
        <w:t>本报告期基金份额净值收益率及其与同期业绩比较基准收益率的比较</w:t>
      </w:r>
    </w:p>
    <w:p w:rsidP="00613409" w:rsidR="00EA3F40" w:rsidRDefault="00EA3F40" w:rsidRPr="00613409">
      <w:pPr>
        <w:pStyle w:val="20"/>
        <w:spacing w:line="360" w:lineRule="auto"/>
        <w:ind w:firstLine="0" w:firstLineChars="0"/>
        <w:rPr>
          <w:b/>
          <w:sz w:val="24"/>
        </w:rPr>
      </w:pPr>
      <w:r w:rsidRPr="00613409">
        <w:rPr>
          <w:b/>
          <w:color w:val="000000"/>
          <w:sz w:val="24"/>
        </w:rPr>
        <w:t/>
      </w:r>
      <w:r w:rsidRPr="00613409">
        <w:rPr>
          <w:rFonts w:cs="宋体"/>
          <w:b/>
          <w:color w:val="000000"/>
          <w:sz w:val="24"/>
        </w:rPr>
        <w:t/>
      </w:r>
      <w:r w:rsidRPr="00613409">
        <w:rPr>
          <w:b/>
          <w:color w:val="000000"/>
          <w:sz w:val="24"/>
        </w:rPr>
        <w:t/>
      </w:r>
      <w:r w:rsidRPr="00613409">
        <w:rPr>
          <w:b/>
          <w:sz w:val="24"/>
        </w:rPr>
        <w:t>易方达龙宝货币A</w:t>
      </w:r>
    </w:p>
    <w:tbl>
      <w:tblPr>
        <w:tblW w:type="auto" w:w="0"/>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1" w:firstRow="1" w:lastColumn="0" w:lastRow="0" w:noHBand="0" w:noVBand="0" w:val="00A0"/>
      </w:tblPr>
      <w:tblGrid>
        <w:gridCol w:w="1328"/>
        <w:gridCol w:w="1329"/>
        <w:gridCol w:w="1329"/>
        <w:gridCol w:w="1329"/>
        <w:gridCol w:w="1329"/>
        <w:gridCol w:w="1329"/>
        <w:gridCol w:w="1329"/>
      </w:tblGrid>
      <w:tr w:rsidR="00EA3F40" w:rsidRPr="0097021E" w:rsidTr="00841A22">
        <w:tc>
          <w:tcPr>
            <w:tcW w:type="dxa" w:w="1328"/>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ascii="Times New Roman" w:hAnsi="Times New Roman"/>
                <w:color w:val="000000"/>
                <w:szCs w:val="24"/>
              </w:rPr>
              <w:t>阶段</w:t>
            </w:r>
            <w:r w:rsidRPr="00613409">
              <w:rPr>
                <w:rFonts w:ascii="Times New Roman" w:hAnsi="Times New Roman"/>
                <w:color w:val="000000"/>
                <w:szCs w:val="24"/>
              </w:rPr>
              <w:t/>
            </w:r>
          </w:p>
        </w:tc>
        <w:tc>
          <w:tcPr>
            <w:tcW w:type="dxa" w:w="1329"/>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ascii="Times New Roman" w:hAnsi="Times New Roman"/>
                <w:color w:val="000000"/>
                <w:szCs w:val="24"/>
              </w:rPr>
              <w:t>净值收益率</w:t>
            </w:r>
            <w:r w:rsidRPr="00613409">
              <w:rPr>
                <w:rFonts w:cs="宋体" w:hint="eastAsia"/>
                <w:color w:val="000000"/>
                <w:szCs w:val="24"/>
              </w:rPr>
              <w:t>①</w:t>
            </w:r>
          </w:p>
        </w:tc>
        <w:tc>
          <w:tcPr>
            <w:tcW w:type="dxa" w:w="1329"/>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ascii="Times New Roman" w:hAnsi="Times New Roman"/>
                <w:color w:val="000000"/>
                <w:szCs w:val="24"/>
              </w:rPr>
              <w:t>净值收益率标准差</w:t>
            </w:r>
            <w:r w:rsidRPr="00613409">
              <w:rPr>
                <w:rFonts w:cs="宋体" w:hint="eastAsia"/>
                <w:color w:val="000000"/>
                <w:szCs w:val="24"/>
              </w:rPr>
              <w:t>②</w:t>
            </w:r>
          </w:p>
        </w:tc>
        <w:tc>
          <w:tcPr>
            <w:tcW w:type="dxa" w:w="1329"/>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w:t>
            </w:r>
            <w:r w:rsidRPr="00613409">
              <w:rPr>
                <w:rFonts w:cs="宋体" w:hint="eastAsia"/>
                <w:color w:val="000000"/>
                <w:szCs w:val="24"/>
              </w:rPr>
              <w:t>③</w:t>
            </w:r>
          </w:p>
        </w:tc>
        <w:tc>
          <w:tcPr>
            <w:tcW w:type="dxa" w:w="1329"/>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业绩比较基准收益率标准差</w:t>
            </w:r>
            <w:r w:rsidRPr="00613409">
              <w:rPr>
                <w:rFonts w:cs="宋体" w:hint="eastAsia"/>
                <w:color w:val="000000"/>
                <w:szCs w:val="24"/>
              </w:rPr>
              <w:t>④</w:t>
            </w:r>
          </w:p>
        </w:tc>
        <w:tc>
          <w:tcPr>
            <w:tcW w:type="dxa" w:w="1329"/>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cs="宋体" w:hint="eastAsia"/>
                <w:color w:val="000000"/>
                <w:szCs w:val="24"/>
              </w:rPr>
              <w:t>①</w:t>
            </w:r>
            <w:r w:rsidRPr="00613409">
              <w:rPr>
                <w:rFonts w:ascii="Times New Roman" w:hAnsi="Times New Roman"/>
                <w:color w:val="000000"/>
                <w:szCs w:val="24"/>
              </w:rPr>
              <w:t>-</w:t>
            </w:r>
            <w:r w:rsidRPr="00613409">
              <w:rPr>
                <w:rFonts w:cs="宋体" w:hint="eastAsia"/>
                <w:color w:val="000000"/>
                <w:szCs w:val="24"/>
              </w:rPr>
              <w:t>③</w:t>
            </w:r>
          </w:p>
        </w:tc>
        <w:tc>
          <w:tcPr>
            <w:tcW w:type="dxa" w:w="1329"/>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cs="宋体" w:hint="eastAsia"/>
                <w:color w:val="000000"/>
                <w:szCs w:val="24"/>
              </w:rPr>
              <w:t>②</w:t>
            </w:r>
            <w:r w:rsidRPr="00613409">
              <w:rPr>
                <w:rFonts w:ascii="Times New Roman" w:hAnsi="Times New Roman"/>
                <w:color w:val="000000"/>
                <w:szCs w:val="24"/>
              </w:rPr>
              <w:t>-</w:t>
            </w:r>
            <w:r w:rsidRPr="00613409">
              <w:rPr>
                <w:rFonts w:cs="宋体" w:hint="eastAsia"/>
                <w:color w:val="000000"/>
                <w:szCs w:val="24"/>
              </w:rPr>
              <w:t>④</w:t>
            </w:r>
          </w:p>
        </w:tc>
      </w:tr>
      <w:tr>
        <w:tc>
          <w:tcPr>
            <w:vAlign w:val="center"/>
          </w:tcPr>
          <w:p>
            <w:pPr>
              <w:jc w:val="left"/>
            </w:pPr>
            <w:r>
              <w:rPr>
                <w:color w:val="000000"/>
                <w:kern w:val="2"/>
                <w:sz w:val="24"/>
              </w:rPr>
              <w:t>过去三个月</w:t>
            </w:r>
          </w:p>
        </w:tc>
        <w:tc>
          <w:tcPr>
            <w:vAlign w:val="center"/>
          </w:tcPr>
          <w:p>
            <w:pPr>
              <w:jc w:val="center"/>
            </w:pPr>
            <w:r>
              <w:rPr>
                <w:color w:val="000000"/>
                <w:kern w:val="2"/>
                <w:sz w:val="24"/>
              </w:rPr>
              <w:t>0.4319%</w:t>
            </w:r>
          </w:p>
        </w:tc>
        <w:tc>
          <w:tcPr>
            <w:vAlign w:val="center"/>
          </w:tcPr>
          <w:p>
            <w:pPr>
              <w:jc w:val="center"/>
            </w:pPr>
            <w:r>
              <w:rPr>
                <w:color w:val="000000"/>
                <w:kern w:val="2"/>
                <w:sz w:val="24"/>
              </w:rPr>
              <w:t>0.0005%</w:t>
            </w:r>
          </w:p>
        </w:tc>
        <w:tc>
          <w:tcPr>
            <w:vAlign w:val="center"/>
          </w:tcPr>
          <w:p>
            <w:pPr>
              <w:jc w:val="center"/>
            </w:pPr>
            <w:r>
              <w:rPr>
                <w:color w:val="000000"/>
                <w:kern w:val="2"/>
                <w:sz w:val="24"/>
              </w:rPr>
              <w:t>0.3456%</w:t>
            </w:r>
          </w:p>
        </w:tc>
        <w:tc>
          <w:tcPr>
            <w:vAlign w:val="center"/>
          </w:tcPr>
          <w:p>
            <w:pPr>
              <w:jc w:val="center"/>
            </w:pPr>
            <w:r>
              <w:rPr>
                <w:color w:val="000000"/>
                <w:kern w:val="2"/>
                <w:sz w:val="24"/>
              </w:rPr>
              <w:t>0.0000%</w:t>
            </w:r>
          </w:p>
        </w:tc>
        <w:tc>
          <w:tcPr>
            <w:vAlign w:val="center"/>
          </w:tcPr>
          <w:p>
            <w:pPr>
              <w:jc w:val="center"/>
            </w:pPr>
            <w:r>
              <w:rPr>
                <w:color w:val="000000"/>
                <w:kern w:val="2"/>
                <w:sz w:val="24"/>
              </w:rPr>
              <w:t>0.0863%</w:t>
            </w:r>
          </w:p>
        </w:tc>
        <w:tc>
          <w:tcPr>
            <w:vAlign w:val="center"/>
          </w:tcPr>
          <w:p>
            <w:pPr>
              <w:jc w:val="center"/>
            </w:pPr>
            <w:r>
              <w:rPr>
                <w:color w:val="000000"/>
                <w:kern w:val="2"/>
                <w:sz w:val="24"/>
              </w:rPr>
              <w:t>0.0005%</w:t>
            </w:r>
          </w:p>
        </w:tc>
      </w:tr>
      <w:tr>
        <w:tc>
          <w:tcPr>
            <w:vAlign w:val="center"/>
          </w:tcPr>
          <w:p>
            <w:pPr>
              <w:jc w:val="left"/>
            </w:pPr>
            <w:r>
              <w:rPr>
                <w:color w:val="000000"/>
                <w:kern w:val="2"/>
                <w:sz w:val="24"/>
              </w:rPr>
              <w:t>过去六个月</w:t>
            </w:r>
          </w:p>
        </w:tc>
        <w:tc>
          <w:tcPr>
            <w:vAlign w:val="center"/>
          </w:tcPr>
          <w:p>
            <w:pPr>
              <w:jc w:val="center"/>
            </w:pPr>
            <w:r>
              <w:rPr>
                <w:color w:val="000000"/>
                <w:kern w:val="2"/>
                <w:sz w:val="24"/>
              </w:rPr>
              <w:t>0.8893%</w:t>
            </w:r>
          </w:p>
        </w:tc>
        <w:tc>
          <w:tcPr>
            <w:vAlign w:val="center"/>
          </w:tcPr>
          <w:p>
            <w:pPr>
              <w:jc w:val="center"/>
            </w:pPr>
            <w:r>
              <w:rPr>
                <w:color w:val="000000"/>
                <w:kern w:val="2"/>
                <w:sz w:val="24"/>
              </w:rPr>
              <w:t>0.0018%</w:t>
            </w:r>
          </w:p>
        </w:tc>
        <w:tc>
          <w:tcPr>
            <w:vAlign w:val="center"/>
          </w:tcPr>
          <w:p>
            <w:pPr>
              <w:jc w:val="center"/>
            </w:pPr>
            <w:r>
              <w:rPr>
                <w:color w:val="000000"/>
                <w:kern w:val="2"/>
                <w:sz w:val="24"/>
              </w:rPr>
              <w:t>0.6886%</w:t>
            </w:r>
          </w:p>
        </w:tc>
        <w:tc>
          <w:tcPr>
            <w:vAlign w:val="center"/>
          </w:tcPr>
          <w:p>
            <w:pPr>
              <w:jc w:val="center"/>
            </w:pPr>
            <w:r>
              <w:rPr>
                <w:color w:val="000000"/>
                <w:kern w:val="2"/>
                <w:sz w:val="24"/>
              </w:rPr>
              <w:t>0.0000%</w:t>
            </w:r>
          </w:p>
        </w:tc>
        <w:tc>
          <w:tcPr>
            <w:vAlign w:val="center"/>
          </w:tcPr>
          <w:p>
            <w:pPr>
              <w:jc w:val="center"/>
            </w:pPr>
            <w:r>
              <w:rPr>
                <w:color w:val="000000"/>
                <w:kern w:val="2"/>
                <w:sz w:val="24"/>
              </w:rPr>
              <w:t>0.2007%</w:t>
            </w:r>
          </w:p>
        </w:tc>
        <w:tc>
          <w:tcPr>
            <w:vAlign w:val="center"/>
          </w:tcPr>
          <w:p>
            <w:pPr>
              <w:jc w:val="center"/>
            </w:pPr>
            <w:r>
              <w:rPr>
                <w:color w:val="000000"/>
                <w:kern w:val="2"/>
                <w:sz w:val="24"/>
              </w:rPr>
              <w:t>0.0018%</w:t>
            </w:r>
          </w:p>
        </w:tc>
      </w:tr>
      <w:tr>
        <w:tc>
          <w:tcPr>
            <w:vAlign w:val="center"/>
          </w:tcPr>
          <w:p>
            <w:pPr>
              <w:jc w:val="left"/>
            </w:pPr>
            <w:r>
              <w:rPr>
                <w:color w:val="000000"/>
                <w:kern w:val="2"/>
                <w:sz w:val="24"/>
              </w:rPr>
              <w:t>过去一年</w:t>
            </w:r>
          </w:p>
        </w:tc>
        <w:tc>
          <w:tcPr>
            <w:vAlign w:val="center"/>
          </w:tcPr>
          <w:p>
            <w:pPr>
              <w:jc w:val="center"/>
            </w:pPr>
            <w:r>
              <w:rPr>
                <w:color w:val="000000"/>
                <w:kern w:val="2"/>
                <w:sz w:val="24"/>
              </w:rPr>
              <w:t>2.1210%</w:t>
            </w:r>
          </w:p>
        </w:tc>
        <w:tc>
          <w:tcPr>
            <w:vAlign w:val="center"/>
          </w:tcPr>
          <w:p>
            <w:pPr>
              <w:jc w:val="center"/>
            </w:pPr>
            <w:r>
              <w:rPr>
                <w:color w:val="000000"/>
                <w:kern w:val="2"/>
                <w:sz w:val="24"/>
              </w:rPr>
              <w:t>0.0017%</w:t>
            </w:r>
          </w:p>
        </w:tc>
        <w:tc>
          <w:tcPr>
            <w:vAlign w:val="center"/>
          </w:tcPr>
          <w:p>
            <w:pPr>
              <w:jc w:val="center"/>
            </w:pPr>
            <w:r>
              <w:rPr>
                <w:color w:val="000000"/>
                <w:kern w:val="2"/>
                <w:sz w:val="24"/>
              </w:rPr>
              <w:t>1.3819%</w:t>
            </w:r>
          </w:p>
        </w:tc>
        <w:tc>
          <w:tcPr>
            <w:vAlign w:val="center"/>
          </w:tcPr>
          <w:p>
            <w:pPr>
              <w:jc w:val="center"/>
            </w:pPr>
            <w:r>
              <w:rPr>
                <w:color w:val="000000"/>
                <w:kern w:val="2"/>
                <w:sz w:val="24"/>
              </w:rPr>
              <w:t>0.0000%</w:t>
            </w:r>
          </w:p>
        </w:tc>
        <w:tc>
          <w:tcPr>
            <w:vAlign w:val="center"/>
          </w:tcPr>
          <w:p>
            <w:pPr>
              <w:jc w:val="center"/>
            </w:pPr>
            <w:r>
              <w:rPr>
                <w:color w:val="000000"/>
                <w:kern w:val="2"/>
                <w:sz w:val="24"/>
              </w:rPr>
              <w:t>0.7391%</w:t>
            </w:r>
          </w:p>
        </w:tc>
        <w:tc>
          <w:tcPr>
            <w:vAlign w:val="center"/>
          </w:tcPr>
          <w:p>
            <w:pPr>
              <w:jc w:val="center"/>
            </w:pPr>
            <w:r>
              <w:rPr>
                <w:color w:val="000000"/>
                <w:kern w:val="2"/>
                <w:sz w:val="24"/>
              </w:rPr>
              <w:t>0.0017%</w:t>
            </w:r>
          </w:p>
        </w:tc>
      </w:tr>
      <w:tr>
        <w:tc>
          <w:tcPr>
            <w:vAlign w:val="center"/>
          </w:tcPr>
          <w:p>
            <w:pPr>
              <w:jc w:val="left"/>
            </w:pPr>
            <w:r>
              <w:rPr>
                <w:color w:val="000000"/>
                <w:kern w:val="2"/>
                <w:sz w:val="24"/>
              </w:rPr>
              <w:t>过去三年</w:t>
            </w:r>
          </w:p>
        </w:tc>
        <w:tc>
          <w:tcPr>
            <w:vAlign w:val="center"/>
          </w:tcPr>
          <w:p>
            <w:pPr>
              <w:jc w:val="center"/>
            </w:pPr>
            <w:r>
              <w:rPr>
                <w:color w:val="000000"/>
                <w:kern w:val="2"/>
                <w:sz w:val="24"/>
              </w:rPr>
              <w:t>9.0619%</w:t>
            </w:r>
          </w:p>
        </w:tc>
        <w:tc>
          <w:tcPr>
            <w:vAlign w:val="center"/>
          </w:tcPr>
          <w:p>
            <w:pPr>
              <w:jc w:val="center"/>
            </w:pPr>
            <w:r>
              <w:rPr>
                <w:color w:val="000000"/>
                <w:kern w:val="2"/>
                <w:sz w:val="24"/>
              </w:rPr>
              <w:t>0.0025%</w:t>
            </w:r>
          </w:p>
        </w:tc>
        <w:tc>
          <w:tcPr>
            <w:vAlign w:val="center"/>
          </w:tcPr>
          <w:p>
            <w:pPr>
              <w:jc w:val="center"/>
            </w:pPr>
            <w:r>
              <w:rPr>
                <w:color w:val="000000"/>
                <w:kern w:val="2"/>
                <w:sz w:val="24"/>
              </w:rPr>
              <w:t>4.1955%</w:t>
            </w:r>
          </w:p>
        </w:tc>
        <w:tc>
          <w:tcPr>
            <w:vAlign w:val="center"/>
          </w:tcPr>
          <w:p>
            <w:pPr>
              <w:jc w:val="center"/>
            </w:pPr>
            <w:r>
              <w:rPr>
                <w:color w:val="000000"/>
                <w:kern w:val="2"/>
                <w:sz w:val="24"/>
              </w:rPr>
              <w:t>0.0000%</w:t>
            </w:r>
          </w:p>
        </w:tc>
        <w:tc>
          <w:tcPr>
            <w:vAlign w:val="center"/>
          </w:tcPr>
          <w:p>
            <w:pPr>
              <w:jc w:val="center"/>
            </w:pPr>
            <w:r>
              <w:rPr>
                <w:color w:val="000000"/>
                <w:kern w:val="2"/>
                <w:sz w:val="24"/>
              </w:rPr>
              <w:t>4.8664%</w:t>
            </w:r>
          </w:p>
        </w:tc>
        <w:tc>
          <w:tcPr>
            <w:vAlign w:val="center"/>
          </w:tcPr>
          <w:p>
            <w:pPr>
              <w:jc w:val="center"/>
            </w:pPr>
            <w:r>
              <w:rPr>
                <w:color w:val="000000"/>
                <w:kern w:val="2"/>
                <w:sz w:val="24"/>
              </w:rPr>
              <w:t>0.0025%</w:t>
            </w:r>
          </w:p>
        </w:tc>
      </w:tr>
      <w:tr>
        <w:tc>
          <w:tcPr>
            <w:vAlign w:val="center"/>
          </w:tcPr>
          <w:p>
            <w:pPr>
              <w:jc w:val="left"/>
            </w:pPr>
            <w:r>
              <w:rPr>
                <w:color w:val="000000"/>
                <w:kern w:val="2"/>
                <w:sz w:val="24"/>
              </w:rPr>
              <w:t>过去五年</w:t>
            </w:r>
          </w:p>
        </w:tc>
        <w:tc>
          <w:tcPr>
            <w:vAlign w:val="center"/>
          </w:tcPr>
          <w:p>
            <w:pPr>
              <w:jc w:val="center"/>
            </w:pPr>
            <w:r>
              <w:rPr>
                <w:color w:val="000000"/>
                <w:kern w:val="2"/>
                <w:sz w:val="24"/>
              </w:rPr>
              <w:t>16.3686%</w:t>
            </w:r>
          </w:p>
        </w:tc>
        <w:tc>
          <w:tcPr>
            <w:vAlign w:val="center"/>
          </w:tcPr>
          <w:p>
            <w:pPr>
              <w:jc w:val="center"/>
            </w:pPr>
            <w:r>
              <w:rPr>
                <w:color w:val="000000"/>
                <w:kern w:val="2"/>
                <w:sz w:val="24"/>
              </w:rPr>
              <w:t>0.0028%</w:t>
            </w:r>
          </w:p>
        </w:tc>
        <w:tc>
          <w:tcPr>
            <w:vAlign w:val="center"/>
          </w:tcPr>
          <w:p>
            <w:pPr>
              <w:jc w:val="center"/>
            </w:pPr>
            <w:r>
              <w:rPr>
                <w:color w:val="000000"/>
                <w:kern w:val="2"/>
                <w:sz w:val="24"/>
              </w:rPr>
              <w:t>7.0913%</w:t>
            </w:r>
          </w:p>
        </w:tc>
        <w:tc>
          <w:tcPr>
            <w:vAlign w:val="center"/>
          </w:tcPr>
          <w:p>
            <w:pPr>
              <w:jc w:val="center"/>
            </w:pPr>
            <w:r>
              <w:rPr>
                <w:color w:val="000000"/>
                <w:kern w:val="2"/>
                <w:sz w:val="24"/>
              </w:rPr>
              <w:t>0.0000%</w:t>
            </w:r>
          </w:p>
        </w:tc>
        <w:tc>
          <w:tcPr>
            <w:vAlign w:val="center"/>
          </w:tcPr>
          <w:p>
            <w:pPr>
              <w:jc w:val="center"/>
            </w:pPr>
            <w:r>
              <w:rPr>
                <w:color w:val="000000"/>
                <w:kern w:val="2"/>
                <w:sz w:val="24"/>
              </w:rPr>
              <w:t>9.2773%</w:t>
            </w:r>
          </w:p>
        </w:tc>
        <w:tc>
          <w:tcPr>
            <w:vAlign w:val="center"/>
          </w:tcPr>
          <w:p>
            <w:pPr>
              <w:jc w:val="center"/>
            </w:pPr>
            <w:r>
              <w:rPr>
                <w:color w:val="000000"/>
                <w:kern w:val="2"/>
                <w:sz w:val="24"/>
              </w:rPr>
              <w:t>0.0028%</w:t>
            </w:r>
          </w:p>
        </w:tc>
      </w:tr>
      <w:tr>
        <w:tc>
          <w:tcPr>
            <w:vAlign w:val="center"/>
          </w:tcPr>
          <w:p>
            <w:pPr>
              <w:jc w:val="left"/>
            </w:pPr>
            <w:r>
              <w:rPr>
                <w:color w:val="000000"/>
                <w:kern w:val="2"/>
                <w:sz w:val="24"/>
              </w:rPr>
              <w:t>自基金合同生效起至今</w:t>
            </w:r>
          </w:p>
        </w:tc>
        <w:tc>
          <w:tcPr>
            <w:vAlign w:val="center"/>
          </w:tcPr>
          <w:p>
            <w:pPr>
              <w:jc w:val="center"/>
            </w:pPr>
            <w:r>
              <w:rPr>
                <w:color w:val="000000"/>
                <w:kern w:val="2"/>
                <w:sz w:val="24"/>
              </w:rPr>
              <w:t>21.0842%</w:t>
            </w:r>
          </w:p>
        </w:tc>
        <w:tc>
          <w:tcPr>
            <w:vAlign w:val="center"/>
          </w:tcPr>
          <w:p>
            <w:pPr>
              <w:jc w:val="center"/>
            </w:pPr>
            <w:r>
              <w:rPr>
                <w:color w:val="000000"/>
                <w:kern w:val="2"/>
                <w:sz w:val="24"/>
              </w:rPr>
              <w:t>0.0035%</w:t>
            </w:r>
          </w:p>
        </w:tc>
        <w:tc>
          <w:tcPr>
            <w:vAlign w:val="center"/>
          </w:tcPr>
          <w:p>
            <w:pPr>
              <w:jc w:val="center"/>
            </w:pPr>
            <w:r>
              <w:rPr>
                <w:color w:val="000000"/>
                <w:kern w:val="2"/>
                <w:sz w:val="24"/>
              </w:rPr>
              <w:t>8.6445%</w:t>
            </w:r>
          </w:p>
        </w:tc>
        <w:tc>
          <w:tcPr>
            <w:vAlign w:val="center"/>
          </w:tcPr>
          <w:p>
            <w:pPr>
              <w:jc w:val="center"/>
            </w:pPr>
            <w:r>
              <w:rPr>
                <w:color w:val="000000"/>
                <w:kern w:val="2"/>
                <w:sz w:val="24"/>
              </w:rPr>
              <w:t>0.0000%</w:t>
            </w:r>
          </w:p>
        </w:tc>
        <w:tc>
          <w:tcPr>
            <w:vAlign w:val="center"/>
          </w:tcPr>
          <w:p>
            <w:pPr>
              <w:jc w:val="center"/>
            </w:pPr>
            <w:r>
              <w:rPr>
                <w:color w:val="000000"/>
                <w:kern w:val="2"/>
                <w:sz w:val="24"/>
              </w:rPr>
              <w:t>12.4397%</w:t>
            </w:r>
          </w:p>
        </w:tc>
        <w:tc>
          <w:tcPr>
            <w:vAlign w:val="center"/>
          </w:tcPr>
          <w:p>
            <w:pPr>
              <w:jc w:val="center"/>
            </w:pPr>
            <w:r>
              <w:rPr>
                <w:color w:val="000000"/>
                <w:kern w:val="2"/>
                <w:sz w:val="24"/>
              </w:rPr>
              <w:t>0.0035%</w:t>
            </w:r>
          </w:p>
        </w:tc>
      </w:tr>
    </w:tbl>
    <w:p w:rsidP="00613409" w:rsidR="00EA3F40" w:rsidRDefault="00EA3F40" w:rsidRPr="00613409">
      <w:pPr>
        <w:pStyle w:val="20"/>
        <w:spacing w:line="360" w:lineRule="auto"/>
        <w:ind w:firstLine="0" w:firstLineChars="0"/>
        <w:rPr>
          <w:b/>
          <w:color w:val="000000"/>
          <w:sz w:val="24"/>
        </w:rPr>
      </w:pPr>
      <w:r w:rsidRPr="00613409">
        <w:rPr>
          <w:b/>
          <w:color w:val="000000"/>
          <w:sz w:val="24"/>
        </w:rPr>
        <w:t>易方达龙宝货币B</w:t>
      </w:r>
    </w:p>
    <w:tbl>
      <w:tblPr>
        <w:tblW w:type="auto" w:w="0"/>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1" w:firstRow="1" w:lastColumn="0" w:lastRow="0" w:noHBand="0" w:noVBand="0" w:val="00A0"/>
      </w:tblPr>
      <w:tblGrid>
        <w:gridCol w:w="1328"/>
        <w:gridCol w:w="1329"/>
        <w:gridCol w:w="1329"/>
        <w:gridCol w:w="1329"/>
        <w:gridCol w:w="1329"/>
        <w:gridCol w:w="1329"/>
        <w:gridCol w:w="1329"/>
      </w:tblGrid>
      <w:tr w:rsidR="00EA3F40" w:rsidRPr="0097021E" w:rsidTr="00841A22">
        <w:tc>
          <w:tcPr>
            <w:tcW w:type="dxa" w:w="1328"/>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ascii="Times New Roman" w:hAnsi="Times New Roman"/>
                <w:color w:val="000000"/>
                <w:szCs w:val="24"/>
              </w:rPr>
              <w:t>阶段</w:t>
            </w:r>
            <w:r w:rsidRPr="00613409">
              <w:rPr>
                <w:rFonts w:ascii="Times New Roman" w:hAnsi="Times New Roman"/>
                <w:color w:val="000000"/>
                <w:szCs w:val="24"/>
              </w:rPr>
              <w:t/>
            </w:r>
          </w:p>
        </w:tc>
        <w:tc>
          <w:tcPr>
            <w:tcW w:type="dxa" w:w="1329"/>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ascii="Times New Roman" w:hAnsi="Times New Roman"/>
                <w:color w:val="000000"/>
                <w:szCs w:val="24"/>
              </w:rPr>
              <w:t>净值收益率</w:t>
            </w:r>
            <w:r w:rsidRPr="00613409">
              <w:rPr>
                <w:rFonts w:cs="宋体" w:hint="eastAsia"/>
                <w:color w:val="000000"/>
                <w:szCs w:val="24"/>
              </w:rPr>
              <w:t>①</w:t>
            </w:r>
          </w:p>
        </w:tc>
        <w:tc>
          <w:tcPr>
            <w:tcW w:type="dxa" w:w="1329"/>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ascii="Times New Roman" w:hAnsi="Times New Roman"/>
                <w:color w:val="000000"/>
                <w:szCs w:val="24"/>
              </w:rPr>
              <w:t>净值收益率标准差</w:t>
            </w:r>
            <w:r w:rsidRPr="00613409">
              <w:rPr>
                <w:rFonts w:cs="宋体" w:hint="eastAsia"/>
                <w:color w:val="000000"/>
                <w:szCs w:val="24"/>
              </w:rPr>
              <w:t>②</w:t>
            </w:r>
          </w:p>
        </w:tc>
        <w:tc>
          <w:tcPr>
            <w:tcW w:type="dxa" w:w="1329"/>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w:t>
            </w:r>
            <w:r w:rsidRPr="00613409">
              <w:rPr>
                <w:rFonts w:cs="宋体" w:hint="eastAsia"/>
                <w:color w:val="000000"/>
                <w:szCs w:val="24"/>
              </w:rPr>
              <w:t>③</w:t>
            </w:r>
          </w:p>
        </w:tc>
        <w:tc>
          <w:tcPr>
            <w:tcW w:type="dxa" w:w="1329"/>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业绩比较基准收益率标准差</w:t>
            </w:r>
            <w:r w:rsidRPr="00613409">
              <w:rPr>
                <w:rFonts w:cs="宋体" w:hint="eastAsia"/>
                <w:color w:val="000000"/>
                <w:szCs w:val="24"/>
              </w:rPr>
              <w:t>④</w:t>
            </w:r>
          </w:p>
        </w:tc>
        <w:tc>
          <w:tcPr>
            <w:tcW w:type="dxa" w:w="1329"/>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cs="宋体" w:hint="eastAsia"/>
                <w:color w:val="000000"/>
                <w:szCs w:val="24"/>
              </w:rPr>
              <w:t>①</w:t>
            </w:r>
            <w:r w:rsidRPr="00613409">
              <w:rPr>
                <w:rFonts w:ascii="Times New Roman" w:hAnsi="Times New Roman"/>
                <w:color w:val="000000"/>
                <w:szCs w:val="24"/>
              </w:rPr>
              <w:t>-</w:t>
            </w:r>
            <w:r w:rsidRPr="00613409">
              <w:rPr>
                <w:rFonts w:cs="宋体" w:hint="eastAsia"/>
                <w:color w:val="000000"/>
                <w:szCs w:val="24"/>
              </w:rPr>
              <w:t>③</w:t>
            </w:r>
          </w:p>
        </w:tc>
        <w:tc>
          <w:tcPr>
            <w:tcW w:type="dxa" w:w="1329"/>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cs="宋体" w:hint="eastAsia"/>
                <w:color w:val="000000"/>
                <w:szCs w:val="24"/>
              </w:rPr>
              <w:t>②</w:t>
            </w:r>
            <w:r w:rsidRPr="00613409">
              <w:rPr>
                <w:rFonts w:ascii="Times New Roman" w:hAnsi="Times New Roman"/>
                <w:color w:val="000000"/>
                <w:szCs w:val="24"/>
              </w:rPr>
              <w:t>-</w:t>
            </w:r>
            <w:r w:rsidRPr="00613409">
              <w:rPr>
                <w:rFonts w:cs="宋体" w:hint="eastAsia"/>
                <w:color w:val="000000"/>
                <w:szCs w:val="24"/>
              </w:rPr>
              <w:t>④</w:t>
            </w:r>
          </w:p>
        </w:tc>
      </w:tr>
      <w:tr>
        <w:tc>
          <w:tcPr>
            <w:vAlign w:val="center"/>
          </w:tcPr>
          <w:p>
            <w:pPr>
              <w:jc w:val="left"/>
            </w:pPr>
            <w:r>
              <w:rPr>
                <w:color w:val="000000"/>
                <w:kern w:val="2"/>
                <w:sz w:val="24"/>
              </w:rPr>
              <w:t>过去三个月</w:t>
            </w:r>
          </w:p>
        </w:tc>
        <w:tc>
          <w:tcPr>
            <w:vAlign w:val="center"/>
          </w:tcPr>
          <w:p>
            <w:pPr>
              <w:jc w:val="center"/>
            </w:pPr>
            <w:r>
              <w:rPr>
                <w:color w:val="000000"/>
                <w:kern w:val="2"/>
                <w:sz w:val="24"/>
              </w:rPr>
              <w:t>0.4927%</w:t>
            </w:r>
          </w:p>
        </w:tc>
        <w:tc>
          <w:tcPr>
            <w:vAlign w:val="center"/>
          </w:tcPr>
          <w:p>
            <w:pPr>
              <w:jc w:val="center"/>
            </w:pPr>
            <w:r>
              <w:rPr>
                <w:color w:val="000000"/>
                <w:kern w:val="2"/>
                <w:sz w:val="24"/>
              </w:rPr>
              <w:t>0.0005%</w:t>
            </w:r>
          </w:p>
        </w:tc>
        <w:tc>
          <w:tcPr>
            <w:vAlign w:val="center"/>
          </w:tcPr>
          <w:p>
            <w:pPr>
              <w:jc w:val="center"/>
            </w:pPr>
            <w:r>
              <w:rPr>
                <w:color w:val="000000"/>
                <w:kern w:val="2"/>
                <w:sz w:val="24"/>
              </w:rPr>
              <w:t>0.3456%</w:t>
            </w:r>
          </w:p>
        </w:tc>
        <w:tc>
          <w:tcPr>
            <w:vAlign w:val="center"/>
          </w:tcPr>
          <w:p>
            <w:pPr>
              <w:jc w:val="center"/>
            </w:pPr>
            <w:r>
              <w:rPr>
                <w:color w:val="000000"/>
                <w:kern w:val="2"/>
                <w:sz w:val="24"/>
              </w:rPr>
              <w:t>0.0000%</w:t>
            </w:r>
          </w:p>
        </w:tc>
        <w:tc>
          <w:tcPr>
            <w:vAlign w:val="center"/>
          </w:tcPr>
          <w:p>
            <w:pPr>
              <w:jc w:val="center"/>
            </w:pPr>
            <w:r>
              <w:rPr>
                <w:color w:val="000000"/>
                <w:kern w:val="2"/>
                <w:sz w:val="24"/>
              </w:rPr>
              <w:t>0.1471%</w:t>
            </w:r>
          </w:p>
        </w:tc>
        <w:tc>
          <w:tcPr>
            <w:vAlign w:val="center"/>
          </w:tcPr>
          <w:p>
            <w:pPr>
              <w:jc w:val="center"/>
            </w:pPr>
            <w:r>
              <w:rPr>
                <w:color w:val="000000"/>
                <w:kern w:val="2"/>
                <w:sz w:val="24"/>
              </w:rPr>
              <w:t>0.0005%</w:t>
            </w:r>
          </w:p>
        </w:tc>
      </w:tr>
      <w:tr>
        <w:tc>
          <w:tcPr>
            <w:vAlign w:val="center"/>
          </w:tcPr>
          <w:p>
            <w:pPr>
              <w:jc w:val="left"/>
            </w:pPr>
            <w:r>
              <w:rPr>
                <w:color w:val="000000"/>
                <w:kern w:val="2"/>
                <w:sz w:val="24"/>
              </w:rPr>
              <w:t>过去六个月</w:t>
            </w:r>
          </w:p>
        </w:tc>
        <w:tc>
          <w:tcPr>
            <w:vAlign w:val="center"/>
          </w:tcPr>
          <w:p>
            <w:pPr>
              <w:jc w:val="center"/>
            </w:pPr>
            <w:r>
              <w:rPr>
                <w:color w:val="000000"/>
                <w:kern w:val="2"/>
                <w:sz w:val="24"/>
              </w:rPr>
              <w:t>1.0106%</w:t>
            </w:r>
          </w:p>
        </w:tc>
        <w:tc>
          <w:tcPr>
            <w:vAlign w:val="center"/>
          </w:tcPr>
          <w:p>
            <w:pPr>
              <w:jc w:val="center"/>
            </w:pPr>
            <w:r>
              <w:rPr>
                <w:color w:val="000000"/>
                <w:kern w:val="2"/>
                <w:sz w:val="24"/>
              </w:rPr>
              <w:t>0.0018%</w:t>
            </w:r>
          </w:p>
        </w:tc>
        <w:tc>
          <w:tcPr>
            <w:vAlign w:val="center"/>
          </w:tcPr>
          <w:p>
            <w:pPr>
              <w:jc w:val="center"/>
            </w:pPr>
            <w:r>
              <w:rPr>
                <w:color w:val="000000"/>
                <w:kern w:val="2"/>
                <w:sz w:val="24"/>
              </w:rPr>
              <w:t>0.6886%</w:t>
            </w:r>
          </w:p>
        </w:tc>
        <w:tc>
          <w:tcPr>
            <w:vAlign w:val="center"/>
          </w:tcPr>
          <w:p>
            <w:pPr>
              <w:jc w:val="center"/>
            </w:pPr>
            <w:r>
              <w:rPr>
                <w:color w:val="000000"/>
                <w:kern w:val="2"/>
                <w:sz w:val="24"/>
              </w:rPr>
              <w:t>0.0000%</w:t>
            </w:r>
          </w:p>
        </w:tc>
        <w:tc>
          <w:tcPr>
            <w:vAlign w:val="center"/>
          </w:tcPr>
          <w:p>
            <w:pPr>
              <w:jc w:val="center"/>
            </w:pPr>
            <w:r>
              <w:rPr>
                <w:color w:val="000000"/>
                <w:kern w:val="2"/>
                <w:sz w:val="24"/>
              </w:rPr>
              <w:t>0.3220%</w:t>
            </w:r>
          </w:p>
        </w:tc>
        <w:tc>
          <w:tcPr>
            <w:vAlign w:val="center"/>
          </w:tcPr>
          <w:p>
            <w:pPr>
              <w:jc w:val="center"/>
            </w:pPr>
            <w:r>
              <w:rPr>
                <w:color w:val="000000"/>
                <w:kern w:val="2"/>
                <w:sz w:val="24"/>
              </w:rPr>
              <w:t>0.0018%</w:t>
            </w:r>
          </w:p>
        </w:tc>
      </w:tr>
      <w:tr>
        <w:tc>
          <w:tcPr>
            <w:vAlign w:val="center"/>
          </w:tcPr>
          <w:p>
            <w:pPr>
              <w:jc w:val="left"/>
            </w:pPr>
            <w:r>
              <w:rPr>
                <w:color w:val="000000"/>
                <w:kern w:val="2"/>
                <w:sz w:val="24"/>
              </w:rPr>
              <w:t>过去一年</w:t>
            </w:r>
          </w:p>
        </w:tc>
        <w:tc>
          <w:tcPr>
            <w:vAlign w:val="center"/>
          </w:tcPr>
          <w:p>
            <w:pPr>
              <w:jc w:val="center"/>
            </w:pPr>
            <w:r>
              <w:rPr>
                <w:color w:val="000000"/>
                <w:kern w:val="2"/>
                <w:sz w:val="24"/>
              </w:rPr>
              <w:t>2.3668%</w:t>
            </w:r>
          </w:p>
        </w:tc>
        <w:tc>
          <w:tcPr>
            <w:vAlign w:val="center"/>
          </w:tcPr>
          <w:p>
            <w:pPr>
              <w:jc w:val="center"/>
            </w:pPr>
            <w:r>
              <w:rPr>
                <w:color w:val="000000"/>
                <w:kern w:val="2"/>
                <w:sz w:val="24"/>
              </w:rPr>
              <w:t>0.0017%</w:t>
            </w:r>
          </w:p>
        </w:tc>
        <w:tc>
          <w:tcPr>
            <w:vAlign w:val="center"/>
          </w:tcPr>
          <w:p>
            <w:pPr>
              <w:jc w:val="center"/>
            </w:pPr>
            <w:r>
              <w:rPr>
                <w:color w:val="000000"/>
                <w:kern w:val="2"/>
                <w:sz w:val="24"/>
              </w:rPr>
              <w:t>1.3819%</w:t>
            </w:r>
          </w:p>
        </w:tc>
        <w:tc>
          <w:tcPr>
            <w:vAlign w:val="center"/>
          </w:tcPr>
          <w:p>
            <w:pPr>
              <w:jc w:val="center"/>
            </w:pPr>
            <w:r>
              <w:rPr>
                <w:color w:val="000000"/>
                <w:kern w:val="2"/>
                <w:sz w:val="24"/>
              </w:rPr>
              <w:t>0.0000%</w:t>
            </w:r>
          </w:p>
        </w:tc>
        <w:tc>
          <w:tcPr>
            <w:vAlign w:val="center"/>
          </w:tcPr>
          <w:p>
            <w:pPr>
              <w:jc w:val="center"/>
            </w:pPr>
            <w:r>
              <w:rPr>
                <w:color w:val="000000"/>
                <w:kern w:val="2"/>
                <w:sz w:val="24"/>
              </w:rPr>
              <w:t>0.9849%</w:t>
            </w:r>
          </w:p>
        </w:tc>
        <w:tc>
          <w:tcPr>
            <w:vAlign w:val="center"/>
          </w:tcPr>
          <w:p>
            <w:pPr>
              <w:jc w:val="center"/>
            </w:pPr>
            <w:r>
              <w:rPr>
                <w:color w:val="000000"/>
                <w:kern w:val="2"/>
                <w:sz w:val="24"/>
              </w:rPr>
              <w:t>0.0017%</w:t>
            </w:r>
          </w:p>
        </w:tc>
      </w:tr>
      <w:tr>
        <w:tc>
          <w:tcPr>
            <w:vAlign w:val="center"/>
          </w:tcPr>
          <w:p>
            <w:pPr>
              <w:jc w:val="left"/>
            </w:pPr>
            <w:r>
              <w:rPr>
                <w:color w:val="000000"/>
                <w:kern w:val="2"/>
                <w:sz w:val="24"/>
              </w:rPr>
              <w:t>过去三年</w:t>
            </w:r>
          </w:p>
        </w:tc>
        <w:tc>
          <w:tcPr>
            <w:vAlign w:val="center"/>
          </w:tcPr>
          <w:p>
            <w:pPr>
              <w:jc w:val="center"/>
            </w:pPr>
            <w:r>
              <w:rPr>
                <w:color w:val="000000"/>
                <w:kern w:val="2"/>
                <w:sz w:val="24"/>
              </w:rPr>
              <w:t>9.8510%</w:t>
            </w:r>
          </w:p>
        </w:tc>
        <w:tc>
          <w:tcPr>
            <w:vAlign w:val="center"/>
          </w:tcPr>
          <w:p>
            <w:pPr>
              <w:jc w:val="center"/>
            </w:pPr>
            <w:r>
              <w:rPr>
                <w:color w:val="000000"/>
                <w:kern w:val="2"/>
                <w:sz w:val="24"/>
              </w:rPr>
              <w:t>0.0025%</w:t>
            </w:r>
          </w:p>
        </w:tc>
        <w:tc>
          <w:tcPr>
            <w:vAlign w:val="center"/>
          </w:tcPr>
          <w:p>
            <w:pPr>
              <w:jc w:val="center"/>
            </w:pPr>
            <w:r>
              <w:rPr>
                <w:color w:val="000000"/>
                <w:kern w:val="2"/>
                <w:sz w:val="24"/>
              </w:rPr>
              <w:t>4.1955%</w:t>
            </w:r>
          </w:p>
        </w:tc>
        <w:tc>
          <w:tcPr>
            <w:vAlign w:val="center"/>
          </w:tcPr>
          <w:p>
            <w:pPr>
              <w:jc w:val="center"/>
            </w:pPr>
            <w:r>
              <w:rPr>
                <w:color w:val="000000"/>
                <w:kern w:val="2"/>
                <w:sz w:val="24"/>
              </w:rPr>
              <w:t>0.0000%</w:t>
            </w:r>
          </w:p>
        </w:tc>
        <w:tc>
          <w:tcPr>
            <w:vAlign w:val="center"/>
          </w:tcPr>
          <w:p>
            <w:pPr>
              <w:jc w:val="center"/>
            </w:pPr>
            <w:r>
              <w:rPr>
                <w:color w:val="000000"/>
                <w:kern w:val="2"/>
                <w:sz w:val="24"/>
              </w:rPr>
              <w:t>5.6555%</w:t>
            </w:r>
          </w:p>
        </w:tc>
        <w:tc>
          <w:tcPr>
            <w:vAlign w:val="center"/>
          </w:tcPr>
          <w:p>
            <w:pPr>
              <w:jc w:val="center"/>
            </w:pPr>
            <w:r>
              <w:rPr>
                <w:color w:val="000000"/>
                <w:kern w:val="2"/>
                <w:sz w:val="24"/>
              </w:rPr>
              <w:t>0.0025%</w:t>
            </w:r>
          </w:p>
        </w:tc>
      </w:tr>
      <w:tr>
        <w:tc>
          <w:tcPr>
            <w:vAlign w:val="center"/>
          </w:tcPr>
          <w:p>
            <w:pPr>
              <w:jc w:val="left"/>
            </w:pPr>
            <w:r>
              <w:rPr>
                <w:color w:val="000000"/>
                <w:kern w:val="2"/>
                <w:sz w:val="24"/>
              </w:rPr>
              <w:t>过去五年</w:t>
            </w:r>
          </w:p>
        </w:tc>
        <w:tc>
          <w:tcPr>
            <w:vAlign w:val="center"/>
          </w:tcPr>
          <w:p>
            <w:pPr>
              <w:jc w:val="center"/>
            </w:pPr>
            <w:r>
              <w:rPr>
                <w:color w:val="000000"/>
                <w:kern w:val="2"/>
                <w:sz w:val="24"/>
              </w:rPr>
              <w:t>17.7736%</w:t>
            </w:r>
          </w:p>
        </w:tc>
        <w:tc>
          <w:tcPr>
            <w:vAlign w:val="center"/>
          </w:tcPr>
          <w:p>
            <w:pPr>
              <w:jc w:val="center"/>
            </w:pPr>
            <w:r>
              <w:rPr>
                <w:color w:val="000000"/>
                <w:kern w:val="2"/>
                <w:sz w:val="24"/>
              </w:rPr>
              <w:t>0.0028%</w:t>
            </w:r>
          </w:p>
        </w:tc>
        <w:tc>
          <w:tcPr>
            <w:vAlign w:val="center"/>
          </w:tcPr>
          <w:p>
            <w:pPr>
              <w:jc w:val="center"/>
            </w:pPr>
            <w:r>
              <w:rPr>
                <w:color w:val="000000"/>
                <w:kern w:val="2"/>
                <w:sz w:val="24"/>
              </w:rPr>
              <w:t>7.0913%</w:t>
            </w:r>
          </w:p>
        </w:tc>
        <w:tc>
          <w:tcPr>
            <w:vAlign w:val="center"/>
          </w:tcPr>
          <w:p>
            <w:pPr>
              <w:jc w:val="center"/>
            </w:pPr>
            <w:r>
              <w:rPr>
                <w:color w:val="000000"/>
                <w:kern w:val="2"/>
                <w:sz w:val="24"/>
              </w:rPr>
              <w:t>0.0000%</w:t>
            </w:r>
          </w:p>
        </w:tc>
        <w:tc>
          <w:tcPr>
            <w:vAlign w:val="center"/>
          </w:tcPr>
          <w:p>
            <w:pPr>
              <w:jc w:val="center"/>
            </w:pPr>
            <w:r>
              <w:rPr>
                <w:color w:val="000000"/>
                <w:kern w:val="2"/>
                <w:sz w:val="24"/>
              </w:rPr>
              <w:t>10.6823%</w:t>
            </w:r>
          </w:p>
        </w:tc>
        <w:tc>
          <w:tcPr>
            <w:vAlign w:val="center"/>
          </w:tcPr>
          <w:p>
            <w:pPr>
              <w:jc w:val="center"/>
            </w:pPr>
            <w:r>
              <w:rPr>
                <w:color w:val="000000"/>
                <w:kern w:val="2"/>
                <w:sz w:val="24"/>
              </w:rPr>
              <w:t>0.0028%</w:t>
            </w:r>
          </w:p>
        </w:tc>
      </w:tr>
      <w:tr>
        <w:tc>
          <w:tcPr>
            <w:vAlign w:val="center"/>
          </w:tcPr>
          <w:p>
            <w:pPr>
              <w:jc w:val="left"/>
            </w:pPr>
            <w:r>
              <w:rPr>
                <w:color w:val="000000"/>
                <w:kern w:val="2"/>
                <w:sz w:val="24"/>
              </w:rPr>
              <w:t>自基金合同生效起至今</w:t>
            </w:r>
          </w:p>
        </w:tc>
        <w:tc>
          <w:tcPr>
            <w:vAlign w:val="center"/>
          </w:tcPr>
          <w:p>
            <w:pPr>
              <w:jc w:val="center"/>
            </w:pPr>
            <w:r>
              <w:rPr>
                <w:color w:val="000000"/>
                <w:kern w:val="2"/>
                <w:sz w:val="24"/>
              </w:rPr>
              <w:t>22.8533%</w:t>
            </w:r>
          </w:p>
        </w:tc>
        <w:tc>
          <w:tcPr>
            <w:vAlign w:val="center"/>
          </w:tcPr>
          <w:p>
            <w:pPr>
              <w:jc w:val="center"/>
            </w:pPr>
            <w:r>
              <w:rPr>
                <w:color w:val="000000"/>
                <w:kern w:val="2"/>
                <w:sz w:val="24"/>
              </w:rPr>
              <w:t>0.0035%</w:t>
            </w:r>
          </w:p>
        </w:tc>
        <w:tc>
          <w:tcPr>
            <w:vAlign w:val="center"/>
          </w:tcPr>
          <w:p>
            <w:pPr>
              <w:jc w:val="center"/>
            </w:pPr>
            <w:r>
              <w:rPr>
                <w:color w:val="000000"/>
                <w:kern w:val="2"/>
                <w:sz w:val="24"/>
              </w:rPr>
              <w:t>8.6445%</w:t>
            </w:r>
          </w:p>
        </w:tc>
        <w:tc>
          <w:tcPr>
            <w:vAlign w:val="center"/>
          </w:tcPr>
          <w:p>
            <w:pPr>
              <w:jc w:val="center"/>
            </w:pPr>
            <w:r>
              <w:rPr>
                <w:color w:val="000000"/>
                <w:kern w:val="2"/>
                <w:sz w:val="24"/>
              </w:rPr>
              <w:t>0.0000%</w:t>
            </w:r>
          </w:p>
        </w:tc>
        <w:tc>
          <w:tcPr>
            <w:vAlign w:val="center"/>
          </w:tcPr>
          <w:p>
            <w:pPr>
              <w:jc w:val="center"/>
            </w:pPr>
            <w:r>
              <w:rPr>
                <w:color w:val="000000"/>
                <w:kern w:val="2"/>
                <w:sz w:val="24"/>
              </w:rPr>
              <w:t>14.2088%</w:t>
            </w:r>
          </w:p>
        </w:tc>
        <w:tc>
          <w:tcPr>
            <w:vAlign w:val="center"/>
          </w:tcPr>
          <w:p>
            <w:pPr>
              <w:jc w:val="center"/>
            </w:pPr>
            <w:r>
              <w:rPr>
                <w:color w:val="000000"/>
                <w:kern w:val="2"/>
                <w:sz w:val="24"/>
              </w:rPr>
              <w:t>0.0035%</w:t>
            </w:r>
          </w:p>
        </w:tc>
      </w:tr>
    </w:tbl>
    <w:p w:rsidP="00613409" w:rsidR="00EA3F40" w:rsidRDefault="00EA3F40" w:rsidRPr="00613409">
      <w:pPr>
        <w:pStyle w:val="20"/>
        <w:spacing w:line="360" w:lineRule="auto"/>
        <w:ind w:firstLine="0" w:firstLineChars="0"/>
        <w:rPr>
          <w:b/>
          <w:color w:val="000000"/>
          <w:sz w:val="24"/>
        </w:rPr>
      </w:pPr>
      <w:r w:rsidRPr="00613409">
        <w:rPr>
          <w:b/>
          <w:color w:val="000000"/>
          <w:sz w:val="24"/>
        </w:rPr>
        <w:t>易方达龙宝货币C</w:t>
      </w:r>
    </w:p>
    <w:tbl>
      <w:tblPr>
        <w:tblW w:type="auto" w:w="0"/>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1" w:firstRow="1" w:lastColumn="0" w:lastRow="0" w:noHBand="0" w:noVBand="0" w:val="00A0"/>
      </w:tblPr>
      <w:tblGrid>
        <w:gridCol w:w="1328"/>
        <w:gridCol w:w="1329"/>
        <w:gridCol w:w="1329"/>
        <w:gridCol w:w="1329"/>
        <w:gridCol w:w="1329"/>
        <w:gridCol w:w="1329"/>
        <w:gridCol w:w="1329"/>
      </w:tblGrid>
      <w:tr w:rsidR="00EA3F40" w:rsidRPr="0097021E" w:rsidTr="00841A22">
        <w:tc>
          <w:tcPr>
            <w:tcW w:type="dxa" w:w="1328"/>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ascii="Times New Roman" w:hAnsi="Times New Roman"/>
                <w:color w:val="000000"/>
                <w:szCs w:val="24"/>
              </w:rPr>
              <w:t>阶段</w:t>
            </w:r>
            <w:r w:rsidRPr="00613409">
              <w:rPr>
                <w:rFonts w:ascii="Times New Roman" w:hAnsi="Times New Roman"/>
                <w:color w:val="000000"/>
                <w:szCs w:val="24"/>
              </w:rPr>
              <w:t/>
            </w:r>
          </w:p>
        </w:tc>
        <w:tc>
          <w:tcPr>
            <w:tcW w:type="dxa" w:w="1329"/>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ascii="Times New Roman" w:hAnsi="Times New Roman"/>
                <w:color w:val="000000"/>
                <w:szCs w:val="24"/>
              </w:rPr>
              <w:t>净值收益率</w:t>
            </w:r>
            <w:r w:rsidRPr="00613409">
              <w:rPr>
                <w:rFonts w:cs="宋体" w:hint="eastAsia"/>
                <w:color w:val="000000"/>
                <w:szCs w:val="24"/>
              </w:rPr>
              <w:t>①</w:t>
            </w:r>
          </w:p>
        </w:tc>
        <w:tc>
          <w:tcPr>
            <w:tcW w:type="dxa" w:w="1329"/>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ascii="Times New Roman" w:hAnsi="Times New Roman"/>
                <w:color w:val="000000"/>
                <w:szCs w:val="24"/>
              </w:rPr>
              <w:t>净值收益率标准差</w:t>
            </w:r>
            <w:r w:rsidRPr="00613409">
              <w:rPr>
                <w:rFonts w:cs="宋体" w:hint="eastAsia"/>
                <w:color w:val="000000"/>
                <w:szCs w:val="24"/>
              </w:rPr>
              <w:t>②</w:t>
            </w:r>
          </w:p>
        </w:tc>
        <w:tc>
          <w:tcPr>
            <w:tcW w:type="dxa" w:w="1329"/>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w:t>
            </w:r>
            <w:r w:rsidRPr="00613409">
              <w:rPr>
                <w:rFonts w:cs="宋体" w:hint="eastAsia"/>
                <w:color w:val="000000"/>
                <w:szCs w:val="24"/>
              </w:rPr>
              <w:t>③</w:t>
            </w:r>
          </w:p>
        </w:tc>
        <w:tc>
          <w:tcPr>
            <w:tcW w:type="dxa" w:w="1329"/>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业绩比较基准收益率标准差</w:t>
            </w:r>
            <w:r w:rsidRPr="00613409">
              <w:rPr>
                <w:rFonts w:cs="宋体" w:hint="eastAsia"/>
                <w:color w:val="000000"/>
                <w:szCs w:val="24"/>
              </w:rPr>
              <w:t>④</w:t>
            </w:r>
          </w:p>
        </w:tc>
        <w:tc>
          <w:tcPr>
            <w:tcW w:type="dxa" w:w="1329"/>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cs="宋体" w:hint="eastAsia"/>
                <w:color w:val="000000"/>
                <w:szCs w:val="24"/>
              </w:rPr>
              <w:t>①</w:t>
            </w:r>
            <w:r w:rsidRPr="00613409">
              <w:rPr>
                <w:rFonts w:ascii="Times New Roman" w:hAnsi="Times New Roman"/>
                <w:color w:val="000000"/>
                <w:szCs w:val="24"/>
              </w:rPr>
              <w:t>-</w:t>
            </w:r>
            <w:r w:rsidRPr="00613409">
              <w:rPr>
                <w:rFonts w:cs="宋体" w:hint="eastAsia"/>
                <w:color w:val="000000"/>
                <w:szCs w:val="24"/>
              </w:rPr>
              <w:t>③</w:t>
            </w:r>
          </w:p>
        </w:tc>
        <w:tc>
          <w:tcPr>
            <w:tcW w:type="dxa" w:w="1329"/>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cs="宋体" w:hint="eastAsia"/>
                <w:color w:val="000000"/>
                <w:szCs w:val="24"/>
              </w:rPr>
              <w:t>②</w:t>
            </w:r>
            <w:r w:rsidRPr="00613409">
              <w:rPr>
                <w:rFonts w:ascii="Times New Roman" w:hAnsi="Times New Roman"/>
                <w:color w:val="000000"/>
                <w:szCs w:val="24"/>
              </w:rPr>
              <w:t>-</w:t>
            </w:r>
            <w:r w:rsidRPr="00613409">
              <w:rPr>
                <w:rFonts w:cs="宋体" w:hint="eastAsia"/>
                <w:color w:val="000000"/>
                <w:szCs w:val="24"/>
              </w:rPr>
              <w:t>④</w:t>
            </w:r>
          </w:p>
        </w:tc>
      </w:tr>
      <w:tr>
        <w:tc>
          <w:tcPr>
            <w:vAlign w:val="center"/>
          </w:tcPr>
          <w:p>
            <w:pPr>
              <w:jc w:val="left"/>
            </w:pPr>
            <w:r>
              <w:rPr>
                <w:color w:val="000000"/>
                <w:kern w:val="2"/>
                <w:sz w:val="24"/>
              </w:rPr>
              <w:t>过去三个月</w:t>
            </w:r>
          </w:p>
        </w:tc>
        <w:tc>
          <w:tcPr>
            <w:vAlign w:val="center"/>
          </w:tcPr>
          <w:p>
            <w:pPr>
              <w:jc w:val="center"/>
            </w:pPr>
            <w:r>
              <w:rPr>
                <w:color w:val="000000"/>
                <w:kern w:val="2"/>
                <w:sz w:val="24"/>
              </w:rPr>
              <w:t>0.4826%</w:t>
            </w:r>
          </w:p>
        </w:tc>
        <w:tc>
          <w:tcPr>
            <w:vAlign w:val="center"/>
          </w:tcPr>
          <w:p>
            <w:pPr>
              <w:jc w:val="center"/>
            </w:pPr>
            <w:r>
              <w:rPr>
                <w:color w:val="000000"/>
                <w:kern w:val="2"/>
                <w:sz w:val="24"/>
              </w:rPr>
              <w:t>0.0005%</w:t>
            </w:r>
          </w:p>
        </w:tc>
        <w:tc>
          <w:tcPr>
            <w:vAlign w:val="center"/>
          </w:tcPr>
          <w:p>
            <w:pPr>
              <w:jc w:val="center"/>
            </w:pPr>
            <w:r>
              <w:rPr>
                <w:color w:val="000000"/>
                <w:kern w:val="2"/>
                <w:sz w:val="24"/>
              </w:rPr>
              <w:t>0.3456%</w:t>
            </w:r>
          </w:p>
        </w:tc>
        <w:tc>
          <w:tcPr>
            <w:vAlign w:val="center"/>
          </w:tcPr>
          <w:p>
            <w:pPr>
              <w:jc w:val="center"/>
            </w:pPr>
            <w:r>
              <w:rPr>
                <w:color w:val="000000"/>
                <w:kern w:val="2"/>
                <w:sz w:val="24"/>
              </w:rPr>
              <w:t>0.0000%</w:t>
            </w:r>
          </w:p>
        </w:tc>
        <w:tc>
          <w:tcPr>
            <w:vAlign w:val="center"/>
          </w:tcPr>
          <w:p>
            <w:pPr>
              <w:jc w:val="center"/>
            </w:pPr>
            <w:r>
              <w:rPr>
                <w:color w:val="000000"/>
                <w:kern w:val="2"/>
                <w:sz w:val="24"/>
              </w:rPr>
              <w:t>0.1370%</w:t>
            </w:r>
          </w:p>
        </w:tc>
        <w:tc>
          <w:tcPr>
            <w:vAlign w:val="center"/>
          </w:tcPr>
          <w:p>
            <w:pPr>
              <w:jc w:val="center"/>
            </w:pPr>
            <w:r>
              <w:rPr>
                <w:color w:val="000000"/>
                <w:kern w:val="2"/>
                <w:sz w:val="24"/>
              </w:rPr>
              <w:t>0.0005%</w:t>
            </w:r>
          </w:p>
        </w:tc>
      </w:tr>
      <w:tr>
        <w:tc>
          <w:tcPr>
            <w:vAlign w:val="center"/>
          </w:tcPr>
          <w:p>
            <w:pPr>
              <w:jc w:val="left"/>
            </w:pPr>
            <w:r>
              <w:rPr>
                <w:color w:val="000000"/>
                <w:kern w:val="2"/>
                <w:sz w:val="24"/>
              </w:rPr>
              <w:t>过去六个月</w:t>
            </w:r>
          </w:p>
        </w:tc>
        <w:tc>
          <w:tcPr>
            <w:vAlign w:val="center"/>
          </w:tcPr>
          <w:p>
            <w:pPr>
              <w:jc w:val="center"/>
            </w:pPr>
            <w:r>
              <w:rPr>
                <w:color w:val="000000"/>
                <w:kern w:val="2"/>
                <w:sz w:val="24"/>
              </w:rPr>
              <w:t>0.9905%</w:t>
            </w:r>
          </w:p>
        </w:tc>
        <w:tc>
          <w:tcPr>
            <w:vAlign w:val="center"/>
          </w:tcPr>
          <w:p>
            <w:pPr>
              <w:jc w:val="center"/>
            </w:pPr>
            <w:r>
              <w:rPr>
                <w:color w:val="000000"/>
                <w:kern w:val="2"/>
                <w:sz w:val="24"/>
              </w:rPr>
              <w:t>0.0018%</w:t>
            </w:r>
          </w:p>
        </w:tc>
        <w:tc>
          <w:tcPr>
            <w:vAlign w:val="center"/>
          </w:tcPr>
          <w:p>
            <w:pPr>
              <w:jc w:val="center"/>
            </w:pPr>
            <w:r>
              <w:rPr>
                <w:color w:val="000000"/>
                <w:kern w:val="2"/>
                <w:sz w:val="24"/>
              </w:rPr>
              <w:t>0.6886%</w:t>
            </w:r>
          </w:p>
        </w:tc>
        <w:tc>
          <w:tcPr>
            <w:vAlign w:val="center"/>
          </w:tcPr>
          <w:p>
            <w:pPr>
              <w:jc w:val="center"/>
            </w:pPr>
            <w:r>
              <w:rPr>
                <w:color w:val="000000"/>
                <w:kern w:val="2"/>
                <w:sz w:val="24"/>
              </w:rPr>
              <w:t>0.0000%</w:t>
            </w:r>
          </w:p>
        </w:tc>
        <w:tc>
          <w:tcPr>
            <w:vAlign w:val="center"/>
          </w:tcPr>
          <w:p>
            <w:pPr>
              <w:jc w:val="center"/>
            </w:pPr>
            <w:r>
              <w:rPr>
                <w:color w:val="000000"/>
                <w:kern w:val="2"/>
                <w:sz w:val="24"/>
              </w:rPr>
              <w:t>0.3019%</w:t>
            </w:r>
          </w:p>
        </w:tc>
        <w:tc>
          <w:tcPr>
            <w:vAlign w:val="center"/>
          </w:tcPr>
          <w:p>
            <w:pPr>
              <w:jc w:val="center"/>
            </w:pPr>
            <w:r>
              <w:rPr>
                <w:color w:val="000000"/>
                <w:kern w:val="2"/>
                <w:sz w:val="24"/>
              </w:rPr>
              <w:t>0.0018%</w:t>
            </w:r>
          </w:p>
        </w:tc>
      </w:tr>
      <w:tr>
        <w:tc>
          <w:tcPr>
            <w:vAlign w:val="center"/>
          </w:tcPr>
          <w:p>
            <w:pPr>
              <w:jc w:val="left"/>
            </w:pPr>
            <w:r>
              <w:rPr>
                <w:color w:val="000000"/>
                <w:kern w:val="2"/>
                <w:sz w:val="24"/>
              </w:rPr>
              <w:t>过去一年</w:t>
            </w:r>
          </w:p>
        </w:tc>
        <w:tc>
          <w:tcPr>
            <w:vAlign w:val="center"/>
          </w:tcPr>
          <w:p>
            <w:pPr>
              <w:jc w:val="center"/>
            </w:pPr>
            <w:r>
              <w:rPr>
                <w:color w:val="000000"/>
                <w:kern w:val="2"/>
                <w:sz w:val="24"/>
              </w:rPr>
              <w:t>2.3260%</w:t>
            </w:r>
          </w:p>
        </w:tc>
        <w:tc>
          <w:tcPr>
            <w:vAlign w:val="center"/>
          </w:tcPr>
          <w:p>
            <w:pPr>
              <w:jc w:val="center"/>
            </w:pPr>
            <w:r>
              <w:rPr>
                <w:color w:val="000000"/>
                <w:kern w:val="2"/>
                <w:sz w:val="24"/>
              </w:rPr>
              <w:t>0.0017%</w:t>
            </w:r>
          </w:p>
        </w:tc>
        <w:tc>
          <w:tcPr>
            <w:vAlign w:val="center"/>
          </w:tcPr>
          <w:p>
            <w:pPr>
              <w:jc w:val="center"/>
            </w:pPr>
            <w:r>
              <w:rPr>
                <w:color w:val="000000"/>
                <w:kern w:val="2"/>
                <w:sz w:val="24"/>
              </w:rPr>
              <w:t>1.3819%</w:t>
            </w:r>
          </w:p>
        </w:tc>
        <w:tc>
          <w:tcPr>
            <w:vAlign w:val="center"/>
          </w:tcPr>
          <w:p>
            <w:pPr>
              <w:jc w:val="center"/>
            </w:pPr>
            <w:r>
              <w:rPr>
                <w:color w:val="000000"/>
                <w:kern w:val="2"/>
                <w:sz w:val="24"/>
              </w:rPr>
              <w:t>0.0000%</w:t>
            </w:r>
          </w:p>
        </w:tc>
        <w:tc>
          <w:tcPr>
            <w:vAlign w:val="center"/>
          </w:tcPr>
          <w:p>
            <w:pPr>
              <w:jc w:val="center"/>
            </w:pPr>
            <w:r>
              <w:rPr>
                <w:color w:val="000000"/>
                <w:kern w:val="2"/>
                <w:sz w:val="24"/>
              </w:rPr>
              <w:t>0.9441%</w:t>
            </w:r>
          </w:p>
        </w:tc>
        <w:tc>
          <w:tcPr>
            <w:vAlign w:val="center"/>
          </w:tcPr>
          <w:p>
            <w:pPr>
              <w:jc w:val="center"/>
            </w:pPr>
            <w:r>
              <w:rPr>
                <w:color w:val="000000"/>
                <w:kern w:val="2"/>
                <w:sz w:val="24"/>
              </w:rPr>
              <w:t>0.0017%</w:t>
            </w:r>
          </w:p>
        </w:tc>
      </w:tr>
      <w:tr>
        <w:tc>
          <w:tcPr>
            <w:vAlign w:val="center"/>
          </w:tcPr>
          <w:p>
            <w:pPr>
              <w:jc w:val="left"/>
            </w:pPr>
            <w:r>
              <w:rPr>
                <w:color w:val="000000"/>
                <w:kern w:val="2"/>
                <w:sz w:val="24"/>
              </w:rPr>
              <w:t>过去三年</w:t>
            </w:r>
          </w:p>
        </w:tc>
        <w:tc>
          <w:tcPr>
            <w:vAlign w:val="center"/>
          </w:tcPr>
          <w:p>
            <w:pPr>
              <w:jc w:val="center"/>
            </w:pPr>
            <w:r>
              <w:rPr>
                <w:color w:val="000000"/>
                <w:kern w:val="2"/>
                <w:sz w:val="24"/>
              </w:rPr>
              <w:t>9.7199%</w:t>
            </w:r>
          </w:p>
        </w:tc>
        <w:tc>
          <w:tcPr>
            <w:vAlign w:val="center"/>
          </w:tcPr>
          <w:p>
            <w:pPr>
              <w:jc w:val="center"/>
            </w:pPr>
            <w:r>
              <w:rPr>
                <w:color w:val="000000"/>
                <w:kern w:val="2"/>
                <w:sz w:val="24"/>
              </w:rPr>
              <w:t>0.0025%</w:t>
            </w:r>
          </w:p>
        </w:tc>
        <w:tc>
          <w:tcPr>
            <w:vAlign w:val="center"/>
          </w:tcPr>
          <w:p>
            <w:pPr>
              <w:jc w:val="center"/>
            </w:pPr>
            <w:r>
              <w:rPr>
                <w:color w:val="000000"/>
                <w:kern w:val="2"/>
                <w:sz w:val="24"/>
              </w:rPr>
              <w:t>4.1955%</w:t>
            </w:r>
          </w:p>
        </w:tc>
        <w:tc>
          <w:tcPr>
            <w:vAlign w:val="center"/>
          </w:tcPr>
          <w:p>
            <w:pPr>
              <w:jc w:val="center"/>
            </w:pPr>
            <w:r>
              <w:rPr>
                <w:color w:val="000000"/>
                <w:kern w:val="2"/>
                <w:sz w:val="24"/>
              </w:rPr>
              <w:t>0.0000%</w:t>
            </w:r>
          </w:p>
        </w:tc>
        <w:tc>
          <w:tcPr>
            <w:vAlign w:val="center"/>
          </w:tcPr>
          <w:p>
            <w:pPr>
              <w:jc w:val="center"/>
            </w:pPr>
            <w:r>
              <w:rPr>
                <w:color w:val="000000"/>
                <w:kern w:val="2"/>
                <w:sz w:val="24"/>
              </w:rPr>
              <w:t>5.5244%</w:t>
            </w:r>
          </w:p>
        </w:tc>
        <w:tc>
          <w:tcPr>
            <w:vAlign w:val="center"/>
          </w:tcPr>
          <w:p>
            <w:pPr>
              <w:jc w:val="center"/>
            </w:pPr>
            <w:r>
              <w:rPr>
                <w:color w:val="000000"/>
                <w:kern w:val="2"/>
                <w:sz w:val="24"/>
              </w:rPr>
              <w:t>0.0025%</w:t>
            </w:r>
          </w:p>
        </w:tc>
      </w:tr>
      <w:tr>
        <w:tc>
          <w:tcPr>
            <w:vAlign w:val="center"/>
          </w:tcPr>
          <w:p>
            <w:pPr>
              <w:jc w:val="left"/>
            </w:pPr>
            <w:r>
              <w:rPr>
                <w:color w:val="000000"/>
                <w:kern w:val="2"/>
                <w:sz w:val="24"/>
              </w:rPr>
              <w:t>过去五年</w:t>
            </w:r>
          </w:p>
        </w:tc>
        <w:tc>
          <w:tcPr>
            <w:vAlign w:val="center"/>
          </w:tcPr>
          <w:p>
            <w:pPr>
              <w:jc w:val="center"/>
            </w:pPr>
            <w:r>
              <w:rPr>
                <w:color w:val="000000"/>
                <w:kern w:val="2"/>
                <w:sz w:val="24"/>
              </w:rPr>
              <w:t>-</w:t>
            </w:r>
          </w:p>
        </w:tc>
        <w:tc>
          <w:tcPr>
            <w:vAlign w:val="center"/>
          </w:tcPr>
          <w:p>
            <w:pPr>
              <w:jc w:val="center"/>
            </w:pPr>
            <w:r>
              <w:rPr>
                <w:color w:val="000000"/>
                <w:kern w:val="2"/>
                <w:sz w:val="24"/>
              </w:rPr>
              <w:t>-</w:t>
            </w:r>
          </w:p>
        </w:tc>
        <w:tc>
          <w:tcPr>
            <w:vAlign w:val="center"/>
          </w:tcPr>
          <w:p>
            <w:pPr>
              <w:jc w:val="center"/>
            </w:pPr>
            <w:r>
              <w:rPr>
                <w:color w:val="000000"/>
                <w:kern w:val="2"/>
                <w:sz w:val="24"/>
              </w:rPr>
              <w:t>-</w:t>
            </w:r>
          </w:p>
        </w:tc>
        <w:tc>
          <w:tcPr>
            <w:vAlign w:val="center"/>
          </w:tcPr>
          <w:p>
            <w:pPr>
              <w:jc w:val="center"/>
            </w:pPr>
            <w:r>
              <w:rPr>
                <w:color w:val="000000"/>
                <w:kern w:val="2"/>
                <w:sz w:val="24"/>
              </w:rPr>
              <w:t>-</w:t>
            </w:r>
          </w:p>
        </w:tc>
        <w:tc>
          <w:tcPr>
            <w:vAlign w:val="center"/>
          </w:tcPr>
          <w:p>
            <w:pPr>
              <w:jc w:val="center"/>
            </w:pPr>
            <w:r>
              <w:rPr>
                <w:color w:val="000000"/>
                <w:kern w:val="2"/>
                <w:sz w:val="24"/>
              </w:rPr>
              <w:t>-</w:t>
            </w:r>
          </w:p>
        </w:tc>
        <w:tc>
          <w:tcPr>
            <w:vAlign w:val="center"/>
          </w:tcPr>
          <w:p>
            <w:pPr>
              <w:jc w:val="center"/>
            </w:pPr>
            <w:r>
              <w:rPr>
                <w:color w:val="000000"/>
                <w:kern w:val="2"/>
                <w:sz w:val="24"/>
              </w:rPr>
              <w:t>-</w:t>
            </w:r>
          </w:p>
        </w:tc>
      </w:tr>
      <w:tr>
        <w:tc>
          <w:tcPr>
            <w:vAlign w:val="center"/>
          </w:tcPr>
          <w:p>
            <w:pPr>
              <w:jc w:val="left"/>
            </w:pPr>
            <w:r>
              <w:rPr>
                <w:color w:val="000000"/>
                <w:kern w:val="2"/>
                <w:sz w:val="24"/>
              </w:rPr>
              <w:t>自基金合同生效起至今</w:t>
            </w:r>
          </w:p>
        </w:tc>
        <w:tc>
          <w:tcPr>
            <w:vAlign w:val="center"/>
          </w:tcPr>
          <w:p>
            <w:pPr>
              <w:jc w:val="center"/>
            </w:pPr>
            <w:r>
              <w:rPr>
                <w:color w:val="000000"/>
                <w:kern w:val="2"/>
                <w:sz w:val="24"/>
              </w:rPr>
              <w:t>10.1308%</w:t>
            </w:r>
          </w:p>
        </w:tc>
        <w:tc>
          <w:tcPr>
            <w:vAlign w:val="center"/>
          </w:tcPr>
          <w:p>
            <w:pPr>
              <w:jc w:val="center"/>
            </w:pPr>
            <w:r>
              <w:rPr>
                <w:color w:val="000000"/>
                <w:kern w:val="2"/>
                <w:sz w:val="24"/>
              </w:rPr>
              <w:t>0.0025%</w:t>
            </w:r>
          </w:p>
        </w:tc>
        <w:tc>
          <w:tcPr>
            <w:vAlign w:val="center"/>
          </w:tcPr>
          <w:p>
            <w:pPr>
              <w:jc w:val="center"/>
            </w:pPr>
            <w:r>
              <w:rPr>
                <w:color w:val="000000"/>
                <w:kern w:val="2"/>
                <w:sz w:val="24"/>
              </w:rPr>
              <w:t>4.3207%</w:t>
            </w:r>
          </w:p>
        </w:tc>
        <w:tc>
          <w:tcPr>
            <w:vAlign w:val="center"/>
          </w:tcPr>
          <w:p>
            <w:pPr>
              <w:jc w:val="center"/>
            </w:pPr>
            <w:r>
              <w:rPr>
                <w:color w:val="000000"/>
                <w:kern w:val="2"/>
                <w:sz w:val="24"/>
              </w:rPr>
              <w:t>0.0000%</w:t>
            </w:r>
          </w:p>
        </w:tc>
        <w:tc>
          <w:tcPr>
            <w:vAlign w:val="center"/>
          </w:tcPr>
          <w:p>
            <w:pPr>
              <w:jc w:val="center"/>
            </w:pPr>
            <w:r>
              <w:rPr>
                <w:color w:val="000000"/>
                <w:kern w:val="2"/>
                <w:sz w:val="24"/>
              </w:rPr>
              <w:t>5.8101%</w:t>
            </w:r>
          </w:p>
        </w:tc>
        <w:tc>
          <w:tcPr>
            <w:vAlign w:val="center"/>
          </w:tcPr>
          <w:p>
            <w:pPr>
              <w:jc w:val="center"/>
            </w:pPr>
            <w:r>
              <w:rPr>
                <w:color w:val="000000"/>
                <w:kern w:val="2"/>
                <w:sz w:val="24"/>
              </w:rPr>
              <w:t>0.0025%</w:t>
            </w:r>
          </w:p>
        </w:tc>
      </w:tr>
    </w:tbl>
    <w:p w:rsidP="009A755D" w:rsidR="00EA3F40" w:rsidRDefault="00EA3F40" w:rsidRPr="0097021E">
      <w:pPr>
        <w:spacing w:line="360" w:lineRule="auto"/>
        <w:rPr>
          <w:rFonts w:ascii="宋体" w:cs="Arial"/>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97021E">
          <w:rPr>
            <w:rFonts w:ascii="宋体" w:cs="Arial" w:hAnsi="宋体"/>
            <w:b/>
            <w:color w:val="000000"/>
            <w:kern w:val="0"/>
            <w:sz w:val="24"/>
          </w:rPr>
          <w:t>3.2.2</w:t>
        </w:r>
        <w:r w:rsidR="001136E5" w:rsidRPr="00370BEA">
          <w:rPr>
            <w:rStyle w:val="af"/>
            <w:rFonts w:hint="eastAsia"/>
            <w:color w:val="000000"/>
            <w:sz w:val="24"/>
            <w:shd w:color="auto" w:fill="FFFFFF" w:val="clear"/>
          </w:rPr>
          <w:t>自基金合同生效以来</w:t>
        </w:r>
      </w:smartTag>
      <w:r w:rsidRPr="0097021E">
        <w:rPr>
          <w:rFonts w:ascii="宋体" w:cs="Arial" w:hAnsi="宋体" w:hint="eastAsia"/>
          <w:b/>
          <w:color w:val="000000"/>
          <w:kern w:val="0"/>
          <w:sz w:val="24"/>
        </w:rPr>
        <w:t>基金累计净值收益率变动及其与同期业绩比较基准收益率变动的比较</w:t>
      </w:r>
    </w:p>
    <w:p w:rsidP="009A755D" w:rsidR="00EA3F40" w:rsidRDefault="00EA3F40" w:rsidRPr="00613409">
      <w:pPr>
        <w:spacing w:line="360" w:lineRule="auto"/>
        <w:jc w:val="center"/>
        <w:rPr>
          <w:sz w:val="24"/>
        </w:rPr>
      </w:pPr>
      <w:r w:rsidRPr="00613409">
        <w:rPr>
          <w:sz w:val="24"/>
        </w:rPr>
        <w:t>易方达龙宝货币市场基金</w:t>
      </w:r>
    </w:p>
    <w:p w:rsidP="00CB6152" w:rsidR="00CB6152" w:rsidRDefault="00EA3F40" w:rsidRPr="00CB6152">
      <w:pPr>
        <w:pStyle w:val="a6"/>
        <w:snapToGrid w:val="0"/>
        <w:spacing w:line="360" w:lineRule="auto"/>
        <w:jc w:val="center"/>
        <w:rPr>
          <w:rFonts w:ascii="Times New Roman" w:hAnsi="Times New Roman"/>
          <w:color w:val="000000"/>
          <w:sz w:val="24"/>
          <w:szCs w:val="24"/>
        </w:rPr>
      </w:pPr>
      <w:r w:rsidRPr="00613409">
        <w:rPr>
          <w:rFonts w:ascii="Times New Roman" w:hAnsi="Times New Roman"/>
          <w:sz w:val="24"/>
          <w:szCs w:val="24"/>
        </w:rPr>
        <w:t>累计净值收益率与业绩比较基准收益率的历史走势对比图</w:t>
      </w:r>
    </w:p>
    <w:p w:rsidP="00CB6152" w:rsidR="00CB6152" w:rsidRDefault="00EA3F40" w:rsidRPr="00CB6152">
      <w:pPr>
        <w:snapToGrid w:val="0"/>
        <w:spacing w:line="360" w:lineRule="auto"/>
        <w:rPr>
          <w:rFonts w:hAnsi="宋体"/>
          <w:color w:val="000000"/>
          <w:sz w:val="24"/>
        </w:rPr>
      </w:pPr>
      <w:r w:rsidRPr="00613409">
        <w:rPr>
          <w:color w:val="000000"/>
          <w:kern w:val="0"/>
          <w:sz w:val="24"/>
        </w:rPr>
        <w:t>易方达龙宝货币A</w:t>
      </w:r>
    </w:p>
    <w:p w:rsidP="00CB6152" w:rsidR="00EA3F40" w:rsidRDefault="00CB6152" w:rsidRPr="00CB6152">
      <w:pPr>
        <w:pStyle w:val="a6"/>
        <w:snapToGrid w:val="0"/>
        <w:spacing w:line="360" w:lineRule="auto"/>
        <w:jc w:val="center"/>
        <w:rPr>
          <w:rFonts w:ascii="Times New Roman" w:hAnsi="Times New Roman"/>
          <w:sz w:val="24"/>
          <w:szCs w:val="24"/>
        </w:rPr>
      </w:pPr>
      <w:r w:rsidRPr="00CB6152">
        <w:rPr>
          <w:rFonts w:ascii="Times New Roman" w:hAnsi="Times New Roman"/>
          <w:sz w:val="24"/>
          <w:szCs w:val="24"/>
        </w:rPr>
        <w:t>（2014年9月12日至2020年9月30日）</w:t>
      </w:r>
    </w:p>
    <w:p w:rsidP="00196812" w:rsidR="00EA3F40" w:rsidRDefault="008F4C2B" w:rsidRPr="007600BC">
      <w:pPr>
        <w:tabs>
          <w:tab w:pos="0" w:val="left"/>
        </w:tabs>
        <w:spacing w:line="360" w:lineRule="auto"/>
        <w:jc w:val="center"/>
        <w:rPr>
          <w:rFonts w:ascii="宋体"/>
          <w:color w:val="000000"/>
          <w:sz w:val="24"/>
        </w:rPr>
      </w:pPr>
      <w:r>
        <w:rPr>
          <w:rFonts w:ascii="宋体"/>
          <w:noProof/>
          <w:color w:val="000000"/>
          <w:sz w:val="24"/>
        </w:rPr>
        <w:pict>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id="图片 1" o:spid="_x0000_i1025" style="width:452.25pt;height:267pt;visibility:visible" type="#_x0000_t75">
            <v:imagedata o:title="" r:id="rId10"/>
          </v:shape>
        </w:pict>
      </w:r>
    </w:p>
    <w:p w:rsidP="00613409" w:rsidR="00EA3F40" w:rsidRDefault="00613409" w:rsidRPr="0097021E">
      <w:pPr>
        <w:tabs>
          <w:tab w:pos="825" w:val="left"/>
        </w:tabs>
        <w:adjustRightInd w:val="0"/>
        <w:snapToGrid w:val="0"/>
        <w:spacing w:line="360" w:lineRule="auto"/>
        <w:rPr>
          <w:rFonts w:ascii="宋体"/>
          <w:color w:val="000000"/>
          <w:sz w:val="24"/>
        </w:rPr>
      </w:pPr>
      <w:r>
        <w:rPr>
          <w:rFonts w:ascii="宋体"/>
          <w:color w:val="000000"/>
          <w:sz w:val="24"/>
        </w:rPr>
        <w:tab/>
      </w:r>
    </w:p>
    <w:p w:rsidP="00CB6152" w:rsidR="00CB6152" w:rsidRDefault="00EA3F40" w:rsidRPr="00CB6152">
      <w:pPr>
        <w:snapToGrid w:val="0"/>
        <w:spacing w:before="312" w:beforeLines="100" w:line="360" w:lineRule="auto"/>
        <w:rPr>
          <w:rFonts w:hAnsi="宋体"/>
          <w:color w:val="000000"/>
          <w:sz w:val="24"/>
        </w:rPr>
      </w:pPr>
      <w:r w:rsidRPr="00613409">
        <w:rPr>
          <w:color w:val="000000"/>
          <w:kern w:val="0"/>
          <w:sz w:val="24"/>
        </w:rPr>
        <w:t>易方达龙宝货币B</w:t>
      </w:r>
    </w:p>
    <w:p w:rsidP="00CB6152" w:rsidR="00EA3F40" w:rsidRDefault="00CB6152" w:rsidRPr="00CB6152">
      <w:pPr>
        <w:pStyle w:val="a6"/>
        <w:snapToGrid w:val="0"/>
        <w:spacing w:line="360" w:lineRule="auto"/>
        <w:jc w:val="center"/>
        <w:rPr>
          <w:rFonts w:ascii="Times New Roman" w:hAnsi="Times New Roman"/>
          <w:sz w:val="24"/>
          <w:szCs w:val="24"/>
        </w:rPr>
      </w:pPr>
      <w:r w:rsidRPr="00CB6152">
        <w:rPr>
          <w:rFonts w:ascii="Times New Roman" w:hAnsi="Times New Roman"/>
          <w:sz w:val="24"/>
          <w:szCs w:val="24"/>
        </w:rPr>
        <w:t>（2014年9月12日至2020年9月30日）</w:t>
      </w:r>
    </w:p>
    <w:p w:rsidP="00196812" w:rsidR="00EA3F40" w:rsidRDefault="008F4C2B" w:rsidRPr="0097021E">
      <w:pPr>
        <w:snapToGrid w:val="0"/>
        <w:spacing w:line="360" w:lineRule="auto"/>
        <w:jc w:val="center"/>
        <w:rPr>
          <w:rFonts w:ascii="宋体"/>
          <w:color w:val="000000"/>
          <w:sz w:val="24"/>
        </w:rPr>
      </w:pPr>
      <w:r>
        <w:rPr>
          <w:rFonts w:ascii="宋体"/>
          <w:noProof/>
          <w:color w:val="000000"/>
          <w:sz w:val="24"/>
        </w:rPr>
        <w:lastRenderedPageBreak/>
        <w:pict>
          <v:shape id="图片 2" o:spid="_x0000_i1026" style="width:452.25pt;height:267pt;visibility:visible" type="#_x0000_t75">
            <v:imagedata o:title="" r:id="rId11"/>
          </v:shape>
        </w:pict>
      </w:r>
    </w:p>
    <w:p w:rsidP="00CB6152" w:rsidR="00CB6152" w:rsidRDefault="00EA3F40" w:rsidRPr="00CB6152">
      <w:pPr>
        <w:snapToGrid w:val="0"/>
        <w:spacing w:before="312" w:beforeLines="100" w:line="360" w:lineRule="auto"/>
        <w:rPr>
          <w:rFonts w:hAnsi="宋体"/>
          <w:color w:val="000000"/>
          <w:sz w:val="24"/>
        </w:rPr>
      </w:pPr>
      <w:r w:rsidRPr="00613409">
        <w:rPr>
          <w:color w:val="000000"/>
          <w:kern w:val="0"/>
          <w:sz w:val="24"/>
        </w:rPr>
        <w:t>易方达龙宝货币C</w:t>
      </w:r>
    </w:p>
    <w:p w:rsidP="00CB6152" w:rsidR="00EA3F40" w:rsidRDefault="00CB6152" w:rsidRPr="00CB6152">
      <w:pPr>
        <w:pStyle w:val="a6"/>
        <w:snapToGrid w:val="0"/>
        <w:spacing w:line="360" w:lineRule="auto"/>
        <w:jc w:val="center"/>
        <w:rPr>
          <w:rFonts w:ascii="Times New Roman" w:hAnsi="Times New Roman"/>
          <w:sz w:val="24"/>
          <w:szCs w:val="24"/>
        </w:rPr>
      </w:pPr>
      <w:r w:rsidRPr="00CB6152">
        <w:rPr>
          <w:rFonts w:ascii="Times New Roman" w:hAnsi="Times New Roman"/>
          <w:sz w:val="24"/>
          <w:szCs w:val="24"/>
        </w:rPr>
        <w:t>（2017年8月30日至2020年9月30日）</w:t>
      </w:r>
    </w:p>
    <w:p w:rsidP="00220437" w:rsidR="00EA3F40" w:rsidRDefault="008F4C2B" w:rsidRPr="000A39AB">
      <w:pPr>
        <w:autoSpaceDE w:val="0"/>
        <w:autoSpaceDN w:val="0"/>
        <w:adjustRightInd w:val="0"/>
        <w:spacing w:line="360" w:lineRule="auto"/>
        <w:jc w:val="center"/>
        <w:rPr>
          <w:rFonts w:ascii="宋体"/>
          <w:color w:val="000000"/>
          <w:sz w:val="24"/>
        </w:rPr>
      </w:pPr>
      <w:r>
        <w:rPr>
          <w:rFonts w:ascii="宋体"/>
          <w:noProof/>
          <w:color w:val="000000"/>
          <w:sz w:val="24"/>
        </w:rPr>
        <w:pict>
          <v:shape id="图片 6" o:spid="_x0000_i1027" style="width:452.25pt;height:267pt;visibility:visible" type="#_x0000_t75">
            <v:imagedata o:title="" r:id="rId12"/>
          </v:shape>
        </w:pict>
      </w:r>
    </w:p>
    <w:p>
      <w:pPr>
        <w:adjustRightInd w:val="0"/>
        <w:spacing w:line="360" w:lineRule="auto"/>
        <w:ind w:firstLine="480" w:firstLineChars="200"/>
        <w:rPr>
          <w:color w:val="000000"/>
          <w:sz w:val="24"/>
        </w:rPr>
      </w:pPr>
      <w:r>
        <w:rPr>
          <w:color w:val="000000"/>
          <w:sz w:val="24"/>
        </w:rPr>
        <w:t>注：1.自2017年8月29日起,本基金增设C类份额类别,份额首次确认日为2017年8月30日,增设当期的相关数据和指标按实际存续期计算。</w:t>
      </w:r>
    </w:p>
    <w:p w:rsidP="00613409" w:rsidR="00EA3F40" w:rsidRDefault="00EA3F40" w:rsidRPr="00613409">
      <w:pPr>
        <w:adjustRightInd w:val="0"/>
        <w:spacing w:line="360" w:lineRule="auto"/>
        <w:ind w:firstLine="480" w:firstLineChars="200"/>
        <w:rPr>
          <w:color w:val="000000"/>
          <w:sz w:val="24"/>
        </w:rPr>
      </w:pPr>
      <w:r w:rsidRPr="001752C7">
        <w:rPr>
          <w:color w:val="000000"/>
          <w:sz w:val="24"/>
        </w:rPr>
        <w:lastRenderedPageBreak/>
        <w:t>2.自基金合同生效至报告期末，A类基金份额净值收益率为21.0842%，B类基金份额净值收益率为22.8533%，同期业绩比较基准收益率为8.6445%。C类基金份额净值收益率为10.1308%，同期业绩比较基准收益率为4.3207%。</w:t>
      </w:r>
    </w:p>
    <w:p w:rsidP="00E23C1B" w:rsidR="00EA3F40" w:rsidRDefault="00EA3F40" w:rsidRPr="0097021E">
      <w:pPr>
        <w:pStyle w:val="1"/>
        <w:spacing w:after="312" w:afterLines="100" w:before="312" w:beforeLines="100" w:line="360" w:lineRule="auto"/>
        <w:jc w:val="center"/>
        <w:rPr>
          <w:rFonts w:ascii="宋体" w:cs="Arial"/>
          <w:color w:val="000000"/>
          <w:kern w:val="0"/>
          <w:sz w:val="24"/>
          <w:szCs w:val="24"/>
        </w:rPr>
      </w:pPr>
      <w:r w:rsidRPr="0097021E">
        <w:rPr>
          <w:rFonts w:ascii="宋体" w:cs="Arial" w:hAnsi="宋体" w:hint="eastAsia"/>
          <w:color w:val="000000"/>
          <w:kern w:val="0"/>
          <w:sz w:val="24"/>
          <w:szCs w:val="24"/>
        </w:rPr>
        <w:t>§</w:t>
      </w:r>
      <w:r w:rsidRPr="0097021E">
        <w:rPr>
          <w:rFonts w:ascii="宋体" w:cs="Arial" w:hAnsi="宋体"/>
          <w:color w:val="000000"/>
          <w:kern w:val="0"/>
          <w:sz w:val="24"/>
          <w:szCs w:val="24"/>
        </w:rPr>
        <w:t xml:space="preserve">4  </w:t>
      </w:r>
      <w:r w:rsidRPr="0097021E">
        <w:rPr>
          <w:rFonts w:ascii="宋体" w:cs="Arial" w:hAnsi="宋体" w:hint="eastAsia"/>
          <w:color w:val="000000"/>
          <w:kern w:val="0"/>
          <w:sz w:val="24"/>
          <w:szCs w:val="24"/>
        </w:rPr>
        <w:t>管理人报告</w:t>
      </w:r>
    </w:p>
    <w:p w:rsidP="00E23C1B" w:rsidR="00E23C1B" w:rsidRDefault="00EA3F40" w:rsidRPr="0078105B">
      <w:pPr>
        <w:autoSpaceDE w:val="0"/>
        <w:autoSpaceDN w:val="0"/>
        <w:adjustRightInd w:val="0"/>
        <w:spacing w:line="360" w:lineRule="auto"/>
        <w:jc w:val="left"/>
        <w:rPr>
          <w:rFonts w:ascii="宋体" w:cs="Arial"/>
          <w:b/>
          <w:color w:val="000000"/>
          <w:kern w:val="0"/>
          <w:sz w:val="24"/>
        </w:rPr>
      </w:pPr>
      <w:r w:rsidRPr="0097021E">
        <w:rPr>
          <w:rFonts w:ascii="宋体" w:cs="Arial" w:hAnsi="宋体"/>
          <w:b/>
          <w:color w:val="000000"/>
          <w:kern w:val="0"/>
          <w:sz w:val="24"/>
        </w:rPr>
        <w:t xml:space="preserve">4.1 </w:t>
      </w:r>
      <w:r w:rsidRPr="0097021E">
        <w:rPr>
          <w:rFonts w:ascii="宋体" w:cs="Arial" w:hAnsi="宋体" w:hint="eastAsia"/>
          <w:b/>
          <w:color w:val="000000"/>
          <w:kern w:val="0"/>
          <w:sz w:val="24"/>
        </w:rPr>
        <w:t>基金经理</w:t>
      </w:r>
      <w:r w:rsidR="007C3671">
        <w:rPr>
          <w:rFonts w:ascii="宋体" w:cs="Arial" w:hAnsi="宋体" w:hint="eastAsia"/>
          <w:b/>
          <w:color w:val="000000"/>
          <w:kern w:val="0"/>
          <w:sz w:val="24"/>
        </w:rPr>
        <w:t>（</w:t>
      </w:r>
      <w:r w:rsidR="007C3671" w:rsidRPr="0097021E">
        <w:rPr>
          <w:rFonts w:ascii="宋体" w:cs="Arial" w:hAnsi="宋体" w:hint="eastAsia"/>
          <w:b/>
          <w:color w:val="000000"/>
          <w:kern w:val="0"/>
          <w:sz w:val="24"/>
        </w:rPr>
        <w:t>或基金经理小组</w:t>
      </w:r>
      <w:r w:rsidR="007C3671">
        <w:rPr>
          <w:rFonts w:ascii="宋体" w:cs="Arial" w:hAnsi="宋体" w:hint="eastAsia"/>
          <w:b/>
          <w:color w:val="000000"/>
          <w:kern w:val="0"/>
          <w:sz w:val="24"/>
        </w:rPr>
        <w:t>）</w:t>
      </w:r>
      <w:r w:rsidRPr="0097021E">
        <w:rPr>
          <w:rFonts w:ascii="宋体" w:cs="Arial" w:hAnsi="宋体" w:hint="eastAsia"/>
          <w:b/>
          <w:color w:val="000000"/>
          <w:kern w:val="0"/>
          <w:sz w:val="24"/>
        </w:rPr>
        <w:t>简介</w:t>
      </w:r>
    </w:p>
    <w:tbl>
      <w:tblPr>
        <w:tblW w:type="dxa" w:w="8931"/>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567"/>
        <w:gridCol w:w="2835"/>
        <w:gridCol w:w="851"/>
        <w:gridCol w:w="850"/>
        <w:gridCol w:w="851"/>
        <w:gridCol w:w="2977"/>
      </w:tblGrid>
      <w:tr w:rsidR="00E23C1B" w:rsidRPr="0078105B" w:rsidTr="002E41BD">
        <w:trPr>
          <w:cantSplit/>
        </w:trPr>
        <w:tc>
          <w:tcPr>
            <w:tcW w:type="dxa" w:w="567"/>
            <w:vMerge w:val="restart"/>
            <w:vAlign w:val="center"/>
          </w:tcPr>
          <w:p w:rsidP="002E41BD" w:rsidR="00E23C1B" w:rsidRDefault="00E23C1B"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type="dxa" w:w="2835"/>
            <w:vMerge w:val="restart"/>
            <w:vAlign w:val="center"/>
          </w:tcPr>
          <w:p w:rsidP="002E41BD" w:rsidR="00E23C1B" w:rsidRDefault="00E23C1B"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type="dxa" w:w="1701"/>
            <w:gridSpan w:val="2"/>
          </w:tcPr>
          <w:p w:rsidP="002E41BD" w:rsidR="00E23C1B" w:rsidRDefault="00E23C1B"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type="dxa" w:w="851"/>
            <w:vMerge w:val="restart"/>
            <w:vAlign w:val="center"/>
          </w:tcPr>
          <w:p w:rsidP="002E41BD" w:rsidR="00E23C1B" w:rsidRDefault="00E23C1B"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type="dxa" w:w="2977"/>
            <w:vMerge w:val="restart"/>
            <w:vAlign w:val="center"/>
          </w:tcPr>
          <w:p w:rsidP="002E41BD" w:rsidR="00E23C1B" w:rsidRDefault="00E23C1B"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E23C1B" w:rsidRPr="0078105B" w:rsidTr="002E41BD">
        <w:trPr>
          <w:cantSplit/>
        </w:trPr>
        <w:tc>
          <w:tcPr>
            <w:tcW w:type="dxa" w:w="567"/>
            <w:vMerge/>
            <w:vAlign w:val="center"/>
          </w:tcPr>
          <w:p w:rsidP="002E41BD" w:rsidR="00E23C1B" w:rsidRDefault="00E23C1B" w:rsidRPr="00FA472B">
            <w:pPr>
              <w:autoSpaceDE w:val="0"/>
              <w:autoSpaceDN w:val="0"/>
              <w:adjustRightInd w:val="0"/>
              <w:spacing w:before="29" w:line="288" w:lineRule="auto"/>
              <w:ind w:left="15"/>
              <w:jc w:val="center"/>
              <w:rPr>
                <w:color w:val="000000"/>
                <w:kern w:val="0"/>
                <w:sz w:val="24"/>
              </w:rPr>
            </w:pPr>
          </w:p>
        </w:tc>
        <w:tc>
          <w:tcPr>
            <w:tcW w:type="dxa" w:w="2835"/>
            <w:vMerge/>
          </w:tcPr>
          <w:p w:rsidP="002E41BD" w:rsidR="00E23C1B" w:rsidRDefault="00E23C1B" w:rsidRPr="00FA472B">
            <w:pPr>
              <w:autoSpaceDE w:val="0"/>
              <w:autoSpaceDN w:val="0"/>
              <w:adjustRightInd w:val="0"/>
              <w:spacing w:before="29" w:line="288" w:lineRule="auto"/>
              <w:ind w:left="15"/>
              <w:jc w:val="center"/>
              <w:rPr>
                <w:color w:val="000000"/>
                <w:kern w:val="0"/>
                <w:sz w:val="24"/>
              </w:rPr>
            </w:pPr>
          </w:p>
        </w:tc>
        <w:tc>
          <w:tcPr>
            <w:tcW w:type="dxa" w:w="851"/>
            <w:vAlign w:val="center"/>
          </w:tcPr>
          <w:p w:rsidP="002E41BD" w:rsidR="00E23C1B" w:rsidRDefault="00E23C1B"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type="dxa" w:w="850"/>
            <w:vAlign w:val="center"/>
          </w:tcPr>
          <w:p w:rsidP="002E41BD" w:rsidR="00E23C1B" w:rsidRDefault="00E23C1B"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type="dxa" w:w="851"/>
            <w:vMerge/>
            <w:vAlign w:val="center"/>
          </w:tcPr>
          <w:p w:rsidP="002E41BD" w:rsidR="00E23C1B" w:rsidRDefault="00E23C1B" w:rsidRPr="00FA472B">
            <w:pPr>
              <w:autoSpaceDE w:val="0"/>
              <w:autoSpaceDN w:val="0"/>
              <w:adjustRightInd w:val="0"/>
              <w:spacing w:before="29" w:line="288" w:lineRule="auto"/>
              <w:ind w:left="15"/>
              <w:jc w:val="center"/>
              <w:rPr>
                <w:color w:val="000000"/>
                <w:kern w:val="0"/>
                <w:sz w:val="24"/>
              </w:rPr>
            </w:pPr>
          </w:p>
        </w:tc>
        <w:tc>
          <w:tcPr>
            <w:tcW w:type="dxa" w:w="2977"/>
            <w:vMerge/>
            <w:vAlign w:val="center"/>
          </w:tcPr>
          <w:p w:rsidP="002E41BD" w:rsidR="00E23C1B" w:rsidRDefault="00E23C1B" w:rsidRPr="00FA472B">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石大怿</w:t>
            </w:r>
          </w:p>
        </w:tc>
        <w:tc>
          <w:tcPr>
            <w:vAlign w:val="center"/>
          </w:tcPr>
          <w:p>
            <w:pPr>
              <w:jc w:val="left"/>
            </w:pPr>
            <w:r>
              <w:rPr>
                <w:color w:val="000000"/>
                <w:sz w:val="24"/>
              </w:rPr>
              <w:t>本基金的基金经理、易方达月月利理财债券型证券投资基金的基金经理、易方达天天理财货币市场基金的基金经理、易方达货币市场基金的基金经理、易方达保证金收益货币市场基金的基金经理、易方达易理财货币市场基金的基金经理、易方达财富快线货币市场基金的基金经理、易方达天天增利货币市场基金的基金经理、易方达现金增利货币市场基金的基金经理、易方达天天发货币市场基金的基金经理、易方达掌柜季季盈理财债券型证券投资基金的基金经理、易方达安瑞短债债券型证券投资基金的基金经理、易方达恒安定期开放债券型发起式证券投资基金的基金经理助理</w:t>
            </w:r>
          </w:p>
        </w:tc>
        <w:tc>
          <w:tcPr>
            <w:vAlign w:val="center"/>
          </w:tcPr>
          <w:p>
            <w:pPr>
              <w:jc w:val="center"/>
            </w:pPr>
            <w:r>
              <w:rPr>
                <w:color w:val="000000"/>
                <w:sz w:val="24"/>
              </w:rPr>
              <w:t>2014-09-12</w:t>
            </w:r>
          </w:p>
        </w:tc>
        <w:tc>
          <w:tcPr>
            <w:vAlign w:val="center"/>
          </w:tcPr>
          <w:p>
            <w:pPr>
              <w:jc w:val="center"/>
            </w:pPr>
            <w:r>
              <w:rPr>
                <w:color w:val="000000"/>
                <w:sz w:val="24"/>
              </w:rPr>
              <w:t>-</w:t>
            </w:r>
          </w:p>
        </w:tc>
        <w:tc>
          <w:tcPr>
            <w:vAlign w:val="center"/>
          </w:tcPr>
          <w:p>
            <w:pPr>
              <w:jc w:val="center"/>
            </w:pPr>
            <w:r>
              <w:rPr>
                <w:color w:val="000000"/>
                <w:sz w:val="24"/>
              </w:rPr>
              <w:t>11年</w:t>
            </w:r>
          </w:p>
        </w:tc>
        <w:tc>
          <w:tcPr>
            <w:vAlign w:val="center"/>
          </w:tcPr>
          <w:p>
            <w:pPr>
              <w:jc w:val="both"/>
            </w:pPr>
            <w:r>
              <w:rPr>
                <w:color w:val="000000"/>
                <w:sz w:val="24"/>
              </w:rPr>
              <w:t>硕士研究生，具有基金从业资格。曾任南方基金管理有限公司交易管理部交易员，易方达基金管理有限公司集中交易室债券交易员、易方达双月利理财债券型证券投资基金基金经理。</w:t>
            </w:r>
          </w:p>
        </w:tc>
      </w:tr>
      <w:tr>
        <w:tc>
          <w:tcPr>
            <w:vAlign w:val="center"/>
          </w:tcPr>
          <w:p>
            <w:pPr>
              <w:jc w:val="center"/>
            </w:pPr>
            <w:r>
              <w:rPr>
                <w:color w:val="000000"/>
                <w:sz w:val="24"/>
              </w:rPr>
              <w:t>梁莹</w:t>
            </w:r>
          </w:p>
        </w:tc>
        <w:tc>
          <w:tcPr>
            <w:vAlign w:val="center"/>
          </w:tcPr>
          <w:p>
            <w:pPr>
              <w:jc w:val="left"/>
            </w:pPr>
            <w:r>
              <w:rPr>
                <w:color w:val="000000"/>
                <w:sz w:val="24"/>
              </w:rPr>
              <w:t>本基金的基金经理、易方达月月利理财债券型证券投资基金的基金经理、易方达增金宝货币市场基金的基金经理、易方达天天增利货币市场基金的基金经理、易方达财富快线货币市场基金的基金经理、易方达现金增利货币市场基金的基金经理、易方达掌柜季季盈理财债券型证券投资基金的基金经理、易方达保证金收益货币市场基金的基金经理、易方达安悦超短债债券型证券投资基金的基金经理、易方达货币市场基金的基金经理助理、易方达天天理财货币市场基金的基金经理助理、易方达易理财货币市场基金的基金经理助理、易方达天天发货币市场基金的基金经理助理、投资经理</w:t>
            </w:r>
          </w:p>
        </w:tc>
        <w:tc>
          <w:tcPr>
            <w:vAlign w:val="center"/>
          </w:tcPr>
          <w:p>
            <w:pPr>
              <w:jc w:val="center"/>
            </w:pPr>
            <w:r>
              <w:rPr>
                <w:color w:val="000000"/>
                <w:sz w:val="24"/>
              </w:rPr>
              <w:t>2015-03-17</w:t>
            </w:r>
          </w:p>
        </w:tc>
        <w:tc>
          <w:tcPr>
            <w:vAlign w:val="center"/>
          </w:tcPr>
          <w:p>
            <w:pPr>
              <w:jc w:val="center"/>
            </w:pPr>
            <w:r>
              <w:rPr>
                <w:color w:val="000000"/>
                <w:sz w:val="24"/>
              </w:rPr>
              <w:t>-</w:t>
            </w:r>
          </w:p>
        </w:tc>
        <w:tc>
          <w:tcPr>
            <w:vAlign w:val="center"/>
          </w:tcPr>
          <w:p>
            <w:pPr>
              <w:jc w:val="center"/>
            </w:pPr>
            <w:r>
              <w:rPr>
                <w:color w:val="000000"/>
                <w:sz w:val="24"/>
              </w:rPr>
              <w:t>10年</w:t>
            </w:r>
          </w:p>
        </w:tc>
        <w:tc>
          <w:tcPr>
            <w:vAlign w:val="center"/>
          </w:tcPr>
          <w:p>
            <w:pPr>
              <w:jc w:val="both"/>
            </w:pPr>
            <w:r>
              <w:rPr>
                <w:color w:val="000000"/>
                <w:sz w:val="24"/>
              </w:rPr>
              <w:t>硕士研究生，具有基金从业资格。曾任招商证券股份有限公司债券销售交易部交易员，易方达基金管理有限公司固定收益交易员、易方达双月利理财债券型证券投资基金基金经理。</w:t>
            </w:r>
          </w:p>
        </w:tc>
      </w:tr>
    </w:tbl>
    <w:p>
      <w:pPr>
        <w:autoSpaceDE w:val="0"/>
        <w:autoSpaceDN w:val="0"/>
        <w:adjustRightInd w:val="0"/>
        <w:spacing w:line="360" w:lineRule="auto"/>
        <w:ind w:firstLine="480" w:firstLineChars="200"/>
        <w:jc w:val="left"/>
        <w:rPr>
          <w:color w:val="000000"/>
          <w:sz w:val="24"/>
        </w:rPr>
      </w:pPr>
      <w:r>
        <w:rPr>
          <w:color w:val="000000"/>
          <w:sz w:val="24"/>
        </w:rPr>
        <w:t>注：1.对基金的首任基金经理，其“任职日期”为基金合同生效日，“离任日期”为根据公司决定确定的解聘日期；对此后的非首任基金经理，“任职日期”和“离任日期”分别指根据公司决定确定的聘任日期和解聘日期。</w:t>
      </w:r>
    </w:p>
    <w:p w:rsidP="00E23C1B" w:rsidR="00EA3F40" w:rsidRDefault="00E23C1B" w:rsidRPr="00613409">
      <w:pPr>
        <w:autoSpaceDE w:val="0"/>
        <w:autoSpaceDN w:val="0"/>
        <w:adjustRightInd w:val="0"/>
        <w:spacing w:line="360" w:lineRule="auto"/>
        <w:ind w:firstLine="480" w:firstLineChars="200"/>
        <w:jc w:val="left"/>
        <w:rPr>
          <w:color w:val="000000"/>
          <w:sz w:val="24"/>
        </w:rPr>
      </w:pPr>
      <w:r w:rsidRPr="00DF18FE">
        <w:rPr>
          <w:color w:val="000000"/>
          <w:sz w:val="24"/>
        </w:rPr>
        <w:t>2.证券从业的含义遵从《证券业从业人员资格管理办法》的相关规定。</w:t>
      </w:r>
    </w:p>
    <w:p w:rsidP="009A755D" w:rsidR="00EA3F40" w:rsidRDefault="00EA3F40" w:rsidRPr="0097021E">
      <w:pPr>
        <w:spacing w:line="360" w:lineRule="auto"/>
        <w:rPr>
          <w:rFonts w:ascii="宋体" w:cs="Arial"/>
          <w:b/>
          <w:color w:val="000000"/>
          <w:kern w:val="0"/>
          <w:sz w:val="24"/>
        </w:rPr>
      </w:pPr>
      <w:r w:rsidRPr="0097021E">
        <w:rPr>
          <w:rFonts w:ascii="宋体" w:cs="Arial" w:hAnsi="宋体"/>
          <w:b/>
          <w:color w:val="000000"/>
          <w:kern w:val="0"/>
          <w:sz w:val="24"/>
        </w:rPr>
        <w:t xml:space="preserve">4.2 </w:t>
      </w:r>
      <w:r w:rsidRPr="0044342F">
        <w:rPr>
          <w:rFonts w:ascii="宋体" w:cs="Arial" w:hAnsi="宋体" w:hint="eastAsia"/>
          <w:b/>
          <w:color w:val="000000"/>
          <w:kern w:val="0"/>
          <w:sz w:val="24"/>
        </w:rPr>
        <w:t>管理人对报告期内本基金运作遵规守信情况的说明</w:t>
      </w:r>
    </w:p>
    <w:p w:rsidP="00613409" w:rsidR="00EA3F40" w:rsidRDefault="00EA3F40" w:rsidRPr="00613409">
      <w:pPr>
        <w:adjustRightInd w:val="0"/>
        <w:spacing w:line="360" w:lineRule="auto"/>
        <w:ind w:firstLine="480" w:firstLineChars="200"/>
        <w:rPr>
          <w:color w:val="000000"/>
          <w:sz w:val="24"/>
        </w:rPr>
      </w:pPr>
      <w:r w:rsidRPr="001752C7">
        <w:rPr>
          <w:color w:val="000000"/>
          <w:sz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P="009A755D" w:rsidR="00EA3F40" w:rsidRDefault="00EA3F40" w:rsidRPr="0097021E">
      <w:pPr>
        <w:autoSpaceDE w:val="0"/>
        <w:autoSpaceDN w:val="0"/>
        <w:adjustRightInd w:val="0"/>
        <w:spacing w:line="360" w:lineRule="auto"/>
        <w:jc w:val="left"/>
        <w:rPr>
          <w:rFonts w:ascii="宋体" w:cs="Arial"/>
          <w:b/>
          <w:color w:val="000000"/>
          <w:kern w:val="0"/>
          <w:sz w:val="24"/>
        </w:rPr>
      </w:pPr>
      <w:r w:rsidRPr="0097021E">
        <w:rPr>
          <w:rFonts w:ascii="宋体" w:cs="Arial" w:hAnsi="宋体"/>
          <w:b/>
          <w:color w:val="000000"/>
          <w:kern w:val="0"/>
          <w:sz w:val="24"/>
        </w:rPr>
        <w:t xml:space="preserve">4.3 </w:t>
      </w:r>
      <w:r w:rsidRPr="0097021E">
        <w:rPr>
          <w:rFonts w:ascii="宋体" w:cs="Arial" w:hAnsi="宋体" w:hint="eastAsia"/>
          <w:b/>
          <w:color w:val="000000"/>
          <w:kern w:val="0"/>
          <w:sz w:val="24"/>
        </w:rPr>
        <w:t>公平交易专项说明</w:t>
      </w:r>
    </w:p>
    <w:p w:rsidP="009A755D" w:rsidR="00EA3F40" w:rsidRDefault="00EA3F40" w:rsidRPr="0097021E">
      <w:pPr>
        <w:spacing w:line="360" w:lineRule="auto"/>
        <w:rPr>
          <w:rFonts w:ascii="宋体"/>
          <w:sz w:val="24"/>
        </w:rPr>
      </w:pPr>
      <w:smartTag w:element="chsdate" w:uri="urn:schemas-microsoft-com:office:smarttags">
        <w:smartTagPr>
          <w:attr w:name="IsROCDate" w:val="False"/>
          <w:attr w:name="IsLunarDate" w:val="False"/>
          <w:attr w:name="Day" w:val="30"/>
          <w:attr w:name="Month" w:val="12"/>
          <w:attr w:name="Year" w:val="1899"/>
        </w:smartTagPr>
        <w:r w:rsidRPr="0097021E">
          <w:rPr>
            <w:rFonts w:ascii="宋体" w:hAnsi="宋体"/>
            <w:sz w:val="24"/>
          </w:rPr>
          <w:t>4.3.1</w:t>
        </w:r>
      </w:smartTag>
      <w:r w:rsidRPr="0097021E">
        <w:rPr>
          <w:rFonts w:ascii="宋体" w:hAnsi="宋体"/>
          <w:sz w:val="24"/>
        </w:rPr>
        <w:t xml:space="preserve"> </w:t>
      </w:r>
      <w:r w:rsidRPr="0097021E">
        <w:rPr>
          <w:rFonts w:ascii="宋体" w:hAnsi="宋体" w:hint="eastAsia"/>
          <w:sz w:val="24"/>
        </w:rPr>
        <w:t>公平交易制度的执行情况</w:t>
      </w:r>
    </w:p>
    <w:p w:rsidP="001752C7" w:rsidR="00EA3F40" w:rsidRDefault="00EA3F40" w:rsidRPr="001752C7">
      <w:pPr>
        <w:adjustRightInd w:val="0"/>
        <w:spacing w:line="360" w:lineRule="auto"/>
        <w:ind w:firstLine="480" w:firstLineChars="200"/>
        <w:rPr>
          <w:color w:val="000000"/>
          <w:sz w:val="24"/>
        </w:rPr>
      </w:pPr>
      <w:r w:rsidRPr="001752C7">
        <w:rPr>
          <w:color w:val="000000"/>
          <w:sz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时间优先、价格优先”作为执行指令的基本原则，通过投资交易系统中的公平交易模块，以尽可能确保公平对待各投资组合。本报告期内，公平交易制度总体执行情况良好。</w:t>
      </w:r>
    </w:p>
    <w:p w:rsidP="009A755D" w:rsidR="00EA3F40" w:rsidRDefault="00EA3F40" w:rsidRPr="0097021E">
      <w:pPr>
        <w:spacing w:line="360" w:lineRule="auto"/>
        <w:rPr>
          <w:rFonts w:ascii="宋体"/>
          <w:sz w:val="24"/>
        </w:rPr>
      </w:pPr>
      <w:smartTag w:element="chsdate" w:uri="urn:schemas-microsoft-com:office:smarttags">
        <w:smartTagPr>
          <w:attr w:name="IsROCDate" w:val="False"/>
          <w:attr w:name="IsLunarDate" w:val="False"/>
          <w:attr w:name="Day" w:val="30"/>
          <w:attr w:name="Month" w:val="12"/>
          <w:attr w:name="Year" w:val="1899"/>
        </w:smartTagPr>
        <w:r w:rsidRPr="0097021E">
          <w:rPr>
            <w:rFonts w:ascii="宋体" w:hAnsi="宋体"/>
            <w:sz w:val="24"/>
          </w:rPr>
          <w:t>4.3.2</w:t>
        </w:r>
      </w:smartTag>
      <w:r w:rsidRPr="0097021E">
        <w:rPr>
          <w:rFonts w:ascii="宋体" w:hAnsi="宋体"/>
          <w:sz w:val="24"/>
        </w:rPr>
        <w:t xml:space="preserve"> </w:t>
      </w:r>
      <w:r w:rsidRPr="0097021E">
        <w:rPr>
          <w:rFonts w:ascii="宋体" w:hAnsi="宋体" w:hint="eastAsia"/>
          <w:sz w:val="24"/>
        </w:rPr>
        <w:t>异常交易行为的专项说明</w:t>
      </w:r>
    </w:p>
    <w:p>
      <w:pPr>
        <w:adjustRightInd w:val="0"/>
        <w:spacing w:line="360" w:lineRule="auto"/>
        <w:ind w:firstLine="480" w:firstLineChars="200"/>
        <w:rPr>
          <w:color w:val="000000"/>
          <w:sz w:val="24"/>
        </w:rPr>
      </w:pPr>
      <w:r>
        <w:rPr>
          <w:color w:val="000000"/>
          <w:sz w:val="24"/>
        </w:rPr>
        <w:t>本报告期内，公司旗下所有投资组合参与的交易所公开竞价交易中，同日反向交易成交较少的单边交易量超过该证券当日成交量的5%的交易共8次，均为指数量化投资组合因投资策略需要和其他组合发生的反向交易。</w:t>
      </w:r>
    </w:p>
    <w:p w:rsidP="008F4C2B" w:rsidR="00EA3F40" w:rsidRDefault="00EA3F40" w:rsidRPr="008F4C2B">
      <w:pPr>
        <w:adjustRightInd w:val="0"/>
        <w:spacing w:line="360" w:lineRule="auto"/>
        <w:ind w:firstLine="480" w:firstLineChars="200"/>
        <w:rPr>
          <w:color w:val="000000"/>
          <w:sz w:val="24"/>
        </w:rPr>
      </w:pPr>
      <w:r w:rsidRPr="001752C7">
        <w:rPr>
          <w:color w:val="000000"/>
          <w:sz w:val="24"/>
        </w:rPr>
        <w:t>本报告期内，未发现本基金有可能导致不公平交易和利益输送的异常交易。</w:t>
      </w:r>
      <w:r w:rsidR="008F4C2B" w:rsidRPr="008F4C2B">
        <w:rPr>
          <w:color w:val="000000"/>
          <w:sz w:val="24"/>
        </w:rPr>
        <w:t xml:space="preserve"> </w:t>
      </w:r>
    </w:p>
    <w:p w:rsidP="009A755D" w:rsidR="00EA3F40" w:rsidRDefault="00EA3F40" w:rsidRPr="008F4C2B">
      <w:pPr>
        <w:spacing w:line="360" w:lineRule="auto"/>
        <w:rPr>
          <w:rFonts w:ascii="宋体" w:cs="Arial" w:hAnsi="宋体"/>
          <w:b/>
          <w:color w:val="000000"/>
          <w:kern w:val="0"/>
          <w:sz w:val="24"/>
        </w:rPr>
      </w:pPr>
      <w:r w:rsidRPr="008F4C2B">
        <w:rPr>
          <w:rFonts w:ascii="宋体" w:cs="Arial" w:hAnsi="宋体"/>
          <w:b/>
          <w:color w:val="000000"/>
          <w:kern w:val="0"/>
          <w:sz w:val="24"/>
        </w:rPr>
        <w:t>4.4</w:t>
      </w:r>
      <w:r w:rsidR="008F4C2B">
        <w:rPr>
          <w:rFonts w:ascii="宋体" w:cs="Arial" w:hAnsi="宋体" w:hint="eastAsia"/>
          <w:b/>
          <w:color w:val="000000"/>
          <w:kern w:val="0"/>
          <w:sz w:val="24"/>
        </w:rPr>
        <w:t xml:space="preserve"> </w:t>
      </w:r>
      <w:r w:rsidRPr="008F4C2B">
        <w:rPr>
          <w:rFonts w:ascii="宋体" w:cs="Arial" w:hAnsi="宋体" w:hint="eastAsia"/>
          <w:b/>
          <w:color w:val="000000"/>
          <w:kern w:val="0"/>
          <w:sz w:val="24"/>
        </w:rPr>
        <w:t>报告期内基金投资策略和运作分析</w:t>
      </w:r>
    </w:p>
    <w:p>
      <w:pPr>
        <w:adjustRightInd w:val="0"/>
        <w:spacing w:line="360" w:lineRule="auto"/>
        <w:ind w:firstLine="480" w:firstLineChars="200"/>
        <w:rPr>
          <w:color w:val="000000"/>
          <w:sz w:val="24"/>
        </w:rPr>
      </w:pPr>
      <w:r>
        <w:rPr>
          <w:color w:val="000000"/>
          <w:sz w:val="24"/>
        </w:rPr>
        <w:t>2020年三季度,国内宏观经济仍处于复苏状态，7月工业增加值同比增长4.8%，低于预期，但8月工业增加值同比增长5.6%，表现较好，总体来看，虽然经济回升的速度在放缓，但是仍然处于持续回升的过程中。投资数据方面，2020年1-8月份全国固定资产投资同比下降0.3%，降幅比1-6月份收窄2.8个百分点，投资增速有所回落，但仍保持较高水平，结构上房地产和制造业投资表现持续较好，基建投资较弱，可能是受到雨水天气的影响。消费数据方面，7月社会消费品零售总额同比下降1.1%，8月同比转正增长0.5%，也呈现持续恢复的态势。通胀方面，7月和8月CPI同比分别上涨2.7%和2.4%，基本符合预期，结构上主要是食品高于预期，而非食品低于预期。中上游价格月度环比连续两个月小幅回落但仍为正，这反映出供需平衡有所改善，但需求回升的速度可能也在放缓。金融数据方面，7月新增社会融资数据略低于市场预期，8月社融数据大幅超出市场预期，主要是由于政府债的大幅增长，同时财政存款也大幅超季节性增长，二者互相抵消之后的社融月度环比增速继续小幅回落，随着疫情的控制以及经济的持续恢复，信贷扩张的力度相比3月份持续有所放缓，但目前来看仍维持偏宽松的水平。</w:t>
      </w:r>
    </w:p>
    <w:p>
      <w:pPr>
        <w:adjustRightInd w:val="0"/>
        <w:spacing w:line="360" w:lineRule="auto"/>
        <w:ind w:firstLine="480" w:firstLineChars="200"/>
        <w:rPr>
          <w:color w:val="000000"/>
          <w:sz w:val="24"/>
        </w:rPr>
      </w:pPr>
      <w:r>
        <w:rPr>
          <w:color w:val="000000"/>
          <w:sz w:val="24"/>
        </w:rPr>
        <w:t>债券市场在三季度随着经济持续修复以及央行货币政策逐渐回归常态，收益率延续震荡上行的走势。季度初在股市大涨的背景下，长端利率快速上行，随后随着风险偏好的回落和部分配置力量出现，债市有所回暖，长端利率向下修复。进入8月，伴随经济指标短期呈现出较积极的变化，再加上市场机构对后市流动性的担忧，中短端利率上行幅度大于长端，债券收益率曲线呈现熊平走势。直到月末附近，资金面紧张态势才有所好转，短端利率上行斜率才略有趋缓。总体来看，货币市场利率水平在三季度呈震荡上行的走势，货币市场基金的收益率也逐渐回升。</w:t>
      </w:r>
    </w:p>
    <w:p w:rsidP="001752C7" w:rsidR="00EA3F40" w:rsidRDefault="00EA3F40" w:rsidRPr="001752C7">
      <w:pPr>
        <w:adjustRightInd w:val="0"/>
        <w:spacing w:line="360" w:lineRule="auto"/>
        <w:ind w:firstLine="480" w:firstLineChars="200"/>
        <w:rPr>
          <w:color w:val="000000"/>
          <w:sz w:val="24"/>
        </w:rPr>
      </w:pPr>
      <w:r w:rsidRPr="001752C7">
        <w:rPr>
          <w:color w:val="000000"/>
          <w:sz w:val="24"/>
        </w:rPr>
        <w:t>操作方面，报告期内基金以同业存单、短期存款、短期逆回购、短融和资产支持证券为主要配置资产。在三季度本基金适当提高了组合的剩余期限。总体来看，本基金在三季度保持了较高的收益率。</w:t>
      </w:r>
    </w:p>
    <w:p w:rsidP="009A755D" w:rsidR="00EA3F40" w:rsidRDefault="00EA3F40" w:rsidRPr="008F4C2B">
      <w:pPr>
        <w:spacing w:line="360" w:lineRule="auto"/>
        <w:rPr>
          <w:rFonts w:ascii="宋体" w:cs="Arial" w:hAnsi="宋体"/>
          <w:b/>
          <w:color w:val="000000"/>
          <w:kern w:val="0"/>
          <w:sz w:val="24"/>
        </w:rPr>
      </w:pPr>
      <w:r w:rsidRPr="008F4C2B">
        <w:rPr>
          <w:rFonts w:ascii="宋体" w:cs="Arial" w:hAnsi="宋体"/>
          <w:b/>
          <w:color w:val="000000"/>
          <w:kern w:val="0"/>
          <w:sz w:val="24"/>
        </w:rPr>
        <w:t>4.</w:t>
      </w:r>
      <w:r w:rsidR="008F4C2B">
        <w:rPr>
          <w:rFonts w:ascii="宋体" w:cs="Arial" w:hAnsi="宋体"/>
          <w:b/>
          <w:color w:val="000000"/>
          <w:kern w:val="0"/>
          <w:sz w:val="24"/>
        </w:rPr>
        <w:t>5</w:t>
      </w:r>
      <w:r w:rsidR="008F4C2B">
        <w:rPr>
          <w:rFonts w:ascii="宋体" w:cs="Arial" w:hAnsi="宋体" w:hint="eastAsia"/>
          <w:b/>
          <w:color w:val="000000"/>
          <w:kern w:val="0"/>
          <w:sz w:val="24"/>
        </w:rPr>
        <w:t xml:space="preserve"> </w:t>
      </w:r>
      <w:r w:rsidRPr="008F4C2B">
        <w:rPr>
          <w:rFonts w:ascii="宋体" w:cs="Arial" w:hAnsi="宋体" w:hint="eastAsia"/>
          <w:b/>
          <w:color w:val="000000"/>
          <w:kern w:val="0"/>
          <w:sz w:val="24"/>
        </w:rPr>
        <w:t>报告期内基金的业绩表现</w:t>
      </w:r>
    </w:p>
    <w:p w:rsidP="008F4C2B" w:rsidR="00EA3F40" w:rsidRDefault="00EA3F40">
      <w:pPr>
        <w:adjustRightInd w:val="0"/>
        <w:spacing w:line="360" w:lineRule="auto"/>
        <w:ind w:firstLine="480" w:firstLineChars="200"/>
        <w:rPr>
          <w:color w:val="000000"/>
          <w:sz w:val="24"/>
        </w:rPr>
      </w:pPr>
      <w:bookmarkStart w:id="0" w:name="_Toc255486598"/>
      <w:bookmarkStart w:id="1" w:name="_Toc245193825"/>
      <w:r w:rsidRPr="001752C7">
        <w:rPr>
          <w:color w:val="000000"/>
          <w:sz w:val="24"/>
        </w:rPr>
        <w:t>本基金本报告期内A类基金份额净值收益率为0.4319%，同期业绩比较基准收益率为0.3456%；B类基金份额净值收益率为0.4927%，同期业绩比较基准收益率为0.3456%；C类基金份额净值收益率为0.4826%，同期业绩比较基准收益率为0.3456%。</w:t>
      </w:r>
      <w:bookmarkEnd w:id="0"/>
      <w:bookmarkEnd w:id="1"/>
    </w:p>
    <w:p w:rsidP="00E23C1B" w:rsidR="00EA3F40" w:rsidRDefault="00EA3F40" w:rsidRPr="0097021E">
      <w:pPr>
        <w:pStyle w:val="1"/>
        <w:spacing w:after="312" w:afterLines="100" w:before="312" w:beforeLines="100" w:line="360" w:lineRule="auto"/>
        <w:jc w:val="center"/>
        <w:rPr>
          <w:rFonts w:ascii="宋体" w:cs="Arial"/>
          <w:color w:val="000000"/>
          <w:kern w:val="0"/>
          <w:sz w:val="24"/>
          <w:szCs w:val="24"/>
        </w:rPr>
      </w:pPr>
      <w:r w:rsidRPr="0097021E">
        <w:rPr>
          <w:rFonts w:ascii="宋体" w:cs="Arial" w:hAnsi="宋体" w:hint="eastAsia"/>
          <w:color w:val="000000"/>
          <w:kern w:val="0"/>
          <w:sz w:val="24"/>
          <w:szCs w:val="24"/>
        </w:rPr>
        <w:lastRenderedPageBreak/>
        <w:t>§</w:t>
      </w:r>
      <w:r w:rsidRPr="0097021E">
        <w:rPr>
          <w:rFonts w:ascii="宋体" w:cs="Arial" w:hAnsi="宋体"/>
          <w:color w:val="000000"/>
          <w:kern w:val="0"/>
          <w:sz w:val="24"/>
          <w:szCs w:val="24"/>
        </w:rPr>
        <w:t xml:space="preserve">5  </w:t>
      </w:r>
      <w:r w:rsidRPr="0097021E">
        <w:rPr>
          <w:rFonts w:ascii="宋体" w:cs="Arial" w:hAnsi="宋体" w:hint="eastAsia"/>
          <w:color w:val="000000"/>
          <w:kern w:val="0"/>
          <w:sz w:val="24"/>
          <w:szCs w:val="24"/>
        </w:rPr>
        <w:t>投资组合报告</w:t>
      </w:r>
    </w:p>
    <w:p w:rsidP="003A0EC1" w:rsidR="00EA3F40" w:rsidRDefault="00EA3F40" w:rsidRPr="0097021E">
      <w:pPr>
        <w:spacing w:line="360" w:lineRule="auto"/>
        <w:rPr>
          <w:rFonts w:ascii="宋体" w:cs="Arial"/>
          <w:b/>
          <w:color w:val="000000"/>
          <w:kern w:val="0"/>
          <w:sz w:val="24"/>
        </w:rPr>
      </w:pPr>
      <w:r w:rsidRPr="0097021E">
        <w:rPr>
          <w:rFonts w:ascii="宋体" w:cs="Arial" w:hAnsi="宋体"/>
          <w:b/>
          <w:color w:val="000000"/>
          <w:kern w:val="0"/>
          <w:sz w:val="24"/>
        </w:rPr>
        <w:t xml:space="preserve">5.1 </w:t>
      </w:r>
      <w:r w:rsidRPr="0097021E">
        <w:rPr>
          <w:rFonts w:ascii="宋体" w:cs="Arial" w:hAnsi="宋体" w:hint="eastAsia"/>
          <w:b/>
          <w:color w:val="000000"/>
          <w:kern w:val="0"/>
          <w:sz w:val="24"/>
        </w:rPr>
        <w:t>报告期末基金资产组合情况</w:t>
      </w:r>
    </w:p>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720"/>
        <w:gridCol w:w="3357"/>
        <w:gridCol w:w="3119"/>
        <w:gridCol w:w="1843"/>
      </w:tblGrid>
      <w:tr w:rsidR="00EA3F40" w:rsidRPr="0097021E" w:rsidTr="00340456">
        <w:tc>
          <w:tcPr>
            <w:tcW w:type="dxa" w:w="720"/>
            <w:vAlign w:val="center"/>
          </w:tcPr>
          <w:p w:rsidP="00196812" w:rsidR="00EA3F40" w:rsidRDefault="00EA3F40" w:rsidRPr="00613409">
            <w:pPr>
              <w:spacing w:before="29" w:line="360" w:lineRule="auto"/>
              <w:ind w:left="17"/>
              <w:jc w:val="center"/>
              <w:rPr>
                <w:color w:val="000000"/>
                <w:sz w:val="24"/>
              </w:rPr>
            </w:pPr>
            <w:r w:rsidRPr="00613409">
              <w:rPr>
                <w:color w:val="000000"/>
                <w:sz w:val="24"/>
              </w:rPr>
              <w:t>序号</w:t>
            </w:r>
          </w:p>
        </w:tc>
        <w:tc>
          <w:tcPr>
            <w:tcW w:type="dxa" w:w="3357"/>
            <w:vAlign w:val="center"/>
          </w:tcPr>
          <w:p w:rsidP="00196812" w:rsidR="00EA3F40" w:rsidRDefault="00EA3F40" w:rsidRPr="00613409">
            <w:pPr>
              <w:spacing w:before="29" w:line="360" w:lineRule="auto"/>
              <w:ind w:left="17"/>
              <w:jc w:val="center"/>
              <w:rPr>
                <w:color w:val="000000"/>
                <w:sz w:val="24"/>
              </w:rPr>
            </w:pPr>
            <w:r w:rsidRPr="00613409">
              <w:rPr>
                <w:color w:val="000000"/>
                <w:sz w:val="24"/>
              </w:rPr>
              <w:t>项目</w:t>
            </w:r>
          </w:p>
        </w:tc>
        <w:tc>
          <w:tcPr>
            <w:tcW w:type="dxa" w:w="3119"/>
            <w:vAlign w:val="center"/>
          </w:tcPr>
          <w:p w:rsidP="007C3671" w:rsidR="00EA3F40" w:rsidRDefault="00EA3F40" w:rsidRPr="00613409">
            <w:pPr>
              <w:spacing w:before="29" w:line="360" w:lineRule="auto"/>
              <w:ind w:left="17"/>
              <w:jc w:val="center"/>
              <w:rPr>
                <w:color w:val="000000"/>
                <w:sz w:val="24"/>
              </w:rPr>
            </w:pPr>
            <w:r w:rsidRPr="00613409">
              <w:rPr>
                <w:color w:val="000000"/>
                <w:sz w:val="24"/>
              </w:rPr>
              <w:t>金额</w:t>
            </w:r>
            <w:r w:rsidR="007C3671" w:rsidRPr="00613409">
              <w:rPr>
                <w:color w:val="000000"/>
                <w:sz w:val="24"/>
              </w:rPr>
              <w:t>（元）</w:t>
            </w:r>
          </w:p>
        </w:tc>
        <w:tc>
          <w:tcPr>
            <w:tcW w:type="dxa" w:w="1843"/>
            <w:vAlign w:val="center"/>
          </w:tcPr>
          <w:p w:rsidP="007C3671" w:rsidR="00EA3F40" w:rsidRDefault="00EA3F40" w:rsidRPr="00613409">
            <w:pPr>
              <w:spacing w:before="29" w:line="360" w:lineRule="auto"/>
              <w:ind w:left="17"/>
              <w:jc w:val="center"/>
              <w:rPr>
                <w:color w:val="000000"/>
                <w:sz w:val="24"/>
              </w:rPr>
            </w:pPr>
            <w:r w:rsidRPr="00613409">
              <w:rPr>
                <w:color w:val="000000"/>
                <w:sz w:val="24"/>
              </w:rPr>
              <w:t>占基金总资产的比例</w:t>
            </w:r>
            <w:r w:rsidR="007C3671" w:rsidRPr="00613409">
              <w:rPr>
                <w:color w:val="000000"/>
                <w:sz w:val="24"/>
              </w:rPr>
              <w:t>（</w:t>
            </w:r>
            <w:r w:rsidR="007C3671" w:rsidRPr="00613409">
              <w:rPr>
                <w:color w:val="000000"/>
                <w:sz w:val="24"/>
              </w:rPr>
              <w:t>%</w:t>
            </w:r>
            <w:r w:rsidR="007C3671" w:rsidRPr="00613409">
              <w:rPr>
                <w:color w:val="000000"/>
                <w:sz w:val="24"/>
              </w:rPr>
              <w:t>）</w:t>
            </w:r>
          </w:p>
        </w:tc>
      </w:tr>
      <w:tr w:rsidR="00EA3F40" w:rsidRPr="0097021E" w:rsidTr="00340456">
        <w:tc>
          <w:tcPr>
            <w:tcW w:type="dxa" w:w="720"/>
            <w:vAlign w:val="center"/>
          </w:tcPr>
          <w:p w:rsidP="00196812" w:rsidR="00EA3F40" w:rsidRDefault="00EA3F40" w:rsidRPr="00613409">
            <w:pPr>
              <w:spacing w:before="29" w:line="360" w:lineRule="auto"/>
              <w:ind w:left="17"/>
              <w:jc w:val="center"/>
              <w:rPr>
                <w:color w:val="000000"/>
                <w:sz w:val="24"/>
              </w:rPr>
            </w:pPr>
            <w:r w:rsidRPr="00613409">
              <w:rPr>
                <w:color w:val="000000"/>
                <w:sz w:val="24"/>
              </w:rPr>
              <w:t>1</w:t>
            </w:r>
          </w:p>
        </w:tc>
        <w:tc>
          <w:tcPr>
            <w:tcW w:type="dxa" w:w="3357"/>
            <w:vAlign w:val="center"/>
          </w:tcPr>
          <w:p w:rsidP="00196812" w:rsidR="00EA3F40" w:rsidRDefault="00EA3F40" w:rsidRPr="00613409">
            <w:pPr>
              <w:spacing w:before="29" w:line="360" w:lineRule="auto"/>
              <w:ind w:left="17"/>
              <w:jc w:val="left"/>
              <w:rPr>
                <w:sz w:val="24"/>
              </w:rPr>
            </w:pPr>
            <w:r w:rsidRPr="00613409">
              <w:rPr>
                <w:color w:val="000000"/>
                <w:sz w:val="24"/>
              </w:rPr>
              <w:t>固定收益投资</w:t>
            </w:r>
          </w:p>
        </w:tc>
        <w:tc>
          <w:tcPr>
            <w:tcW w:type="dxa" w:w="3119"/>
            <w:vAlign w:val="center"/>
          </w:tcPr>
          <w:p w:rsidP="00196812" w:rsidR="00EA3F40" w:rsidRDefault="00EA3F40" w:rsidRPr="00613409">
            <w:pPr>
              <w:spacing w:before="29" w:line="360" w:lineRule="auto"/>
              <w:ind w:left="17"/>
              <w:jc w:val="right"/>
              <w:rPr>
                <w:color w:val="000000"/>
                <w:sz w:val="24"/>
              </w:rPr>
            </w:pPr>
            <w:r w:rsidRPr="00613409">
              <w:rPr>
                <w:color w:val="000000"/>
                <w:sz w:val="24"/>
              </w:rPr>
              <w:t>348,230,672.23</w:t>
            </w:r>
          </w:p>
        </w:tc>
        <w:tc>
          <w:tcPr>
            <w:tcW w:type="dxa" w:w="1843"/>
            <w:vAlign w:val="center"/>
          </w:tcPr>
          <w:p w:rsidP="00196812" w:rsidR="00EA3F40" w:rsidRDefault="00EA3F40" w:rsidRPr="00613409">
            <w:pPr>
              <w:spacing w:before="29" w:line="360" w:lineRule="auto"/>
              <w:ind w:left="17"/>
              <w:jc w:val="right"/>
              <w:rPr>
                <w:color w:val="000000"/>
                <w:sz w:val="24"/>
              </w:rPr>
            </w:pPr>
            <w:r w:rsidRPr="00613409">
              <w:rPr>
                <w:color w:val="000000"/>
                <w:sz w:val="24"/>
              </w:rPr>
              <w:t>34.85</w:t>
            </w:r>
          </w:p>
        </w:tc>
      </w:tr>
      <w:tr w:rsidR="00EA3F40" w:rsidRPr="0097021E" w:rsidTr="00340456">
        <w:tc>
          <w:tcPr>
            <w:tcW w:type="dxa" w:w="720"/>
            <w:vAlign w:val="center"/>
          </w:tcPr>
          <w:p w:rsidP="00196812" w:rsidR="00EA3F40" w:rsidRDefault="00EA3F40" w:rsidRPr="00613409">
            <w:pPr>
              <w:spacing w:before="29" w:line="360" w:lineRule="auto"/>
              <w:ind w:left="17"/>
              <w:jc w:val="center"/>
              <w:rPr>
                <w:color w:val="000000"/>
                <w:sz w:val="24"/>
              </w:rPr>
            </w:pPr>
          </w:p>
        </w:tc>
        <w:tc>
          <w:tcPr>
            <w:tcW w:type="dxa" w:w="3357"/>
            <w:vAlign w:val="center"/>
          </w:tcPr>
          <w:p w:rsidP="00196812" w:rsidR="00EA3F40" w:rsidRDefault="00EA3F40" w:rsidRPr="00613409">
            <w:pPr>
              <w:spacing w:before="29" w:line="360" w:lineRule="auto"/>
              <w:ind w:left="17"/>
              <w:jc w:val="left"/>
              <w:rPr>
                <w:sz w:val="24"/>
              </w:rPr>
            </w:pPr>
            <w:r w:rsidRPr="00613409">
              <w:rPr>
                <w:color w:val="000000"/>
                <w:sz w:val="24"/>
              </w:rPr>
              <w:t>其中：债券</w:t>
            </w:r>
          </w:p>
        </w:tc>
        <w:tc>
          <w:tcPr>
            <w:tcW w:type="dxa" w:w="3119"/>
            <w:vAlign w:val="center"/>
          </w:tcPr>
          <w:p w:rsidP="00196812" w:rsidR="00EA3F40" w:rsidRDefault="00EA3F40" w:rsidRPr="00613409">
            <w:pPr>
              <w:spacing w:before="29" w:line="360" w:lineRule="auto"/>
              <w:ind w:left="17"/>
              <w:jc w:val="right"/>
              <w:rPr>
                <w:color w:val="000000"/>
                <w:sz w:val="24"/>
              </w:rPr>
            </w:pPr>
            <w:r w:rsidRPr="00613409">
              <w:rPr>
                <w:color w:val="000000"/>
                <w:sz w:val="24"/>
              </w:rPr>
              <w:t>338,230,672.23</w:t>
            </w:r>
          </w:p>
        </w:tc>
        <w:tc>
          <w:tcPr>
            <w:tcW w:type="dxa" w:w="1843"/>
            <w:vAlign w:val="center"/>
          </w:tcPr>
          <w:p w:rsidP="00196812" w:rsidR="00EA3F40" w:rsidRDefault="00EA3F40" w:rsidRPr="00613409">
            <w:pPr>
              <w:spacing w:before="29" w:line="360" w:lineRule="auto"/>
              <w:ind w:left="17"/>
              <w:jc w:val="right"/>
              <w:rPr>
                <w:color w:val="000000"/>
                <w:sz w:val="24"/>
              </w:rPr>
            </w:pPr>
            <w:r w:rsidRPr="00613409">
              <w:rPr>
                <w:color w:val="000000"/>
                <w:sz w:val="24"/>
              </w:rPr>
              <w:t>33.85</w:t>
            </w:r>
          </w:p>
        </w:tc>
      </w:tr>
      <w:tr w:rsidR="00EA3F40" w:rsidRPr="0097021E" w:rsidTr="00340456">
        <w:tc>
          <w:tcPr>
            <w:tcW w:type="dxa" w:w="720"/>
            <w:vAlign w:val="center"/>
          </w:tcPr>
          <w:p w:rsidP="00196812" w:rsidR="00EA3F40" w:rsidRDefault="00EA3F40" w:rsidRPr="00613409">
            <w:pPr>
              <w:spacing w:before="29" w:line="360" w:lineRule="auto"/>
              <w:ind w:left="17"/>
              <w:jc w:val="center"/>
              <w:rPr>
                <w:color w:val="000000"/>
                <w:sz w:val="24"/>
              </w:rPr>
            </w:pPr>
          </w:p>
        </w:tc>
        <w:tc>
          <w:tcPr>
            <w:tcW w:type="dxa" w:w="3357"/>
            <w:vAlign w:val="center"/>
          </w:tcPr>
          <w:p w:rsidP="009216A0" w:rsidR="00EA3F40" w:rsidRDefault="00EA3F40" w:rsidRPr="00613409">
            <w:pPr>
              <w:autoSpaceDE w:val="0"/>
              <w:autoSpaceDN w:val="0"/>
              <w:adjustRightInd w:val="0"/>
              <w:spacing w:before="29" w:line="360" w:lineRule="auto"/>
              <w:ind w:firstLine="720" w:firstLineChars="300" w:left="17"/>
              <w:jc w:val="left"/>
              <w:rPr>
                <w:color w:val="000000"/>
                <w:sz w:val="24"/>
              </w:rPr>
            </w:pPr>
            <w:r w:rsidRPr="00613409">
              <w:rPr>
                <w:color w:val="000000"/>
                <w:sz w:val="24"/>
              </w:rPr>
              <w:t>资产支持证券</w:t>
            </w:r>
          </w:p>
        </w:tc>
        <w:tc>
          <w:tcPr>
            <w:tcW w:type="dxa" w:w="3119"/>
            <w:vAlign w:val="center"/>
          </w:tcPr>
          <w:p w:rsidP="00196812" w:rsidR="00EA3F40" w:rsidRDefault="00EA3F40" w:rsidRPr="00613409">
            <w:pPr>
              <w:spacing w:before="29" w:line="360" w:lineRule="auto"/>
              <w:ind w:left="17"/>
              <w:jc w:val="right"/>
              <w:rPr>
                <w:color w:val="000000"/>
                <w:sz w:val="24"/>
              </w:rPr>
            </w:pPr>
            <w:r w:rsidRPr="00613409">
              <w:rPr>
                <w:color w:val="000000"/>
                <w:sz w:val="24"/>
              </w:rPr>
              <w:t>10,000,000.00</w:t>
            </w:r>
          </w:p>
        </w:tc>
        <w:tc>
          <w:tcPr>
            <w:tcW w:type="dxa" w:w="1843"/>
            <w:vAlign w:val="center"/>
          </w:tcPr>
          <w:p w:rsidP="00196812" w:rsidR="00EA3F40" w:rsidRDefault="00EA3F40" w:rsidRPr="00613409">
            <w:pPr>
              <w:spacing w:before="29" w:line="360" w:lineRule="auto"/>
              <w:ind w:left="17"/>
              <w:jc w:val="right"/>
              <w:rPr>
                <w:color w:val="000000"/>
                <w:sz w:val="24"/>
              </w:rPr>
            </w:pPr>
            <w:r w:rsidRPr="00613409">
              <w:rPr>
                <w:color w:val="000000"/>
                <w:sz w:val="24"/>
              </w:rPr>
              <w:t>1.00</w:t>
            </w:r>
          </w:p>
        </w:tc>
      </w:tr>
      <w:tr w:rsidR="00EA3F40" w:rsidRPr="0097021E" w:rsidTr="00340456">
        <w:tc>
          <w:tcPr>
            <w:tcW w:type="dxa" w:w="720"/>
            <w:vAlign w:val="center"/>
          </w:tcPr>
          <w:p w:rsidP="00196812" w:rsidR="00EA3F40" w:rsidRDefault="00EA3F40" w:rsidRPr="00613409">
            <w:pPr>
              <w:spacing w:before="29" w:line="360" w:lineRule="auto"/>
              <w:ind w:left="17"/>
              <w:jc w:val="center"/>
              <w:rPr>
                <w:color w:val="000000"/>
                <w:sz w:val="24"/>
              </w:rPr>
            </w:pPr>
            <w:r w:rsidRPr="00613409">
              <w:rPr>
                <w:color w:val="000000"/>
                <w:sz w:val="24"/>
              </w:rPr>
              <w:t>2</w:t>
            </w:r>
          </w:p>
        </w:tc>
        <w:tc>
          <w:tcPr>
            <w:tcW w:type="dxa" w:w="3357"/>
            <w:vAlign w:val="center"/>
          </w:tcPr>
          <w:p w:rsidP="00196812" w:rsidR="00EA3F40" w:rsidRDefault="00EA3F40" w:rsidRPr="00613409">
            <w:pPr>
              <w:spacing w:before="29" w:line="360" w:lineRule="auto"/>
              <w:ind w:left="17"/>
              <w:jc w:val="left"/>
              <w:rPr>
                <w:sz w:val="24"/>
              </w:rPr>
            </w:pPr>
            <w:r w:rsidRPr="00613409">
              <w:rPr>
                <w:color w:val="000000"/>
                <w:sz w:val="24"/>
              </w:rPr>
              <w:t>买入返售金融资产</w:t>
            </w:r>
          </w:p>
        </w:tc>
        <w:tc>
          <w:tcPr>
            <w:tcW w:type="dxa" w:w="3119"/>
            <w:vAlign w:val="center"/>
          </w:tcPr>
          <w:p w:rsidP="00196812" w:rsidR="00EA3F40" w:rsidRDefault="00EA3F40" w:rsidRPr="00613409">
            <w:pPr>
              <w:spacing w:before="29" w:line="360" w:lineRule="auto"/>
              <w:ind w:left="17"/>
              <w:jc w:val="right"/>
              <w:rPr>
                <w:color w:val="000000"/>
                <w:sz w:val="24"/>
              </w:rPr>
            </w:pPr>
            <w:r w:rsidRPr="00613409">
              <w:rPr>
                <w:color w:val="000000"/>
                <w:sz w:val="24"/>
              </w:rPr>
              <w:t>310,524,185.79</w:t>
            </w:r>
          </w:p>
        </w:tc>
        <w:tc>
          <w:tcPr>
            <w:tcW w:type="dxa" w:w="1843"/>
            <w:vAlign w:val="center"/>
          </w:tcPr>
          <w:p w:rsidP="00196812" w:rsidR="00EA3F40" w:rsidRDefault="00EA3F40" w:rsidRPr="00613409">
            <w:pPr>
              <w:spacing w:before="29" w:line="360" w:lineRule="auto"/>
              <w:ind w:left="17"/>
              <w:jc w:val="right"/>
              <w:rPr>
                <w:color w:val="000000"/>
                <w:sz w:val="24"/>
              </w:rPr>
            </w:pPr>
            <w:r w:rsidRPr="00613409">
              <w:rPr>
                <w:color w:val="000000"/>
                <w:sz w:val="24"/>
              </w:rPr>
              <w:t/>
            </w:r>
            <w:r w:rsidRPr="00613409">
              <w:rPr>
                <w:color w:val="000000"/>
                <w:sz w:val="24"/>
              </w:rPr>
              <w:lastRenderedPageBreak/>
              <w:t>31.08</w:t>
            </w:r>
          </w:p>
        </w:tc>
      </w:tr>
      <w:tr w:rsidR="00EA3F40" w:rsidRPr="0097021E" w:rsidTr="00340456">
        <w:tc>
          <w:tcPr>
            <w:tcW w:type="dxa" w:w="720"/>
            <w:vAlign w:val="center"/>
          </w:tcPr>
          <w:p w:rsidP="00196812" w:rsidR="00EA3F40" w:rsidRDefault="00EA3F40" w:rsidRPr="00613409">
            <w:pPr>
              <w:spacing w:before="29" w:line="360" w:lineRule="auto"/>
              <w:ind w:left="17"/>
              <w:jc w:val="center"/>
              <w:rPr>
                <w:color w:val="000000"/>
                <w:sz w:val="24"/>
              </w:rPr>
            </w:pPr>
          </w:p>
        </w:tc>
        <w:tc>
          <w:tcPr>
            <w:tcW w:type="dxa" w:w="3357"/>
            <w:vAlign w:val="center"/>
          </w:tcPr>
          <w:p w:rsidP="00196812" w:rsidR="00EA3F40" w:rsidRDefault="00EA3F40" w:rsidRPr="00613409">
            <w:pPr>
              <w:spacing w:before="29" w:line="360" w:lineRule="auto"/>
              <w:ind w:left="17"/>
              <w:jc w:val="left"/>
              <w:rPr>
                <w:sz w:val="24"/>
              </w:rPr>
            </w:pPr>
            <w:r w:rsidRPr="00613409">
              <w:rPr>
                <w:color w:val="000000"/>
                <w:sz w:val="24"/>
              </w:rPr>
              <w:t>其中：买断式回购的买入返售金融资产</w:t>
            </w:r>
          </w:p>
        </w:tc>
        <w:tc>
          <w:tcPr>
            <w:tcW w:type="dxa" w:w="3119"/>
            <w:vAlign w:val="center"/>
          </w:tcPr>
          <w:p w:rsidP="00196812" w:rsidR="00EA3F40" w:rsidRDefault="00EA3F40" w:rsidRPr="00613409">
            <w:pPr>
              <w:spacing w:before="29" w:line="360" w:lineRule="auto"/>
              <w:ind w:left="17"/>
              <w:jc w:val="right"/>
              <w:rPr>
                <w:color w:val="000000"/>
                <w:sz w:val="24"/>
              </w:rPr>
            </w:pPr>
            <w:r w:rsidRPr="00613409">
              <w:rPr>
                <w:color w:val="000000"/>
                <w:sz w:val="24"/>
              </w:rPr>
              <w:t>-</w:t>
            </w:r>
          </w:p>
        </w:tc>
        <w:tc>
          <w:tcPr>
            <w:tcW w:type="dxa" w:w="1843"/>
            <w:vAlign w:val="center"/>
          </w:tcPr>
          <w:p w:rsidP="00196812" w:rsidR="00EA3F40" w:rsidRDefault="00EA3F40" w:rsidRPr="00613409">
            <w:pPr>
              <w:spacing w:before="29" w:line="360" w:lineRule="auto"/>
              <w:ind w:left="17"/>
              <w:jc w:val="right"/>
              <w:rPr>
                <w:color w:val="000000"/>
                <w:sz w:val="24"/>
              </w:rPr>
            </w:pPr>
            <w:r w:rsidRPr="00613409">
              <w:rPr>
                <w:color w:val="000000"/>
                <w:sz w:val="24"/>
              </w:rPr>
              <w:t>-</w:t>
            </w:r>
          </w:p>
        </w:tc>
      </w:tr>
      <w:tr w:rsidR="00EA3F40" w:rsidRPr="0097021E" w:rsidTr="00340456">
        <w:tc>
          <w:tcPr>
            <w:tcW w:type="dxa" w:w="720"/>
            <w:vAlign w:val="center"/>
          </w:tcPr>
          <w:p w:rsidP="00196812" w:rsidR="00EA3F40" w:rsidRDefault="00EA3F40" w:rsidRPr="00613409">
            <w:pPr>
              <w:spacing w:before="29" w:line="360" w:lineRule="auto"/>
              <w:ind w:left="17"/>
              <w:jc w:val="center"/>
              <w:rPr>
                <w:color w:val="000000"/>
                <w:sz w:val="24"/>
              </w:rPr>
            </w:pPr>
            <w:r w:rsidRPr="00613409">
              <w:rPr>
                <w:color w:val="000000"/>
                <w:sz w:val="24"/>
              </w:rPr>
              <w:t>3</w:t>
            </w:r>
          </w:p>
        </w:tc>
        <w:tc>
          <w:tcPr>
            <w:tcW w:type="dxa" w:w="3357"/>
            <w:vAlign w:val="center"/>
          </w:tcPr>
          <w:p w:rsidP="00196812" w:rsidR="00EA3F40" w:rsidRDefault="00EA3F40" w:rsidRPr="00613409">
            <w:pPr>
              <w:spacing w:before="29" w:line="360" w:lineRule="auto"/>
              <w:ind w:left="17"/>
              <w:jc w:val="left"/>
              <w:rPr>
                <w:sz w:val="24"/>
              </w:rPr>
            </w:pPr>
            <w:r w:rsidRPr="00613409">
              <w:rPr>
                <w:color w:val="000000"/>
                <w:sz w:val="24"/>
              </w:rPr>
              <w:t>银行存款和结算备付金合计</w:t>
            </w:r>
          </w:p>
        </w:tc>
        <w:tc>
          <w:tcPr>
            <w:tcW w:type="dxa" w:w="3119"/>
            <w:vAlign w:val="center"/>
          </w:tcPr>
          <w:p w:rsidP="00196812" w:rsidR="00EA3F40" w:rsidRDefault="00EA3F40" w:rsidRPr="00613409">
            <w:pPr>
              <w:spacing w:before="29" w:line="360" w:lineRule="auto"/>
              <w:ind w:left="17"/>
              <w:jc w:val="right"/>
              <w:rPr>
                <w:color w:val="000000"/>
                <w:sz w:val="24"/>
              </w:rPr>
            </w:pPr>
            <w:r w:rsidRPr="00613409">
              <w:rPr>
                <w:color w:val="000000"/>
                <w:sz w:val="24"/>
              </w:rPr>
              <w:t>336,655,649.92</w:t>
            </w:r>
          </w:p>
        </w:tc>
        <w:tc>
          <w:tcPr>
            <w:tcW w:type="dxa" w:w="1843"/>
            <w:vAlign w:val="center"/>
          </w:tcPr>
          <w:p w:rsidP="00196812" w:rsidR="00EA3F40" w:rsidRDefault="00EA3F40" w:rsidRPr="00613409">
            <w:pPr>
              <w:spacing w:before="29" w:line="360" w:lineRule="auto"/>
              <w:ind w:left="17"/>
              <w:jc w:val="right"/>
              <w:rPr>
                <w:color w:val="000000"/>
                <w:sz w:val="24"/>
              </w:rPr>
            </w:pPr>
            <w:r w:rsidRPr="00613409">
              <w:rPr>
                <w:color w:val="000000"/>
                <w:sz w:val="24"/>
              </w:rPr>
              <w:t>33.69</w:t>
            </w:r>
          </w:p>
        </w:tc>
      </w:tr>
      <w:tr w:rsidR="00EA3F40" w:rsidRPr="0097021E" w:rsidTr="00340456">
        <w:tc>
          <w:tcPr>
            <w:tcW w:type="dxa" w:w="720"/>
            <w:vAlign w:val="center"/>
          </w:tcPr>
          <w:p w:rsidP="00196812" w:rsidR="00EA3F40" w:rsidRDefault="00EA3F40" w:rsidRPr="00613409">
            <w:pPr>
              <w:spacing w:before="29" w:line="360" w:lineRule="auto"/>
              <w:ind w:left="17"/>
              <w:jc w:val="center"/>
              <w:rPr>
                <w:color w:val="000000"/>
                <w:sz w:val="24"/>
              </w:rPr>
            </w:pPr>
            <w:r w:rsidRPr="00613409">
              <w:rPr>
                <w:color w:val="000000"/>
                <w:sz w:val="24"/>
              </w:rPr>
              <w:t>4</w:t>
            </w:r>
          </w:p>
        </w:tc>
        <w:tc>
          <w:tcPr>
            <w:tcW w:type="dxa" w:w="3357"/>
            <w:vAlign w:val="center"/>
          </w:tcPr>
          <w:p w:rsidP="00196812" w:rsidR="00EA3F40" w:rsidRDefault="00EA3F40" w:rsidRPr="00613409">
            <w:pPr>
              <w:spacing w:line="360" w:lineRule="auto"/>
              <w:jc w:val="left"/>
              <w:rPr>
                <w:sz w:val="24"/>
              </w:rPr>
            </w:pPr>
            <w:r w:rsidRPr="00613409">
              <w:rPr>
                <w:color w:val="000000"/>
                <w:sz w:val="24"/>
              </w:rPr>
              <w:t>其他资产</w:t>
            </w:r>
          </w:p>
        </w:tc>
        <w:tc>
          <w:tcPr>
            <w:tcW w:type="dxa" w:w="3119"/>
            <w:vAlign w:val="center"/>
          </w:tcPr>
          <w:p w:rsidP="00196812" w:rsidR="00EA3F40" w:rsidRDefault="00EA3F40" w:rsidRPr="00613409">
            <w:pPr>
              <w:spacing w:line="360" w:lineRule="auto"/>
              <w:jc w:val="right"/>
              <w:rPr>
                <w:color w:val="000000"/>
                <w:sz w:val="24"/>
              </w:rPr>
            </w:pPr>
            <w:r w:rsidRPr="00613409">
              <w:rPr>
                <w:color w:val="000000"/>
                <w:sz w:val="24"/>
              </w:rPr>
              <w:t>3,743,774.09</w:t>
            </w:r>
          </w:p>
        </w:tc>
        <w:tc>
          <w:tcPr>
            <w:tcW w:type="dxa" w:w="1843"/>
            <w:vAlign w:val="center"/>
          </w:tcPr>
          <w:p w:rsidP="00196812" w:rsidR="00EA3F40" w:rsidRDefault="00EA3F40" w:rsidRPr="00613409">
            <w:pPr>
              <w:spacing w:line="360" w:lineRule="auto"/>
              <w:jc w:val="right"/>
              <w:rPr>
                <w:color w:val="000000"/>
                <w:sz w:val="24"/>
              </w:rPr>
            </w:pPr>
            <w:r w:rsidRPr="00613409">
              <w:rPr>
                <w:color w:val="000000"/>
                <w:sz w:val="24"/>
              </w:rPr>
              <w:t>0.37</w:t>
            </w:r>
          </w:p>
        </w:tc>
      </w:tr>
      <w:tr w:rsidR="00EA3F40" w:rsidRPr="0097021E" w:rsidTr="00340456">
        <w:tc>
          <w:tcPr>
            <w:tcW w:type="dxa" w:w="720"/>
            <w:vAlign w:val="center"/>
          </w:tcPr>
          <w:p w:rsidP="00196812" w:rsidR="00EA3F40" w:rsidRDefault="00EA3F40" w:rsidRPr="00613409">
            <w:pPr>
              <w:spacing w:before="29" w:line="360" w:lineRule="auto"/>
              <w:ind w:left="17"/>
              <w:jc w:val="center"/>
              <w:rPr>
                <w:color w:val="000000"/>
                <w:sz w:val="24"/>
              </w:rPr>
            </w:pPr>
            <w:r w:rsidRPr="00613409">
              <w:rPr>
                <w:color w:val="000000"/>
                <w:sz w:val="24"/>
              </w:rPr>
              <w:t/>
            </w:r>
            <w:r w:rsidRPr="00613409">
              <w:rPr>
                <w:color w:val="000000"/>
                <w:sz w:val="24"/>
              </w:rPr>
              <w:lastRenderedPageBreak/>
              <w:t>5</w:t>
            </w:r>
          </w:p>
        </w:tc>
        <w:tc>
          <w:tcPr>
            <w:tcW w:type="dxa" w:w="3357"/>
            <w:vAlign w:val="center"/>
          </w:tcPr>
          <w:p w:rsidP="00196812" w:rsidR="00EA3F40" w:rsidRDefault="00EA3F40" w:rsidRPr="00613409">
            <w:pPr>
              <w:spacing w:line="360" w:lineRule="auto"/>
              <w:jc w:val="left"/>
              <w:rPr>
                <w:sz w:val="24"/>
              </w:rPr>
            </w:pPr>
            <w:r w:rsidRPr="00613409">
              <w:rPr>
                <w:color w:val="000000"/>
                <w:sz w:val="24"/>
              </w:rPr>
              <w:lastRenderedPageBreak/>
              <w:t>合计</w:t>
            </w:r>
          </w:p>
        </w:tc>
        <w:tc>
          <w:tcPr>
            <w:tcW w:type="dxa" w:w="3119"/>
            <w:vAlign w:val="center"/>
          </w:tcPr>
          <w:p w:rsidP="00196812" w:rsidR="00EA3F40" w:rsidRDefault="00EA3F40" w:rsidRPr="00613409">
            <w:pPr>
              <w:spacing w:line="360" w:lineRule="auto"/>
              <w:jc w:val="right"/>
              <w:rPr>
                <w:color w:val="000000"/>
                <w:sz w:val="24"/>
              </w:rPr>
            </w:pPr>
            <w:r w:rsidRPr="00613409">
              <w:rPr>
                <w:color w:val="000000"/>
                <w:sz w:val="24"/>
              </w:rPr>
              <w:t>999,154,282.03</w:t>
            </w:r>
          </w:p>
        </w:tc>
        <w:tc>
          <w:tcPr>
            <w:tcW w:type="dxa" w:w="1843"/>
            <w:vAlign w:val="center"/>
          </w:tcPr>
          <w:p w:rsidP="00196812" w:rsidR="00EA3F40" w:rsidRDefault="00EA3F40" w:rsidRPr="00613409">
            <w:pPr>
              <w:spacing w:line="360" w:lineRule="auto"/>
              <w:jc w:val="right"/>
              <w:rPr>
                <w:color w:val="000000"/>
                <w:sz w:val="24"/>
              </w:rPr>
            </w:pPr>
            <w:r w:rsidRPr="00613409">
              <w:rPr>
                <w:color w:val="000000"/>
                <w:sz w:val="24"/>
              </w:rPr>
              <w:t/>
            </w:r>
            <w:r w:rsidRPr="00613409">
              <w:rPr>
                <w:color w:val="000000"/>
                <w:sz w:val="24"/>
              </w:rPr>
              <w:lastRenderedPageBreak/>
              <w:t>100.00</w:t>
            </w:r>
          </w:p>
        </w:tc>
      </w:tr>
    </w:tbl>
    <w:p w:rsidP="00196812" w:rsidR="00EA3F40" w:rsidRDefault="00EA3F40" w:rsidRPr="0097021E">
      <w:pPr>
        <w:spacing w:line="360" w:lineRule="auto"/>
        <w:rPr>
          <w:rFonts w:ascii="宋体" w:cs="Arial"/>
          <w:b/>
          <w:color w:val="000000"/>
          <w:kern w:val="0"/>
          <w:sz w:val="24"/>
        </w:rPr>
      </w:pPr>
      <w:r w:rsidRPr="0097021E">
        <w:rPr>
          <w:rFonts w:ascii="宋体" w:cs="Arial" w:hAnsi="宋体"/>
          <w:b/>
          <w:color w:val="000000"/>
          <w:kern w:val="0"/>
          <w:sz w:val="24"/>
        </w:rPr>
        <w:t xml:space="preserve">5.2 </w:t>
      </w:r>
      <w:r w:rsidRPr="0097021E">
        <w:rPr>
          <w:rFonts w:ascii="宋体" w:cs="Arial" w:hAnsi="宋体" w:hint="eastAsia"/>
          <w:b/>
          <w:color w:val="000000"/>
          <w:kern w:val="0"/>
          <w:sz w:val="24"/>
        </w:rPr>
        <w:t>报告期债券回购融资情况</w:t>
      </w:r>
    </w:p>
    <w:tbl>
      <w:tblPr>
        <w:tblW w:type="auto" w:w="0"/>
        <w:tblInd w:type="dxa" w:w="108"/>
        <w:tblLayout w:type="fixed"/>
        <w:tblLook w:firstColumn="0" w:firstRow="0" w:lastColumn="0" w:lastRow="0" w:noHBand="0" w:noVBand="0" w:val="0000"/>
      </w:tblPr>
      <w:tblGrid>
        <w:gridCol w:w="861"/>
        <w:gridCol w:w="3108"/>
        <w:gridCol w:w="2977"/>
        <w:gridCol w:w="2126"/>
      </w:tblGrid>
      <w:tr w:rsidR="00EA3F40" w:rsidRPr="0097021E" w:rsidTr="00F11244">
        <w:tc>
          <w:tcPr>
            <w:tcW w:type="dxa" w:w="861"/>
            <w:tcBorders>
              <w:top w:color="000000" w:space="0" w:sz="8" w:val="single"/>
              <w:left w:color="000000" w:space="0" w:sz="8" w:val="single"/>
              <w:bottom w:color="000000" w:space="0" w:sz="8" w:val="single"/>
              <w:right w:color="000000" w:space="0" w:sz="8" w:val="single"/>
            </w:tcBorders>
            <w:vAlign w:val="center"/>
          </w:tcPr>
          <w:p w:rsidP="00196812" w:rsidR="00EA3F40" w:rsidRDefault="00EA3F40" w:rsidRPr="00613409">
            <w:pPr>
              <w:spacing w:line="360" w:lineRule="auto"/>
              <w:rPr>
                <w:color w:val="000000"/>
                <w:kern w:val="0"/>
                <w:sz w:val="24"/>
              </w:rPr>
            </w:pPr>
            <w:r w:rsidRPr="00613409">
              <w:rPr>
                <w:color w:val="000000"/>
                <w:kern w:val="0"/>
                <w:sz w:val="24"/>
              </w:rPr>
              <w:t>序号</w:t>
            </w:r>
          </w:p>
        </w:tc>
        <w:tc>
          <w:tcPr>
            <w:tcW w:type="dxa" w:w="3108"/>
            <w:tcBorders>
              <w:top w:color="000000" w:space="0" w:sz="8" w:val="single"/>
              <w:left w:color="000000" w:space="0" w:sz="8" w:val="single"/>
              <w:bottom w:color="000000" w:space="0" w:sz="8" w:val="single"/>
              <w:right w:color="000000" w:space="0" w:sz="8" w:val="single"/>
            </w:tcBorders>
            <w:vAlign w:val="center"/>
          </w:tcPr>
          <w:p w:rsidP="00196812" w:rsidR="00EA3F40" w:rsidRDefault="00EA3F40" w:rsidRPr="00613409">
            <w:pPr>
              <w:spacing w:line="360" w:lineRule="auto"/>
              <w:rPr>
                <w:color w:val="000000"/>
                <w:kern w:val="0"/>
                <w:sz w:val="24"/>
              </w:rPr>
            </w:pPr>
            <w:r w:rsidRPr="00613409">
              <w:rPr>
                <w:color w:val="000000"/>
                <w:kern w:val="0"/>
                <w:sz w:val="24"/>
              </w:rPr>
              <w:t>项目</w:t>
            </w:r>
          </w:p>
        </w:tc>
        <w:tc>
          <w:tcPr>
            <w:tcW w:type="dxa" w:w="5103"/>
            <w:gridSpan w:val="2"/>
            <w:tcBorders>
              <w:top w:color="000000" w:space="0" w:sz="8" w:val="single"/>
              <w:left w:color="000000" w:space="0" w:sz="8" w:val="single"/>
              <w:bottom w:color="000000" w:space="0" w:sz="8" w:val="single"/>
              <w:right w:color="000000" w:space="0" w:sz="8" w:val="single"/>
            </w:tcBorders>
            <w:vAlign w:val="center"/>
          </w:tcPr>
          <w:p w:rsidP="00196812" w:rsidR="00EA3F40" w:rsidRDefault="00EA3F40" w:rsidRPr="00613409">
            <w:pPr>
              <w:spacing w:line="360" w:lineRule="auto"/>
              <w:rPr>
                <w:color w:val="000000"/>
                <w:kern w:val="0"/>
                <w:sz w:val="24"/>
              </w:rPr>
            </w:pPr>
            <w:r w:rsidRPr="00613409">
              <w:rPr>
                <w:color w:val="000000"/>
                <w:kern w:val="0"/>
                <w:sz w:val="24"/>
              </w:rPr>
              <w:t>占基金资产净值的比例（％）</w:t>
            </w:r>
          </w:p>
        </w:tc>
      </w:tr>
      <w:tr w:rsidR="00EA3F40" w:rsidRPr="0097021E" w:rsidTr="00F11244">
        <w:tc>
          <w:tcPr>
            <w:tcW w:type="dxa" w:w="861"/>
            <w:tcBorders>
              <w:top w:color="000000" w:space="0" w:sz="8" w:val="single"/>
              <w:left w:color="000000" w:space="0" w:sz="8" w:val="single"/>
              <w:right w:color="000000" w:space="0" w:sz="8" w:val="single"/>
            </w:tcBorders>
            <w:vAlign w:val="center"/>
          </w:tcPr>
          <w:p w:rsidP="00196812" w:rsidR="00EA3F40" w:rsidRDefault="00EA3F40" w:rsidRPr="00613409">
            <w:pPr>
              <w:spacing w:line="360" w:lineRule="auto"/>
              <w:rPr>
                <w:color w:val="000000"/>
                <w:kern w:val="0"/>
                <w:sz w:val="24"/>
              </w:rPr>
            </w:pPr>
            <w:r w:rsidRPr="00613409">
              <w:rPr>
                <w:color w:val="000000"/>
                <w:kern w:val="0"/>
                <w:sz w:val="24"/>
              </w:rPr>
              <w:t>1</w:t>
            </w:r>
          </w:p>
        </w:tc>
        <w:tc>
          <w:tcPr>
            <w:tcW w:type="dxa" w:w="3108"/>
            <w:tcBorders>
              <w:top w:color="000000" w:space="0" w:sz="8" w:val="single"/>
              <w:left w:color="000000" w:space="0" w:sz="8" w:val="single"/>
              <w:bottom w:color="000000" w:space="0" w:sz="8" w:val="single"/>
              <w:right w:color="000000" w:space="0" w:sz="8" w:val="single"/>
            </w:tcBorders>
          </w:tcPr>
          <w:p w:rsidP="00196812" w:rsidR="00EA3F40" w:rsidRDefault="00EA3F40" w:rsidRPr="00613409">
            <w:pPr>
              <w:spacing w:line="360" w:lineRule="auto"/>
              <w:rPr>
                <w:sz w:val="24"/>
              </w:rPr>
            </w:pPr>
            <w:r w:rsidRPr="00613409">
              <w:rPr>
                <w:sz w:val="24"/>
              </w:rPr>
              <w:t>报告期内债券回购融资余额</w:t>
            </w:r>
          </w:p>
        </w:tc>
        <w:tc>
          <w:tcPr>
            <w:tcW w:type="dxa" w:w="5103"/>
            <w:gridSpan w:val="2"/>
            <w:tcBorders>
              <w:top w:color="000000" w:space="0" w:sz="8" w:val="single"/>
              <w:left w:color="000000" w:space="0" w:sz="8" w:val="single"/>
              <w:bottom w:color="000000" w:space="0" w:sz="8" w:val="single"/>
              <w:right w:color="000000" w:space="0" w:sz="8" w:val="single"/>
            </w:tcBorders>
            <w:vAlign w:val="center"/>
          </w:tcPr>
          <w:p w:rsidP="00196812" w:rsidR="00EA3F40" w:rsidRDefault="00EA3F40" w:rsidRPr="00613409">
            <w:pPr>
              <w:spacing w:line="360" w:lineRule="auto"/>
              <w:rPr>
                <w:sz w:val="24"/>
              </w:rPr>
            </w:pPr>
            <w:r w:rsidRPr="00613409">
              <w:rPr>
                <w:sz w:val="24"/>
              </w:rPr>
              <w:t>5.02</w:t>
            </w:r>
          </w:p>
        </w:tc>
      </w:tr>
      <w:tr w:rsidR="00EA3F40" w:rsidRPr="0097021E" w:rsidTr="00F11244">
        <w:trPr>
          <w:trHeight w:val="712"/>
        </w:trPr>
        <w:tc>
          <w:tcPr>
            <w:tcW w:type="dxa" w:w="861"/>
            <w:tcBorders>
              <w:left w:color="000000" w:space="0" w:sz="8" w:val="single"/>
              <w:bottom w:color="000000" w:space="0" w:sz="8" w:val="single"/>
              <w:right w:color="000000" w:space="0" w:sz="8" w:val="single"/>
            </w:tcBorders>
            <w:vAlign w:val="center"/>
          </w:tcPr>
          <w:p w:rsidP="00196812" w:rsidR="00EA3F40" w:rsidRDefault="00EA3F40" w:rsidRPr="00613409">
            <w:pPr>
              <w:spacing w:line="360" w:lineRule="auto"/>
              <w:rPr>
                <w:color w:val="000000"/>
                <w:sz w:val="24"/>
              </w:rPr>
            </w:pPr>
          </w:p>
        </w:tc>
        <w:tc>
          <w:tcPr>
            <w:tcW w:type="dxa" w:w="3108"/>
            <w:tcBorders>
              <w:top w:color="000000" w:space="0" w:sz="8" w:val="single"/>
              <w:left w:color="000000" w:space="0" w:sz="8" w:val="single"/>
              <w:bottom w:color="000000" w:space="0" w:sz="8" w:val="single"/>
              <w:right w:color="000000" w:space="0" w:sz="8" w:val="single"/>
            </w:tcBorders>
          </w:tcPr>
          <w:p w:rsidP="00196812" w:rsidR="00EA3F40" w:rsidRDefault="00EA3F40" w:rsidRPr="00613409">
            <w:pPr>
              <w:spacing w:line="360" w:lineRule="auto"/>
              <w:rPr>
                <w:sz w:val="24"/>
              </w:rPr>
            </w:pPr>
            <w:r w:rsidRPr="00613409">
              <w:rPr>
                <w:sz w:val="24"/>
              </w:rPr>
              <w:t>其中：买断式回购融资</w:t>
            </w:r>
          </w:p>
        </w:tc>
        <w:tc>
          <w:tcPr>
            <w:tcW w:type="dxa" w:w="5103"/>
            <w:gridSpan w:val="2"/>
            <w:tcBorders>
              <w:top w:color="000000" w:space="0" w:sz="8" w:val="single"/>
              <w:left w:color="000000" w:space="0" w:sz="8" w:val="single"/>
              <w:bottom w:color="000000" w:space="0" w:sz="8" w:val="single"/>
              <w:right w:color="000000" w:space="0" w:sz="8" w:val="single"/>
            </w:tcBorders>
            <w:vAlign w:val="center"/>
          </w:tcPr>
          <w:p w:rsidP="00196812" w:rsidR="00EA3F40" w:rsidRDefault="00EA3F40" w:rsidRPr="00613409">
            <w:pPr>
              <w:spacing w:line="360" w:lineRule="auto"/>
              <w:rPr>
                <w:sz w:val="24"/>
              </w:rPr>
            </w:pPr>
            <w:r w:rsidRPr="00613409">
              <w:rPr>
                <w:sz w:val="24"/>
              </w:rPr>
              <w:t>-</w:t>
            </w:r>
          </w:p>
        </w:tc>
      </w:tr>
      <w:tr w:rsidR="00EA3F40" w:rsidRPr="0097021E" w:rsidTr="00F11244">
        <w:tc>
          <w:tcPr>
            <w:tcW w:type="dxa" w:w="861"/>
            <w:tcBorders>
              <w:left w:color="000000" w:space="0" w:sz="8" w:val="single"/>
              <w:bottom w:color="000000" w:space="0" w:sz="8" w:val="single"/>
              <w:right w:color="000000" w:space="0" w:sz="8" w:val="single"/>
            </w:tcBorders>
            <w:vAlign w:val="center"/>
          </w:tcPr>
          <w:p w:rsidP="00196812" w:rsidR="00EA3F40" w:rsidRDefault="00EA3F40" w:rsidRPr="00613409">
            <w:pPr>
              <w:spacing w:line="360" w:lineRule="auto"/>
              <w:rPr>
                <w:color w:val="000000"/>
                <w:sz w:val="24"/>
              </w:rPr>
            </w:pPr>
            <w:r w:rsidRPr="00613409">
              <w:rPr>
                <w:color w:val="000000"/>
                <w:kern w:val="0"/>
                <w:sz w:val="24"/>
              </w:rPr>
              <w:t>序号</w:t>
            </w:r>
          </w:p>
        </w:tc>
        <w:tc>
          <w:tcPr>
            <w:tcW w:type="dxa" w:w="3108"/>
            <w:tcBorders>
              <w:top w:color="000000" w:space="0" w:sz="8" w:val="single"/>
              <w:left w:color="000000" w:space="0" w:sz="8" w:val="single"/>
              <w:bottom w:color="000000" w:space="0" w:sz="8" w:val="single"/>
              <w:right w:color="000000" w:space="0" w:sz="8" w:val="single"/>
            </w:tcBorders>
          </w:tcPr>
          <w:p w:rsidP="00196812" w:rsidR="00EA3F40" w:rsidRDefault="00EA3F40" w:rsidRPr="00613409">
            <w:pPr>
              <w:spacing w:line="360" w:lineRule="auto"/>
              <w:rPr>
                <w:sz w:val="24"/>
              </w:rPr>
            </w:pPr>
            <w:r w:rsidRPr="00613409">
              <w:rPr>
                <w:sz w:val="24"/>
              </w:rPr>
              <w:t>项目</w:t>
            </w:r>
          </w:p>
        </w:tc>
        <w:tc>
          <w:tcPr>
            <w:tcW w:type="dxa" w:w="2977"/>
            <w:tcBorders>
              <w:top w:color="000000" w:space="0" w:sz="8" w:val="single"/>
              <w:left w:color="000000" w:space="0" w:sz="8" w:val="single"/>
              <w:bottom w:color="000000" w:space="0" w:sz="8" w:val="single"/>
              <w:right w:color="000000" w:space="0" w:sz="8" w:val="single"/>
            </w:tcBorders>
            <w:vAlign w:val="center"/>
          </w:tcPr>
          <w:p w:rsidP="00196812" w:rsidR="00EA3F40" w:rsidRDefault="00EA3F40" w:rsidRPr="00613409">
            <w:pPr>
              <w:spacing w:line="360" w:lineRule="auto"/>
              <w:rPr>
                <w:sz w:val="24"/>
              </w:rPr>
            </w:pPr>
            <w:r w:rsidRPr="00613409">
              <w:rPr>
                <w:sz w:val="24"/>
              </w:rPr>
              <w:t>金额</w:t>
            </w:r>
          </w:p>
        </w:tc>
        <w:tc>
          <w:tcPr>
            <w:tcW w:type="dxa" w:w="2126"/>
            <w:tcBorders>
              <w:top w:color="000000" w:space="0" w:sz="8" w:val="single"/>
              <w:left w:color="000000" w:space="0" w:sz="8" w:val="single"/>
              <w:bottom w:color="000000" w:space="0" w:sz="8" w:val="single"/>
              <w:right w:color="000000" w:space="0" w:sz="8" w:val="single"/>
            </w:tcBorders>
            <w:vAlign w:val="center"/>
          </w:tcPr>
          <w:p w:rsidP="00196812" w:rsidR="00EA3F40" w:rsidRDefault="00EA3F40" w:rsidRPr="00613409">
            <w:pPr>
              <w:spacing w:line="360" w:lineRule="auto"/>
              <w:rPr>
                <w:sz w:val="24"/>
              </w:rPr>
            </w:pPr>
            <w:r w:rsidRPr="00613409">
              <w:rPr>
                <w:color w:val="000000"/>
                <w:kern w:val="0"/>
                <w:sz w:val="24"/>
              </w:rPr>
              <w:t>占基金资产净值的比例（％）</w:t>
            </w:r>
          </w:p>
        </w:tc>
      </w:tr>
      <w:tr w:rsidR="00EA3F40" w:rsidRPr="0097021E" w:rsidTr="00F11244">
        <w:tc>
          <w:tcPr>
            <w:tcW w:type="dxa" w:w="861"/>
            <w:vMerge w:val="restart"/>
            <w:tcBorders>
              <w:top w:color="000000" w:space="0" w:sz="8" w:val="single"/>
              <w:left w:color="000000" w:space="0" w:sz="8" w:val="single"/>
              <w:right w:color="000000" w:space="0" w:sz="8" w:val="single"/>
            </w:tcBorders>
            <w:vAlign w:val="center"/>
          </w:tcPr>
          <w:p w:rsidP="00196812" w:rsidR="00EA3F40" w:rsidRDefault="00EA3F40" w:rsidRPr="00613409">
            <w:pPr>
              <w:spacing w:line="360" w:lineRule="auto"/>
              <w:rPr>
                <w:color w:val="000000"/>
                <w:sz w:val="24"/>
              </w:rPr>
            </w:pPr>
            <w:r w:rsidRPr="00613409">
              <w:rPr>
                <w:color w:val="000000"/>
                <w:sz w:val="24"/>
              </w:rPr>
              <w:t>2</w:t>
            </w:r>
          </w:p>
        </w:tc>
        <w:tc>
          <w:tcPr>
            <w:tcW w:type="dxa" w:w="3108"/>
            <w:tcBorders>
              <w:top w:color="000000" w:space="0" w:sz="8" w:val="single"/>
              <w:left w:color="000000" w:space="0" w:sz="8" w:val="single"/>
              <w:bottom w:color="000000" w:space="0" w:sz="8" w:val="single"/>
              <w:right w:color="000000" w:space="0" w:sz="8" w:val="single"/>
            </w:tcBorders>
          </w:tcPr>
          <w:p w:rsidP="00196812" w:rsidR="00EA3F40" w:rsidRDefault="00EA3F40" w:rsidRPr="00613409">
            <w:pPr>
              <w:spacing w:line="360" w:lineRule="auto"/>
              <w:rPr>
                <w:sz w:val="24"/>
              </w:rPr>
            </w:pPr>
            <w:r w:rsidRPr="00613409">
              <w:rPr>
                <w:sz w:val="24"/>
              </w:rPr>
              <w:t>报告期末债券回购融资余额</w:t>
            </w:r>
          </w:p>
        </w:tc>
        <w:tc>
          <w:tcPr>
            <w:tcW w:type="dxa" w:w="2977"/>
            <w:tcBorders>
              <w:top w:color="000000" w:space="0" w:sz="8" w:val="single"/>
              <w:left w:color="000000" w:space="0" w:sz="8" w:val="single"/>
              <w:bottom w:color="000000" w:space="0" w:sz="8" w:val="single"/>
              <w:right w:color="000000" w:space="0" w:sz="8" w:val="single"/>
            </w:tcBorders>
            <w:vAlign w:val="center"/>
          </w:tcPr>
          <w:p w:rsidP="00196812" w:rsidR="00EA3F40" w:rsidRDefault="00EA3F40" w:rsidRPr="00613409">
            <w:pPr>
              <w:spacing w:line="360" w:lineRule="auto"/>
              <w:rPr>
                <w:sz w:val="24"/>
              </w:rPr>
            </w:pPr>
            <w:r w:rsidRPr="00613409">
              <w:rPr>
                <w:sz w:val="24"/>
              </w:rPr>
              <w:t>41,359,817.96</w:t>
            </w:r>
          </w:p>
        </w:tc>
        <w:tc>
          <w:tcPr>
            <w:tcW w:type="dxa" w:w="2126"/>
            <w:tcBorders>
              <w:top w:color="000000" w:space="0" w:sz="8" w:val="single"/>
              <w:left w:color="000000" w:space="0" w:sz="8" w:val="single"/>
              <w:bottom w:color="000000" w:space="0" w:sz="8" w:val="single"/>
              <w:right w:color="000000" w:space="0" w:sz="8" w:val="single"/>
            </w:tcBorders>
            <w:vAlign w:val="center"/>
          </w:tcPr>
          <w:p w:rsidP="00196812" w:rsidR="00EA3F40" w:rsidRDefault="00EA3F40" w:rsidRPr="00613409">
            <w:pPr>
              <w:spacing w:line="360" w:lineRule="auto"/>
              <w:rPr>
                <w:sz w:val="24"/>
              </w:rPr>
            </w:pPr>
            <w:r w:rsidRPr="00613409">
              <w:rPr>
                <w:sz w:val="24"/>
              </w:rPr>
              <w:t>4.33</w:t>
            </w:r>
          </w:p>
        </w:tc>
      </w:tr>
      <w:tr w:rsidR="00EA3F40" w:rsidRPr="0097021E" w:rsidTr="00F11244">
        <w:tc>
          <w:tcPr>
            <w:tcW w:type="dxa" w:w="861"/>
            <w:vMerge/>
            <w:tcBorders>
              <w:left w:color="000000" w:space="0" w:sz="8" w:val="single"/>
              <w:bottom w:color="000000" w:space="0" w:sz="8" w:val="single"/>
              <w:right w:color="000000" w:space="0" w:sz="8" w:val="single"/>
            </w:tcBorders>
            <w:vAlign w:val="center"/>
          </w:tcPr>
          <w:p w:rsidP="00196812" w:rsidR="00EA3F40" w:rsidRDefault="00EA3F40" w:rsidRPr="00613409">
            <w:pPr>
              <w:spacing w:line="360" w:lineRule="auto"/>
              <w:rPr>
                <w:color w:val="000000"/>
                <w:sz w:val="24"/>
              </w:rPr>
            </w:pPr>
          </w:p>
        </w:tc>
        <w:tc>
          <w:tcPr>
            <w:tcW w:type="dxa" w:w="3108"/>
            <w:tcBorders>
              <w:top w:color="000000" w:space="0" w:sz="8" w:val="single"/>
              <w:left w:color="000000" w:space="0" w:sz="8" w:val="single"/>
              <w:bottom w:color="000000" w:space="0" w:sz="8" w:val="single"/>
              <w:right w:color="000000" w:space="0" w:sz="8" w:val="single"/>
            </w:tcBorders>
          </w:tcPr>
          <w:p w:rsidP="00196812" w:rsidR="00EA3F40" w:rsidRDefault="00EA3F40" w:rsidRPr="00613409">
            <w:pPr>
              <w:spacing w:line="360" w:lineRule="auto"/>
              <w:rPr>
                <w:sz w:val="24"/>
              </w:rPr>
            </w:pPr>
            <w:r w:rsidRPr="00613409">
              <w:rPr>
                <w:sz w:val="24"/>
              </w:rPr>
              <w:t>其中：买断式回购融资</w:t>
            </w:r>
          </w:p>
        </w:tc>
        <w:tc>
          <w:tcPr>
            <w:tcW w:type="dxa" w:w="2977"/>
            <w:tcBorders>
              <w:top w:color="000000" w:space="0" w:sz="8" w:val="single"/>
              <w:left w:color="000000" w:space="0" w:sz="8" w:val="single"/>
              <w:bottom w:color="000000" w:space="0" w:sz="8" w:val="single"/>
              <w:right w:color="000000" w:space="0" w:sz="8" w:val="single"/>
            </w:tcBorders>
            <w:vAlign w:val="center"/>
          </w:tcPr>
          <w:p w:rsidP="00196812" w:rsidR="00EA3F40" w:rsidRDefault="00EA3F40" w:rsidRPr="00613409">
            <w:pPr>
              <w:spacing w:line="360" w:lineRule="auto"/>
              <w:rPr>
                <w:sz w:val="24"/>
              </w:rPr>
            </w:pPr>
            <w:r w:rsidRPr="00613409">
              <w:rPr>
                <w:sz w:val="24"/>
              </w:rPr>
              <w:t>-</w:t>
            </w:r>
          </w:p>
        </w:tc>
        <w:tc>
          <w:tcPr>
            <w:tcW w:type="dxa" w:w="2126"/>
            <w:tcBorders>
              <w:top w:color="000000" w:space="0" w:sz="8" w:val="single"/>
              <w:left w:color="000000" w:space="0" w:sz="8" w:val="single"/>
              <w:bottom w:color="000000" w:space="0" w:sz="8" w:val="single"/>
              <w:right w:color="000000" w:space="0" w:sz="8" w:val="single"/>
            </w:tcBorders>
            <w:vAlign w:val="center"/>
          </w:tcPr>
          <w:p w:rsidP="00196812" w:rsidR="00EA3F40" w:rsidRDefault="00EA3F40" w:rsidRPr="00613409">
            <w:pPr>
              <w:spacing w:line="360" w:lineRule="auto"/>
              <w:rPr>
                <w:sz w:val="24"/>
              </w:rPr>
            </w:pPr>
            <w:r w:rsidRPr="00613409">
              <w:rPr>
                <w:sz w:val="24"/>
              </w:rPr>
              <w:t>-</w:t>
            </w:r>
          </w:p>
        </w:tc>
      </w:tr>
    </w:tbl>
    <w:p w:rsidP="00613409" w:rsidR="00EA3F40" w:rsidRDefault="00EA3F40" w:rsidRPr="00613409">
      <w:pPr>
        <w:adjustRightInd w:val="0"/>
        <w:spacing w:line="360" w:lineRule="auto"/>
        <w:ind w:firstLine="480" w:firstLineChars="200"/>
        <w:rPr>
          <w:color w:val="000000"/>
          <w:sz w:val="24"/>
        </w:rPr>
      </w:pPr>
      <w:r w:rsidRPr="001752C7">
        <w:rPr>
          <w:color w:val="000000"/>
          <w:sz w:val="24"/>
        </w:rPr>
        <w:t>注：上表中报告期内债券回购融资余额占基金资产净值的比例为报告期内每个交易日融资余额占基金资产净值比例的简单平均值。</w:t>
      </w:r>
    </w:p>
    <w:p w:rsidP="00196812" w:rsidR="00EA3F40" w:rsidRDefault="00EA3F40" w:rsidRPr="003A0EC1">
      <w:pPr>
        <w:spacing w:line="360" w:lineRule="auto"/>
        <w:rPr>
          <w:rFonts w:ascii="宋体" w:cs="Arial"/>
          <w:b/>
          <w:color w:val="000000"/>
          <w:kern w:val="0"/>
          <w:sz w:val="24"/>
        </w:rPr>
      </w:pPr>
      <w:r w:rsidRPr="003A0EC1">
        <w:rPr>
          <w:rFonts w:ascii="宋体" w:cs="Arial"/>
          <w:b/>
          <w:color w:val="000000"/>
          <w:kern w:val="0"/>
          <w:sz w:val="24"/>
        </w:rPr>
        <w:t/>
      </w:r>
      <w:r w:rsidRPr="003A0EC1">
        <w:rPr>
          <w:rFonts w:ascii="宋体" w:cs="Arial" w:hAnsi="宋体"/>
          <w:b/>
          <w:color w:val="000000"/>
          <w:kern w:val="0"/>
          <w:sz w:val="24"/>
        </w:rPr>
        <w:t/>
      </w:r>
      <w:r w:rsidRPr="003A0EC1">
        <w:rPr>
          <w:rFonts w:ascii="宋体" w:cs="Arial" w:hAnsi="宋体" w:hint="eastAsia"/>
          <w:b/>
          <w:color w:val="000000"/>
          <w:kern w:val="0"/>
          <w:sz w:val="24"/>
        </w:rPr>
        <w:t>债券正回购的资金余额超过基金资产净值的</w:t>
      </w:r>
      <w:r w:rsidRPr="003A0EC1">
        <w:rPr>
          <w:rFonts w:ascii="宋体" w:cs="Arial" w:hAnsi="宋体"/>
          <w:b/>
          <w:color w:val="000000"/>
          <w:kern w:val="0"/>
          <w:sz w:val="24"/>
        </w:rPr>
        <w:t>20</w:t>
      </w:r>
      <w:r w:rsidRPr="003A0EC1">
        <w:rPr>
          <w:rFonts w:ascii="宋体" w:cs="Arial" w:hAnsi="宋体" w:hint="eastAsia"/>
          <w:b/>
          <w:color w:val="000000"/>
          <w:kern w:val="0"/>
          <w:sz w:val="24"/>
        </w:rPr>
        <w:t>％的说明</w:t>
      </w:r>
    </w:p>
    <w:p w:rsidP="00613409" w:rsidR="00EA3F40" w:rsidRDefault="00EA3F40" w:rsidRPr="00613409">
      <w:pPr>
        <w:adjustRightInd w:val="0"/>
        <w:spacing w:line="360" w:lineRule="auto"/>
        <w:ind w:firstLine="480" w:firstLineChars="200"/>
        <w:rPr>
          <w:color w:val="000000"/>
          <w:sz w:val="24"/>
        </w:rPr>
      </w:pPr>
      <w:r w:rsidRPr="001752C7">
        <w:rPr>
          <w:color w:val="000000"/>
          <w:sz w:val="24"/>
        </w:rPr>
        <w:t>在本报告期内本货币市场基金债券正回购的资金余额未超过资产净值的20%。</w:t>
      </w:r>
    </w:p>
    <w:p w:rsidP="00196812" w:rsidR="00EA3F40" w:rsidRDefault="00EA3F40" w:rsidRPr="0097021E">
      <w:pPr>
        <w:spacing w:line="360" w:lineRule="auto"/>
        <w:rPr>
          <w:rFonts w:ascii="宋体" w:cs="Arial"/>
          <w:b/>
          <w:color w:val="000000"/>
          <w:kern w:val="0"/>
          <w:sz w:val="24"/>
        </w:rPr>
      </w:pPr>
      <w:r w:rsidRPr="0097021E">
        <w:rPr>
          <w:rFonts w:ascii="宋体" w:cs="Arial" w:hAnsi="宋体"/>
          <w:b/>
          <w:color w:val="000000"/>
          <w:kern w:val="0"/>
          <w:sz w:val="24"/>
        </w:rPr>
        <w:t xml:space="preserve">5.3 </w:t>
      </w:r>
      <w:r w:rsidRPr="0097021E">
        <w:rPr>
          <w:rFonts w:ascii="宋体" w:cs="Arial" w:hAnsi="宋体" w:hint="eastAsia"/>
          <w:b/>
          <w:color w:val="000000"/>
          <w:kern w:val="0"/>
          <w:sz w:val="24"/>
        </w:rPr>
        <w:t>基金投资组合平均剩余期限</w:t>
      </w:r>
    </w:p>
    <w:p w:rsidP="00196812" w:rsidR="00EA3F40" w:rsidRDefault="00EA3F40" w:rsidRPr="0097021E">
      <w:pPr>
        <w:spacing w:line="360" w:lineRule="auto"/>
        <w:rPr>
          <w:rFonts w:ascii="宋体" w:cs="Arial"/>
          <w:b/>
          <w:color w:val="000000"/>
          <w:kern w:val="0"/>
          <w:sz w:val="24"/>
        </w:rPr>
      </w:pPr>
      <w:r w:rsidRPr="0097021E">
        <w:rPr>
          <w:rFonts w:ascii="宋体" w:cs="Arial" w:hAnsi="宋体"/>
          <w:b/>
          <w:color w:val="000000"/>
          <w:kern w:val="0"/>
          <w:sz w:val="24"/>
        </w:rPr>
        <w:t xml:space="preserve">5.3.1 </w:t>
      </w:r>
      <w:r w:rsidRPr="0097021E">
        <w:rPr>
          <w:rFonts w:ascii="宋体" w:cs="Arial" w:hAnsi="宋体" w:hint="eastAsia"/>
          <w:b/>
          <w:color w:val="000000"/>
          <w:kern w:val="0"/>
          <w:sz w:val="24"/>
        </w:rPr>
        <w:t>投资组合平均剩余期限基本情况</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0" w:firstRow="0" w:lastColumn="0" w:lastRow="0" w:noHBand="0" w:noVBand="0" w:val="0000"/>
      </w:tblPr>
      <w:tblGrid>
        <w:gridCol w:w="4056"/>
        <w:gridCol w:w="5016"/>
      </w:tblGrid>
      <w:tr w:rsidR="00EA3F40" w:rsidRPr="0097021E" w:rsidTr="00C526E2">
        <w:tc>
          <w:tcPr>
            <w:tcW w:type="dxa" w:w="4056"/>
            <w:vAlign w:val="center"/>
          </w:tcPr>
          <w:p w:rsidP="00196812" w:rsidR="00EA3F40" w:rsidRDefault="00EA3F40"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t>项目</w:t>
            </w:r>
            <w:r w:rsidRPr="00613409">
              <w:rPr>
                <w:color w:val="000000"/>
                <w:kern w:val="0"/>
                <w:sz w:val="24"/>
              </w:rPr>
              <w:t/>
            </w:r>
          </w:p>
        </w:tc>
        <w:tc>
          <w:tcPr>
            <w:tcW w:type="dxa" w:w="5016"/>
            <w:vAlign w:val="center"/>
          </w:tcPr>
          <w:p w:rsidP="00196812" w:rsidR="00EA3F40" w:rsidRDefault="00EA3F40"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t>天数</w:t>
            </w:r>
          </w:p>
        </w:tc>
      </w:tr>
      <w:tr w:rsidR="00EA3F40" w:rsidRPr="0097021E" w:rsidTr="00C526E2">
        <w:tc>
          <w:tcPr>
            <w:tcW w:type="dxa" w:w="4056"/>
            <w:vAlign w:val="center"/>
          </w:tcPr>
          <w:p w:rsidP="00196812" w:rsidR="00EA3F40" w:rsidRDefault="00EA3F40" w:rsidRPr="00613409">
            <w:pPr>
              <w:autoSpaceDE w:val="0"/>
              <w:autoSpaceDN w:val="0"/>
              <w:adjustRightInd w:val="0"/>
              <w:spacing w:before="29" w:line="360" w:lineRule="auto"/>
              <w:ind w:left="15"/>
              <w:jc w:val="left"/>
              <w:rPr>
                <w:color w:val="000000"/>
                <w:kern w:val="0"/>
                <w:sz w:val="24"/>
              </w:rPr>
            </w:pPr>
            <w:r w:rsidRPr="00613409">
              <w:rPr>
                <w:color w:val="000000"/>
                <w:kern w:val="0"/>
                <w:sz w:val="24"/>
              </w:rPr>
              <w:t>报告期末投资组合平均剩余期限</w:t>
            </w:r>
          </w:p>
        </w:tc>
        <w:tc>
          <w:tcPr>
            <w:tcW w:type="dxa" w:w="5016"/>
            <w:vAlign w:val="center"/>
          </w:tcPr>
          <w:p w:rsidP="00196812" w:rsidR="00EA3F40" w:rsidRDefault="00EA3F40" w:rsidRPr="00613409">
            <w:pPr>
              <w:spacing w:line="360" w:lineRule="auto"/>
              <w:ind w:right="120"/>
              <w:jc w:val="right"/>
              <w:rPr>
                <w:sz w:val="24"/>
              </w:rPr>
            </w:pPr>
            <w:r w:rsidRPr="00613409">
              <w:rPr>
                <w:color w:val="000000"/>
                <w:sz w:val="24"/>
              </w:rPr>
              <w:t/>
            </w:r>
            <w:r w:rsidRPr="00613409">
              <w:rPr>
                <w:sz w:val="24"/>
              </w:rPr>
              <w:t>63</w:t>
            </w:r>
          </w:p>
        </w:tc>
      </w:tr>
      <w:tr w:rsidR="00EA3F40" w:rsidRPr="0097021E" w:rsidTr="00C526E2">
        <w:tc>
          <w:tcPr>
            <w:tcW w:type="dxa" w:w="4056"/>
            <w:vAlign w:val="center"/>
          </w:tcPr>
          <w:p w:rsidP="00196812" w:rsidR="00EA3F40" w:rsidRDefault="00EA3F40" w:rsidRPr="00613409">
            <w:pPr>
              <w:autoSpaceDE w:val="0"/>
              <w:autoSpaceDN w:val="0"/>
              <w:adjustRightInd w:val="0"/>
              <w:spacing w:before="29" w:line="360" w:lineRule="auto"/>
              <w:ind w:left="15"/>
              <w:jc w:val="left"/>
              <w:rPr>
                <w:color w:val="000000"/>
                <w:kern w:val="0"/>
                <w:sz w:val="24"/>
              </w:rPr>
            </w:pPr>
            <w:r w:rsidRPr="00613409">
              <w:rPr>
                <w:color w:val="000000"/>
                <w:kern w:val="0"/>
                <w:sz w:val="24"/>
              </w:rPr>
              <w:t>报告期内投资组合平均剩余期限最高值</w:t>
            </w:r>
          </w:p>
        </w:tc>
        <w:tc>
          <w:tcPr>
            <w:tcW w:type="dxa" w:w="5016"/>
            <w:vAlign w:val="center"/>
          </w:tcPr>
          <w:p w:rsidP="00196812" w:rsidR="00EA3F40" w:rsidRDefault="00EA3F40" w:rsidRPr="00613409">
            <w:pPr>
              <w:spacing w:line="360" w:lineRule="auto"/>
              <w:jc w:val="right"/>
              <w:rPr>
                <w:sz w:val="24"/>
              </w:rPr>
            </w:pPr>
            <w:r w:rsidRPr="00613409">
              <w:rPr>
                <w:color w:val="000000"/>
                <w:sz w:val="24"/>
              </w:rPr>
              <w:t/>
            </w:r>
            <w:r w:rsidRPr="00613409">
              <w:rPr>
                <w:sz w:val="24"/>
              </w:rPr>
              <w:t>85</w:t>
            </w:r>
          </w:p>
        </w:tc>
      </w:tr>
      <w:tr w:rsidR="00EA3F40" w:rsidRPr="0097021E" w:rsidTr="00C526E2">
        <w:tc>
          <w:tcPr>
            <w:tcW w:type="dxa" w:w="4056"/>
            <w:vAlign w:val="center"/>
          </w:tcPr>
          <w:p w:rsidP="00196812" w:rsidR="00EA3F40" w:rsidRDefault="00EA3F40" w:rsidRPr="00613409">
            <w:pPr>
              <w:autoSpaceDE w:val="0"/>
              <w:autoSpaceDN w:val="0"/>
              <w:adjustRightInd w:val="0"/>
              <w:spacing w:before="29" w:line="360" w:lineRule="auto"/>
              <w:ind w:left="15"/>
              <w:jc w:val="left"/>
              <w:rPr>
                <w:color w:val="000000"/>
                <w:kern w:val="0"/>
                <w:sz w:val="24"/>
              </w:rPr>
            </w:pPr>
            <w:r w:rsidRPr="00613409">
              <w:rPr>
                <w:color w:val="000000"/>
                <w:kern w:val="0"/>
                <w:sz w:val="24"/>
              </w:rPr>
              <w:t>报告期内投资组合平均剩余期限最低值</w:t>
            </w:r>
          </w:p>
        </w:tc>
        <w:tc>
          <w:tcPr>
            <w:tcW w:type="dxa" w:w="5016"/>
            <w:vAlign w:val="center"/>
          </w:tcPr>
          <w:p w:rsidP="00196812" w:rsidR="00EA3F40" w:rsidRDefault="00EA3F40" w:rsidRPr="00613409">
            <w:pPr>
              <w:spacing w:line="360" w:lineRule="auto"/>
              <w:ind w:right="120"/>
              <w:jc w:val="right"/>
              <w:rPr>
                <w:sz w:val="24"/>
              </w:rPr>
            </w:pPr>
            <w:r w:rsidRPr="00613409">
              <w:rPr>
                <w:color w:val="000000"/>
                <w:sz w:val="24"/>
              </w:rPr>
              <w:t/>
            </w:r>
            <w:r w:rsidRPr="00613409">
              <w:rPr>
                <w:sz w:val="24"/>
              </w:rPr>
              <w:t>56</w:t>
            </w:r>
          </w:p>
        </w:tc>
      </w:tr>
    </w:tbl>
    <w:p w:rsidP="00546492" w:rsidR="00546492" w:rsidRDefault="00546492" w:rsidRPr="00546492">
      <w:pPr>
        <w:spacing w:line="360" w:lineRule="auto"/>
        <w:rPr>
          <w:rFonts w:ascii="宋体" w:cs="Arial" w:hAnsi="宋体"/>
          <w:b/>
          <w:color w:val="000000"/>
          <w:kern w:val="0"/>
          <w:sz w:val="24"/>
        </w:rPr>
      </w:pPr>
      <w:r w:rsidRPr="00546492">
        <w:rPr>
          <w:rFonts w:ascii="宋体" w:cs="Arial" w:hAnsi="宋体" w:hint="eastAsia"/>
          <w:b/>
          <w:color w:val="000000"/>
          <w:kern w:val="0"/>
          <w:sz w:val="24"/>
        </w:rPr>
        <w:t>报告期内投资组合平均剩余期限超过</w:t>
      </w:r>
      <w:r w:rsidRPr="00546492">
        <w:rPr>
          <w:rFonts w:ascii="宋体" w:cs="Arial" w:hAnsi="宋体"/>
          <w:b/>
          <w:color w:val="000000"/>
          <w:kern w:val="0"/>
          <w:sz w:val="24"/>
        </w:rPr>
        <w:t>1</w:t>
      </w:r>
      <w:r w:rsidRPr="00546492">
        <w:rPr>
          <w:rFonts w:ascii="宋体" w:cs="Arial" w:hAnsi="宋体" w:hint="eastAsia"/>
          <w:b/>
          <w:color w:val="000000"/>
          <w:kern w:val="0"/>
          <w:sz w:val="24"/>
        </w:rPr>
        <w:t>20天情况说明</w:t>
      </w:r>
    </w:p>
    <w:p w:rsidP="00613409" w:rsidR="00546492" w:rsidRDefault="00546492" w:rsidRPr="00546492">
      <w:pPr>
        <w:adjustRightInd w:val="0"/>
        <w:spacing w:line="360" w:lineRule="auto"/>
        <w:ind w:firstLine="480" w:firstLineChars="200"/>
        <w:rPr>
          <w:color w:val="000000"/>
          <w:sz w:val="24"/>
        </w:rPr>
      </w:pPr>
      <w:r w:rsidRPr="00546492">
        <w:rPr>
          <w:color w:val="000000"/>
          <w:sz w:val="24"/>
        </w:rPr>
        <w:lastRenderedPageBreak/>
        <w:t>本报告期内本货币市场基金投资组合平均剩余期限未超过120天。</w:t>
      </w:r>
    </w:p>
    <w:p w:rsidP="00196812" w:rsidR="00EA3F40" w:rsidRDefault="00EA3F40" w:rsidRPr="0097021E">
      <w:pPr>
        <w:spacing w:line="360" w:lineRule="auto"/>
        <w:rPr>
          <w:rFonts w:ascii="宋体" w:cs="Arial"/>
          <w:b/>
          <w:color w:val="000000"/>
          <w:kern w:val="0"/>
          <w:sz w:val="24"/>
        </w:rPr>
      </w:pPr>
      <w:r w:rsidRPr="0097021E">
        <w:rPr>
          <w:rFonts w:ascii="宋体" w:cs="Arial" w:hAnsi="宋体"/>
          <w:b/>
          <w:color w:val="000000"/>
          <w:kern w:val="0"/>
          <w:sz w:val="24"/>
        </w:rPr>
        <w:t xml:space="preserve">5.3.2 </w:t>
      </w:r>
      <w:r w:rsidRPr="0097021E">
        <w:rPr>
          <w:rFonts w:ascii="宋体" w:cs="Arial" w:hAnsi="宋体" w:hint="eastAsia"/>
          <w:b/>
          <w:color w:val="000000"/>
          <w:kern w:val="0"/>
          <w:sz w:val="24"/>
        </w:rPr>
        <w:t>报告期末投资组合平均剩余期限分布比例</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0" w:firstRow="0" w:lastColumn="0" w:lastRow="0" w:noHBand="0" w:noVBand="0" w:val="0000"/>
      </w:tblPr>
      <w:tblGrid>
        <w:gridCol w:w="851"/>
        <w:gridCol w:w="3351"/>
        <w:gridCol w:w="2529"/>
        <w:gridCol w:w="2431"/>
      </w:tblGrid>
      <w:tr w:rsidR="00EA3F40" w:rsidRPr="0097021E" w:rsidTr="00C526E2">
        <w:tc>
          <w:tcPr>
            <w:tcW w:type="dxa" w:w="851"/>
            <w:vAlign w:val="center"/>
          </w:tcPr>
          <w:p w:rsidP="00196812" w:rsidR="00EA3F40" w:rsidRDefault="00EA3F40" w:rsidRPr="007A1ACF">
            <w:pPr>
              <w:autoSpaceDE w:val="0"/>
              <w:autoSpaceDN w:val="0"/>
              <w:adjustRightInd w:val="0"/>
              <w:spacing w:before="29" w:line="360" w:lineRule="auto"/>
              <w:ind w:left="15"/>
              <w:jc w:val="center"/>
              <w:rPr>
                <w:color w:val="000000"/>
                <w:kern w:val="0"/>
                <w:sz w:val="24"/>
              </w:rPr>
            </w:pPr>
            <w:r w:rsidRPr="007A1ACF">
              <w:rPr>
                <w:color w:val="000000"/>
                <w:kern w:val="0"/>
                <w:sz w:val="24"/>
              </w:rPr>
              <w:t>序号</w:t>
            </w:r>
          </w:p>
        </w:tc>
        <w:tc>
          <w:tcPr>
            <w:tcW w:type="dxa" w:w="3351"/>
            <w:vAlign w:val="center"/>
          </w:tcPr>
          <w:p w:rsidP="00196812" w:rsidR="00EA3F40" w:rsidRDefault="00EA3F40" w:rsidRPr="007A1ACF">
            <w:pPr>
              <w:autoSpaceDE w:val="0"/>
              <w:autoSpaceDN w:val="0"/>
              <w:adjustRightInd w:val="0"/>
              <w:spacing w:before="29" w:line="360" w:lineRule="auto"/>
              <w:ind w:left="15"/>
              <w:jc w:val="center"/>
              <w:rPr>
                <w:color w:val="000000"/>
                <w:kern w:val="0"/>
                <w:sz w:val="24"/>
              </w:rPr>
            </w:pPr>
            <w:r w:rsidRPr="007A1ACF">
              <w:rPr>
                <w:color w:val="000000"/>
                <w:kern w:val="0"/>
                <w:sz w:val="24"/>
              </w:rPr>
              <w:t>平均剩余期限</w:t>
            </w:r>
            <w:r w:rsidRPr="007A1ACF">
              <w:rPr>
                <w:color w:val="000000"/>
                <w:kern w:val="0"/>
                <w:sz w:val="24"/>
              </w:rPr>
              <w:t/>
            </w:r>
          </w:p>
        </w:tc>
        <w:tc>
          <w:tcPr>
            <w:tcW w:type="dxa" w:w="2529"/>
            <w:vAlign w:val="center"/>
          </w:tcPr>
          <w:p w:rsidP="00196812" w:rsidR="00EA3F40" w:rsidRDefault="00EA3F40" w:rsidRPr="007A1ACF">
            <w:pPr>
              <w:autoSpaceDE w:val="0"/>
              <w:autoSpaceDN w:val="0"/>
              <w:adjustRightInd w:val="0"/>
              <w:spacing w:before="29" w:line="360" w:lineRule="auto"/>
              <w:ind w:left="15"/>
              <w:jc w:val="center"/>
              <w:rPr>
                <w:color w:val="000000"/>
                <w:kern w:val="0"/>
                <w:sz w:val="24"/>
              </w:rPr>
            </w:pPr>
            <w:r w:rsidRPr="007A1ACF">
              <w:rPr>
                <w:color w:val="000000"/>
                <w:kern w:val="0"/>
                <w:sz w:val="24"/>
              </w:rPr>
              <w:t>各期限资产占基金资产净值的比例（</w:t>
            </w:r>
            <w:r w:rsidRPr="007A1ACF">
              <w:rPr>
                <w:color w:val="000000"/>
                <w:kern w:val="0"/>
                <w:sz w:val="24"/>
              </w:rPr>
              <w:t>%</w:t>
            </w:r>
            <w:r w:rsidRPr="007A1ACF">
              <w:rPr>
                <w:color w:val="000000"/>
                <w:kern w:val="0"/>
                <w:sz w:val="24"/>
              </w:rPr>
              <w:t>）</w:t>
            </w:r>
          </w:p>
        </w:tc>
        <w:tc>
          <w:tcPr>
            <w:tcW w:type="dxa" w:w="2431"/>
            <w:vAlign w:val="center"/>
          </w:tcPr>
          <w:p w:rsidP="00196812" w:rsidR="00EA3F40" w:rsidRDefault="00EA3F40" w:rsidRPr="007A1ACF">
            <w:pPr>
              <w:autoSpaceDE w:val="0"/>
              <w:autoSpaceDN w:val="0"/>
              <w:adjustRightInd w:val="0"/>
              <w:spacing w:before="29" w:line="360" w:lineRule="auto"/>
              <w:ind w:left="15"/>
              <w:jc w:val="center"/>
              <w:rPr>
                <w:color w:val="000000"/>
                <w:kern w:val="0"/>
                <w:sz w:val="24"/>
              </w:rPr>
            </w:pPr>
            <w:r w:rsidRPr="007A1ACF">
              <w:rPr>
                <w:color w:val="000000"/>
                <w:kern w:val="0"/>
                <w:sz w:val="24"/>
              </w:rPr>
              <w:t>各期限负债占基金资产净值的比例（％）</w:t>
            </w:r>
          </w:p>
        </w:tc>
      </w:tr>
      <w:tr w:rsidR="00EA3F40" w:rsidRPr="0097021E" w:rsidTr="00C526E2">
        <w:tc>
          <w:tcPr>
            <w:tcW w:type="dxa" w:w="851"/>
            <w:vAlign w:val="center"/>
          </w:tcPr>
          <w:p w:rsidP="00196812" w:rsidR="00EA3F40" w:rsidRDefault="00EA3F40" w:rsidRPr="007A1ACF">
            <w:pPr>
              <w:autoSpaceDE w:val="0"/>
              <w:autoSpaceDN w:val="0"/>
              <w:adjustRightInd w:val="0"/>
              <w:spacing w:before="29" w:line="360" w:lineRule="auto"/>
              <w:ind w:left="15"/>
              <w:jc w:val="center"/>
              <w:rPr>
                <w:color w:val="000000"/>
                <w:kern w:val="0"/>
                <w:sz w:val="24"/>
              </w:rPr>
            </w:pPr>
            <w:r w:rsidRPr="007A1ACF">
              <w:rPr>
                <w:color w:val="000000"/>
                <w:sz w:val="24"/>
              </w:rPr>
              <w:t>1</w:t>
            </w:r>
          </w:p>
        </w:tc>
        <w:tc>
          <w:tcPr>
            <w:tcW w:type="dxa" w:w="3351"/>
            <w:vAlign w:val="center"/>
          </w:tcPr>
          <w:p w:rsidP="00196812" w:rsidR="00EA3F40" w:rsidRDefault="00EA3F40" w:rsidRPr="007A1ACF">
            <w:pPr>
              <w:autoSpaceDE w:val="0"/>
              <w:autoSpaceDN w:val="0"/>
              <w:adjustRightInd w:val="0"/>
              <w:spacing w:before="29" w:line="360" w:lineRule="auto"/>
              <w:ind w:left="15"/>
              <w:jc w:val="left"/>
              <w:rPr>
                <w:color w:val="000000"/>
                <w:kern w:val="0"/>
                <w:sz w:val="24"/>
              </w:rPr>
            </w:pPr>
            <w:r w:rsidRPr="007A1ACF">
              <w:rPr>
                <w:color w:val="000000"/>
                <w:sz w:val="24"/>
              </w:rPr>
              <w:t>30</w:t>
            </w:r>
            <w:r w:rsidRPr="007A1ACF">
              <w:rPr>
                <w:color w:val="000000"/>
                <w:sz w:val="24"/>
              </w:rPr>
              <w:t>天以内</w:t>
            </w:r>
          </w:p>
        </w:tc>
        <w:tc>
          <w:tcPr>
            <w:tcW w:type="dxa" w:w="2529"/>
            <w:vAlign w:val="center"/>
          </w:tcPr>
          <w:p w:rsidP="00196812" w:rsidR="00EA3F40" w:rsidRDefault="00EA3F40" w:rsidRPr="007A1ACF">
            <w:pPr>
              <w:autoSpaceDE w:val="0"/>
              <w:autoSpaceDN w:val="0"/>
              <w:adjustRightInd w:val="0"/>
              <w:spacing w:before="29" w:line="360" w:lineRule="auto"/>
              <w:ind w:left="15"/>
              <w:jc w:val="right"/>
              <w:rPr>
                <w:color w:val="000000"/>
                <w:kern w:val="0"/>
                <w:sz w:val="24"/>
              </w:rPr>
            </w:pPr>
            <w:r w:rsidRPr="007A1ACF">
              <w:rPr>
                <w:color w:val="000000"/>
                <w:sz w:val="24"/>
              </w:rPr>
              <w:t>39.46</w:t>
            </w:r>
          </w:p>
        </w:tc>
        <w:tc>
          <w:tcPr>
            <w:tcW w:type="dxa" w:w="2431"/>
            <w:vAlign w:val="center"/>
          </w:tcPr>
          <w:p w:rsidP="00196812" w:rsidR="00EA3F40" w:rsidRDefault="00EA3F40" w:rsidRPr="007A1ACF">
            <w:pPr>
              <w:autoSpaceDE w:val="0"/>
              <w:autoSpaceDN w:val="0"/>
              <w:adjustRightInd w:val="0"/>
              <w:spacing w:before="29" w:line="360" w:lineRule="auto"/>
              <w:ind w:left="15"/>
              <w:jc w:val="right"/>
              <w:rPr>
                <w:color w:val="000000"/>
                <w:kern w:val="0"/>
                <w:sz w:val="24"/>
              </w:rPr>
            </w:pPr>
            <w:r w:rsidRPr="007A1ACF">
              <w:rPr>
                <w:color w:val="000000"/>
                <w:sz w:val="24"/>
              </w:rPr>
              <w:t>4.33</w:t>
            </w:r>
          </w:p>
        </w:tc>
      </w:tr>
      <w:tr w:rsidR="00EA3F40" w:rsidRPr="0097021E" w:rsidTr="00C526E2">
        <w:tc>
          <w:tcPr>
            <w:tcW w:type="dxa" w:w="851"/>
            <w:vAlign w:val="center"/>
          </w:tcPr>
          <w:p w:rsidP="00196812" w:rsidR="00EA3F40" w:rsidRDefault="00EA3F40" w:rsidRPr="007A1ACF">
            <w:pPr>
              <w:autoSpaceDE w:val="0"/>
              <w:autoSpaceDN w:val="0"/>
              <w:adjustRightInd w:val="0"/>
              <w:spacing w:before="29" w:line="360" w:lineRule="auto"/>
              <w:ind w:left="15"/>
              <w:jc w:val="center"/>
              <w:rPr>
                <w:color w:val="000000"/>
                <w:sz w:val="24"/>
              </w:rPr>
            </w:pPr>
          </w:p>
        </w:tc>
        <w:tc>
          <w:tcPr>
            <w:tcW w:type="dxa" w:w="3351"/>
            <w:vAlign w:val="center"/>
          </w:tcPr>
          <w:p w:rsidP="00196812" w:rsidR="00EA3F40" w:rsidRDefault="00EA3F40" w:rsidRPr="007A1ACF">
            <w:pPr>
              <w:autoSpaceDE w:val="0"/>
              <w:autoSpaceDN w:val="0"/>
              <w:adjustRightInd w:val="0"/>
              <w:spacing w:before="29" w:line="360" w:lineRule="auto"/>
              <w:ind w:left="15"/>
              <w:jc w:val="left"/>
              <w:rPr>
                <w:color w:val="000000"/>
                <w:kern w:val="0"/>
                <w:sz w:val="24"/>
              </w:rPr>
            </w:pPr>
            <w:r w:rsidRPr="007A1ACF">
              <w:rPr>
                <w:color w:val="000000"/>
                <w:sz w:val="24"/>
              </w:rPr>
              <w:t>其中：剩余存续期超过</w:t>
            </w:r>
            <w:r w:rsidRPr="007A1ACF">
              <w:rPr>
                <w:color w:val="000000"/>
                <w:sz w:val="24"/>
              </w:rPr>
              <w:t>397</w:t>
            </w:r>
            <w:r w:rsidRPr="007A1ACF">
              <w:rPr>
                <w:color w:val="000000"/>
                <w:sz w:val="24"/>
              </w:rPr>
              <w:t>天的浮动利率债</w:t>
            </w:r>
          </w:p>
        </w:tc>
        <w:tc>
          <w:tcPr>
            <w:tcW w:type="dxa" w:w="2529"/>
            <w:vAlign w:val="center"/>
          </w:tcPr>
          <w:p w:rsidP="00196812" w:rsidR="00EA3F40" w:rsidRDefault="00EA3F40" w:rsidRPr="007A1ACF">
            <w:pPr>
              <w:autoSpaceDE w:val="0"/>
              <w:autoSpaceDN w:val="0"/>
              <w:adjustRightInd w:val="0"/>
              <w:spacing w:before="29" w:line="360" w:lineRule="auto"/>
              <w:ind w:left="15"/>
              <w:jc w:val="right"/>
              <w:rPr>
                <w:color w:val="000000"/>
                <w:kern w:val="0"/>
                <w:sz w:val="24"/>
              </w:rPr>
            </w:pPr>
            <w:r w:rsidRPr="007A1ACF">
              <w:rPr>
                <w:color w:val="000000"/>
                <w:sz w:val="24"/>
              </w:rPr>
              <w:t>-</w:t>
            </w:r>
          </w:p>
        </w:tc>
        <w:tc>
          <w:tcPr>
            <w:tcW w:type="dxa" w:w="2431"/>
            <w:vAlign w:val="center"/>
          </w:tcPr>
          <w:p w:rsidP="00196812" w:rsidR="00EA3F40" w:rsidRDefault="00EA3F40" w:rsidRPr="007A1ACF">
            <w:pPr>
              <w:autoSpaceDE w:val="0"/>
              <w:autoSpaceDN w:val="0"/>
              <w:adjustRightInd w:val="0"/>
              <w:spacing w:before="29" w:line="360" w:lineRule="auto"/>
              <w:ind w:left="15"/>
              <w:jc w:val="right"/>
              <w:rPr>
                <w:color w:val="000000"/>
                <w:kern w:val="0"/>
                <w:sz w:val="24"/>
              </w:rPr>
            </w:pPr>
            <w:r w:rsidRPr="007A1ACF">
              <w:rPr>
                <w:color w:val="000000"/>
                <w:sz w:val="24"/>
              </w:rPr>
              <w:t>-</w:t>
            </w:r>
          </w:p>
        </w:tc>
      </w:tr>
      <w:tr w:rsidR="00EA3F40" w:rsidRPr="0097021E" w:rsidTr="00C526E2">
        <w:tc>
          <w:tcPr>
            <w:tcW w:type="dxa" w:w="851"/>
            <w:vAlign w:val="center"/>
          </w:tcPr>
          <w:p w:rsidP="00196812" w:rsidR="00EA3F40" w:rsidRDefault="00EA3F40" w:rsidRPr="007A1ACF">
            <w:pPr>
              <w:autoSpaceDE w:val="0"/>
              <w:autoSpaceDN w:val="0"/>
              <w:adjustRightInd w:val="0"/>
              <w:spacing w:before="29" w:line="360" w:lineRule="auto"/>
              <w:ind w:left="15"/>
              <w:jc w:val="center"/>
              <w:rPr>
                <w:color w:val="000000"/>
                <w:sz w:val="24"/>
              </w:rPr>
            </w:pPr>
            <w:r w:rsidRPr="007A1ACF">
              <w:rPr>
                <w:color w:val="000000"/>
                <w:sz w:val="24"/>
              </w:rPr>
              <w:t>2</w:t>
            </w:r>
          </w:p>
        </w:tc>
        <w:tc>
          <w:tcPr>
            <w:tcW w:type="dxa" w:w="3351"/>
            <w:vAlign w:val="center"/>
          </w:tcPr>
          <w:p w:rsidP="00196812" w:rsidR="00EA3F40" w:rsidRDefault="00EA3F40" w:rsidRPr="007A1ACF">
            <w:pPr>
              <w:autoSpaceDE w:val="0"/>
              <w:autoSpaceDN w:val="0"/>
              <w:adjustRightInd w:val="0"/>
              <w:spacing w:before="29" w:line="360" w:lineRule="auto"/>
              <w:ind w:left="15"/>
              <w:jc w:val="left"/>
              <w:rPr>
                <w:color w:val="000000"/>
                <w:kern w:val="0"/>
                <w:sz w:val="24"/>
              </w:rPr>
            </w:pPr>
            <w:r w:rsidRPr="007A1ACF">
              <w:rPr>
                <w:color w:val="000000"/>
                <w:sz w:val="24"/>
              </w:rPr>
              <w:t>30</w:t>
            </w:r>
            <w:r w:rsidRPr="007A1ACF">
              <w:rPr>
                <w:color w:val="000000"/>
                <w:sz w:val="24"/>
              </w:rPr>
              <w:t>天（含）</w:t>
            </w:r>
            <w:r w:rsidRPr="007A1ACF">
              <w:rPr>
                <w:color w:val="000000"/>
                <w:sz w:val="24"/>
              </w:rPr>
              <w:t>—60</w:t>
            </w:r>
            <w:r w:rsidRPr="007A1ACF">
              <w:rPr>
                <w:color w:val="000000"/>
                <w:sz w:val="24"/>
              </w:rPr>
              <w:t>天</w:t>
            </w:r>
          </w:p>
        </w:tc>
        <w:tc>
          <w:tcPr>
            <w:tcW w:type="dxa" w:w="2529"/>
            <w:vAlign w:val="center"/>
          </w:tcPr>
          <w:p w:rsidP="00196812" w:rsidR="00EA3F40" w:rsidRDefault="00EA3F40" w:rsidRPr="007A1ACF">
            <w:pPr>
              <w:autoSpaceDE w:val="0"/>
              <w:autoSpaceDN w:val="0"/>
              <w:adjustRightInd w:val="0"/>
              <w:spacing w:before="29" w:line="360" w:lineRule="auto"/>
              <w:ind w:left="15"/>
              <w:jc w:val="right"/>
              <w:rPr>
                <w:color w:val="000000"/>
                <w:kern w:val="0"/>
                <w:sz w:val="24"/>
              </w:rPr>
            </w:pPr>
            <w:r w:rsidRPr="007A1ACF">
              <w:rPr>
                <w:color w:val="000000"/>
                <w:sz w:val="24"/>
              </w:rPr>
              <w:t/>
            </w:r>
            <w:r w:rsidRPr="007A1ACF">
              <w:rPr>
                <w:color w:val="000000"/>
                <w:sz w:val="24"/>
              </w:rPr>
              <w:lastRenderedPageBreak/>
              <w:t>10.44</w:t>
            </w:r>
          </w:p>
        </w:tc>
        <w:tc>
          <w:tcPr>
            <w:tcW w:type="dxa" w:w="2431"/>
            <w:vAlign w:val="center"/>
          </w:tcPr>
          <w:p w:rsidP="00196812" w:rsidR="00EA3F40" w:rsidRDefault="00EA3F40" w:rsidRPr="007A1ACF">
            <w:pPr>
              <w:autoSpaceDE w:val="0"/>
              <w:autoSpaceDN w:val="0"/>
              <w:adjustRightInd w:val="0"/>
              <w:spacing w:before="29" w:line="360" w:lineRule="auto"/>
              <w:ind w:left="15"/>
              <w:jc w:val="right"/>
              <w:rPr>
                <w:color w:val="000000"/>
                <w:kern w:val="0"/>
                <w:sz w:val="24"/>
              </w:rPr>
            </w:pPr>
            <w:r w:rsidRPr="007A1ACF">
              <w:rPr>
                <w:color w:val="000000"/>
                <w:sz w:val="24"/>
              </w:rPr>
              <w:lastRenderedPageBreak/>
              <w:t/>
            </w:r>
            <w:r w:rsidRPr="007A1ACF">
              <w:rPr>
                <w:color w:val="000000"/>
                <w:sz w:val="24"/>
              </w:rPr>
              <w:lastRenderedPageBreak/>
              <w:t>-</w:t>
            </w:r>
          </w:p>
        </w:tc>
      </w:tr>
      <w:tr w:rsidR="00EA3F40" w:rsidRPr="0097021E" w:rsidTr="00C526E2">
        <w:tc>
          <w:tcPr>
            <w:tcW w:type="dxa" w:w="851"/>
            <w:vAlign w:val="center"/>
          </w:tcPr>
          <w:p w:rsidP="00196812" w:rsidR="00EA3F40" w:rsidRDefault="00EA3F40" w:rsidRPr="007A1ACF">
            <w:pPr>
              <w:autoSpaceDE w:val="0"/>
              <w:autoSpaceDN w:val="0"/>
              <w:adjustRightInd w:val="0"/>
              <w:spacing w:before="29" w:line="360" w:lineRule="auto"/>
              <w:ind w:left="15"/>
              <w:jc w:val="center"/>
              <w:rPr>
                <w:color w:val="000000"/>
                <w:sz w:val="24"/>
              </w:rPr>
            </w:pPr>
          </w:p>
        </w:tc>
        <w:tc>
          <w:tcPr>
            <w:tcW w:type="dxa" w:w="3351"/>
            <w:vAlign w:val="center"/>
          </w:tcPr>
          <w:p w:rsidP="00196812" w:rsidR="00EA3F40" w:rsidRDefault="00EA3F40" w:rsidRPr="007A1ACF">
            <w:pPr>
              <w:autoSpaceDE w:val="0"/>
              <w:autoSpaceDN w:val="0"/>
              <w:adjustRightInd w:val="0"/>
              <w:spacing w:before="29" w:line="360" w:lineRule="auto"/>
              <w:ind w:left="15"/>
              <w:jc w:val="left"/>
              <w:rPr>
                <w:color w:val="000000"/>
                <w:kern w:val="0"/>
                <w:sz w:val="24"/>
              </w:rPr>
            </w:pPr>
            <w:r w:rsidRPr="007A1ACF">
              <w:rPr>
                <w:color w:val="000000"/>
                <w:sz w:val="24"/>
              </w:rPr>
              <w:t>其中：剩余存续期超过</w:t>
            </w:r>
            <w:r w:rsidRPr="007A1ACF">
              <w:rPr>
                <w:color w:val="000000"/>
                <w:sz w:val="24"/>
              </w:rPr>
              <w:t>397</w:t>
            </w:r>
            <w:r w:rsidRPr="007A1ACF">
              <w:rPr>
                <w:color w:val="000000"/>
                <w:sz w:val="24"/>
              </w:rPr>
              <w:t>天的浮动利率债</w:t>
            </w:r>
          </w:p>
        </w:tc>
        <w:tc>
          <w:tcPr>
            <w:tcW w:type="dxa" w:w="2529"/>
            <w:vAlign w:val="center"/>
          </w:tcPr>
          <w:p w:rsidP="00196812" w:rsidR="00EA3F40" w:rsidRDefault="00EA3F40" w:rsidRPr="007A1ACF">
            <w:pPr>
              <w:autoSpaceDE w:val="0"/>
              <w:autoSpaceDN w:val="0"/>
              <w:adjustRightInd w:val="0"/>
              <w:spacing w:before="29" w:line="360" w:lineRule="auto"/>
              <w:ind w:left="15"/>
              <w:jc w:val="right"/>
              <w:rPr>
                <w:color w:val="000000"/>
                <w:kern w:val="0"/>
                <w:sz w:val="24"/>
              </w:rPr>
            </w:pPr>
            <w:r w:rsidRPr="007A1ACF">
              <w:rPr>
                <w:color w:val="000000"/>
                <w:sz w:val="24"/>
              </w:rPr>
              <w:t>-</w:t>
            </w:r>
          </w:p>
        </w:tc>
        <w:tc>
          <w:tcPr>
            <w:tcW w:type="dxa" w:w="2431"/>
            <w:vAlign w:val="center"/>
          </w:tcPr>
          <w:p w:rsidP="00196812" w:rsidR="00EA3F40" w:rsidRDefault="00EA3F40" w:rsidRPr="007A1ACF">
            <w:pPr>
              <w:autoSpaceDE w:val="0"/>
              <w:autoSpaceDN w:val="0"/>
              <w:adjustRightInd w:val="0"/>
              <w:spacing w:before="29" w:line="360" w:lineRule="auto"/>
              <w:ind w:left="15"/>
              <w:jc w:val="right"/>
              <w:rPr>
                <w:color w:val="000000"/>
                <w:kern w:val="0"/>
                <w:sz w:val="24"/>
              </w:rPr>
            </w:pPr>
            <w:r w:rsidRPr="007A1ACF">
              <w:rPr>
                <w:color w:val="000000"/>
                <w:sz w:val="24"/>
              </w:rPr>
              <w:t>-</w:t>
            </w:r>
          </w:p>
        </w:tc>
      </w:tr>
      <w:tr w:rsidR="00EA3F40" w:rsidRPr="0097021E" w:rsidTr="00C526E2">
        <w:tc>
          <w:tcPr>
            <w:tcW w:type="dxa" w:w="851"/>
            <w:vAlign w:val="center"/>
          </w:tcPr>
          <w:p w:rsidP="00196812" w:rsidR="00EA3F40" w:rsidRDefault="00EA3F40" w:rsidRPr="007A1ACF">
            <w:pPr>
              <w:autoSpaceDE w:val="0"/>
              <w:autoSpaceDN w:val="0"/>
              <w:adjustRightInd w:val="0"/>
              <w:spacing w:before="29" w:line="360" w:lineRule="auto"/>
              <w:ind w:left="15"/>
              <w:jc w:val="center"/>
              <w:rPr>
                <w:color w:val="000000"/>
                <w:sz w:val="24"/>
              </w:rPr>
            </w:pPr>
            <w:r w:rsidRPr="007A1ACF">
              <w:rPr>
                <w:color w:val="000000"/>
                <w:sz w:val="24"/>
              </w:rPr>
              <w:t>3</w:t>
            </w:r>
          </w:p>
        </w:tc>
        <w:tc>
          <w:tcPr>
            <w:tcW w:type="dxa" w:w="3351"/>
            <w:vAlign w:val="center"/>
          </w:tcPr>
          <w:p w:rsidP="00196812" w:rsidR="00EA3F40" w:rsidRDefault="00EA3F40" w:rsidRPr="007A1ACF">
            <w:pPr>
              <w:autoSpaceDE w:val="0"/>
              <w:autoSpaceDN w:val="0"/>
              <w:adjustRightInd w:val="0"/>
              <w:spacing w:before="29" w:line="360" w:lineRule="auto"/>
              <w:ind w:left="15"/>
              <w:jc w:val="left"/>
              <w:rPr>
                <w:color w:val="000000"/>
                <w:sz w:val="24"/>
              </w:rPr>
            </w:pPr>
            <w:r w:rsidRPr="007A1ACF">
              <w:rPr>
                <w:color w:val="000000"/>
                <w:sz w:val="24"/>
              </w:rPr>
              <w:t>60</w:t>
            </w:r>
            <w:r w:rsidRPr="007A1ACF">
              <w:rPr>
                <w:color w:val="000000"/>
                <w:sz w:val="24"/>
              </w:rPr>
              <w:t>天（含）</w:t>
            </w:r>
            <w:r w:rsidRPr="007A1ACF">
              <w:rPr>
                <w:color w:val="000000"/>
                <w:sz w:val="24"/>
              </w:rPr>
              <w:t>—90</w:t>
            </w:r>
            <w:r w:rsidRPr="007A1ACF">
              <w:rPr>
                <w:color w:val="000000"/>
                <w:sz w:val="24"/>
              </w:rPr>
              <w:t>天</w:t>
            </w:r>
          </w:p>
        </w:tc>
        <w:tc>
          <w:tcPr>
            <w:tcW w:type="dxa" w:w="2529"/>
            <w:vAlign w:val="center"/>
          </w:tcPr>
          <w:p w:rsidP="00196812" w:rsidR="00EA3F40" w:rsidRDefault="00EA3F40" w:rsidRPr="007A1ACF">
            <w:pPr>
              <w:autoSpaceDE w:val="0"/>
              <w:autoSpaceDN w:val="0"/>
              <w:adjustRightInd w:val="0"/>
              <w:spacing w:before="29" w:line="360" w:lineRule="auto"/>
              <w:ind w:left="15"/>
              <w:jc w:val="right"/>
              <w:rPr>
                <w:color w:val="000000"/>
                <w:kern w:val="0"/>
                <w:sz w:val="24"/>
              </w:rPr>
            </w:pPr>
            <w:r w:rsidRPr="007A1ACF">
              <w:rPr>
                <w:color w:val="000000"/>
                <w:sz w:val="24"/>
              </w:rPr>
              <w:t>30.27</w:t>
            </w:r>
          </w:p>
        </w:tc>
        <w:tc>
          <w:tcPr>
            <w:tcW w:type="dxa" w:w="2431"/>
            <w:vAlign w:val="center"/>
          </w:tcPr>
          <w:p w:rsidP="00196812" w:rsidR="00EA3F40" w:rsidRDefault="00EA3F40" w:rsidRPr="007A1ACF">
            <w:pPr>
              <w:autoSpaceDE w:val="0"/>
              <w:autoSpaceDN w:val="0"/>
              <w:adjustRightInd w:val="0"/>
              <w:spacing w:before="29" w:line="360" w:lineRule="auto"/>
              <w:ind w:left="15"/>
              <w:jc w:val="right"/>
              <w:rPr>
                <w:color w:val="000000"/>
                <w:kern w:val="0"/>
                <w:sz w:val="24"/>
              </w:rPr>
            </w:pPr>
            <w:r w:rsidRPr="007A1ACF">
              <w:rPr>
                <w:color w:val="000000"/>
                <w:sz w:val="24"/>
              </w:rPr>
              <w:t>-</w:t>
            </w:r>
          </w:p>
        </w:tc>
      </w:tr>
      <w:tr w:rsidR="00EA3F40" w:rsidRPr="0097021E" w:rsidTr="00C526E2">
        <w:tc>
          <w:tcPr>
            <w:tcW w:type="dxa" w:w="851"/>
            <w:vAlign w:val="center"/>
          </w:tcPr>
          <w:p w:rsidP="00196812" w:rsidR="00EA3F40" w:rsidRDefault="00EA3F40" w:rsidRPr="007A1ACF">
            <w:pPr>
              <w:autoSpaceDE w:val="0"/>
              <w:autoSpaceDN w:val="0"/>
              <w:adjustRightInd w:val="0"/>
              <w:spacing w:before="29" w:line="360" w:lineRule="auto"/>
              <w:ind w:left="15"/>
              <w:jc w:val="center"/>
              <w:rPr>
                <w:color w:val="000000"/>
                <w:sz w:val="24"/>
              </w:rPr>
            </w:pPr>
          </w:p>
        </w:tc>
        <w:tc>
          <w:tcPr>
            <w:tcW w:type="dxa" w:w="3351"/>
            <w:vAlign w:val="center"/>
          </w:tcPr>
          <w:p w:rsidP="00196812" w:rsidR="00EA3F40" w:rsidRDefault="00EA3F40" w:rsidRPr="007A1ACF">
            <w:pPr>
              <w:autoSpaceDE w:val="0"/>
              <w:autoSpaceDN w:val="0"/>
              <w:adjustRightInd w:val="0"/>
              <w:spacing w:before="29" w:line="360" w:lineRule="auto"/>
              <w:ind w:left="15"/>
              <w:jc w:val="left"/>
              <w:rPr>
                <w:color w:val="000000"/>
                <w:sz w:val="24"/>
              </w:rPr>
            </w:pPr>
            <w:r w:rsidRPr="007A1ACF">
              <w:rPr>
                <w:color w:val="000000"/>
                <w:sz w:val="24"/>
              </w:rPr>
              <w:t>其中：剩余存续期超过</w:t>
            </w:r>
            <w:r w:rsidRPr="007A1ACF">
              <w:rPr>
                <w:color w:val="000000"/>
                <w:sz w:val="24"/>
              </w:rPr>
              <w:t>397</w:t>
            </w:r>
            <w:r w:rsidRPr="007A1ACF">
              <w:rPr>
                <w:color w:val="000000"/>
                <w:sz w:val="24"/>
              </w:rPr>
              <w:t>天的浮动利率债</w:t>
            </w:r>
          </w:p>
        </w:tc>
        <w:tc>
          <w:tcPr>
            <w:tcW w:type="dxa" w:w="2529"/>
            <w:vAlign w:val="center"/>
          </w:tcPr>
          <w:p w:rsidP="00196812" w:rsidR="00EA3F40" w:rsidRDefault="00EA3F40" w:rsidRPr="007A1ACF">
            <w:pPr>
              <w:autoSpaceDE w:val="0"/>
              <w:autoSpaceDN w:val="0"/>
              <w:adjustRightInd w:val="0"/>
              <w:spacing w:before="29" w:line="360" w:lineRule="auto"/>
              <w:ind w:left="15"/>
              <w:jc w:val="right"/>
              <w:rPr>
                <w:color w:val="000000"/>
                <w:kern w:val="0"/>
                <w:sz w:val="24"/>
              </w:rPr>
            </w:pPr>
            <w:r w:rsidRPr="007A1ACF">
              <w:rPr>
                <w:color w:val="000000"/>
                <w:sz w:val="24"/>
              </w:rPr>
              <w:t>-</w:t>
            </w:r>
          </w:p>
        </w:tc>
        <w:tc>
          <w:tcPr>
            <w:tcW w:type="dxa" w:w="2431"/>
            <w:vAlign w:val="center"/>
          </w:tcPr>
          <w:p w:rsidP="00196812" w:rsidR="00EA3F40" w:rsidRDefault="00EA3F40" w:rsidRPr="007A1ACF">
            <w:pPr>
              <w:autoSpaceDE w:val="0"/>
              <w:autoSpaceDN w:val="0"/>
              <w:adjustRightInd w:val="0"/>
              <w:spacing w:before="29" w:line="360" w:lineRule="auto"/>
              <w:ind w:left="15"/>
              <w:jc w:val="right"/>
              <w:rPr>
                <w:color w:val="000000"/>
                <w:kern w:val="0"/>
                <w:sz w:val="24"/>
              </w:rPr>
            </w:pPr>
            <w:r w:rsidRPr="007A1ACF">
              <w:rPr>
                <w:color w:val="000000"/>
                <w:sz w:val="24"/>
              </w:rPr>
              <w:t>-</w:t>
            </w:r>
          </w:p>
        </w:tc>
      </w:tr>
      <w:tr w:rsidR="00546492" w:rsidRPr="0097021E" w:rsidTr="00C526E2">
        <w:tc>
          <w:tcPr>
            <w:tcW w:type="dxa" w:w="851"/>
            <w:vAlign w:val="center"/>
          </w:tcPr>
          <w:p w:rsidP="00196812" w:rsidR="00546492" w:rsidRDefault="00546492" w:rsidRPr="007A1ACF">
            <w:pPr>
              <w:autoSpaceDE w:val="0"/>
              <w:autoSpaceDN w:val="0"/>
              <w:adjustRightInd w:val="0"/>
              <w:spacing w:before="29" w:line="360" w:lineRule="auto"/>
              <w:ind w:left="15"/>
              <w:jc w:val="center"/>
              <w:rPr>
                <w:color w:val="000000"/>
                <w:sz w:val="24"/>
              </w:rPr>
            </w:pPr>
            <w:r w:rsidRPr="007A1ACF">
              <w:rPr>
                <w:color w:val="000000"/>
                <w:sz w:val="24"/>
              </w:rPr>
              <w:t>4</w:t>
            </w:r>
          </w:p>
        </w:tc>
        <w:tc>
          <w:tcPr>
            <w:tcW w:type="dxa" w:w="3351"/>
            <w:vAlign w:val="center"/>
          </w:tcPr>
          <w:p w:rsidP="00546492" w:rsidR="00546492" w:rsidRDefault="00546492" w:rsidRPr="009F2322">
            <w:pPr>
              <w:autoSpaceDE w:val="0"/>
              <w:autoSpaceDN w:val="0"/>
              <w:adjustRightInd w:val="0"/>
              <w:spacing w:before="29" w:line="360" w:lineRule="auto"/>
              <w:ind w:left="15"/>
              <w:jc w:val="left"/>
              <w:rPr>
                <w:color w:val="000000"/>
                <w:sz w:val="24"/>
              </w:rPr>
            </w:pPr>
            <w:r w:rsidRPr="009F2322">
              <w:rPr>
                <w:color w:val="000000"/>
                <w:sz w:val="24"/>
              </w:rPr>
              <w:t>90</w:t>
            </w:r>
            <w:r w:rsidRPr="009F2322">
              <w:rPr>
                <w:color w:val="000000"/>
                <w:sz w:val="24"/>
              </w:rPr>
              <w:t>天（含）</w:t>
            </w:r>
            <w:r w:rsidRPr="009F2322">
              <w:rPr>
                <w:color w:val="000000"/>
                <w:sz w:val="24"/>
              </w:rPr>
              <w:t>—120</w:t>
            </w:r>
            <w:r w:rsidRPr="009F2322">
              <w:rPr>
                <w:color w:val="000000"/>
                <w:sz w:val="24"/>
              </w:rPr>
              <w:t>天</w:t>
            </w:r>
          </w:p>
        </w:tc>
        <w:tc>
          <w:tcPr>
            <w:tcW w:type="dxa" w:w="2529"/>
            <w:vAlign w:val="center"/>
          </w:tcPr>
          <w:p w:rsidP="00546492" w:rsidR="00546492" w:rsidRDefault="00546492" w:rsidRPr="009F2322">
            <w:pPr>
              <w:autoSpaceDE w:val="0"/>
              <w:autoSpaceDN w:val="0"/>
              <w:adjustRightInd w:val="0"/>
              <w:spacing w:before="29" w:line="360" w:lineRule="auto"/>
              <w:ind w:left="15"/>
              <w:jc w:val="right"/>
              <w:rPr>
                <w:color w:val="000000"/>
                <w:kern w:val="0"/>
                <w:sz w:val="24"/>
              </w:rPr>
            </w:pPr>
            <w:r w:rsidRPr="009F2322">
              <w:rPr>
                <w:color w:val="000000"/>
                <w:sz w:val="24"/>
              </w:rPr>
              <w:t>5.24</w:t>
            </w:r>
          </w:p>
        </w:tc>
        <w:tc>
          <w:tcPr>
            <w:tcW w:type="dxa" w:w="2431"/>
            <w:vAlign w:val="center"/>
          </w:tcPr>
          <w:p w:rsidP="00546492" w:rsidR="00546492" w:rsidRDefault="00546492" w:rsidRPr="009F2322">
            <w:pPr>
              <w:autoSpaceDE w:val="0"/>
              <w:autoSpaceDN w:val="0"/>
              <w:adjustRightInd w:val="0"/>
              <w:spacing w:before="29" w:line="360" w:lineRule="auto"/>
              <w:ind w:left="15"/>
              <w:jc w:val="right"/>
              <w:rPr>
                <w:color w:val="000000"/>
                <w:kern w:val="0"/>
                <w:sz w:val="24"/>
              </w:rPr>
            </w:pPr>
            <w:r w:rsidRPr="009F2322">
              <w:rPr>
                <w:color w:val="000000"/>
                <w:sz w:val="24"/>
              </w:rPr>
              <w:t>-</w:t>
            </w:r>
          </w:p>
        </w:tc>
      </w:tr>
      <w:tr w:rsidR="00546492" w:rsidRPr="0097021E" w:rsidTr="00C526E2">
        <w:tc>
          <w:tcPr>
            <w:tcW w:type="dxa" w:w="851"/>
            <w:vAlign w:val="center"/>
          </w:tcPr>
          <w:p w:rsidP="00196812" w:rsidR="00546492" w:rsidRDefault="00546492" w:rsidRPr="007A1ACF">
            <w:pPr>
              <w:autoSpaceDE w:val="0"/>
              <w:autoSpaceDN w:val="0"/>
              <w:adjustRightInd w:val="0"/>
              <w:spacing w:before="29" w:line="360" w:lineRule="auto"/>
              <w:ind w:left="15"/>
              <w:jc w:val="center"/>
              <w:rPr>
                <w:color w:val="000000"/>
                <w:sz w:val="24"/>
              </w:rPr>
            </w:pPr>
          </w:p>
        </w:tc>
        <w:tc>
          <w:tcPr>
            <w:tcW w:type="dxa" w:w="3351"/>
            <w:vAlign w:val="center"/>
          </w:tcPr>
          <w:p w:rsidP="00546492" w:rsidR="00546492" w:rsidRDefault="00546492" w:rsidRPr="009F2322">
            <w:pPr>
              <w:autoSpaceDE w:val="0"/>
              <w:autoSpaceDN w:val="0"/>
              <w:adjustRightInd w:val="0"/>
              <w:spacing w:before="29" w:line="360" w:lineRule="auto"/>
              <w:ind w:left="15"/>
              <w:jc w:val="left"/>
              <w:rPr>
                <w:color w:val="000000"/>
                <w:sz w:val="24"/>
              </w:rPr>
            </w:pPr>
            <w:r w:rsidRPr="009F2322">
              <w:rPr>
                <w:color w:val="000000"/>
                <w:sz w:val="24"/>
              </w:rPr>
              <w:t>其中：剩余存续期超过</w:t>
            </w:r>
            <w:r w:rsidRPr="009F2322">
              <w:rPr>
                <w:color w:val="000000"/>
                <w:sz w:val="24"/>
              </w:rPr>
              <w:t>397</w:t>
            </w:r>
            <w:r w:rsidRPr="009F2322">
              <w:rPr>
                <w:color w:val="000000"/>
                <w:sz w:val="24"/>
              </w:rPr>
              <w:t>天的浮动利率债</w:t>
            </w:r>
          </w:p>
        </w:tc>
        <w:tc>
          <w:tcPr>
            <w:tcW w:type="dxa" w:w="2529"/>
            <w:vAlign w:val="center"/>
          </w:tcPr>
          <w:p w:rsidP="00546492" w:rsidR="00546492" w:rsidRDefault="00546492" w:rsidRPr="009F2322">
            <w:pPr>
              <w:autoSpaceDE w:val="0"/>
              <w:autoSpaceDN w:val="0"/>
              <w:adjustRightInd w:val="0"/>
              <w:spacing w:before="29" w:line="360" w:lineRule="auto"/>
              <w:ind w:left="15"/>
              <w:jc w:val="right"/>
              <w:rPr>
                <w:color w:val="000000"/>
                <w:kern w:val="0"/>
                <w:sz w:val="24"/>
              </w:rPr>
            </w:pPr>
            <w:r w:rsidRPr="009F2322">
              <w:rPr>
                <w:color w:val="000000"/>
                <w:sz w:val="24"/>
              </w:rPr>
              <w:t>-</w:t>
            </w:r>
          </w:p>
        </w:tc>
        <w:tc>
          <w:tcPr>
            <w:tcW w:type="dxa" w:w="2431"/>
            <w:vAlign w:val="center"/>
          </w:tcPr>
          <w:p w:rsidP="00546492" w:rsidR="00546492" w:rsidRDefault="00546492" w:rsidRPr="009F2322">
            <w:pPr>
              <w:autoSpaceDE w:val="0"/>
              <w:autoSpaceDN w:val="0"/>
              <w:adjustRightInd w:val="0"/>
              <w:spacing w:before="29" w:line="360" w:lineRule="auto"/>
              <w:ind w:left="15"/>
              <w:jc w:val="right"/>
              <w:rPr>
                <w:color w:val="000000"/>
                <w:kern w:val="0"/>
                <w:sz w:val="24"/>
              </w:rPr>
            </w:pPr>
            <w:r w:rsidRPr="009F2322">
              <w:rPr>
                <w:color w:val="000000"/>
                <w:sz w:val="24"/>
              </w:rPr>
              <w:t>-</w:t>
            </w:r>
          </w:p>
        </w:tc>
      </w:tr>
      <w:tr w:rsidR="00546492" w:rsidRPr="0097021E" w:rsidTr="00C526E2">
        <w:tc>
          <w:tcPr>
            <w:tcW w:type="dxa" w:w="851"/>
            <w:vAlign w:val="center"/>
          </w:tcPr>
          <w:p w:rsidP="00196812" w:rsidR="00546492" w:rsidRDefault="00546492" w:rsidRPr="007A1ACF">
            <w:pPr>
              <w:autoSpaceDE w:val="0"/>
              <w:autoSpaceDN w:val="0"/>
              <w:adjustRightInd w:val="0"/>
              <w:spacing w:before="29" w:line="360" w:lineRule="auto"/>
              <w:ind w:left="15"/>
              <w:jc w:val="center"/>
              <w:rPr>
                <w:color w:val="000000"/>
                <w:sz w:val="24"/>
              </w:rPr>
            </w:pPr>
            <w:r w:rsidRPr="007A1ACF">
              <w:rPr>
                <w:color w:val="000000"/>
                <w:sz w:val="24"/>
              </w:rPr>
              <w:t>5</w:t>
            </w:r>
          </w:p>
        </w:tc>
        <w:tc>
          <w:tcPr>
            <w:tcW w:type="dxa" w:w="3351"/>
            <w:vAlign w:val="center"/>
          </w:tcPr>
          <w:p w:rsidP="00546492" w:rsidR="00546492" w:rsidRDefault="00546492" w:rsidRPr="009F2322">
            <w:pPr>
              <w:autoSpaceDE w:val="0"/>
              <w:autoSpaceDN w:val="0"/>
              <w:adjustRightInd w:val="0"/>
              <w:spacing w:before="29" w:line="360" w:lineRule="auto"/>
              <w:ind w:left="15"/>
              <w:jc w:val="left"/>
              <w:rPr>
                <w:color w:val="000000"/>
                <w:sz w:val="24"/>
              </w:rPr>
            </w:pPr>
            <w:r w:rsidRPr="009F2322">
              <w:rPr>
                <w:color w:val="000000"/>
                <w:sz w:val="24"/>
              </w:rPr>
              <w:t>120</w:t>
            </w:r>
            <w:r w:rsidRPr="009F2322">
              <w:rPr>
                <w:color w:val="000000"/>
                <w:sz w:val="24"/>
              </w:rPr>
              <w:t>天（含）</w:t>
            </w:r>
            <w:r w:rsidRPr="009F2322">
              <w:rPr>
                <w:color w:val="000000"/>
                <w:sz w:val="24"/>
              </w:rPr>
              <w:t>—397</w:t>
            </w:r>
            <w:r w:rsidRPr="009F2322">
              <w:rPr>
                <w:color w:val="000000"/>
                <w:sz w:val="24"/>
              </w:rPr>
              <w:t>天（含）</w:t>
            </w:r>
          </w:p>
        </w:tc>
        <w:tc>
          <w:tcPr>
            <w:tcW w:type="dxa" w:w="2529"/>
            <w:vAlign w:val="center"/>
          </w:tcPr>
          <w:p w:rsidP="00546492" w:rsidR="00546492" w:rsidRDefault="00546492" w:rsidRPr="009F2322">
            <w:pPr>
              <w:autoSpaceDE w:val="0"/>
              <w:autoSpaceDN w:val="0"/>
              <w:adjustRightInd w:val="0"/>
              <w:spacing w:before="29" w:line="360" w:lineRule="auto"/>
              <w:ind w:left="15"/>
              <w:jc w:val="right"/>
              <w:rPr>
                <w:color w:val="000000"/>
                <w:kern w:val="0"/>
                <w:sz w:val="24"/>
              </w:rPr>
            </w:pPr>
            <w:r w:rsidRPr="009F2322">
              <w:rPr>
                <w:color w:val="000000"/>
                <w:sz w:val="24"/>
              </w:rPr>
              <w:t/>
            </w:r>
            <w:r w:rsidRPr="009F2322">
              <w:rPr>
                <w:color w:val="000000"/>
                <w:sz w:val="24"/>
              </w:rPr>
              <w:lastRenderedPageBreak/>
              <w:t>18.73</w:t>
            </w:r>
          </w:p>
        </w:tc>
        <w:tc>
          <w:tcPr>
            <w:tcW w:type="dxa" w:w="2431"/>
            <w:vAlign w:val="center"/>
          </w:tcPr>
          <w:p w:rsidP="00546492" w:rsidR="00546492" w:rsidRDefault="00546492" w:rsidRPr="009F2322">
            <w:pPr>
              <w:autoSpaceDE w:val="0"/>
              <w:autoSpaceDN w:val="0"/>
              <w:adjustRightInd w:val="0"/>
              <w:spacing w:before="29" w:line="360" w:lineRule="auto"/>
              <w:ind w:left="15"/>
              <w:jc w:val="right"/>
              <w:rPr>
                <w:color w:val="000000"/>
                <w:kern w:val="0"/>
                <w:sz w:val="24"/>
              </w:rPr>
            </w:pPr>
            <w:r w:rsidRPr="009F2322">
              <w:rPr>
                <w:color w:val="000000"/>
                <w:sz w:val="24"/>
              </w:rPr>
              <w:lastRenderedPageBreak/>
              <w:t/>
            </w:r>
            <w:r w:rsidRPr="009F2322">
              <w:rPr>
                <w:color w:val="000000"/>
                <w:sz w:val="24"/>
              </w:rPr>
              <w:lastRenderedPageBreak/>
              <w:t>-</w:t>
            </w:r>
          </w:p>
        </w:tc>
      </w:tr>
      <w:tr w:rsidR="00546492" w:rsidRPr="0097021E" w:rsidTr="00C526E2">
        <w:tc>
          <w:tcPr>
            <w:tcW w:type="dxa" w:w="851"/>
            <w:vAlign w:val="center"/>
          </w:tcPr>
          <w:p w:rsidP="00196812" w:rsidR="00546492" w:rsidRDefault="00546492" w:rsidRPr="007A1ACF">
            <w:pPr>
              <w:autoSpaceDE w:val="0"/>
              <w:autoSpaceDN w:val="0"/>
              <w:adjustRightInd w:val="0"/>
              <w:spacing w:before="29" w:line="360" w:lineRule="auto"/>
              <w:ind w:left="15"/>
              <w:jc w:val="center"/>
              <w:rPr>
                <w:color w:val="000000"/>
                <w:sz w:val="24"/>
              </w:rPr>
            </w:pPr>
          </w:p>
        </w:tc>
        <w:tc>
          <w:tcPr>
            <w:tcW w:type="dxa" w:w="3351"/>
            <w:vAlign w:val="center"/>
          </w:tcPr>
          <w:p w:rsidP="00546492" w:rsidR="00546492" w:rsidRDefault="00546492" w:rsidRPr="009F2322">
            <w:pPr>
              <w:autoSpaceDE w:val="0"/>
              <w:autoSpaceDN w:val="0"/>
              <w:adjustRightInd w:val="0"/>
              <w:spacing w:before="29" w:line="360" w:lineRule="auto"/>
              <w:ind w:left="15"/>
              <w:jc w:val="left"/>
              <w:rPr>
                <w:color w:val="000000"/>
                <w:sz w:val="24"/>
              </w:rPr>
            </w:pPr>
            <w:r w:rsidRPr="009F2322">
              <w:rPr>
                <w:color w:val="000000"/>
                <w:sz w:val="24"/>
              </w:rPr>
              <w:t>其中：剩余存续期超过</w:t>
            </w:r>
            <w:r w:rsidRPr="009F2322">
              <w:rPr>
                <w:color w:val="000000"/>
                <w:sz w:val="24"/>
              </w:rPr>
              <w:t>397</w:t>
            </w:r>
            <w:r w:rsidRPr="009F2322">
              <w:rPr>
                <w:color w:val="000000"/>
                <w:sz w:val="24"/>
              </w:rPr>
              <w:t>天的浮动利率债</w:t>
            </w:r>
          </w:p>
        </w:tc>
        <w:tc>
          <w:tcPr>
            <w:tcW w:type="dxa" w:w="2529"/>
            <w:vAlign w:val="center"/>
          </w:tcPr>
          <w:p w:rsidP="00546492" w:rsidR="00546492" w:rsidRDefault="00546492" w:rsidRPr="009F2322">
            <w:pPr>
              <w:autoSpaceDE w:val="0"/>
              <w:autoSpaceDN w:val="0"/>
              <w:adjustRightInd w:val="0"/>
              <w:spacing w:before="29" w:line="360" w:lineRule="auto"/>
              <w:ind w:left="15"/>
              <w:jc w:val="right"/>
              <w:rPr>
                <w:color w:val="000000"/>
                <w:kern w:val="0"/>
                <w:sz w:val="24"/>
              </w:rPr>
            </w:pPr>
            <w:r w:rsidRPr="009F2322">
              <w:rPr>
                <w:color w:val="000000"/>
                <w:sz w:val="24"/>
              </w:rPr>
              <w:t>-</w:t>
            </w:r>
          </w:p>
        </w:tc>
        <w:tc>
          <w:tcPr>
            <w:tcW w:type="dxa" w:w="2431"/>
            <w:vAlign w:val="center"/>
          </w:tcPr>
          <w:p w:rsidP="00546492" w:rsidR="00546492" w:rsidRDefault="00546492" w:rsidRPr="009F2322">
            <w:pPr>
              <w:autoSpaceDE w:val="0"/>
              <w:autoSpaceDN w:val="0"/>
              <w:adjustRightInd w:val="0"/>
              <w:spacing w:before="29" w:line="360" w:lineRule="auto"/>
              <w:ind w:left="15"/>
              <w:jc w:val="right"/>
              <w:rPr>
                <w:color w:val="000000"/>
                <w:kern w:val="0"/>
                <w:sz w:val="24"/>
              </w:rPr>
            </w:pPr>
            <w:r w:rsidRPr="009F2322">
              <w:rPr>
                <w:color w:val="000000"/>
                <w:sz w:val="24"/>
              </w:rPr>
              <w:t>-</w:t>
            </w:r>
          </w:p>
        </w:tc>
      </w:tr>
      <w:tr w:rsidR="00546492" w:rsidRPr="0097021E" w:rsidTr="00C526E2">
        <w:tc>
          <w:tcPr>
            <w:tcW w:type="dxa" w:w="4202"/>
            <w:gridSpan w:val="2"/>
            <w:vAlign w:val="center"/>
          </w:tcPr>
          <w:p w:rsidP="00196812" w:rsidR="00546492" w:rsidRDefault="00546492" w:rsidRPr="007A1ACF">
            <w:pPr>
              <w:autoSpaceDE w:val="0"/>
              <w:autoSpaceDN w:val="0"/>
              <w:adjustRightInd w:val="0"/>
              <w:spacing w:before="29" w:line="360" w:lineRule="auto"/>
              <w:ind w:left="15"/>
              <w:jc w:val="center"/>
              <w:rPr>
                <w:color w:val="000000"/>
                <w:sz w:val="24"/>
              </w:rPr>
            </w:pPr>
            <w:r w:rsidRPr="007A1ACF">
              <w:rPr>
                <w:color w:val="000000"/>
                <w:sz w:val="24"/>
              </w:rPr>
              <w:t>合计</w:t>
            </w:r>
          </w:p>
        </w:tc>
        <w:tc>
          <w:tcPr>
            <w:tcW w:type="dxa" w:w="2529"/>
            <w:vAlign w:val="center"/>
          </w:tcPr>
          <w:p w:rsidP="00546492" w:rsidR="00546492" w:rsidRDefault="00546492" w:rsidRPr="009F2322">
            <w:pPr>
              <w:autoSpaceDE w:val="0"/>
              <w:autoSpaceDN w:val="0"/>
              <w:adjustRightInd w:val="0"/>
              <w:spacing w:before="29" w:line="360" w:lineRule="auto"/>
              <w:ind w:left="15"/>
              <w:jc w:val="right"/>
              <w:rPr>
                <w:color w:val="000000"/>
                <w:kern w:val="0"/>
                <w:sz w:val="24"/>
              </w:rPr>
            </w:pPr>
            <w:r w:rsidRPr="009F2322">
              <w:rPr>
                <w:color w:val="000000"/>
                <w:sz w:val="24"/>
              </w:rPr>
              <w:t>104.14</w:t>
            </w:r>
          </w:p>
        </w:tc>
        <w:tc>
          <w:tcPr>
            <w:tcW w:type="dxa" w:w="2431"/>
            <w:vAlign w:val="center"/>
          </w:tcPr>
          <w:p w:rsidP="00546492" w:rsidR="00546492" w:rsidRDefault="00546492" w:rsidRPr="009F2322">
            <w:pPr>
              <w:autoSpaceDE w:val="0"/>
              <w:autoSpaceDN w:val="0"/>
              <w:adjustRightInd w:val="0"/>
              <w:spacing w:before="29" w:line="360" w:lineRule="auto"/>
              <w:ind w:left="15"/>
              <w:jc w:val="right"/>
              <w:rPr>
                <w:color w:val="000000"/>
                <w:kern w:val="0"/>
                <w:sz w:val="24"/>
              </w:rPr>
            </w:pPr>
            <w:r w:rsidRPr="009F2322">
              <w:rPr>
                <w:color w:val="000000"/>
                <w:sz w:val="24"/>
              </w:rPr>
              <w:t>4.33</w:t>
            </w:r>
          </w:p>
        </w:tc>
      </w:tr>
    </w:tbl>
    <w:p w:rsidP="007A1ACF" w:rsidR="007A1ACF" w:rsidRDefault="007A1ACF" w:rsidRPr="007A1ACF">
      <w:pPr>
        <w:spacing w:line="360" w:lineRule="auto"/>
        <w:rPr>
          <w:rFonts w:ascii="宋体" w:cs="Arial" w:hAnsi="宋体"/>
          <w:b/>
          <w:color w:val="000000"/>
          <w:kern w:val="0"/>
          <w:sz w:val="24"/>
        </w:rPr>
      </w:pPr>
      <w:r w:rsidRPr="007A1ACF">
        <w:rPr>
          <w:rFonts w:ascii="宋体" w:cs="Arial" w:hAnsi="宋体" w:hint="eastAsia"/>
          <w:b/>
          <w:color w:val="000000"/>
          <w:kern w:val="0"/>
          <w:sz w:val="24"/>
        </w:rPr>
        <w:t>5.4</w:t>
      </w:r>
      <w:r>
        <w:rPr>
          <w:rFonts w:ascii="宋体" w:hAnsi="宋体" w:hint="eastAsia"/>
          <w:b/>
          <w:color w:val="000000"/>
          <w:sz w:val="24"/>
        </w:rPr>
        <w:t>报告期内投资组合平均剩余存续期超过240天情况说明</w:t>
      </w:r>
    </w:p>
    <w:p w:rsidP="00613409" w:rsidR="007A1ACF" w:rsidRDefault="007A1ACF" w:rsidRPr="007A1ACF">
      <w:pPr>
        <w:adjustRightInd w:val="0"/>
        <w:spacing w:line="360" w:lineRule="auto"/>
        <w:ind w:firstLine="480" w:firstLineChars="200"/>
        <w:rPr>
          <w:color w:val="000000"/>
          <w:sz w:val="24"/>
        </w:rPr>
      </w:pPr>
      <w:r w:rsidRPr="007A1ACF">
        <w:rPr>
          <w:color w:val="000000"/>
          <w:sz w:val="24"/>
        </w:rPr>
        <w:t>本报告期内本货币市场基金投资组合平均剩余存续期未超过240天。</w:t>
      </w:r>
    </w:p>
    <w:p w:rsidP="00710B11" w:rsidR="00710B11" w:rsidRDefault="00EA3F40" w:rsidRPr="00675D72">
      <w:pPr>
        <w:spacing w:line="360" w:lineRule="auto"/>
        <w:rPr>
          <w:b/>
          <w:color w:val="000000"/>
          <w:kern w:val="0"/>
          <w:sz w:val="24"/>
        </w:rPr>
      </w:pPr>
      <w:r w:rsidRPr="0097021E">
        <w:rPr>
          <w:rFonts w:ascii="宋体" w:cs="Arial" w:hAnsi="宋体"/>
          <w:b/>
          <w:color w:val="000000"/>
          <w:kern w:val="0"/>
          <w:sz w:val="24"/>
        </w:rPr>
        <w:t>5.</w:t>
      </w:r>
      <w:r w:rsidR="007A1ACF">
        <w:rPr>
          <w:rFonts w:ascii="宋体" w:cs="Arial" w:hAnsi="宋体" w:hint="eastAsia"/>
          <w:b/>
          <w:color w:val="000000"/>
          <w:kern w:val="0"/>
          <w:sz w:val="24"/>
        </w:rPr>
        <w:t>5</w:t>
      </w:r>
      <w:r w:rsidRPr="0097021E">
        <w:rPr>
          <w:rFonts w:ascii="宋体" w:cs="Arial" w:hAnsi="宋体"/>
          <w:b/>
          <w:color w:val="000000"/>
          <w:kern w:val="0"/>
          <w:sz w:val="24"/>
        </w:rPr>
        <w:t xml:space="preserve"> </w:t>
      </w:r>
      <w:r w:rsidRPr="0097021E">
        <w:rPr>
          <w:rFonts w:ascii="宋体" w:cs="Arial" w:hAnsi="宋体" w:hint="eastAsia"/>
          <w:b/>
          <w:color w:val="000000"/>
          <w:kern w:val="0"/>
          <w:sz w:val="24"/>
        </w:rPr>
        <w:t>报告期末按债券品种分类的债券投资组合</w:t>
      </w:r>
    </w:p>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17"/>
        <w:gridCol w:w="3260"/>
        <w:gridCol w:w="3119"/>
        <w:gridCol w:w="1984"/>
      </w:tblGrid>
      <w:tr w:rsidR="00710B11" w:rsidRPr="00675D72" w:rsidTr="00546492">
        <w:tc>
          <w:tcPr>
            <w:tcW w:type="dxa" w:w="817"/>
            <w:vAlign w:val="center"/>
          </w:tcPr>
          <w:p w:rsidP="00546492" w:rsidR="00710B11" w:rsidRDefault="00710B11" w:rsidRPr="00675D72">
            <w:pPr>
              <w:spacing w:before="29" w:line="360" w:lineRule="auto"/>
              <w:ind w:left="17"/>
              <w:jc w:val="center"/>
              <w:rPr>
                <w:color w:val="000000"/>
                <w:sz w:val="24"/>
              </w:rPr>
            </w:pPr>
            <w:r w:rsidRPr="00675D72">
              <w:rPr>
                <w:color w:val="000000"/>
                <w:sz w:val="24"/>
              </w:rPr>
              <w:t>序号</w:t>
            </w:r>
          </w:p>
        </w:tc>
        <w:tc>
          <w:tcPr>
            <w:tcW w:type="dxa" w:w="3260"/>
            <w:vAlign w:val="center"/>
          </w:tcPr>
          <w:p w:rsidP="00546492" w:rsidR="00710B11" w:rsidRDefault="00710B11" w:rsidRPr="00675D72">
            <w:pPr>
              <w:spacing w:before="29" w:line="360" w:lineRule="auto"/>
              <w:ind w:left="17"/>
              <w:jc w:val="center"/>
              <w:rPr>
                <w:color w:val="000000"/>
                <w:sz w:val="24"/>
              </w:rPr>
            </w:pPr>
            <w:r w:rsidRPr="00675D72">
              <w:rPr>
                <w:color w:val="000000"/>
                <w:sz w:val="24"/>
              </w:rPr>
              <w:t>债券品种</w:t>
            </w:r>
            <w:r w:rsidRPr="00675D72">
              <w:rPr>
                <w:color w:val="000000"/>
                <w:sz w:val="24"/>
              </w:rPr>
              <w:t/>
            </w:r>
          </w:p>
        </w:tc>
        <w:tc>
          <w:tcPr>
            <w:tcW w:type="dxa" w:w="3119"/>
            <w:vAlign w:val="center"/>
          </w:tcPr>
          <w:p w:rsidP="00546492" w:rsidR="00710B11" w:rsidRDefault="00710B11" w:rsidRPr="00675D72">
            <w:pPr>
              <w:spacing w:before="29" w:line="360" w:lineRule="auto"/>
              <w:ind w:left="17"/>
              <w:jc w:val="center"/>
              <w:rPr>
                <w:color w:val="000000"/>
                <w:sz w:val="24"/>
              </w:rPr>
            </w:pPr>
            <w:r w:rsidRPr="00675D72">
              <w:rPr>
                <w:color w:val="000000"/>
                <w:sz w:val="24"/>
              </w:rPr>
              <w:t>摊余成本（元）</w:t>
            </w:r>
          </w:p>
        </w:tc>
        <w:tc>
          <w:tcPr>
            <w:tcW w:type="dxa" w:w="1984"/>
            <w:vAlign w:val="center"/>
          </w:tcPr>
          <w:p w:rsidP="00546492" w:rsidR="00710B11" w:rsidRDefault="00710B11" w:rsidRPr="00675D72">
            <w:pPr>
              <w:spacing w:before="29" w:line="360" w:lineRule="auto"/>
              <w:ind w:left="17"/>
              <w:jc w:val="center"/>
              <w:rPr>
                <w:color w:val="000000"/>
                <w:sz w:val="24"/>
              </w:rPr>
            </w:pPr>
            <w:r w:rsidRPr="00675D72">
              <w:rPr>
                <w:color w:val="000000"/>
                <w:sz w:val="24"/>
              </w:rPr>
              <w:t>占基金资产净值</w:t>
            </w:r>
            <w:r w:rsidRPr="00675D72">
              <w:rPr>
                <w:color w:val="000000"/>
                <w:sz w:val="24"/>
              </w:rPr>
              <w:lastRenderedPageBreak/>
              <w:t>比例</w:t>
            </w:r>
            <w:r w:rsidRPr="00675D72">
              <w:rPr>
                <w:color w:val="000000"/>
                <w:sz w:val="24"/>
              </w:rPr>
              <w:t>(</w:t>
            </w:r>
            <w:r w:rsidRPr="00675D72">
              <w:rPr>
                <w:color w:val="000000"/>
                <w:sz w:val="24"/>
              </w:rPr>
              <w:t>％</w:t>
            </w:r>
            <w:r w:rsidRPr="00675D72">
              <w:rPr>
                <w:color w:val="000000"/>
                <w:sz w:val="24"/>
              </w:rPr>
              <w:t>)</w:t>
            </w:r>
          </w:p>
        </w:tc>
      </w:tr>
      <w:tr w:rsidR="00710B11" w:rsidRPr="00675D72" w:rsidTr="00546492">
        <w:tc>
          <w:tcPr>
            <w:tcW w:type="dxa" w:w="817"/>
            <w:vAlign w:val="center"/>
          </w:tcPr>
          <w:p w:rsidP="00546492" w:rsidR="00710B11" w:rsidRDefault="00710B11" w:rsidRPr="00675D72">
            <w:pPr>
              <w:spacing w:before="29" w:line="360" w:lineRule="auto"/>
              <w:ind w:left="17"/>
              <w:jc w:val="center"/>
              <w:rPr>
                <w:color w:val="000000"/>
                <w:sz w:val="24"/>
              </w:rPr>
            </w:pPr>
            <w:r w:rsidRPr="00675D72">
              <w:rPr>
                <w:color w:val="000000"/>
                <w:sz w:val="24"/>
              </w:rPr>
              <w:lastRenderedPageBreak/>
              <w:t>1</w:t>
            </w:r>
          </w:p>
        </w:tc>
        <w:tc>
          <w:tcPr>
            <w:tcW w:type="dxa" w:w="3260"/>
            <w:vAlign w:val="center"/>
          </w:tcPr>
          <w:p w:rsidP="00546492" w:rsidR="00710B11" w:rsidRDefault="00710B11" w:rsidRPr="00675D72">
            <w:pPr>
              <w:spacing w:before="29" w:line="360" w:lineRule="auto"/>
              <w:ind w:left="17"/>
              <w:jc w:val="left"/>
              <w:rPr>
                <w:color w:val="000000"/>
                <w:sz w:val="24"/>
              </w:rPr>
            </w:pPr>
            <w:r w:rsidRPr="00675D72">
              <w:rPr>
                <w:color w:val="000000"/>
                <w:sz w:val="24"/>
              </w:rPr>
              <w:t>国家债券</w:t>
            </w:r>
          </w:p>
        </w:tc>
        <w:tc>
          <w:tcPr>
            <w:tcW w:type="dxa" w:w="3119"/>
            <w:vAlign w:val="center"/>
          </w:tcPr>
          <w:p w:rsidP="00546492" w:rsidR="00710B11" w:rsidRDefault="00710B11" w:rsidRPr="00675D72">
            <w:pPr>
              <w:spacing w:before="29" w:line="360" w:lineRule="auto"/>
              <w:ind w:left="17"/>
              <w:jc w:val="right"/>
              <w:rPr>
                <w:color w:val="000000"/>
                <w:sz w:val="24"/>
              </w:rPr>
            </w:pPr>
            <w:r w:rsidRPr="00675D72">
              <w:rPr>
                <w:color w:val="000000"/>
                <w:sz w:val="24"/>
              </w:rPr>
              <w:t>-</w:t>
            </w:r>
          </w:p>
        </w:tc>
        <w:tc>
          <w:tcPr>
            <w:tcW w:type="dxa" w:w="1984"/>
            <w:vAlign w:val="center"/>
          </w:tcPr>
          <w:p w:rsidP="00546492" w:rsidR="00710B11" w:rsidRDefault="00710B11" w:rsidRPr="00675D72">
            <w:pPr>
              <w:spacing w:before="29" w:line="360" w:lineRule="auto"/>
              <w:ind w:left="17"/>
              <w:jc w:val="right"/>
              <w:rPr>
                <w:color w:val="000000"/>
                <w:sz w:val="24"/>
              </w:rPr>
            </w:pPr>
            <w:r w:rsidRPr="00675D72">
              <w:rPr>
                <w:color w:val="000000"/>
                <w:sz w:val="24"/>
              </w:rPr>
              <w:t>-</w:t>
            </w:r>
          </w:p>
        </w:tc>
      </w:tr>
      <w:tr w:rsidR="00710B11" w:rsidRPr="00675D72" w:rsidTr="00546492">
        <w:tc>
          <w:tcPr>
            <w:tcW w:type="dxa" w:w="817"/>
            <w:vAlign w:val="center"/>
          </w:tcPr>
          <w:p w:rsidP="00546492" w:rsidR="00710B11" w:rsidRDefault="00710B11" w:rsidRPr="00675D72">
            <w:pPr>
              <w:spacing w:before="29" w:line="360" w:lineRule="auto"/>
              <w:ind w:left="17"/>
              <w:jc w:val="center"/>
              <w:rPr>
                <w:color w:val="000000"/>
                <w:sz w:val="24"/>
              </w:rPr>
            </w:pPr>
            <w:r w:rsidRPr="00675D72">
              <w:rPr>
                <w:color w:val="000000"/>
                <w:sz w:val="24"/>
              </w:rPr>
              <w:t>2</w:t>
            </w:r>
          </w:p>
        </w:tc>
        <w:tc>
          <w:tcPr>
            <w:tcW w:type="dxa" w:w="3260"/>
            <w:vAlign w:val="center"/>
          </w:tcPr>
          <w:p w:rsidP="00546492" w:rsidR="00710B11" w:rsidRDefault="00710B11" w:rsidRPr="00675D72">
            <w:pPr>
              <w:spacing w:before="29" w:line="360" w:lineRule="auto"/>
              <w:ind w:left="17"/>
              <w:jc w:val="left"/>
              <w:rPr>
                <w:color w:val="000000"/>
                <w:sz w:val="24"/>
              </w:rPr>
            </w:pPr>
            <w:r w:rsidRPr="00675D72">
              <w:rPr>
                <w:color w:val="000000"/>
                <w:sz w:val="24"/>
              </w:rPr>
              <w:t>央行票据</w:t>
            </w:r>
          </w:p>
        </w:tc>
        <w:tc>
          <w:tcPr>
            <w:tcW w:type="dxa" w:w="3119"/>
            <w:vAlign w:val="center"/>
          </w:tcPr>
          <w:p w:rsidP="00546492" w:rsidR="00710B11" w:rsidRDefault="00710B11" w:rsidRPr="00675D72">
            <w:pPr>
              <w:spacing w:before="29" w:line="360" w:lineRule="auto"/>
              <w:ind w:left="17"/>
              <w:jc w:val="right"/>
              <w:rPr>
                <w:color w:val="000000"/>
                <w:sz w:val="24"/>
              </w:rPr>
            </w:pPr>
            <w:r w:rsidRPr="00675D72">
              <w:rPr>
                <w:color w:val="000000"/>
                <w:sz w:val="24"/>
              </w:rPr>
              <w:t>-</w:t>
            </w:r>
          </w:p>
        </w:tc>
        <w:tc>
          <w:tcPr>
            <w:tcW w:type="dxa" w:w="1984"/>
            <w:vAlign w:val="center"/>
          </w:tcPr>
          <w:p w:rsidP="00546492" w:rsidR="00710B11" w:rsidRDefault="00710B11" w:rsidRPr="00675D72">
            <w:pPr>
              <w:spacing w:before="29" w:line="360" w:lineRule="auto"/>
              <w:ind w:left="17"/>
              <w:jc w:val="right"/>
              <w:rPr>
                <w:color w:val="000000"/>
                <w:sz w:val="24"/>
              </w:rPr>
            </w:pPr>
            <w:r w:rsidRPr="00675D72">
              <w:rPr>
                <w:color w:val="000000"/>
                <w:sz w:val="24"/>
              </w:rPr>
              <w:t>-</w:t>
            </w:r>
          </w:p>
        </w:tc>
      </w:tr>
      <w:tr w:rsidR="00710B11" w:rsidRPr="00675D72" w:rsidTr="00546492">
        <w:tc>
          <w:tcPr>
            <w:tcW w:type="dxa" w:w="817"/>
            <w:vAlign w:val="center"/>
          </w:tcPr>
          <w:p w:rsidP="00546492" w:rsidR="00710B11" w:rsidRDefault="00710B11" w:rsidRPr="00675D72">
            <w:pPr>
              <w:spacing w:before="29" w:line="360" w:lineRule="auto"/>
              <w:ind w:left="17"/>
              <w:jc w:val="center"/>
              <w:rPr>
                <w:color w:val="000000"/>
                <w:sz w:val="24"/>
              </w:rPr>
            </w:pPr>
            <w:r w:rsidRPr="00675D72">
              <w:rPr>
                <w:color w:val="000000"/>
                <w:sz w:val="24"/>
              </w:rPr>
              <w:t>3</w:t>
            </w:r>
          </w:p>
        </w:tc>
        <w:tc>
          <w:tcPr>
            <w:tcW w:type="dxa" w:w="3260"/>
            <w:vAlign w:val="center"/>
          </w:tcPr>
          <w:p w:rsidP="00546492" w:rsidR="00710B11" w:rsidRDefault="00710B11" w:rsidRPr="00675D72">
            <w:pPr>
              <w:spacing w:before="29" w:line="360" w:lineRule="auto"/>
              <w:ind w:left="17"/>
              <w:jc w:val="left"/>
              <w:rPr>
                <w:color w:val="000000"/>
                <w:sz w:val="24"/>
              </w:rPr>
            </w:pPr>
            <w:r w:rsidRPr="00675D72">
              <w:rPr>
                <w:color w:val="000000"/>
                <w:sz w:val="24"/>
              </w:rPr>
              <w:t>金融债券</w:t>
            </w:r>
          </w:p>
        </w:tc>
        <w:tc>
          <w:tcPr>
            <w:tcW w:type="dxa" w:w="3119"/>
            <w:vAlign w:val="center"/>
          </w:tcPr>
          <w:p w:rsidP="00546492" w:rsidR="00710B11" w:rsidRDefault="00710B11" w:rsidRPr="00675D72">
            <w:pPr>
              <w:spacing w:before="29" w:line="360" w:lineRule="auto"/>
              <w:ind w:left="17"/>
              <w:jc w:val="right"/>
              <w:rPr>
                <w:color w:val="000000"/>
                <w:sz w:val="24"/>
              </w:rPr>
            </w:pPr>
            <w:r w:rsidRPr="00675D72">
              <w:rPr>
                <w:color w:val="000000"/>
                <w:sz w:val="24"/>
              </w:rPr>
              <w:t>50,099,466.01</w:t>
            </w:r>
          </w:p>
        </w:tc>
        <w:tc>
          <w:tcPr>
            <w:tcW w:type="dxa" w:w="1984"/>
            <w:vAlign w:val="center"/>
          </w:tcPr>
          <w:p w:rsidP="00546492" w:rsidR="00710B11" w:rsidRDefault="00710B11" w:rsidRPr="00675D72">
            <w:pPr>
              <w:spacing w:before="29" w:line="360" w:lineRule="auto"/>
              <w:ind w:left="17"/>
              <w:jc w:val="right"/>
              <w:rPr>
                <w:color w:val="000000"/>
                <w:sz w:val="24"/>
              </w:rPr>
            </w:pPr>
            <w:r w:rsidRPr="00675D72">
              <w:rPr>
                <w:color w:val="000000"/>
                <w:sz w:val="24"/>
              </w:rPr>
              <w:t>5.24</w:t>
            </w:r>
          </w:p>
        </w:tc>
      </w:tr>
      <w:tr w:rsidR="00710B11" w:rsidRPr="00675D72" w:rsidTr="00546492">
        <w:tc>
          <w:tcPr>
            <w:tcW w:type="dxa" w:w="817"/>
            <w:vAlign w:val="center"/>
          </w:tcPr>
          <w:p w:rsidP="00546492" w:rsidR="00710B11" w:rsidRDefault="00710B11" w:rsidRPr="00675D72">
            <w:pPr>
              <w:spacing w:before="29" w:line="360" w:lineRule="auto"/>
              <w:ind w:left="17"/>
              <w:jc w:val="center"/>
              <w:rPr>
                <w:color w:val="000000"/>
                <w:sz w:val="24"/>
              </w:rPr>
            </w:pPr>
          </w:p>
        </w:tc>
        <w:tc>
          <w:tcPr>
            <w:tcW w:type="dxa" w:w="3260"/>
            <w:vAlign w:val="center"/>
          </w:tcPr>
          <w:p w:rsidP="00546492" w:rsidR="00710B11" w:rsidRDefault="00710B11" w:rsidRPr="00675D72">
            <w:pPr>
              <w:spacing w:before="29" w:line="360" w:lineRule="auto"/>
              <w:ind w:left="17"/>
              <w:jc w:val="left"/>
              <w:rPr>
                <w:color w:val="000000"/>
                <w:sz w:val="24"/>
              </w:rPr>
            </w:pPr>
            <w:r w:rsidRPr="00675D72">
              <w:rPr>
                <w:color w:val="000000"/>
                <w:sz w:val="24"/>
              </w:rPr>
              <w:t>其中：政策性金融债</w:t>
            </w:r>
          </w:p>
        </w:tc>
        <w:tc>
          <w:tcPr>
            <w:tcW w:type="dxa" w:w="3119"/>
            <w:vAlign w:val="center"/>
          </w:tcPr>
          <w:p w:rsidP="00546492" w:rsidR="00710B11" w:rsidRDefault="00710B11" w:rsidRPr="00675D72">
            <w:pPr>
              <w:spacing w:before="29" w:line="360" w:lineRule="auto"/>
              <w:ind w:left="17"/>
              <w:jc w:val="right"/>
              <w:rPr>
                <w:color w:val="000000"/>
                <w:sz w:val="24"/>
              </w:rPr>
            </w:pPr>
            <w:r w:rsidRPr="00675D72">
              <w:rPr>
                <w:color w:val="000000"/>
                <w:sz w:val="24"/>
              </w:rPr>
              <w:t>50,099,466.01</w:t>
            </w:r>
          </w:p>
        </w:tc>
        <w:tc>
          <w:tcPr>
            <w:tcW w:type="dxa" w:w="1984"/>
            <w:vAlign w:val="center"/>
          </w:tcPr>
          <w:p w:rsidP="00546492" w:rsidR="00710B11" w:rsidRDefault="00710B11" w:rsidRPr="00675D72">
            <w:pPr>
              <w:spacing w:before="29" w:line="360" w:lineRule="auto"/>
              <w:ind w:left="17"/>
              <w:jc w:val="right"/>
              <w:rPr>
                <w:color w:val="000000"/>
                <w:sz w:val="24"/>
              </w:rPr>
            </w:pPr>
            <w:r w:rsidRPr="00675D72">
              <w:rPr>
                <w:color w:val="000000"/>
                <w:sz w:val="24"/>
              </w:rPr>
              <w:t>5.24</w:t>
            </w:r>
          </w:p>
        </w:tc>
      </w:tr>
      <w:tr w:rsidR="00710B11" w:rsidRPr="00675D72" w:rsidTr="00546492">
        <w:tc>
          <w:tcPr>
            <w:tcW w:type="dxa" w:w="817"/>
            <w:vAlign w:val="center"/>
          </w:tcPr>
          <w:p w:rsidP="00546492" w:rsidR="00710B11" w:rsidRDefault="00710B11" w:rsidRPr="00675D72">
            <w:pPr>
              <w:spacing w:before="29" w:line="360" w:lineRule="auto"/>
              <w:ind w:left="17"/>
              <w:jc w:val="center"/>
              <w:rPr>
                <w:color w:val="000000"/>
                <w:sz w:val="24"/>
              </w:rPr>
            </w:pPr>
            <w:r w:rsidRPr="00675D72">
              <w:rPr>
                <w:color w:val="000000"/>
                <w:sz w:val="24"/>
              </w:rPr>
              <w:t>4</w:t>
            </w:r>
          </w:p>
        </w:tc>
        <w:tc>
          <w:tcPr>
            <w:tcW w:type="dxa" w:w="3260"/>
            <w:vAlign w:val="center"/>
          </w:tcPr>
          <w:p w:rsidP="00546492" w:rsidR="00710B11" w:rsidRDefault="00710B11" w:rsidRPr="00675D72">
            <w:pPr>
              <w:spacing w:before="29" w:line="360" w:lineRule="auto"/>
              <w:ind w:left="17"/>
              <w:jc w:val="left"/>
              <w:rPr>
                <w:color w:val="000000"/>
                <w:sz w:val="24"/>
              </w:rPr>
            </w:pPr>
            <w:r w:rsidRPr="00675D72">
              <w:rPr>
                <w:color w:val="000000"/>
                <w:sz w:val="24"/>
              </w:rPr>
              <w:t>企业债券</w:t>
            </w:r>
          </w:p>
        </w:tc>
        <w:tc>
          <w:tcPr>
            <w:tcW w:type="dxa" w:w="3119"/>
            <w:vAlign w:val="center"/>
          </w:tcPr>
          <w:p w:rsidP="00546492" w:rsidR="00710B11" w:rsidRDefault="00710B11" w:rsidRPr="00675D72">
            <w:pPr>
              <w:spacing w:before="29" w:line="360" w:lineRule="auto"/>
              <w:ind w:left="17"/>
              <w:jc w:val="right"/>
              <w:rPr>
                <w:color w:val="000000"/>
                <w:sz w:val="24"/>
              </w:rPr>
            </w:pPr>
            <w:r w:rsidRPr="00675D72">
              <w:rPr>
                <w:color w:val="000000"/>
                <w:sz w:val="24"/>
              </w:rPr>
              <w:t>-</w:t>
            </w:r>
          </w:p>
        </w:tc>
        <w:tc>
          <w:tcPr>
            <w:tcW w:type="dxa" w:w="1984"/>
            <w:vAlign w:val="center"/>
          </w:tcPr>
          <w:p w:rsidP="00546492" w:rsidR="00710B11" w:rsidRDefault="00710B11" w:rsidRPr="00675D72">
            <w:pPr>
              <w:spacing w:before="29" w:line="360" w:lineRule="auto"/>
              <w:ind w:left="17"/>
              <w:jc w:val="right"/>
              <w:rPr>
                <w:color w:val="000000"/>
                <w:sz w:val="24"/>
              </w:rPr>
            </w:pPr>
            <w:r w:rsidRPr="00675D72">
              <w:rPr>
                <w:color w:val="000000"/>
                <w:sz w:val="24"/>
              </w:rPr>
              <w:t>-</w:t>
            </w:r>
          </w:p>
        </w:tc>
      </w:tr>
      <w:tr w:rsidR="00710B11" w:rsidRPr="00675D72" w:rsidTr="00546492">
        <w:tc>
          <w:tcPr>
            <w:tcW w:type="dxa" w:w="817"/>
            <w:vAlign w:val="center"/>
          </w:tcPr>
          <w:p w:rsidP="00546492" w:rsidR="00710B11" w:rsidRDefault="00710B11" w:rsidRPr="00675D72">
            <w:pPr>
              <w:spacing w:before="29" w:line="360" w:lineRule="auto"/>
              <w:ind w:left="17"/>
              <w:jc w:val="center"/>
              <w:rPr>
                <w:color w:val="000000"/>
                <w:sz w:val="24"/>
              </w:rPr>
            </w:pPr>
            <w:r w:rsidRPr="00675D72">
              <w:rPr>
                <w:color w:val="000000"/>
                <w:sz w:val="24"/>
              </w:rPr>
              <w:lastRenderedPageBreak/>
              <w:t>5</w:t>
            </w:r>
          </w:p>
        </w:tc>
        <w:tc>
          <w:tcPr>
            <w:tcW w:type="dxa" w:w="3260"/>
            <w:vAlign w:val="center"/>
          </w:tcPr>
          <w:p w:rsidP="00546492" w:rsidR="00710B11" w:rsidRDefault="00710B11" w:rsidRPr="00675D72">
            <w:pPr>
              <w:spacing w:before="29" w:line="360" w:lineRule="auto"/>
              <w:ind w:left="17"/>
              <w:jc w:val="left"/>
              <w:rPr>
                <w:color w:val="000000"/>
                <w:sz w:val="24"/>
              </w:rPr>
            </w:pPr>
            <w:r w:rsidRPr="00675D72">
              <w:rPr>
                <w:color w:val="000000"/>
                <w:sz w:val="24"/>
              </w:rPr>
              <w:t>企业短期融资券</w:t>
            </w:r>
          </w:p>
        </w:tc>
        <w:tc>
          <w:tcPr>
            <w:tcW w:type="dxa" w:w="3119"/>
            <w:vAlign w:val="center"/>
          </w:tcPr>
          <w:p w:rsidP="00546492" w:rsidR="00710B11" w:rsidRDefault="00710B11" w:rsidRPr="00675D72">
            <w:pPr>
              <w:spacing w:before="29" w:line="360" w:lineRule="auto"/>
              <w:ind w:left="17"/>
              <w:jc w:val="right"/>
              <w:rPr>
                <w:color w:val="000000"/>
                <w:sz w:val="24"/>
              </w:rPr>
            </w:pPr>
            <w:r w:rsidRPr="00675D72">
              <w:rPr>
                <w:color w:val="000000"/>
                <w:sz w:val="24"/>
              </w:rPr>
              <w:t>10,001,293.61</w:t>
            </w:r>
          </w:p>
        </w:tc>
        <w:tc>
          <w:tcPr>
            <w:tcW w:type="dxa" w:w="1984"/>
            <w:vAlign w:val="center"/>
          </w:tcPr>
          <w:p w:rsidP="00546492" w:rsidR="00710B11" w:rsidRDefault="00710B11" w:rsidRPr="00675D72">
            <w:pPr>
              <w:spacing w:before="29" w:line="360" w:lineRule="auto"/>
              <w:ind w:left="17"/>
              <w:jc w:val="right"/>
              <w:rPr>
                <w:color w:val="000000"/>
                <w:sz w:val="24"/>
              </w:rPr>
            </w:pPr>
            <w:r w:rsidRPr="00675D72">
              <w:rPr>
                <w:color w:val="000000"/>
                <w:sz w:val="24"/>
              </w:rPr>
              <w:t>1.05</w:t>
            </w:r>
          </w:p>
        </w:tc>
      </w:tr>
      <w:tr w:rsidR="00710B11" w:rsidRPr="00675D72" w:rsidTr="00546492">
        <w:tc>
          <w:tcPr>
            <w:tcW w:type="dxa" w:w="817"/>
            <w:vAlign w:val="center"/>
          </w:tcPr>
          <w:p w:rsidP="00546492" w:rsidR="00710B11" w:rsidRDefault="00710B11" w:rsidRPr="00675D72">
            <w:pPr>
              <w:spacing w:before="29" w:line="360" w:lineRule="auto"/>
              <w:ind w:left="17"/>
              <w:jc w:val="center"/>
              <w:rPr>
                <w:color w:val="000000"/>
                <w:sz w:val="24"/>
              </w:rPr>
            </w:pPr>
            <w:r w:rsidRPr="00675D72">
              <w:rPr>
                <w:color w:val="000000"/>
                <w:sz w:val="24"/>
              </w:rPr>
              <w:t>6</w:t>
            </w:r>
          </w:p>
        </w:tc>
        <w:tc>
          <w:tcPr>
            <w:tcW w:type="dxa" w:w="3260"/>
            <w:vAlign w:val="center"/>
          </w:tcPr>
          <w:p w:rsidP="00C91200" w:rsidR="00710B11" w:rsidRDefault="00710B11" w:rsidRPr="00675D72">
            <w:pPr>
              <w:spacing w:before="29" w:line="360" w:lineRule="auto"/>
              <w:ind w:left="17"/>
              <w:jc w:val="left"/>
              <w:rPr>
                <w:color w:val="000000"/>
                <w:sz w:val="24"/>
              </w:rPr>
            </w:pPr>
            <w:r w:rsidRPr="00675D72">
              <w:rPr>
                <w:color w:val="000000"/>
                <w:sz w:val="24"/>
              </w:rPr>
              <w:t>中期票据</w:t>
            </w:r>
          </w:p>
        </w:tc>
        <w:tc>
          <w:tcPr>
            <w:tcW w:type="dxa" w:w="3119"/>
            <w:vAlign w:val="center"/>
          </w:tcPr>
          <w:p w:rsidP="00546492" w:rsidR="00710B11" w:rsidRDefault="00710B11" w:rsidRPr="00675D72">
            <w:pPr>
              <w:spacing w:before="29" w:line="360" w:lineRule="auto"/>
              <w:ind w:left="17"/>
              <w:jc w:val="right"/>
              <w:rPr>
                <w:color w:val="000000"/>
                <w:sz w:val="24"/>
              </w:rPr>
            </w:pPr>
            <w:r w:rsidRPr="00675D72">
              <w:rPr>
                <w:color w:val="000000"/>
                <w:sz w:val="24"/>
              </w:rPr>
              <w:t>30,272,419.17</w:t>
            </w:r>
          </w:p>
        </w:tc>
        <w:tc>
          <w:tcPr>
            <w:tcW w:type="dxa" w:w="1984"/>
            <w:vAlign w:val="center"/>
          </w:tcPr>
          <w:p w:rsidP="00546492" w:rsidR="00710B11" w:rsidRDefault="00710B11" w:rsidRPr="00675D72">
            <w:pPr>
              <w:spacing w:before="29" w:line="360" w:lineRule="auto"/>
              <w:ind w:left="17"/>
              <w:jc w:val="right"/>
              <w:rPr>
                <w:color w:val="000000"/>
                <w:sz w:val="24"/>
              </w:rPr>
            </w:pPr>
            <w:r w:rsidRPr="00675D72">
              <w:rPr>
                <w:color w:val="000000"/>
                <w:sz w:val="24"/>
              </w:rPr>
              <w:t>3.17</w:t>
            </w:r>
          </w:p>
        </w:tc>
      </w:tr>
      <w:tr w:rsidR="00710B11" w:rsidRPr="00675D72" w:rsidTr="00546492">
        <w:tc>
          <w:tcPr>
            <w:tcW w:type="dxa" w:w="817"/>
            <w:vAlign w:val="center"/>
          </w:tcPr>
          <w:p w:rsidP="00546492" w:rsidR="00710B11" w:rsidRDefault="00710B11" w:rsidRPr="00675D72">
            <w:pPr>
              <w:spacing w:before="29" w:line="360" w:lineRule="auto"/>
              <w:ind w:left="17"/>
              <w:jc w:val="center"/>
              <w:rPr>
                <w:color w:val="000000"/>
                <w:sz w:val="24"/>
              </w:rPr>
            </w:pPr>
            <w:r w:rsidRPr="00675D72">
              <w:rPr>
                <w:color w:val="000000"/>
                <w:sz w:val="24"/>
              </w:rPr>
              <w:t>7</w:t>
            </w:r>
          </w:p>
        </w:tc>
        <w:tc>
          <w:tcPr>
            <w:tcW w:type="dxa" w:w="3260"/>
            <w:vAlign w:val="center"/>
          </w:tcPr>
          <w:p w:rsidP="00546492" w:rsidR="00710B11" w:rsidRDefault="00710B11" w:rsidRPr="00675D72">
            <w:pPr>
              <w:spacing w:before="29" w:line="360" w:lineRule="auto"/>
              <w:ind w:left="17"/>
              <w:jc w:val="left"/>
              <w:rPr>
                <w:color w:val="000000"/>
                <w:sz w:val="24"/>
              </w:rPr>
            </w:pPr>
            <w:r w:rsidRPr="00675D72">
              <w:rPr>
                <w:color w:val="000000"/>
                <w:sz w:val="24"/>
              </w:rPr>
              <w:t>同业存单</w:t>
            </w:r>
          </w:p>
        </w:tc>
        <w:tc>
          <w:tcPr>
            <w:tcW w:type="dxa" w:w="3119"/>
            <w:vAlign w:val="center"/>
          </w:tcPr>
          <w:p w:rsidP="00546492" w:rsidR="00710B11" w:rsidRDefault="00710B11" w:rsidRPr="00675D72">
            <w:pPr>
              <w:spacing w:before="29" w:line="360" w:lineRule="auto"/>
              <w:ind w:left="17"/>
              <w:jc w:val="right"/>
              <w:rPr>
                <w:color w:val="000000"/>
                <w:sz w:val="24"/>
              </w:rPr>
            </w:pPr>
            <w:r w:rsidRPr="00675D72">
              <w:rPr>
                <w:color w:val="000000"/>
                <w:sz w:val="24"/>
              </w:rPr>
              <w:t>247,857,493.44</w:t>
            </w:r>
          </w:p>
        </w:tc>
        <w:tc>
          <w:tcPr>
            <w:tcW w:type="dxa" w:w="1984"/>
            <w:vAlign w:val="center"/>
          </w:tcPr>
          <w:p w:rsidP="00546492" w:rsidR="00710B11" w:rsidRDefault="00710B11" w:rsidRPr="00675D72">
            <w:pPr>
              <w:spacing w:before="29" w:line="360" w:lineRule="auto"/>
              <w:ind w:left="17"/>
              <w:jc w:val="right"/>
              <w:rPr>
                <w:color w:val="000000"/>
                <w:sz w:val="24"/>
              </w:rPr>
            </w:pPr>
            <w:r w:rsidRPr="00675D72">
              <w:rPr>
                <w:color w:val="000000"/>
                <w:sz w:val="24"/>
              </w:rPr>
              <w:t>25.93</w:t>
            </w:r>
          </w:p>
        </w:tc>
      </w:tr>
      <w:tr w:rsidR="00710B11" w:rsidRPr="00675D72" w:rsidTr="00546492">
        <w:tc>
          <w:tcPr>
            <w:tcW w:type="dxa" w:w="817"/>
            <w:vAlign w:val="center"/>
          </w:tcPr>
          <w:p w:rsidP="00546492" w:rsidR="00710B11" w:rsidRDefault="00710B11" w:rsidRPr="00675D72">
            <w:pPr>
              <w:spacing w:before="29" w:line="360" w:lineRule="auto"/>
              <w:ind w:left="17"/>
              <w:jc w:val="center"/>
              <w:rPr>
                <w:color w:val="000000"/>
                <w:sz w:val="24"/>
              </w:rPr>
            </w:pPr>
            <w:r w:rsidRPr="00675D72">
              <w:rPr>
                <w:color w:val="000000"/>
                <w:sz w:val="24"/>
              </w:rPr>
              <w:t>8</w:t>
            </w:r>
          </w:p>
        </w:tc>
        <w:tc>
          <w:tcPr>
            <w:tcW w:type="dxa" w:w="3260"/>
            <w:vAlign w:val="center"/>
          </w:tcPr>
          <w:p w:rsidP="00546492" w:rsidR="00710B11" w:rsidRDefault="00710B11" w:rsidRPr="00675D72">
            <w:pPr>
              <w:spacing w:before="29" w:line="360" w:lineRule="auto"/>
              <w:ind w:left="17"/>
              <w:jc w:val="left"/>
              <w:rPr>
                <w:color w:val="000000"/>
                <w:sz w:val="24"/>
              </w:rPr>
            </w:pPr>
            <w:r w:rsidRPr="00675D72">
              <w:rPr>
                <w:color w:val="000000"/>
                <w:sz w:val="24"/>
              </w:rPr>
              <w:t>其他</w:t>
            </w:r>
          </w:p>
        </w:tc>
        <w:tc>
          <w:tcPr>
            <w:tcW w:type="dxa" w:w="3119"/>
            <w:vAlign w:val="center"/>
          </w:tcPr>
          <w:p w:rsidP="00546492" w:rsidR="00710B11" w:rsidRDefault="00710B11" w:rsidRPr="00675D72">
            <w:pPr>
              <w:spacing w:before="29" w:line="360" w:lineRule="auto"/>
              <w:ind w:left="17"/>
              <w:jc w:val="right"/>
              <w:rPr>
                <w:color w:val="000000"/>
                <w:sz w:val="24"/>
              </w:rPr>
            </w:pPr>
            <w:r w:rsidRPr="00675D72">
              <w:rPr>
                <w:color w:val="000000"/>
                <w:sz w:val="24"/>
              </w:rPr>
              <w:t>-</w:t>
            </w:r>
          </w:p>
        </w:tc>
        <w:tc>
          <w:tcPr>
            <w:tcW w:type="dxa" w:w="1984"/>
            <w:vAlign w:val="center"/>
          </w:tcPr>
          <w:p w:rsidP="00546492" w:rsidR="00710B11" w:rsidRDefault="00710B11" w:rsidRPr="00675D72">
            <w:pPr>
              <w:spacing w:before="29" w:line="360" w:lineRule="auto"/>
              <w:ind w:left="17"/>
              <w:jc w:val="right"/>
              <w:rPr>
                <w:color w:val="000000"/>
                <w:sz w:val="24"/>
              </w:rPr>
            </w:pPr>
            <w:r w:rsidRPr="00675D72">
              <w:rPr>
                <w:color w:val="000000"/>
                <w:sz w:val="24"/>
              </w:rPr>
              <w:t>-</w:t>
            </w:r>
          </w:p>
        </w:tc>
      </w:tr>
      <w:tr w:rsidR="00710B11" w:rsidRPr="00675D72" w:rsidTr="00546492">
        <w:tc>
          <w:tcPr>
            <w:tcW w:type="dxa" w:w="817"/>
            <w:vAlign w:val="center"/>
          </w:tcPr>
          <w:p w:rsidP="00546492" w:rsidR="00710B11" w:rsidRDefault="00710B11" w:rsidRPr="00675D72">
            <w:pPr>
              <w:spacing w:before="29" w:line="360" w:lineRule="auto"/>
              <w:ind w:left="17"/>
              <w:jc w:val="center"/>
              <w:rPr>
                <w:color w:val="000000"/>
                <w:sz w:val="24"/>
              </w:rPr>
            </w:pPr>
            <w:r w:rsidRPr="00675D72">
              <w:rPr>
                <w:color w:val="000000"/>
                <w:sz w:val="24"/>
              </w:rPr>
              <w:t>9</w:t>
            </w:r>
          </w:p>
        </w:tc>
        <w:tc>
          <w:tcPr>
            <w:tcW w:type="dxa" w:w="3260"/>
            <w:vAlign w:val="center"/>
          </w:tcPr>
          <w:p w:rsidP="00546492" w:rsidR="00710B11" w:rsidRDefault="00710B11" w:rsidRPr="00675D72">
            <w:pPr>
              <w:spacing w:before="29" w:line="360" w:lineRule="auto"/>
              <w:ind w:left="17"/>
              <w:jc w:val="left"/>
              <w:rPr>
                <w:color w:val="000000"/>
                <w:sz w:val="24"/>
              </w:rPr>
            </w:pPr>
            <w:r w:rsidRPr="00675D72">
              <w:rPr>
                <w:color w:val="000000"/>
                <w:sz w:val="24"/>
              </w:rPr>
              <w:t>合计</w:t>
            </w:r>
          </w:p>
        </w:tc>
        <w:tc>
          <w:tcPr>
            <w:tcW w:type="dxa" w:w="3119"/>
            <w:vAlign w:val="center"/>
          </w:tcPr>
          <w:p w:rsidP="00546492" w:rsidR="00710B11" w:rsidRDefault="00710B11" w:rsidRPr="00675D72">
            <w:pPr>
              <w:spacing w:before="29" w:line="360" w:lineRule="auto"/>
              <w:ind w:left="17"/>
              <w:jc w:val="right"/>
              <w:rPr>
                <w:color w:val="000000"/>
                <w:sz w:val="24"/>
              </w:rPr>
            </w:pPr>
            <w:r w:rsidRPr="00675D72">
              <w:rPr>
                <w:color w:val="000000"/>
                <w:sz w:val="24"/>
              </w:rPr>
              <w:t>338,230,672.23</w:t>
            </w:r>
          </w:p>
        </w:tc>
        <w:tc>
          <w:tcPr>
            <w:tcW w:type="dxa" w:w="1984"/>
            <w:vAlign w:val="center"/>
          </w:tcPr>
          <w:p w:rsidP="00546492" w:rsidR="00710B11" w:rsidRDefault="00710B11" w:rsidRPr="00675D72">
            <w:pPr>
              <w:spacing w:before="29" w:line="360" w:lineRule="auto"/>
              <w:ind w:left="17"/>
              <w:jc w:val="right"/>
              <w:rPr>
                <w:color w:val="000000"/>
                <w:sz w:val="24"/>
              </w:rPr>
            </w:pPr>
            <w:r w:rsidRPr="00675D72">
              <w:rPr>
                <w:color w:val="000000"/>
                <w:sz w:val="24"/>
              </w:rPr>
              <w:t/>
            </w:r>
            <w:r w:rsidRPr="00675D72">
              <w:rPr>
                <w:color w:val="000000"/>
                <w:sz w:val="24"/>
              </w:rPr>
              <w:lastRenderedPageBreak/>
              <w:t>35.39</w:t>
            </w:r>
          </w:p>
        </w:tc>
      </w:tr>
      <w:tr w:rsidR="00710B11" w:rsidRPr="00675D72" w:rsidTr="00546492">
        <w:tc>
          <w:tcPr>
            <w:tcW w:type="dxa" w:w="817"/>
            <w:vAlign w:val="center"/>
          </w:tcPr>
          <w:p w:rsidP="00546492" w:rsidR="00710B11" w:rsidRDefault="00710B11" w:rsidRPr="00675D72">
            <w:pPr>
              <w:spacing w:before="29" w:line="360" w:lineRule="auto"/>
              <w:ind w:left="17"/>
              <w:jc w:val="center"/>
              <w:rPr>
                <w:color w:val="000000"/>
                <w:sz w:val="24"/>
              </w:rPr>
            </w:pPr>
            <w:r w:rsidRPr="00675D72">
              <w:rPr>
                <w:color w:val="000000"/>
                <w:sz w:val="24"/>
              </w:rPr>
              <w:lastRenderedPageBreak/>
              <w:t>10</w:t>
            </w:r>
          </w:p>
        </w:tc>
        <w:tc>
          <w:tcPr>
            <w:tcW w:type="dxa" w:w="3260"/>
            <w:vAlign w:val="center"/>
          </w:tcPr>
          <w:p w:rsidP="00546492" w:rsidR="00710B11" w:rsidRDefault="00710B11" w:rsidRPr="00675D72">
            <w:pPr>
              <w:spacing w:before="29" w:line="360" w:lineRule="auto"/>
              <w:ind w:left="17"/>
              <w:jc w:val="left"/>
              <w:rPr>
                <w:color w:val="000000"/>
                <w:sz w:val="24"/>
              </w:rPr>
            </w:pPr>
            <w:r w:rsidRPr="00675D72">
              <w:rPr>
                <w:color w:val="000000"/>
                <w:sz w:val="24"/>
              </w:rPr>
              <w:t>剩余存续期超过</w:t>
            </w:r>
            <w:r w:rsidRPr="00675D72">
              <w:rPr>
                <w:color w:val="000000"/>
                <w:sz w:val="24"/>
              </w:rPr>
              <w:t>397</w:t>
            </w:r>
            <w:r w:rsidRPr="00675D72">
              <w:rPr>
                <w:color w:val="000000"/>
                <w:sz w:val="24"/>
              </w:rPr>
              <w:t>天的浮动利率债券</w:t>
            </w:r>
          </w:p>
        </w:tc>
        <w:tc>
          <w:tcPr>
            <w:tcW w:type="dxa" w:w="3119"/>
            <w:vAlign w:val="center"/>
          </w:tcPr>
          <w:p w:rsidP="00546492" w:rsidR="00710B11" w:rsidRDefault="00710B11" w:rsidRPr="00675D72">
            <w:pPr>
              <w:spacing w:before="29" w:line="360" w:lineRule="auto"/>
              <w:ind w:left="17"/>
              <w:jc w:val="right"/>
              <w:rPr>
                <w:color w:val="000000"/>
                <w:sz w:val="24"/>
              </w:rPr>
            </w:pPr>
            <w:r w:rsidRPr="00675D72">
              <w:rPr>
                <w:color w:val="000000"/>
                <w:sz w:val="24"/>
              </w:rPr>
              <w:t>-</w:t>
            </w:r>
          </w:p>
        </w:tc>
        <w:tc>
          <w:tcPr>
            <w:tcW w:type="dxa" w:w="1984"/>
            <w:vAlign w:val="center"/>
          </w:tcPr>
          <w:p w:rsidP="00546492" w:rsidR="00710B11" w:rsidRDefault="00710B11" w:rsidRPr="00675D72">
            <w:pPr>
              <w:spacing w:before="29" w:line="360" w:lineRule="auto"/>
              <w:ind w:left="17"/>
              <w:jc w:val="right"/>
              <w:rPr>
                <w:color w:val="000000"/>
                <w:sz w:val="24"/>
              </w:rPr>
            </w:pPr>
            <w:r w:rsidRPr="00675D72">
              <w:rPr>
                <w:color w:val="000000"/>
                <w:sz w:val="24"/>
              </w:rPr>
              <w:t>-</w:t>
            </w:r>
          </w:p>
        </w:tc>
      </w:tr>
    </w:tbl>
    <w:p w:rsidP="00196812" w:rsidR="00EA3F40" w:rsidRDefault="00EA3F40" w:rsidRPr="0097021E">
      <w:pPr>
        <w:spacing w:line="360" w:lineRule="auto"/>
        <w:rPr>
          <w:rFonts w:ascii="宋体" w:cs="Arial"/>
          <w:b/>
          <w:color w:val="000000"/>
          <w:kern w:val="0"/>
          <w:sz w:val="24"/>
        </w:rPr>
      </w:pPr>
      <w:r w:rsidRPr="0097021E">
        <w:rPr>
          <w:rFonts w:ascii="宋体" w:cs="Arial" w:hAnsi="宋体"/>
          <w:b/>
          <w:color w:val="000000"/>
          <w:kern w:val="0"/>
          <w:sz w:val="24"/>
        </w:rPr>
        <w:t>5.</w:t>
      </w:r>
      <w:r w:rsidR="007A1ACF">
        <w:rPr>
          <w:rFonts w:ascii="宋体" w:cs="Arial" w:hAnsi="宋体" w:hint="eastAsia"/>
          <w:b/>
          <w:color w:val="000000"/>
          <w:kern w:val="0"/>
          <w:sz w:val="24"/>
        </w:rPr>
        <w:t>6</w:t>
      </w:r>
      <w:r w:rsidRPr="0097021E">
        <w:rPr>
          <w:rFonts w:ascii="宋体" w:cs="Arial" w:hAnsi="宋体"/>
          <w:b/>
          <w:color w:val="000000"/>
          <w:kern w:val="0"/>
          <w:sz w:val="24"/>
        </w:rPr>
        <w:t xml:space="preserve"> </w:t>
      </w:r>
      <w:r w:rsidR="00AD6777">
        <w:rPr>
          <w:rFonts w:ascii="宋体" w:cs="Arial" w:hAnsi="宋体" w:hint="eastAsia"/>
          <w:b/>
          <w:color w:val="000000"/>
          <w:kern w:val="0"/>
          <w:sz w:val="24"/>
        </w:rPr>
        <w:t>报告期末按摊余成本占基金资产净值比例大小排名</w:t>
      </w:r>
      <w:r w:rsidRPr="0097021E">
        <w:rPr>
          <w:rFonts w:ascii="宋体" w:cs="Arial" w:hAnsi="宋体" w:hint="eastAsia"/>
          <w:b/>
          <w:color w:val="000000"/>
          <w:kern w:val="0"/>
          <w:sz w:val="24"/>
        </w:rPr>
        <w:t>的前十名债券投资明细</w:t>
      </w:r>
    </w:p>
    <w:tbl>
      <w:tblPr>
        <w:tblW w:type="auto" w:w="0"/>
        <w:tblInd w:type="dxa" w:w="15"/>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ook w:firstColumn="1" w:firstRow="1" w:lastColumn="0" w:lastRow="0" w:noHBand="0" w:noVBand="0" w:val="00A0"/>
      </w:tblPr>
      <w:tblGrid>
        <w:gridCol w:w="1227"/>
        <w:gridCol w:w="1226"/>
        <w:gridCol w:w="1226"/>
        <w:gridCol w:w="2047"/>
        <w:gridCol w:w="1840"/>
        <w:gridCol w:w="1721"/>
      </w:tblGrid>
      <w:tr w:rsidR="00EA3F40" w:rsidRPr="0097021E" w:rsidTr="00053472">
        <w:tc>
          <w:tcPr>
            <w:tcW w:type="dxa" w:w="1262"/>
            <w:vAlign w:val="center"/>
          </w:tcPr>
          <w:p w:rsidP="00841A22" w:rsidR="00EA3F40" w:rsidRDefault="00EA3F40"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t>序号</w:t>
            </w:r>
          </w:p>
        </w:tc>
        <w:tc>
          <w:tcPr>
            <w:tcW w:type="dxa" w:w="1262"/>
            <w:vAlign w:val="center"/>
          </w:tcPr>
          <w:p w:rsidP="00841A22" w:rsidR="00EA3F40" w:rsidRDefault="00EA3F40"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t>债券代码</w:t>
            </w:r>
          </w:p>
        </w:tc>
        <w:tc>
          <w:tcPr>
            <w:tcW w:type="dxa" w:w="1262"/>
            <w:vAlign w:val="center"/>
          </w:tcPr>
          <w:p w:rsidP="00841A22" w:rsidR="00EA3F40" w:rsidRDefault="00EA3F40"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t>债券名称</w:t>
            </w:r>
          </w:p>
        </w:tc>
        <w:tc>
          <w:tcPr>
            <w:tcW w:type="dxa" w:w="2119"/>
            <w:vAlign w:val="center"/>
          </w:tcPr>
          <w:p w:rsidP="00841A22" w:rsidR="00EA3F40" w:rsidRDefault="00EA3F40"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t>债券数量</w:t>
            </w:r>
          </w:p>
          <w:p w:rsidP="007C3671" w:rsidR="00EA3F40" w:rsidRDefault="007C3671"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t>（张）</w:t>
            </w:r>
          </w:p>
        </w:tc>
        <w:tc>
          <w:tcPr>
            <w:tcW w:type="dxa" w:w="1787"/>
            <w:vAlign w:val="center"/>
          </w:tcPr>
          <w:p w:rsidP="007C3671" w:rsidR="00EA3F40" w:rsidRDefault="00EA3F40"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t>摊余成本</w:t>
            </w:r>
            <w:r w:rsidR="007C3671" w:rsidRPr="00613409">
              <w:rPr>
                <w:color w:val="000000"/>
                <w:kern w:val="0"/>
                <w:sz w:val="24"/>
              </w:rPr>
              <w:t>（元）</w:t>
            </w:r>
          </w:p>
        </w:tc>
        <w:tc>
          <w:tcPr>
            <w:tcW w:type="dxa" w:w="1595"/>
            <w:vAlign w:val="center"/>
          </w:tcPr>
          <w:p w:rsidP="00841A22" w:rsidR="00EA3F40" w:rsidRDefault="00EA3F40"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t>占基金资产净值比例（％）</w:t>
            </w:r>
          </w:p>
        </w:tc>
      </w:tr>
      <w:tr>
        <w:tc>
          <w:tcPr>
            <w:vAlign w:val="center"/>
          </w:tcPr>
          <w:p>
            <w:pPr>
              <w:jc w:val="center"/>
            </w:pPr>
            <w:r>
              <w:rPr>
                <w:color w:val="000000"/>
                <w:sz w:val="24"/>
              </w:rPr>
              <w:t>1</w:t>
            </w:r>
          </w:p>
        </w:tc>
        <w:tc>
          <w:tcPr>
            <w:vAlign w:val="center"/>
          </w:tcPr>
          <w:p>
            <w:pPr>
              <w:jc w:val="center"/>
            </w:pPr>
            <w:r>
              <w:rPr>
                <w:color w:val="000000"/>
                <w:sz w:val="24"/>
              </w:rPr>
              <w:t>200201</w:t>
            </w:r>
          </w:p>
        </w:tc>
        <w:tc>
          <w:tcPr>
            <w:vAlign w:val="center"/>
          </w:tcPr>
          <w:p>
            <w:pPr>
              <w:jc w:val="center"/>
            </w:pPr>
            <w:r>
              <w:rPr>
                <w:color w:val="000000"/>
                <w:sz w:val="24"/>
              </w:rPr>
              <w:t>20国开01</w:t>
            </w:r>
          </w:p>
        </w:tc>
        <w:tc>
          <w:tcPr>
            <w:vAlign w:val="center"/>
          </w:tcPr>
          <w:p>
            <w:pPr>
              <w:jc w:val="right"/>
            </w:pPr>
            <w:r>
              <w:rPr>
                <w:color w:val="000000"/>
                <w:sz w:val="24"/>
              </w:rPr>
              <w:t>500,000</w:t>
            </w:r>
          </w:p>
        </w:tc>
        <w:tc>
          <w:tcPr>
            <w:vAlign w:val="center"/>
          </w:tcPr>
          <w:p>
            <w:pPr>
              <w:jc w:val="right"/>
            </w:pPr>
            <w:r>
              <w:rPr>
                <w:color w:val="000000"/>
                <w:sz w:val="24"/>
              </w:rPr>
              <w:t>50,099,466.01</w:t>
            </w:r>
          </w:p>
        </w:tc>
        <w:tc>
          <w:tcPr>
            <w:vAlign w:val="center"/>
          </w:tcPr>
          <w:p>
            <w:pPr>
              <w:jc w:val="right"/>
            </w:pPr>
            <w:r>
              <w:rPr>
                <w:color w:val="000000"/>
                <w:sz w:val="24"/>
              </w:rPr>
              <w:t>5.24</w:t>
            </w:r>
          </w:p>
        </w:tc>
      </w:tr>
      <w:tr>
        <w:tc>
          <w:tcPr>
            <w:vAlign w:val="center"/>
          </w:tcPr>
          <w:p>
            <w:pPr>
              <w:jc w:val="center"/>
            </w:pPr>
            <w:r>
              <w:rPr>
                <w:color w:val="000000"/>
                <w:sz w:val="24"/>
              </w:rPr>
              <w:t>2</w:t>
            </w:r>
          </w:p>
        </w:tc>
        <w:tc>
          <w:tcPr>
            <w:vAlign w:val="center"/>
          </w:tcPr>
          <w:p>
            <w:pPr>
              <w:jc w:val="center"/>
            </w:pPr>
            <w:r>
              <w:rPr>
                <w:color w:val="000000"/>
                <w:sz w:val="24"/>
              </w:rPr>
              <w:t>112017193</w:t>
            </w:r>
          </w:p>
        </w:tc>
        <w:tc>
          <w:tcPr>
            <w:vAlign w:val="center"/>
          </w:tcPr>
          <w:p>
            <w:pPr>
              <w:jc w:val="center"/>
            </w:pPr>
            <w:r>
              <w:rPr>
                <w:color w:val="000000"/>
                <w:sz w:val="24"/>
              </w:rPr>
              <w:t>20光大银行CD193</w:t>
            </w:r>
          </w:p>
        </w:tc>
        <w:tc>
          <w:tcPr>
            <w:vAlign w:val="center"/>
          </w:tcPr>
          <w:p>
            <w:pPr>
              <w:jc w:val="right"/>
            </w:pPr>
            <w:r>
              <w:rPr>
                <w:color w:val="000000"/>
                <w:sz w:val="24"/>
              </w:rPr>
              <w:t>500,000</w:t>
            </w:r>
          </w:p>
        </w:tc>
        <w:tc>
          <w:tcPr>
            <w:vAlign w:val="center"/>
          </w:tcPr>
          <w:p>
            <w:pPr>
              <w:jc w:val="right"/>
            </w:pPr>
            <w:r>
              <w:rPr>
                <w:color w:val="000000"/>
                <w:sz w:val="24"/>
              </w:rPr>
              <w:t>49,826,499.22</w:t>
            </w:r>
          </w:p>
        </w:tc>
        <w:tc>
          <w:tcPr>
            <w:vAlign w:val="center"/>
          </w:tcPr>
          <w:p>
            <w:pPr>
              <w:jc w:val="right"/>
            </w:pPr>
            <w:r>
              <w:rPr>
                <w:color w:val="000000"/>
                <w:sz w:val="24"/>
              </w:rPr>
              <w:t>5.21</w:t>
            </w:r>
          </w:p>
        </w:tc>
      </w:tr>
      <w:tr>
        <w:tc>
          <w:tcPr>
            <w:vAlign w:val="center"/>
          </w:tcPr>
          <w:p>
            <w:pPr>
              <w:jc w:val="center"/>
            </w:pPr>
            <w:r>
              <w:rPr>
                <w:color w:val="000000"/>
                <w:sz w:val="24"/>
              </w:rPr>
              <w:t>3</w:t>
            </w:r>
          </w:p>
        </w:tc>
        <w:tc>
          <w:tcPr>
            <w:vAlign w:val="center"/>
          </w:tcPr>
          <w:p>
            <w:pPr>
              <w:jc w:val="center"/>
            </w:pPr>
            <w:r>
              <w:rPr>
                <w:color w:val="000000"/>
                <w:sz w:val="24"/>
              </w:rPr>
              <w:t>112010388</w:t>
            </w:r>
          </w:p>
        </w:tc>
        <w:tc>
          <w:tcPr>
            <w:vAlign w:val="center"/>
          </w:tcPr>
          <w:p>
            <w:pPr>
              <w:jc w:val="center"/>
            </w:pPr>
            <w:r>
              <w:rPr>
                <w:color w:val="000000"/>
                <w:sz w:val="24"/>
              </w:rPr>
              <w:t>20兴业银行CD388</w:t>
            </w:r>
          </w:p>
        </w:tc>
        <w:tc>
          <w:tcPr>
            <w:vAlign w:val="center"/>
          </w:tcPr>
          <w:p>
            <w:pPr>
              <w:jc w:val="right"/>
            </w:pPr>
            <w:r>
              <w:rPr>
                <w:color w:val="000000"/>
                <w:sz w:val="24"/>
              </w:rPr>
              <w:t>500,000</w:t>
            </w:r>
          </w:p>
        </w:tc>
        <w:tc>
          <w:tcPr>
            <w:vAlign w:val="center"/>
          </w:tcPr>
          <w:p>
            <w:pPr>
              <w:jc w:val="right"/>
            </w:pPr>
            <w:r>
              <w:rPr>
                <w:color w:val="000000"/>
                <w:sz w:val="24"/>
              </w:rPr>
              <w:t>49,724,146.03</w:t>
            </w:r>
          </w:p>
        </w:tc>
        <w:tc>
          <w:tcPr>
            <w:vAlign w:val="center"/>
          </w:tcPr>
          <w:p>
            <w:pPr>
              <w:jc w:val="right"/>
            </w:pPr>
            <w:r>
              <w:rPr>
                <w:color w:val="000000"/>
                <w:sz w:val="24"/>
              </w:rPr>
              <w:t>5.20</w:t>
            </w:r>
          </w:p>
        </w:tc>
      </w:tr>
      <w:tr>
        <w:tc>
          <w:tcPr>
            <w:vAlign w:val="center"/>
          </w:tcPr>
          <w:p>
            <w:pPr>
              <w:jc w:val="center"/>
            </w:pPr>
            <w:r>
              <w:rPr>
                <w:color w:val="000000"/>
                <w:sz w:val="24"/>
              </w:rPr>
              <w:t>4</w:t>
            </w:r>
          </w:p>
        </w:tc>
        <w:tc>
          <w:tcPr>
            <w:vAlign w:val="center"/>
          </w:tcPr>
          <w:p>
            <w:pPr>
              <w:jc w:val="center"/>
            </w:pPr>
            <w:r>
              <w:rPr>
                <w:color w:val="000000"/>
                <w:sz w:val="24"/>
              </w:rPr>
              <w:t>112022023</w:t>
            </w:r>
          </w:p>
        </w:tc>
        <w:tc>
          <w:tcPr>
            <w:vAlign w:val="center"/>
          </w:tcPr>
          <w:p>
            <w:pPr>
              <w:jc w:val="center"/>
            </w:pPr>
            <w:r>
              <w:rPr>
                <w:color w:val="000000"/>
                <w:sz w:val="24"/>
              </w:rPr>
              <w:t>20邮储银行CD023</w:t>
            </w:r>
          </w:p>
        </w:tc>
        <w:tc>
          <w:tcPr>
            <w:vAlign w:val="center"/>
          </w:tcPr>
          <w:p>
            <w:pPr>
              <w:jc w:val="right"/>
            </w:pPr>
            <w:r>
              <w:rPr>
                <w:color w:val="000000"/>
                <w:sz w:val="24"/>
              </w:rPr>
              <w:t>500,000</w:t>
            </w:r>
          </w:p>
        </w:tc>
        <w:tc>
          <w:tcPr>
            <w:vAlign w:val="center"/>
          </w:tcPr>
          <w:p>
            <w:pPr>
              <w:jc w:val="right"/>
            </w:pPr>
            <w:r>
              <w:rPr>
                <w:color w:val="000000"/>
                <w:sz w:val="24"/>
              </w:rPr>
              <w:t>49,574,071.48</w:t>
            </w:r>
          </w:p>
        </w:tc>
        <w:tc>
          <w:tcPr>
            <w:vAlign w:val="center"/>
          </w:tcPr>
          <w:p>
            <w:pPr>
              <w:jc w:val="right"/>
            </w:pPr>
            <w:r>
              <w:rPr>
                <w:color w:val="000000"/>
                <w:sz w:val="24"/>
              </w:rPr>
              <w:t>5.19</w:t>
            </w:r>
          </w:p>
        </w:tc>
      </w:tr>
      <w:tr>
        <w:tc>
          <w:tcPr>
            <w:vAlign w:val="center"/>
          </w:tcPr>
          <w:p>
            <w:pPr>
              <w:jc w:val="center"/>
            </w:pPr>
            <w:r>
              <w:rPr>
                <w:color w:val="000000"/>
                <w:sz w:val="24"/>
              </w:rPr>
              <w:t>5</w:t>
            </w:r>
          </w:p>
        </w:tc>
        <w:tc>
          <w:tcPr>
            <w:vAlign w:val="center"/>
          </w:tcPr>
          <w:p>
            <w:pPr>
              <w:jc w:val="center"/>
            </w:pPr>
            <w:r>
              <w:rPr>
                <w:color w:val="000000"/>
                <w:sz w:val="24"/>
              </w:rPr>
              <w:t>112006020</w:t>
            </w:r>
          </w:p>
        </w:tc>
        <w:tc>
          <w:tcPr>
            <w:vAlign w:val="center"/>
          </w:tcPr>
          <w:p>
            <w:pPr>
              <w:jc w:val="center"/>
            </w:pPr>
            <w:r>
              <w:rPr>
                <w:color w:val="000000"/>
                <w:sz w:val="24"/>
              </w:rPr>
              <w:t>20交通银行CD020</w:t>
            </w:r>
          </w:p>
        </w:tc>
        <w:tc>
          <w:tcPr>
            <w:vAlign w:val="center"/>
          </w:tcPr>
          <w:p>
            <w:pPr>
              <w:jc w:val="right"/>
            </w:pPr>
            <w:r>
              <w:rPr>
                <w:color w:val="000000"/>
                <w:sz w:val="24"/>
              </w:rPr>
              <w:t>500,000</w:t>
            </w:r>
          </w:p>
        </w:tc>
        <w:tc>
          <w:tcPr>
            <w:vAlign w:val="center"/>
          </w:tcPr>
          <w:p>
            <w:pPr>
              <w:jc w:val="right"/>
            </w:pPr>
            <w:r>
              <w:rPr>
                <w:color w:val="000000"/>
                <w:sz w:val="24"/>
              </w:rPr>
              <w:t>49,376,625.01</w:t>
            </w:r>
          </w:p>
        </w:tc>
        <w:tc>
          <w:tcPr>
            <w:vAlign w:val="center"/>
          </w:tcPr>
          <w:p>
            <w:pPr>
              <w:jc w:val="right"/>
            </w:pPr>
            <w:r>
              <w:rPr>
                <w:color w:val="000000"/>
                <w:sz w:val="24"/>
              </w:rPr>
              <w:t>5.17</w:t>
            </w:r>
          </w:p>
        </w:tc>
      </w:tr>
      <w:tr>
        <w:tc>
          <w:tcPr>
            <w:vAlign w:val="center"/>
          </w:tcPr>
          <w:p>
            <w:pPr>
              <w:jc w:val="center"/>
            </w:pPr>
            <w:r>
              <w:rPr>
                <w:color w:val="000000"/>
                <w:sz w:val="24"/>
              </w:rPr>
              <w:t>6</w:t>
            </w:r>
          </w:p>
        </w:tc>
        <w:tc>
          <w:tcPr>
            <w:vAlign w:val="center"/>
          </w:tcPr>
          <w:p>
            <w:pPr>
              <w:jc w:val="center"/>
            </w:pPr>
            <w:r>
              <w:rPr>
                <w:color w:val="000000"/>
                <w:sz w:val="24"/>
              </w:rPr>
              <w:t>112006029</w:t>
            </w:r>
          </w:p>
        </w:tc>
        <w:tc>
          <w:tcPr>
            <w:vAlign w:val="center"/>
          </w:tcPr>
          <w:p>
            <w:pPr>
              <w:jc w:val="center"/>
            </w:pPr>
            <w:r>
              <w:rPr>
                <w:color w:val="000000"/>
                <w:sz w:val="24"/>
              </w:rPr>
              <w:t>20交通银行CD029</w:t>
            </w:r>
          </w:p>
        </w:tc>
        <w:tc>
          <w:tcPr>
            <w:vAlign w:val="center"/>
          </w:tcPr>
          <w:p>
            <w:pPr>
              <w:jc w:val="right"/>
            </w:pPr>
            <w:r>
              <w:rPr>
                <w:color w:val="000000"/>
                <w:sz w:val="24"/>
              </w:rPr>
              <w:t>500,000</w:t>
            </w:r>
          </w:p>
        </w:tc>
        <w:tc>
          <w:tcPr>
            <w:vAlign w:val="center"/>
          </w:tcPr>
          <w:p>
            <w:pPr>
              <w:jc w:val="right"/>
            </w:pPr>
            <w:r>
              <w:rPr>
                <w:color w:val="000000"/>
                <w:sz w:val="24"/>
              </w:rPr>
              <w:t>49,356,151.70</w:t>
            </w:r>
          </w:p>
        </w:tc>
        <w:tc>
          <w:tcPr>
            <w:vAlign w:val="center"/>
          </w:tcPr>
          <w:p>
            <w:pPr>
              <w:jc w:val="right"/>
            </w:pPr>
            <w:r>
              <w:rPr>
                <w:color w:val="000000"/>
                <w:sz w:val="24"/>
              </w:rPr>
              <w:t>5.16</w:t>
            </w:r>
          </w:p>
        </w:tc>
      </w:tr>
      <w:tr>
        <w:tc>
          <w:tcPr>
            <w:vAlign w:val="center"/>
          </w:tcPr>
          <w:p>
            <w:pPr>
              <w:jc w:val="center"/>
            </w:pPr>
            <w:r>
              <w:rPr>
                <w:color w:val="000000"/>
                <w:sz w:val="24"/>
              </w:rPr>
              <w:t>7</w:t>
            </w:r>
          </w:p>
        </w:tc>
        <w:tc>
          <w:tcPr>
            <w:vAlign w:val="center"/>
          </w:tcPr>
          <w:p>
            <w:pPr>
              <w:jc w:val="center"/>
            </w:pPr>
            <w:r>
              <w:rPr>
                <w:color w:val="000000"/>
                <w:sz w:val="24"/>
              </w:rPr>
              <w:t>101800090</w:t>
            </w:r>
          </w:p>
        </w:tc>
        <w:tc>
          <w:tcPr>
            <w:vAlign w:val="center"/>
          </w:tcPr>
          <w:p>
            <w:pPr>
              <w:jc w:val="center"/>
            </w:pPr>
            <w:r>
              <w:rPr>
                <w:color w:val="000000"/>
                <w:sz w:val="24"/>
              </w:rPr>
              <w:t>18津城建MTN003</w:t>
            </w:r>
          </w:p>
        </w:tc>
        <w:tc>
          <w:tcPr>
            <w:vAlign w:val="center"/>
          </w:tcPr>
          <w:p>
            <w:pPr>
              <w:jc w:val="right"/>
            </w:pPr>
            <w:r>
              <w:rPr>
                <w:color w:val="000000"/>
                <w:sz w:val="24"/>
              </w:rPr>
              <w:t>100,000</w:t>
            </w:r>
          </w:p>
        </w:tc>
        <w:tc>
          <w:tcPr>
            <w:vAlign w:val="center"/>
          </w:tcPr>
          <w:p>
            <w:pPr>
              <w:jc w:val="right"/>
            </w:pPr>
            <w:r>
              <w:rPr>
                <w:color w:val="000000"/>
                <w:sz w:val="24"/>
              </w:rPr>
              <w:t>10,133,678.35</w:t>
            </w:r>
          </w:p>
        </w:tc>
        <w:tc>
          <w:tcPr>
            <w:vAlign w:val="center"/>
          </w:tcPr>
          <w:p>
            <w:pPr>
              <w:jc w:val="right"/>
            </w:pPr>
            <w:r>
              <w:rPr>
                <w:color w:val="000000"/>
                <w:sz w:val="24"/>
              </w:rPr>
              <w:t>1.06</w:t>
            </w:r>
          </w:p>
        </w:tc>
      </w:tr>
      <w:tr>
        <w:tc>
          <w:tcPr>
            <w:vAlign w:val="center"/>
          </w:tcPr>
          <w:p>
            <w:pPr>
              <w:jc w:val="center"/>
            </w:pPr>
            <w:r>
              <w:rPr>
                <w:color w:val="000000"/>
                <w:sz w:val="24"/>
              </w:rPr>
              <w:t>8</w:t>
            </w:r>
          </w:p>
        </w:tc>
        <w:tc>
          <w:tcPr>
            <w:vAlign w:val="center"/>
          </w:tcPr>
          <w:p>
            <w:pPr>
              <w:jc w:val="center"/>
            </w:pPr>
            <w:r>
              <w:rPr>
                <w:color w:val="000000"/>
                <w:sz w:val="24"/>
              </w:rPr>
              <w:t>101800370</w:t>
            </w:r>
          </w:p>
        </w:tc>
        <w:tc>
          <w:tcPr>
            <w:vAlign w:val="center"/>
          </w:tcPr>
          <w:p>
            <w:pPr>
              <w:jc w:val="center"/>
            </w:pPr>
            <w:r>
              <w:rPr>
                <w:color w:val="000000"/>
                <w:sz w:val="24"/>
              </w:rPr>
              <w:t>18河钢集MTN003</w:t>
            </w:r>
          </w:p>
        </w:tc>
        <w:tc>
          <w:tcPr>
            <w:vAlign w:val="center"/>
          </w:tcPr>
          <w:p>
            <w:pPr>
              <w:jc w:val="right"/>
            </w:pPr>
            <w:r>
              <w:rPr>
                <w:color w:val="000000"/>
                <w:sz w:val="24"/>
              </w:rPr>
              <w:t>100,000</w:t>
            </w:r>
          </w:p>
        </w:tc>
        <w:tc>
          <w:tcPr>
            <w:vAlign w:val="center"/>
          </w:tcPr>
          <w:p>
            <w:pPr>
              <w:jc w:val="right"/>
            </w:pPr>
            <w:r>
              <w:rPr>
                <w:color w:val="000000"/>
                <w:sz w:val="24"/>
              </w:rPr>
              <w:t>10,133,671.46</w:t>
            </w:r>
          </w:p>
        </w:tc>
        <w:tc>
          <w:tcPr>
            <w:vAlign w:val="center"/>
          </w:tcPr>
          <w:p>
            <w:pPr>
              <w:jc w:val="right"/>
            </w:pPr>
            <w:r>
              <w:rPr>
                <w:color w:val="000000"/>
                <w:sz w:val="24"/>
              </w:rPr>
              <w:t>1.06</w:t>
            </w:r>
          </w:p>
        </w:tc>
      </w:tr>
      <w:tr>
        <w:tc>
          <w:tcPr>
            <w:vAlign w:val="center"/>
          </w:tcPr>
          <w:p>
            <w:pPr>
              <w:jc w:val="center"/>
            </w:pPr>
            <w:r>
              <w:rPr>
                <w:color w:val="000000"/>
                <w:sz w:val="24"/>
              </w:rPr>
              <w:t>9</w:t>
            </w:r>
          </w:p>
        </w:tc>
        <w:tc>
          <w:tcPr>
            <w:vAlign w:val="center"/>
          </w:tcPr>
          <w:p>
            <w:pPr>
              <w:jc w:val="center"/>
            </w:pPr>
            <w:r>
              <w:rPr>
                <w:color w:val="000000"/>
                <w:sz w:val="24"/>
              </w:rPr>
              <w:t>101800238</w:t>
            </w:r>
          </w:p>
        </w:tc>
        <w:tc>
          <w:tcPr>
            <w:vAlign w:val="center"/>
          </w:tcPr>
          <w:p>
            <w:pPr>
              <w:jc w:val="center"/>
            </w:pPr>
            <w:r>
              <w:rPr>
                <w:color w:val="000000"/>
                <w:sz w:val="24"/>
              </w:rPr>
              <w:t>18兖矿MTN004</w:t>
            </w:r>
          </w:p>
        </w:tc>
        <w:tc>
          <w:tcPr>
            <w:vAlign w:val="center"/>
          </w:tcPr>
          <w:p>
            <w:pPr>
              <w:jc w:val="right"/>
            </w:pPr>
            <w:r>
              <w:rPr>
                <w:color w:val="000000"/>
                <w:sz w:val="24"/>
              </w:rPr>
              <w:t>100,000</w:t>
            </w:r>
          </w:p>
        </w:tc>
        <w:tc>
          <w:tcPr>
            <w:vAlign w:val="center"/>
          </w:tcPr>
          <w:p>
            <w:pPr>
              <w:jc w:val="right"/>
            </w:pPr>
            <w:r>
              <w:rPr>
                <w:color w:val="000000"/>
                <w:sz w:val="24"/>
              </w:rPr>
              <w:t>10,005,069.36</w:t>
            </w:r>
          </w:p>
        </w:tc>
        <w:tc>
          <w:tcPr>
            <w:vAlign w:val="center"/>
          </w:tcPr>
          <w:p>
            <w:pPr>
              <w:jc w:val="right"/>
            </w:pPr>
            <w:r>
              <w:rPr>
                <w:color w:val="000000"/>
                <w:sz w:val="24"/>
              </w:rPr>
              <w:t>1.05</w:t>
            </w:r>
          </w:p>
        </w:tc>
      </w:tr>
      <w:tr>
        <w:tc>
          <w:tcPr>
            <w:vAlign w:val="center"/>
          </w:tcPr>
          <w:p>
            <w:pPr>
              <w:jc w:val="center"/>
            </w:pPr>
            <w:r>
              <w:rPr>
                <w:color w:val="000000"/>
                <w:sz w:val="24"/>
              </w:rPr>
              <w:t>10</w:t>
            </w:r>
          </w:p>
        </w:tc>
        <w:tc>
          <w:tcPr>
            <w:vAlign w:val="center"/>
          </w:tcPr>
          <w:p>
            <w:pPr>
              <w:jc w:val="center"/>
            </w:pPr>
            <w:r>
              <w:rPr>
                <w:color w:val="000000"/>
                <w:sz w:val="24"/>
              </w:rPr>
              <w:t>012000720</w:t>
            </w:r>
          </w:p>
        </w:tc>
        <w:tc>
          <w:tcPr>
            <w:vAlign w:val="center"/>
          </w:tcPr>
          <w:p>
            <w:pPr>
              <w:jc w:val="center"/>
            </w:pPr>
            <w:r>
              <w:rPr>
                <w:color w:val="000000"/>
                <w:sz w:val="24"/>
              </w:rPr>
              <w:t>20青岛啤酒SCP001</w:t>
            </w:r>
          </w:p>
        </w:tc>
        <w:tc>
          <w:tcPr>
            <w:vAlign w:val="center"/>
          </w:tcPr>
          <w:p>
            <w:pPr>
              <w:jc w:val="right"/>
            </w:pPr>
            <w:r>
              <w:rPr>
                <w:color w:val="000000"/>
                <w:sz w:val="24"/>
              </w:rPr>
              <w:t>100,000</w:t>
            </w:r>
          </w:p>
        </w:tc>
        <w:tc>
          <w:tcPr>
            <w:vAlign w:val="center"/>
          </w:tcPr>
          <w:p>
            <w:pPr>
              <w:jc w:val="right"/>
            </w:pPr>
            <w:r>
              <w:rPr>
                <w:color w:val="000000"/>
                <w:sz w:val="24"/>
              </w:rPr>
              <w:t>10,001,293.61</w:t>
            </w:r>
          </w:p>
        </w:tc>
        <w:tc>
          <w:tcPr>
            <w:vAlign w:val="center"/>
          </w:tcPr>
          <w:p>
            <w:pPr>
              <w:jc w:val="right"/>
            </w:pPr>
            <w:r>
              <w:rPr>
                <w:color w:val="000000"/>
                <w:sz w:val="24"/>
              </w:rPr>
              <w:t>1.05</w:t>
            </w:r>
          </w:p>
        </w:tc>
      </w:tr>
    </w:tbl>
    <w:p w:rsidP="003A0EC1" w:rsidR="00EA3F40" w:rsidRDefault="00EA3F40" w:rsidRPr="0097021E">
      <w:pPr>
        <w:spacing w:line="360" w:lineRule="auto"/>
        <w:rPr>
          <w:rFonts w:ascii="宋体" w:cs="Arial"/>
          <w:b/>
          <w:color w:val="000000"/>
          <w:kern w:val="0"/>
          <w:sz w:val="24"/>
        </w:rPr>
      </w:pPr>
      <w:r w:rsidRPr="0097021E">
        <w:rPr>
          <w:rFonts w:ascii="宋体" w:cs="Arial" w:hAnsi="宋体"/>
          <w:b/>
          <w:color w:val="000000"/>
          <w:kern w:val="0"/>
          <w:sz w:val="24"/>
        </w:rPr>
        <w:t>5.</w:t>
      </w:r>
      <w:r w:rsidR="007A1ACF">
        <w:rPr>
          <w:rFonts w:ascii="宋体" w:cs="Arial" w:hAnsi="宋体" w:hint="eastAsia"/>
          <w:b/>
          <w:color w:val="000000"/>
          <w:kern w:val="0"/>
          <w:sz w:val="24"/>
        </w:rPr>
        <w:t>7</w:t>
      </w:r>
      <w:r w:rsidRPr="0097021E">
        <w:rPr>
          <w:rFonts w:ascii="宋体" w:cs="Arial" w:hAnsi="宋体" w:hint="eastAsia"/>
          <w:b/>
          <w:color w:val="000000"/>
          <w:kern w:val="0"/>
          <w:sz w:val="24"/>
        </w:rPr>
        <w:t>“影子定价”与“摊余成本法”确定的基金资产净值的偏离</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0" w:firstRow="0" w:lastColumn="0" w:lastRow="0" w:noHBand="0" w:noVBand="0" w:val="0000"/>
      </w:tblPr>
      <w:tblGrid>
        <w:gridCol w:w="5812"/>
        <w:gridCol w:w="3382"/>
      </w:tblGrid>
      <w:tr w:rsidR="00EA3F40" w:rsidRPr="0097021E" w:rsidTr="00C526E2">
        <w:tc>
          <w:tcPr>
            <w:tcW w:type="dxa" w:w="5812"/>
            <w:vAlign w:val="center"/>
          </w:tcPr>
          <w:p w:rsidP="00196812" w:rsidR="00EA3F40" w:rsidRDefault="00EA3F40"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t>项目</w:t>
            </w:r>
            <w:r w:rsidRPr="00613409">
              <w:rPr>
                <w:color w:val="000000"/>
                <w:kern w:val="0"/>
                <w:sz w:val="24"/>
              </w:rPr>
              <w:t/>
            </w:r>
          </w:p>
        </w:tc>
        <w:tc>
          <w:tcPr>
            <w:tcW w:type="dxa" w:w="3382"/>
            <w:vAlign w:val="center"/>
          </w:tcPr>
          <w:p w:rsidP="00196812" w:rsidR="00EA3F40" w:rsidRDefault="00EA3F40"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t>偏离情况</w:t>
            </w:r>
          </w:p>
        </w:tc>
      </w:tr>
      <w:tr w:rsidR="00EA3F40" w:rsidRPr="0097021E" w:rsidTr="00C526E2">
        <w:tc>
          <w:tcPr>
            <w:tcW w:type="dxa" w:w="5812"/>
            <w:vAlign w:val="center"/>
          </w:tcPr>
          <w:p w:rsidP="00196812" w:rsidR="00EA3F40" w:rsidRDefault="00EA3F40" w:rsidRPr="00613409">
            <w:pPr>
              <w:autoSpaceDE w:val="0"/>
              <w:autoSpaceDN w:val="0"/>
              <w:adjustRightInd w:val="0"/>
              <w:spacing w:before="29" w:line="360" w:lineRule="auto"/>
              <w:ind w:left="15"/>
              <w:jc w:val="left"/>
              <w:rPr>
                <w:color w:val="000000"/>
                <w:kern w:val="0"/>
                <w:sz w:val="24"/>
              </w:rPr>
            </w:pPr>
            <w:r w:rsidRPr="00613409">
              <w:rPr>
                <w:color w:val="000000"/>
                <w:kern w:val="0"/>
                <w:sz w:val="24"/>
              </w:rPr>
              <w:t>报告期内偏离度的绝对值在</w:t>
            </w:r>
            <w:r w:rsidRPr="00613409">
              <w:rPr>
                <w:color w:val="000000"/>
                <w:kern w:val="0"/>
                <w:sz w:val="24"/>
              </w:rPr>
              <w:t>0.25(</w:t>
            </w:r>
            <w:r w:rsidRPr="00613409">
              <w:rPr>
                <w:color w:val="000000"/>
                <w:kern w:val="0"/>
                <w:sz w:val="24"/>
              </w:rPr>
              <w:t>含</w:t>
            </w:r>
            <w:r w:rsidRPr="00613409">
              <w:rPr>
                <w:color w:val="000000"/>
                <w:kern w:val="0"/>
                <w:sz w:val="24"/>
              </w:rPr>
              <w:t>)-0.5%</w:t>
            </w:r>
            <w:r w:rsidRPr="00613409">
              <w:rPr>
                <w:color w:val="000000"/>
                <w:kern w:val="0"/>
                <w:sz w:val="24"/>
              </w:rPr>
              <w:t>间的次数</w:t>
            </w:r>
          </w:p>
        </w:tc>
        <w:tc>
          <w:tcPr>
            <w:tcW w:type="dxa" w:w="3382"/>
            <w:vAlign w:val="bottom"/>
          </w:tcPr>
          <w:p w:rsidP="00196812" w:rsidR="00EA3F40" w:rsidRDefault="00EA3F40" w:rsidRPr="00613409">
            <w:pPr>
              <w:spacing w:line="360" w:lineRule="auto"/>
              <w:jc w:val="right"/>
              <w:rPr>
                <w:sz w:val="24"/>
              </w:rPr>
            </w:pPr>
            <w:r w:rsidRPr="00613409">
              <w:rPr>
                <w:color w:val="000000"/>
                <w:sz w:val="24"/>
              </w:rPr>
              <w:t/>
            </w:r>
            <w:r w:rsidRPr="00613409">
              <w:rPr>
                <w:color w:val="000000"/>
                <w:sz w:val="24"/>
              </w:rPr>
              <w:lastRenderedPageBreak/>
              <w:t>0</w:t>
            </w:r>
            <w:r w:rsidRPr="00613409">
              <w:rPr>
                <w:color w:val="000000"/>
                <w:sz w:val="24"/>
              </w:rPr>
              <w:t>次</w:t>
            </w:r>
          </w:p>
        </w:tc>
      </w:tr>
      <w:tr w:rsidR="00EA3F40" w:rsidRPr="0097021E" w:rsidTr="00C526E2">
        <w:tc>
          <w:tcPr>
            <w:tcW w:type="dxa" w:w="5812"/>
            <w:vAlign w:val="center"/>
          </w:tcPr>
          <w:p w:rsidP="00196812" w:rsidR="00EA3F40" w:rsidRDefault="00EA3F40" w:rsidRPr="00613409">
            <w:pPr>
              <w:autoSpaceDE w:val="0"/>
              <w:autoSpaceDN w:val="0"/>
              <w:adjustRightInd w:val="0"/>
              <w:spacing w:before="29" w:line="360" w:lineRule="auto"/>
              <w:ind w:left="15"/>
              <w:jc w:val="left"/>
              <w:rPr>
                <w:color w:val="000000"/>
                <w:kern w:val="0"/>
                <w:sz w:val="24"/>
              </w:rPr>
            </w:pPr>
            <w:r w:rsidRPr="00613409">
              <w:rPr>
                <w:color w:val="000000"/>
                <w:kern w:val="0"/>
                <w:sz w:val="24"/>
              </w:rPr>
              <w:lastRenderedPageBreak/>
              <w:t>报告期内偏离度的最高值</w:t>
            </w:r>
          </w:p>
        </w:tc>
        <w:tc>
          <w:tcPr>
            <w:tcW w:type="dxa" w:w="3382"/>
            <w:vAlign w:val="bottom"/>
          </w:tcPr>
          <w:p w:rsidP="00196812" w:rsidR="00EA3F40" w:rsidRDefault="00EA3F40" w:rsidRPr="00613409">
            <w:pPr>
              <w:spacing w:line="360" w:lineRule="auto"/>
              <w:jc w:val="right"/>
              <w:rPr>
                <w:sz w:val="24"/>
              </w:rPr>
            </w:pPr>
            <w:r w:rsidRPr="00613409">
              <w:rPr>
                <w:color w:val="000000"/>
                <w:sz w:val="24"/>
              </w:rPr>
              <w:t>0.0871%</w:t>
            </w:r>
          </w:p>
        </w:tc>
      </w:tr>
      <w:tr w:rsidR="00EA3F40" w:rsidRPr="0097021E" w:rsidTr="00C526E2">
        <w:tc>
          <w:tcPr>
            <w:tcW w:type="dxa" w:w="5812"/>
            <w:vAlign w:val="center"/>
          </w:tcPr>
          <w:p w:rsidP="00196812" w:rsidR="00EA3F40" w:rsidRDefault="00EA3F40" w:rsidRPr="00613409">
            <w:pPr>
              <w:autoSpaceDE w:val="0"/>
              <w:autoSpaceDN w:val="0"/>
              <w:adjustRightInd w:val="0"/>
              <w:spacing w:before="29" w:line="360" w:lineRule="auto"/>
              <w:ind w:left="15"/>
              <w:jc w:val="left"/>
              <w:rPr>
                <w:color w:val="000000"/>
                <w:kern w:val="0"/>
                <w:sz w:val="24"/>
              </w:rPr>
            </w:pPr>
            <w:r w:rsidRPr="00613409">
              <w:rPr>
                <w:color w:val="000000"/>
                <w:kern w:val="0"/>
                <w:sz w:val="24"/>
              </w:rPr>
              <w:t>报告期内偏离度的最低值</w:t>
            </w:r>
          </w:p>
        </w:tc>
        <w:tc>
          <w:tcPr>
            <w:tcW w:type="dxa" w:w="3382"/>
            <w:vAlign w:val="bottom"/>
          </w:tcPr>
          <w:p w:rsidP="00196812" w:rsidR="00EA3F40" w:rsidRDefault="00EA3F40" w:rsidRPr="00613409">
            <w:pPr>
              <w:spacing w:line="360" w:lineRule="auto"/>
              <w:jc w:val="right"/>
              <w:rPr>
                <w:sz w:val="24"/>
              </w:rPr>
            </w:pPr>
            <w:r w:rsidRPr="00613409">
              <w:rPr>
                <w:color w:val="000000"/>
                <w:sz w:val="24"/>
              </w:rPr>
              <w:t>0.0083%</w:t>
            </w:r>
          </w:p>
        </w:tc>
      </w:tr>
      <w:tr w:rsidR="00EA3F40" w:rsidRPr="0097021E" w:rsidTr="00C526E2">
        <w:tc>
          <w:tcPr>
            <w:tcW w:type="dxa" w:w="5812"/>
            <w:vAlign w:val="center"/>
          </w:tcPr>
          <w:p w:rsidP="00BD0F36" w:rsidR="00EA3F40" w:rsidRDefault="00EA3F40" w:rsidRPr="00613409">
            <w:pPr>
              <w:autoSpaceDE w:val="0"/>
              <w:autoSpaceDN w:val="0"/>
              <w:adjustRightInd w:val="0"/>
              <w:spacing w:before="29" w:line="360" w:lineRule="auto"/>
              <w:ind w:left="15"/>
              <w:jc w:val="left"/>
              <w:rPr>
                <w:color w:val="000000"/>
                <w:kern w:val="0"/>
                <w:sz w:val="24"/>
              </w:rPr>
            </w:pPr>
            <w:r w:rsidRPr="00613409">
              <w:rPr>
                <w:color w:val="000000"/>
                <w:kern w:val="0"/>
                <w:sz w:val="24"/>
              </w:rPr>
              <w:t>报告期内每个工作日偏离度的绝对值的简单平均值</w:t>
            </w:r>
          </w:p>
        </w:tc>
        <w:tc>
          <w:tcPr>
            <w:tcW w:type="dxa" w:w="3382"/>
            <w:vAlign w:val="bottom"/>
          </w:tcPr>
          <w:p w:rsidP="00196812" w:rsidR="00EA3F40" w:rsidRDefault="00EA3F40" w:rsidRPr="00613409">
            <w:pPr>
              <w:spacing w:line="360" w:lineRule="auto"/>
              <w:jc w:val="right"/>
              <w:rPr>
                <w:sz w:val="24"/>
              </w:rPr>
            </w:pPr>
            <w:r w:rsidRPr="00613409">
              <w:rPr>
                <w:color w:val="000000"/>
                <w:sz w:val="24"/>
              </w:rPr>
              <w:t>0.0372%</w:t>
            </w:r>
          </w:p>
        </w:tc>
      </w:tr>
    </w:tbl>
    <w:p w:rsidP="007A1ACF" w:rsidR="007A1ACF" w:rsidRDefault="007A1ACF" w:rsidRPr="007A1ACF">
      <w:pPr>
        <w:spacing w:line="360" w:lineRule="auto"/>
        <w:rPr>
          <w:b/>
          <w:color w:val="000000"/>
          <w:kern w:val="0"/>
          <w:sz w:val="24"/>
        </w:rPr>
      </w:pPr>
      <w:r w:rsidRPr="007A1ACF">
        <w:rPr>
          <w:b/>
          <w:color w:val="000000"/>
          <w:sz w:val="24"/>
        </w:rPr>
        <w:t>报告期内负偏离度的绝对值达到</w:t>
      </w:r>
      <w:r w:rsidRPr="007A1ACF">
        <w:rPr>
          <w:b/>
          <w:color w:val="000000"/>
          <w:sz w:val="24"/>
        </w:rPr>
        <w:t>0.25%</w:t>
      </w:r>
      <w:r w:rsidRPr="007A1ACF">
        <w:rPr>
          <w:b/>
          <w:color w:val="000000"/>
          <w:sz w:val="24"/>
        </w:rPr>
        <w:t>情况说明</w:t>
      </w:r>
    </w:p>
    <w:p w:rsidP="007A1ACF" w:rsidR="007A1ACF" w:rsidRDefault="007A1ACF" w:rsidRPr="007A1ACF">
      <w:pPr>
        <w:adjustRightInd w:val="0"/>
        <w:spacing w:line="360" w:lineRule="auto"/>
        <w:ind w:firstLine="480" w:firstLineChars="200"/>
        <w:rPr>
          <w:color w:val="000000"/>
          <w:sz w:val="24"/>
        </w:rPr>
      </w:pPr>
      <w:r w:rsidRPr="007A1ACF">
        <w:rPr>
          <w:color w:val="000000"/>
          <w:sz w:val="24"/>
        </w:rPr>
        <w:t>本基金本报告期内不存在负偏离度的绝对值达到0.25%的情况。</w:t>
      </w:r>
    </w:p>
    <w:p w:rsidP="007A1ACF" w:rsidR="007A1ACF" w:rsidRDefault="007A1ACF" w:rsidRPr="007A1ACF">
      <w:pPr>
        <w:spacing w:line="360" w:lineRule="auto"/>
        <w:rPr>
          <w:b/>
          <w:color w:val="000000"/>
          <w:kern w:val="0"/>
          <w:sz w:val="24"/>
        </w:rPr>
      </w:pPr>
      <w:r w:rsidRPr="007A1ACF">
        <w:rPr>
          <w:b/>
          <w:color w:val="000000"/>
          <w:sz w:val="24"/>
        </w:rPr>
        <w:t>报告期内正偏离度的绝对值达到</w:t>
      </w:r>
      <w:r w:rsidRPr="007A1ACF">
        <w:rPr>
          <w:b/>
          <w:color w:val="000000"/>
          <w:sz w:val="24"/>
        </w:rPr>
        <w:t>0.5%</w:t>
      </w:r>
      <w:r w:rsidRPr="007A1ACF">
        <w:rPr>
          <w:b/>
          <w:color w:val="000000"/>
          <w:sz w:val="24"/>
        </w:rPr>
        <w:t>情况说明</w:t>
      </w:r>
    </w:p>
    <w:p w:rsidP="00613409" w:rsidR="007A1ACF" w:rsidRDefault="007A1ACF" w:rsidRPr="007A1ACF">
      <w:pPr>
        <w:adjustRightInd w:val="0"/>
        <w:spacing w:line="360" w:lineRule="auto"/>
        <w:ind w:firstLine="480" w:firstLineChars="200"/>
        <w:rPr>
          <w:color w:val="000000"/>
          <w:sz w:val="24"/>
        </w:rPr>
      </w:pPr>
      <w:r w:rsidRPr="007A1ACF">
        <w:rPr>
          <w:color w:val="000000"/>
          <w:sz w:val="24"/>
        </w:rPr>
        <w:t>本基金本报告期内不存在正偏离度的绝对值达到0.5%的情况。</w:t>
      </w:r>
    </w:p>
    <w:p w:rsidP="00196812" w:rsidR="00EA3F40" w:rsidRDefault="00EA3F40" w:rsidRPr="0097021E">
      <w:pPr>
        <w:spacing w:line="360" w:lineRule="auto"/>
        <w:rPr>
          <w:rFonts w:ascii="宋体" w:cs="Arial"/>
          <w:b/>
          <w:color w:val="000000"/>
          <w:kern w:val="0"/>
          <w:sz w:val="24"/>
        </w:rPr>
      </w:pPr>
      <w:r w:rsidRPr="0097021E">
        <w:rPr>
          <w:rFonts w:ascii="宋体" w:cs="Arial" w:hAnsi="宋体"/>
          <w:b/>
          <w:color w:val="000000"/>
          <w:kern w:val="0"/>
          <w:sz w:val="24"/>
        </w:rPr>
        <w:t>5.</w:t>
      </w:r>
      <w:r w:rsidR="007A1ACF">
        <w:rPr>
          <w:rFonts w:ascii="宋体" w:cs="Arial" w:hAnsi="宋体" w:hint="eastAsia"/>
          <w:b/>
          <w:color w:val="000000"/>
          <w:kern w:val="0"/>
          <w:sz w:val="24"/>
        </w:rPr>
        <w:t>8</w:t>
      </w:r>
      <w:r w:rsidR="000375EA" w:rsidRPr="000375EA">
        <w:rPr>
          <w:rFonts w:ascii="宋体" w:cs="Arial" w:hAnsi="宋体" w:hint="eastAsia"/>
          <w:b/>
          <w:color w:val="000000"/>
          <w:kern w:val="0"/>
          <w:sz w:val="24"/>
        </w:rPr>
        <w:t>报告期末按摊余成本占基金资产净值比例大小排名的前十名资产支持证券投资明细</w:t>
      </w:r>
    </w:p>
    <w:tbl>
      <w:tblPr>
        <w:tblW w:type="auto" w:w="0"/>
        <w:tblInd w:type="dxa" w:w="15"/>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ook w:firstColumn="1" w:firstRow="1" w:lastColumn="0" w:lastRow="0" w:noHBand="0" w:noVBand="0" w:val="00A0"/>
      </w:tblPr>
      <w:tblGrid>
        <w:gridCol w:w="1411"/>
        <w:gridCol w:w="1410"/>
        <w:gridCol w:w="1410"/>
        <w:gridCol w:w="1685"/>
        <w:gridCol w:w="1685"/>
        <w:gridCol w:w="1686"/>
      </w:tblGrid>
      <w:tr w:rsidR="00EA3F40" w:rsidRPr="0097021E" w:rsidTr="00841A22">
        <w:tc>
          <w:tcPr>
            <w:tcW w:type="dxa" w:w="1547"/>
            <w:vAlign w:val="center"/>
          </w:tcPr>
          <w:p w:rsidP="00841A22" w:rsidR="00EA3F40" w:rsidRDefault="00EA3F40"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t>序号</w:t>
            </w:r>
          </w:p>
        </w:tc>
        <w:tc>
          <w:tcPr>
            <w:tcW w:type="dxa" w:w="1548"/>
            <w:vAlign w:val="center"/>
          </w:tcPr>
          <w:p w:rsidP="00841A22" w:rsidR="00EA3F40" w:rsidRDefault="00EA3F40"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t>证券代码</w:t>
            </w:r>
          </w:p>
        </w:tc>
        <w:tc>
          <w:tcPr>
            <w:tcW w:type="dxa" w:w="1548"/>
            <w:vAlign w:val="center"/>
          </w:tcPr>
          <w:p w:rsidP="00841A22" w:rsidR="00EA3F40" w:rsidRDefault="00EA3F40"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t>证券名称</w:t>
            </w:r>
          </w:p>
        </w:tc>
        <w:tc>
          <w:tcPr>
            <w:tcW w:type="dxa" w:w="1548"/>
            <w:vAlign w:val="center"/>
          </w:tcPr>
          <w:p w:rsidP="007C3671" w:rsidR="00EA3F40" w:rsidRDefault="00EA3F40"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t>数量</w:t>
            </w:r>
            <w:r w:rsidR="007C3671" w:rsidRPr="00613409">
              <w:rPr>
                <w:color w:val="000000"/>
                <w:kern w:val="0"/>
                <w:sz w:val="24"/>
              </w:rPr>
              <w:t>（份）</w:t>
            </w:r>
          </w:p>
        </w:tc>
        <w:tc>
          <w:tcPr>
            <w:tcW w:type="dxa" w:w="1548"/>
            <w:vAlign w:val="center"/>
          </w:tcPr>
          <w:p w:rsidP="007C3671" w:rsidR="00EA3F40" w:rsidRDefault="00DE4550" w:rsidRPr="00613409">
            <w:pPr>
              <w:autoSpaceDE w:val="0"/>
              <w:autoSpaceDN w:val="0"/>
              <w:adjustRightInd w:val="0"/>
              <w:spacing w:before="29" w:line="360" w:lineRule="auto"/>
              <w:ind w:left="15"/>
              <w:jc w:val="center"/>
              <w:rPr>
                <w:color w:val="000000"/>
                <w:kern w:val="0"/>
                <w:sz w:val="24"/>
              </w:rPr>
            </w:pPr>
            <w:r w:rsidRPr="00DE4550">
              <w:rPr>
                <w:rFonts w:hint="eastAsia"/>
                <w:color w:val="000000"/>
                <w:kern w:val="0"/>
                <w:sz w:val="24"/>
              </w:rPr>
              <w:t>摊余成本</w:t>
            </w:r>
            <w:r w:rsidR="007C3671" w:rsidRPr="00613409">
              <w:rPr>
                <w:color w:val="000000"/>
                <w:kern w:val="0"/>
                <w:sz w:val="24"/>
              </w:rPr>
              <w:t>（元）</w:t>
            </w:r>
          </w:p>
        </w:tc>
        <w:tc>
          <w:tcPr>
            <w:tcW w:type="dxa" w:w="1548"/>
            <w:vAlign w:val="center"/>
          </w:tcPr>
          <w:p w:rsidP="00841A22" w:rsidR="00EA3F40" w:rsidRDefault="00EA3F40"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t>占基金资产净值比例（％）</w:t>
            </w:r>
          </w:p>
        </w:tc>
      </w:tr>
      <w:tr>
        <w:tc>
          <w:tcPr>
            <w:vAlign w:val="center"/>
          </w:tcPr>
          <w:p>
            <w:pPr>
              <w:jc w:val="center"/>
            </w:pPr>
            <w:r>
              <w:rPr>
                <w:color w:val="000000"/>
                <w:sz w:val="24"/>
              </w:rPr>
              <w:t>1</w:t>
            </w:r>
          </w:p>
        </w:tc>
        <w:tc>
          <w:tcPr>
            <w:vAlign w:val="center"/>
          </w:tcPr>
          <w:p>
            <w:pPr>
              <w:jc w:val="center"/>
            </w:pPr>
            <w:r>
              <w:rPr>
                <w:color w:val="000000"/>
                <w:sz w:val="24"/>
              </w:rPr>
              <w:t>138276</w:t>
            </w:r>
          </w:p>
        </w:tc>
        <w:tc>
          <w:tcPr>
            <w:vAlign w:val="center"/>
          </w:tcPr>
          <w:p>
            <w:pPr>
              <w:jc w:val="center"/>
            </w:pPr>
            <w:r>
              <w:rPr>
                <w:color w:val="000000"/>
                <w:sz w:val="24"/>
              </w:rPr>
              <w:t>永熙优20</w:t>
            </w:r>
          </w:p>
        </w:tc>
        <w:tc>
          <w:tcPr>
            <w:vAlign w:val="center"/>
          </w:tcPr>
          <w:p>
            <w:pPr>
              <w:jc w:val="right"/>
            </w:pPr>
            <w:r>
              <w:rPr>
                <w:color w:val="000000"/>
                <w:sz w:val="24"/>
              </w:rPr>
              <w:t>100,000</w:t>
            </w:r>
          </w:p>
        </w:tc>
        <w:tc>
          <w:tcPr>
            <w:vAlign w:val="center"/>
          </w:tcPr>
          <w:p>
            <w:pPr>
              <w:jc w:val="right"/>
            </w:pPr>
            <w:r>
              <w:rPr>
                <w:color w:val="000000"/>
                <w:sz w:val="24"/>
              </w:rPr>
              <w:t>10,000,000.00</w:t>
            </w:r>
          </w:p>
        </w:tc>
        <w:tc>
          <w:tcPr>
            <w:vAlign w:val="center"/>
          </w:tcPr>
          <w:p>
            <w:pPr>
              <w:jc w:val="right"/>
            </w:pPr>
            <w:r>
              <w:rPr>
                <w:color w:val="000000"/>
                <w:sz w:val="24"/>
              </w:rPr>
              <w:t>1.05</w:t>
            </w:r>
          </w:p>
        </w:tc>
      </w:tr>
    </w:tbl>
    <w:p w:rsidP="00976A1A" w:rsidR="00EA3F40" w:rsidRDefault="00EA3F40" w:rsidRPr="006662B2">
      <w:pPr>
        <w:spacing w:line="360" w:lineRule="auto"/>
        <w:rPr>
          <w:rFonts w:ascii="宋体" w:cs="Arial"/>
          <w:b/>
          <w:color w:val="000000"/>
          <w:kern w:val="0"/>
          <w:sz w:val="24"/>
        </w:rPr>
      </w:pPr>
      <w:r>
        <w:rPr>
          <w:rFonts w:ascii="宋体" w:cs="Arial"/>
          <w:b/>
          <w:color w:val="000000"/>
          <w:kern w:val="0"/>
          <w:sz w:val="24"/>
        </w:rPr>
        <w:t/>
      </w:r>
      <w:r>
        <w:rPr>
          <w:rFonts w:ascii="宋体" w:cs="Arial" w:hAnsi="宋体"/>
          <w:b/>
          <w:color w:val="000000"/>
          <w:kern w:val="0"/>
          <w:sz w:val="24"/>
        </w:rPr>
        <w:t>5</w:t>
      </w:r>
      <w:r w:rsidRPr="006662B2">
        <w:rPr>
          <w:rFonts w:ascii="宋体" w:cs="Arial" w:hAnsi="宋体"/>
          <w:b/>
          <w:color w:val="000000"/>
          <w:kern w:val="0"/>
          <w:sz w:val="24"/>
        </w:rPr>
        <w:t>.</w:t>
      </w:r>
      <w:r>
        <w:rPr>
          <w:rFonts w:ascii="宋体" w:cs="Arial"/>
          <w:b/>
          <w:color w:val="000000"/>
          <w:kern w:val="0"/>
          <w:sz w:val="24"/>
        </w:rPr>
        <w:t/>
      </w:r>
      <w:r>
        <w:rPr>
          <w:rFonts w:ascii="宋体" w:cs="Arial" w:hAnsi="宋体"/>
          <w:b/>
          <w:color w:val="000000"/>
          <w:kern w:val="0"/>
          <w:sz w:val="24"/>
        </w:rPr>
        <w:t/>
      </w:r>
      <w:r w:rsidR="007A1ACF">
        <w:rPr>
          <w:rFonts w:ascii="宋体" w:cs="Arial" w:hAnsi="宋体" w:hint="eastAsia"/>
          <w:b/>
          <w:color w:val="000000"/>
          <w:kern w:val="0"/>
          <w:sz w:val="24"/>
        </w:rPr>
        <w:t/>
      </w:r>
      <w:r>
        <w:rPr>
          <w:rFonts w:ascii="宋体" w:cs="Arial" w:hAnsi="宋体"/>
          <w:b/>
          <w:color w:val="000000"/>
          <w:kern w:val="0"/>
          <w:sz w:val="24"/>
        </w:rPr>
        <w:t>9</w:t>
      </w:r>
      <w:r w:rsidRPr="006662B2">
        <w:rPr>
          <w:rFonts w:ascii="宋体" w:cs="Arial" w:hAnsi="宋体"/>
          <w:b/>
          <w:color w:val="000000"/>
          <w:kern w:val="0"/>
          <w:sz w:val="24"/>
        </w:rPr>
        <w:t xml:space="preserve"> </w:t>
      </w:r>
      <w:r w:rsidRPr="006662B2">
        <w:rPr>
          <w:rFonts w:ascii="宋体" w:cs="Arial" w:hAnsi="宋体" w:hint="eastAsia"/>
          <w:b/>
          <w:color w:val="000000"/>
          <w:kern w:val="0"/>
          <w:sz w:val="24"/>
        </w:rPr>
        <w:t>投资组合报告附注</w:t>
      </w:r>
    </w:p>
    <w:p w:rsidP="007A1ACF" w:rsidR="007A1ACF" w:rsidRDefault="007A1ACF" w:rsidRPr="007A1ACF">
      <w:pPr>
        <w:spacing w:line="360" w:lineRule="auto"/>
        <w:rPr>
          <w:color w:val="000000"/>
          <w:sz w:val="24"/>
        </w:rPr>
      </w:pPr>
      <w:r w:rsidRPr="007A1ACF">
        <w:rPr>
          <w:color w:val="000000"/>
          <w:sz w:val="24"/>
        </w:rPr>
        <w:lastRenderedPageBreak/>
        <w:t>5.9.1</w:t>
      </w:r>
      <w:r w:rsidRPr="007A1ACF">
        <w:rPr>
          <w:color w:val="000000"/>
          <w:sz w:val="24"/>
        </w:rPr>
        <w:t>基金计价方法说明</w:t>
      </w:r>
    </w:p>
    <w:p>
      <w:pPr>
        <w:spacing w:line="360" w:lineRule="auto"/>
        <w:ind w:firstLine="480" w:firstLineChars="200"/>
        <w:rPr>
          <w:color w:val="000000"/>
          <w:sz w:val="24"/>
        </w:rPr>
      </w:pPr>
      <w:r>
        <w:rPr>
          <w:color w:val="000000"/>
          <w:sz w:val="24"/>
        </w:rPr>
        <w:t>本基金目前投资工具的估值方法如下：</w:t>
      </w:r>
    </w:p>
    <w:p>
      <w:pPr>
        <w:spacing w:line="360" w:lineRule="auto"/>
        <w:ind w:firstLine="480" w:firstLineChars="200"/>
        <w:rPr>
          <w:color w:val="000000"/>
          <w:sz w:val="24"/>
        </w:rPr>
      </w:pPr>
      <w:r>
        <w:rPr>
          <w:color w:val="000000"/>
          <w:sz w:val="24"/>
        </w:rPr>
        <w:t>（1）基金持有的债券（包括票据）购买时采用实际支付价款（包含交易费用）确定初始成本，按实际利率计算其摊余成本及各期利息收入，每日计提收益；</w:t>
      </w:r>
    </w:p>
    <w:p>
      <w:pPr>
        <w:spacing w:line="360" w:lineRule="auto"/>
        <w:ind w:firstLine="480" w:firstLineChars="200"/>
        <w:rPr>
          <w:color w:val="000000"/>
          <w:sz w:val="24"/>
        </w:rPr>
      </w:pPr>
      <w:r>
        <w:rPr>
          <w:color w:val="000000"/>
          <w:sz w:val="24"/>
        </w:rPr>
        <w:t>（2）基金持有的回购以成本列示，按实际利率在实际持有期间内逐日计提利息；合同利率与实际利率差异较小的，也可采用合同利率计算确定利息收入；</w:t>
      </w:r>
    </w:p>
    <w:p>
      <w:pPr>
        <w:spacing w:line="360" w:lineRule="auto"/>
        <w:ind w:firstLine="480" w:firstLineChars="200"/>
        <w:rPr>
          <w:color w:val="000000"/>
          <w:sz w:val="24"/>
        </w:rPr>
      </w:pPr>
      <w:r>
        <w:rPr>
          <w:color w:val="000000"/>
          <w:sz w:val="24"/>
        </w:rPr>
        <w:t>（3）基金持有的银行存款以本金列示，按实际协议利率逐日计提利息。</w:t>
      </w:r>
    </w:p>
    <w:p>
      <w:pPr>
        <w:spacing w:line="360" w:lineRule="auto"/>
        <w:ind w:firstLine="480" w:firstLineChars="200"/>
        <w:rPr>
          <w:color w:val="000000"/>
          <w:sz w:val="24"/>
        </w:rPr>
      </w:pPr>
      <w:r>
        <w:rPr>
          <w:color w:val="000000"/>
          <w:sz w:val="24"/>
        </w:rPr>
        <w:t>如有确凿证据表明按上述方法进行估值不能客观反映其公允价值的，基金管理人可根据具体情况与基金托管人商定后，按最能反映公允价值的方法估值。</w:t>
      </w:r>
    </w:p>
    <w:p w:rsidP="007A1ACF" w:rsidR="007A1ACF" w:rsidRDefault="007A1ACF" w:rsidRPr="007A1ACF">
      <w:pPr>
        <w:spacing w:line="360" w:lineRule="auto"/>
        <w:ind w:firstLine="480" w:firstLineChars="200"/>
        <w:rPr>
          <w:color w:val="000000"/>
          <w:sz w:val="24"/>
        </w:rPr>
      </w:pPr>
      <w:r w:rsidRPr="007A1ACF">
        <w:rPr>
          <w:color w:val="000000"/>
          <w:sz w:val="24"/>
        </w:rPr>
        <w:t>如有新增事项，按国家最新规定估值。</w:t>
      </w:r>
    </w:p>
    <w:p w:rsidP="00613409" w:rsidR="00EA3F40" w:rsidRDefault="007A1ACF" w:rsidRPr="007A1ACF">
      <w:pPr>
        <w:widowControl/>
        <w:spacing w:line="360" w:lineRule="auto"/>
        <w:rPr>
          <w:color w:val="000000"/>
          <w:sz w:val="24"/>
        </w:rPr>
      </w:pPr>
      <w:r w:rsidRPr="007A1ACF">
        <w:rPr>
          <w:color w:val="000000"/>
          <w:sz w:val="24"/>
        </w:rPr>
        <w:t>5.9.2</w:t>
      </w:r>
      <w:r w:rsidR="00D568AA">
        <w:rPr>
          <w:rFonts w:hint="eastAsia"/>
          <w:color w:val="000000"/>
          <w:sz w:val="24"/>
        </w:rPr>
        <w:t xml:space="preserve"> </w:t>
      </w:r>
      <w:r w:rsidRPr="007A1ACF">
        <w:rPr>
          <w:color w:val="000000"/>
          <w:sz w:val="24"/>
        </w:rPr>
        <w:t>2019年12月27日，中国银行保险监督管理委员会对中国光大银行股份有限公司的如下违法违规行为作出“罚款180万元”的行政处罚决定：1、授信审批不审慎；2、为还款来源不清晰的项目办理业务；3、总行对分支机构管控不力承担管理责任。2020年2月10日，中国人民银行对中国光大银行股份有限公司的如下违法违规行为作出“罚款1820万元”的行政处罚决定：1.未按规定履行客户身份识别义务；2.未按规定保存客户身份资料和交易记录；3.未按规定报送大额交易报告和可疑交易报告；4.与身份不明的客户进行交易。2020年4月20日，中国银行保险监督管理委员会对中国光大银行股份有限公司的如下违法违规行为作出“罚款160万元”的行政处罚决定：光大银行监管标准化数据（EAST）系统数据质量及数据报送（一）分户账明细记录应报未报；（二）关键且应报字段漏报或填报错误；（三）向检查组提供与事实不符的材料；（四）账户设置不能如实反映业务实际。</w:t>
      </w:r>
    </w:p>
    <w:p>
      <w:pPr>
        <w:widowControl/>
        <w:spacing w:line="360" w:lineRule="auto"/>
        <w:rPr>
          <w:color w:val="000000"/>
          <w:sz w:val="24"/>
        </w:rPr>
      </w:pPr>
      <w:r>
        <w:rPr>
          <w:color w:val="000000"/>
          <w:sz w:val="24"/>
        </w:rPr>
        <w:t>2020年8月21日，中国银行保险监督管理委员会上海监管局对兴业银行股份有限公司资金营运中心的如下违法违规行为作出“责令改正，并处罚款人民币50万元”的行政处罚决定：2017年7月至2019年6月，该中心黄金租赁业务严重违反审慎经营规则。2020年8月31日，中国银保监会福建监管局对兴业银行股份有限公司的如下违法违规行为作出“没收违法所得6,361,807.97元，并合计处以罚款15,961,807.97元”的行政处罚决定：同业投资用途不合规、授信管理不尽职、采用不正当手段吸收存款、理财资金间接投资本行信贷资产收益权、非洁净转让信贷资产、违规接受地方财政部门担保。2020年9月4日，中国人民银行福州中心支行对兴业银行股份有限公司的如下违法违规行为作出“给予警告，没收违法所得10,875,088.15元，并处13,824,431.23元罚款”的行政处罚决定：1.为无证机构提供转接清算服务，且未落实交易信息真实性、完整性、可追溯性及支付全流程中的一致性的规定；2.为支付机构超范围（超业务、超地域）经营提供支付服务，且未落实交易信息真实性、完整性、可追溯性及支付全流程中的一致性；3.违规连通上、下游支付机构，提供转接清算服务，且未落实交易信息真实性、完整性、可追溯性及支付全流程中的一致性；4.违反银行卡收单外包管理规定；5.未按规定履行客户身份识别义务。</w:t>
      </w:r>
    </w:p>
    <w:p>
      <w:pPr>
        <w:widowControl/>
        <w:spacing w:line="360" w:lineRule="auto"/>
        <w:rPr>
          <w:color w:val="000000"/>
          <w:sz w:val="24"/>
        </w:rPr>
      </w:pPr>
      <w:r>
        <w:rPr>
          <w:color w:val="000000"/>
          <w:sz w:val="24"/>
        </w:rPr>
        <w:t>2020年3月9日，中国银行保险监督管理委员会对中国邮政储蓄银行股份有限公司的如下违法违规行为作出罚款50万元的行政处罚决定：可回溯制度执行不到位、可回溯基础管理不到位、未传递或缺失可回溯视频资料、质检不合格业务占比较高。2020年4月20日，中国银行保险监督管理委员会对中国邮政储蓄银行股份有限公司的如下违法违规行为作出罚款190万元的行政处罚决定：邮储银行监管标准化数据（EAST）系统数据质量及数据报送存在（一）资金交易信息漏报严重；（二）贷款核销业务漏报或错报；（三）贸易融资业务漏报；（四）分户账明细记录应报未报；（五）分户账账户数据应报未报；（六）错报总账会计数据；（七）关键且应报字段漏报或填报错误。</w:t>
      </w:r>
    </w:p>
    <w:p>
      <w:pPr>
        <w:widowControl/>
        <w:spacing w:line="360" w:lineRule="auto"/>
        <w:rPr>
          <w:color w:val="000000"/>
          <w:sz w:val="24"/>
        </w:rPr>
      </w:pPr>
      <w:r>
        <w:rPr>
          <w:color w:val="000000"/>
          <w:sz w:val="24"/>
        </w:rPr>
        <w:t>2019年12月27日，中国银行保险监督管理委员会对交通银行股份有限公司如下违法违规行为作出“罚款150万元”的行政处罚：1、授信审批不审慎；2、总行对分支机构管控不力承担管理责任。2020年4月20日，中国银行保险监督管理委员会对交通银行股份有限公司如下违法违规行为作出“罚款260万元”的行政处罚：交通银行监管标准化数据（EAST）系统数据质量及数据报送存在（一）理财产品数量漏报；（二）资金交易信息漏报严重；（三）贸易融资业务漏报；（四）信贷业务担保合同漏报；（五）分户账明细记录应报未报；（六）分户账账户数据应报未报；（七）关键且应报字段漏报或填报错误。2020年7月28日，中国银行保险监督管理委员会上海监管局对交通银行股份有限公司太平洋信用卡中心的如下违法违规行为作出“责令改正，并处罚款共计100万元”的行政处罚：1.2019年6月，该中心对某客户个人信息未尽安全保护义务；2.2019年5月、7月，该中心对部分信用卡催收外包管理严重不审慎。2020年8月6日，上海市黄浦区城市管理行政执法局对交通银行太平洋信用卡中心上海分中心占用城市道路的行为罚款300元。</w:t>
      </w:r>
    </w:p>
    <w:p>
      <w:pPr>
        <w:widowControl/>
        <w:spacing w:line="360" w:lineRule="auto"/>
        <w:rPr>
          <w:color w:val="000000"/>
          <w:sz w:val="24"/>
        </w:rPr>
      </w:pPr>
      <w:r>
        <w:rPr>
          <w:color w:val="000000"/>
          <w:sz w:val="24"/>
        </w:rPr>
        <w:t>2020年6月24日，天津东疆海关对河钢集团有限公司“申报与实际不符，影响国家出口退税管理”的行为罚款600元。</w:t>
      </w:r>
    </w:p>
    <w:p>
      <w:pPr>
        <w:widowControl/>
        <w:spacing w:line="360" w:lineRule="auto"/>
        <w:rPr>
          <w:color w:val="000000"/>
          <w:sz w:val="24"/>
        </w:rPr>
      </w:pPr>
      <w:r>
        <w:rPr>
          <w:color w:val="000000"/>
          <w:sz w:val="24"/>
        </w:rPr>
        <w:t>本基金投资20光大银行CD193、20兴业银行CD388、20邮储银行CD023、20交通银行CD020、20交通银行CD029、18河钢集MTN003的投资决策程序符合公司投资制度的规定。</w:t>
      </w:r>
    </w:p>
    <w:p>
      <w:pPr>
        <w:widowControl/>
        <w:spacing w:line="360" w:lineRule="auto"/>
        <w:rPr>
          <w:color w:val="000000"/>
          <w:sz w:val="24"/>
        </w:rPr>
      </w:pPr>
      <w:r>
        <w:rPr>
          <w:color w:val="000000"/>
          <w:sz w:val="24"/>
        </w:rPr>
        <w:t>除20光大银行CD193、20兴业银行CD388、20邮储银行CD023、20交通银行CD020、20交通银行CD029、18河钢集MTN003外，本基金投资的前十名证券的发行主体本期没有出现被监管部门立案调查，或在报告编制日前一年内受到公开谴责、处罚的情形。</w:t>
      </w:r>
    </w:p>
    <w:p w:rsidP="00976A1A" w:rsidR="00EA3F40" w:rsidRDefault="00EA3F40" w:rsidRPr="007A1ACF">
      <w:pPr>
        <w:spacing w:line="360" w:lineRule="auto"/>
        <w:rPr>
          <w:bCs/>
          <w:sz w:val="24"/>
        </w:rPr>
      </w:pPr>
      <w:r w:rsidRPr="007A1ACF">
        <w:rPr>
          <w:sz w:val="24"/>
        </w:rPr>
        <w:t>5.9.3</w:t>
      </w:r>
      <w:r w:rsidR="00B261EB">
        <w:rPr>
          <w:sz w:val="24"/>
        </w:rPr>
        <w:t>其他</w:t>
      </w:r>
      <w:r w:rsidRPr="007A1ACF">
        <w:rPr>
          <w:sz w:val="24"/>
        </w:rPr>
        <w:t>资产构成</w:t>
      </w:r>
    </w:p>
    <w:tbl>
      <w:tblPr>
        <w:tblW w:type="auto" w:w="0"/>
        <w:tblInd w:type="dxa" w:w="17"/>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1" w:firstRow="1" w:lastColumn="0" w:lastRow="0" w:noHBand="0" w:noVBand="0" w:val="00A0"/>
      </w:tblPr>
      <w:tblGrid>
        <w:gridCol w:w="942"/>
        <w:gridCol w:w="3535"/>
        <w:gridCol w:w="4808"/>
      </w:tblGrid>
      <w:tr w:rsidR="00EA3F40" w:rsidRPr="006662B2" w:rsidTr="00841A22">
        <w:tc>
          <w:tcPr>
            <w:tcW w:type="dxa" w:w="942"/>
            <w:vAlign w:val="center"/>
          </w:tcPr>
          <w:p w:rsidP="00841A22" w:rsidR="00EA3F40" w:rsidRDefault="00EA3F40" w:rsidRPr="00613409">
            <w:pPr>
              <w:autoSpaceDE w:val="0"/>
              <w:autoSpaceDN w:val="0"/>
              <w:adjustRightInd w:val="0"/>
              <w:spacing w:before="29" w:line="360" w:lineRule="auto"/>
              <w:ind w:left="17"/>
              <w:jc w:val="center"/>
              <w:rPr>
                <w:color w:val="000000"/>
                <w:kern w:val="0"/>
                <w:sz w:val="24"/>
              </w:rPr>
            </w:pPr>
            <w:r w:rsidRPr="00613409">
              <w:rPr>
                <w:color w:val="000000"/>
                <w:kern w:val="0"/>
                <w:sz w:val="24"/>
              </w:rPr>
              <w:t>序号</w:t>
            </w:r>
          </w:p>
        </w:tc>
        <w:tc>
          <w:tcPr>
            <w:tcW w:type="dxa" w:w="3535"/>
            <w:vAlign w:val="center"/>
          </w:tcPr>
          <w:p w:rsidP="00841A22" w:rsidR="00EA3F40" w:rsidRDefault="00EA3F40" w:rsidRPr="00613409">
            <w:pPr>
              <w:autoSpaceDE w:val="0"/>
              <w:autoSpaceDN w:val="0"/>
              <w:adjustRightInd w:val="0"/>
              <w:spacing w:before="29" w:line="360" w:lineRule="auto"/>
              <w:ind w:left="17"/>
              <w:jc w:val="center"/>
              <w:rPr>
                <w:color w:val="000000"/>
                <w:kern w:val="0"/>
                <w:sz w:val="24"/>
              </w:rPr>
            </w:pPr>
            <w:r w:rsidRPr="00613409">
              <w:rPr>
                <w:color w:val="000000"/>
                <w:kern w:val="0"/>
                <w:sz w:val="24"/>
              </w:rPr>
              <w:t>名称</w:t>
            </w:r>
          </w:p>
        </w:tc>
        <w:tc>
          <w:tcPr>
            <w:tcW w:type="dxa" w:w="4808"/>
            <w:vAlign w:val="center"/>
          </w:tcPr>
          <w:p w:rsidP="007C3671" w:rsidR="00EA3F40" w:rsidRDefault="00EA3F40" w:rsidRPr="00613409">
            <w:pPr>
              <w:autoSpaceDE w:val="0"/>
              <w:autoSpaceDN w:val="0"/>
              <w:adjustRightInd w:val="0"/>
              <w:spacing w:before="29" w:line="360" w:lineRule="auto"/>
              <w:ind w:left="17"/>
              <w:jc w:val="center"/>
              <w:rPr>
                <w:color w:val="000000"/>
                <w:kern w:val="0"/>
                <w:sz w:val="24"/>
              </w:rPr>
            </w:pPr>
            <w:r w:rsidRPr="00613409">
              <w:rPr>
                <w:color w:val="000000"/>
                <w:kern w:val="0"/>
                <w:sz w:val="24"/>
              </w:rPr>
              <w:t>金额</w:t>
            </w:r>
            <w:r w:rsidR="007C3671" w:rsidRPr="00613409">
              <w:rPr>
                <w:color w:val="000000"/>
                <w:kern w:val="0"/>
                <w:sz w:val="24"/>
              </w:rPr>
              <w:t>（元）</w:t>
            </w:r>
          </w:p>
        </w:tc>
      </w:tr>
      <w:tr w:rsidR="00EA3F40" w:rsidRPr="006662B2" w:rsidTr="00841A22">
        <w:tc>
          <w:tcPr>
            <w:tcW w:type="dxa" w:w="942"/>
            <w:vAlign w:val="center"/>
          </w:tcPr>
          <w:p w:rsidP="00841A22" w:rsidR="00EA3F40" w:rsidRDefault="00EA3F40" w:rsidRPr="00613409">
            <w:pPr>
              <w:autoSpaceDE w:val="0"/>
              <w:autoSpaceDN w:val="0"/>
              <w:adjustRightInd w:val="0"/>
              <w:spacing w:before="29" w:line="360" w:lineRule="auto"/>
              <w:ind w:left="15"/>
              <w:jc w:val="center"/>
              <w:rPr>
                <w:color w:val="000000"/>
                <w:kern w:val="0"/>
                <w:sz w:val="24"/>
              </w:rPr>
            </w:pPr>
            <w:r w:rsidRPr="00613409">
              <w:rPr>
                <w:color w:val="000000"/>
                <w:sz w:val="24"/>
              </w:rPr>
              <w:t>1</w:t>
            </w:r>
          </w:p>
        </w:tc>
        <w:tc>
          <w:tcPr>
            <w:tcW w:type="dxa" w:w="3535"/>
            <w:vAlign w:val="center"/>
          </w:tcPr>
          <w:p w:rsidP="00841A22" w:rsidR="00EA3F40" w:rsidRDefault="00EA3F40" w:rsidRPr="00613409">
            <w:pPr>
              <w:autoSpaceDE w:val="0"/>
              <w:autoSpaceDN w:val="0"/>
              <w:adjustRightInd w:val="0"/>
              <w:spacing w:before="29" w:line="360" w:lineRule="auto"/>
              <w:ind w:left="15"/>
              <w:jc w:val="left"/>
              <w:rPr>
                <w:color w:val="000000"/>
                <w:kern w:val="0"/>
                <w:sz w:val="24"/>
              </w:rPr>
            </w:pPr>
            <w:r w:rsidRPr="00613409">
              <w:rPr>
                <w:color w:val="000000"/>
                <w:kern w:val="0"/>
                <w:sz w:val="24"/>
              </w:rPr>
              <w:t>存出保证金</w:t>
            </w:r>
          </w:p>
        </w:tc>
        <w:tc>
          <w:tcPr>
            <w:tcW w:type="dxa" w:w="4808"/>
            <w:vAlign w:val="center"/>
          </w:tcPr>
          <w:p w:rsidP="00841A22" w:rsidR="00EA3F40" w:rsidRDefault="00EA3F40" w:rsidRPr="00613409">
            <w:pPr>
              <w:autoSpaceDE w:val="0"/>
              <w:autoSpaceDN w:val="0"/>
              <w:adjustRightInd w:val="0"/>
              <w:spacing w:before="29" w:line="360" w:lineRule="auto"/>
              <w:ind w:left="15"/>
              <w:jc w:val="right"/>
              <w:rPr>
                <w:color w:val="000000"/>
                <w:kern w:val="0"/>
                <w:sz w:val="24"/>
              </w:rPr>
            </w:pPr>
            <w:r w:rsidRPr="00613409">
              <w:rPr>
                <w:color w:val="000000"/>
                <w:kern w:val="0"/>
                <w:sz w:val="24"/>
              </w:rPr>
              <w:t>-</w:t>
            </w:r>
          </w:p>
        </w:tc>
      </w:tr>
      <w:tr w:rsidR="00EA3F40" w:rsidRPr="006662B2" w:rsidTr="00841A22">
        <w:tc>
          <w:tcPr>
            <w:tcW w:type="dxa" w:w="942"/>
            <w:vAlign w:val="center"/>
          </w:tcPr>
          <w:p w:rsidP="00841A22" w:rsidR="00EA3F40" w:rsidRDefault="00EA3F40" w:rsidRPr="00613409">
            <w:pPr>
              <w:autoSpaceDE w:val="0"/>
              <w:autoSpaceDN w:val="0"/>
              <w:adjustRightInd w:val="0"/>
              <w:spacing w:before="29" w:line="360" w:lineRule="auto"/>
              <w:ind w:left="15"/>
              <w:jc w:val="center"/>
              <w:rPr>
                <w:color w:val="000000"/>
                <w:sz w:val="24"/>
              </w:rPr>
            </w:pPr>
            <w:r w:rsidRPr="00613409">
              <w:rPr>
                <w:color w:val="000000"/>
                <w:sz w:val="24"/>
              </w:rPr>
              <w:t>2</w:t>
            </w:r>
          </w:p>
        </w:tc>
        <w:tc>
          <w:tcPr>
            <w:tcW w:type="dxa" w:w="3535"/>
            <w:vAlign w:val="center"/>
          </w:tcPr>
          <w:p w:rsidP="00841A22" w:rsidR="00EA3F40" w:rsidRDefault="00EA3F40" w:rsidRPr="00613409">
            <w:pPr>
              <w:autoSpaceDE w:val="0"/>
              <w:autoSpaceDN w:val="0"/>
              <w:adjustRightInd w:val="0"/>
              <w:spacing w:before="29" w:line="360" w:lineRule="auto"/>
              <w:ind w:left="15"/>
              <w:jc w:val="left"/>
              <w:rPr>
                <w:color w:val="000000"/>
                <w:kern w:val="0"/>
                <w:sz w:val="24"/>
              </w:rPr>
            </w:pPr>
            <w:r w:rsidRPr="00613409">
              <w:rPr>
                <w:color w:val="000000"/>
                <w:kern w:val="0"/>
                <w:sz w:val="24"/>
              </w:rPr>
              <w:t>应收证券清算款</w:t>
            </w:r>
          </w:p>
        </w:tc>
        <w:tc>
          <w:tcPr>
            <w:tcW w:type="dxa" w:w="4808"/>
            <w:vAlign w:val="center"/>
          </w:tcPr>
          <w:p w:rsidP="00841A22" w:rsidR="00EA3F40" w:rsidRDefault="00EA3F40" w:rsidRPr="00613409">
            <w:pPr>
              <w:autoSpaceDE w:val="0"/>
              <w:autoSpaceDN w:val="0"/>
              <w:adjustRightInd w:val="0"/>
              <w:spacing w:before="29" w:line="360" w:lineRule="auto"/>
              <w:ind w:left="15"/>
              <w:jc w:val="right"/>
              <w:rPr>
                <w:color w:val="000000"/>
                <w:kern w:val="0"/>
                <w:sz w:val="24"/>
              </w:rPr>
            </w:pPr>
            <w:r w:rsidRPr="00613409">
              <w:rPr>
                <w:color w:val="000000"/>
                <w:kern w:val="0"/>
                <w:sz w:val="24"/>
              </w:rPr>
              <w:t>-</w:t>
            </w:r>
          </w:p>
        </w:tc>
      </w:tr>
      <w:tr w:rsidR="00EA3F40" w:rsidRPr="006662B2" w:rsidTr="00841A22">
        <w:tc>
          <w:tcPr>
            <w:tcW w:type="dxa" w:w="942"/>
            <w:vAlign w:val="center"/>
          </w:tcPr>
          <w:p w:rsidP="00841A22" w:rsidR="00EA3F40" w:rsidRDefault="00EA3F40" w:rsidRPr="00613409">
            <w:pPr>
              <w:autoSpaceDE w:val="0"/>
              <w:autoSpaceDN w:val="0"/>
              <w:adjustRightInd w:val="0"/>
              <w:spacing w:before="29" w:line="360" w:lineRule="auto"/>
              <w:ind w:left="15"/>
              <w:jc w:val="center"/>
              <w:rPr>
                <w:color w:val="000000"/>
                <w:sz w:val="24"/>
              </w:rPr>
            </w:pPr>
            <w:r w:rsidRPr="00613409">
              <w:rPr>
                <w:color w:val="000000"/>
                <w:sz w:val="24"/>
              </w:rPr>
              <w:t>3</w:t>
            </w:r>
          </w:p>
        </w:tc>
        <w:tc>
          <w:tcPr>
            <w:tcW w:type="dxa" w:w="3535"/>
            <w:vAlign w:val="center"/>
          </w:tcPr>
          <w:p w:rsidP="00841A22" w:rsidR="00EA3F40" w:rsidRDefault="00EA3F40" w:rsidRPr="00613409">
            <w:pPr>
              <w:autoSpaceDE w:val="0"/>
              <w:autoSpaceDN w:val="0"/>
              <w:adjustRightInd w:val="0"/>
              <w:spacing w:before="29" w:line="360" w:lineRule="auto"/>
              <w:ind w:left="15"/>
              <w:jc w:val="left"/>
              <w:rPr>
                <w:color w:val="000000"/>
                <w:kern w:val="0"/>
                <w:sz w:val="24"/>
              </w:rPr>
            </w:pPr>
            <w:r w:rsidRPr="00613409">
              <w:rPr>
                <w:color w:val="000000"/>
                <w:kern w:val="0"/>
                <w:sz w:val="24"/>
              </w:rPr>
              <w:t>应收利息</w:t>
            </w:r>
          </w:p>
        </w:tc>
        <w:tc>
          <w:tcPr>
            <w:tcW w:type="dxa" w:w="4808"/>
            <w:vAlign w:val="center"/>
          </w:tcPr>
          <w:p w:rsidP="00841A22" w:rsidR="00EA3F40" w:rsidRDefault="00EA3F40" w:rsidRPr="00613409">
            <w:pPr>
              <w:autoSpaceDE w:val="0"/>
              <w:autoSpaceDN w:val="0"/>
              <w:adjustRightInd w:val="0"/>
              <w:spacing w:before="29" w:line="360" w:lineRule="auto"/>
              <w:ind w:left="15"/>
              <w:jc w:val="right"/>
              <w:rPr>
                <w:color w:val="000000"/>
                <w:kern w:val="0"/>
                <w:sz w:val="24"/>
              </w:rPr>
            </w:pPr>
            <w:r w:rsidRPr="00613409">
              <w:rPr>
                <w:color w:val="000000"/>
                <w:kern w:val="0"/>
                <w:sz w:val="24"/>
              </w:rPr>
              <w:t>2,552,325.49</w:t>
            </w:r>
          </w:p>
        </w:tc>
      </w:tr>
      <w:tr w:rsidR="00EA3F40" w:rsidRPr="006662B2" w:rsidTr="00841A22">
        <w:tc>
          <w:tcPr>
            <w:tcW w:type="dxa" w:w="942"/>
            <w:vAlign w:val="center"/>
          </w:tcPr>
          <w:p w:rsidP="00841A22" w:rsidR="00EA3F40" w:rsidRDefault="00EA3F40" w:rsidRPr="00613409">
            <w:pPr>
              <w:autoSpaceDE w:val="0"/>
              <w:autoSpaceDN w:val="0"/>
              <w:adjustRightInd w:val="0"/>
              <w:spacing w:before="29" w:line="360" w:lineRule="auto"/>
              <w:ind w:left="15"/>
              <w:jc w:val="center"/>
              <w:rPr>
                <w:color w:val="000000"/>
                <w:sz w:val="24"/>
              </w:rPr>
            </w:pPr>
            <w:r w:rsidRPr="00613409">
              <w:rPr>
                <w:color w:val="000000"/>
                <w:sz w:val="24"/>
              </w:rPr>
              <w:t>4</w:t>
            </w:r>
          </w:p>
        </w:tc>
        <w:tc>
          <w:tcPr>
            <w:tcW w:type="dxa" w:w="3535"/>
            <w:vAlign w:val="center"/>
          </w:tcPr>
          <w:p w:rsidP="00841A22" w:rsidR="00EA3F40" w:rsidRDefault="00EA3F40" w:rsidRPr="00613409">
            <w:pPr>
              <w:autoSpaceDE w:val="0"/>
              <w:autoSpaceDN w:val="0"/>
              <w:adjustRightInd w:val="0"/>
              <w:spacing w:before="29" w:line="360" w:lineRule="auto"/>
              <w:ind w:left="15"/>
              <w:jc w:val="left"/>
              <w:rPr>
                <w:color w:val="000000"/>
                <w:kern w:val="0"/>
                <w:sz w:val="24"/>
              </w:rPr>
            </w:pPr>
            <w:r w:rsidRPr="00613409">
              <w:rPr>
                <w:color w:val="000000"/>
                <w:kern w:val="0"/>
                <w:sz w:val="24"/>
              </w:rPr>
              <w:t>应收申购款</w:t>
            </w:r>
          </w:p>
        </w:tc>
        <w:tc>
          <w:tcPr>
            <w:tcW w:type="dxa" w:w="4808"/>
            <w:vAlign w:val="center"/>
          </w:tcPr>
          <w:p w:rsidP="00841A22" w:rsidR="00EA3F40" w:rsidRDefault="00EA3F40" w:rsidRPr="00613409">
            <w:pPr>
              <w:autoSpaceDE w:val="0"/>
              <w:autoSpaceDN w:val="0"/>
              <w:adjustRightInd w:val="0"/>
              <w:spacing w:before="29" w:line="360" w:lineRule="auto"/>
              <w:ind w:left="15"/>
              <w:jc w:val="right"/>
              <w:rPr>
                <w:color w:val="000000"/>
                <w:kern w:val="0"/>
                <w:sz w:val="24"/>
              </w:rPr>
            </w:pPr>
            <w:r w:rsidRPr="00613409">
              <w:rPr>
                <w:color w:val="000000"/>
                <w:kern w:val="0"/>
                <w:sz w:val="24"/>
              </w:rPr>
              <w:t>1,191,448.60</w:t>
            </w:r>
          </w:p>
        </w:tc>
      </w:tr>
      <w:tr w:rsidR="00EA3F40" w:rsidRPr="006662B2" w:rsidTr="00841A22">
        <w:tc>
          <w:tcPr>
            <w:tcW w:type="dxa" w:w="942"/>
            <w:vAlign w:val="center"/>
          </w:tcPr>
          <w:p w:rsidP="00841A22" w:rsidR="00EA3F40" w:rsidRDefault="00EA3F40" w:rsidRPr="00613409">
            <w:pPr>
              <w:autoSpaceDE w:val="0"/>
              <w:autoSpaceDN w:val="0"/>
              <w:adjustRightInd w:val="0"/>
              <w:spacing w:before="29" w:line="360" w:lineRule="auto"/>
              <w:ind w:left="15"/>
              <w:jc w:val="center"/>
              <w:rPr>
                <w:color w:val="000000"/>
                <w:sz w:val="24"/>
              </w:rPr>
            </w:pPr>
            <w:r w:rsidRPr="00613409">
              <w:rPr>
                <w:color w:val="000000"/>
                <w:sz w:val="24"/>
              </w:rPr>
              <w:t>5</w:t>
            </w:r>
          </w:p>
        </w:tc>
        <w:tc>
          <w:tcPr>
            <w:tcW w:type="dxa" w:w="3535"/>
            <w:vAlign w:val="center"/>
          </w:tcPr>
          <w:p w:rsidP="00841A22" w:rsidR="00EA3F40" w:rsidRDefault="00EA3F40" w:rsidRPr="00613409">
            <w:pPr>
              <w:autoSpaceDE w:val="0"/>
              <w:autoSpaceDN w:val="0"/>
              <w:adjustRightInd w:val="0"/>
              <w:spacing w:before="29" w:line="360" w:lineRule="auto"/>
              <w:ind w:left="15"/>
              <w:jc w:val="left"/>
              <w:rPr>
                <w:color w:val="000000"/>
                <w:kern w:val="0"/>
                <w:sz w:val="24"/>
              </w:rPr>
            </w:pPr>
            <w:r w:rsidRPr="00613409">
              <w:rPr>
                <w:color w:val="000000"/>
                <w:kern w:val="0"/>
                <w:sz w:val="24"/>
              </w:rPr>
              <w:t>其他应收款</w:t>
            </w:r>
          </w:p>
        </w:tc>
        <w:tc>
          <w:tcPr>
            <w:tcW w:type="dxa" w:w="4808"/>
            <w:vAlign w:val="center"/>
          </w:tcPr>
          <w:p w:rsidP="00841A22" w:rsidR="00EA3F40" w:rsidRDefault="00EA3F40" w:rsidRPr="00613409">
            <w:pPr>
              <w:autoSpaceDE w:val="0"/>
              <w:autoSpaceDN w:val="0"/>
              <w:adjustRightInd w:val="0"/>
              <w:spacing w:before="29" w:line="360" w:lineRule="auto"/>
              <w:ind w:left="15"/>
              <w:jc w:val="right"/>
              <w:rPr>
                <w:color w:val="000000"/>
                <w:kern w:val="0"/>
                <w:sz w:val="24"/>
              </w:rPr>
            </w:pPr>
            <w:r w:rsidRPr="00613409">
              <w:rPr>
                <w:color w:val="000000"/>
                <w:kern w:val="0"/>
                <w:sz w:val="24"/>
              </w:rPr>
              <w:t>-</w:t>
            </w:r>
          </w:p>
        </w:tc>
      </w:tr>
      <w:tr w:rsidR="00EA3F40" w:rsidRPr="006662B2" w:rsidTr="00841A22">
        <w:tc>
          <w:tcPr>
            <w:tcW w:type="dxa" w:w="942"/>
            <w:vAlign w:val="center"/>
          </w:tcPr>
          <w:p w:rsidP="00841A22" w:rsidR="00EA3F40" w:rsidRDefault="00EA3F40" w:rsidRPr="00613409">
            <w:pPr>
              <w:autoSpaceDE w:val="0"/>
              <w:autoSpaceDN w:val="0"/>
              <w:adjustRightInd w:val="0"/>
              <w:spacing w:before="29" w:line="360" w:lineRule="auto"/>
              <w:ind w:left="15"/>
              <w:jc w:val="center"/>
              <w:rPr>
                <w:color w:val="000000"/>
                <w:sz w:val="24"/>
              </w:rPr>
            </w:pPr>
            <w:r w:rsidRPr="00613409">
              <w:rPr>
                <w:color w:val="000000"/>
                <w:sz w:val="24"/>
              </w:rPr>
              <w:t>6</w:t>
            </w:r>
          </w:p>
        </w:tc>
        <w:tc>
          <w:tcPr>
            <w:tcW w:type="dxa" w:w="3535"/>
            <w:vAlign w:val="center"/>
          </w:tcPr>
          <w:p w:rsidP="00841A22" w:rsidR="00EA3F40" w:rsidRDefault="00EA3F40" w:rsidRPr="00613409">
            <w:pPr>
              <w:autoSpaceDE w:val="0"/>
              <w:autoSpaceDN w:val="0"/>
              <w:adjustRightInd w:val="0"/>
              <w:spacing w:before="29" w:line="360" w:lineRule="auto"/>
              <w:ind w:left="15"/>
              <w:jc w:val="left"/>
              <w:rPr>
                <w:color w:val="000000"/>
                <w:kern w:val="0"/>
                <w:sz w:val="24"/>
              </w:rPr>
            </w:pPr>
            <w:r w:rsidRPr="00613409">
              <w:rPr>
                <w:color w:val="000000"/>
                <w:kern w:val="0"/>
                <w:sz w:val="24"/>
              </w:rPr>
              <w:t>待摊费用</w:t>
            </w:r>
          </w:p>
        </w:tc>
        <w:tc>
          <w:tcPr>
            <w:tcW w:type="dxa" w:w="4808"/>
            <w:vAlign w:val="center"/>
          </w:tcPr>
          <w:p w:rsidP="00841A22" w:rsidR="00EA3F40" w:rsidRDefault="00EA3F40" w:rsidRPr="00613409">
            <w:pPr>
              <w:autoSpaceDE w:val="0"/>
              <w:autoSpaceDN w:val="0"/>
              <w:adjustRightInd w:val="0"/>
              <w:spacing w:before="29" w:line="360" w:lineRule="auto"/>
              <w:ind w:left="15"/>
              <w:jc w:val="right"/>
              <w:rPr>
                <w:color w:val="000000"/>
                <w:kern w:val="0"/>
                <w:sz w:val="24"/>
              </w:rPr>
            </w:pPr>
            <w:r w:rsidRPr="00613409">
              <w:rPr>
                <w:color w:val="000000"/>
                <w:kern w:val="0"/>
                <w:sz w:val="24"/>
              </w:rPr>
              <w:t>-</w:t>
            </w:r>
          </w:p>
        </w:tc>
      </w:tr>
      <w:tr w:rsidR="00EA3F40" w:rsidRPr="006662B2" w:rsidTr="00841A22">
        <w:tc>
          <w:tcPr>
            <w:tcW w:type="dxa" w:w="942"/>
            <w:vAlign w:val="center"/>
          </w:tcPr>
          <w:p w:rsidP="00841A22" w:rsidR="00EA3F40" w:rsidRDefault="00EA3F40" w:rsidRPr="00613409">
            <w:pPr>
              <w:autoSpaceDE w:val="0"/>
              <w:autoSpaceDN w:val="0"/>
              <w:adjustRightInd w:val="0"/>
              <w:spacing w:before="29" w:line="360" w:lineRule="auto"/>
              <w:ind w:left="15"/>
              <w:jc w:val="center"/>
              <w:rPr>
                <w:color w:val="000000"/>
                <w:sz w:val="24"/>
              </w:rPr>
            </w:pPr>
            <w:r w:rsidRPr="00613409">
              <w:rPr>
                <w:color w:val="000000"/>
                <w:sz w:val="24"/>
              </w:rPr>
              <w:t>7</w:t>
            </w:r>
          </w:p>
        </w:tc>
        <w:tc>
          <w:tcPr>
            <w:tcW w:type="dxa" w:w="3535"/>
            <w:vAlign w:val="center"/>
          </w:tcPr>
          <w:p w:rsidP="00841A22" w:rsidR="00EA3F40" w:rsidRDefault="00EA3F40" w:rsidRPr="00613409">
            <w:pPr>
              <w:autoSpaceDE w:val="0"/>
              <w:autoSpaceDN w:val="0"/>
              <w:adjustRightInd w:val="0"/>
              <w:spacing w:before="29" w:line="360" w:lineRule="auto"/>
              <w:ind w:left="15"/>
              <w:jc w:val="left"/>
              <w:rPr>
                <w:color w:val="000000"/>
                <w:kern w:val="0"/>
                <w:sz w:val="24"/>
              </w:rPr>
            </w:pPr>
            <w:r w:rsidRPr="00613409">
              <w:rPr>
                <w:color w:val="000000"/>
                <w:kern w:val="0"/>
                <w:sz w:val="24"/>
              </w:rPr>
              <w:t>其他</w:t>
            </w:r>
          </w:p>
        </w:tc>
        <w:tc>
          <w:tcPr>
            <w:tcW w:type="dxa" w:w="4808"/>
            <w:vAlign w:val="center"/>
          </w:tcPr>
          <w:p w:rsidP="00841A22" w:rsidR="00EA3F40" w:rsidRDefault="00EA3F40" w:rsidRPr="00613409">
            <w:pPr>
              <w:autoSpaceDE w:val="0"/>
              <w:autoSpaceDN w:val="0"/>
              <w:adjustRightInd w:val="0"/>
              <w:spacing w:before="29" w:line="360" w:lineRule="auto"/>
              <w:ind w:left="15"/>
              <w:jc w:val="right"/>
              <w:rPr>
                <w:color w:val="000000"/>
                <w:kern w:val="0"/>
                <w:sz w:val="24"/>
              </w:rPr>
            </w:pPr>
            <w:r w:rsidRPr="00613409">
              <w:rPr>
                <w:color w:val="000000"/>
                <w:kern w:val="0"/>
                <w:sz w:val="24"/>
              </w:rPr>
              <w:t>-</w:t>
            </w:r>
          </w:p>
        </w:tc>
      </w:tr>
      <w:tr w:rsidR="00EA3F40" w:rsidRPr="006662B2" w:rsidTr="00841A22">
        <w:tc>
          <w:tcPr>
            <w:tcW w:type="dxa" w:w="942"/>
            <w:vAlign w:val="center"/>
          </w:tcPr>
          <w:p w:rsidP="00841A22" w:rsidR="00EA3F40" w:rsidRDefault="00EA3F40" w:rsidRPr="00613409">
            <w:pPr>
              <w:autoSpaceDE w:val="0"/>
              <w:autoSpaceDN w:val="0"/>
              <w:adjustRightInd w:val="0"/>
              <w:spacing w:before="29" w:line="360" w:lineRule="auto"/>
              <w:ind w:left="15"/>
              <w:jc w:val="center"/>
              <w:rPr>
                <w:color w:val="000000"/>
                <w:sz w:val="24"/>
              </w:rPr>
            </w:pPr>
            <w:r w:rsidRPr="00613409">
              <w:rPr>
                <w:color w:val="000000"/>
                <w:sz w:val="24"/>
              </w:rPr>
              <w:t>8</w:t>
            </w:r>
          </w:p>
        </w:tc>
        <w:tc>
          <w:tcPr>
            <w:tcW w:type="dxa" w:w="3535"/>
            <w:vAlign w:val="center"/>
          </w:tcPr>
          <w:p w:rsidP="00841A22" w:rsidR="00EA3F40" w:rsidRDefault="00EA3F40" w:rsidRPr="00613409">
            <w:pPr>
              <w:autoSpaceDE w:val="0"/>
              <w:autoSpaceDN w:val="0"/>
              <w:adjustRightInd w:val="0"/>
              <w:spacing w:before="29" w:line="360" w:lineRule="auto"/>
              <w:ind w:left="15"/>
              <w:jc w:val="left"/>
              <w:rPr>
                <w:color w:val="000000"/>
                <w:kern w:val="0"/>
                <w:sz w:val="24"/>
              </w:rPr>
            </w:pPr>
            <w:r w:rsidRPr="00613409">
              <w:rPr>
                <w:color w:val="000000"/>
                <w:kern w:val="0"/>
                <w:sz w:val="24"/>
              </w:rPr>
              <w:t>合计</w:t>
            </w:r>
          </w:p>
        </w:tc>
        <w:tc>
          <w:tcPr>
            <w:tcW w:type="dxa" w:w="4808"/>
            <w:vAlign w:val="center"/>
          </w:tcPr>
          <w:p w:rsidP="00841A22" w:rsidR="00EA3F40" w:rsidRDefault="00EA3F40" w:rsidRPr="00613409">
            <w:pPr>
              <w:autoSpaceDE w:val="0"/>
              <w:autoSpaceDN w:val="0"/>
              <w:adjustRightInd w:val="0"/>
              <w:spacing w:before="29" w:line="360" w:lineRule="auto"/>
              <w:ind w:left="15"/>
              <w:jc w:val="right"/>
              <w:rPr>
                <w:color w:val="000000"/>
                <w:kern w:val="0"/>
                <w:sz w:val="24"/>
              </w:rPr>
            </w:pPr>
            <w:r w:rsidRPr="00613409">
              <w:rPr>
                <w:color w:val="000000"/>
                <w:kern w:val="0"/>
                <w:sz w:val="24"/>
              </w:rPr>
              <w:t>3,743,774.09</w:t>
            </w:r>
          </w:p>
        </w:tc>
      </w:tr>
    </w:tbl>
    <w:p w:rsidP="00E23C1B" w:rsidR="00EA3F40" w:rsidRDefault="00EA3F40" w:rsidRPr="0097021E">
      <w:pPr>
        <w:pStyle w:val="1"/>
        <w:spacing w:after="312" w:afterLines="100" w:before="312" w:beforeLines="100" w:line="360" w:lineRule="auto"/>
        <w:jc w:val="center"/>
        <w:rPr>
          <w:rFonts w:ascii="宋体" w:cs="Arial"/>
          <w:color w:val="000000"/>
          <w:kern w:val="0"/>
          <w:sz w:val="24"/>
          <w:szCs w:val="24"/>
        </w:rPr>
      </w:pPr>
      <w:r w:rsidRPr="0097021E">
        <w:rPr>
          <w:rFonts w:ascii="宋体" w:cs="Arial" w:hAnsi="宋体" w:hint="eastAsia"/>
          <w:color w:val="000000"/>
          <w:kern w:val="0"/>
          <w:sz w:val="24"/>
          <w:szCs w:val="24"/>
        </w:rPr>
        <w:t>§</w:t>
      </w:r>
      <w:r w:rsidRPr="0097021E">
        <w:rPr>
          <w:rFonts w:ascii="宋体" w:cs="Arial" w:hAnsi="宋体"/>
          <w:color w:val="000000"/>
          <w:kern w:val="0"/>
          <w:sz w:val="24"/>
          <w:szCs w:val="24"/>
        </w:rPr>
        <w:t xml:space="preserve">6  </w:t>
      </w:r>
      <w:r w:rsidRPr="0097021E">
        <w:rPr>
          <w:rFonts w:ascii="宋体" w:cs="Arial" w:hAnsi="宋体" w:hint="eastAsia"/>
          <w:color w:val="000000"/>
          <w:kern w:val="0"/>
          <w:sz w:val="24"/>
          <w:szCs w:val="24"/>
        </w:rPr>
        <w:t>开放式基金份额变动</w:t>
      </w:r>
    </w:p>
    <w:p w:rsidP="00196812" w:rsidR="00EA3F40" w:rsidRDefault="00EA3F40" w:rsidRPr="0097021E">
      <w:pPr>
        <w:autoSpaceDE w:val="0"/>
        <w:autoSpaceDN w:val="0"/>
        <w:adjustRightInd w:val="0"/>
        <w:spacing w:before="29" w:line="360" w:lineRule="auto"/>
        <w:ind w:left="15"/>
        <w:jc w:val="right"/>
        <w:rPr>
          <w:rFonts w:ascii="宋体" w:cs="Arial"/>
          <w:color w:val="000000"/>
          <w:kern w:val="0"/>
          <w:sz w:val="24"/>
        </w:rPr>
      </w:pPr>
      <w:r w:rsidRPr="0097021E">
        <w:rPr>
          <w:rFonts w:ascii="宋体" w:cs="Arial" w:hAnsi="宋体" w:hint="eastAsia"/>
          <w:color w:val="000000"/>
          <w:kern w:val="0"/>
          <w:sz w:val="24"/>
        </w:rPr>
        <w:t>单位：份</w:t>
      </w:r>
    </w:p>
    <w:tbl>
      <w:tblPr>
        <w:tblW w:type="dxa" w:w="10084"/>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279"/>
        <w:gridCol w:w="2268"/>
        <w:gridCol w:w="2268"/>
        <w:gridCol w:w="2269"/>
      </w:tblGrid>
      <w:tr w:rsidR="00EA3F40" w:rsidRPr="0097021E" w:rsidTr="00102307">
        <w:trPr>
          <w:jc w:val="center"/>
        </w:trPr>
        <w:tc>
          <w:tcPr>
            <w:tcW w:type="dxa" w:w="3279"/>
          </w:tcPr>
          <w:p w:rsidP="00196812" w:rsidR="00EA3F40" w:rsidRDefault="00EA3F40"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t>项目</w:t>
            </w:r>
          </w:p>
        </w:tc>
        <w:tc>
          <w:tcPr>
            <w:tcW w:type="dxa" w:w="2268"/>
          </w:tcPr>
          <w:p w:rsidP="00196812" w:rsidR="00EA3F40" w:rsidRDefault="00EA3F40"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t/>
            </w:r>
            <w:r w:rsidRPr="00613409">
              <w:rPr>
                <w:sz w:val="24"/>
              </w:rPr>
              <w:t/>
            </w:r>
            <w:r w:rsidRPr="00613409">
              <w:rPr>
                <w:sz w:val="24"/>
              </w:rPr>
              <w:lastRenderedPageBreak/>
              <w:t>易方达龙宝货币A</w:t>
            </w:r>
          </w:p>
        </w:tc>
        <w:tc>
          <w:tcPr>
            <w:tcW w:type="dxa" w:w="2268"/>
          </w:tcPr>
          <w:p w:rsidP="00196812" w:rsidR="00EA3F40" w:rsidRDefault="00EA3F40"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lastRenderedPageBreak/>
              <w:t/>
            </w:r>
            <w:r w:rsidRPr="00613409">
              <w:rPr>
                <w:sz w:val="24"/>
              </w:rPr>
              <w:t/>
            </w:r>
            <w:r w:rsidRPr="00613409">
              <w:rPr>
                <w:sz w:val="24"/>
              </w:rPr>
              <w:lastRenderedPageBreak/>
              <w:t>易方达龙宝货币B</w:t>
            </w:r>
          </w:p>
        </w:tc>
        <w:tc>
          <w:tcPr>
            <w:tcW w:type="dxa" w:w="2269"/>
          </w:tcPr>
          <w:p w:rsidP="003451F3" w:rsidR="00EA3F40" w:rsidRDefault="00EA3F40"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lastRenderedPageBreak/>
              <w:t/>
            </w:r>
            <w:r w:rsidRPr="00613409">
              <w:rPr>
                <w:sz w:val="24"/>
              </w:rPr>
              <w:t/>
            </w:r>
            <w:r w:rsidRPr="00613409">
              <w:rPr>
                <w:sz w:val="24"/>
              </w:rPr>
              <w:lastRenderedPageBreak/>
              <w:t>易方达龙宝货币C</w:t>
            </w:r>
          </w:p>
        </w:tc>
      </w:tr>
      <w:tr w:rsidR="00EA3F40" w:rsidRPr="0097021E" w:rsidTr="00F56FBC">
        <w:trPr>
          <w:jc w:val="center"/>
        </w:trPr>
        <w:tc>
          <w:tcPr>
            <w:tcW w:type="dxa" w:w="3279"/>
            <w:vAlign w:val="center"/>
          </w:tcPr>
          <w:p w:rsidP="00587524" w:rsidR="00EA3F40" w:rsidRDefault="00EA3F40" w:rsidRPr="00613409">
            <w:pPr>
              <w:autoSpaceDE w:val="0"/>
              <w:autoSpaceDN w:val="0"/>
              <w:adjustRightInd w:val="0"/>
              <w:spacing w:before="29" w:line="360" w:lineRule="auto"/>
              <w:ind w:left="17"/>
              <w:jc w:val="left"/>
              <w:rPr>
                <w:color w:val="000000"/>
                <w:kern w:val="0"/>
                <w:sz w:val="24"/>
              </w:rPr>
            </w:pPr>
            <w:r w:rsidRPr="00613409">
              <w:rPr>
                <w:color w:val="000000"/>
                <w:kern w:val="0"/>
                <w:sz w:val="24"/>
              </w:rPr>
              <w:t>报告期期初基金份额总额</w:t>
            </w:r>
          </w:p>
        </w:tc>
        <w:tc>
          <w:tcPr>
            <w:tcW w:type="dxa" w:w="2268"/>
            <w:vAlign w:val="center"/>
          </w:tcPr>
          <w:p w:rsidP="00587524" w:rsidR="00EA3F40" w:rsidRDefault="00EA3F40" w:rsidRPr="00613409">
            <w:pPr>
              <w:autoSpaceDE w:val="0"/>
              <w:autoSpaceDN w:val="0"/>
              <w:adjustRightInd w:val="0"/>
              <w:spacing w:before="29" w:line="360" w:lineRule="auto"/>
              <w:ind w:left="17"/>
              <w:jc w:val="right"/>
              <w:rPr>
                <w:color w:val="000000"/>
                <w:sz w:val="24"/>
              </w:rPr>
            </w:pPr>
            <w:r w:rsidRPr="00613409">
              <w:rPr>
                <w:color w:val="000000"/>
                <w:sz w:val="24"/>
              </w:rPr>
              <w:t>840,474,752.48</w:t>
            </w:r>
          </w:p>
        </w:tc>
        <w:tc>
          <w:tcPr>
            <w:tcW w:type="dxa" w:w="2268"/>
            <w:vAlign w:val="center"/>
          </w:tcPr>
          <w:p w:rsidP="00587524" w:rsidR="00EA3F40" w:rsidRDefault="00EA3F40" w:rsidRPr="00613409">
            <w:pPr>
              <w:autoSpaceDE w:val="0"/>
              <w:autoSpaceDN w:val="0"/>
              <w:adjustRightInd w:val="0"/>
              <w:spacing w:before="29" w:line="360" w:lineRule="auto"/>
              <w:ind w:left="17"/>
              <w:jc w:val="right"/>
              <w:rPr>
                <w:color w:val="000000"/>
                <w:sz w:val="24"/>
              </w:rPr>
            </w:pPr>
            <w:r w:rsidRPr="00613409">
              <w:rPr>
                <w:color w:val="000000"/>
                <w:sz w:val="24"/>
              </w:rPr>
              <w:t>73,128,902.06</w:t>
            </w:r>
          </w:p>
        </w:tc>
        <w:tc>
          <w:tcPr>
            <w:tcW w:type="dxa" w:w="2269"/>
            <w:vAlign w:val="center"/>
          </w:tcPr>
          <w:p w:rsidP="003A1E1E" w:rsidR="00EA3F40" w:rsidRDefault="00EA3F40" w:rsidRPr="00613409">
            <w:pPr>
              <w:autoSpaceDE w:val="0"/>
              <w:autoSpaceDN w:val="0"/>
              <w:adjustRightInd w:val="0"/>
              <w:spacing w:before="29" w:line="360" w:lineRule="auto"/>
              <w:ind w:left="17"/>
              <w:jc w:val="right"/>
              <w:rPr>
                <w:color w:val="000000"/>
                <w:sz w:val="24"/>
              </w:rPr>
            </w:pPr>
            <w:r w:rsidRPr="00613409">
              <w:rPr>
                <w:color w:val="000000"/>
                <w:sz w:val="24"/>
              </w:rPr>
              <w:t>248,859,444.63</w:t>
            </w:r>
          </w:p>
        </w:tc>
      </w:tr>
      <w:tr w:rsidR="00EA3F40" w:rsidRPr="0097021E" w:rsidTr="00F56FBC">
        <w:trPr>
          <w:jc w:val="center"/>
        </w:trPr>
        <w:tc>
          <w:tcPr>
            <w:tcW w:type="dxa" w:w="3279"/>
          </w:tcPr>
          <w:p w:rsidP="006B56E1" w:rsidR="00EA3F40" w:rsidRDefault="00EA3F40" w:rsidRPr="00613409">
            <w:pPr>
              <w:adjustRightInd w:val="0"/>
              <w:snapToGrid w:val="0"/>
              <w:spacing w:line="340" w:lineRule="exact"/>
              <w:rPr>
                <w:color w:val="000000"/>
                <w:sz w:val="24"/>
              </w:rPr>
            </w:pPr>
            <w:r w:rsidRPr="00613409">
              <w:rPr>
                <w:color w:val="000000"/>
                <w:kern w:val="0"/>
                <w:sz w:val="24"/>
              </w:rPr>
              <w:t>报告期</w:t>
            </w:r>
            <w:r w:rsidRPr="00613409">
              <w:rPr>
                <w:color w:val="000000"/>
                <w:sz w:val="24"/>
              </w:rPr>
              <w:t>基金总申购份额</w:t>
            </w:r>
          </w:p>
        </w:tc>
        <w:tc>
          <w:tcPr>
            <w:tcW w:type="dxa" w:w="2268"/>
            <w:vAlign w:val="center"/>
          </w:tcPr>
          <w:p w:rsidP="00587524" w:rsidR="00EA3F40" w:rsidRDefault="00EA3F40" w:rsidRPr="00613409">
            <w:pPr>
              <w:autoSpaceDE w:val="0"/>
              <w:autoSpaceDN w:val="0"/>
              <w:adjustRightInd w:val="0"/>
              <w:spacing w:before="29" w:line="360" w:lineRule="auto"/>
              <w:ind w:left="17"/>
              <w:jc w:val="right"/>
              <w:rPr>
                <w:color w:val="000000"/>
                <w:sz w:val="24"/>
              </w:rPr>
            </w:pPr>
            <w:r w:rsidRPr="00613409">
              <w:rPr>
                <w:color w:val="000000"/>
                <w:sz w:val="24"/>
              </w:rPr>
              <w:t>433,958,229.30</w:t>
            </w:r>
          </w:p>
        </w:tc>
        <w:tc>
          <w:tcPr>
            <w:tcW w:type="dxa" w:w="2268"/>
            <w:vAlign w:val="center"/>
          </w:tcPr>
          <w:p w:rsidP="00587524" w:rsidR="00EA3F40" w:rsidRDefault="00EA3F40" w:rsidRPr="00613409">
            <w:pPr>
              <w:autoSpaceDE w:val="0"/>
              <w:autoSpaceDN w:val="0"/>
              <w:adjustRightInd w:val="0"/>
              <w:spacing w:before="29" w:line="360" w:lineRule="auto"/>
              <w:ind w:left="17"/>
              <w:jc w:val="right"/>
              <w:rPr>
                <w:color w:val="000000"/>
                <w:sz w:val="24"/>
              </w:rPr>
            </w:pPr>
            <w:r w:rsidRPr="00613409">
              <w:rPr>
                <w:color w:val="000000"/>
                <w:sz w:val="24"/>
              </w:rPr>
              <w:t>65,625,039.65</w:t>
            </w:r>
          </w:p>
        </w:tc>
        <w:tc>
          <w:tcPr>
            <w:tcW w:type="dxa" w:w="2269"/>
            <w:vAlign w:val="center"/>
          </w:tcPr>
          <w:p w:rsidP="003A1E1E" w:rsidR="00EA3F40" w:rsidRDefault="00EA3F40" w:rsidRPr="00613409">
            <w:pPr>
              <w:autoSpaceDE w:val="0"/>
              <w:autoSpaceDN w:val="0"/>
              <w:adjustRightInd w:val="0"/>
              <w:spacing w:before="29" w:line="360" w:lineRule="auto"/>
              <w:ind w:left="17"/>
              <w:jc w:val="right"/>
              <w:rPr>
                <w:color w:val="000000"/>
                <w:sz w:val="24"/>
              </w:rPr>
            </w:pPr>
            <w:r w:rsidRPr="00613409">
              <w:rPr>
                <w:color w:val="000000"/>
                <w:sz w:val="24"/>
              </w:rPr>
              <w:t>445,025,560.23</w:t>
            </w:r>
          </w:p>
        </w:tc>
      </w:tr>
      <w:tr w:rsidR="00EA3F40" w:rsidRPr="0097021E" w:rsidTr="00F56FBC">
        <w:trPr>
          <w:jc w:val="center"/>
        </w:trPr>
        <w:tc>
          <w:tcPr>
            <w:tcW w:type="dxa" w:w="3279"/>
          </w:tcPr>
          <w:p w:rsidP="006B56E1" w:rsidR="00EA3F40" w:rsidRDefault="00EA3F40" w:rsidRPr="00613409">
            <w:pPr>
              <w:adjustRightInd w:val="0"/>
              <w:snapToGrid w:val="0"/>
              <w:spacing w:line="340" w:lineRule="exact"/>
              <w:rPr>
                <w:color w:val="000000"/>
                <w:sz w:val="24"/>
              </w:rPr>
            </w:pPr>
            <w:r w:rsidRPr="00613409">
              <w:rPr>
                <w:color w:val="000000"/>
                <w:kern w:val="0"/>
                <w:sz w:val="24"/>
              </w:rPr>
              <w:t>报告期</w:t>
            </w:r>
            <w:r w:rsidRPr="00613409">
              <w:rPr>
                <w:color w:val="000000"/>
                <w:sz w:val="24"/>
              </w:rPr>
              <w:t>基金总赎回份额</w:t>
            </w:r>
          </w:p>
        </w:tc>
        <w:tc>
          <w:tcPr>
            <w:tcW w:type="dxa" w:w="2268"/>
            <w:vAlign w:val="center"/>
          </w:tcPr>
          <w:p w:rsidP="00587524" w:rsidR="00EA3F40" w:rsidRDefault="00EA3F40" w:rsidRPr="00613409">
            <w:pPr>
              <w:autoSpaceDE w:val="0"/>
              <w:autoSpaceDN w:val="0"/>
              <w:adjustRightInd w:val="0"/>
              <w:spacing w:before="29" w:line="360" w:lineRule="auto"/>
              <w:ind w:left="17"/>
              <w:jc w:val="right"/>
              <w:rPr>
                <w:color w:val="000000"/>
                <w:sz w:val="24"/>
              </w:rPr>
            </w:pPr>
            <w:r w:rsidRPr="00613409">
              <w:rPr>
                <w:color w:val="000000"/>
                <w:sz w:val="24"/>
              </w:rPr>
              <w:t>628,916,948.85</w:t>
            </w:r>
          </w:p>
        </w:tc>
        <w:tc>
          <w:tcPr>
            <w:tcW w:type="dxa" w:w="2268"/>
            <w:vAlign w:val="center"/>
          </w:tcPr>
          <w:p w:rsidP="00587524" w:rsidR="00EA3F40" w:rsidRDefault="00EA3F40" w:rsidRPr="00613409">
            <w:pPr>
              <w:autoSpaceDE w:val="0"/>
              <w:autoSpaceDN w:val="0"/>
              <w:adjustRightInd w:val="0"/>
              <w:spacing w:before="29" w:line="360" w:lineRule="auto"/>
              <w:ind w:left="17"/>
              <w:jc w:val="right"/>
              <w:rPr>
                <w:color w:val="000000"/>
                <w:sz w:val="24"/>
              </w:rPr>
            </w:pPr>
            <w:r w:rsidRPr="00613409">
              <w:rPr>
                <w:color w:val="000000"/>
                <w:sz w:val="24"/>
              </w:rPr>
              <w:t>65,046,503.66</w:t>
            </w:r>
          </w:p>
        </w:tc>
        <w:tc>
          <w:tcPr>
            <w:tcW w:type="dxa" w:w="2269"/>
            <w:vAlign w:val="center"/>
          </w:tcPr>
          <w:p w:rsidP="003A1E1E" w:rsidR="00EA3F40" w:rsidRDefault="00EA3F40" w:rsidRPr="00613409">
            <w:pPr>
              <w:autoSpaceDE w:val="0"/>
              <w:autoSpaceDN w:val="0"/>
              <w:adjustRightInd w:val="0"/>
              <w:spacing w:before="29" w:line="360" w:lineRule="auto"/>
              <w:ind w:left="17"/>
              <w:jc w:val="right"/>
              <w:rPr>
                <w:color w:val="000000"/>
                <w:sz w:val="24"/>
              </w:rPr>
            </w:pPr>
            <w:r w:rsidRPr="00613409">
              <w:rPr>
                <w:color w:val="000000"/>
                <w:sz w:val="24"/>
              </w:rPr>
              <w:t>457,266,398.70</w:t>
            </w:r>
          </w:p>
        </w:tc>
      </w:tr>
      <w:tr w:rsidR="00EA3F40" w:rsidRPr="0097021E" w:rsidTr="00A40052">
        <w:trPr>
          <w:jc w:val="center"/>
        </w:trPr>
        <w:tc>
          <w:tcPr>
            <w:tcW w:type="dxa" w:w="3279"/>
          </w:tcPr>
          <w:p w:rsidP="00587524" w:rsidR="00EA3F40" w:rsidRDefault="00EA3F40" w:rsidRPr="00613409">
            <w:pPr>
              <w:adjustRightInd w:val="0"/>
              <w:snapToGrid w:val="0"/>
              <w:spacing w:line="340" w:lineRule="exact"/>
              <w:rPr>
                <w:color w:val="000000"/>
                <w:sz w:val="24"/>
              </w:rPr>
            </w:pPr>
            <w:r w:rsidRPr="00613409">
              <w:rPr>
                <w:color w:val="000000"/>
                <w:sz w:val="24"/>
              </w:rPr>
              <w:t>报告期期末基金份额总额</w:t>
            </w:r>
          </w:p>
        </w:tc>
        <w:tc>
          <w:tcPr>
            <w:tcW w:type="dxa" w:w="2268"/>
            <w:vAlign w:val="center"/>
          </w:tcPr>
          <w:p w:rsidP="00587524" w:rsidR="00EA3F40" w:rsidRDefault="00EA3F40" w:rsidRPr="00613409">
            <w:pPr>
              <w:autoSpaceDE w:val="0"/>
              <w:autoSpaceDN w:val="0"/>
              <w:adjustRightInd w:val="0"/>
              <w:spacing w:before="29" w:line="360" w:lineRule="auto"/>
              <w:ind w:left="17"/>
              <w:jc w:val="right"/>
              <w:rPr>
                <w:color w:val="000000"/>
                <w:sz w:val="24"/>
              </w:rPr>
            </w:pPr>
            <w:r w:rsidRPr="00613409">
              <w:rPr>
                <w:color w:val="000000"/>
                <w:sz w:val="24"/>
              </w:rPr>
              <w:t>645,516,032.93</w:t>
            </w:r>
          </w:p>
        </w:tc>
        <w:tc>
          <w:tcPr>
            <w:tcW w:type="dxa" w:w="2268"/>
            <w:vAlign w:val="center"/>
          </w:tcPr>
          <w:p w:rsidP="00587524" w:rsidR="00EA3F40" w:rsidRDefault="00EA3F40" w:rsidRPr="00613409">
            <w:pPr>
              <w:autoSpaceDE w:val="0"/>
              <w:autoSpaceDN w:val="0"/>
              <w:adjustRightInd w:val="0"/>
              <w:spacing w:before="29" w:line="360" w:lineRule="auto"/>
              <w:ind w:left="17"/>
              <w:jc w:val="right"/>
              <w:rPr>
                <w:color w:val="000000"/>
                <w:sz w:val="24"/>
              </w:rPr>
            </w:pPr>
            <w:r w:rsidRPr="00613409">
              <w:rPr>
                <w:color w:val="000000"/>
                <w:sz w:val="24"/>
              </w:rPr>
              <w:t>73,707,438.05</w:t>
            </w:r>
          </w:p>
        </w:tc>
        <w:tc>
          <w:tcPr>
            <w:tcW w:type="dxa" w:w="2269"/>
            <w:vAlign w:val="center"/>
          </w:tcPr>
          <w:p w:rsidP="003A1E1E" w:rsidR="00EA3F40" w:rsidRDefault="00EA3F40" w:rsidRPr="00613409">
            <w:pPr>
              <w:autoSpaceDE w:val="0"/>
              <w:autoSpaceDN w:val="0"/>
              <w:adjustRightInd w:val="0"/>
              <w:spacing w:before="29" w:line="360" w:lineRule="auto"/>
              <w:ind w:left="17"/>
              <w:jc w:val="right"/>
              <w:rPr>
                <w:color w:val="000000"/>
                <w:sz w:val="24"/>
              </w:rPr>
            </w:pPr>
            <w:r w:rsidRPr="00613409">
              <w:rPr>
                <w:color w:val="000000"/>
                <w:sz w:val="24"/>
              </w:rPr>
              <w:t>236,618,606.16</w:t>
            </w:r>
          </w:p>
        </w:tc>
      </w:tr>
    </w:tbl>
    <w:p w:rsidP="00E23C1B" w:rsidR="00EA3F40" w:rsidRDefault="00EA3F40" w:rsidRPr="0097021E">
      <w:pPr>
        <w:pStyle w:val="1"/>
        <w:spacing w:after="312" w:afterLines="100" w:before="312" w:beforeLines="100" w:line="360" w:lineRule="auto"/>
        <w:jc w:val="center"/>
        <w:rPr>
          <w:rFonts w:ascii="宋体" w:cs="Arial"/>
          <w:color w:val="000000"/>
          <w:kern w:val="0"/>
          <w:sz w:val="24"/>
          <w:szCs w:val="24"/>
        </w:rPr>
      </w:pPr>
      <w:r w:rsidRPr="0097021E">
        <w:rPr>
          <w:rFonts w:ascii="宋体" w:cs="Arial"/>
          <w:color w:val="000000"/>
          <w:kern w:val="0"/>
          <w:sz w:val="24"/>
          <w:szCs w:val="24"/>
        </w:rPr>
        <w:t/>
      </w:r>
      <w:r w:rsidRPr="0097021E">
        <w:rPr>
          <w:rFonts w:ascii="宋体" w:cs="Arial" w:hAnsi="宋体"/>
          <w:color w:val="000000"/>
          <w:kern w:val="0"/>
          <w:sz w:val="24"/>
          <w:szCs w:val="24"/>
        </w:rPr>
        <w:t/>
      </w:r>
      <w:r w:rsidRPr="0097021E">
        <w:rPr>
          <w:rFonts w:ascii="宋体" w:cs="Arial" w:hAnsi="宋体" w:hint="eastAsia"/>
          <w:color w:val="000000"/>
          <w:kern w:val="0"/>
          <w:sz w:val="24"/>
          <w:szCs w:val="24"/>
        </w:rPr>
        <w:t>§</w:t>
      </w:r>
      <w:r>
        <w:rPr>
          <w:rFonts w:ascii="宋体" w:cs="Arial"/>
          <w:color w:val="000000"/>
          <w:kern w:val="0"/>
          <w:sz w:val="24"/>
          <w:szCs w:val="24"/>
        </w:rPr>
        <w:t/>
      </w:r>
      <w:r>
        <w:rPr>
          <w:rFonts w:ascii="宋体" w:cs="Arial" w:hAnsi="宋体"/>
          <w:color w:val="000000"/>
          <w:kern w:val="0"/>
          <w:sz w:val="24"/>
          <w:szCs w:val="24"/>
        </w:rPr>
        <w:t/>
      </w:r>
      <w:r w:rsidRPr="0097021E">
        <w:rPr>
          <w:rFonts w:ascii="宋体" w:cs="Arial"/>
          <w:color w:val="000000"/>
          <w:kern w:val="0"/>
          <w:sz w:val="24"/>
          <w:szCs w:val="24"/>
        </w:rPr>
        <w:t>7</w:t>
      </w:r>
      <w:r w:rsidRPr="0097021E">
        <w:rPr>
          <w:rFonts w:ascii="宋体" w:cs="Arial" w:hAnsi="宋体"/>
          <w:color w:val="000000"/>
          <w:kern w:val="0"/>
          <w:sz w:val="24"/>
          <w:szCs w:val="24"/>
        </w:rPr>
        <w:t xml:space="preserve">  </w:t>
      </w:r>
      <w:r w:rsidRPr="00877329">
        <w:rPr>
          <w:rFonts w:ascii="宋体" w:cs="Arial" w:hAnsi="宋体" w:hint="eastAsia"/>
          <w:color w:val="000000"/>
          <w:kern w:val="0"/>
          <w:sz w:val="24"/>
          <w:szCs w:val="24"/>
        </w:rPr>
        <w:t>基金管理人运用固有资金投资本基金交易明细</w:t>
      </w:r>
    </w:p>
    <w:p w:rsidP="001752C7" w:rsidR="00EA3F40" w:rsidRDefault="00EA3F40" w:rsidRPr="001752C7">
      <w:pPr>
        <w:adjustRightInd w:val="0"/>
        <w:spacing w:line="360" w:lineRule="auto"/>
        <w:ind w:firstLine="480" w:firstLineChars="200"/>
        <w:rPr>
          <w:color w:val="000000"/>
          <w:sz w:val="24"/>
        </w:rPr>
      </w:pPr>
      <w:r w:rsidRPr="001752C7">
        <w:rPr>
          <w:color w:val="000000"/>
          <w:sz w:val="24"/>
        </w:rPr>
        <w:t>本报告期内基金管理人未运用固有资金申购、赎回、买卖本基金份额。</w:t>
      </w:r>
    </w:p>
    <w:p w:rsidP="00E23C1B" w:rsidR="00EA3F40" w:rsidRDefault="00EA3F40" w:rsidRPr="0097021E">
      <w:pPr>
        <w:pStyle w:val="1"/>
        <w:spacing w:after="312" w:afterLines="100" w:before="312" w:beforeLines="100" w:line="360" w:lineRule="auto"/>
        <w:jc w:val="center"/>
        <w:rPr>
          <w:rFonts w:ascii="宋体" w:cs="Arial"/>
          <w:color w:val="000000"/>
          <w:kern w:val="0"/>
          <w:sz w:val="24"/>
          <w:szCs w:val="24"/>
        </w:rPr>
      </w:pPr>
      <w:r w:rsidRPr="0097021E">
        <w:rPr>
          <w:rFonts w:ascii="宋体" w:cs="Arial" w:hAnsi="宋体" w:hint="eastAsia"/>
          <w:color w:val="000000"/>
          <w:kern w:val="0"/>
          <w:sz w:val="24"/>
          <w:szCs w:val="24"/>
        </w:rPr>
        <w:t>§</w:t>
      </w:r>
      <w:r w:rsidRPr="0097021E">
        <w:rPr>
          <w:rFonts w:ascii="宋体" w:cs="Arial"/>
          <w:color w:val="000000"/>
          <w:kern w:val="0"/>
          <w:sz w:val="24"/>
          <w:szCs w:val="24"/>
        </w:rPr>
        <w:t/>
      </w:r>
      <w:r w:rsidRPr="0097021E">
        <w:rPr>
          <w:rFonts w:ascii="宋体" w:cs="Arial" w:hAnsi="宋体"/>
          <w:color w:val="000000"/>
          <w:kern w:val="0"/>
          <w:sz w:val="24"/>
          <w:szCs w:val="24"/>
        </w:rPr>
        <w:t xml:space="preserve">8  </w:t>
      </w:r>
      <w:r w:rsidRPr="0097021E">
        <w:rPr>
          <w:rFonts w:ascii="宋体" w:cs="Arial" w:hAnsi="宋体" w:hint="eastAsia"/>
          <w:color w:val="000000"/>
          <w:kern w:val="0"/>
          <w:sz w:val="24"/>
          <w:szCs w:val="24"/>
        </w:rPr>
        <w:t>备查文件目录</w:t>
      </w:r>
    </w:p>
    <w:p w:rsidP="00394BC1" w:rsidR="00EA3F40" w:rsidRDefault="00EA3F40" w:rsidRPr="0097021E">
      <w:pPr>
        <w:autoSpaceDE w:val="0"/>
        <w:autoSpaceDN w:val="0"/>
        <w:adjustRightInd w:val="0"/>
        <w:spacing w:line="360" w:lineRule="auto"/>
        <w:jc w:val="left"/>
        <w:rPr>
          <w:rFonts w:ascii="宋体"/>
          <w:b/>
          <w:bCs/>
          <w:color w:val="000000"/>
          <w:kern w:val="0"/>
          <w:sz w:val="24"/>
        </w:rPr>
      </w:pPr>
      <w:r w:rsidRPr="0097021E">
        <w:rPr>
          <w:rFonts w:ascii="宋体" w:cs="Arial"/>
          <w:b/>
          <w:color w:val="000000"/>
          <w:kern w:val="0"/>
          <w:sz w:val="24"/>
        </w:rPr>
        <w:t/>
      </w:r>
      <w:r w:rsidRPr="0097021E">
        <w:rPr>
          <w:rFonts w:ascii="宋体" w:cs="Arial" w:hAnsi="宋体"/>
          <w:b/>
          <w:color w:val="000000"/>
          <w:kern w:val="0"/>
          <w:sz w:val="24"/>
        </w:rPr>
        <w:t>8</w:t>
      </w:r>
      <w:r w:rsidRPr="0097021E">
        <w:rPr>
          <w:rFonts w:ascii="宋体" w:hAnsi="宋体"/>
          <w:b/>
          <w:bCs/>
          <w:color w:val="000000"/>
          <w:kern w:val="0"/>
          <w:sz w:val="24"/>
        </w:rPr>
        <w:t xml:space="preserve">.1 </w:t>
      </w:r>
      <w:r w:rsidRPr="0097021E">
        <w:rPr>
          <w:rFonts w:ascii="宋体" w:hAnsi="宋体" w:hint="eastAsia"/>
          <w:b/>
          <w:bCs/>
          <w:color w:val="000000"/>
          <w:kern w:val="0"/>
          <w:sz w:val="24"/>
        </w:rPr>
        <w:t>备查文件目录</w:t>
      </w:r>
    </w:p>
    <w:p>
      <w:pPr>
        <w:adjustRightInd w:val="0"/>
        <w:spacing w:line="360" w:lineRule="auto"/>
        <w:ind w:firstLine="480" w:firstLineChars="200"/>
        <w:rPr>
          <w:color w:val="000000"/>
          <w:sz w:val="24"/>
        </w:rPr>
      </w:pPr>
      <w:r>
        <w:rPr>
          <w:color w:val="000000"/>
          <w:sz w:val="24"/>
        </w:rPr>
        <w:t>1.中国证监会注册易方达龙宝货币市场基金募集的文件；</w:t>
      </w:r>
    </w:p>
    <w:p>
      <w:pPr>
        <w:adjustRightInd w:val="0"/>
        <w:spacing w:line="360" w:lineRule="auto"/>
        <w:ind w:firstLine="480" w:firstLineChars="200"/>
        <w:rPr>
          <w:color w:val="000000"/>
          <w:sz w:val="24"/>
        </w:rPr>
      </w:pPr>
      <w:r>
        <w:rPr>
          <w:color w:val="000000"/>
          <w:sz w:val="24"/>
        </w:rPr>
        <w:t>2.《易方达龙宝货币市场基金基金合同》；</w:t>
      </w:r>
    </w:p>
    <w:p>
      <w:pPr>
        <w:adjustRightInd w:val="0"/>
        <w:spacing w:line="360" w:lineRule="auto"/>
        <w:ind w:firstLine="480" w:firstLineChars="200"/>
        <w:rPr>
          <w:color w:val="000000"/>
          <w:sz w:val="24"/>
        </w:rPr>
      </w:pPr>
      <w:r>
        <w:rPr>
          <w:color w:val="000000"/>
          <w:sz w:val="24"/>
        </w:rPr>
        <w:t>3.《易方达龙宝货币市场基金托管协议》；</w:t>
      </w:r>
    </w:p>
    <w:p>
      <w:pPr>
        <w:adjustRightInd w:val="0"/>
        <w:spacing w:line="360" w:lineRule="auto"/>
        <w:ind w:firstLine="480" w:firstLineChars="200"/>
        <w:rPr>
          <w:color w:val="000000"/>
          <w:sz w:val="24"/>
        </w:rPr>
      </w:pPr>
      <w:r>
        <w:rPr>
          <w:color w:val="000000"/>
          <w:sz w:val="24"/>
        </w:rPr>
        <w:t>4.《易方达基金管理有限公司开放式基金业务规则》；</w:t>
      </w:r>
    </w:p>
    <w:p w:rsidP="00613409" w:rsidR="00EA3F40" w:rsidRDefault="00EA3F40" w:rsidRPr="00613409">
      <w:pPr>
        <w:adjustRightInd w:val="0"/>
        <w:spacing w:line="360" w:lineRule="auto"/>
        <w:ind w:firstLine="480" w:firstLineChars="200"/>
        <w:rPr>
          <w:color w:val="000000"/>
          <w:sz w:val="24"/>
        </w:rPr>
      </w:pPr>
      <w:r w:rsidRPr="001752C7">
        <w:rPr>
          <w:color w:val="000000"/>
          <w:sz w:val="24"/>
        </w:rPr>
        <w:t>5.基金管理人业务资格批件、营业执照。</w:t>
      </w:r>
    </w:p>
    <w:p w:rsidP="00394BC1" w:rsidR="00EA3F40" w:rsidRDefault="00EA3F40" w:rsidRPr="0097021E">
      <w:pPr>
        <w:autoSpaceDE w:val="0"/>
        <w:autoSpaceDN w:val="0"/>
        <w:adjustRightInd w:val="0"/>
        <w:spacing w:line="360" w:lineRule="auto"/>
        <w:jc w:val="left"/>
        <w:rPr>
          <w:rFonts w:ascii="宋体"/>
          <w:b/>
          <w:bCs/>
          <w:color w:val="000000"/>
          <w:kern w:val="0"/>
          <w:sz w:val="24"/>
        </w:rPr>
      </w:pPr>
      <w:r w:rsidRPr="0097021E">
        <w:rPr>
          <w:rFonts w:ascii="宋体" w:cs="Arial"/>
          <w:b/>
          <w:color w:val="000000"/>
          <w:kern w:val="0"/>
          <w:sz w:val="24"/>
        </w:rPr>
        <w:t/>
      </w:r>
      <w:r w:rsidRPr="0097021E">
        <w:rPr>
          <w:rFonts w:ascii="宋体" w:cs="Arial" w:hAnsi="宋体"/>
          <w:b/>
          <w:color w:val="000000"/>
          <w:kern w:val="0"/>
          <w:sz w:val="24"/>
        </w:rPr>
        <w:t>8</w:t>
      </w:r>
      <w:r w:rsidRPr="0097021E">
        <w:rPr>
          <w:rFonts w:ascii="宋体" w:hAnsi="宋体"/>
          <w:b/>
          <w:bCs/>
          <w:color w:val="000000"/>
          <w:kern w:val="0"/>
          <w:sz w:val="24"/>
        </w:rPr>
        <w:t xml:space="preserve">.2 </w:t>
      </w:r>
      <w:r w:rsidRPr="0097021E">
        <w:rPr>
          <w:rFonts w:ascii="宋体" w:hAnsi="宋体" w:hint="eastAsia"/>
          <w:b/>
          <w:bCs/>
          <w:color w:val="000000"/>
          <w:kern w:val="0"/>
          <w:sz w:val="24"/>
        </w:rPr>
        <w:t>存放地点</w:t>
      </w:r>
    </w:p>
    <w:p w:rsidP="00613409" w:rsidR="00EA3F40" w:rsidRDefault="00EA3F40" w:rsidRPr="00613409">
      <w:pPr>
        <w:adjustRightInd w:val="0"/>
        <w:spacing w:line="360" w:lineRule="auto"/>
        <w:ind w:firstLine="480" w:firstLineChars="200"/>
        <w:rPr>
          <w:color w:val="000000"/>
          <w:sz w:val="24"/>
        </w:rPr>
      </w:pPr>
      <w:r w:rsidRPr="001752C7">
        <w:rPr>
          <w:color w:val="000000"/>
          <w:sz w:val="24"/>
        </w:rPr>
        <w:t>广州市天河区珠江新城珠江东路30号广州银行大厦40-43楼。</w:t>
      </w:r>
    </w:p>
    <w:p w:rsidP="00394BC1" w:rsidR="00EA3F40" w:rsidRDefault="00EA3F40" w:rsidRPr="0097021E">
      <w:pPr>
        <w:autoSpaceDE w:val="0"/>
        <w:autoSpaceDN w:val="0"/>
        <w:adjustRightInd w:val="0"/>
        <w:spacing w:line="360" w:lineRule="auto"/>
        <w:jc w:val="left"/>
        <w:rPr>
          <w:rFonts w:ascii="宋体"/>
          <w:b/>
          <w:bCs/>
          <w:color w:val="000000"/>
          <w:kern w:val="0"/>
          <w:sz w:val="24"/>
        </w:rPr>
      </w:pPr>
      <w:r w:rsidRPr="0097021E">
        <w:rPr>
          <w:rFonts w:ascii="宋体" w:cs="Arial"/>
          <w:b/>
          <w:color w:val="000000"/>
          <w:kern w:val="0"/>
          <w:sz w:val="24"/>
        </w:rPr>
        <w:t/>
      </w:r>
      <w:r w:rsidRPr="0097021E">
        <w:rPr>
          <w:rFonts w:ascii="宋体" w:cs="Arial" w:hAnsi="宋体"/>
          <w:b/>
          <w:color w:val="000000"/>
          <w:kern w:val="0"/>
          <w:sz w:val="24"/>
        </w:rPr>
        <w:t>8</w:t>
      </w:r>
      <w:r w:rsidRPr="0097021E">
        <w:rPr>
          <w:rFonts w:ascii="宋体" w:hAnsi="宋体"/>
          <w:b/>
          <w:bCs/>
          <w:color w:val="000000"/>
          <w:kern w:val="0"/>
          <w:sz w:val="24"/>
        </w:rPr>
        <w:t xml:space="preserve">.3 </w:t>
      </w:r>
      <w:r w:rsidRPr="0097021E">
        <w:rPr>
          <w:rFonts w:ascii="宋体" w:hAnsi="宋体" w:hint="eastAsia"/>
          <w:b/>
          <w:bCs/>
          <w:color w:val="000000"/>
          <w:kern w:val="0"/>
          <w:sz w:val="24"/>
        </w:rPr>
        <w:t>查阅方式</w:t>
      </w:r>
    </w:p>
    <w:p w:rsidP="001752C7" w:rsidR="00EA3F40" w:rsidRDefault="00EA3F40" w:rsidRPr="001752C7">
      <w:pPr>
        <w:adjustRightInd w:val="0"/>
        <w:spacing w:line="360" w:lineRule="auto"/>
        <w:ind w:firstLine="480" w:firstLineChars="200"/>
        <w:rPr>
          <w:color w:val="000000"/>
          <w:sz w:val="24"/>
        </w:rPr>
      </w:pPr>
      <w:r w:rsidRPr="001752C7">
        <w:rPr>
          <w:color w:val="000000"/>
          <w:sz w:val="24"/>
        </w:rPr>
        <w:t>投资者可在营业时间免费查阅，也可按工本费购买复印件。</w:t>
      </w:r>
    </w:p>
    <w:p w:rsidP="009216A0" w:rsidR="00EA3F40" w:rsidRDefault="00EA3F40">
      <w:pPr>
        <w:spacing w:line="360" w:lineRule="auto"/>
        <w:ind w:firstLine="480" w:firstLineChars="200"/>
        <w:rPr>
          <w:rFonts w:ascii="宋体"/>
          <w:color w:val="000000"/>
          <w:sz w:val="24"/>
        </w:rPr>
      </w:pPr>
    </w:p>
    <w:p w:rsidP="009216A0" w:rsidR="00EA3F40" w:rsidRDefault="00EA3F40">
      <w:pPr>
        <w:spacing w:line="360" w:lineRule="auto"/>
        <w:ind w:firstLine="480" w:firstLineChars="200"/>
        <w:rPr>
          <w:rFonts w:ascii="宋体"/>
          <w:color w:val="000000"/>
          <w:sz w:val="24"/>
        </w:rPr>
      </w:pPr>
    </w:p>
    <w:p w:rsidP="009216A0" w:rsidR="00EA3F40" w:rsidRDefault="00EA3F40">
      <w:pPr>
        <w:spacing w:line="360" w:lineRule="auto"/>
        <w:ind w:firstLine="480" w:firstLineChars="200"/>
        <w:rPr>
          <w:rFonts w:ascii="宋体"/>
          <w:color w:val="000000"/>
          <w:sz w:val="24"/>
        </w:rPr>
      </w:pPr>
    </w:p>
    <w:p w:rsidP="009216A0" w:rsidR="00EA3F40" w:rsidRDefault="00EA3F40">
      <w:pPr>
        <w:spacing w:line="360" w:lineRule="auto"/>
        <w:ind w:firstLine="480" w:firstLineChars="200"/>
        <w:rPr>
          <w:rFonts w:ascii="宋体"/>
          <w:color w:val="000000"/>
          <w:sz w:val="24"/>
        </w:rPr>
      </w:pPr>
    </w:p>
    <w:p w:rsidP="009216A0" w:rsidR="00EA3F40" w:rsidRDefault="00EA3F40">
      <w:pPr>
        <w:spacing w:line="360" w:lineRule="auto"/>
        <w:ind w:firstLine="480" w:firstLineChars="200"/>
        <w:rPr>
          <w:rFonts w:ascii="宋体"/>
          <w:color w:val="000000"/>
          <w:sz w:val="24"/>
        </w:rPr>
      </w:pPr>
    </w:p>
    <w:p w:rsidP="009216A0" w:rsidR="00EA3F40" w:rsidRDefault="00EA3F40">
      <w:pPr>
        <w:spacing w:line="360" w:lineRule="auto"/>
        <w:ind w:firstLine="480" w:firstLineChars="200"/>
        <w:rPr>
          <w:rFonts w:ascii="宋体"/>
          <w:color w:val="000000"/>
          <w:sz w:val="24"/>
        </w:rPr>
      </w:pPr>
    </w:p>
    <w:p w:rsidP="009216A0" w:rsidR="00EA3F40" w:rsidRDefault="00EA3F40">
      <w:pPr>
        <w:spacing w:line="360" w:lineRule="auto"/>
        <w:ind w:firstLine="480" w:firstLineChars="200"/>
        <w:rPr>
          <w:rFonts w:ascii="宋体"/>
          <w:color w:val="000000"/>
          <w:sz w:val="24"/>
        </w:rPr>
      </w:pPr>
    </w:p>
    <w:p w:rsidP="00196812" w:rsidR="00EA3F40" w:rsidRDefault="00EA3F40" w:rsidRPr="0097021E">
      <w:pPr>
        <w:spacing w:line="360" w:lineRule="auto"/>
        <w:ind w:left="840"/>
        <w:jc w:val="right"/>
        <w:rPr>
          <w:rFonts w:ascii="宋体"/>
          <w:color w:val="000000"/>
          <w:sz w:val="24"/>
        </w:rPr>
      </w:pPr>
    </w:p>
    <w:p w:rsidP="00394BC1" w:rsidR="00EA3F40" w:rsidRDefault="00EA3F40" w:rsidRPr="0097021E">
      <w:pPr>
        <w:spacing w:line="360" w:lineRule="auto"/>
        <w:jc w:val="right"/>
        <w:rPr>
          <w:rFonts w:ascii="宋体" w:hAnsi="宋体"/>
          <w:b/>
          <w:bCs/>
          <w:sz w:val="24"/>
        </w:rPr>
      </w:pPr>
      <w:r w:rsidRPr="0097021E">
        <w:rPr>
          <w:rFonts w:ascii="宋体"/>
          <w:b/>
          <w:bCs/>
          <w:sz w:val="24"/>
        </w:rPr>
        <w:t/>
      </w:r>
      <w:r w:rsidRPr="0097021E">
        <w:rPr>
          <w:rFonts w:ascii="宋体" w:hAnsi="宋体"/>
          <w:b/>
          <w:bCs/>
          <w:sz w:val="24"/>
        </w:rPr>
        <w:t>易方达基金管理有限公司</w:t>
      </w:r>
    </w:p>
    <w:p w:rsidP="00394BC1" w:rsidR="00EA3F40" w:rsidRDefault="00EA3F40" w:rsidRPr="0097021E">
      <w:pPr>
        <w:spacing w:line="360" w:lineRule="auto"/>
        <w:jc w:val="right"/>
        <w:rPr>
          <w:rFonts w:ascii="宋体" w:hAnsi="宋体"/>
          <w:b/>
          <w:bCs/>
          <w:sz w:val="24"/>
        </w:rPr>
      </w:pPr>
      <w:r w:rsidRPr="0097021E">
        <w:rPr>
          <w:rFonts w:ascii="宋体" w:hAnsi="宋体"/>
          <w:b/>
          <w:bCs/>
          <w:sz w:val="24"/>
        </w:rPr>
        <w:t>二〇二〇年十月二十八日</w:t>
      </w:r>
    </w:p>
    <w:sectPr w:rsidR="00EA3F40" w:rsidRPr="0097021E" w:rsidSect="00075BBB">
      <w:pgSz w:h="15840" w:w="11926"/>
      <w:pgMar w:bottom="852" w:footer="992" w:gutter="0" w:header="851" w:left="1420" w:right="1420" w:top="1420"/>
      <w:cols w:space="720"/>
      <w:noEndnote/>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229" w:rsidRDefault="00335229">
      <w:r>
        <w:separator/>
      </w:r>
    </w:p>
  </w:endnote>
  <w:endnote w:type="continuationSeparator" w:id="0">
    <w:p w:rsidR="00335229" w:rsidRDefault="00335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1D0DB0" w:rsidR="00FC1146" w:rsidRDefault="00FC1146" w:rsidRPr="001D0DB0">
    <w:pPr>
      <w:pStyle w:val="a5"/>
      <w:jc w:val="center"/>
    </w:pPr>
    <w:r>
      <w:rPr>
        <w:rFonts w:hint="eastAsia"/>
        <w:szCs w:val="21"/>
      </w:rPr>
      <w:t>第</w:t>
    </w:r>
    <w:r>
      <w:rPr>
        <w:szCs w:val="21"/>
      </w:rPr>
      <w:fldChar w:fldCharType="begin"/>
    </w:r>
    <w:r>
      <w:rPr>
        <w:szCs w:val="21"/>
      </w:rPr>
      <w:instrText xml:space="preserve"> PAGE </w:instrText>
    </w:r>
    <w:r>
      <w:rPr>
        <w:szCs w:val="21"/>
      </w:rPr>
      <w:fldChar w:fldCharType="separate"/>
    </w:r>
    <w:r w:rsidR="008F4C2B">
      <w:rPr>
        <w:noProof/>
        <w:szCs w:val="21"/>
      </w:rPr>
      <w:t>8</w:t>
    </w:r>
    <w:r>
      <w:rPr>
        <w:szCs w:val="21"/>
      </w:rPr>
      <w:fldChar w:fldCharType="end"/>
    </w:r>
    <w:r>
      <w:rPr>
        <w:rFonts w:hint="eastAsia"/>
        <w:szCs w:val="21"/>
      </w:rPr>
      <w:t>页共</w:t>
    </w:r>
    <w:r>
      <w:rPr>
        <w:szCs w:val="21"/>
      </w:rPr>
      <w:fldChar w:fldCharType="begin"/>
    </w:r>
    <w:r>
      <w:rPr>
        <w:szCs w:val="21"/>
      </w:rPr>
      <w:instrText xml:space="preserve"> NUMPAGES </w:instrText>
    </w:r>
    <w:r>
      <w:rPr>
        <w:szCs w:val="21"/>
      </w:rPr>
      <w:fldChar w:fldCharType="separate"/>
    </w:r>
    <w:r w:rsidR="008F4C2B">
      <w:rPr>
        <w:noProof/>
        <w:szCs w:val="21"/>
      </w:rPr>
      <w:t>28</w:t>
    </w:r>
    <w:r>
      <w:rPr>
        <w:szCs w:val="21"/>
      </w:rPr>
      <w:fldChar w:fldCharType="end"/>
    </w:r>
    <w:r>
      <w:rPr>
        <w:rFonts w:hint="eastAsia"/>
        <w:szCs w:val="21"/>
      </w:rPr>
      <w:t>页</w:t>
    </w: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otnote w:id="-1" w:type="separator">
    <w:p w:rsidR="00335229" w:rsidRDefault="00335229">
      <w:r>
        <w:separator/>
      </w:r>
    </w:p>
  </w:footnote>
  <w:footnote w:id="0" w:type="continuationSeparator">
    <w:p w:rsidR="00335229" w:rsidRDefault="00335229">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8379E2" w:rsidR="00FC1146" w:rsidRDefault="00FC1146" w:rsidRPr="00936106">
    <w:pPr>
      <w:pStyle w:val="a4"/>
      <w:pBdr>
        <w:bottom w:color="auto" w:space="0" w:sz="6" w:val="single"/>
      </w:pBdr>
      <w:jc w:val="right"/>
      <w:rPr>
        <w:sz w:val="15"/>
      </w:rPr>
    </w:pPr>
    <w:r w:rsidRPr="00936106">
      <w:rPr>
        <w:szCs w:val="21"/>
      </w:rPr>
      <w:t>易方达龙宝货币市场基金2020年第3季度报告</w:t>
    </w: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abstractNum w:abstractNumId="0">
    <w:nsid w:val="1E125ACF"/>
    <w:multiLevelType w:val="hybridMultilevel"/>
    <w:tmpl w:val="A1BADB72"/>
    <w:lvl w:ilvl="0" w:tplc="1694A2F2">
      <w:start w:val="1"/>
      <w:numFmt w:val="decimal"/>
      <w:lvlText w:val="%1、"/>
      <w:lvlJc w:val="left"/>
      <w:pPr>
        <w:tabs>
          <w:tab w:pos="830" w:val="num"/>
        </w:tabs>
        <w:ind w:hanging="360" w:left="830"/>
      </w:pPr>
      <w:rPr>
        <w:rFonts w:ascii="宋体" w:cs="Times New Roman" w:hint="default"/>
        <w:color w:val="auto"/>
      </w:rPr>
    </w:lvl>
    <w:lvl w:ilvl="1" w:tentative="1" w:tplc="04090019">
      <w:start w:val="1"/>
      <w:numFmt w:val="lowerLetter"/>
      <w:lvlText w:val="%2)"/>
      <w:lvlJc w:val="left"/>
      <w:pPr>
        <w:tabs>
          <w:tab w:pos="1310" w:val="num"/>
        </w:tabs>
        <w:ind w:hanging="420" w:left="1310"/>
      </w:pPr>
      <w:rPr>
        <w:rFonts w:cs="Times New Roman"/>
      </w:rPr>
    </w:lvl>
    <w:lvl w:ilvl="2" w:tentative="1" w:tplc="0409001B">
      <w:start w:val="1"/>
      <w:numFmt w:val="lowerRoman"/>
      <w:lvlText w:val="%3."/>
      <w:lvlJc w:val="right"/>
      <w:pPr>
        <w:tabs>
          <w:tab w:pos="1730" w:val="num"/>
        </w:tabs>
        <w:ind w:hanging="420" w:left="1730"/>
      </w:pPr>
      <w:rPr>
        <w:rFonts w:cs="Times New Roman"/>
      </w:rPr>
    </w:lvl>
    <w:lvl w:ilvl="3" w:tentative="1" w:tplc="0409000F">
      <w:start w:val="1"/>
      <w:numFmt w:val="decimal"/>
      <w:lvlText w:val="%4."/>
      <w:lvlJc w:val="left"/>
      <w:pPr>
        <w:tabs>
          <w:tab w:pos="2150" w:val="num"/>
        </w:tabs>
        <w:ind w:hanging="420" w:left="2150"/>
      </w:pPr>
      <w:rPr>
        <w:rFonts w:cs="Times New Roman"/>
      </w:rPr>
    </w:lvl>
    <w:lvl w:ilvl="4" w:tentative="1" w:tplc="04090019">
      <w:start w:val="1"/>
      <w:numFmt w:val="lowerLetter"/>
      <w:lvlText w:val="%5)"/>
      <w:lvlJc w:val="left"/>
      <w:pPr>
        <w:tabs>
          <w:tab w:pos="2570" w:val="num"/>
        </w:tabs>
        <w:ind w:hanging="420" w:left="2570"/>
      </w:pPr>
      <w:rPr>
        <w:rFonts w:cs="Times New Roman"/>
      </w:rPr>
    </w:lvl>
    <w:lvl w:ilvl="5" w:tentative="1" w:tplc="0409001B">
      <w:start w:val="1"/>
      <w:numFmt w:val="lowerRoman"/>
      <w:lvlText w:val="%6."/>
      <w:lvlJc w:val="right"/>
      <w:pPr>
        <w:tabs>
          <w:tab w:pos="2990" w:val="num"/>
        </w:tabs>
        <w:ind w:hanging="420" w:left="2990"/>
      </w:pPr>
      <w:rPr>
        <w:rFonts w:cs="Times New Roman"/>
      </w:rPr>
    </w:lvl>
    <w:lvl w:ilvl="6" w:tentative="1" w:tplc="0409000F">
      <w:start w:val="1"/>
      <w:numFmt w:val="decimal"/>
      <w:lvlText w:val="%7."/>
      <w:lvlJc w:val="left"/>
      <w:pPr>
        <w:tabs>
          <w:tab w:pos="3410" w:val="num"/>
        </w:tabs>
        <w:ind w:hanging="420" w:left="3410"/>
      </w:pPr>
      <w:rPr>
        <w:rFonts w:cs="Times New Roman"/>
      </w:rPr>
    </w:lvl>
    <w:lvl w:ilvl="7" w:tentative="1" w:tplc="04090019">
      <w:start w:val="1"/>
      <w:numFmt w:val="lowerLetter"/>
      <w:lvlText w:val="%8)"/>
      <w:lvlJc w:val="left"/>
      <w:pPr>
        <w:tabs>
          <w:tab w:pos="3830" w:val="num"/>
        </w:tabs>
        <w:ind w:hanging="420" w:left="3830"/>
      </w:pPr>
      <w:rPr>
        <w:rFonts w:cs="Times New Roman"/>
      </w:rPr>
    </w:lvl>
    <w:lvl w:ilvl="8" w:tentative="1" w:tplc="0409001B">
      <w:start w:val="1"/>
      <w:numFmt w:val="lowerRoman"/>
      <w:lvlText w:val="%9."/>
      <w:lvlJc w:val="right"/>
      <w:pPr>
        <w:tabs>
          <w:tab w:pos="4250" w:val="num"/>
        </w:tabs>
        <w:ind w:hanging="420" w:left="4250"/>
      </w:pPr>
      <w:rPr>
        <w:rFonts w:cs="Times New Roman"/>
      </w:rPr>
    </w:lvl>
  </w:abstractNum>
  <w:abstractNum w:abstractNumId="1">
    <w:nsid w:val="76E15721"/>
    <w:multiLevelType w:val="hybridMultilevel"/>
    <w:tmpl w:val="A1BADB72"/>
    <w:lvl w:ilvl="0" w:tplc="1694A2F2">
      <w:start w:val="1"/>
      <w:numFmt w:val="decimal"/>
      <w:lvlText w:val="%1、"/>
      <w:lvlJc w:val="left"/>
      <w:pPr>
        <w:tabs>
          <w:tab w:pos="830" w:val="num"/>
        </w:tabs>
        <w:ind w:hanging="360" w:left="830"/>
      </w:pPr>
      <w:rPr>
        <w:rFonts w:ascii="宋体" w:cs="Times New Roman" w:hint="default"/>
        <w:color w:val="auto"/>
      </w:rPr>
    </w:lvl>
    <w:lvl w:ilvl="1" w:tentative="1" w:tplc="04090019">
      <w:start w:val="1"/>
      <w:numFmt w:val="lowerLetter"/>
      <w:lvlText w:val="%2)"/>
      <w:lvlJc w:val="left"/>
      <w:pPr>
        <w:tabs>
          <w:tab w:pos="1310" w:val="num"/>
        </w:tabs>
        <w:ind w:hanging="420" w:left="1310"/>
      </w:pPr>
      <w:rPr>
        <w:rFonts w:cs="Times New Roman"/>
      </w:rPr>
    </w:lvl>
    <w:lvl w:ilvl="2" w:tentative="1" w:tplc="0409001B">
      <w:start w:val="1"/>
      <w:numFmt w:val="lowerRoman"/>
      <w:lvlText w:val="%3."/>
      <w:lvlJc w:val="right"/>
      <w:pPr>
        <w:tabs>
          <w:tab w:pos="1730" w:val="num"/>
        </w:tabs>
        <w:ind w:hanging="420" w:left="1730"/>
      </w:pPr>
      <w:rPr>
        <w:rFonts w:cs="Times New Roman"/>
      </w:rPr>
    </w:lvl>
    <w:lvl w:ilvl="3" w:tentative="1" w:tplc="0409000F">
      <w:start w:val="1"/>
      <w:numFmt w:val="decimal"/>
      <w:lvlText w:val="%4."/>
      <w:lvlJc w:val="left"/>
      <w:pPr>
        <w:tabs>
          <w:tab w:pos="2150" w:val="num"/>
        </w:tabs>
        <w:ind w:hanging="420" w:left="2150"/>
      </w:pPr>
      <w:rPr>
        <w:rFonts w:cs="Times New Roman"/>
      </w:rPr>
    </w:lvl>
    <w:lvl w:ilvl="4" w:tentative="1" w:tplc="04090019">
      <w:start w:val="1"/>
      <w:numFmt w:val="lowerLetter"/>
      <w:lvlText w:val="%5)"/>
      <w:lvlJc w:val="left"/>
      <w:pPr>
        <w:tabs>
          <w:tab w:pos="2570" w:val="num"/>
        </w:tabs>
        <w:ind w:hanging="420" w:left="2570"/>
      </w:pPr>
      <w:rPr>
        <w:rFonts w:cs="Times New Roman"/>
      </w:rPr>
    </w:lvl>
    <w:lvl w:ilvl="5" w:tentative="1" w:tplc="0409001B">
      <w:start w:val="1"/>
      <w:numFmt w:val="lowerRoman"/>
      <w:lvlText w:val="%6."/>
      <w:lvlJc w:val="right"/>
      <w:pPr>
        <w:tabs>
          <w:tab w:pos="2990" w:val="num"/>
        </w:tabs>
        <w:ind w:hanging="420" w:left="2990"/>
      </w:pPr>
      <w:rPr>
        <w:rFonts w:cs="Times New Roman"/>
      </w:rPr>
    </w:lvl>
    <w:lvl w:ilvl="6" w:tentative="1" w:tplc="0409000F">
      <w:start w:val="1"/>
      <w:numFmt w:val="decimal"/>
      <w:lvlText w:val="%7."/>
      <w:lvlJc w:val="left"/>
      <w:pPr>
        <w:tabs>
          <w:tab w:pos="3410" w:val="num"/>
        </w:tabs>
        <w:ind w:hanging="420" w:left="3410"/>
      </w:pPr>
      <w:rPr>
        <w:rFonts w:cs="Times New Roman"/>
      </w:rPr>
    </w:lvl>
    <w:lvl w:ilvl="7" w:tentative="1" w:tplc="04090019">
      <w:start w:val="1"/>
      <w:numFmt w:val="lowerLetter"/>
      <w:lvlText w:val="%8)"/>
      <w:lvlJc w:val="left"/>
      <w:pPr>
        <w:tabs>
          <w:tab w:pos="3830" w:val="num"/>
        </w:tabs>
        <w:ind w:hanging="420" w:left="3830"/>
      </w:pPr>
      <w:rPr>
        <w:rFonts w:cs="Times New Roman"/>
      </w:rPr>
    </w:lvl>
    <w:lvl w:ilvl="8" w:tentative="1" w:tplc="0409001B">
      <w:start w:val="1"/>
      <w:numFmt w:val="lowerRoman"/>
      <w:lvlText w:val="%9."/>
      <w:lvlJc w:val="right"/>
      <w:pPr>
        <w:tabs>
          <w:tab w:pos="4250" w:val="num"/>
        </w:tabs>
        <w:ind w:hanging="420" w:left="4250"/>
      </w:pPr>
      <w:rPr>
        <w:rFonts w:cs="Times New Roman"/>
      </w:rPr>
    </w:lvl>
  </w:abstractNum>
  <w:num w:numId="1">
    <w:abstractNumId w:val="0"/>
  </w:num>
  <w:num w:numId="2">
    <w:abstractNumId w:val="1"/>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mc:Ignorable="w14">
  <w:zoom w:percent="100"/>
  <w:embedSystemFonts/>
  <w:bordersDoNotSurroundHeader/>
  <w:bordersDoNotSurroundFooter/>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zh-CN" w:val="$([{£¥·‘“〈《「『【〔〖〝﹙﹛﹝＄（．［｛￡￥"/>
  <w:noLineBreaksBefore w:lang="zh-CN" w:val="!%),.:;&gt;?]}¢¨°·ˇˉ―‖’”…‰′″›℃∶、。〃〉》」』】〕〗〞︶︺︾﹀﹄﹚﹜﹞！＂％＇），．：；？］｀｜｝～￠"/>
  <w:doNotValidateAgainstSchema/>
  <w:doNotDemarcateInvalidXml/>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7283"/>
    <w:rsid w:val="000028CE"/>
    <w:rsid w:val="00004DE7"/>
    <w:rsid w:val="00005433"/>
    <w:rsid w:val="0001552D"/>
    <w:rsid w:val="0001566B"/>
    <w:rsid w:val="000175F5"/>
    <w:rsid w:val="0002085F"/>
    <w:rsid w:val="00025C5D"/>
    <w:rsid w:val="000321E9"/>
    <w:rsid w:val="00034C31"/>
    <w:rsid w:val="00035596"/>
    <w:rsid w:val="000375EA"/>
    <w:rsid w:val="000417E0"/>
    <w:rsid w:val="00044724"/>
    <w:rsid w:val="00047661"/>
    <w:rsid w:val="00052CA4"/>
    <w:rsid w:val="00053472"/>
    <w:rsid w:val="00054470"/>
    <w:rsid w:val="0005518A"/>
    <w:rsid w:val="00057D26"/>
    <w:rsid w:val="00063BA4"/>
    <w:rsid w:val="0006697D"/>
    <w:rsid w:val="00067A21"/>
    <w:rsid w:val="00070092"/>
    <w:rsid w:val="0007109E"/>
    <w:rsid w:val="00075BBB"/>
    <w:rsid w:val="00075CA2"/>
    <w:rsid w:val="0007770D"/>
    <w:rsid w:val="00086731"/>
    <w:rsid w:val="000A39AB"/>
    <w:rsid w:val="000A466F"/>
    <w:rsid w:val="000B2044"/>
    <w:rsid w:val="000B2266"/>
    <w:rsid w:val="000C469F"/>
    <w:rsid w:val="000D0F44"/>
    <w:rsid w:val="000D6294"/>
    <w:rsid w:val="000E0F6E"/>
    <w:rsid w:val="000F3C21"/>
    <w:rsid w:val="000F4826"/>
    <w:rsid w:val="000F5947"/>
    <w:rsid w:val="00101278"/>
    <w:rsid w:val="00102307"/>
    <w:rsid w:val="001038EF"/>
    <w:rsid w:val="00103B93"/>
    <w:rsid w:val="001074D6"/>
    <w:rsid w:val="001136E5"/>
    <w:rsid w:val="00113777"/>
    <w:rsid w:val="00114C97"/>
    <w:rsid w:val="00127B62"/>
    <w:rsid w:val="001302DB"/>
    <w:rsid w:val="00157B55"/>
    <w:rsid w:val="00162222"/>
    <w:rsid w:val="001635C7"/>
    <w:rsid w:val="001669F2"/>
    <w:rsid w:val="001752C7"/>
    <w:rsid w:val="0018401C"/>
    <w:rsid w:val="00185622"/>
    <w:rsid w:val="00186667"/>
    <w:rsid w:val="001878B0"/>
    <w:rsid w:val="00191B28"/>
    <w:rsid w:val="00192A36"/>
    <w:rsid w:val="00193BCF"/>
    <w:rsid w:val="00195C6F"/>
    <w:rsid w:val="00196812"/>
    <w:rsid w:val="00197ED0"/>
    <w:rsid w:val="001A2524"/>
    <w:rsid w:val="001B42BE"/>
    <w:rsid w:val="001B72D6"/>
    <w:rsid w:val="001B7CC6"/>
    <w:rsid w:val="001C5D80"/>
    <w:rsid w:val="001D0D4C"/>
    <w:rsid w:val="001D0DB0"/>
    <w:rsid w:val="001D3FAC"/>
    <w:rsid w:val="001D65C8"/>
    <w:rsid w:val="001D6ECD"/>
    <w:rsid w:val="001D75D9"/>
    <w:rsid w:val="001F0286"/>
    <w:rsid w:val="0020640F"/>
    <w:rsid w:val="0021251E"/>
    <w:rsid w:val="00220437"/>
    <w:rsid w:val="002315A5"/>
    <w:rsid w:val="00231F37"/>
    <w:rsid w:val="00232095"/>
    <w:rsid w:val="00233014"/>
    <w:rsid w:val="0024424F"/>
    <w:rsid w:val="002507FE"/>
    <w:rsid w:val="0025157E"/>
    <w:rsid w:val="002525C7"/>
    <w:rsid w:val="00255320"/>
    <w:rsid w:val="002611C3"/>
    <w:rsid w:val="002622E8"/>
    <w:rsid w:val="00264E55"/>
    <w:rsid w:val="00267283"/>
    <w:rsid w:val="00274FAC"/>
    <w:rsid w:val="0027576B"/>
    <w:rsid w:val="002767C1"/>
    <w:rsid w:val="00281E3B"/>
    <w:rsid w:val="00282892"/>
    <w:rsid w:val="00291428"/>
    <w:rsid w:val="002A4B7F"/>
    <w:rsid w:val="002B45A4"/>
    <w:rsid w:val="002B6EAF"/>
    <w:rsid w:val="002C17D5"/>
    <w:rsid w:val="002C308A"/>
    <w:rsid w:val="002D3ADF"/>
    <w:rsid w:val="002D680F"/>
    <w:rsid w:val="002D7BD9"/>
    <w:rsid w:val="002E040C"/>
    <w:rsid w:val="002E0F4A"/>
    <w:rsid w:val="002E41BD"/>
    <w:rsid w:val="002F0E9D"/>
    <w:rsid w:val="002F5237"/>
    <w:rsid w:val="002F6539"/>
    <w:rsid w:val="00307062"/>
    <w:rsid w:val="0031055A"/>
    <w:rsid w:val="00311ADA"/>
    <w:rsid w:val="00311AEB"/>
    <w:rsid w:val="00322B07"/>
    <w:rsid w:val="0032323A"/>
    <w:rsid w:val="00323377"/>
    <w:rsid w:val="00327FB0"/>
    <w:rsid w:val="00331FAB"/>
    <w:rsid w:val="00335229"/>
    <w:rsid w:val="0033525E"/>
    <w:rsid w:val="00340292"/>
    <w:rsid w:val="00340456"/>
    <w:rsid w:val="00340C3A"/>
    <w:rsid w:val="00343648"/>
    <w:rsid w:val="00343AF0"/>
    <w:rsid w:val="003451F3"/>
    <w:rsid w:val="00346359"/>
    <w:rsid w:val="00346B82"/>
    <w:rsid w:val="0035022C"/>
    <w:rsid w:val="0035215C"/>
    <w:rsid w:val="00362E2A"/>
    <w:rsid w:val="0036392B"/>
    <w:rsid w:val="00371E26"/>
    <w:rsid w:val="00373AAB"/>
    <w:rsid w:val="0038195B"/>
    <w:rsid w:val="00383631"/>
    <w:rsid w:val="00384942"/>
    <w:rsid w:val="00394BC1"/>
    <w:rsid w:val="003A0EC1"/>
    <w:rsid w:val="003A1E1E"/>
    <w:rsid w:val="003B2989"/>
    <w:rsid w:val="003B36B4"/>
    <w:rsid w:val="003B5756"/>
    <w:rsid w:val="003B6DC6"/>
    <w:rsid w:val="003B7F31"/>
    <w:rsid w:val="003C0E8C"/>
    <w:rsid w:val="003C1137"/>
    <w:rsid w:val="003C38DE"/>
    <w:rsid w:val="003C495A"/>
    <w:rsid w:val="003D1ECF"/>
    <w:rsid w:val="003D21F4"/>
    <w:rsid w:val="003E14FE"/>
    <w:rsid w:val="003E565B"/>
    <w:rsid w:val="003F43EB"/>
    <w:rsid w:val="00402654"/>
    <w:rsid w:val="00403ED2"/>
    <w:rsid w:val="00407CC3"/>
    <w:rsid w:val="00413FA3"/>
    <w:rsid w:val="004250C5"/>
    <w:rsid w:val="00425438"/>
    <w:rsid w:val="00426E31"/>
    <w:rsid w:val="00433C1E"/>
    <w:rsid w:val="004369B0"/>
    <w:rsid w:val="00440828"/>
    <w:rsid w:val="004409FE"/>
    <w:rsid w:val="0044257C"/>
    <w:rsid w:val="0044342F"/>
    <w:rsid w:val="00446474"/>
    <w:rsid w:val="004527E3"/>
    <w:rsid w:val="00452D31"/>
    <w:rsid w:val="00460000"/>
    <w:rsid w:val="00461A70"/>
    <w:rsid w:val="004702DF"/>
    <w:rsid w:val="00470F55"/>
    <w:rsid w:val="00473E10"/>
    <w:rsid w:val="00473EC9"/>
    <w:rsid w:val="00474896"/>
    <w:rsid w:val="004771B9"/>
    <w:rsid w:val="004950A3"/>
    <w:rsid w:val="00496B2E"/>
    <w:rsid w:val="004A0C6B"/>
    <w:rsid w:val="004A2432"/>
    <w:rsid w:val="004A3251"/>
    <w:rsid w:val="004A357E"/>
    <w:rsid w:val="004A46A0"/>
    <w:rsid w:val="004B1C09"/>
    <w:rsid w:val="004C5B7C"/>
    <w:rsid w:val="004D22E1"/>
    <w:rsid w:val="004D581E"/>
    <w:rsid w:val="004D72C7"/>
    <w:rsid w:val="004E041A"/>
    <w:rsid w:val="004E1DC5"/>
    <w:rsid w:val="004E3452"/>
    <w:rsid w:val="004E4E63"/>
    <w:rsid w:val="004F3BE1"/>
    <w:rsid w:val="004F459B"/>
    <w:rsid w:val="00500487"/>
    <w:rsid w:val="00506EF6"/>
    <w:rsid w:val="005141F5"/>
    <w:rsid w:val="0051505A"/>
    <w:rsid w:val="00515166"/>
    <w:rsid w:val="0051578D"/>
    <w:rsid w:val="005212AE"/>
    <w:rsid w:val="00532457"/>
    <w:rsid w:val="00533490"/>
    <w:rsid w:val="0053782E"/>
    <w:rsid w:val="0054464B"/>
    <w:rsid w:val="00546492"/>
    <w:rsid w:val="00546747"/>
    <w:rsid w:val="0054785C"/>
    <w:rsid w:val="00555883"/>
    <w:rsid w:val="00560F94"/>
    <w:rsid w:val="005633AD"/>
    <w:rsid w:val="00564C24"/>
    <w:rsid w:val="00570F8C"/>
    <w:rsid w:val="00575970"/>
    <w:rsid w:val="00582960"/>
    <w:rsid w:val="00587524"/>
    <w:rsid w:val="00592D0A"/>
    <w:rsid w:val="00594DCA"/>
    <w:rsid w:val="00595285"/>
    <w:rsid w:val="005A60B7"/>
    <w:rsid w:val="005B527B"/>
    <w:rsid w:val="005D1572"/>
    <w:rsid w:val="005D1BAF"/>
    <w:rsid w:val="005D21B9"/>
    <w:rsid w:val="005D4E63"/>
    <w:rsid w:val="005D596C"/>
    <w:rsid w:val="005D6807"/>
    <w:rsid w:val="005E05CC"/>
    <w:rsid w:val="005E2087"/>
    <w:rsid w:val="005E4559"/>
    <w:rsid w:val="005E6FA5"/>
    <w:rsid w:val="005F1343"/>
    <w:rsid w:val="005F1712"/>
    <w:rsid w:val="005F17EC"/>
    <w:rsid w:val="005F41D2"/>
    <w:rsid w:val="005F5A09"/>
    <w:rsid w:val="005F668B"/>
    <w:rsid w:val="005F6B28"/>
    <w:rsid w:val="00613327"/>
    <w:rsid w:val="00613409"/>
    <w:rsid w:val="006214E4"/>
    <w:rsid w:val="006254A5"/>
    <w:rsid w:val="006317E8"/>
    <w:rsid w:val="0063302E"/>
    <w:rsid w:val="00633177"/>
    <w:rsid w:val="006331F2"/>
    <w:rsid w:val="00636261"/>
    <w:rsid w:val="00636B17"/>
    <w:rsid w:val="0064191E"/>
    <w:rsid w:val="00664834"/>
    <w:rsid w:val="006662B2"/>
    <w:rsid w:val="00672BEF"/>
    <w:rsid w:val="00673BA5"/>
    <w:rsid w:val="00680A32"/>
    <w:rsid w:val="006911A1"/>
    <w:rsid w:val="006961CC"/>
    <w:rsid w:val="006A1E40"/>
    <w:rsid w:val="006A2D00"/>
    <w:rsid w:val="006B4C67"/>
    <w:rsid w:val="006B56E1"/>
    <w:rsid w:val="006D0BD6"/>
    <w:rsid w:val="006D27DD"/>
    <w:rsid w:val="006D4647"/>
    <w:rsid w:val="006D4C22"/>
    <w:rsid w:val="006E4EB5"/>
    <w:rsid w:val="006F1C55"/>
    <w:rsid w:val="006F3CEE"/>
    <w:rsid w:val="006F622C"/>
    <w:rsid w:val="00705970"/>
    <w:rsid w:val="00707CB2"/>
    <w:rsid w:val="00710487"/>
    <w:rsid w:val="00710B11"/>
    <w:rsid w:val="00714B3D"/>
    <w:rsid w:val="00714FD1"/>
    <w:rsid w:val="007277D1"/>
    <w:rsid w:val="00727EA0"/>
    <w:rsid w:val="00730216"/>
    <w:rsid w:val="0073105A"/>
    <w:rsid w:val="00734B8E"/>
    <w:rsid w:val="00737060"/>
    <w:rsid w:val="00741288"/>
    <w:rsid w:val="0074455F"/>
    <w:rsid w:val="007521F9"/>
    <w:rsid w:val="00756489"/>
    <w:rsid w:val="00756EA2"/>
    <w:rsid w:val="00757F37"/>
    <w:rsid w:val="007600BC"/>
    <w:rsid w:val="00762326"/>
    <w:rsid w:val="00762E87"/>
    <w:rsid w:val="00764CF7"/>
    <w:rsid w:val="007723FD"/>
    <w:rsid w:val="00772687"/>
    <w:rsid w:val="007746B3"/>
    <w:rsid w:val="00774E1E"/>
    <w:rsid w:val="00780252"/>
    <w:rsid w:val="007806BE"/>
    <w:rsid w:val="0078105B"/>
    <w:rsid w:val="00782061"/>
    <w:rsid w:val="00785C32"/>
    <w:rsid w:val="007A1ACF"/>
    <w:rsid w:val="007A339E"/>
    <w:rsid w:val="007A3C26"/>
    <w:rsid w:val="007B082A"/>
    <w:rsid w:val="007B1C3E"/>
    <w:rsid w:val="007C3671"/>
    <w:rsid w:val="007C42E5"/>
    <w:rsid w:val="007C5CCD"/>
    <w:rsid w:val="007C65CB"/>
    <w:rsid w:val="007E0C02"/>
    <w:rsid w:val="007F1DE3"/>
    <w:rsid w:val="007F7BD7"/>
    <w:rsid w:val="008056FA"/>
    <w:rsid w:val="008115B6"/>
    <w:rsid w:val="00812956"/>
    <w:rsid w:val="00813897"/>
    <w:rsid w:val="00814461"/>
    <w:rsid w:val="00823B47"/>
    <w:rsid w:val="00823E09"/>
    <w:rsid w:val="00824D84"/>
    <w:rsid w:val="00825EA5"/>
    <w:rsid w:val="00833555"/>
    <w:rsid w:val="008347B3"/>
    <w:rsid w:val="00834D9F"/>
    <w:rsid w:val="008356E6"/>
    <w:rsid w:val="00835BDD"/>
    <w:rsid w:val="008379E2"/>
    <w:rsid w:val="00841A22"/>
    <w:rsid w:val="00852119"/>
    <w:rsid w:val="0085498E"/>
    <w:rsid w:val="0086245E"/>
    <w:rsid w:val="00870A3C"/>
    <w:rsid w:val="00870FF9"/>
    <w:rsid w:val="00873386"/>
    <w:rsid w:val="00877329"/>
    <w:rsid w:val="00880EE6"/>
    <w:rsid w:val="008821D9"/>
    <w:rsid w:val="00882323"/>
    <w:rsid w:val="00893021"/>
    <w:rsid w:val="008B23BD"/>
    <w:rsid w:val="008C579A"/>
    <w:rsid w:val="008D0A39"/>
    <w:rsid w:val="008D55F2"/>
    <w:rsid w:val="008E4638"/>
    <w:rsid w:val="008E71D2"/>
    <w:rsid w:val="008F44F3"/>
    <w:rsid w:val="008F4C2B"/>
    <w:rsid w:val="009004F7"/>
    <w:rsid w:val="00902E3F"/>
    <w:rsid w:val="00903E98"/>
    <w:rsid w:val="00906C9B"/>
    <w:rsid w:val="00910FB5"/>
    <w:rsid w:val="00911C0E"/>
    <w:rsid w:val="009153D7"/>
    <w:rsid w:val="00917991"/>
    <w:rsid w:val="009216A0"/>
    <w:rsid w:val="009223B5"/>
    <w:rsid w:val="00922A49"/>
    <w:rsid w:val="00934C3D"/>
    <w:rsid w:val="00936106"/>
    <w:rsid w:val="0094213C"/>
    <w:rsid w:val="0094236C"/>
    <w:rsid w:val="00943AFD"/>
    <w:rsid w:val="00950BF5"/>
    <w:rsid w:val="0097021E"/>
    <w:rsid w:val="00971C19"/>
    <w:rsid w:val="00971D35"/>
    <w:rsid w:val="00976A1A"/>
    <w:rsid w:val="0098023C"/>
    <w:rsid w:val="00987902"/>
    <w:rsid w:val="0099296A"/>
    <w:rsid w:val="009965A5"/>
    <w:rsid w:val="009A0BE2"/>
    <w:rsid w:val="009A56D7"/>
    <w:rsid w:val="009A6938"/>
    <w:rsid w:val="009A755D"/>
    <w:rsid w:val="009B15FD"/>
    <w:rsid w:val="009B2693"/>
    <w:rsid w:val="009B3C3F"/>
    <w:rsid w:val="009B73A7"/>
    <w:rsid w:val="009C0C44"/>
    <w:rsid w:val="009C1A42"/>
    <w:rsid w:val="009D60EB"/>
    <w:rsid w:val="009D74FC"/>
    <w:rsid w:val="009E07F4"/>
    <w:rsid w:val="009E2527"/>
    <w:rsid w:val="009E2BAA"/>
    <w:rsid w:val="009E3E0B"/>
    <w:rsid w:val="009F2322"/>
    <w:rsid w:val="009F480F"/>
    <w:rsid w:val="00A01505"/>
    <w:rsid w:val="00A1530B"/>
    <w:rsid w:val="00A16747"/>
    <w:rsid w:val="00A16D78"/>
    <w:rsid w:val="00A24DC0"/>
    <w:rsid w:val="00A333CB"/>
    <w:rsid w:val="00A4003E"/>
    <w:rsid w:val="00A40052"/>
    <w:rsid w:val="00A42A96"/>
    <w:rsid w:val="00A455A0"/>
    <w:rsid w:val="00A50D92"/>
    <w:rsid w:val="00A6166A"/>
    <w:rsid w:val="00A62DD4"/>
    <w:rsid w:val="00A63D5F"/>
    <w:rsid w:val="00A65A66"/>
    <w:rsid w:val="00A7219D"/>
    <w:rsid w:val="00A74DD3"/>
    <w:rsid w:val="00A805BC"/>
    <w:rsid w:val="00A80F9F"/>
    <w:rsid w:val="00A81075"/>
    <w:rsid w:val="00A87550"/>
    <w:rsid w:val="00A91D2A"/>
    <w:rsid w:val="00A95FA9"/>
    <w:rsid w:val="00AA5B03"/>
    <w:rsid w:val="00AA68D4"/>
    <w:rsid w:val="00AB24CA"/>
    <w:rsid w:val="00AB373C"/>
    <w:rsid w:val="00AB5159"/>
    <w:rsid w:val="00AB67DE"/>
    <w:rsid w:val="00AB7D0C"/>
    <w:rsid w:val="00AC2B47"/>
    <w:rsid w:val="00AC3D9E"/>
    <w:rsid w:val="00AC6C3D"/>
    <w:rsid w:val="00AD1ADB"/>
    <w:rsid w:val="00AD6777"/>
    <w:rsid w:val="00AD6BD5"/>
    <w:rsid w:val="00AE17F1"/>
    <w:rsid w:val="00AE27A3"/>
    <w:rsid w:val="00AE2FB9"/>
    <w:rsid w:val="00AE342F"/>
    <w:rsid w:val="00AE4F96"/>
    <w:rsid w:val="00AE6D9A"/>
    <w:rsid w:val="00AE7435"/>
    <w:rsid w:val="00AF2397"/>
    <w:rsid w:val="00AF27F9"/>
    <w:rsid w:val="00AF3D19"/>
    <w:rsid w:val="00B040BC"/>
    <w:rsid w:val="00B0441A"/>
    <w:rsid w:val="00B044FC"/>
    <w:rsid w:val="00B06458"/>
    <w:rsid w:val="00B213AC"/>
    <w:rsid w:val="00B25119"/>
    <w:rsid w:val="00B261EB"/>
    <w:rsid w:val="00B27004"/>
    <w:rsid w:val="00B33F45"/>
    <w:rsid w:val="00B33FA5"/>
    <w:rsid w:val="00B415B8"/>
    <w:rsid w:val="00B420AC"/>
    <w:rsid w:val="00B4354A"/>
    <w:rsid w:val="00B461D8"/>
    <w:rsid w:val="00B54CC5"/>
    <w:rsid w:val="00B60E27"/>
    <w:rsid w:val="00B64D62"/>
    <w:rsid w:val="00B65C2B"/>
    <w:rsid w:val="00B76BBB"/>
    <w:rsid w:val="00B83944"/>
    <w:rsid w:val="00B94B49"/>
    <w:rsid w:val="00BA7AF1"/>
    <w:rsid w:val="00BB03CC"/>
    <w:rsid w:val="00BB252C"/>
    <w:rsid w:val="00BB5126"/>
    <w:rsid w:val="00BB7518"/>
    <w:rsid w:val="00BC0205"/>
    <w:rsid w:val="00BC14F5"/>
    <w:rsid w:val="00BC2146"/>
    <w:rsid w:val="00BD0F36"/>
    <w:rsid w:val="00BD6918"/>
    <w:rsid w:val="00BE1FC8"/>
    <w:rsid w:val="00BE439F"/>
    <w:rsid w:val="00BE5584"/>
    <w:rsid w:val="00BF1111"/>
    <w:rsid w:val="00BF3886"/>
    <w:rsid w:val="00C006E9"/>
    <w:rsid w:val="00C009AF"/>
    <w:rsid w:val="00C0152D"/>
    <w:rsid w:val="00C2005E"/>
    <w:rsid w:val="00C205E4"/>
    <w:rsid w:val="00C2782D"/>
    <w:rsid w:val="00C3040F"/>
    <w:rsid w:val="00C31708"/>
    <w:rsid w:val="00C343F3"/>
    <w:rsid w:val="00C361A1"/>
    <w:rsid w:val="00C36C15"/>
    <w:rsid w:val="00C4213A"/>
    <w:rsid w:val="00C4371A"/>
    <w:rsid w:val="00C4627A"/>
    <w:rsid w:val="00C526E2"/>
    <w:rsid w:val="00C637D1"/>
    <w:rsid w:val="00C640B8"/>
    <w:rsid w:val="00C7033B"/>
    <w:rsid w:val="00C75870"/>
    <w:rsid w:val="00C83157"/>
    <w:rsid w:val="00C91200"/>
    <w:rsid w:val="00C927D5"/>
    <w:rsid w:val="00CA0730"/>
    <w:rsid w:val="00CA1C04"/>
    <w:rsid w:val="00CA3808"/>
    <w:rsid w:val="00CA592F"/>
    <w:rsid w:val="00CA65DD"/>
    <w:rsid w:val="00CB0E8A"/>
    <w:rsid w:val="00CB6152"/>
    <w:rsid w:val="00CC0035"/>
    <w:rsid w:val="00CC05B9"/>
    <w:rsid w:val="00CC3F83"/>
    <w:rsid w:val="00CC40F7"/>
    <w:rsid w:val="00CC57FC"/>
    <w:rsid w:val="00CC7DB0"/>
    <w:rsid w:val="00CD3D1C"/>
    <w:rsid w:val="00CD5F24"/>
    <w:rsid w:val="00CE0E18"/>
    <w:rsid w:val="00CE193A"/>
    <w:rsid w:val="00CE6A71"/>
    <w:rsid w:val="00CF6DF0"/>
    <w:rsid w:val="00CF7A26"/>
    <w:rsid w:val="00CF7E28"/>
    <w:rsid w:val="00D02B35"/>
    <w:rsid w:val="00D06255"/>
    <w:rsid w:val="00D06394"/>
    <w:rsid w:val="00D15D82"/>
    <w:rsid w:val="00D1705E"/>
    <w:rsid w:val="00D25602"/>
    <w:rsid w:val="00D271A9"/>
    <w:rsid w:val="00D30BD3"/>
    <w:rsid w:val="00D33791"/>
    <w:rsid w:val="00D33BA8"/>
    <w:rsid w:val="00D364EB"/>
    <w:rsid w:val="00D40363"/>
    <w:rsid w:val="00D41D32"/>
    <w:rsid w:val="00D451BC"/>
    <w:rsid w:val="00D51E96"/>
    <w:rsid w:val="00D568AA"/>
    <w:rsid w:val="00D568BB"/>
    <w:rsid w:val="00D63B9E"/>
    <w:rsid w:val="00D65D90"/>
    <w:rsid w:val="00D66016"/>
    <w:rsid w:val="00D769BA"/>
    <w:rsid w:val="00D8034F"/>
    <w:rsid w:val="00D81755"/>
    <w:rsid w:val="00D8617C"/>
    <w:rsid w:val="00D87D00"/>
    <w:rsid w:val="00D94E23"/>
    <w:rsid w:val="00DA1983"/>
    <w:rsid w:val="00DA2F1E"/>
    <w:rsid w:val="00DA5831"/>
    <w:rsid w:val="00DB17B8"/>
    <w:rsid w:val="00DB2873"/>
    <w:rsid w:val="00DC4482"/>
    <w:rsid w:val="00DD5028"/>
    <w:rsid w:val="00DD5350"/>
    <w:rsid w:val="00DE38DA"/>
    <w:rsid w:val="00DE4550"/>
    <w:rsid w:val="00DF1198"/>
    <w:rsid w:val="00E009CD"/>
    <w:rsid w:val="00E067CB"/>
    <w:rsid w:val="00E12082"/>
    <w:rsid w:val="00E17870"/>
    <w:rsid w:val="00E21589"/>
    <w:rsid w:val="00E23C1B"/>
    <w:rsid w:val="00E24D9E"/>
    <w:rsid w:val="00E257C8"/>
    <w:rsid w:val="00E26581"/>
    <w:rsid w:val="00E2722E"/>
    <w:rsid w:val="00E325AB"/>
    <w:rsid w:val="00E3447D"/>
    <w:rsid w:val="00E431CE"/>
    <w:rsid w:val="00E445F8"/>
    <w:rsid w:val="00E503E4"/>
    <w:rsid w:val="00E55E02"/>
    <w:rsid w:val="00E571C4"/>
    <w:rsid w:val="00E63B3D"/>
    <w:rsid w:val="00E64479"/>
    <w:rsid w:val="00E67D99"/>
    <w:rsid w:val="00E75556"/>
    <w:rsid w:val="00E75EFA"/>
    <w:rsid w:val="00E76F1F"/>
    <w:rsid w:val="00E80BE2"/>
    <w:rsid w:val="00E8309D"/>
    <w:rsid w:val="00E90A9C"/>
    <w:rsid w:val="00E95356"/>
    <w:rsid w:val="00E966E5"/>
    <w:rsid w:val="00EA3D96"/>
    <w:rsid w:val="00EA3F40"/>
    <w:rsid w:val="00EA6B69"/>
    <w:rsid w:val="00EA6B7B"/>
    <w:rsid w:val="00EB25E4"/>
    <w:rsid w:val="00EB3D8B"/>
    <w:rsid w:val="00EB7416"/>
    <w:rsid w:val="00EC06C6"/>
    <w:rsid w:val="00EC104E"/>
    <w:rsid w:val="00EC4453"/>
    <w:rsid w:val="00ED0D44"/>
    <w:rsid w:val="00ED1B77"/>
    <w:rsid w:val="00ED5511"/>
    <w:rsid w:val="00ED57D1"/>
    <w:rsid w:val="00EE2BF2"/>
    <w:rsid w:val="00EF172D"/>
    <w:rsid w:val="00EF3B7C"/>
    <w:rsid w:val="00EF56FA"/>
    <w:rsid w:val="00EF6216"/>
    <w:rsid w:val="00EF6E42"/>
    <w:rsid w:val="00F0613C"/>
    <w:rsid w:val="00F07CBB"/>
    <w:rsid w:val="00F11244"/>
    <w:rsid w:val="00F14A7B"/>
    <w:rsid w:val="00F1658B"/>
    <w:rsid w:val="00F2540D"/>
    <w:rsid w:val="00F26602"/>
    <w:rsid w:val="00F31380"/>
    <w:rsid w:val="00F333BF"/>
    <w:rsid w:val="00F34499"/>
    <w:rsid w:val="00F406E3"/>
    <w:rsid w:val="00F40C82"/>
    <w:rsid w:val="00F50707"/>
    <w:rsid w:val="00F5114E"/>
    <w:rsid w:val="00F53B1A"/>
    <w:rsid w:val="00F54568"/>
    <w:rsid w:val="00F56FBC"/>
    <w:rsid w:val="00F57249"/>
    <w:rsid w:val="00F62DE3"/>
    <w:rsid w:val="00F77131"/>
    <w:rsid w:val="00F85D7E"/>
    <w:rsid w:val="00FA041A"/>
    <w:rsid w:val="00FA4C13"/>
    <w:rsid w:val="00FA7550"/>
    <w:rsid w:val="00FB345F"/>
    <w:rsid w:val="00FB4DA5"/>
    <w:rsid w:val="00FC1146"/>
    <w:rsid w:val="00FC57A1"/>
    <w:rsid w:val="00FC6D26"/>
    <w:rsid w:val="00FD3820"/>
    <w:rsid w:val="00FE6E6D"/>
    <w:rsid w:val="00FF0DAE"/>
    <w:rsid w:val="00FF3092"/>
  </w:rsids>
  <m:mathPr>
    <m:mathFont m:val="Cambria Math"/>
    <m:brkBin m:val="before"/>
    <m:brkBinSub m:val="--"/>
    <m:smallFrac m:val="0"/>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doNotAutoCompressPictures/>
  <w:smartTagType w:name="chsdate" w:namespaceuri="urn:schemas-microsoft-com:office:smarttags"/>
  <w:shapeDefaults>
    <o:shapedefaults spidmax="2049"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cs="Times New Roman" w:eastAsia="宋体" w:hAnsi="Times New Roman"/>
        <w:lang w:bidi="ar-SA" w:eastAsia="zh-CN" w:val="en-US"/>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iPriority="0" w:unhideWhenUsed="0"/>
    <w:lsdException w:locked="1" w:name="heading 2" w:qFormat="1" w:semiHidden="0" w:uiPriority="0" w:unhideWhenUsed="0"/>
    <w:lsdException w:locked="1" w:name="heading 3" w:qFormat="1" w:uiPriority="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locked="1" w:name="header" w:semiHidden="0" w:uiPriority="0" w:unhideWhenUsed="0"/>
    <w:lsdException w:locked="1" w:name="caption" w:qFormat="1" w:uiPriority="0"/>
    <w:lsdException w:locked="1" w:name="Title" w:qFormat="1" w:semiHidden="0" w:uiPriority="0" w:unhideWhenUsed="0"/>
    <w:lsdException w:name="Default Paragraph Font" w:uiPriority="1"/>
    <w:lsdException w:locked="1" w:name="Subtitle" w:qFormat="1" w:semiHidden="0" w:uiPriority="0" w:unhideWhenUsed="0"/>
    <w:lsdException w:locked="1" w:name="Strong" w:qFormat="1" w:semiHidden="0" w:uiPriority="22" w:unhideWhenUsed="0"/>
    <w:lsdException w:locked="1" w:name="Emphasis" w:qFormat="1" w:semiHidden="0" w:uiPriority="0" w:unhideWhenUsed="0"/>
    <w:lsdException w:locked="1" w:name="Plain Text" w:semiHidden="0" w:unhideWhenUsed="0"/>
    <w:lsdException w:locked="1"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33525E"/>
    <w:pPr>
      <w:widowControl w:val="0"/>
      <w:jc w:val="both"/>
    </w:pPr>
    <w:rPr>
      <w:kern w:val="2"/>
      <w:sz w:val="21"/>
      <w:szCs w:val="24"/>
    </w:rPr>
  </w:style>
  <w:style w:styleId="1" w:type="paragraph">
    <w:name w:val="heading 1"/>
    <w:basedOn w:val="a"/>
    <w:next w:val="a"/>
    <w:link w:val="1Char"/>
    <w:uiPriority w:val="99"/>
    <w:qFormat/>
    <w:rsid w:val="00CA65DD"/>
    <w:pPr>
      <w:keepNext/>
      <w:keepLines/>
      <w:spacing w:after="330" w:before="340" w:line="578" w:lineRule="auto"/>
      <w:outlineLvl w:val="0"/>
    </w:pPr>
    <w:rPr>
      <w:b/>
      <w:bCs/>
      <w:kern w:val="44"/>
      <w:sz w:val="44"/>
      <w:szCs w:val="44"/>
    </w:rPr>
  </w:style>
  <w:style w:styleId="2" w:type="paragraph">
    <w:name w:val="heading 2"/>
    <w:basedOn w:val="a"/>
    <w:next w:val="a0"/>
    <w:link w:val="2Char"/>
    <w:uiPriority w:val="9"/>
    <w:qFormat/>
    <w:rsid w:val="009D74FC"/>
    <w:pPr>
      <w:keepNext/>
      <w:keepLines/>
      <w:spacing w:after="260" w:before="260" w:line="360" w:lineRule="auto"/>
      <w:outlineLvl w:val="1"/>
    </w:pPr>
    <w:rPr>
      <w:rFonts w:ascii="Cambria" w:hAnsi="Cambria"/>
      <w:b/>
      <w:bCs/>
      <w:kern w:val="0"/>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link w:val="1"/>
    <w:uiPriority w:val="99"/>
    <w:locked/>
    <w:rsid w:val="00CA65DD"/>
    <w:rPr>
      <w:rFonts w:cs="Times New Roman"/>
      <w:b/>
      <w:bCs/>
      <w:kern w:val="44"/>
      <w:sz w:val="44"/>
      <w:szCs w:val="44"/>
    </w:rPr>
  </w:style>
  <w:style w:customStyle="1" w:styleId="2Char" w:type="character">
    <w:name w:val="标题 2 Char"/>
    <w:link w:val="2"/>
    <w:uiPriority w:val="9"/>
    <w:semiHidden/>
    <w:rsid w:val="006F6012"/>
    <w:rPr>
      <w:rFonts w:ascii="Cambria" w:cs="Times New Roman" w:eastAsia="宋体" w:hAnsi="Cambria"/>
      <w:b/>
      <w:bCs/>
      <w:sz w:val="32"/>
      <w:szCs w:val="32"/>
    </w:rPr>
  </w:style>
  <w:style w:styleId="a4" w:type="paragraph">
    <w:name w:val="header"/>
    <w:basedOn w:val="a"/>
    <w:link w:val="Char"/>
    <w:uiPriority w:val="99"/>
    <w:rsid w:val="00613327"/>
    <w:pPr>
      <w:pBdr>
        <w:bottom w:color="auto" w:space="1" w:sz="6" w:val="single"/>
      </w:pBdr>
      <w:tabs>
        <w:tab w:pos="4153" w:val="center"/>
        <w:tab w:pos="8306" w:val="right"/>
      </w:tabs>
      <w:snapToGrid w:val="0"/>
      <w:jc w:val="center"/>
    </w:pPr>
    <w:rPr>
      <w:sz w:val="18"/>
      <w:szCs w:val="18"/>
    </w:rPr>
  </w:style>
  <w:style w:customStyle="1" w:styleId="Char" w:type="character">
    <w:name w:val="页眉 Char"/>
    <w:link w:val="a4"/>
    <w:uiPriority w:val="99"/>
    <w:locked/>
    <w:rsid w:val="008379E2"/>
    <w:rPr>
      <w:rFonts w:cs="Times New Roman"/>
      <w:kern w:val="2"/>
      <w:sz w:val="18"/>
      <w:szCs w:val="18"/>
    </w:rPr>
  </w:style>
  <w:style w:styleId="a5" w:type="paragraph">
    <w:name w:val="footer"/>
    <w:basedOn w:val="a"/>
    <w:link w:val="Char0"/>
    <w:uiPriority w:val="99"/>
    <w:rsid w:val="00613327"/>
    <w:pPr>
      <w:tabs>
        <w:tab w:pos="4153" w:val="center"/>
        <w:tab w:pos="8306" w:val="right"/>
      </w:tabs>
      <w:snapToGrid w:val="0"/>
      <w:jc w:val="left"/>
    </w:pPr>
    <w:rPr>
      <w:kern w:val="0"/>
      <w:sz w:val="18"/>
      <w:szCs w:val="18"/>
    </w:rPr>
  </w:style>
  <w:style w:customStyle="1" w:styleId="Char0" w:type="character">
    <w:name w:val="页脚 Char"/>
    <w:link w:val="a5"/>
    <w:uiPriority w:val="99"/>
    <w:semiHidden/>
    <w:rsid w:val="006F6012"/>
    <w:rPr>
      <w:sz w:val="18"/>
      <w:szCs w:val="18"/>
    </w:rPr>
  </w:style>
  <w:style w:customStyle="1" w:styleId="Char1" w:type="paragraph">
    <w:name w:val="Char"/>
    <w:basedOn w:val="a"/>
    <w:uiPriority w:val="99"/>
    <w:rsid w:val="00186667"/>
  </w:style>
  <w:style w:styleId="20" w:type="paragraph">
    <w:name w:val="Body Text Indent 2"/>
    <w:basedOn w:val="a"/>
    <w:link w:val="2Char0"/>
    <w:uiPriority w:val="99"/>
    <w:rsid w:val="00186667"/>
    <w:pPr>
      <w:spacing w:line="560" w:lineRule="exact"/>
      <w:ind w:firstLine="480" w:firstLineChars="200"/>
    </w:pPr>
    <w:rPr>
      <w:kern w:val="0"/>
      <w:sz w:val="20"/>
    </w:rPr>
  </w:style>
  <w:style w:customStyle="1" w:styleId="2Char0" w:type="character">
    <w:name w:val="正文文本缩进 2 Char"/>
    <w:link w:val="20"/>
    <w:uiPriority w:val="99"/>
    <w:semiHidden/>
    <w:rsid w:val="006F6012"/>
    <w:rPr>
      <w:szCs w:val="24"/>
    </w:rPr>
  </w:style>
  <w:style w:styleId="a6" w:type="paragraph">
    <w:name w:val="Plain Text"/>
    <w:basedOn w:val="a"/>
    <w:link w:val="Char2"/>
    <w:uiPriority w:val="99"/>
    <w:rsid w:val="004771B9"/>
    <w:rPr>
      <w:rFonts w:ascii="宋体" w:hAnsi="Courier New"/>
      <w:szCs w:val="20"/>
    </w:rPr>
  </w:style>
  <w:style w:customStyle="1" w:styleId="Char2" w:type="character">
    <w:name w:val="纯文本 Char"/>
    <w:link w:val="a6"/>
    <w:uiPriority w:val="99"/>
    <w:locked/>
    <w:rsid w:val="00E63B3D"/>
    <w:rPr>
      <w:rFonts w:ascii="宋体" w:hAnsi="Courier New"/>
      <w:kern w:val="2"/>
      <w:sz w:val="21"/>
    </w:rPr>
  </w:style>
  <w:style w:styleId="3" w:type="paragraph">
    <w:name w:val="Body Text Indent 3"/>
    <w:basedOn w:val="a"/>
    <w:link w:val="3Char"/>
    <w:uiPriority w:val="99"/>
    <w:rsid w:val="004771B9"/>
    <w:pPr>
      <w:spacing w:after="120"/>
      <w:ind w:left="420" w:leftChars="200"/>
    </w:pPr>
    <w:rPr>
      <w:kern w:val="0"/>
      <w:sz w:val="16"/>
      <w:szCs w:val="16"/>
    </w:rPr>
  </w:style>
  <w:style w:customStyle="1" w:styleId="3Char" w:type="character">
    <w:name w:val="正文文本缩进 3 Char"/>
    <w:link w:val="3"/>
    <w:uiPriority w:val="99"/>
    <w:semiHidden/>
    <w:rsid w:val="006F6012"/>
    <w:rPr>
      <w:sz w:val="16"/>
      <w:szCs w:val="16"/>
    </w:rPr>
  </w:style>
  <w:style w:styleId="a0" w:type="paragraph">
    <w:name w:val="Normal Indent"/>
    <w:basedOn w:val="a"/>
    <w:uiPriority w:val="99"/>
    <w:rsid w:val="009D74FC"/>
    <w:pPr>
      <w:ind w:firstLine="420" w:firstLineChars="200"/>
    </w:pPr>
  </w:style>
  <w:style w:styleId="a7" w:type="paragraph">
    <w:name w:val="Document Map"/>
    <w:basedOn w:val="a"/>
    <w:link w:val="Char3"/>
    <w:uiPriority w:val="99"/>
    <w:semiHidden/>
    <w:rsid w:val="005212AE"/>
    <w:pPr>
      <w:shd w:color="auto" w:fill="000080" w:val="clear"/>
    </w:pPr>
    <w:rPr>
      <w:kern w:val="0"/>
      <w:sz w:val="0"/>
      <w:szCs w:val="0"/>
    </w:rPr>
  </w:style>
  <w:style w:customStyle="1" w:styleId="Char3" w:type="character">
    <w:name w:val="文档结构图 Char"/>
    <w:link w:val="a7"/>
    <w:uiPriority w:val="99"/>
    <w:semiHidden/>
    <w:rsid w:val="006F6012"/>
    <w:rPr>
      <w:sz w:val="0"/>
      <w:szCs w:val="0"/>
    </w:rPr>
  </w:style>
  <w:style w:styleId="a8" w:type="paragraph">
    <w:name w:val="Balloon Text"/>
    <w:basedOn w:val="a"/>
    <w:link w:val="Char4"/>
    <w:uiPriority w:val="99"/>
    <w:rsid w:val="00E63B3D"/>
    <w:rPr>
      <w:sz w:val="18"/>
      <w:szCs w:val="18"/>
    </w:rPr>
  </w:style>
  <w:style w:customStyle="1" w:styleId="Char4" w:type="character">
    <w:name w:val="批注框文本 Char"/>
    <w:link w:val="a8"/>
    <w:uiPriority w:val="99"/>
    <w:locked/>
    <w:rsid w:val="00E63B3D"/>
    <w:rPr>
      <w:rFonts w:cs="Times New Roman"/>
      <w:kern w:val="2"/>
      <w:sz w:val="18"/>
      <w:szCs w:val="18"/>
    </w:rPr>
  </w:style>
  <w:style w:styleId="a9" w:type="paragraph">
    <w:name w:val="List Paragraph"/>
    <w:basedOn w:val="a"/>
    <w:uiPriority w:val="99"/>
    <w:qFormat/>
    <w:rsid w:val="005F668B"/>
    <w:pPr>
      <w:ind w:firstLine="420" w:firstLineChars="200"/>
    </w:pPr>
  </w:style>
  <w:style w:styleId="aa" w:type="table">
    <w:name w:val="Table Grid"/>
    <w:basedOn w:val="a2"/>
    <w:qFormat/>
    <w:rsid w:val="005A60B7"/>
    <w:tblPr>
      <w:tblInd w:type="dxa" w:w="0"/>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type="dxa" w:w="0"/>
        <w:left w:type="dxa" w:w="108"/>
        <w:bottom w:type="dxa" w:w="0"/>
        <w:right w:type="dxa" w:w="108"/>
      </w:tblCellMar>
    </w:tblPr>
  </w:style>
  <w:style w:styleId="ab" w:type="paragraph">
    <w:name w:val="Normal (Web)"/>
    <w:basedOn w:val="a"/>
    <w:uiPriority w:val="99"/>
    <w:rsid w:val="008B23BD"/>
    <w:pPr>
      <w:widowControl/>
      <w:spacing w:after="100" w:afterAutospacing="1" w:before="100" w:beforeAutospacing="1"/>
    </w:pPr>
    <w:rPr>
      <w:rFonts w:ascii="宋体" w:hAnsi="宋体"/>
      <w:kern w:val="0"/>
      <w:sz w:val="24"/>
      <w:szCs w:val="20"/>
    </w:rPr>
  </w:style>
  <w:style w:styleId="ac" w:type="paragraph">
    <w:name w:val="Date"/>
    <w:basedOn w:val="a"/>
    <w:next w:val="a"/>
    <w:link w:val="Char5"/>
    <w:uiPriority w:val="99"/>
    <w:rsid w:val="00D66016"/>
    <w:rPr>
      <w:sz w:val="24"/>
      <w:szCs w:val="20"/>
    </w:rPr>
  </w:style>
  <w:style w:customStyle="1" w:styleId="Char5" w:type="character">
    <w:name w:val="日期 Char"/>
    <w:link w:val="ac"/>
    <w:uiPriority w:val="99"/>
    <w:locked/>
    <w:rsid w:val="00D66016"/>
    <w:rPr>
      <w:rFonts w:cs="Times New Roman"/>
      <w:kern w:val="2"/>
      <w:sz w:val="24"/>
    </w:rPr>
  </w:style>
  <w:style w:styleId="ad" w:type="paragraph">
    <w:name w:val="footnote text"/>
    <w:basedOn w:val="a"/>
    <w:link w:val="Char6"/>
    <w:uiPriority w:val="99"/>
    <w:rsid w:val="006B56E1"/>
    <w:pPr>
      <w:snapToGrid w:val="0"/>
      <w:jc w:val="left"/>
    </w:pPr>
    <w:rPr>
      <w:sz w:val="18"/>
      <w:szCs w:val="18"/>
    </w:rPr>
  </w:style>
  <w:style w:customStyle="1" w:styleId="Char6" w:type="character">
    <w:name w:val="脚注文本 Char"/>
    <w:link w:val="ad"/>
    <w:uiPriority w:val="99"/>
    <w:locked/>
    <w:rsid w:val="006B56E1"/>
    <w:rPr>
      <w:rFonts w:cs="Times New Roman"/>
      <w:kern w:val="2"/>
      <w:sz w:val="18"/>
      <w:szCs w:val="18"/>
    </w:rPr>
  </w:style>
  <w:style w:styleId="ae" w:type="character">
    <w:name w:val="footnote reference"/>
    <w:uiPriority w:val="99"/>
    <w:rsid w:val="006B56E1"/>
    <w:rPr>
      <w:rFonts w:cs="Times New Roman"/>
      <w:vertAlign w:val="superscript"/>
    </w:rPr>
  </w:style>
  <w:style w:styleId="af" w:type="character">
    <w:name w:val="Strong"/>
    <w:uiPriority w:val="22"/>
    <w:qFormat/>
    <w:locked/>
    <w:rsid w:val="001136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71063">
      <w:bodyDiv w:val="1"/>
      <w:marLeft w:val="0"/>
      <w:marRight w:val="0"/>
      <w:marTop w:val="0"/>
      <w:marBottom w:val="0"/>
      <w:divBdr>
        <w:top w:val="none" w:sz="0" w:space="0" w:color="auto"/>
        <w:left w:val="none" w:sz="0" w:space="0" w:color="auto"/>
        <w:bottom w:val="none" w:sz="0" w:space="0" w:color="auto"/>
        <w:right w:val="none" w:sz="0" w:space="0" w:color="auto"/>
      </w:divBdr>
    </w:div>
    <w:div w:id="691616685">
      <w:bodyDiv w:val="1"/>
      <w:marLeft w:val="0"/>
      <w:marRight w:val="0"/>
      <w:marTop w:val="0"/>
      <w:marBottom w:val="0"/>
      <w:divBdr>
        <w:top w:val="none" w:sz="0" w:space="0" w:color="auto"/>
        <w:left w:val="none" w:sz="0" w:space="0" w:color="auto"/>
        <w:bottom w:val="none" w:sz="0" w:space="0" w:color="auto"/>
        <w:right w:val="none" w:sz="0" w:space="0" w:color="auto"/>
      </w:divBdr>
    </w:div>
    <w:div w:id="737367738">
      <w:bodyDiv w:val="1"/>
      <w:marLeft w:val="0"/>
      <w:marRight w:val="0"/>
      <w:marTop w:val="0"/>
      <w:marBottom w:val="0"/>
      <w:divBdr>
        <w:top w:val="none" w:sz="0" w:space="0" w:color="auto"/>
        <w:left w:val="none" w:sz="0" w:space="0" w:color="auto"/>
        <w:bottom w:val="none" w:sz="0" w:space="0" w:color="auto"/>
        <w:right w:val="none" w:sz="0" w:space="0" w:color="auto"/>
      </w:divBdr>
    </w:div>
    <w:div w:id="801459287">
      <w:bodyDiv w:val="1"/>
      <w:marLeft w:val="0"/>
      <w:marRight w:val="0"/>
      <w:marTop w:val="0"/>
      <w:marBottom w:val="0"/>
      <w:divBdr>
        <w:top w:val="none" w:sz="0" w:space="0" w:color="auto"/>
        <w:left w:val="none" w:sz="0" w:space="0" w:color="auto"/>
        <w:bottom w:val="none" w:sz="0" w:space="0" w:color="auto"/>
        <w:right w:val="none" w:sz="0" w:space="0" w:color="auto"/>
      </w:divBdr>
    </w:div>
    <w:div w:id="1718818727">
      <w:marLeft w:val="0"/>
      <w:marRight w:val="0"/>
      <w:marTop w:val="0"/>
      <w:marBottom w:val="0"/>
      <w:divBdr>
        <w:top w:val="none" w:sz="0" w:space="0" w:color="auto"/>
        <w:left w:val="none" w:sz="0" w:space="0" w:color="auto"/>
        <w:bottom w:val="none" w:sz="0" w:space="0" w:color="auto"/>
        <w:right w:val="none" w:sz="0" w:space="0" w:color="auto"/>
      </w:divBdr>
    </w:div>
    <w:div w:id="1718818728">
      <w:marLeft w:val="0"/>
      <w:marRight w:val="0"/>
      <w:marTop w:val="0"/>
      <w:marBottom w:val="0"/>
      <w:divBdr>
        <w:top w:val="none" w:sz="0" w:space="0" w:color="auto"/>
        <w:left w:val="none" w:sz="0" w:space="0" w:color="auto"/>
        <w:bottom w:val="none" w:sz="0" w:space="0" w:color="auto"/>
        <w:right w:val="none" w:sz="0" w:space="0" w:color="auto"/>
      </w:divBdr>
    </w:div>
    <w:div w:id="17188187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numbering.xml" Type="http://schemas.openxmlformats.org/officeDocument/2006/relationships/numbering"/>
<Relationship Id="rId10" Target="media/image1.jpeg" Type="http://schemas.openxmlformats.org/officeDocument/2006/relationships/image"/>
<Relationship Id="rId11" Target="media/image2.jpeg" Type="http://schemas.openxmlformats.org/officeDocument/2006/relationships/image"/>
<Relationship Id="rId12" Target="media/image3.jpeg" Type="http://schemas.openxmlformats.org/officeDocument/2006/relationships/image"/>
<Relationship Id="rId13" Target="fontTable.xml" Type="http://schemas.openxmlformats.org/officeDocument/2006/relationships/fontTable"/>
<Relationship Id="rId14" Target="theme/theme1.xml" Type="http://schemas.openxmlformats.org/officeDocument/2006/relationships/theme"/>
<Relationship Id="rId2" Target="styles.xml" Type="http://schemas.openxmlformats.org/officeDocument/2006/relationships/styles"/>
<Relationship Id="rId3" Target="stylesWithEffects.xml" Type="http://schemas.microsoft.com/office/2007/relationships/stylesWithEffect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28</Pages>
  <Words>3985</Words>
  <Characters>22718</Characters>
  <Application>Microsoft Office Word</Application>
  <DocSecurity>0</DocSecurity>
  <Lines>189</Lines>
  <Paragraphs>53</Paragraphs>
  <ScaleCrop>false</ScaleCrop>
  <Company>jysld</Company>
  <LinksUpToDate>false</LinksUpToDate>
  <CharactersWithSpaces>26650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2013-12-25T02:47:00Z</dcterms:created>
  <dc:creator>bonnieliu</dc:creator>
  <cp:lastModifiedBy>sirong han</cp:lastModifiedBy>
  <cp:lastPrinted>2009-01-22T10:11:00Z</cp:lastPrinted>
  <dcterms:modified xsi:type="dcterms:W3CDTF">2020-09-01T06:35:00Z</dcterms:modified>
  <cp:revision>97</cp:revision>
</cp:coreProperties>
</file>