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4061AC" w:rsidR="00750D48" w:rsidRDefault="00750D48" w:rsidRPr="00264E55">
      <w:pPr>
        <w:autoSpaceDE w:val="0"/>
        <w:autoSpaceDN w:val="0"/>
        <w:adjustRightInd w:val="0"/>
        <w:spacing w:line="360" w:lineRule="auto"/>
        <w:jc w:val="left"/>
        <w:rPr>
          <w:rFonts w:ascii="宋体"/>
          <w:color w:val="000000"/>
          <w:kern w:val="0"/>
          <w:sz w:val="24"/>
          <w:szCs w:val="24"/>
        </w:rPr>
      </w:pPr>
    </w:p>
    <w:p w:rsidP="00542546" w:rsidR="00750D48" w:rsidRDefault="00750D48" w:rsidRPr="00264E55">
      <w:pPr>
        <w:spacing w:line="360" w:lineRule="auto"/>
        <w:jc w:val="center"/>
        <w:rPr>
          <w:rFonts w:ascii="宋体" w:hAnsi="宋体"/>
          <w:b/>
          <w:sz w:val="36"/>
          <w:szCs w:val="36"/>
        </w:rPr>
      </w:pPr>
      <w:r w:rsidRPr="00264E55">
        <w:rPr>
          <w:rFonts w:ascii="宋体"/>
          <w:b/>
          <w:sz w:val="36"/>
          <w:szCs w:val="36"/>
        </w:rPr>
        <w:t/>
      </w:r>
      <w:proofErr w:type="spellStart"/>
      <w:proofErr w:type="gramStart"/>
      <w:r w:rsidRPr="00264E55">
        <w:rPr>
          <w:rFonts w:ascii="宋体" w:hAnsi="宋体"/>
          <w:b/>
          <w:sz w:val="36"/>
          <w:szCs w:val="36"/>
        </w:rPr>
        <w:t/>
      </w:r>
      <w:proofErr w:type="spellEnd"/>
      <w:proofErr w:type="gramEnd"/>
      <w:r w:rsidRPr="00264E55">
        <w:rPr>
          <w:rFonts w:ascii="宋体" w:hAnsi="宋体"/>
          <w:b/>
          <w:sz w:val="36"/>
          <w:szCs w:val="36"/>
        </w:rPr>
        <w:t>易方达新兴成长灵活配置混合型证券投资基金</w:t>
      </w:r>
    </w:p>
    <w:p w:rsidP="00542546" w:rsidR="00750D48" w:rsidRDefault="00750D48" w:rsidRPr="00264E55">
      <w:pPr>
        <w:spacing w:line="360" w:lineRule="auto"/>
        <w:jc w:val="center"/>
        <w:rPr>
          <w:rFonts w:ascii="宋体" w:hAnsi="宋体"/>
          <w:b/>
          <w:sz w:val="36"/>
          <w:szCs w:val="36"/>
        </w:rPr>
      </w:pPr>
      <w:r w:rsidRPr="00264E55">
        <w:rPr>
          <w:rFonts w:ascii="宋体" w:hAnsi="宋体"/>
          <w:b/>
          <w:sz w:val="36"/>
          <w:szCs w:val="36"/>
        </w:rPr>
        <w:t/>
      </w:r>
      <w:proofErr w:type="spellStart"/>
      <w:r w:rsidRPr="00264E55">
        <w:rPr>
          <w:rFonts w:ascii="宋体" w:hAnsi="宋体"/>
          <w:b/>
          <w:sz w:val="36"/>
          <w:szCs w:val="36"/>
        </w:rPr>
        <w:t/>
      </w:r>
      <w:proofErr w:type="spellEnd"/>
      <w:r w:rsidRPr="00264E55">
        <w:rPr>
          <w:rFonts w:ascii="宋体" w:hAnsi="宋体"/>
          <w:b/>
          <w:sz w:val="36"/>
          <w:szCs w:val="36"/>
        </w:rPr>
        <w:t>2020年第3季度报告</w:t>
      </w:r>
    </w:p>
    <w:p w:rsidP="00542546" w:rsidR="00750D48" w:rsidRDefault="00750D48" w:rsidRPr="00093704">
      <w:pPr>
        <w:spacing w:line="360" w:lineRule="auto"/>
        <w:jc w:val="center"/>
        <w:rPr>
          <w:rFonts w:ascii="宋体" w:hAnsi="宋体"/>
          <w:b/>
          <w:sz w:val="24"/>
          <w:szCs w:val="24"/>
        </w:rPr>
      </w:pPr>
      <w:r w:rsidRPr="00093704">
        <w:rPr>
          <w:rFonts w:ascii="宋体"/>
          <w:b/>
          <w:sz w:val="24"/>
          <w:szCs w:val="24"/>
        </w:rPr>
        <w:t/>
      </w:r>
      <w:proofErr w:type="spellStart"/>
      <w:proofErr w:type="gramStart"/>
      <w:r w:rsidRPr="00093704">
        <w:rPr>
          <w:rFonts w:ascii="宋体" w:hAnsi="宋体"/>
          <w:b/>
          <w:sz w:val="24"/>
          <w:szCs w:val="24"/>
        </w:rPr>
        <w:t/>
      </w:r>
      <w:proofErr w:type="spellEnd"/>
      <w:proofErr w:type="gramEnd"/>
      <w:r w:rsidRPr="00093704">
        <w:rPr>
          <w:rFonts w:ascii="宋体" w:hAnsi="宋体"/>
          <w:b/>
          <w:sz w:val="24"/>
          <w:szCs w:val="24"/>
        </w:rPr>
        <w:t>2020年9月30日</w:t>
      </w: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jc w:val="center"/>
        <w:rPr>
          <w:rFonts w:ascii="宋体"/>
          <w:b/>
          <w:bCs/>
          <w:color w:val="000000"/>
          <w:sz w:val="24"/>
          <w:szCs w:val="24"/>
        </w:rPr>
      </w:pPr>
    </w:p>
    <w:p w:rsidP="004061AC" w:rsidR="00750D48" w:rsidRDefault="00750D48" w:rsidRPr="00264E55">
      <w:pPr>
        <w:spacing w:line="360" w:lineRule="auto"/>
        <w:rPr>
          <w:rFonts w:ascii="宋体"/>
          <w:b/>
          <w:bCs/>
          <w:color w:val="000000"/>
          <w:sz w:val="24"/>
          <w:szCs w:val="24"/>
        </w:rPr>
      </w:pP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基金管理人：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易方达基金管理有限公司</w:t>
      </w:r>
    </w:p>
    <w:p w:rsidP="00EB572F" w:rsidR="00750D48" w:rsidRDefault="00750D48" w:rsidRPr="00264E55">
      <w:pPr>
        <w:spacing w:line="360" w:lineRule="auto"/>
        <w:ind w:firstLine="2168" w:firstLineChars="900"/>
        <w:rPr>
          <w:rFonts w:ascii="宋体" w:hAnsi="宋体"/>
          <w:b/>
          <w:color w:val="000000"/>
          <w:sz w:val="24"/>
          <w:szCs w:val="24"/>
        </w:rPr>
      </w:pPr>
      <w:r w:rsidRPr="00264E55">
        <w:rPr>
          <w:rFonts w:ascii="宋体" w:hAnsi="宋体" w:hint="eastAsia"/>
          <w:b/>
          <w:color w:val="000000"/>
          <w:sz w:val="24"/>
          <w:szCs w:val="24"/>
        </w:rPr>
        <w:t>基金托管人：</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中国工商银行股份有限公司</w:t>
      </w:r>
    </w:p>
    <w:p w:rsidP="00EB572F" w:rsidR="00750D48" w:rsidRDefault="00750D48" w:rsidRPr="00264E55">
      <w:pPr>
        <w:spacing w:line="360" w:lineRule="auto"/>
        <w:ind w:firstLine="2168" w:firstLineChars="900"/>
        <w:rPr>
          <w:rFonts w:ascii="宋体" w:hAnsi="宋体"/>
          <w:b/>
          <w:color w:val="000000"/>
          <w:sz w:val="24"/>
          <w:szCs w:val="24"/>
        </w:rPr>
        <w:sectPr w:rsidR="00750D48" w:rsidRPr="00264E55" w:rsidSect="00304A12">
          <w:headerReference r:id="rId9" w:type="default"/>
          <w:footerReference r:id="rId10" w:type="default"/>
          <w:pgSz w:h="15840" w:w="11926"/>
          <w:pgMar w:bottom="851" w:footer="992" w:gutter="0" w:header="851" w:left="1418" w:right="1418" w:top="1418"/>
          <w:cols w:space="720"/>
          <w:noEndnote/>
        </w:sectPr>
      </w:pPr>
      <w:r w:rsidRPr="00264E55">
        <w:rPr>
          <w:rFonts w:ascii="宋体" w:hAnsi="宋体" w:hint="eastAsia"/>
          <w:b/>
          <w:color w:val="000000"/>
          <w:sz w:val="24"/>
          <w:szCs w:val="24"/>
        </w:rPr>
        <w:t>报告送出日期：</w:t>
      </w:r>
      <w:r w:rsidRPr="00264E55">
        <w:rPr>
          <w:rFonts w:ascii="宋体"/>
          <w:b/>
          <w:color w:val="000000"/>
          <w:sz w:val="24"/>
          <w:szCs w:val="24"/>
        </w:rPr>
        <w:t/>
      </w:r>
      <w:proofErr w:type="spellStart"/>
      <w:proofErr w:type="gramStart"/>
      <w:r w:rsidRPr="00264E55">
        <w:rPr>
          <w:rFonts w:ascii="宋体" w:hAnsi="宋体"/>
          <w:b/>
          <w:color w:val="000000"/>
          <w:sz w:val="24"/>
          <w:szCs w:val="24"/>
        </w:rPr>
        <w:t/>
      </w:r>
      <w:proofErr w:type="spellEnd"/>
      <w:proofErr w:type="gramEnd"/>
      <w:r w:rsidRPr="00264E55">
        <w:rPr>
          <w:rFonts w:ascii="宋体" w:hAnsi="宋体"/>
          <w:b/>
          <w:color w:val="000000"/>
          <w:sz w:val="24"/>
          <w:szCs w:val="24"/>
        </w:rPr>
        <w:t>二〇二〇年十月二十八日</w:t>
      </w:r>
    </w:p>
    <w:p w:rsidP="004D28A3" w:rsidR="00750D48" w:rsidRDefault="00750D48" w:rsidRPr="00264E55">
      <w:pPr>
        <w:pStyle w:val="1"/>
        <w:spacing w:after="312" w:afterLines="100" w:before="312" w:beforeLines="100" w:line="360" w:lineRule="auto"/>
        <w:jc w:val="center"/>
        <w:rPr>
          <w:rFonts w:ascii="宋体"/>
          <w:b w:val="0"/>
          <w:bCs w:val="0"/>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1  </w:t>
      </w:r>
      <w:r w:rsidRPr="00264E55">
        <w:rPr>
          <w:rFonts w:ascii="宋体" w:hAnsi="宋体" w:hint="eastAsia"/>
          <w:color w:val="000000"/>
          <w:kern w:val="0"/>
          <w:sz w:val="24"/>
          <w:szCs w:val="24"/>
        </w:rPr>
        <w:t>重要提示</w:t>
      </w:r>
    </w:p>
    <w:p>
      <w:pPr>
        <w:spacing w:line="360"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szCs w:val="24"/>
        </w:rPr>
      </w:pPr>
      <w:r>
        <w:rPr>
          <w:color w:val="000000"/>
          <w:sz w:val="24"/>
          <w:szCs w:val="24"/>
        </w:rPr>
        <w:t xml:space="preserve">基金托管人中国工商银行股份有限公司根据本基金合同规定，于2020年10月26日复核了本报告中的财务指标、净值表现和投资组合报告等内容，保证复核内容不存在虚假记载、误导性陈述或者重大遗漏。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line="360"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szCs w:val="24"/>
        </w:rPr>
      </w:pPr>
      <w:r>
        <w:rPr>
          <w:color w:val="000000"/>
          <w:sz w:val="24"/>
          <w:szCs w:val="24"/>
        </w:rPr>
        <w:t>本报告中财务资料未经审计。</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proofErr w:type="gramStart"/>
      <w:r w:rsidRPr="006C56AA">
        <w:rPr>
          <w:color w:val="000000"/>
          <w:sz w:val="24"/>
          <w:szCs w:val="24"/>
        </w:rPr>
        <w:t/>
      </w:r>
      <w:proofErr w:type="spellEnd"/>
      <w:proofErr w:type="gramEnd"/>
      <w:r w:rsidRPr="006C56AA">
        <w:rPr>
          <w:color w:val="000000"/>
          <w:sz w:val="24"/>
          <w:szCs w:val="24"/>
        </w:rPr>
        <w:t>本报告期自2020年7月1日起至9月30日止。</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2  </w:t>
      </w:r>
      <w:r w:rsidRPr="00264E55">
        <w:rPr>
          <w:rFonts w:ascii="宋体"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739"/>
        <w:gridCol w:w="2740"/>
      </w:tblGrid>
      <w:tr w:rsidR="00750D48" w:rsidRPr="00264E55" w:rsidTr="00500A03">
        <w:tc>
          <w:tcPr>
            <w:tcW w:type="dxa" w:w="2835"/>
          </w:tcPr>
          <w:p w:rsidP="007B5AFB" w:rsidR="00750D48" w:rsidRDefault="00750D48" w:rsidRPr="00232B03">
            <w:pPr>
              <w:adjustRightInd w:val="0"/>
              <w:spacing w:before="29" w:line="360" w:lineRule="auto"/>
              <w:ind w:left="17"/>
              <w:jc w:val="left"/>
              <w:rPr>
                <w:kern w:val="0"/>
                <w:sz w:val="24"/>
                <w:szCs w:val="24"/>
              </w:rPr>
            </w:pPr>
            <w:r w:rsidRPr="00232B03">
              <w:rPr>
                <w:kern w:val="0"/>
                <w:sz w:val="24"/>
                <w:szCs w:val="24"/>
              </w:rPr>
              <w:t>基金简称</w:t>
            </w:r>
          </w:p>
        </w:tc>
        <w:tc>
          <w:tcPr>
            <w:tcW w:type="dxa" w:w="5479"/>
            <w:gridSpan w:val="2"/>
          </w:tcPr>
          <w:p w:rsidP="007B5AFB"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易方达新兴成长混合</w:t>
            </w:r>
          </w:p>
        </w:tc>
      </w:tr>
      <w:tr w:rsidR="00750D48" w:rsidRPr="00264E55" w:rsidTr="00D94B8D">
        <w:tc>
          <w:tcPr>
            <w:tcW w:type="dxa" w:w="2835"/>
          </w:tcPr>
          <w:p w:rsidR="00750D48" w:rsidRDefault="00750D48" w:rsidRPr="00232B03">
            <w:pPr>
              <w:adjustRightInd w:val="0"/>
              <w:spacing w:before="29" w:line="360" w:lineRule="auto"/>
              <w:ind w:left="17"/>
              <w:jc w:val="left"/>
              <w:rPr>
                <w:kern w:val="0"/>
                <w:sz w:val="24"/>
                <w:szCs w:val="24"/>
              </w:rPr>
            </w:pPr>
            <w:r w:rsidRPr="00232B03">
              <w:rPr>
                <w:kern w:val="0"/>
                <w:sz w:val="24"/>
                <w:szCs w:val="24"/>
              </w:rPr>
              <w:t>基金主代码</w:t>
            </w:r>
          </w:p>
        </w:tc>
        <w:tc>
          <w:tcPr>
            <w:tcW w:type="dxa" w:w="5479"/>
            <w:gridSpan w:val="2"/>
          </w:tcPr>
          <w:p w:rsidR="00750D48" w:rsidRDefault="00750D48" w:rsidRPr="00232B03">
            <w:pPr>
              <w:adjustRightInd w:val="0"/>
              <w:spacing w:before="29" w:line="360" w:lineRule="auto"/>
              <w:ind w:left="17"/>
              <w:jc w:val="lef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000404</w:t>
            </w:r>
          </w:p>
        </w:tc>
      </w:tr>
      <w:tr w:rsidR="00750D48" w:rsidRPr="00264E55" w:rsidTr="00D94B8D">
        <w:tc>
          <w:tcPr>
            <w:tcW w:type="dxa" w:w="2835"/>
          </w:tcPr>
          <w:p w:rsidP="00895A8A" w:rsidR="00750D48" w:rsidRDefault="00750D48" w:rsidRPr="00232B03">
            <w:pPr>
              <w:adjustRightInd w:val="0"/>
              <w:spacing w:before="29" w:line="360" w:lineRule="auto"/>
              <w:ind w:left="17"/>
              <w:jc w:val="left"/>
              <w:rPr>
                <w:kern w:val="0"/>
                <w:sz w:val="24"/>
                <w:szCs w:val="24"/>
              </w:rPr>
            </w:pPr>
            <w:r w:rsidRPr="00232B03">
              <w:rPr>
                <w:kern w:val="0"/>
                <w:sz w:val="24"/>
                <w:szCs w:val="24"/>
              </w:rPr>
              <w:t>交易代码</w:t>
            </w:r>
          </w:p>
        </w:tc>
        <w:tc>
          <w:tcPr>
            <w:tcW w:type="dxa" w:w="5479"/>
            <w:gridSpan w:val="2"/>
          </w:tcPr>
          <w:p w:rsidP="00895A8A" w:rsidR="00750D48" w:rsidRDefault="00750D48" w:rsidRPr="00232B03">
            <w:pPr>
              <w:adjustRightInd w:val="0"/>
              <w:spacing w:before="29" w:line="360" w:lineRule="auto"/>
              <w:ind w:left="17"/>
              <w:jc w:val="left"/>
              <w:rPr>
                <w:color w:val="000000"/>
                <w:kern w:val="0"/>
                <w:sz w:val="24"/>
                <w:szCs w:val="24"/>
              </w:rPr>
            </w:pPr>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
            </w:r>
            <w:proofErr w:type="spellStart"/>
            <w:r w:rsidRPr="00232B03">
              <w:rPr>
                <w:kern w:val="0"/>
                <w:sz w:val="24"/>
              </w:rPr>
              <w:t/>
            </w:r>
            <w:proofErr w:type="spellEnd"/>
            <w:r w:rsidRPr="00232B03">
              <w:rPr>
                <w:kern w:val="0"/>
                <w:sz w:val="24"/>
              </w:rPr>
              <w:t>000404</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基金运作方式</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契约型开放式</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基金合同生效日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2013年11月28日</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报告期末基金份额总额</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2,106,541,557.89</w:t>
            </w:r>
            <w:r w:rsidRPr="00232B03">
              <w:rPr>
                <w:color w:val="000000"/>
                <w:kern w:val="0"/>
                <w:sz w:val="24"/>
                <w:szCs w:val="24"/>
              </w:rPr>
              <w:t>份</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投资目标</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本基金在严格控制风险的前提下，追求超越业绩比较基准的投资回报和资产的长期稳健增值。</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投资策略</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的资产配置主要是基于定量与定性相结合的宏观及市场分析，确定组合中股票、债券、货币市场工具及其他金融工具的比例。在股票投资策略方面，本基金将从新兴产业中优选预期成长性较好的公司的股票进行投资。本基金所指的预期成长性较好的公司是指预期净利润复合增长率高于同期GDP增长率2倍并满足公司所在行业景气度较高且具有可持续性、公司所在行业竞争格局良好以及公司管理层素质较高等标准的公司。在债券投资策略方面，本基金主要通过类属配置与券种选择两个层次进行投资管理。同时，本基金将根据对现货和期货市场的分析，采取多头或空头套期保值等策略进行套期保值操作。</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业绩比较基准</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中证新兴产业指数收益率×50%+中债总财富指数收益率×50%</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风险收益特征</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本基金为混合型基金，理论上其风险收益水平低于股票型基金，高于债券型基金和货币市场基金。</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基金管理人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易方达基金管理有限公司</w:t>
            </w:r>
          </w:p>
        </w:tc>
      </w:tr>
      <w:tr w:rsidR="00750D48" w:rsidRPr="00264E55" w:rsidTr="00500A03">
        <w:tc>
          <w:tcPr>
            <w:tcW w:type="dxa" w:w="2835"/>
          </w:tcPr>
          <w:p w:rsidP="007B5AFB" w:rsidR="00750D48" w:rsidRDefault="00750D48" w:rsidRPr="00232B03">
            <w:pPr>
              <w:adjustRightInd w:val="0"/>
              <w:spacing w:before="29" w:line="360" w:lineRule="auto"/>
              <w:ind w:left="17"/>
              <w:jc w:val="left"/>
              <w:rPr>
                <w:sz w:val="24"/>
                <w:szCs w:val="24"/>
              </w:rPr>
            </w:pPr>
            <w:r w:rsidRPr="00232B03">
              <w:rPr>
                <w:kern w:val="0"/>
                <w:sz w:val="24"/>
                <w:szCs w:val="24"/>
              </w:rPr>
              <w:t>基金托管人</w:t>
            </w:r>
          </w:p>
        </w:tc>
        <w:tc>
          <w:tcPr>
            <w:tcW w:type="dxa" w:w="5479"/>
            <w:gridSpan w:val="2"/>
          </w:tcPr>
          <w:p w:rsidP="007B5AFB" w:rsidR="00750D48" w:rsidRDefault="00750D48" w:rsidRPr="00232B03">
            <w:pPr>
              <w:adjustRightInd w:val="0"/>
              <w:spacing w:before="29" w:line="360" w:lineRule="auto"/>
              <w:ind w:left="17"/>
              <w:jc w:val="left"/>
              <w:rPr>
                <w:color w:val="00000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中国工商银行股份有限公司</w:t>
            </w:r>
          </w:p>
        </w:tc>
      </w:tr>
    </w:tbl>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lastRenderedPageBreak/>
        <w:t>§</w:t>
      </w:r>
      <w:r w:rsidRPr="00264E55">
        <w:rPr>
          <w:rFonts w:ascii="宋体" w:hAnsi="宋体"/>
          <w:color w:val="000000"/>
          <w:kern w:val="0"/>
          <w:sz w:val="24"/>
          <w:szCs w:val="24"/>
        </w:rPr>
        <w:t xml:space="preserve">3  </w:t>
      </w:r>
      <w:r w:rsidRPr="00264E55">
        <w:rPr>
          <w:rFonts w:ascii="宋体" w:hAnsi="宋体" w:hint="eastAsia"/>
          <w:color w:val="000000"/>
          <w:kern w:val="0"/>
          <w:sz w:val="24"/>
          <w:szCs w:val="24"/>
        </w:rPr>
        <w:t>主要财务指标和基金净值表现</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3.1 </w:t>
      </w:r>
      <w:r w:rsidRPr="00264E55">
        <w:rPr>
          <w:rFonts w:ascii="宋体" w:hAnsi="宋体" w:hint="eastAsia"/>
          <w:b/>
          <w:bCs/>
          <w:color w:val="000000"/>
          <w:kern w:val="0"/>
          <w:sz w:val="24"/>
          <w:szCs w:val="24"/>
        </w:rPr>
        <w:t>主要财务指标</w:t>
      </w:r>
    </w:p>
    <w:p w:rsidP="00392044" w:rsidR="00392044" w:rsidRDefault="00392044" w:rsidRPr="006506EF">
      <w:pPr>
        <w:autoSpaceDE w:val="0"/>
        <w:autoSpaceDN w:val="0"/>
        <w:adjustRightInd w:val="0"/>
        <w:spacing w:before="29" w:line="360" w:lineRule="auto"/>
        <w:ind w:left="15"/>
        <w:jc w:val="right"/>
        <w:rPr>
          <w:color w:val="000000"/>
          <w:kern w:val="0"/>
          <w:sz w:val="24"/>
        </w:rPr>
      </w:pPr>
      <w:r w:rsidRPr="006506EF">
        <w:rPr>
          <w:color w:val="000000"/>
          <w:kern w:val="0"/>
          <w:sz w:val="24"/>
        </w:rPr>
        <w:t>单位：人民币元</w:t>
      </w:r>
    </w:p>
    <w:tbl>
      <w:tblPr>
        <w:tblW w:type="dxa" w:w="8364"/>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552"/>
        <w:gridCol w:w="2410"/>
      </w:tblGrid>
      <w:tr w:rsidR="00392044" w:rsidRPr="006506EF" w:rsidTr="00C3442A">
        <w:tc>
          <w:tcPr>
            <w:tcW w:type="dxa" w:w="3402"/>
            <w:vAlign w:val="center"/>
          </w:tcPr>
          <w:p w:rsidP="00C3442A" w:rsidR="00392044" w:rsidRDefault="00392044" w:rsidRPr="006506EF">
            <w:pPr>
              <w:adjustRightInd w:val="0"/>
              <w:spacing w:before="29" w:line="360" w:lineRule="auto"/>
              <w:ind w:left="17"/>
              <w:jc w:val="center"/>
              <w:rPr>
                <w:kern w:val="0"/>
                <w:sz w:val="24"/>
              </w:rPr>
            </w:pPr>
            <w:r w:rsidRPr="006506EF">
              <w:rPr>
                <w:kern w:val="0"/>
                <w:sz w:val="24"/>
              </w:rPr>
              <w:t>主要财务指标</w:t>
            </w:r>
            <w:r w:rsidRPr="006506EF">
              <w:rPr>
                <w:kern w:val="0"/>
                <w:sz w:val="24"/>
              </w:rPr>
              <w:t/>
            </w:r>
            <w:proofErr w:type="spellStart"/>
            <w:r w:rsidRPr="006506EF">
              <w:rPr>
                <w:kern w:val="0"/>
                <w:sz w:val="24"/>
              </w:rPr>
              <w:t/>
            </w:r>
            <w:proofErr w:type="spellEnd"/>
            <w:r w:rsidRPr="006506EF">
              <w:rPr>
                <w:kern w:val="0"/>
                <w:sz w:val="24"/>
              </w:rPr>
              <w:t/>
            </w:r>
          </w:p>
        </w:tc>
        <w:tc>
          <w:tcPr>
            <w:tcW w:type="dxa" w:w="4962"/>
            <w:hMerge w:val="restart"/>
            <w:vAlign w:val="center"/>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报告期</w:t>
            </w:r>
          </w:p>
          <w:p w:rsidP="00C3442A" w:rsidR="00392044" w:rsidRDefault="00392044" w:rsidRPr="006506EF">
            <w:pPr>
              <w:adjustRightInd w:val="0"/>
              <w:spacing w:before="29" w:line="360" w:lineRule="auto"/>
              <w:ind w:left="17"/>
              <w:jc w:val="center"/>
              <w:rPr>
                <w:color w:val="000000"/>
                <w:sz w:val="24"/>
              </w:rPr>
            </w:pPr>
            <w:r w:rsidRPr="006506EF">
              <w:rPr>
                <w:color w:val="000000"/>
                <w:sz w:val="24"/>
              </w:rPr>
              <w:t>(</w:t>
            </w:r>
            <w:proofErr w:type="spellStart"/>
            <w:r w:rsidRPr="006506EF">
              <w:rPr>
                <w:color w:val="000000"/>
                <w:sz w:val="24"/>
              </w:rPr>
              <w:t/>
            </w:r>
            <w:proofErr w:type="spellEnd"/>
            <w:r w:rsidRPr="006506EF">
              <w:rPr>
                <w:color w:val="000000"/>
                <w:sz w:val="24"/>
              </w:rPr>
              <w:t>2020年7月1日-</w:t>
            </w:r>
            <w:proofErr w:type="spellStart"/>
            <w:r w:rsidRPr="006506EF">
              <w:rPr>
                <w:color w:val="000000"/>
                <w:sz w:val="24"/>
              </w:rPr>
              <w:t/>
            </w:r>
            <w:proofErr w:type="spellEnd"/>
            <w:r w:rsidRPr="006506EF">
              <w:rPr>
                <w:color w:val="000000"/>
                <w:sz w:val="24"/>
              </w:rPr>
              <w:t>2020年9月30日)</w:t>
            </w:r>
          </w:p>
        </w:tc>
        <w:tc>
          <w:tcPr>
            <w:tcW w:type="dxa" w:w="2410"/>
            <w:hMerge/>
          </w:tcPr>
          <w:p w:rsidP="00C3442A" w:rsidR="00392044" w:rsidRDefault="00392044" w:rsidRPr="006506EF">
            <w:pPr>
              <w:adjustRightInd w:val="0"/>
              <w:spacing w:before="29" w:line="360" w:lineRule="auto"/>
              <w:ind w:left="17"/>
              <w:jc w:val="center"/>
              <w:rPr>
                <w:color w:val="000000"/>
                <w:sz w:val="24"/>
              </w:rPr>
            </w:pPr>
            <w:r w:rsidRPr="006506EF">
              <w:rPr>
                <w:color w:val="000000"/>
                <w:sz w:val="24"/>
              </w:rPr>
              <w:t>上期金额</w:t>
            </w:r>
            <w:r w:rsidRPr="006506EF">
              <w:rPr>
                <w:color w:val="000000"/>
                <w:sz w:val="24"/>
              </w:rPr>
              <w:t/>
            </w:r>
            <w:proofErr w:type="spellStart"/>
            <w:r w:rsidRPr="006506EF">
              <w:rPr>
                <w:color w:val="000000"/>
                <w:sz w:val="24"/>
              </w:rPr>
              <w:t/>
            </w:r>
            <w:proofErr w:type="spellEnd"/>
            <w:r w:rsidRPr="006506EF">
              <w:rPr>
                <w:color w:val="000000"/>
                <w:sz w:val="24"/>
              </w:rPr>
              <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1.</w:t>
            </w:r>
            <w:r w:rsidRPr="006506EF">
              <w:rPr>
                <w:kern w:val="0"/>
                <w:sz w:val="24"/>
              </w:rPr>
              <w:t>本期已实现收益</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663,710,819.85</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2.</w:t>
            </w:r>
            <w:r w:rsidRPr="006506EF">
              <w:rPr>
                <w:kern w:val="0"/>
                <w:sz w:val="24"/>
              </w:rPr>
              <w:t>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32,859,338.09</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3.</w:t>
            </w:r>
            <w:r w:rsidRPr="006506EF">
              <w:rPr>
                <w:kern w:val="0"/>
                <w:sz w:val="24"/>
              </w:rPr>
              <w:t>加权平均基金份额本期利润</w:t>
            </w:r>
          </w:p>
        </w:tc>
        <w:tc>
          <w:tcPr>
            <w:tcW w:type="dxa" w:w="4962"/>
            <w:hMerge w:val="restart"/>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0.0144</w:t>
            </w:r>
          </w:p>
        </w:tc>
        <w:tc>
          <w:tcPr>
            <w:tcW w:type="dxa" w:w="2410"/>
            <w:hMerge/>
            <w:vAlign w:val="bottom"/>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4.</w:t>
            </w:r>
            <w:r w:rsidRPr="006506EF">
              <w:rPr>
                <w:kern w:val="0"/>
                <w:sz w:val="24"/>
              </w:rPr>
              <w:t>期末基金资产净值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8,773,163,913.43</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r w:rsidR="00392044" w:rsidRPr="006506EF" w:rsidTr="00C3442A">
        <w:trPr>
          <w:trHeight w:val="158"/>
        </w:trPr>
        <w:tc>
          <w:tcPr>
            <w:tcW w:type="dxa" w:w="3402"/>
          </w:tcPr>
          <w:p w:rsidP="00C3442A" w:rsidR="00392044" w:rsidRDefault="00392044" w:rsidRPr="006506EF">
            <w:pPr>
              <w:adjustRightInd w:val="0"/>
              <w:spacing w:before="29" w:line="360" w:lineRule="auto"/>
              <w:ind w:left="17"/>
              <w:rPr>
                <w:kern w:val="0"/>
                <w:sz w:val="24"/>
              </w:rPr>
            </w:pPr>
            <w:r w:rsidRPr="006506EF">
              <w:rPr>
                <w:kern w:val="0"/>
                <w:sz w:val="24"/>
              </w:rPr>
              <w:t>5.</w:t>
            </w:r>
            <w:r w:rsidRPr="006506EF">
              <w:rPr>
                <w:kern w:val="0"/>
                <w:sz w:val="24"/>
              </w:rPr>
              <w:t>期末基金份额净值</w:t>
            </w:r>
          </w:p>
        </w:tc>
        <w:tc>
          <w:tcPr>
            <w:tcW w:type="dxa" w:w="4962"/>
            <w:hMerge w:val="restart"/>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
            </w:r>
            <w:proofErr w:type="spellStart"/>
            <w:r w:rsidRPr="006506EF">
              <w:rPr>
                <w:color w:val="000000"/>
                <w:sz w:val="24"/>
              </w:rPr>
              <w:t/>
            </w:r>
            <w:proofErr w:type="spellEnd"/>
            <w:r w:rsidRPr="006506EF">
              <w:rPr>
                <w:color w:val="000000"/>
                <w:sz w:val="24"/>
              </w:rPr>
              <w:t>4.165</w:t>
            </w:r>
          </w:p>
        </w:tc>
        <w:tc>
          <w:tcPr>
            <w:tcW w:type="dxa" w:w="2410"/>
            <w:hMerge/>
          </w:tcPr>
          <w:p w:rsidP="00C3442A" w:rsidR="00392044" w:rsidRDefault="00392044" w:rsidRPr="006506EF">
            <w:pPr>
              <w:adjustRightInd w:val="0"/>
              <w:spacing w:before="29" w:line="360" w:lineRule="auto"/>
              <w:ind w:left="17"/>
              <w:jc w:val="right"/>
              <w:rPr>
                <w:color w:val="000000"/>
                <w:sz w:val="24"/>
              </w:rPr>
            </w:pPr>
            <w:r w:rsidRPr="006506EF">
              <w:rPr>
                <w:color w:val="000000"/>
                <w:sz w:val="24"/>
              </w:rPr>
              <w:t>-</w:t>
            </w:r>
          </w:p>
        </w:tc>
      </w:tr>
    </w:tbl>
    <w:p>
      <w:pPr>
        <w:spacing w:line="360" w:lineRule="auto"/>
        <w:ind w:firstLine="480" w:firstLineChars="200"/>
        <w:rPr>
          <w:color w:val="000000"/>
          <w:sz w:val="24"/>
          <w:szCs w:val="24"/>
        </w:rPr>
      </w:pPr>
      <w:r>
        <w:rPr>
          <w:color w:val="000000"/>
          <w:sz w:val="24"/>
        </w:rPr>
        <w:t>注：1.所述基金业绩指标不包括持有人认购或交易基金的各项费用，计入费用后实际收益水平要低于所列数字。</w:t>
      </w:r>
    </w:p>
    <w:p w:rsidP="00232B03" w:rsidR="00750D48" w:rsidRDefault="00392044" w:rsidRPr="00232B03">
      <w:pPr>
        <w:spacing w:line="360" w:lineRule="auto"/>
        <w:ind w:firstLine="480" w:firstLineChars="200"/>
        <w:rPr>
          <w:color w:val="000000"/>
          <w:sz w:val="24"/>
          <w:szCs w:val="24"/>
        </w:rPr>
      </w:pPr>
      <w:r w:rsidRPr="006506EF">
        <w:rPr>
          <w:color w:val="000000"/>
          <w:sz w:val="24"/>
        </w:rPr>
        <w:t/>
      </w:r>
      <w:proofErr w:type="spellStart"/>
      <w:r w:rsidRPr="006506EF">
        <w:rPr>
          <w:color w:val="000000"/>
          <w:sz w:val="24"/>
        </w:rPr>
        <w:t/>
      </w:r>
      <w:proofErr w:type="spellEnd"/>
      <w:r w:rsidRPr="006506EF">
        <w:rPr>
          <w:color w:val="000000"/>
          <w:sz w:val="24"/>
        </w:rPr>
        <w:t/>
      </w:r>
      <w:proofErr w:type="spellStart"/>
      <w:proofErr w:type="gramStart"/>
      <w:r w:rsidRPr="006506EF">
        <w:rPr>
          <w:color w:val="000000"/>
          <w:sz w:val="24"/>
        </w:rPr>
        <w:t/>
      </w:r>
      <w:proofErr w:type="spellEnd"/>
      <w:proofErr w:type="gramEnd"/>
      <w:r w:rsidRPr="006506EF">
        <w:rPr>
          <w:color w:val="000000"/>
          <w:sz w:val="24"/>
        </w:rPr>
        <w:t>2.本期已实现收益指基金本期利息收入、投资收益、其他收入（不含公允价值变动收益）扣除相关费用后的余额，本期利润为本期已实现收益加上本期公允价值变动收益。</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3.2 </w:t>
      </w:r>
      <w:r w:rsidRPr="00264E55">
        <w:rPr>
          <w:rFonts w:ascii="宋体" w:hAnsi="宋体" w:hint="eastAsia"/>
          <w:b/>
          <w:bCs/>
          <w:color w:val="000000"/>
          <w:kern w:val="0"/>
          <w:sz w:val="24"/>
          <w:szCs w:val="24"/>
        </w:rPr>
        <w:t>基金净值表现</w:t>
      </w:r>
    </w:p>
    <w:p w:rsidP="009E7C6A" w:rsidR="00750D48" w:rsidRDefault="00750D48" w:rsidRPr="00264E55">
      <w:pPr>
        <w:autoSpaceDE w:val="0"/>
        <w:autoSpaceDN w:val="0"/>
        <w:adjustRightInd w:val="0"/>
        <w:spacing w:line="360" w:lineRule="auto"/>
        <w:jc w:val="left"/>
        <w:rPr>
          <w:rFonts w:ascii="宋体" w:cs="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3.2.1</w:t>
        </w:r>
      </w:smartTag>
      <w:r w:rsidRPr="00264E55">
        <w:rPr>
          <w:rFonts w:ascii="宋体" w:cs="宋体" w:hAnsi="宋体" w:hint="eastAsia"/>
          <w:b/>
          <w:bCs/>
          <w:color w:val="000000"/>
          <w:kern w:val="0"/>
          <w:sz w:val="24"/>
          <w:szCs w:val="24"/>
        </w:rPr>
        <w:t>本报告</w:t>
      </w:r>
      <w:proofErr w:type="gramStart"/>
      <w:r w:rsidRPr="00264E55">
        <w:rPr>
          <w:rFonts w:ascii="宋体" w:cs="宋体" w:hAnsi="宋体" w:hint="eastAsia"/>
          <w:b/>
          <w:bCs/>
          <w:color w:val="000000"/>
          <w:kern w:val="0"/>
          <w:sz w:val="24"/>
          <w:szCs w:val="24"/>
        </w:rPr>
        <w:t>期基金</w:t>
      </w:r>
      <w:proofErr w:type="gramEnd"/>
      <w:r w:rsidRPr="00264E55">
        <w:rPr>
          <w:rFonts w:ascii="宋体" w:cs="宋体" w:hAnsi="宋体" w:hint="eastAsia"/>
          <w:b/>
          <w:bCs/>
          <w:color w:val="000000"/>
          <w:kern w:val="0"/>
          <w:sz w:val="24"/>
          <w:szCs w:val="24"/>
        </w:rPr>
        <w:t>份额净值增长率及其与同期业绩比较基准收益率的比较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395"/>
        <w:gridCol w:w="1092"/>
        <w:gridCol w:w="1161"/>
        <w:gridCol w:w="1181"/>
        <w:gridCol w:w="1188"/>
        <w:gridCol w:w="1199"/>
        <w:gridCol w:w="1204"/>
      </w:tblGrid>
      <w:tr w:rsidR="00750D48" w:rsidRPr="00264E55" w:rsidTr="00B05049">
        <w:tc>
          <w:tcPr>
            <w:tcW w:type="dxa" w:w="1395"/>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阶段</w:t>
            </w: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
            </w:r>
          </w:p>
        </w:tc>
        <w:tc>
          <w:tcPr>
            <w:tcW w:type="dxa" w:w="1092"/>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w:t>
            </w:r>
            <w:r w:rsidRPr="00232B03">
              <w:rPr>
                <w:rFonts w:ascii="宋体" w:cs="宋体" w:hAnsi="宋体" w:hint="eastAsia"/>
                <w:color w:val="000000"/>
                <w:kern w:val="0"/>
                <w:sz w:val="24"/>
                <w:szCs w:val="24"/>
              </w:rPr>
              <w:t>①</w:t>
            </w:r>
          </w:p>
        </w:tc>
        <w:tc>
          <w:tcPr>
            <w:tcW w:type="dxa" w:w="116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净值增长率标准差</w:t>
            </w:r>
            <w:r w:rsidRPr="00232B03">
              <w:rPr>
                <w:rFonts w:ascii="宋体" w:cs="宋体" w:hAnsi="宋体" w:hint="eastAsia"/>
                <w:color w:val="000000"/>
                <w:kern w:val="0"/>
                <w:sz w:val="24"/>
                <w:szCs w:val="24"/>
              </w:rPr>
              <w:t>②</w:t>
            </w:r>
          </w:p>
        </w:tc>
        <w:tc>
          <w:tcPr>
            <w:tcW w:type="dxa" w:w="1181"/>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业绩比较基准收益率</w:t>
            </w:r>
            <w:r w:rsidRPr="00232B03">
              <w:rPr>
                <w:rFonts w:ascii="宋体" w:cs="宋体" w:hAnsi="宋体" w:hint="eastAsia"/>
                <w:color w:val="000000"/>
                <w:kern w:val="0"/>
                <w:sz w:val="24"/>
                <w:szCs w:val="24"/>
              </w:rPr>
              <w:lastRenderedPageBreak/>
              <w:t>③</w:t>
            </w:r>
          </w:p>
        </w:tc>
        <w:tc>
          <w:tcPr>
            <w:tcW w:type="dxa" w:w="1188"/>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lastRenderedPageBreak/>
              <w:t>业绩比较基准收益率</w:t>
            </w:r>
            <w:r w:rsidRPr="00232B03">
              <w:rPr>
                <w:color w:val="000000"/>
                <w:kern w:val="0"/>
                <w:sz w:val="24"/>
                <w:szCs w:val="24"/>
              </w:rPr>
              <w:lastRenderedPageBreak/>
              <w:t>标准差</w:t>
            </w:r>
            <w:r w:rsidRPr="00232B03">
              <w:rPr>
                <w:rFonts w:ascii="宋体" w:cs="宋体" w:hAnsi="宋体" w:hint="eastAsia"/>
                <w:color w:val="000000"/>
                <w:kern w:val="0"/>
                <w:sz w:val="24"/>
                <w:szCs w:val="24"/>
              </w:rPr>
              <w:t>④</w:t>
            </w:r>
          </w:p>
        </w:tc>
        <w:tc>
          <w:tcPr>
            <w:tcW w:type="dxa" w:w="1199"/>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lastRenderedPageBreak/>
              <w:t>①</w:t>
            </w:r>
            <w:r w:rsidRPr="00232B03">
              <w:rPr>
                <w:color w:val="000000"/>
                <w:kern w:val="0"/>
                <w:sz w:val="24"/>
                <w:szCs w:val="24"/>
              </w:rPr>
              <w:t>-</w:t>
            </w:r>
            <w:r w:rsidRPr="00232B03">
              <w:rPr>
                <w:rFonts w:ascii="宋体" w:cs="宋体" w:hAnsi="宋体" w:hint="eastAsia"/>
                <w:color w:val="000000"/>
                <w:kern w:val="0"/>
                <w:sz w:val="24"/>
                <w:szCs w:val="24"/>
              </w:rPr>
              <w:t>③</w:t>
            </w:r>
          </w:p>
        </w:tc>
        <w:tc>
          <w:tcPr>
            <w:tcW w:type="dxa" w:w="1204"/>
            <w:vAlign w:val="center"/>
          </w:tcPr>
          <w:p w:rsidP="00B05049"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rFonts w:ascii="宋体" w:cs="宋体" w:hAnsi="宋体" w:hint="eastAsia"/>
                <w:color w:val="000000"/>
                <w:kern w:val="0"/>
                <w:sz w:val="24"/>
                <w:szCs w:val="24"/>
              </w:rPr>
              <w:t>②</w:t>
            </w:r>
            <w:r w:rsidRPr="00232B03">
              <w:rPr>
                <w:color w:val="000000"/>
                <w:kern w:val="0"/>
                <w:sz w:val="24"/>
                <w:szCs w:val="24"/>
              </w:rPr>
              <w:t>-</w:t>
            </w:r>
            <w:r w:rsidRPr="00232B03">
              <w:rPr>
                <w:rFonts w:ascii="宋体" w:cs="宋体" w:hAnsi="宋体" w:hint="eastAsia"/>
                <w:color w:val="000000"/>
                <w:kern w:val="0"/>
                <w:sz w:val="24"/>
                <w:szCs w:val="24"/>
              </w:rPr>
              <w:t>④</w:t>
            </w:r>
          </w:p>
        </w:tc>
      </w:tr>
      <w:tr>
        <w:tc>
          <w:tcPr>
            <w:vAlign w:val="center"/>
          </w:tcPr>
          <w:p>
            <w:pPr>
              <w:jc w:val="left"/>
            </w:pPr>
            <w:r>
              <w:rPr>
                <w:color w:val="000000"/>
                <w:kern w:val="0"/>
                <w:sz w:val="24"/>
                <w:szCs w:val="24"/>
              </w:rPr>
              <w:t>过去三个月</w:t>
            </w:r>
          </w:p>
        </w:tc>
        <w:tc>
          <w:tcPr>
            <w:vAlign w:val="center"/>
          </w:tcPr>
          <w:p>
            <w:pPr>
              <w:jc w:val="center"/>
            </w:pPr>
            <w:r>
              <w:rPr>
                <w:color w:val="000000"/>
                <w:kern w:val="0"/>
                <w:sz w:val="24"/>
                <w:szCs w:val="24"/>
              </w:rPr>
              <w:t>1.39%</w:t>
            </w:r>
          </w:p>
        </w:tc>
        <w:tc>
          <w:tcPr>
            <w:vAlign w:val="center"/>
          </w:tcPr>
          <w:p>
            <w:pPr>
              <w:jc w:val="center"/>
            </w:pPr>
            <w:r>
              <w:rPr>
                <w:color w:val="000000"/>
                <w:kern w:val="0"/>
                <w:sz w:val="24"/>
                <w:szCs w:val="24"/>
              </w:rPr>
              <w:t>1.97%</w:t>
            </w:r>
          </w:p>
        </w:tc>
        <w:tc>
          <w:tcPr>
            <w:vAlign w:val="center"/>
          </w:tcPr>
          <w:p>
            <w:pPr>
              <w:jc w:val="center"/>
            </w:pPr>
            <w:r>
              <w:rPr>
                <w:color w:val="000000"/>
                <w:kern w:val="0"/>
                <w:sz w:val="24"/>
                <w:szCs w:val="24"/>
              </w:rPr>
              <w:t>3.82%</w:t>
            </w:r>
          </w:p>
        </w:tc>
        <w:tc>
          <w:tcPr>
            <w:vAlign w:val="center"/>
          </w:tcPr>
          <w:p>
            <w:pPr>
              <w:jc w:val="center"/>
            </w:pPr>
            <w:r>
              <w:rPr>
                <w:color w:val="000000"/>
                <w:kern w:val="0"/>
                <w:sz w:val="24"/>
                <w:szCs w:val="24"/>
              </w:rPr>
              <w:t>0.90%</w:t>
            </w:r>
          </w:p>
        </w:tc>
        <w:tc>
          <w:tcPr>
            <w:vAlign w:val="center"/>
          </w:tcPr>
          <w:p>
            <w:pPr>
              <w:jc w:val="center"/>
            </w:pPr>
            <w:r>
              <w:rPr>
                <w:color w:val="000000"/>
                <w:kern w:val="0"/>
                <w:sz w:val="24"/>
                <w:szCs w:val="24"/>
              </w:rPr>
              <w:t>-2.43%</w:t>
            </w:r>
          </w:p>
        </w:tc>
        <w:tc>
          <w:tcPr>
            <w:vAlign w:val="center"/>
          </w:tcPr>
          <w:p>
            <w:pPr>
              <w:jc w:val="center"/>
            </w:pPr>
            <w:r>
              <w:rPr>
                <w:color w:val="000000"/>
                <w:kern w:val="0"/>
                <w:sz w:val="24"/>
                <w:szCs w:val="24"/>
              </w:rPr>
              <w:t>1.07%</w:t>
            </w:r>
          </w:p>
        </w:tc>
      </w:tr>
      <w:tr>
        <w:tc>
          <w:tcPr>
            <w:vAlign w:val="center"/>
          </w:tcPr>
          <w:p>
            <w:pPr>
              <w:jc w:val="left"/>
            </w:pPr>
            <w:r>
              <w:rPr>
                <w:color w:val="000000"/>
                <w:kern w:val="0"/>
                <w:sz w:val="24"/>
                <w:szCs w:val="24"/>
              </w:rPr>
              <w:t>过去六个月</w:t>
            </w:r>
          </w:p>
        </w:tc>
        <w:tc>
          <w:tcPr>
            <w:vAlign w:val="center"/>
          </w:tcPr>
          <w:p>
            <w:pPr>
              <w:jc w:val="center"/>
            </w:pPr>
            <w:r>
              <w:rPr>
                <w:color w:val="000000"/>
                <w:kern w:val="0"/>
                <w:sz w:val="24"/>
                <w:szCs w:val="24"/>
              </w:rPr>
              <w:t>39.86%</w:t>
            </w:r>
          </w:p>
        </w:tc>
        <w:tc>
          <w:tcPr>
            <w:vAlign w:val="center"/>
          </w:tcPr>
          <w:p>
            <w:pPr>
              <w:jc w:val="center"/>
            </w:pPr>
            <w:r>
              <w:rPr>
                <w:color w:val="000000"/>
                <w:kern w:val="0"/>
                <w:sz w:val="24"/>
                <w:szCs w:val="24"/>
              </w:rPr>
              <w:t>1.79%</w:t>
            </w:r>
          </w:p>
        </w:tc>
        <w:tc>
          <w:tcPr>
            <w:vAlign w:val="center"/>
          </w:tcPr>
          <w:p>
            <w:pPr>
              <w:jc w:val="center"/>
            </w:pPr>
            <w:r>
              <w:rPr>
                <w:color w:val="000000"/>
                <w:kern w:val="0"/>
                <w:sz w:val="24"/>
                <w:szCs w:val="24"/>
              </w:rPr>
              <w:t>14.47%</w:t>
            </w:r>
          </w:p>
        </w:tc>
        <w:tc>
          <w:tcPr>
            <w:vAlign w:val="center"/>
          </w:tcPr>
          <w:p>
            <w:pPr>
              <w:jc w:val="center"/>
            </w:pPr>
            <w:r>
              <w:rPr>
                <w:color w:val="000000"/>
                <w:kern w:val="0"/>
                <w:sz w:val="24"/>
                <w:szCs w:val="24"/>
              </w:rPr>
              <w:t>0.79%</w:t>
            </w:r>
          </w:p>
        </w:tc>
        <w:tc>
          <w:tcPr>
            <w:vAlign w:val="center"/>
          </w:tcPr>
          <w:p>
            <w:pPr>
              <w:jc w:val="center"/>
            </w:pPr>
            <w:r>
              <w:rPr>
                <w:color w:val="000000"/>
                <w:kern w:val="0"/>
                <w:sz w:val="24"/>
                <w:szCs w:val="24"/>
              </w:rPr>
              <w:t>25.39%</w:t>
            </w:r>
          </w:p>
        </w:tc>
        <w:tc>
          <w:tcPr>
            <w:vAlign w:val="center"/>
          </w:tcPr>
          <w:p>
            <w:pPr>
              <w:jc w:val="center"/>
            </w:pPr>
            <w:r>
              <w:rPr>
                <w:color w:val="000000"/>
                <w:kern w:val="0"/>
                <w:sz w:val="24"/>
                <w:szCs w:val="24"/>
              </w:rPr>
              <w:t>1.00%</w:t>
            </w:r>
          </w:p>
        </w:tc>
      </w:tr>
      <w:tr>
        <w:tc>
          <w:tcPr>
            <w:vAlign w:val="center"/>
          </w:tcPr>
          <w:p>
            <w:pPr>
              <w:jc w:val="left"/>
            </w:pPr>
            <w:r>
              <w:rPr>
                <w:color w:val="000000"/>
                <w:kern w:val="0"/>
                <w:sz w:val="24"/>
                <w:szCs w:val="24"/>
              </w:rPr>
              <w:t>过去一年</w:t>
            </w:r>
          </w:p>
        </w:tc>
        <w:tc>
          <w:tcPr>
            <w:vAlign w:val="center"/>
          </w:tcPr>
          <w:p>
            <w:pPr>
              <w:jc w:val="center"/>
            </w:pPr>
            <w:r>
              <w:rPr>
                <w:color w:val="000000"/>
                <w:kern w:val="0"/>
                <w:sz w:val="24"/>
                <w:szCs w:val="24"/>
              </w:rPr>
              <w:t>72.97%</w:t>
            </w:r>
          </w:p>
        </w:tc>
        <w:tc>
          <w:tcPr>
            <w:vAlign w:val="center"/>
          </w:tcPr>
          <w:p>
            <w:pPr>
              <w:jc w:val="center"/>
            </w:pPr>
            <w:r>
              <w:rPr>
                <w:color w:val="000000"/>
                <w:kern w:val="0"/>
                <w:sz w:val="24"/>
                <w:szCs w:val="24"/>
              </w:rPr>
              <w:t>1.94%</w:t>
            </w:r>
          </w:p>
        </w:tc>
        <w:tc>
          <w:tcPr>
            <w:vAlign w:val="center"/>
          </w:tcPr>
          <w:p>
            <w:pPr>
              <w:jc w:val="center"/>
            </w:pPr>
            <w:r>
              <w:rPr>
                <w:color w:val="000000"/>
                <w:kern w:val="0"/>
                <w:sz w:val="24"/>
                <w:szCs w:val="24"/>
              </w:rPr>
              <w:t>21.74%</w:t>
            </w:r>
          </w:p>
        </w:tc>
        <w:tc>
          <w:tcPr>
            <w:vAlign w:val="center"/>
          </w:tcPr>
          <w:p>
            <w:pPr>
              <w:jc w:val="center"/>
            </w:pPr>
            <w:r>
              <w:rPr>
                <w:color w:val="000000"/>
                <w:kern w:val="0"/>
                <w:sz w:val="24"/>
                <w:szCs w:val="24"/>
              </w:rPr>
              <w:t>0.82%</w:t>
            </w:r>
          </w:p>
        </w:tc>
        <w:tc>
          <w:tcPr>
            <w:vAlign w:val="center"/>
          </w:tcPr>
          <w:p>
            <w:pPr>
              <w:jc w:val="center"/>
            </w:pPr>
            <w:r>
              <w:rPr>
                <w:color w:val="000000"/>
                <w:kern w:val="0"/>
                <w:sz w:val="24"/>
                <w:szCs w:val="24"/>
              </w:rPr>
              <w:t>51.23%</w:t>
            </w:r>
          </w:p>
        </w:tc>
        <w:tc>
          <w:tcPr>
            <w:vAlign w:val="center"/>
          </w:tcPr>
          <w:p>
            <w:pPr>
              <w:jc w:val="center"/>
            </w:pPr>
            <w:r>
              <w:rPr>
                <w:color w:val="000000"/>
                <w:kern w:val="0"/>
                <w:sz w:val="24"/>
                <w:szCs w:val="24"/>
              </w:rPr>
              <w:t>1.12%</w:t>
            </w:r>
          </w:p>
        </w:tc>
      </w:tr>
      <w:tr>
        <w:tc>
          <w:tcPr>
            <w:vAlign w:val="center"/>
          </w:tcPr>
          <w:p>
            <w:pPr>
              <w:jc w:val="left"/>
            </w:pPr>
            <w:r>
              <w:rPr>
                <w:color w:val="000000"/>
                <w:kern w:val="0"/>
                <w:sz w:val="24"/>
                <w:szCs w:val="24"/>
              </w:rPr>
              <w:t>过去三年</w:t>
            </w:r>
          </w:p>
        </w:tc>
        <w:tc>
          <w:tcPr>
            <w:vAlign w:val="center"/>
          </w:tcPr>
          <w:p>
            <w:pPr>
              <w:jc w:val="center"/>
            </w:pPr>
            <w:r>
              <w:rPr>
                <w:color w:val="000000"/>
                <w:kern w:val="0"/>
                <w:sz w:val="24"/>
                <w:szCs w:val="24"/>
              </w:rPr>
              <w:t>70.07%</w:t>
            </w:r>
          </w:p>
        </w:tc>
        <w:tc>
          <w:tcPr>
            <w:vAlign w:val="center"/>
          </w:tcPr>
          <w:p>
            <w:pPr>
              <w:jc w:val="center"/>
            </w:pPr>
            <w:r>
              <w:rPr>
                <w:color w:val="000000"/>
                <w:kern w:val="0"/>
                <w:sz w:val="24"/>
                <w:szCs w:val="24"/>
              </w:rPr>
              <w:t>1.90%</w:t>
            </w:r>
          </w:p>
        </w:tc>
        <w:tc>
          <w:tcPr>
            <w:vAlign w:val="center"/>
          </w:tcPr>
          <w:p>
            <w:pPr>
              <w:jc w:val="center"/>
            </w:pPr>
            <w:r>
              <w:rPr>
                <w:color w:val="000000"/>
                <w:kern w:val="0"/>
                <w:sz w:val="24"/>
                <w:szCs w:val="24"/>
              </w:rPr>
              <w:t>15.09%</w:t>
            </w:r>
          </w:p>
        </w:tc>
        <w:tc>
          <w:tcPr>
            <w:vAlign w:val="center"/>
          </w:tcPr>
          <w:p>
            <w:pPr>
              <w:jc w:val="center"/>
            </w:pPr>
            <w:r>
              <w:rPr>
                <w:color w:val="000000"/>
                <w:kern w:val="0"/>
                <w:sz w:val="24"/>
                <w:szCs w:val="24"/>
              </w:rPr>
              <w:t>0.76%</w:t>
            </w:r>
          </w:p>
        </w:tc>
        <w:tc>
          <w:tcPr>
            <w:vAlign w:val="center"/>
          </w:tcPr>
          <w:p>
            <w:pPr>
              <w:jc w:val="center"/>
            </w:pPr>
            <w:r>
              <w:rPr>
                <w:color w:val="000000"/>
                <w:kern w:val="0"/>
                <w:sz w:val="24"/>
                <w:szCs w:val="24"/>
              </w:rPr>
              <w:t>54.98%</w:t>
            </w:r>
          </w:p>
        </w:tc>
        <w:tc>
          <w:tcPr>
            <w:vAlign w:val="center"/>
          </w:tcPr>
          <w:p>
            <w:pPr>
              <w:jc w:val="center"/>
            </w:pPr>
            <w:r>
              <w:rPr>
                <w:color w:val="000000"/>
                <w:kern w:val="0"/>
                <w:sz w:val="24"/>
                <w:szCs w:val="24"/>
              </w:rPr>
              <w:t>1.14%</w:t>
            </w:r>
          </w:p>
        </w:tc>
      </w:tr>
      <w:tr>
        <w:tc>
          <w:tcPr>
            <w:vAlign w:val="center"/>
          </w:tcPr>
          <w:p>
            <w:pPr>
              <w:jc w:val="left"/>
            </w:pPr>
            <w:r>
              <w:rPr>
                <w:color w:val="000000"/>
                <w:kern w:val="0"/>
                <w:sz w:val="24"/>
                <w:szCs w:val="24"/>
              </w:rPr>
              <w:t>过去五年</w:t>
            </w:r>
          </w:p>
        </w:tc>
        <w:tc>
          <w:tcPr>
            <w:vAlign w:val="center"/>
          </w:tcPr>
          <w:p>
            <w:pPr>
              <w:jc w:val="center"/>
            </w:pPr>
            <w:r>
              <w:rPr>
                <w:color w:val="000000"/>
                <w:kern w:val="0"/>
                <w:sz w:val="24"/>
                <w:szCs w:val="24"/>
              </w:rPr>
              <w:t>95.63%</w:t>
            </w:r>
          </w:p>
        </w:tc>
        <w:tc>
          <w:tcPr>
            <w:vAlign w:val="center"/>
          </w:tcPr>
          <w:p>
            <w:pPr>
              <w:jc w:val="center"/>
            </w:pPr>
            <w:r>
              <w:rPr>
                <w:color w:val="000000"/>
                <w:kern w:val="0"/>
                <w:sz w:val="24"/>
                <w:szCs w:val="24"/>
              </w:rPr>
              <w:t>1.98%</w:t>
            </w:r>
          </w:p>
        </w:tc>
        <w:tc>
          <w:tcPr>
            <w:vAlign w:val="center"/>
          </w:tcPr>
          <w:p>
            <w:pPr>
              <w:jc w:val="center"/>
            </w:pPr>
            <w:r>
              <w:rPr>
                <w:color w:val="000000"/>
                <w:kern w:val="0"/>
                <w:sz w:val="24"/>
                <w:szCs w:val="24"/>
              </w:rPr>
              <w:t>23.12%</w:t>
            </w:r>
          </w:p>
        </w:tc>
        <w:tc>
          <w:tcPr>
            <w:vAlign w:val="center"/>
          </w:tcPr>
          <w:p>
            <w:pPr>
              <w:jc w:val="center"/>
            </w:pPr>
            <w:r>
              <w:rPr>
                <w:color w:val="000000"/>
                <w:kern w:val="0"/>
                <w:sz w:val="24"/>
                <w:szCs w:val="24"/>
              </w:rPr>
              <w:t>0.76%</w:t>
            </w:r>
          </w:p>
        </w:tc>
        <w:tc>
          <w:tcPr>
            <w:vAlign w:val="center"/>
          </w:tcPr>
          <w:p>
            <w:pPr>
              <w:jc w:val="center"/>
            </w:pPr>
            <w:r>
              <w:rPr>
                <w:color w:val="000000"/>
                <w:kern w:val="0"/>
                <w:sz w:val="24"/>
                <w:szCs w:val="24"/>
              </w:rPr>
              <w:t>72.51%</w:t>
            </w:r>
          </w:p>
        </w:tc>
        <w:tc>
          <w:tcPr>
            <w:vAlign w:val="center"/>
          </w:tcPr>
          <w:p>
            <w:pPr>
              <w:jc w:val="center"/>
            </w:pPr>
            <w:r>
              <w:rPr>
                <w:color w:val="000000"/>
                <w:kern w:val="0"/>
                <w:sz w:val="24"/>
                <w:szCs w:val="24"/>
              </w:rPr>
              <w:t>1.22%</w:t>
            </w:r>
          </w:p>
        </w:tc>
      </w:tr>
      <w:tr>
        <w:tc>
          <w:tcPr>
            <w:vAlign w:val="center"/>
          </w:tcPr>
          <w:p>
            <w:pPr>
              <w:jc w:val="left"/>
            </w:pPr>
            <w:r>
              <w:rPr>
                <w:color w:val="000000"/>
                <w:kern w:val="0"/>
                <w:sz w:val="24"/>
                <w:szCs w:val="24"/>
              </w:rPr>
              <w:t>自基金合同生效起至今</w:t>
            </w:r>
          </w:p>
        </w:tc>
        <w:tc>
          <w:tcPr>
            <w:vAlign w:val="center"/>
          </w:tcPr>
          <w:p>
            <w:pPr>
              <w:jc w:val="center"/>
            </w:pPr>
            <w:r>
              <w:rPr>
                <w:color w:val="000000"/>
                <w:kern w:val="0"/>
                <w:sz w:val="24"/>
                <w:szCs w:val="24"/>
              </w:rPr>
              <w:t>316.50%</w:t>
            </w:r>
          </w:p>
        </w:tc>
        <w:tc>
          <w:tcPr>
            <w:vAlign w:val="center"/>
          </w:tcPr>
          <w:p>
            <w:pPr>
              <w:jc w:val="center"/>
            </w:pPr>
            <w:r>
              <w:rPr>
                <w:color w:val="000000"/>
                <w:kern w:val="0"/>
                <w:sz w:val="24"/>
                <w:szCs w:val="24"/>
              </w:rPr>
              <w:t>2.13%</w:t>
            </w:r>
          </w:p>
        </w:tc>
        <w:tc>
          <w:tcPr>
            <w:vAlign w:val="center"/>
          </w:tcPr>
          <w:p>
            <w:pPr>
              <w:jc w:val="center"/>
            </w:pPr>
            <w:r>
              <w:rPr>
                <w:color w:val="000000"/>
                <w:kern w:val="0"/>
                <w:sz w:val="24"/>
                <w:szCs w:val="24"/>
              </w:rPr>
              <w:t>59.72%</w:t>
            </w:r>
          </w:p>
        </w:tc>
        <w:tc>
          <w:tcPr>
            <w:vAlign w:val="center"/>
          </w:tcPr>
          <w:p>
            <w:pPr>
              <w:jc w:val="center"/>
            </w:pPr>
            <w:r>
              <w:rPr>
                <w:color w:val="000000"/>
                <w:kern w:val="0"/>
                <w:sz w:val="24"/>
                <w:szCs w:val="24"/>
              </w:rPr>
              <w:t>0.86%</w:t>
            </w:r>
          </w:p>
        </w:tc>
        <w:tc>
          <w:tcPr>
            <w:vAlign w:val="center"/>
          </w:tcPr>
          <w:p>
            <w:pPr>
              <w:jc w:val="center"/>
            </w:pPr>
            <w:r>
              <w:rPr>
                <w:color w:val="000000"/>
                <w:kern w:val="0"/>
                <w:sz w:val="24"/>
                <w:szCs w:val="24"/>
              </w:rPr>
              <w:t>256.78%</w:t>
            </w:r>
          </w:p>
        </w:tc>
        <w:tc>
          <w:tcPr>
            <w:vAlign w:val="center"/>
          </w:tcPr>
          <w:p>
            <w:pPr>
              <w:jc w:val="center"/>
            </w:pPr>
            <w:r>
              <w:rPr>
                <w:color w:val="000000"/>
                <w:kern w:val="0"/>
                <w:sz w:val="24"/>
                <w:szCs w:val="24"/>
              </w:rPr>
              <w:t>1.27%</w:t>
            </w:r>
          </w:p>
        </w:tc>
      </w:tr>
    </w:tbl>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smartTag w:element="chsdate" w:uri="urn:schemas-microsoft-com:office:smarttags">
        <w:smartTagPr>
          <w:attr w:name="IsROCDate" w:val="False"/>
          <w:attr w:name="IsLunarDate" w:val="False"/>
          <w:attr w:name="Day" w:val="30"/>
          <w:attr w:name="Month" w:val="12"/>
          <w:attr w:name="Year" w:val="1899"/>
        </w:smartTagPr>
        <w:r w:rsidRPr="00264E55">
          <w:rPr>
            <w:rFonts w:ascii="宋体" w:hAnsi="宋体"/>
            <w:b/>
            <w:bCs/>
            <w:color w:val="000000"/>
            <w:kern w:val="0"/>
            <w:sz w:val="24"/>
            <w:szCs w:val="24"/>
          </w:rPr>
          <w:t>3.2.2</w:t>
        </w:r>
        <w:r w:rsidR="00D87469" w:rsidRPr="00370BEA">
          <w:rPr>
            <w:rStyle w:val="afb"/>
            <w:rFonts w:hint="eastAsia"/>
            <w:color w:val="000000"/>
            <w:sz w:val="24"/>
            <w:shd w:color="auto" w:fill="FFFFFF" w:val="clear"/>
          </w:rPr>
          <w:t/>
        </w:r>
        <w:proofErr w:type="spellStart"/>
        <w:r w:rsidR="00D87469" w:rsidRPr="00370BEA">
          <w:rPr>
            <w:rStyle w:val="afb"/>
            <w:rFonts w:hint="eastAsia"/>
            <w:color w:val="000000"/>
            <w:sz w:val="24"/>
            <w:shd w:color="auto" w:fill="FFFFFF" w:val="clear"/>
          </w:rPr>
          <w:t/>
        </w:r>
        <w:proofErr w:type="spellEnd"/>
        <w:r w:rsidR="00D87469" w:rsidRPr="00370BEA">
          <w:rPr>
            <w:rStyle w:val="afb"/>
            <w:rFonts w:hint="eastAsia"/>
            <w:color w:val="000000"/>
            <w:sz w:val="24"/>
            <w:shd w:color="auto" w:fill="FFFFFF" w:val="clear"/>
          </w:rPr>
          <w:t>自基金合同生效以来</w:t>
        </w:r>
      </w:smartTag>
      <w:r w:rsidRPr="00264E55">
        <w:rPr>
          <w:rFonts w:ascii="宋体" w:hAnsi="宋体" w:hint="eastAsia"/>
          <w:b/>
          <w:bCs/>
          <w:color w:val="000000"/>
          <w:kern w:val="0"/>
          <w:sz w:val="24"/>
          <w:szCs w:val="24"/>
        </w:rPr>
        <w:t>基金累计净值增长率变动及其与同期业绩比较基准收益率变动的比较</w:t>
      </w:r>
    </w:p>
    <w:p w:rsidP="009E7C6A" w:rsidR="00750D48" w:rsidRDefault="00750D48" w:rsidRPr="0074694E">
      <w:pPr>
        <w:spacing w:line="360" w:lineRule="auto"/>
        <w:jc w:val="center"/>
        <w:rPr>
          <w:color w:val="000000"/>
          <w:sz w:val="24"/>
          <w:szCs w:val="24"/>
        </w:rPr>
      </w:pPr>
      <w:r w:rsidRPr="0074694E">
        <w:rPr>
          <w:color w:val="000000"/>
          <w:sz w:val="24"/>
          <w:szCs w:val="24"/>
        </w:rPr>
        <w:t/>
      </w:r>
      <w:proofErr w:type="spellStart"/>
      <w:r w:rsidRPr="0074694E">
        <w:rPr>
          <w:color w:val="000000"/>
          <w:sz w:val="24"/>
          <w:szCs w:val="24"/>
        </w:rPr>
        <w:t/>
      </w:r>
      <w:proofErr w:type="spellEnd"/>
      <w:r w:rsidRPr="0074694E">
        <w:rPr>
          <w:color w:val="000000"/>
          <w:sz w:val="24"/>
          <w:szCs w:val="24"/>
        </w:rPr>
        <w:t>易方达新兴成长灵活配置混合型证券投资基金</w:t>
      </w:r>
    </w:p>
    <w:p w:rsidP="009E7C6A" w:rsidR="00750D48" w:rsidRDefault="00750D48" w:rsidRPr="0074694E">
      <w:pPr>
        <w:pStyle w:val="a5"/>
        <w:snapToGrid w:val="0"/>
        <w:spacing w:line="360" w:lineRule="auto"/>
        <w:jc w:val="center"/>
        <w:rPr>
          <w:rFonts w:ascii="Times New Roman" w:hAnsi="Times New Roman"/>
          <w:color w:val="000000"/>
          <w:sz w:val="24"/>
          <w:szCs w:val="24"/>
        </w:rPr>
      </w:pPr>
      <w:r w:rsidRPr="0074694E">
        <w:rPr>
          <w:rFonts w:ascii="Times New Roman" w:hAnsi="Times New Roman"/>
          <w:color w:val="000000"/>
          <w:sz w:val="24"/>
          <w:szCs w:val="24"/>
        </w:rPr>
        <w:t>累计净值增长率与业绩比较基准收益率的历史走势对比图</w:t>
      </w:r>
    </w:p>
    <w:p w:rsidP="009E7C6A" w:rsidR="00750D48" w:rsidRDefault="005F7917" w:rsidRPr="0074694E">
      <w:pPr>
        <w:pStyle w:val="a5"/>
        <w:snapToGrid w:val="0"/>
        <w:spacing w:line="360" w:lineRule="auto"/>
        <w:ind w:firstLine="480"/>
        <w:jc w:val="center"/>
        <w:rPr>
          <w:rFonts w:ascii="Times New Roman" w:hAnsi="Times New Roman"/>
          <w:sz w:val="24"/>
          <w:szCs w:val="24"/>
        </w:rPr>
      </w:pPr>
      <w:r w:rsidRPr="0074694E">
        <w:rPr>
          <w:rFonts w:ascii="Times New Roman" w:hAnsi="Times New Roman"/>
          <w:sz w:val="24"/>
          <w:szCs w:val="24"/>
        </w:rPr>
        <w:t>（</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2013年11月28日</w:t>
      </w:r>
      <w:r w:rsidRPr="0074694E">
        <w:rPr>
          <w:rFonts w:ascii="Times New Roman" w:hAnsi="Times New Roman"/>
          <w:sz w:val="24"/>
          <w:szCs w:val="24"/>
        </w:rPr>
        <w:t>至</w:t>
      </w:r>
      <w:r w:rsidRPr="0074694E">
        <w:rPr>
          <w:rFonts w:ascii="Times New Roman" w:hAnsi="Times New Roman"/>
          <w:sz w:val="24"/>
          <w:szCs w:val="24"/>
        </w:rPr>
        <w:t/>
      </w:r>
      <w:proofErr w:type="spellStart"/>
      <w:r w:rsidRPr="0074694E">
        <w:rPr>
          <w:rFonts w:ascii="Times New Roman" w:hAnsi="Times New Roman"/>
          <w:sz w:val="24"/>
          <w:szCs w:val="24"/>
        </w:rPr>
        <w:t/>
      </w:r>
      <w:proofErr w:type="spellEnd"/>
      <w:r w:rsidRPr="0074694E">
        <w:rPr>
          <w:rFonts w:ascii="Times New Roman" w:hAnsi="Times New Roman"/>
          <w:sz w:val="24"/>
          <w:szCs w:val="24"/>
        </w:rPr>
        <w:t>2020年9月30日</w:t>
      </w:r>
      <w:r w:rsidRPr="0074694E">
        <w:rPr>
          <w:rFonts w:ascii="Times New Roman" w:hAnsi="Times New Roman"/>
          <w:sz w:val="24"/>
          <w:szCs w:val="24"/>
        </w:rPr>
        <w:t>）</w:t>
      </w:r>
    </w:p>
    <w:p w:rsidP="004061AC" w:rsidR="00750D48" w:rsidRDefault="000D33A8" w:rsidRPr="00264E55">
      <w:pPr>
        <w:pStyle w:val="a5"/>
        <w:snapToGrid w:val="0"/>
        <w:spacing w:before="120" w:line="360" w:lineRule="auto"/>
        <w:jc w:val="center"/>
        <w:rPr>
          <w:rFonts w:hAnsi="宋体"/>
          <w:color w:val="000000"/>
          <w:sz w:val="24"/>
          <w:szCs w:val="24"/>
        </w:rPr>
      </w:pPr>
      <w:r>
        <w:rPr>
          <w:rFonts w:hAnsi="宋体"/>
          <w:noProof/>
          <w:color w:val="000000"/>
          <w:sz w:val="24"/>
          <w:szCs w:val="24"/>
        </w:rPr>
        <w:pict>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图片 1" o:spid="_x0000_i1025" style="width:412.5pt;height:241.5pt;visibility:visible" type="#_x0000_t75">
            <v:imagedata o:title="" r:id="rId11"/>
          </v:shape>
        </w:pic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注：自基金合同生效至报告期末，基金份额净值增长率为316.50%，同期业绩比较基准收益率为59.72%。</w:t>
      </w:r>
    </w:p>
    <w:p w:rsidP="00693843" w:rsidR="00750D48" w:rsidRDefault="00750D48" w:rsidRPr="00232B03">
      <w:pPr>
        <w:tabs>
          <w:tab w:pos="1800" w:val="left"/>
        </w:tabs>
        <w:spacing w:line="288" w:lineRule="auto"/>
        <w:rPr>
          <w:color w:val="000000"/>
          <w:sz w:val="24"/>
          <w:szCs w:val="24"/>
        </w:rPr>
      </w:pP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4  </w:t>
      </w:r>
      <w:r w:rsidRPr="00264E55">
        <w:rPr>
          <w:rFonts w:ascii="宋体" w:hAnsi="宋体" w:hint="eastAsia"/>
          <w:color w:val="000000"/>
          <w:kern w:val="0"/>
          <w:sz w:val="24"/>
          <w:szCs w:val="24"/>
        </w:rPr>
        <w:t>管理人报告</w:t>
      </w:r>
    </w:p>
    <w:p w:rsidP="004D28A3" w:rsidR="004D28A3" w:rsidRDefault="00750D48" w:rsidRPr="0078105B">
      <w:pPr>
        <w:autoSpaceDE w:val="0"/>
        <w:autoSpaceDN w:val="0"/>
        <w:adjustRightInd w:val="0"/>
        <w:spacing w:line="360" w:lineRule="auto"/>
        <w:jc w:val="left"/>
        <w:rPr>
          <w:rFonts w:ascii="宋体" w:cs="Arial"/>
          <w:b/>
          <w:color w:val="000000"/>
          <w:kern w:val="0"/>
          <w:sz w:val="24"/>
        </w:rPr>
      </w:pPr>
      <w:r w:rsidRPr="00264E55">
        <w:rPr>
          <w:rFonts w:ascii="宋体" w:hAnsi="宋体"/>
          <w:b/>
          <w:bCs/>
          <w:color w:val="000000"/>
          <w:kern w:val="0"/>
          <w:sz w:val="24"/>
          <w:szCs w:val="24"/>
        </w:rPr>
        <w:t xml:space="preserve">4.1 </w:t>
      </w:r>
      <w:r w:rsidRPr="00264E55">
        <w:rPr>
          <w:rFonts w:ascii="宋体" w:hAnsi="宋体" w:hint="eastAsia"/>
          <w:b/>
          <w:bCs/>
          <w:color w:val="000000"/>
          <w:kern w:val="0"/>
          <w:sz w:val="24"/>
          <w:szCs w:val="24"/>
        </w:rPr>
        <w:t>基金经理</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或基金经理小组</w:t>
      </w:r>
      <w:r w:rsidRPr="00264E55">
        <w:rPr>
          <w:rFonts w:ascii="宋体" w:hAnsi="宋体"/>
          <w:b/>
          <w:bCs/>
          <w:color w:val="000000"/>
          <w:kern w:val="0"/>
          <w:sz w:val="24"/>
          <w:szCs w:val="24"/>
        </w:rPr>
        <w:t>)</w:t>
      </w:r>
      <w:r w:rsidRPr="00264E55">
        <w:rPr>
          <w:rFonts w:ascii="宋体" w:hAnsi="宋体" w:hint="eastAsia"/>
          <w:b/>
          <w:bCs/>
          <w:color w:val="000000"/>
          <w:kern w:val="0"/>
          <w:sz w:val="24"/>
          <w:szCs w:val="24"/>
        </w:rPr>
        <w:t>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4D28A3" w:rsidRPr="0078105B" w:rsidTr="003328D9">
        <w:trPr>
          <w:cantSplit/>
        </w:trPr>
        <w:tc>
          <w:tcPr>
            <w:tcW w:type="dxa" w:w="56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任本基金的基金经理期限</w:t>
            </w:r>
          </w:p>
        </w:tc>
        <w:tc>
          <w:tcPr>
            <w:tcW w:type="dxa" w:w="851"/>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4D28A3" w:rsidRPr="0078105B" w:rsidTr="003328D9">
        <w:trPr>
          <w:cantSplit/>
        </w:trPr>
        <w:tc>
          <w:tcPr>
            <w:tcW w:type="dxa" w:w="56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835"/>
            <w:vMerge/>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3328D9" w:rsidR="004D28A3" w:rsidRDefault="004D28A3"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刘武</w:t>
            </w:r>
          </w:p>
        </w:tc>
        <w:tc>
          <w:tcPr>
            <w:vAlign w:val="center"/>
          </w:tcPr>
          <w:p>
            <w:pPr>
              <w:jc w:val="left"/>
            </w:pPr>
            <w:r>
              <w:rPr>
                <w:color w:val="000000"/>
                <w:sz w:val="24"/>
              </w:rPr>
              <w:t>本基金的基金经理、易方达科技创新混合型证券投资基金的基金经理、易方达创新成长混合型证券投资基金的基金经理</w:t>
            </w:r>
          </w:p>
        </w:tc>
        <w:tc>
          <w:tcPr>
            <w:vAlign w:val="center"/>
          </w:tcPr>
          <w:p>
            <w:pPr>
              <w:jc w:val="center"/>
            </w:pPr>
            <w:r>
              <w:rPr>
                <w:color w:val="000000"/>
                <w:sz w:val="24"/>
              </w:rPr>
              <w:t>2018-12-12</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硕士研究生，具有基金从业资格。曾任华夏基金管理有限公司投资研究部研究员，易方达基金管理有限公司行业研究员、投资经理。</w:t>
            </w:r>
          </w:p>
        </w:tc>
      </w:tr>
    </w:tbl>
    <w:p>
      <w:pPr>
        <w:tabs>
          <w:tab w:pos="426" w:val="left"/>
        </w:tabs>
        <w:spacing w:line="360" w:lineRule="auto"/>
        <w:ind w:firstLine="480" w:firstLineChars="200"/>
        <w:rPr>
          <w:kern w:val="0"/>
        </w:rPr>
      </w:pPr>
      <w:r>
        <w:rPr>
          <w:color w:val="000000"/>
          <w:sz w:val="24"/>
          <w:szCs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C71BA1" w:rsidR="00C71BA1" w:rsidRDefault="004D28A3" w:rsidRPr="00AF5C11">
      <w:pPr>
        <w:tabs>
          <w:tab w:pos="426" w:val="left"/>
        </w:tabs>
        <w:spacing w:line="360" w:lineRule="auto"/>
        <w:ind w:firstLine="480" w:firstLineChars="200"/>
        <w:rPr>
          <w:kern w:val="0"/>
        </w:rPr>
      </w:pPr>
      <w:r w:rsidRPr="004D28A3">
        <w:rPr>
          <w:color w:val="000000"/>
          <w:sz w:val="24"/>
          <w:szCs w:val="24"/>
        </w:rPr>
        <w:t/>
      </w:r>
      <w:proofErr w:type="gramStart"/>
      <w:r w:rsidRPr="004D28A3">
        <w:rPr>
          <w:color w:val="000000"/>
          <w:sz w:val="24"/>
          <w:szCs w:val="24"/>
        </w:rPr>
        <w:t/>
      </w:r>
      <w:proofErr w:type="gramEnd"/>
      <w:r w:rsidRPr="004D28A3">
        <w:rPr>
          <w:color w:val="000000"/>
          <w:sz w:val="24"/>
          <w:szCs w:val="24"/>
        </w:rPr>
        <w:t>2.证券从业的含义遵从《证券业从业人员资格管理办法》的相关规定。</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4.2 </w:t>
      </w:r>
      <w:r w:rsidRPr="00264E55">
        <w:rPr>
          <w:rFonts w:ascii="宋体" w:hAnsi="宋体" w:hint="eastAsia"/>
          <w:b/>
          <w:bCs/>
          <w:color w:val="000000"/>
          <w:kern w:val="0"/>
          <w:sz w:val="24"/>
          <w:szCs w:val="24"/>
        </w:rPr>
        <w:t>管理人对报告期内本基金运作遵规守信情况的说明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9E7C6A"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4.3 </w:t>
      </w:r>
      <w:r w:rsidRPr="00264E55">
        <w:rPr>
          <w:rFonts w:ascii="宋体" w:hAnsi="宋体" w:hint="eastAsia"/>
          <w:b/>
          <w:bCs/>
          <w:color w:val="000000"/>
          <w:kern w:val="0"/>
          <w:sz w:val="24"/>
          <w:szCs w:val="24"/>
        </w:rPr>
        <w:t>公平交易专项说明</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4.3.1</w:t>
        </w:r>
      </w:smartTag>
      <w:r w:rsidRPr="008768CB">
        <w:rPr>
          <w:b/>
          <w:color w:val="000000"/>
          <w:sz w:val="24"/>
          <w:szCs w:val="24"/>
        </w:rPr>
        <w:t>公平交易制度的执行情况</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9E7C6A" w:rsidR="00750D48" w:rsidRDefault="00750D48" w:rsidRPr="008768CB">
      <w:pPr>
        <w:spacing w:line="360" w:lineRule="auto"/>
        <w:rPr>
          <w:b/>
          <w:color w:val="000000"/>
          <w:sz w:val="24"/>
          <w:szCs w:val="24"/>
        </w:rPr>
      </w:pPr>
      <w:smartTag w:element="chsdate" w:uri="urn:schemas-microsoft-com:office:smarttags">
        <w:smartTagPr>
          <w:attr w:name="Year" w:val="1899"/>
          <w:attr w:name="Month" w:val="12"/>
          <w:attr w:name="Day" w:val="30"/>
          <w:attr w:name="IsLunarDate" w:val="False"/>
          <w:attr w:name="IsROCDate" w:val="False"/>
        </w:smartTagPr>
        <w:r w:rsidRPr="008768CB">
          <w:rPr>
            <w:b/>
            <w:color w:val="000000"/>
            <w:sz w:val="24"/>
            <w:szCs w:val="24"/>
          </w:rPr>
          <w:t>4.3.2</w:t>
        </w:r>
      </w:smartTag>
      <w:r w:rsidRPr="008768CB">
        <w:rPr>
          <w:b/>
          <w:color w:val="000000"/>
          <w:sz w:val="24"/>
          <w:szCs w:val="24"/>
        </w:rPr>
        <w:t>异常交易行为的专项说明</w:t>
      </w:r>
    </w:p>
    <w:p>
      <w:pPr>
        <w:spacing w:line="360" w:lineRule="auto"/>
        <w:ind w:firstLine="480" w:firstLineChars="200"/>
        <w:rPr>
          <w:rFonts w:ascii="宋体"/>
          <w:b/>
          <w:bCs/>
          <w:color w:val="000000"/>
          <w:kern w:val="0"/>
          <w:sz w:val="24"/>
          <w:szCs w:val="24"/>
        </w:rPr>
      </w:pPr>
      <w:r>
        <w:rPr>
          <w:color w:val="000000"/>
          <w:sz w:val="24"/>
          <w:szCs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306390" w:rsidR="00750D48" w:rsidRDefault="00750D48" w:rsidRPr="00264E55">
      <w:pPr>
        <w:spacing w:line="360" w:lineRule="auto"/>
        <w:ind w:firstLine="480" w:firstLineChars="200"/>
        <w:rPr>
          <w:rFonts w:ascii="宋体"/>
          <w:b/>
          <w:bCs/>
          <w:color w:val="000000"/>
          <w:kern w:val="0"/>
          <w:sz w:val="24"/>
          <w:szCs w:val="24"/>
        </w:rPr>
      </w:pPr>
      <w:r w:rsidRPr="000018BC">
        <w:rPr>
          <w:color w:val="000000"/>
          <w:sz w:val="24"/>
          <w:szCs w:val="24"/>
        </w:rPr>
        <w:t/>
      </w:r>
      <w:proofErr w:type="spellStart"/>
      <w:r w:rsidRPr="000018BC">
        <w:rPr>
          <w:color w:val="000000"/>
          <w:sz w:val="24"/>
          <w:szCs w:val="24"/>
        </w:rPr>
        <w:t/>
      </w:r>
      <w:proofErr w:type="spellEnd"/>
      <w:r w:rsidRPr="000018BC">
        <w:rPr>
          <w:color w:val="000000"/>
          <w:sz w:val="24"/>
          <w:szCs w:val="24"/>
        </w:rPr>
        <w:t>本报告期内，未发现本基金有可能导致不公平交易和利益输送的异常交易。</w:t>
      </w:r>
      <w:r w:rsidR="00306390" w:rsidRPr="00264E55">
        <w:rPr>
          <w:rFonts w:ascii="宋体"/>
          <w:b/>
          <w:bCs/>
          <w:color w:val="000000"/>
          <w:kern w:val="0"/>
          <w:sz w:val="24"/>
          <w:szCs w:val="24"/>
        </w:rPr>
        <w:t xml:space="preserve"> </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4.4</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报告期内基金投资策略和运作分析</w:t>
      </w:r>
    </w:p>
    <w:p>
      <w:pPr>
        <w:spacing w:line="360" w:lineRule="auto"/>
        <w:ind w:firstLine="480" w:firstLineChars="200"/>
        <w:rPr>
          <w:color w:val="000000"/>
          <w:sz w:val="24"/>
          <w:szCs w:val="24"/>
        </w:rPr>
      </w:pPr>
      <w:r>
        <w:rPr>
          <w:color w:val="000000"/>
          <w:sz w:val="24"/>
          <w:szCs w:val="24"/>
        </w:rPr>
        <w:t>三季度市场波动较大，7月份短期冲高后，8月和9月震荡下行。期间创业板指数涨幅5.60%，中证800指数涨幅9.03%，沪深300指数涨幅10.17%。期间，本基金配置比例较大的科技板块在三季度大幅跑输市场，核心原因是美国政府对中国科技企业的打压持续升级。报告期内本基金净值的较大波动给投资者带来了不适，我们也收到了投资者关于后市如何看待科技板块的疑问，我们也在不断追问自己。回答这个问题之前，我们重新回到2019年5月份和2020年3月份，成长板块同样面临着突如其来和不可预估的外部负面冲击，但坚守下来的投资者最后都获得了超额的回报。回到问题本身，作为投资人应该从底层去思考行业本身有没有给社会带来增量GDP，公司和管理层是不是在持续创造价值，我们才能从中分享到净值的增长。在这一点上，我始终相信科技创新对于社会生产力和生产效率提升的重要性，以及对我们国家经济结构转型的重要性。本基金始终致力于挖掘符合社会和产业发展趋势、具备自我进化和创新基因的伟大企业，并坚持在科技板块的重点配置。</w:t>
      </w:r>
    </w:p>
    <w:p w:rsidP="00EB572F" w:rsidR="00750D48" w:rsidRDefault="00750D48" w:rsidRPr="000018BC">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三季度科技板块中表现最为亮眼的是光伏板块，驱动因素是持续的行业景气度和较具吸引力的板块估值。本基金一直聚焦于能源革新板块，但大部分仓位都布局在新能源汽车上。同属于清洁能源领域，供给侧的光伏板块短期表现亮眼，我们相信需求侧的新能源汽车板块也将会获得市场的认可。</w:t>
      </w:r>
    </w:p>
    <w:p w:rsidP="00306390" w:rsidR="00750D48" w:rsidRDefault="00306390" w:rsidRPr="00306390">
      <w:pPr>
        <w:autoSpaceDE w:val="0"/>
        <w:autoSpaceDN w:val="0"/>
        <w:adjustRightInd w:val="0"/>
        <w:spacing w:line="360" w:lineRule="auto"/>
        <w:jc w:val="left"/>
        <w:rPr>
          <w:rFonts w:ascii="宋体" w:hAnsi="宋体"/>
          <w:b/>
          <w:bCs/>
          <w:color w:val="000000"/>
          <w:kern w:val="0"/>
          <w:sz w:val="24"/>
          <w:szCs w:val="24"/>
        </w:rPr>
      </w:pPr>
      <w:r w:rsidRPr="00264E55">
        <w:rPr>
          <w:rFonts w:ascii="宋体" w:hAnsi="宋体"/>
          <w:b/>
          <w:bCs/>
          <w:color w:val="000000"/>
          <w:kern w:val="0"/>
          <w:sz w:val="24"/>
          <w:szCs w:val="24"/>
        </w:rPr>
        <w:t>4.</w:t>
      </w:r>
      <w:r>
        <w:rPr>
          <w:rFonts w:ascii="宋体" w:hAnsi="宋体"/>
          <w:b/>
          <w:bCs/>
          <w:color w:val="000000"/>
          <w:kern w:val="0"/>
          <w:sz w:val="24"/>
          <w:szCs w:val="24"/>
        </w:rPr>
        <w:t>5</w:t>
      </w:r>
      <w:r>
        <w:rPr>
          <w:rFonts w:ascii="宋体" w:hAnsi="宋体" w:hint="eastAsia"/>
          <w:b/>
          <w:bCs/>
          <w:color w:val="000000"/>
          <w:kern w:val="0"/>
          <w:sz w:val="24"/>
          <w:szCs w:val="24"/>
        </w:rPr>
        <w:t xml:space="preserve"> </w:t>
      </w:r>
      <w:r w:rsidR="00750D48" w:rsidRPr="00306390">
        <w:rPr>
          <w:rFonts w:ascii="宋体" w:hAnsi="宋体"/>
          <w:b/>
          <w:bCs/>
          <w:color w:val="000000"/>
          <w:kern w:val="0"/>
          <w:sz w:val="24"/>
          <w:szCs w:val="24"/>
        </w:rPr>
        <w:t>报告期内基金的业绩表现</w:t>
      </w:r>
    </w:p>
    <w:p w:rsidP="00306390" w:rsidR="00750D48" w:rsidRDefault="00750D48">
      <w:pPr>
        <w:spacing w:line="360" w:lineRule="auto"/>
        <w:ind w:firstLine="480" w:firstLineChars="200"/>
        <w:rPr>
          <w:color w:val="000000"/>
          <w:sz w:val="24"/>
          <w:szCs w:val="24"/>
        </w:rPr>
      </w:pPr>
      <w:r w:rsidRPr="000018BC">
        <w:rPr>
          <w:color w:val="000000"/>
          <w:sz w:val="24"/>
          <w:szCs w:val="24"/>
        </w:rPr>
        <w:t/>
      </w:r>
      <w:proofErr w:type="spellStart"/>
      <w:proofErr w:type="gramStart"/>
      <w:r w:rsidRPr="000018BC">
        <w:rPr>
          <w:color w:val="000000"/>
          <w:sz w:val="24"/>
          <w:szCs w:val="24"/>
        </w:rPr>
        <w:t/>
      </w:r>
      <w:proofErr w:type="spellEnd"/>
      <w:proofErr w:type="gramEnd"/>
      <w:r w:rsidRPr="000018BC">
        <w:rPr>
          <w:color w:val="000000"/>
          <w:sz w:val="24"/>
          <w:szCs w:val="24"/>
        </w:rPr>
        <w:t>截至报告期末，本基金份额净值为4.165元，本报告期份额净值增长率为1.39%，同期业绩比较基准收益率为3.82%。</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5  </w:t>
      </w:r>
      <w:r w:rsidRPr="00264E55">
        <w:rPr>
          <w:rFonts w:ascii="宋体" w:hAnsi="宋体" w:hint="eastAsia"/>
          <w:color w:val="000000"/>
          <w:kern w:val="0"/>
          <w:sz w:val="24"/>
          <w:szCs w:val="24"/>
        </w:rPr>
        <w:t>投资组合报告</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5.1 </w:t>
      </w:r>
      <w:r w:rsidRPr="00264E55">
        <w:rPr>
          <w:rFonts w:ascii="宋体" w:hAnsi="宋体" w:hint="eastAsia"/>
          <w:b/>
          <w:bCs/>
          <w:color w:val="000000"/>
          <w:kern w:val="0"/>
          <w:sz w:val="24"/>
          <w:szCs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序号</w:t>
            </w:r>
          </w:p>
        </w:tc>
        <w:tc>
          <w:tcPr>
            <w:tcW w:type="dxa" w:w="3357"/>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项目</w:t>
            </w:r>
          </w:p>
        </w:tc>
        <w:tc>
          <w:tcPr>
            <w:tcW w:type="dxa" w:w="2977"/>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金额</w:t>
            </w:r>
            <w:r w:rsidR="005F7917" w:rsidRPr="00232B03">
              <w:rPr>
                <w:color w:val="000000"/>
                <w:kern w:val="0"/>
                <w:sz w:val="24"/>
                <w:szCs w:val="24"/>
              </w:rPr>
              <w:t>（元）</w:t>
            </w:r>
          </w:p>
        </w:tc>
        <w:tc>
          <w:tcPr>
            <w:tcW w:type="dxa" w:w="1843"/>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占基金总资产的比例</w:t>
            </w:r>
            <w:r w:rsidR="005F7917" w:rsidRPr="00232B03">
              <w:rPr>
                <w:color w:val="000000"/>
                <w:kern w:val="0"/>
                <w:sz w:val="24"/>
                <w:szCs w:val="24"/>
              </w:rPr>
              <w:t>（</w:t>
            </w:r>
            <w:r w:rsidR="005F7917" w:rsidRPr="00232B03">
              <w:rPr>
                <w:color w:val="000000"/>
                <w:kern w:val="0"/>
                <w:sz w:val="24"/>
                <w:szCs w:val="24"/>
              </w:rPr>
              <w:t>%</w:t>
            </w:r>
            <w:r w:rsidR="005F7917"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1</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权益投资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7,983,629,259.92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89.60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其中：股票</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7,983,629,259.92</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89.60</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2</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固定收益投资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其中：债券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autoSpaceDE w:val="0"/>
              <w:autoSpaceDN w:val="0"/>
              <w:adjustRightInd w:val="0"/>
              <w:spacing w:before="29" w:line="360" w:lineRule="auto"/>
              <w:ind w:left="17"/>
              <w:jc w:val="left"/>
              <w:rPr>
                <w:color w:val="000000"/>
                <w:kern w:val="0"/>
                <w:sz w:val="24"/>
                <w:szCs w:val="24"/>
              </w:rPr>
            </w:pPr>
            <w:r w:rsidRPr="00232B03">
              <w:rPr>
                <w:color w:val="000000"/>
                <w:kern w:val="0"/>
                <w:sz w:val="24"/>
                <w:szCs w:val="24"/>
              </w:rPr>
              <w:t>资产支持证券</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w:t>
            </w:r>
          </w:p>
        </w:tc>
      </w:tr>
      <w:tr w:rsidR="00750D48" w:rsidRPr="00264E55" w:rsidTr="00B05049">
        <w:trPr>
          <w:jc w:val="center"/>
        </w:trPr>
        <w:tc>
          <w:tcPr>
            <w:tcW w:type="dxa" w:w="720"/>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lastRenderedPageBreak/>
              <w:t>3</w:t>
            </w:r>
          </w:p>
        </w:tc>
        <w:tc>
          <w:tcPr>
            <w:tcW w:type="dxa" w:w="3357"/>
          </w:tcPr>
          <w:p w:rsidP="00EB572F" w:rsidR="00750D48" w:rsidRDefault="00750D48" w:rsidRPr="00232B03">
            <w:pPr>
              <w:spacing w:before="29" w:line="360" w:lineRule="auto"/>
              <w:ind w:left="105" w:leftChars="50"/>
              <w:rPr>
                <w:color w:val="000000"/>
                <w:kern w:val="0"/>
                <w:sz w:val="24"/>
                <w:szCs w:val="24"/>
              </w:rPr>
            </w:pPr>
            <w:r w:rsidRPr="00232B03">
              <w:rPr>
                <w:color w:val="000000"/>
                <w:kern w:val="0"/>
                <w:sz w:val="24"/>
                <w:szCs w:val="24"/>
              </w:rPr>
              <w:t>贵金属投资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4</w:t>
            </w:r>
          </w:p>
        </w:tc>
        <w:tc>
          <w:tcPr>
            <w:tcW w:type="dxa" w:w="3357"/>
            <w:vAlign w:val="center"/>
          </w:tcPr>
          <w:p w:rsidP="00B05049" w:rsidR="00750D48" w:rsidRDefault="00750D48" w:rsidRPr="00232B03">
            <w:pPr>
              <w:spacing w:before="29" w:line="360" w:lineRule="auto"/>
              <w:ind w:left="17"/>
              <w:jc w:val="left"/>
              <w:rPr>
                <w:color w:val="000000"/>
                <w:kern w:val="0"/>
                <w:sz w:val="24"/>
                <w:szCs w:val="24"/>
              </w:rPr>
            </w:pPr>
            <w:r w:rsidRPr="00232B03">
              <w:rPr>
                <w:color w:val="000000"/>
                <w:kern w:val="0"/>
                <w:sz w:val="24"/>
                <w:szCs w:val="24"/>
              </w:rPr>
              <w:t>金融衍生品投资</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5</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其中：买断式回购的买入返售金融资产</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6</w:t>
            </w:r>
          </w:p>
        </w:tc>
        <w:tc>
          <w:tcPr>
            <w:tcW w:type="dxa" w:w="3357"/>
            <w:vAlign w:val="center"/>
          </w:tcPr>
          <w:p w:rsidP="00B05049" w:rsidR="00750D48" w:rsidRDefault="00750D48" w:rsidRPr="00232B03">
            <w:pPr>
              <w:spacing w:before="29" w:line="360" w:lineRule="auto"/>
              <w:ind w:left="17"/>
              <w:jc w:val="left"/>
              <w:rPr>
                <w:kern w:val="0"/>
                <w:sz w:val="24"/>
                <w:szCs w:val="24"/>
              </w:rPr>
            </w:pPr>
            <w:r w:rsidRPr="00232B03">
              <w:rPr>
                <w:color w:val="000000"/>
                <w:kern w:val="0"/>
                <w:sz w:val="24"/>
                <w:szCs w:val="24"/>
              </w:rPr>
              <w:t>银行存款和结算备付金合计</w:t>
            </w:r>
          </w:p>
        </w:tc>
        <w:tc>
          <w:tcPr>
            <w:tcW w:type="dxa" w:w="2977"/>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904,753,793.06</w:t>
            </w:r>
          </w:p>
        </w:tc>
        <w:tc>
          <w:tcPr>
            <w:tcW w:type="dxa" w:w="1843"/>
            <w:vAlign w:val="center"/>
          </w:tcPr>
          <w:p w:rsidP="00B05049" w:rsidR="00750D48" w:rsidRDefault="00750D48" w:rsidRPr="00232B03">
            <w:pPr>
              <w:spacing w:before="29" w:line="360" w:lineRule="auto"/>
              <w:ind w:left="17"/>
              <w:jc w:val="right"/>
              <w:rPr>
                <w:color w:val="000000"/>
                <w:kern w:val="0"/>
                <w:sz w:val="24"/>
                <w:szCs w:val="24"/>
              </w:rPr>
            </w:pPr>
            <w:r w:rsidRPr="00232B03">
              <w:rPr>
                <w:color w:val="000000"/>
                <w:kern w:val="0"/>
                <w:sz w:val="24"/>
                <w:szCs w:val="24"/>
              </w:rPr>
              <w:t/>
            </w:r>
            <w:r w:rsidRPr="00232B03">
              <w:rPr>
                <w:color w:val="000000"/>
                <w:kern w:val="0"/>
                <w:sz w:val="24"/>
                <w:szCs w:val="24"/>
              </w:rPr>
              <w:lastRenderedPageBreak/>
              <w:t>10.15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7</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其他资产</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22,202,568.32</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0.25</w:t>
            </w:r>
          </w:p>
        </w:tc>
      </w:tr>
      <w:tr w:rsidR="00750D48" w:rsidRPr="00264E55" w:rsidTr="00B05049">
        <w:trPr>
          <w:jc w:val="center"/>
        </w:trPr>
        <w:tc>
          <w:tcPr>
            <w:tcW w:type="dxa" w:w="720"/>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8</w:t>
            </w:r>
          </w:p>
        </w:tc>
        <w:tc>
          <w:tcPr>
            <w:tcW w:type="dxa" w:w="3357"/>
            <w:vAlign w:val="center"/>
          </w:tcPr>
          <w:p w:rsidP="00B05049" w:rsidR="00750D48" w:rsidRDefault="00750D48" w:rsidRPr="00232B03">
            <w:pPr>
              <w:jc w:val="left"/>
              <w:rPr>
                <w:kern w:val="0"/>
                <w:sz w:val="24"/>
                <w:szCs w:val="24"/>
              </w:rPr>
            </w:pPr>
            <w:r w:rsidRPr="00232B03">
              <w:rPr>
                <w:color w:val="000000"/>
                <w:kern w:val="0"/>
                <w:sz w:val="24"/>
                <w:szCs w:val="24"/>
              </w:rPr>
              <w:t>合计</w:t>
            </w:r>
          </w:p>
        </w:tc>
        <w:tc>
          <w:tcPr>
            <w:tcW w:type="dxa" w:w="2977"/>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8,910,585,621.30</w:t>
            </w:r>
          </w:p>
        </w:tc>
        <w:tc>
          <w:tcPr>
            <w:tcW w:type="dxa" w:w="1843"/>
            <w:vAlign w:val="center"/>
          </w:tcPr>
          <w:p w:rsidP="00B05049" w:rsidR="00750D48" w:rsidRDefault="00750D48" w:rsidRPr="00232B03">
            <w:pPr>
              <w:jc w:val="right"/>
              <w:rPr>
                <w:color w:val="000000"/>
                <w:kern w:val="0"/>
                <w:sz w:val="24"/>
                <w:szCs w:val="24"/>
              </w:rPr>
            </w:pPr>
            <w:r w:rsidRPr="00232B03">
              <w:rPr>
                <w:color w:val="000000"/>
                <w:kern w:val="0"/>
                <w:sz w:val="24"/>
                <w:szCs w:val="24"/>
              </w:rPr>
              <w:t/>
            </w:r>
            <w:proofErr w:type="spellStart"/>
            <w:r w:rsidRPr="00232B03">
              <w:rPr>
                <w:color w:val="000000"/>
                <w:kern w:val="0"/>
                <w:sz w:val="24"/>
                <w:szCs w:val="24"/>
              </w:rPr>
              <w:t/>
            </w:r>
            <w:proofErr w:type="spellEnd"/>
            <w:r w:rsidRPr="00232B03">
              <w:rPr>
                <w:color w:val="000000"/>
                <w:kern w:val="0"/>
                <w:sz w:val="24"/>
                <w:szCs w:val="24"/>
              </w:rPr>
              <w:t>100.00</w:t>
            </w:r>
          </w:p>
        </w:tc>
      </w:tr>
    </w:tbl>
    <w:p w:rsidP="008C2A4F" w:rsidR="008C2A4F" w:rsidRDefault="008C2A4F" w:rsidRPr="00220C32">
      <w:pPr>
        <w:autoSpaceDE w:val="0"/>
        <w:autoSpaceDN w:val="0"/>
        <w:adjustRightInd w:val="0"/>
        <w:spacing w:line="360" w:lineRule="auto"/>
        <w:jc w:val="left"/>
        <w:rPr>
          <w:rFonts w:asciiTheme="minorEastAsia" w:eastAsiaTheme="minorEastAsia" w:hAnsiTheme="minorEastAsia"/>
          <w:b/>
          <w:bCs/>
          <w:color w:themeColor="text1" w:val="000000"/>
          <w:kern w:val="0"/>
          <w:sz w:val="24"/>
          <w:szCs w:val="24"/>
        </w:rPr>
      </w:pPr>
      <w:r w:rsidRPr="00220C32">
        <w:rPr>
          <w:rFonts w:asciiTheme="minorEastAsia" w:eastAsiaTheme="minorEastAsia" w:hAnsiTheme="minorEastAsia"/>
          <w:b/>
          <w:bCs/>
          <w:color w:themeColor="text1" w:val="000000"/>
          <w:kern w:val="0"/>
          <w:sz w:val="24"/>
          <w:szCs w:val="24"/>
        </w:rPr>
        <w:t xml:space="preserve">5.2 </w:t>
      </w:r>
      <w:r w:rsidRPr="00220C32">
        <w:rPr>
          <w:rFonts w:asciiTheme="minorEastAsia" w:eastAsiaTheme="minorEastAsia" w:hAnsiTheme="minorEastAsia" w:hint="eastAsia"/>
          <w:b/>
          <w:bCs/>
          <w:color w:themeColor="text1" w:val="000000"/>
          <w:kern w:val="0"/>
          <w:sz w:val="24"/>
          <w:szCs w:val="24"/>
        </w:rPr>
        <w:t>报告期末按行业分类的股票投资组合</w:t>
      </w:r>
    </w:p>
    <w:p w:rsidP="008C2A4F" w:rsidR="008C2A4F" w:rsidRDefault="008C2A4F" w:rsidRPr="000D7474">
      <w:pPr>
        <w:rPr>
          <w:rFonts w:asciiTheme="minorEastAsia" w:eastAsiaTheme="minorEastAsia" w:hAnsiTheme="minorEastAsia"/>
          <w:b/>
          <w:bCs/>
          <w:color w:themeColor="text1" w:val="000000"/>
          <w:kern w:val="0"/>
          <w:sz w:val="24"/>
          <w:szCs w:val="24"/>
        </w:rPr>
      </w:pPr>
      <w:r w:rsidRPr="000D7474">
        <w:rPr>
          <w:rFonts w:asciiTheme="minorEastAsia" w:eastAsiaTheme="minorEastAsia" w:hAnsiTheme="minorEastAsia"/>
          <w:b/>
          <w:bCs/>
          <w:color w:themeColor="text1" w:val="000000"/>
          <w:kern w:val="0"/>
          <w:sz w:val="24"/>
          <w:szCs w:val="24"/>
        </w:rPr>
        <w:t/>
      </w:r>
      <w:proofErr w:type="spellStart"/>
      <w:r w:rsidRPr="000D7474">
        <w:rPr>
          <w:rFonts w:asciiTheme="minorEastAsia" w:eastAsiaTheme="minorEastAsia" w:hAnsiTheme="minorEastAsia"/>
          <w:b/>
          <w:bCs/>
          <w:color w:themeColor="text1" w:val="000000"/>
          <w:kern w:val="0"/>
          <w:sz w:val="24"/>
          <w:szCs w:val="24"/>
        </w:rPr>
        <w:t/>
      </w:r>
      <w:proofErr w:type="spellEnd"/>
      <w:r w:rsidRPr="000D7474">
        <w:rPr>
          <w:rFonts w:asciiTheme="minorEastAsia" w:eastAsiaTheme="minorEastAsia" w:hAnsiTheme="minorEastAsia"/>
          <w:b/>
          <w:bCs/>
          <w:color w:themeColor="text1" w:val="000000"/>
          <w:kern w:val="0"/>
          <w:sz w:val="24"/>
          <w:szCs w:val="24"/>
        </w:rPr>
        <w:t/>
      </w:r>
      <w:r w:rsidRPr="000D7474">
        <w:rPr>
          <w:rFonts w:asciiTheme="minorEastAsia" w:eastAsiaTheme="minorEastAsia" w:hAnsiTheme="minorEastAsia" w:hint="eastAsia"/>
          <w:b/>
          <w:bCs/>
          <w:color w:themeColor="text1" w:val="000000"/>
          <w:kern w:val="0"/>
          <w:sz w:val="24"/>
          <w:szCs w:val="24"/>
        </w:rPr>
        <w:t>5.2.1报告期末按行业分类的境内股票投资组合</w:t>
      </w:r>
    </w:p>
    <w:tbl>
      <w:tblPr>
        <w:tblW w:type="dxa" w:w="8789"/>
        <w:tblInd w:type="dxa" w:w="-137"/>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709"/>
        <w:gridCol w:w="3544"/>
        <w:gridCol w:w="2977"/>
        <w:gridCol w:w="1559"/>
      </w:tblGrid>
      <w:tr w:rsidR="008C2A4F" w:rsidRPr="008C2A4F" w:rsidTr="003B5535">
        <w:trPr>
          <w:trHeight w:val="390"/>
        </w:trPr>
        <w:tc>
          <w:tcPr>
            <w:tcW w:type="dxa" w:w="709"/>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代码</w:t>
            </w: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行业类别</w:t>
            </w:r>
          </w:p>
        </w:tc>
        <w:tc>
          <w:tcPr>
            <w:tcW w:type="dxa" w:w="2977"/>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公允价值（元）</w:t>
            </w:r>
          </w:p>
        </w:tc>
        <w:tc>
          <w:tcPr>
            <w:tcW w:type="dxa" w:w="155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占基金资产净值比例（％）</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A</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农、林、牧、渔业</w:t>
            </w:r>
          </w:p>
        </w:tc>
        <w:tc>
          <w:tcPr>
            <w:tcW w:type="dxa" w:w="2977"/>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autoSpaceDE w:val="0"/>
              <w:autoSpaceDN w:val="0"/>
              <w:adjustRightInd w:val="0"/>
              <w:spacing w:before="29" w:line="360" w:lineRule="auto"/>
              <w:ind w:left="15"/>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B</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采矿业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p w:rsidP="003328D9" w:rsidR="008C2A4F" w:rsidRDefault="008C2A4F" w:rsidRPr="008C2A4F">
            <w:pPr>
              <w:jc w:val="right"/>
              <w:rPr>
                <w:rFonts w:eastAsiaTheme="minorEastAsia"/>
                <w:color w:themeColor="text1" w:val="000000"/>
                <w:kern w:val="0"/>
                <w:sz w:val="24"/>
                <w:szCs w:val="24"/>
              </w:rPr>
            </w:pP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C</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制造业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5,558,806,597.26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63.36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D</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电力、热力、燃气及水生产和供应业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E</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建筑业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13,029.12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F</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批发和零售业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11,470.24</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G</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交通运输、仓储和邮政业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33,256.76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H</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住宿和餐饮业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I</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信息传输、软件和信息技术服务业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1,386,872,441.75</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15.81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J</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金融业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541,511,184.39</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6.17</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K</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房地产业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L</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租赁和商务服务业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141,406,633.20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
            </w:r>
            <w:proofErr w:type="spellStart"/>
            <w:r w:rsidRPr="008C2A4F">
              <w:rPr>
                <w:rFonts w:eastAsiaTheme="minorEastAsia"/>
                <w:color w:themeColor="text1" w:val="000000"/>
                <w:kern w:val="0"/>
                <w:sz w:val="24"/>
                <w:szCs w:val="24"/>
              </w:rPr>
              <w:t/>
            </w:r>
            <w:r w:rsidRPr="008C2A4F">
              <w:rPr>
                <w:rFonts w:eastAsiaTheme="minorEastAsia"/>
                <w:color w:themeColor="text1" w:val="000000"/>
                <w:kern w:val="0"/>
                <w:sz w:val="24"/>
                <w:szCs w:val="24"/>
              </w:rPr>
              <w:lastRenderedPageBreak/>
              <w:t/>
            </w:r>
            <w:proofErr w:type="spellEnd"/>
            <w:r w:rsidRPr="008C2A4F">
              <w:rPr>
                <w:rFonts w:eastAsiaTheme="minorEastAsia"/>
                <w:color w:themeColor="text1" w:val="000000"/>
                <w:kern w:val="0"/>
                <w:sz w:val="24"/>
                <w:szCs w:val="24"/>
              </w:rPr>
              <w:t>1.61</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lastRenderedPageBreak/>
              <w:t>M</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科学研究和技术服务业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30,161.76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N</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水利、环境和公共设施管理业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41,958.98</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0.00</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O</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居民服务、修理和其他服务业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P</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教育</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Q</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卫生和社会工作</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200,196,510.70</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2.28</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R</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文化、体育和娱乐业</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154,706,015.76</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1.76</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r w:rsidRPr="008C2A4F">
              <w:rPr>
                <w:rFonts w:eastAsiaTheme="minorEastAsia"/>
                <w:color w:themeColor="text1" w:val="000000"/>
                <w:kern w:val="0"/>
                <w:sz w:val="24"/>
                <w:szCs w:val="24"/>
              </w:rPr>
              <w:t>S</w:t>
            </w: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综合</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w:t>
            </w:r>
          </w:p>
        </w:tc>
      </w:tr>
      <w:tr w:rsidR="008C2A4F" w:rsidRPr="008C2A4F" w:rsidTr="003B5535">
        <w:trPr>
          <w:trHeight w:val="285"/>
        </w:trPr>
        <w:tc>
          <w:tcPr>
            <w:tcW w:type="dxa" w:w="709"/>
            <w:tcMar>
              <w:top w:type="dxa" w:w="15"/>
              <w:left w:type="dxa" w:w="15"/>
              <w:bottom w:type="dxa" w:w="0"/>
              <w:right w:type="dxa" w:w="15"/>
            </w:tcMar>
            <w:vAlign w:val="center"/>
          </w:tcPr>
          <w:p w:rsidP="003328D9" w:rsidR="008C2A4F" w:rsidRDefault="008C2A4F" w:rsidRPr="008C2A4F">
            <w:pPr>
              <w:adjustRightInd w:val="0"/>
              <w:snapToGrid w:val="0"/>
              <w:spacing w:line="400" w:lineRule="exact"/>
              <w:jc w:val="center"/>
              <w:rPr>
                <w:rFonts w:eastAsiaTheme="minorEastAsia"/>
                <w:color w:themeColor="text1" w:val="000000"/>
                <w:kern w:val="0"/>
                <w:sz w:val="24"/>
                <w:szCs w:val="24"/>
              </w:rPr>
            </w:pPr>
          </w:p>
        </w:tc>
        <w:tc>
          <w:tcPr>
            <w:tcW w:type="dxa" w:w="3544"/>
            <w:tcMar>
              <w:top w:type="dxa" w:w="15"/>
              <w:left w:type="dxa" w:w="15"/>
              <w:bottom w:type="dxa" w:w="0"/>
              <w:right w:type="dxa" w:w="15"/>
            </w:tcMar>
            <w:vAlign w:val="center"/>
          </w:tcPr>
          <w:p w:rsidP="003328D9" w:rsidR="008C2A4F" w:rsidRDefault="008C2A4F" w:rsidRPr="008C2A4F">
            <w:pPr>
              <w:adjustRightInd w:val="0"/>
              <w:snapToGrid w:val="0"/>
              <w:spacing w:line="400" w:lineRule="exact"/>
              <w:rPr>
                <w:rFonts w:eastAsiaTheme="minorEastAsia"/>
                <w:color w:themeColor="text1" w:val="000000"/>
                <w:kern w:val="0"/>
                <w:sz w:val="24"/>
                <w:szCs w:val="24"/>
              </w:rPr>
            </w:pPr>
            <w:r w:rsidRPr="008C2A4F">
              <w:rPr>
                <w:rFonts w:eastAsiaTheme="minorEastAsia"/>
                <w:color w:themeColor="text1" w:val="000000"/>
                <w:kern w:val="0"/>
                <w:sz w:val="24"/>
                <w:szCs w:val="24"/>
              </w:rPr>
              <w:t>合计</w:t>
            </w:r>
          </w:p>
        </w:tc>
        <w:tc>
          <w:tcPr>
            <w:tcW w:type="dxa" w:w="2977"/>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7,983,629,259.92</w:t>
            </w:r>
          </w:p>
        </w:tc>
        <w:tc>
          <w:tcPr>
            <w:tcW w:type="dxa" w:w="1559"/>
            <w:tcMar>
              <w:top w:type="dxa" w:w="15"/>
              <w:left w:type="dxa" w:w="15"/>
              <w:bottom w:type="dxa" w:w="0"/>
              <w:right w:type="dxa" w:w="15"/>
            </w:tcMar>
            <w:vAlign w:val="center"/>
          </w:tcPr>
          <w:p w:rsidP="003328D9" w:rsidR="008C2A4F" w:rsidRDefault="008C2A4F" w:rsidRPr="008C2A4F">
            <w:pPr>
              <w:jc w:val="right"/>
              <w:rPr>
                <w:rFonts w:eastAsiaTheme="minorEastAsia"/>
                <w:color w:themeColor="text1" w:val="000000"/>
                <w:kern w:val="0"/>
                <w:sz w:val="24"/>
                <w:szCs w:val="24"/>
              </w:rPr>
            </w:pPr>
            <w:r w:rsidRPr="008C2A4F">
              <w:rPr>
                <w:rFonts w:eastAsiaTheme="minorEastAsia"/>
                <w:color w:themeColor="text1" w:val="000000"/>
                <w:kern w:val="0"/>
                <w:sz w:val="24"/>
                <w:szCs w:val="24"/>
              </w:rPr>
              <w:t/>
            </w:r>
            <w:proofErr w:type="spellStart"/>
            <w:r w:rsidRPr="008C2A4F">
              <w:rPr>
                <w:rFonts w:eastAsiaTheme="minorEastAsia"/>
                <w:color w:themeColor="text1" w:val="000000"/>
                <w:kern w:val="0"/>
                <w:sz w:val="24"/>
                <w:szCs w:val="24"/>
              </w:rPr>
              <w:t/>
            </w:r>
            <w:proofErr w:type="spellEnd"/>
            <w:r w:rsidRPr="008C2A4F">
              <w:rPr>
                <w:rFonts w:eastAsiaTheme="minorEastAsia"/>
                <w:color w:themeColor="text1" w:val="000000"/>
                <w:kern w:val="0"/>
                <w:sz w:val="24"/>
                <w:szCs w:val="24"/>
              </w:rPr>
              <w:t>91.00</w:t>
            </w:r>
          </w:p>
        </w:tc>
      </w:tr>
    </w:tbl>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5.3 </w:t>
      </w:r>
      <w:r w:rsidRPr="00264E55">
        <w:rPr>
          <w:rFonts w:ascii="宋体" w:hAnsi="宋体" w:hint="eastAsia"/>
          <w:b/>
          <w:bCs/>
          <w:color w:val="000000"/>
          <w:kern w:val="0"/>
          <w:sz w:val="24"/>
          <w:szCs w:val="24"/>
        </w:rPr>
        <w:t>报告期末按公允价值占基金资产净值比例大小排序的前十名股票投资明细</w:t>
      </w:r>
    </w:p>
    <w:tbl>
      <w:tblPr>
        <w:tblW w:type="dxa" w:w="8789"/>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51"/>
        <w:gridCol w:w="1276"/>
        <w:gridCol w:w="1418"/>
        <w:gridCol w:w="1701"/>
        <w:gridCol w:w="1984"/>
        <w:gridCol w:w="1559"/>
      </w:tblGrid>
      <w:tr w:rsidR="00750D48" w:rsidRPr="00264E55" w:rsidTr="00191BDE">
        <w:tc>
          <w:tcPr>
            <w:tcW w:type="dxa" w:w="851"/>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序号</w:t>
            </w:r>
          </w:p>
        </w:tc>
        <w:tc>
          <w:tcPr>
            <w:tcW w:type="dxa" w:w="1276"/>
            <w:vAlign w:val="center"/>
          </w:tcPr>
          <w:p w:rsidP="00B05049"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股票代码</w:t>
            </w:r>
          </w:p>
        </w:tc>
        <w:tc>
          <w:tcPr>
            <w:tcW w:type="dxa" w:w="1418"/>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股票名称</w:t>
            </w:r>
          </w:p>
        </w:tc>
        <w:tc>
          <w:tcPr>
            <w:tcW w:type="dxa" w:w="1701"/>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数量</w:t>
            </w:r>
            <w:r w:rsidR="005F7917" w:rsidRPr="00232B03">
              <w:rPr>
                <w:color w:val="000000"/>
                <w:kern w:val="0"/>
                <w:sz w:val="24"/>
                <w:szCs w:val="24"/>
              </w:rPr>
              <w:t>（股）</w:t>
            </w:r>
          </w:p>
        </w:tc>
        <w:tc>
          <w:tcPr>
            <w:tcW w:type="dxa" w:w="1984"/>
            <w:vAlign w:val="center"/>
          </w:tcPr>
          <w:p w:rsidP="005F7917" w:rsidR="00750D48" w:rsidRDefault="00750D48" w:rsidRPr="00232B03">
            <w:pPr>
              <w:autoSpaceDE w:val="0"/>
              <w:autoSpaceDN w:val="0"/>
              <w:adjustRightInd w:val="0"/>
              <w:spacing w:before="29" w:line="360" w:lineRule="auto"/>
              <w:ind w:left="17"/>
              <w:jc w:val="center"/>
              <w:rPr>
                <w:color w:val="000000"/>
                <w:kern w:val="0"/>
                <w:sz w:val="24"/>
                <w:szCs w:val="24"/>
              </w:rPr>
            </w:pPr>
            <w:r w:rsidRPr="00232B03">
              <w:rPr>
                <w:color w:val="000000"/>
                <w:kern w:val="0"/>
                <w:sz w:val="24"/>
                <w:szCs w:val="24"/>
              </w:rPr>
              <w:t>公允价值</w:t>
            </w:r>
            <w:r w:rsidR="005F7917" w:rsidRPr="00232B03">
              <w:rPr>
                <w:color w:val="000000"/>
                <w:kern w:val="0"/>
                <w:sz w:val="24"/>
                <w:szCs w:val="24"/>
              </w:rPr>
              <w:t>（元）</w:t>
            </w:r>
          </w:p>
        </w:tc>
        <w:tc>
          <w:tcPr>
            <w:tcW w:type="dxa" w:w="1559"/>
            <w:vAlign w:val="center"/>
          </w:tcPr>
          <w:p w:rsidP="005F7917" w:rsidR="00750D48" w:rsidRDefault="00750D48" w:rsidRPr="00232B03">
            <w:pPr>
              <w:spacing w:before="29" w:line="360" w:lineRule="auto"/>
              <w:ind w:left="17"/>
              <w:jc w:val="center"/>
              <w:rPr>
                <w:color w:val="000000"/>
                <w:kern w:val="0"/>
                <w:sz w:val="24"/>
                <w:szCs w:val="24"/>
              </w:rPr>
            </w:pPr>
            <w:r w:rsidRPr="00232B03">
              <w:rPr>
                <w:color w:val="000000"/>
                <w:kern w:val="0"/>
                <w:sz w:val="24"/>
                <w:szCs w:val="24"/>
              </w:rPr>
              <w:t>占基金资产净值比例</w:t>
            </w:r>
            <w:r w:rsidR="005F7917" w:rsidRPr="00232B03">
              <w:rPr>
                <w:color w:val="000000"/>
                <w:kern w:val="0"/>
                <w:sz w:val="24"/>
                <w:szCs w:val="24"/>
              </w:rPr>
              <w:t>（％）</w:t>
            </w:r>
          </w:p>
        </w:tc>
      </w:tr>
      <w:tr>
        <w:tc>
          <w:tcPr>
            <w:vAlign w:val="center"/>
          </w:tcPr>
          <w:p>
            <w:pPr>
              <w:jc w:val="center"/>
            </w:pPr>
            <w:r>
              <w:rPr>
                <w:color w:val="000000"/>
                <w:kern w:val="0"/>
                <w:sz w:val="24"/>
                <w:szCs w:val="24"/>
              </w:rPr>
              <w:t>1</w:t>
            </w:r>
          </w:p>
        </w:tc>
        <w:tc>
          <w:tcPr>
            <w:vAlign w:val="center"/>
          </w:tcPr>
          <w:p>
            <w:pPr>
              <w:jc w:val="center"/>
            </w:pPr>
            <w:r>
              <w:rPr>
                <w:color w:val="000000"/>
                <w:kern w:val="0"/>
                <w:sz w:val="24"/>
                <w:szCs w:val="24"/>
              </w:rPr>
              <w:t>002050</w:t>
            </w:r>
          </w:p>
        </w:tc>
        <w:tc>
          <w:tcPr>
            <w:vAlign w:val="center"/>
          </w:tcPr>
          <w:p>
            <w:pPr>
              <w:jc w:val="center"/>
            </w:pPr>
            <w:r>
              <w:rPr>
                <w:color w:val="000000"/>
                <w:kern w:val="0"/>
                <w:sz w:val="24"/>
                <w:szCs w:val="24"/>
              </w:rPr>
              <w:t>三花智控</w:t>
            </w:r>
          </w:p>
        </w:tc>
        <w:tc>
          <w:tcPr>
            <w:vAlign w:val="center"/>
          </w:tcPr>
          <w:p>
            <w:pPr>
              <w:jc w:val="right"/>
            </w:pPr>
            <w:r>
              <w:rPr>
                <w:color w:val="000000"/>
                <w:kern w:val="0"/>
                <w:sz w:val="24"/>
                <w:szCs w:val="24"/>
              </w:rPr>
              <w:t>38,964,141</w:t>
            </w:r>
          </w:p>
        </w:tc>
        <w:tc>
          <w:tcPr>
            <w:vAlign w:val="center"/>
          </w:tcPr>
          <w:p>
            <w:pPr>
              <w:jc w:val="right"/>
            </w:pPr>
            <w:r>
              <w:rPr>
                <w:color w:val="000000"/>
                <w:kern w:val="0"/>
                <w:sz w:val="24"/>
                <w:szCs w:val="24"/>
              </w:rPr>
              <w:t>865,003,930.20</w:t>
            </w:r>
          </w:p>
        </w:tc>
        <w:tc>
          <w:tcPr>
            <w:vAlign w:val="center"/>
          </w:tcPr>
          <w:p>
            <w:pPr>
              <w:jc w:val="right"/>
            </w:pPr>
            <w:r>
              <w:rPr>
                <w:color w:val="000000"/>
                <w:kern w:val="0"/>
                <w:sz w:val="24"/>
                <w:szCs w:val="24"/>
              </w:rPr>
              <w:t>9.86</w:t>
            </w:r>
          </w:p>
        </w:tc>
      </w:tr>
      <w:tr>
        <w:tc>
          <w:tcPr>
            <w:vAlign w:val="center"/>
          </w:tcPr>
          <w:p>
            <w:pPr>
              <w:jc w:val="center"/>
            </w:pPr>
            <w:r>
              <w:rPr>
                <w:color w:val="000000"/>
                <w:kern w:val="0"/>
                <w:sz w:val="24"/>
                <w:szCs w:val="24"/>
              </w:rPr>
              <w:t>2</w:t>
            </w:r>
          </w:p>
        </w:tc>
        <w:tc>
          <w:tcPr>
            <w:vAlign w:val="center"/>
          </w:tcPr>
          <w:p>
            <w:pPr>
              <w:jc w:val="center"/>
            </w:pPr>
            <w:r>
              <w:rPr>
                <w:color w:val="000000"/>
                <w:kern w:val="0"/>
                <w:sz w:val="24"/>
                <w:szCs w:val="24"/>
              </w:rPr>
              <w:t>300750</w:t>
            </w:r>
          </w:p>
        </w:tc>
        <w:tc>
          <w:tcPr>
            <w:vAlign w:val="center"/>
          </w:tcPr>
          <w:p>
            <w:pPr>
              <w:jc w:val="center"/>
            </w:pPr>
            <w:r>
              <w:rPr>
                <w:color w:val="000000"/>
                <w:kern w:val="0"/>
                <w:sz w:val="24"/>
                <w:szCs w:val="24"/>
              </w:rPr>
              <w:t>宁德时代</w:t>
            </w:r>
          </w:p>
        </w:tc>
        <w:tc>
          <w:tcPr>
            <w:vAlign w:val="center"/>
          </w:tcPr>
          <w:p>
            <w:pPr>
              <w:jc w:val="right"/>
            </w:pPr>
            <w:r>
              <w:rPr>
                <w:color w:val="000000"/>
                <w:kern w:val="0"/>
                <w:sz w:val="24"/>
                <w:szCs w:val="24"/>
              </w:rPr>
              <w:t>3,371,565</w:t>
            </w:r>
          </w:p>
        </w:tc>
        <w:tc>
          <w:tcPr>
            <w:vAlign w:val="center"/>
          </w:tcPr>
          <w:p>
            <w:pPr>
              <w:jc w:val="right"/>
            </w:pPr>
            <w:r>
              <w:rPr>
                <w:color w:val="000000"/>
                <w:kern w:val="0"/>
                <w:sz w:val="24"/>
                <w:szCs w:val="24"/>
              </w:rPr>
              <w:t>705,331,398.00</w:t>
            </w:r>
          </w:p>
        </w:tc>
        <w:tc>
          <w:tcPr>
            <w:vAlign w:val="center"/>
          </w:tcPr>
          <w:p>
            <w:pPr>
              <w:jc w:val="right"/>
            </w:pPr>
            <w:r>
              <w:rPr>
                <w:color w:val="000000"/>
                <w:kern w:val="0"/>
                <w:sz w:val="24"/>
                <w:szCs w:val="24"/>
              </w:rPr>
              <w:t>8.04</w:t>
            </w:r>
          </w:p>
        </w:tc>
      </w:tr>
      <w:tr>
        <w:tc>
          <w:tcPr>
            <w:vAlign w:val="center"/>
          </w:tcPr>
          <w:p>
            <w:pPr>
              <w:jc w:val="center"/>
            </w:pPr>
            <w:r>
              <w:rPr>
                <w:color w:val="000000"/>
                <w:kern w:val="0"/>
                <w:sz w:val="24"/>
                <w:szCs w:val="24"/>
              </w:rPr>
              <w:t>3</w:t>
            </w:r>
          </w:p>
        </w:tc>
        <w:tc>
          <w:tcPr>
            <w:vAlign w:val="center"/>
          </w:tcPr>
          <w:p>
            <w:pPr>
              <w:jc w:val="center"/>
            </w:pPr>
            <w:r>
              <w:rPr>
                <w:color w:val="000000"/>
                <w:kern w:val="0"/>
                <w:sz w:val="24"/>
                <w:szCs w:val="24"/>
              </w:rPr>
              <w:t>300033</w:t>
            </w:r>
          </w:p>
        </w:tc>
        <w:tc>
          <w:tcPr>
            <w:vAlign w:val="center"/>
          </w:tcPr>
          <w:p>
            <w:pPr>
              <w:jc w:val="center"/>
            </w:pPr>
            <w:r>
              <w:rPr>
                <w:color w:val="000000"/>
                <w:kern w:val="0"/>
                <w:sz w:val="24"/>
                <w:szCs w:val="24"/>
              </w:rPr>
              <w:t>同花顺</w:t>
            </w:r>
          </w:p>
        </w:tc>
        <w:tc>
          <w:tcPr>
            <w:vAlign w:val="center"/>
          </w:tcPr>
          <w:p>
            <w:pPr>
              <w:jc w:val="right"/>
            </w:pPr>
            <w:r>
              <w:rPr>
                <w:color w:val="000000"/>
                <w:kern w:val="0"/>
                <w:sz w:val="24"/>
                <w:szCs w:val="24"/>
              </w:rPr>
              <w:t>3,387,197</w:t>
            </w:r>
          </w:p>
        </w:tc>
        <w:tc>
          <w:tcPr>
            <w:vAlign w:val="center"/>
          </w:tcPr>
          <w:p>
            <w:pPr>
              <w:jc w:val="right"/>
            </w:pPr>
            <w:r>
              <w:rPr>
                <w:color w:val="000000"/>
                <w:kern w:val="0"/>
                <w:sz w:val="24"/>
                <w:szCs w:val="24"/>
              </w:rPr>
              <w:t>541,511,184.39</w:t>
            </w:r>
          </w:p>
        </w:tc>
        <w:tc>
          <w:tcPr>
            <w:vAlign w:val="center"/>
          </w:tcPr>
          <w:p>
            <w:pPr>
              <w:jc w:val="right"/>
            </w:pPr>
            <w:r>
              <w:rPr>
                <w:color w:val="000000"/>
                <w:kern w:val="0"/>
                <w:sz w:val="24"/>
                <w:szCs w:val="24"/>
              </w:rPr>
              <w:t>6.17</w:t>
            </w:r>
          </w:p>
        </w:tc>
      </w:tr>
      <w:tr>
        <w:tc>
          <w:tcPr>
            <w:vAlign w:val="center"/>
          </w:tcPr>
          <w:p>
            <w:pPr>
              <w:jc w:val="center"/>
            </w:pPr>
            <w:r>
              <w:rPr>
                <w:color w:val="000000"/>
                <w:kern w:val="0"/>
                <w:sz w:val="24"/>
                <w:szCs w:val="24"/>
              </w:rPr>
              <w:t>4</w:t>
            </w:r>
          </w:p>
        </w:tc>
        <w:tc>
          <w:tcPr>
            <w:vAlign w:val="center"/>
          </w:tcPr>
          <w:p>
            <w:pPr>
              <w:jc w:val="center"/>
            </w:pPr>
            <w:r>
              <w:rPr>
                <w:color w:val="000000"/>
                <w:kern w:val="0"/>
                <w:sz w:val="24"/>
                <w:szCs w:val="24"/>
              </w:rPr>
              <w:t>300253</w:t>
            </w:r>
          </w:p>
        </w:tc>
        <w:tc>
          <w:tcPr>
            <w:vAlign w:val="center"/>
          </w:tcPr>
          <w:p>
            <w:pPr>
              <w:jc w:val="center"/>
            </w:pPr>
            <w:r>
              <w:rPr>
                <w:color w:val="000000"/>
                <w:kern w:val="0"/>
                <w:sz w:val="24"/>
                <w:szCs w:val="24"/>
              </w:rPr>
              <w:t>卫宁健康</w:t>
            </w:r>
          </w:p>
        </w:tc>
        <w:tc>
          <w:tcPr>
            <w:vAlign w:val="center"/>
          </w:tcPr>
          <w:p>
            <w:pPr>
              <w:jc w:val="right"/>
            </w:pPr>
            <w:r>
              <w:rPr>
                <w:color w:val="000000"/>
                <w:kern w:val="0"/>
                <w:sz w:val="24"/>
                <w:szCs w:val="24"/>
              </w:rPr>
              <w:t>26,623,671</w:t>
            </w:r>
          </w:p>
        </w:tc>
        <w:tc>
          <w:tcPr>
            <w:vAlign w:val="center"/>
          </w:tcPr>
          <w:p>
            <w:pPr>
              <w:jc w:val="right"/>
            </w:pPr>
            <w:r>
              <w:rPr>
                <w:color w:val="000000"/>
                <w:kern w:val="0"/>
                <w:sz w:val="24"/>
                <w:szCs w:val="24"/>
              </w:rPr>
              <w:t>517,564,164.24</w:t>
            </w:r>
          </w:p>
        </w:tc>
        <w:tc>
          <w:tcPr>
            <w:vAlign w:val="center"/>
          </w:tcPr>
          <w:p>
            <w:pPr>
              <w:jc w:val="right"/>
            </w:pPr>
            <w:r>
              <w:rPr>
                <w:color w:val="000000"/>
                <w:kern w:val="0"/>
                <w:sz w:val="24"/>
                <w:szCs w:val="24"/>
              </w:rPr>
              <w:t>5.90</w:t>
            </w:r>
          </w:p>
        </w:tc>
      </w:tr>
      <w:tr>
        <w:tc>
          <w:tcPr>
            <w:vAlign w:val="center"/>
          </w:tcPr>
          <w:p>
            <w:pPr>
              <w:jc w:val="center"/>
            </w:pPr>
            <w:r>
              <w:rPr>
                <w:color w:val="000000"/>
                <w:kern w:val="0"/>
                <w:sz w:val="24"/>
                <w:szCs w:val="24"/>
              </w:rPr>
              <w:t>5</w:t>
            </w:r>
          </w:p>
        </w:tc>
        <w:tc>
          <w:tcPr>
            <w:vAlign w:val="center"/>
          </w:tcPr>
          <w:p>
            <w:pPr>
              <w:jc w:val="center"/>
            </w:pPr>
            <w:r>
              <w:rPr>
                <w:color w:val="000000"/>
                <w:kern w:val="0"/>
                <w:sz w:val="24"/>
                <w:szCs w:val="24"/>
              </w:rPr>
              <w:t>002850</w:t>
            </w:r>
          </w:p>
        </w:tc>
        <w:tc>
          <w:tcPr>
            <w:vAlign w:val="center"/>
          </w:tcPr>
          <w:p>
            <w:pPr>
              <w:jc w:val="center"/>
            </w:pPr>
            <w:r>
              <w:rPr>
                <w:color w:val="000000"/>
                <w:kern w:val="0"/>
                <w:sz w:val="24"/>
                <w:szCs w:val="24"/>
              </w:rPr>
              <w:t>科达利</w:t>
            </w:r>
          </w:p>
        </w:tc>
        <w:tc>
          <w:tcPr>
            <w:vAlign w:val="center"/>
          </w:tcPr>
          <w:p>
            <w:pPr>
              <w:jc w:val="right"/>
            </w:pPr>
            <w:r>
              <w:rPr>
                <w:color w:val="000000"/>
                <w:kern w:val="0"/>
                <w:sz w:val="24"/>
                <w:szCs w:val="24"/>
              </w:rPr>
              <w:t>6,350,998</w:t>
            </w:r>
          </w:p>
        </w:tc>
        <w:tc>
          <w:tcPr>
            <w:vAlign w:val="center"/>
          </w:tcPr>
          <w:p>
            <w:pPr>
              <w:jc w:val="right"/>
            </w:pPr>
            <w:r>
              <w:rPr>
                <w:color w:val="000000"/>
                <w:kern w:val="0"/>
                <w:sz w:val="24"/>
                <w:szCs w:val="24"/>
              </w:rPr>
              <w:t>442,601,050.62</w:t>
            </w:r>
          </w:p>
        </w:tc>
        <w:tc>
          <w:tcPr>
            <w:vAlign w:val="center"/>
          </w:tcPr>
          <w:p>
            <w:pPr>
              <w:jc w:val="right"/>
            </w:pPr>
            <w:r>
              <w:rPr>
                <w:color w:val="000000"/>
                <w:kern w:val="0"/>
                <w:sz w:val="24"/>
                <w:szCs w:val="24"/>
              </w:rPr>
              <w:t>5.04</w:t>
            </w:r>
          </w:p>
        </w:tc>
      </w:tr>
      <w:tr>
        <w:tc>
          <w:tcPr>
            <w:vAlign w:val="center"/>
          </w:tcPr>
          <w:p>
            <w:pPr>
              <w:jc w:val="center"/>
            </w:pPr>
            <w:r>
              <w:rPr>
                <w:color w:val="000000"/>
                <w:kern w:val="0"/>
                <w:sz w:val="24"/>
                <w:szCs w:val="24"/>
              </w:rPr>
              <w:t>6</w:t>
            </w:r>
          </w:p>
        </w:tc>
        <w:tc>
          <w:tcPr>
            <w:vAlign w:val="center"/>
          </w:tcPr>
          <w:p>
            <w:pPr>
              <w:jc w:val="center"/>
            </w:pPr>
            <w:r>
              <w:rPr>
                <w:color w:val="000000"/>
                <w:kern w:val="0"/>
                <w:sz w:val="24"/>
                <w:szCs w:val="24"/>
              </w:rPr>
              <w:t>603712</w:t>
            </w:r>
          </w:p>
        </w:tc>
        <w:tc>
          <w:tcPr>
            <w:vAlign w:val="center"/>
          </w:tcPr>
          <w:p>
            <w:pPr>
              <w:jc w:val="center"/>
            </w:pPr>
            <w:r>
              <w:rPr>
                <w:color w:val="000000"/>
                <w:kern w:val="0"/>
                <w:sz w:val="24"/>
                <w:szCs w:val="24"/>
              </w:rPr>
              <w:t>七一二</w:t>
            </w:r>
          </w:p>
        </w:tc>
        <w:tc>
          <w:tcPr>
            <w:vAlign w:val="center"/>
          </w:tcPr>
          <w:p>
            <w:pPr>
              <w:jc w:val="right"/>
            </w:pPr>
            <w:r>
              <w:rPr>
                <w:color w:val="000000"/>
                <w:kern w:val="0"/>
                <w:sz w:val="24"/>
                <w:szCs w:val="24"/>
              </w:rPr>
              <w:t>9,200,290</w:t>
            </w:r>
          </w:p>
        </w:tc>
        <w:tc>
          <w:tcPr>
            <w:vAlign w:val="center"/>
          </w:tcPr>
          <w:p>
            <w:pPr>
              <w:jc w:val="right"/>
            </w:pPr>
            <w:r>
              <w:rPr>
                <w:color w:val="000000"/>
                <w:kern w:val="0"/>
                <w:sz w:val="24"/>
                <w:szCs w:val="24"/>
              </w:rPr>
              <w:t>412,633,006.50</w:t>
            </w:r>
          </w:p>
        </w:tc>
        <w:tc>
          <w:tcPr>
            <w:vAlign w:val="center"/>
          </w:tcPr>
          <w:p>
            <w:pPr>
              <w:jc w:val="right"/>
            </w:pPr>
            <w:r>
              <w:rPr>
                <w:color w:val="000000"/>
                <w:kern w:val="0"/>
                <w:sz w:val="24"/>
                <w:szCs w:val="24"/>
              </w:rPr>
              <w:t>4.70</w:t>
            </w:r>
          </w:p>
        </w:tc>
      </w:tr>
      <w:tr>
        <w:tc>
          <w:tcPr>
            <w:vAlign w:val="center"/>
          </w:tcPr>
          <w:p>
            <w:pPr>
              <w:jc w:val="center"/>
            </w:pPr>
            <w:r>
              <w:rPr>
                <w:color w:val="000000"/>
                <w:kern w:val="0"/>
                <w:sz w:val="24"/>
                <w:szCs w:val="24"/>
              </w:rPr>
              <w:t>7</w:t>
            </w:r>
          </w:p>
        </w:tc>
        <w:tc>
          <w:tcPr>
            <w:vAlign w:val="center"/>
          </w:tcPr>
          <w:p>
            <w:pPr>
              <w:jc w:val="center"/>
            </w:pPr>
            <w:r>
              <w:rPr>
                <w:color w:val="000000"/>
                <w:kern w:val="0"/>
                <w:sz w:val="24"/>
                <w:szCs w:val="24"/>
              </w:rPr>
              <w:t>002475</w:t>
            </w:r>
          </w:p>
        </w:tc>
        <w:tc>
          <w:tcPr>
            <w:vAlign w:val="center"/>
          </w:tcPr>
          <w:p>
            <w:pPr>
              <w:jc w:val="center"/>
            </w:pPr>
            <w:r>
              <w:rPr>
                <w:color w:val="000000"/>
                <w:kern w:val="0"/>
                <w:sz w:val="24"/>
                <w:szCs w:val="24"/>
              </w:rPr>
              <w:t>立讯精密</w:t>
            </w:r>
          </w:p>
        </w:tc>
        <w:tc>
          <w:tcPr>
            <w:vAlign w:val="center"/>
          </w:tcPr>
          <w:p>
            <w:pPr>
              <w:jc w:val="right"/>
            </w:pPr>
            <w:r>
              <w:rPr>
                <w:color w:val="000000"/>
                <w:kern w:val="0"/>
                <w:sz w:val="24"/>
                <w:szCs w:val="24"/>
              </w:rPr>
              <w:t>6,737,031</w:t>
            </w:r>
          </w:p>
        </w:tc>
        <w:tc>
          <w:tcPr>
            <w:vAlign w:val="center"/>
          </w:tcPr>
          <w:p>
            <w:pPr>
              <w:jc w:val="right"/>
            </w:pPr>
            <w:r>
              <w:rPr>
                <w:color w:val="000000"/>
                <w:kern w:val="0"/>
                <w:sz w:val="24"/>
                <w:szCs w:val="24"/>
              </w:rPr>
              <w:t>384,886,581.03</w:t>
            </w:r>
          </w:p>
        </w:tc>
        <w:tc>
          <w:tcPr>
            <w:vAlign w:val="center"/>
          </w:tcPr>
          <w:p>
            <w:pPr>
              <w:jc w:val="right"/>
            </w:pPr>
            <w:r>
              <w:rPr>
                <w:color w:val="000000"/>
                <w:kern w:val="0"/>
                <w:sz w:val="24"/>
                <w:szCs w:val="24"/>
              </w:rPr>
              <w:t>4.39</w:t>
            </w:r>
          </w:p>
        </w:tc>
      </w:tr>
      <w:tr>
        <w:tc>
          <w:tcPr>
            <w:vAlign w:val="center"/>
          </w:tcPr>
          <w:p>
            <w:pPr>
              <w:jc w:val="center"/>
            </w:pPr>
            <w:r>
              <w:rPr>
                <w:color w:val="000000"/>
                <w:kern w:val="0"/>
                <w:sz w:val="24"/>
                <w:szCs w:val="24"/>
              </w:rPr>
              <w:t>8</w:t>
            </w:r>
          </w:p>
        </w:tc>
        <w:tc>
          <w:tcPr>
            <w:vAlign w:val="center"/>
          </w:tcPr>
          <w:p>
            <w:pPr>
              <w:jc w:val="center"/>
            </w:pPr>
            <w:r>
              <w:rPr>
                <w:color w:val="000000"/>
                <w:kern w:val="0"/>
                <w:sz w:val="24"/>
                <w:szCs w:val="24"/>
              </w:rPr>
              <w:t>002402</w:t>
            </w:r>
          </w:p>
        </w:tc>
        <w:tc>
          <w:tcPr>
            <w:vAlign w:val="center"/>
          </w:tcPr>
          <w:p>
            <w:pPr>
              <w:jc w:val="center"/>
            </w:pPr>
            <w:r>
              <w:rPr>
                <w:color w:val="000000"/>
                <w:kern w:val="0"/>
                <w:sz w:val="24"/>
                <w:szCs w:val="24"/>
              </w:rPr>
              <w:t>和而泰</w:t>
            </w:r>
          </w:p>
        </w:tc>
        <w:tc>
          <w:tcPr>
            <w:vAlign w:val="center"/>
          </w:tcPr>
          <w:p>
            <w:pPr>
              <w:jc w:val="right"/>
            </w:pPr>
            <w:r>
              <w:rPr>
                <w:color w:val="000000"/>
                <w:kern w:val="0"/>
                <w:sz w:val="24"/>
                <w:szCs w:val="24"/>
              </w:rPr>
              <w:t>23,237,968</w:t>
            </w:r>
          </w:p>
        </w:tc>
        <w:tc>
          <w:tcPr>
            <w:vAlign w:val="center"/>
          </w:tcPr>
          <w:p>
            <w:pPr>
              <w:jc w:val="right"/>
            </w:pPr>
            <w:r>
              <w:rPr>
                <w:color w:val="000000"/>
                <w:kern w:val="0"/>
                <w:sz w:val="24"/>
                <w:szCs w:val="24"/>
              </w:rPr>
              <w:t>372,504,627.04</w:t>
            </w:r>
          </w:p>
        </w:tc>
        <w:tc>
          <w:tcPr>
            <w:vAlign w:val="center"/>
          </w:tcPr>
          <w:p>
            <w:pPr>
              <w:jc w:val="right"/>
            </w:pPr>
            <w:r>
              <w:rPr>
                <w:color w:val="000000"/>
                <w:kern w:val="0"/>
                <w:sz w:val="24"/>
                <w:szCs w:val="24"/>
              </w:rPr>
              <w:t>4.25</w:t>
            </w:r>
          </w:p>
        </w:tc>
      </w:tr>
      <w:tr>
        <w:tc>
          <w:tcPr>
            <w:vAlign w:val="center"/>
          </w:tcPr>
          <w:p>
            <w:pPr>
              <w:jc w:val="center"/>
            </w:pPr>
            <w:r>
              <w:rPr>
                <w:color w:val="000000"/>
                <w:kern w:val="0"/>
                <w:sz w:val="24"/>
                <w:szCs w:val="24"/>
              </w:rPr>
              <w:t>9</w:t>
            </w:r>
          </w:p>
        </w:tc>
        <w:tc>
          <w:tcPr>
            <w:vAlign w:val="center"/>
          </w:tcPr>
          <w:p>
            <w:pPr>
              <w:jc w:val="center"/>
            </w:pPr>
            <w:r>
              <w:rPr>
                <w:color w:val="000000"/>
                <w:kern w:val="0"/>
                <w:sz w:val="24"/>
                <w:szCs w:val="24"/>
              </w:rPr>
              <w:t>002384</w:t>
            </w:r>
          </w:p>
        </w:tc>
        <w:tc>
          <w:tcPr>
            <w:vAlign w:val="center"/>
          </w:tcPr>
          <w:p>
            <w:pPr>
              <w:jc w:val="center"/>
            </w:pPr>
            <w:r>
              <w:rPr>
                <w:color w:val="000000"/>
                <w:kern w:val="0"/>
                <w:sz w:val="24"/>
                <w:szCs w:val="24"/>
              </w:rPr>
              <w:t>东山精密</w:t>
            </w:r>
          </w:p>
        </w:tc>
        <w:tc>
          <w:tcPr>
            <w:vAlign w:val="center"/>
          </w:tcPr>
          <w:p>
            <w:pPr>
              <w:jc w:val="right"/>
            </w:pPr>
            <w:r>
              <w:rPr>
                <w:color w:val="000000"/>
                <w:kern w:val="0"/>
                <w:sz w:val="24"/>
                <w:szCs w:val="24"/>
              </w:rPr>
              <w:t>13,739,951</w:t>
            </w:r>
          </w:p>
        </w:tc>
        <w:tc>
          <w:tcPr>
            <w:vAlign w:val="center"/>
          </w:tcPr>
          <w:p>
            <w:pPr>
              <w:jc w:val="right"/>
            </w:pPr>
            <w:r>
              <w:rPr>
                <w:color w:val="000000"/>
                <w:kern w:val="0"/>
                <w:sz w:val="24"/>
                <w:szCs w:val="24"/>
              </w:rPr>
              <w:t>362,734,706.40</w:t>
            </w:r>
          </w:p>
        </w:tc>
        <w:tc>
          <w:tcPr>
            <w:vAlign w:val="center"/>
          </w:tcPr>
          <w:p>
            <w:pPr>
              <w:jc w:val="right"/>
            </w:pPr>
            <w:r>
              <w:rPr>
                <w:color w:val="000000"/>
                <w:kern w:val="0"/>
                <w:sz w:val="24"/>
                <w:szCs w:val="24"/>
              </w:rPr>
              <w:t>4.13</w:t>
            </w:r>
          </w:p>
        </w:tc>
      </w:tr>
      <w:tr>
        <w:tc>
          <w:tcPr>
            <w:vAlign w:val="center"/>
          </w:tcPr>
          <w:p>
            <w:pPr>
              <w:jc w:val="center"/>
            </w:pPr>
            <w:r>
              <w:rPr>
                <w:color w:val="000000"/>
                <w:kern w:val="0"/>
                <w:sz w:val="24"/>
                <w:szCs w:val="24"/>
              </w:rPr>
              <w:t>10</w:t>
            </w:r>
          </w:p>
        </w:tc>
        <w:tc>
          <w:tcPr>
            <w:vAlign w:val="center"/>
          </w:tcPr>
          <w:p>
            <w:pPr>
              <w:jc w:val="center"/>
            </w:pPr>
            <w:r>
              <w:rPr>
                <w:color w:val="000000"/>
                <w:kern w:val="0"/>
                <w:sz w:val="24"/>
                <w:szCs w:val="24"/>
              </w:rPr>
              <w:t>300496</w:t>
            </w:r>
          </w:p>
        </w:tc>
        <w:tc>
          <w:tcPr>
            <w:vAlign w:val="center"/>
          </w:tcPr>
          <w:p>
            <w:pPr>
              <w:jc w:val="center"/>
            </w:pPr>
            <w:r>
              <w:rPr>
                <w:color w:val="000000"/>
                <w:kern w:val="0"/>
                <w:sz w:val="24"/>
                <w:szCs w:val="24"/>
              </w:rPr>
              <w:t>中科创达</w:t>
            </w:r>
          </w:p>
        </w:tc>
        <w:tc>
          <w:tcPr>
            <w:vAlign w:val="center"/>
          </w:tcPr>
          <w:p>
            <w:pPr>
              <w:jc w:val="right"/>
            </w:pPr>
            <w:r>
              <w:rPr>
                <w:color w:val="000000"/>
                <w:kern w:val="0"/>
                <w:sz w:val="24"/>
                <w:szCs w:val="24"/>
              </w:rPr>
              <w:t>4,026,137</w:t>
            </w:r>
          </w:p>
        </w:tc>
        <w:tc>
          <w:tcPr>
            <w:vAlign w:val="center"/>
          </w:tcPr>
          <w:p>
            <w:pPr>
              <w:jc w:val="right"/>
            </w:pPr>
            <w:r>
              <w:rPr>
                <w:color w:val="000000"/>
                <w:kern w:val="0"/>
                <w:sz w:val="24"/>
                <w:szCs w:val="24"/>
              </w:rPr>
              <w:t>346,891,963.92</w:t>
            </w:r>
          </w:p>
        </w:tc>
        <w:tc>
          <w:tcPr>
            <w:vAlign w:val="center"/>
          </w:tcPr>
          <w:p>
            <w:pPr>
              <w:jc w:val="right"/>
            </w:pPr>
            <w:r>
              <w:rPr>
                <w:color w:val="000000"/>
                <w:kern w:val="0"/>
                <w:sz w:val="24"/>
                <w:szCs w:val="24"/>
              </w:rPr>
              <w:t>3.95</w:t>
            </w:r>
          </w:p>
        </w:tc>
      </w:tr>
    </w:tbl>
    <w:p w:rsidP="00CA4677" w:rsidR="00CA4677" w:rsidRDefault="00750D48" w:rsidRPr="00283CAD">
      <w:pPr>
        <w:autoSpaceDE w:val="0"/>
        <w:autoSpaceDN w:val="0"/>
        <w:adjustRightInd w:val="0"/>
        <w:spacing w:line="360" w:lineRule="auto"/>
        <w:jc w:val="left"/>
        <w:rPr>
          <w:rFonts w:eastAsiaTheme="minorEastAsia"/>
          <w:b/>
          <w:bCs/>
          <w:color w:themeColor="text1" w:val="000000"/>
          <w:kern w:val="0"/>
          <w:sz w:val="24"/>
          <w:szCs w:val="24"/>
        </w:rPr>
      </w:pPr>
      <w:r w:rsidRPr="00264E55">
        <w:rPr>
          <w:rFonts w:ascii="宋体" w:hAnsi="宋体"/>
          <w:b/>
          <w:bCs/>
          <w:color w:val="000000"/>
          <w:kern w:val="0"/>
          <w:sz w:val="24"/>
          <w:szCs w:val="24"/>
        </w:rPr>
        <w:t xml:space="preserve">5.4 </w:t>
      </w:r>
      <w:r w:rsidRPr="00264E55">
        <w:rPr>
          <w:rFonts w:ascii="宋体" w:hAnsi="宋体" w:hint="eastAsia"/>
          <w:b/>
          <w:bCs/>
          <w:color w:val="000000"/>
          <w:kern w:val="0"/>
          <w:sz w:val="24"/>
          <w:szCs w:val="24"/>
        </w:rPr>
        <w:t>报告期末按债券品种分类的债券投资组合</w:t>
      </w:r>
    </w:p>
    <w:p w:rsidP="00403A06" w:rsidR="00750D48" w:rsidRDefault="00CA4677"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5.5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的前五名债券投资明细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本基金本报告期末未持有债券。</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hAnsi="宋体"/>
          <w:b/>
          <w:bCs/>
          <w:color w:val="000000"/>
          <w:kern w:val="0"/>
          <w:sz w:val="24"/>
          <w:szCs w:val="24"/>
        </w:rPr>
        <w:t xml:space="preserve">5.6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的前十名资产支持证券</w:t>
      </w:r>
      <w:r w:rsidRPr="00264E55">
        <w:rPr>
          <w:rFonts w:ascii="宋体" w:hAnsi="宋体" w:hint="eastAsia"/>
          <w:b/>
          <w:bCs/>
          <w:color w:val="000000"/>
          <w:kern w:val="0"/>
          <w:sz w:val="24"/>
          <w:szCs w:val="24"/>
        </w:rPr>
        <w:lastRenderedPageBreak/>
        <w:t>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本基金本报告期末未持有资产支持证券。</w:t>
      </w:r>
    </w:p>
    <w:p w:rsidP="001D63BB" w:rsidR="00750D48" w:rsidRDefault="00750D48" w:rsidRPr="001D63BB">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r w:rsidRPr="001B0A62">
        <w:rPr>
          <w:rFonts w:ascii="宋体" w:hAnsi="宋体"/>
          <w:b/>
          <w:bCs/>
          <w:color w:val="000000"/>
          <w:kern w:val="0"/>
          <w:sz w:val="24"/>
          <w:szCs w:val="24"/>
        </w:rPr>
        <w:t>5</w:t>
      </w:r>
      <w:proofErr w:type="gramStart"/>
      <w:r w:rsidRPr="001B0A62">
        <w:rPr>
          <w:rFonts w:ascii="宋体" w:hAnsi="宋体"/>
          <w:b/>
          <w:bCs/>
          <w:color w:val="000000"/>
          <w:kern w:val="0"/>
          <w:sz w:val="24"/>
          <w:szCs w:val="24"/>
        </w:rPr>
        <w:t>.</w:t>
      </w:r>
      <w:proofErr w:type="gramEnd"/>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7</w:t>
      </w:r>
      <w:r w:rsidR="00C84CB0">
        <w:rPr>
          <w:rFonts w:ascii="宋体" w:hint="eastAsia"/>
          <w:b/>
          <w:bCs/>
          <w:color w:val="000000"/>
          <w:kern w:val="0"/>
          <w:sz w:val="24"/>
          <w:szCs w:val="24"/>
        </w:rPr>
        <w:t xml:space="preserve"> </w:t>
      </w:r>
      <w:r w:rsidRPr="001D63BB">
        <w:rPr>
          <w:rFonts w:ascii="宋体" w:hAnsi="宋体" w:hint="eastAsia"/>
          <w:b/>
          <w:bCs/>
          <w:color w:val="000000"/>
          <w:kern w:val="0"/>
          <w:sz w:val="24"/>
          <w:szCs w:val="24"/>
        </w:rPr>
        <w:t>报告期末按公允价值占基金资产净值比例大小排序的前五名贵金属投资明细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本基金本报告期末未持有贵金属。</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Pr>
          <w:rFonts w:ascii="宋体"/>
          <w:b/>
          <w:bCs/>
          <w:color w:val="000000"/>
          <w:kern w:val="0"/>
          <w:sz w:val="24"/>
          <w:szCs w:val="24"/>
        </w:rPr>
        <w:t/>
      </w:r>
      <w:proofErr w:type="gramStart"/>
      <w:r>
        <w:rPr>
          <w:rFonts w:ascii="宋体" w:hAnsi="宋体"/>
          <w:b/>
          <w:bCs/>
          <w:color w:val="000000"/>
          <w:kern w:val="0"/>
          <w:sz w:val="24"/>
          <w:szCs w:val="24"/>
        </w:rPr>
        <w:t/>
      </w:r>
      <w:proofErr w:type="gramEnd"/>
      <w:r w:rsidRPr="001B0A62">
        <w:rPr>
          <w:rFonts w:ascii="宋体"/>
          <w:b/>
          <w:bCs/>
          <w:color w:val="000000"/>
          <w:kern w:val="0"/>
          <w:sz w:val="24"/>
          <w:szCs w:val="24"/>
        </w:rPr>
        <w:t>5.</w:t>
      </w:r>
      <w:r w:rsidRPr="001B0A62">
        <w:rPr>
          <w:rFonts w:ascii="宋体" w:hAnsi="宋体"/>
          <w:b/>
          <w:bCs/>
          <w:color w:val="000000"/>
          <w:kern w:val="0"/>
          <w:sz w:val="24"/>
          <w:szCs w:val="24"/>
        </w:rPr>
        <w:t/>
      </w:r>
      <w:r>
        <w:rPr>
          <w:rFonts w:ascii="宋体" w:hAnsi="宋体"/>
          <w:b/>
          <w:bCs/>
          <w:color w:val="000000"/>
          <w:kern w:val="0"/>
          <w:sz w:val="24"/>
          <w:szCs w:val="24"/>
        </w:rPr>
        <w:t/>
      </w:r>
      <w:r w:rsidRPr="001B0A62">
        <w:rPr>
          <w:rFonts w:ascii="宋体"/>
          <w:b/>
          <w:bCs/>
          <w:color w:val="000000"/>
          <w:kern w:val="0"/>
          <w:sz w:val="24"/>
          <w:szCs w:val="24"/>
        </w:rPr>
        <w:t>8</w:t>
      </w:r>
      <w:r w:rsidR="00C84CB0">
        <w:rPr>
          <w:rFonts w:ascii="宋体" w:hint="eastAsia"/>
          <w:b/>
          <w:bCs/>
          <w:color w:val="000000"/>
          <w:kern w:val="0"/>
          <w:sz w:val="24"/>
          <w:szCs w:val="24"/>
        </w:rPr>
        <w:t xml:space="preserve"> </w:t>
      </w:r>
      <w:r w:rsidRPr="00264E55">
        <w:rPr>
          <w:rFonts w:ascii="宋体" w:hAnsi="宋体" w:hint="eastAsia"/>
          <w:b/>
          <w:bCs/>
          <w:color w:val="000000"/>
          <w:kern w:val="0"/>
          <w:sz w:val="24"/>
          <w:szCs w:val="24"/>
        </w:rPr>
        <w:t>报告期末按公允价值占基金资产净值比例大小排</w:t>
      </w:r>
      <w:r>
        <w:rPr>
          <w:rFonts w:ascii="宋体" w:hAnsi="宋体" w:hint="eastAsia"/>
          <w:b/>
          <w:bCs/>
          <w:color w:val="000000"/>
          <w:kern w:val="0"/>
          <w:sz w:val="24"/>
          <w:szCs w:val="24"/>
        </w:rPr>
        <w:t>序</w:t>
      </w:r>
      <w:r w:rsidRPr="00264E55">
        <w:rPr>
          <w:rFonts w:ascii="宋体" w:hAnsi="宋体" w:hint="eastAsia"/>
          <w:b/>
          <w:bCs/>
          <w:color w:val="000000"/>
          <w:kern w:val="0"/>
          <w:sz w:val="24"/>
          <w:szCs w:val="24"/>
        </w:rPr>
        <w:t>的前五名权证投</w:t>
      </w:r>
      <w:r w:rsidRPr="00264E55">
        <w:rPr>
          <w:rFonts w:ascii="宋体" w:hAnsi="宋体" w:hint="eastAsia"/>
          <w:b/>
          <w:bCs/>
          <w:color w:val="000000"/>
          <w:kern w:val="0"/>
          <w:sz w:val="24"/>
          <w:szCs w:val="24"/>
        </w:rPr>
        <w:lastRenderedPageBreak/>
        <w:t>资明细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本基金本报告期末未持有权证。</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w:t>
      </w:r>
      <w:r>
        <w:rPr>
          <w:rFonts w:ascii="宋体"/>
          <w:b/>
          <w:bCs/>
          <w:color w:val="000000"/>
          <w:kern w:val="0"/>
          <w:sz w:val="24"/>
          <w:szCs w:val="24"/>
        </w:rPr>
        <w:t>.</w:t>
      </w:r>
      <w:r>
        <w:rPr>
          <w:rFonts w:ascii="宋体" w:hAnsi="宋体"/>
          <w:b/>
          <w:bCs/>
          <w:color w:val="000000"/>
          <w:kern w:val="0"/>
          <w:sz w:val="24"/>
          <w:szCs w:val="24"/>
        </w:rPr>
        <w:t/>
      </w:r>
      <w:r w:rsidRPr="001B0A62">
        <w:rPr>
          <w:rFonts w:ascii="宋体"/>
          <w:b/>
          <w:bCs/>
          <w:color w:val="000000"/>
          <w:kern w:val="0"/>
          <w:sz w:val="24"/>
          <w:szCs w:val="24"/>
        </w:rPr>
        <w:t>9</w:t>
      </w:r>
      <w:r w:rsidR="00C84CB0">
        <w:rPr>
          <w:rFonts w:asci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报告期末本基金投资的股指期货交易情况说明</w:t>
      </w:r>
    </w:p>
    <w:p w:rsidP="00277FAE" w:rsidR="00277FAE" w:rsidRDefault="00277FAE">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1B0A62" w:rsidR="00750D48" w:rsidRDefault="00750D48" w:rsidRPr="001B0A62">
      <w:pPr>
        <w:autoSpaceDE w:val="0"/>
        <w:autoSpaceDN w:val="0"/>
        <w:adjustRightInd w:val="0"/>
        <w:spacing w:line="360" w:lineRule="auto"/>
        <w:jc w:val="left"/>
        <w:rPr>
          <w:rFonts w:ascii="宋体"/>
          <w:b/>
          <w:bCs/>
          <w:color w:val="000000"/>
          <w:kern w:val="0"/>
          <w:sz w:val="24"/>
          <w:szCs w:val="24"/>
        </w:rPr>
      </w:pPr>
      <w:r w:rsidRPr="001B0A62">
        <w:rPr>
          <w:rFonts w:ascii="宋体"/>
          <w:b/>
          <w:bCs/>
          <w:color w:val="000000"/>
          <w:kern w:val="0"/>
          <w:sz w:val="24"/>
          <w:szCs w:val="24"/>
        </w:rPr>
        <w:t/>
      </w:r>
      <w:proofErr w:type="spellStart"/>
      <w:r w:rsidRPr="001B0A62">
        <w:rPr>
          <w:rFonts w:ascii="宋体" w:hAnsi="宋体"/>
          <w:b/>
          <w:bCs/>
          <w:color w:val="000000"/>
          <w:kern w:val="0"/>
          <w:sz w:val="24"/>
          <w:szCs w:val="24"/>
        </w:rPr>
        <w:t/>
      </w:r>
      <w:proofErr w:type="spellEnd"/>
      <w:r w:rsidRPr="001B0A62">
        <w:rPr>
          <w:rFonts w:ascii="宋体" w:hAnsi="宋体"/>
          <w:b/>
          <w:bCs/>
          <w:color w:val="000000"/>
          <w:kern w:val="0"/>
          <w:sz w:val="24"/>
          <w:szCs w:val="24"/>
        </w:rPr>
        <w:t/>
      </w:r>
      <w:proofErr w:type="gramStart"/>
      <w:r w:rsidRPr="001B0A62">
        <w:rPr>
          <w:rFonts w:ascii="宋体" w:hAnsi="宋体"/>
          <w:b/>
          <w:bCs/>
          <w:color w:val="000000"/>
          <w:kern w:val="0"/>
          <w:sz w:val="24"/>
          <w:szCs w:val="24"/>
        </w:rPr>
        <w:t/>
      </w:r>
      <w:proofErr w:type="gramEnd"/>
      <w:r w:rsidRPr="001B0A62">
        <w:rPr>
          <w:rFonts w:ascii="宋体" w:hAnsi="宋体"/>
          <w:b/>
          <w:bCs/>
          <w:color w:val="000000"/>
          <w:kern w:val="0"/>
          <w:sz w:val="24"/>
          <w:szCs w:val="24"/>
        </w:rPr>
        <w:t>5.10</w:t>
      </w:r>
      <w:r w:rsidR="00C84CB0">
        <w:rPr>
          <w:rFonts w:ascii="宋体" w:hAnsi="宋体" w:hint="eastAsia"/>
          <w:b/>
          <w:bCs/>
          <w:color w:val="000000"/>
          <w:kern w:val="0"/>
          <w:sz w:val="24"/>
          <w:szCs w:val="24"/>
        </w:rPr>
        <w:t xml:space="preserve"> </w:t>
      </w:r>
      <w:r w:rsidRPr="001B0A62">
        <w:rPr>
          <w:rFonts w:ascii="宋体" w:hAnsi="宋体" w:hint="eastAsia"/>
          <w:b/>
          <w:bCs/>
          <w:color w:val="000000"/>
          <w:kern w:val="0"/>
          <w:sz w:val="24"/>
          <w:szCs w:val="24"/>
        </w:rPr>
        <w:t>报告期末本基金投资的国债期货交易情况说明</w:t>
      </w:r>
    </w:p>
    <w:p w:rsidP="00277FAE" w:rsidR="00277FAE" w:rsidRDefault="00277FAE">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1B0A62"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proofErr w:type="gramStart"/>
      <w:r w:rsidRPr="00264E55">
        <w:rPr>
          <w:rFonts w:ascii="宋体" w:hAnsi="宋体"/>
          <w:b/>
          <w:bCs/>
          <w:color w:val="000000"/>
          <w:kern w:val="0"/>
          <w:sz w:val="24"/>
          <w:szCs w:val="24"/>
        </w:rPr>
        <w:t/>
      </w:r>
      <w:proofErr w:type="gramEnd"/>
      <w:r w:rsidRPr="00264E55">
        <w:rPr>
          <w:rFonts w:ascii="宋体" w:hAnsi="宋体"/>
          <w:b/>
          <w:bCs/>
          <w:color w:val="000000"/>
          <w:kern w:val="0"/>
          <w:sz w:val="24"/>
          <w:szCs w:val="24"/>
        </w:rPr>
        <w:t xml:space="preserve">5.11 </w:t>
      </w:r>
      <w:r w:rsidRPr="00264E55">
        <w:rPr>
          <w:rFonts w:ascii="宋体" w:hAnsi="宋体" w:hint="eastAsia"/>
          <w:b/>
          <w:bCs/>
          <w:color w:val="000000"/>
          <w:kern w:val="0"/>
          <w:sz w:val="24"/>
          <w:szCs w:val="24"/>
        </w:rPr>
        <w:t>投资组合报告附注</w:t>
      </w:r>
    </w:p>
    <w:p w:rsidP="001B0A62" w:rsidR="00750D48" w:rsidRDefault="002C5960" w:rsidRPr="00264E55">
      <w:pPr>
        <w:spacing w:line="360" w:lineRule="auto"/>
        <w:rPr>
          <w:rFonts w:ascii="宋体" w:hAnsi="宋体"/>
          <w:color w:val="000000"/>
          <w:sz w:val="24"/>
          <w:szCs w:val="24"/>
        </w:rPr>
      </w:pPr>
      <w:r>
        <w:rPr>
          <w:rFonts w:hint="eastAsia"/>
          <w:color w:val="000000"/>
          <w:sz w:val="24"/>
        </w:rPr>
        <w:t/>
      </w:r>
      <w:r w:rsidR="00750D48" w:rsidRPr="00264E55">
        <w:rPr>
          <w:rFonts w:ascii="宋体"/>
          <w:color w:val="000000"/>
          <w:sz w:val="24"/>
          <w:szCs w:val="24"/>
        </w:rPr>
        <w:t/>
      </w:r>
      <w:r w:rsidR="00750D48" w:rsidRPr="00264E55">
        <w:rPr>
          <w:rFonts w:ascii="宋体" w:hAnsi="宋体"/>
          <w:color w:val="000000"/>
          <w:sz w:val="24"/>
          <w:szCs w:val="24"/>
        </w:rPr>
        <w:t>5.11.1</w:t>
      </w:r>
      <w:r w:rsidR="00065E3C">
        <w:rPr>
          <w:rFonts w:ascii="宋体" w:hAnsi="宋体" w:hint="eastAsia"/>
          <w:color w:val="000000"/>
          <w:sz w:val="24"/>
          <w:szCs w:val="24"/>
        </w:rPr>
        <w:t xml:space="preserve"> </w:t>
      </w:r>
      <w:r w:rsidR="00750D48" w:rsidRPr="00264E55">
        <w:rPr>
          <w:rFonts w:ascii="宋体" w:hAnsi="宋体"/>
          <w:color w:val="000000"/>
          <w:sz w:val="24"/>
          <w:szCs w:val="24"/>
        </w:rPr>
        <w:t>本基金投资的前十名证券的发行主体本期没有出现被监管部门立案调查，或在报告编制日前一年内受到公开谴责、处罚的情形。</w:t>
      </w:r>
    </w:p>
    <w:p w:rsidP="001B0A62" w:rsidR="00750D48" w:rsidRDefault="002C5960" w:rsidRPr="00264E55">
      <w:pPr>
        <w:spacing w:line="360" w:lineRule="auto"/>
        <w:rPr>
          <w:rFonts w:ascii="宋体" w:hAnsi="宋体"/>
          <w:color w:val="000000"/>
          <w:sz w:val="24"/>
          <w:szCs w:val="24"/>
        </w:rPr>
      </w:pPr>
      <w:r w:rsidRPr="00773B02">
        <w:rPr>
          <w:rFonts w:asciiTheme="majorEastAsia" w:eastAsiaTheme="majorEastAsia" w:hAnsiTheme="majorEastAsia" w:hint="eastAsia"/>
          <w:color w:val="000000"/>
          <w:sz w:val="24"/>
        </w:rPr>
        <w:t/>
      </w:r>
      <w:proofErr w:type="spellStart"/>
      <w:r w:rsidRPr="00773B02">
        <w:rPr>
          <w:rFonts w:asciiTheme="majorEastAsia" w:eastAsiaTheme="majorEastAsia" w:hAnsiTheme="majorEastAsia" w:hint="eastAsia"/>
          <w:color w:val="000000"/>
          <w:sz w:val="24"/>
        </w:rPr>
        <w:t/>
      </w:r>
      <w:proofErr w:type="spellEnd"/>
      <w:r w:rsidRPr="00773B02">
        <w:rPr>
          <w:rFonts w:asciiTheme="majorEastAsia" w:eastAsiaTheme="majorEastAsia" w:hAnsiTheme="majorEastAsia" w:hint="eastAsia"/>
          <w:color w:val="000000"/>
          <w:sz w:val="24"/>
        </w:rPr>
        <w:t/>
      </w:r>
      <w:r w:rsidR="00750D48" w:rsidRPr="00773B02">
        <w:rPr>
          <w:rFonts w:asciiTheme="majorEastAsia" w:eastAsiaTheme="majorEastAsia" w:hAnsiTheme="majorEastAsia"/>
          <w:color w:val="000000"/>
          <w:sz w:val="24"/>
          <w:szCs w:val="24"/>
        </w:rPr>
        <w:t/>
      </w:r>
      <w:proofErr w:type="gramStart"/>
      <w:r w:rsidR="00750D48" w:rsidRPr="00773B02">
        <w:rPr>
          <w:rFonts w:asciiTheme="majorEastAsia" w:eastAsiaTheme="majorEastAsia" w:hAnsiTheme="majorEastAsia"/>
          <w:color w:val="000000"/>
          <w:sz w:val="24"/>
          <w:szCs w:val="24"/>
        </w:rPr>
        <w:t/>
      </w:r>
      <w:proofErr w:type="gramEnd"/>
      <w:r w:rsidR="00750D48" w:rsidRPr="00773B02">
        <w:rPr>
          <w:rFonts w:asciiTheme="majorEastAsia" w:eastAsiaTheme="majorEastAsia" w:hAnsiTheme="majorEastAsia"/>
          <w:color w:val="000000"/>
          <w:sz w:val="24"/>
          <w:szCs w:val="24"/>
        </w:rPr>
        <w:t>5.11.2</w:t>
      </w:r>
      <w:r w:rsidR="00065E3C" w:rsidRPr="00773B02">
        <w:rPr>
          <w:rFonts w:asciiTheme="majorEastAsia" w:eastAsiaTheme="majorEastAsia" w:hAnsiTheme="majorEastAsia" w:hint="eastAsia"/>
          <w:color w:val="000000"/>
          <w:sz w:val="24"/>
          <w:szCs w:val="24"/>
        </w:rPr>
        <w:t xml:space="preserve"> </w:t>
      </w:r>
      <w:r w:rsidR="00750D48" w:rsidRPr="00264E55">
        <w:rPr>
          <w:rFonts w:ascii="宋体" w:hAnsi="宋体"/>
          <w:color w:val="000000"/>
          <w:sz w:val="24"/>
          <w:szCs w:val="24"/>
        </w:rPr>
        <w:lastRenderedPageBreak/>
        <w:t>本基金投资的前十名股票没有超出基金合同规定的备选股票库。</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 xml:space="preserve">5.11.3 </w:t>
      </w:r>
      <w:r w:rsidR="00B371D4">
        <w:rPr>
          <w:rFonts w:ascii="宋体" w:hAnsi="宋体" w:hint="eastAsia"/>
          <w:bCs/>
          <w:color w:val="000000"/>
          <w:kern w:val="0"/>
          <w:sz w:val="24"/>
          <w:szCs w:val="24"/>
        </w:rPr>
        <w:t>其他</w:t>
      </w:r>
      <w:r w:rsidRPr="001C7E00">
        <w:rPr>
          <w:rFonts w:ascii="宋体" w:hAnsi="宋体" w:hint="eastAsia"/>
          <w:bCs/>
          <w:color w:val="000000"/>
          <w:kern w:val="0"/>
          <w:sz w:val="24"/>
          <w:szCs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0" w:val="00A0"/>
      </w:tblPr>
      <w:tblGrid>
        <w:gridCol w:w="1235"/>
        <w:gridCol w:w="2470"/>
        <w:gridCol w:w="4808"/>
      </w:tblGrid>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序号</w:t>
            </w:r>
          </w:p>
        </w:tc>
        <w:tc>
          <w:tcPr>
            <w:tcW w:type="dxa" w:w="2470"/>
            <w:vAlign w:val="center"/>
          </w:tcPr>
          <w:p w:rsidP="00B05049"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名称</w:t>
            </w:r>
          </w:p>
        </w:tc>
        <w:tc>
          <w:tcPr>
            <w:tcW w:type="dxa" w:w="4808"/>
            <w:vAlign w:val="center"/>
          </w:tcPr>
          <w:p w:rsidP="005F7917" w:rsidR="00750D48" w:rsidRDefault="00750D48" w:rsidRPr="00B227EA">
            <w:pPr>
              <w:autoSpaceDE w:val="0"/>
              <w:autoSpaceDN w:val="0"/>
              <w:adjustRightInd w:val="0"/>
              <w:spacing w:before="29" w:line="360" w:lineRule="auto"/>
              <w:ind w:left="17"/>
              <w:jc w:val="center"/>
              <w:rPr>
                <w:color w:val="000000"/>
                <w:kern w:val="0"/>
                <w:sz w:val="24"/>
                <w:szCs w:val="24"/>
              </w:rPr>
            </w:pPr>
            <w:r w:rsidRPr="00B227EA">
              <w:rPr>
                <w:color w:val="000000"/>
                <w:kern w:val="0"/>
                <w:sz w:val="24"/>
                <w:szCs w:val="24"/>
              </w:rPr>
              <w:t>金额</w:t>
            </w:r>
            <w:r w:rsidR="005F7917" w:rsidRPr="00B227EA">
              <w:rPr>
                <w:color w:val="000000"/>
                <w:kern w:val="0"/>
                <w:sz w:val="24"/>
                <w:szCs w:val="24"/>
              </w:rPr>
              <w:t>（元）</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1</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存出保证金</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2,086,894.18</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2</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应收证券清算款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3</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应收股利</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4</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应收利息</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76,878.99</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5</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应收申购款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20,038,795.15</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6</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其他应收款</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7</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待摊费用</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8</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其他</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w:t>
            </w:r>
          </w:p>
        </w:tc>
      </w:tr>
      <w:tr w:rsidR="00750D48" w:rsidRPr="00264E55" w:rsidTr="00B05049">
        <w:tc>
          <w:tcPr>
            <w:tcW w:type="dxa" w:w="1235"/>
            <w:vAlign w:val="center"/>
          </w:tcPr>
          <w:p w:rsidP="00B05049" w:rsidR="00750D48" w:rsidRDefault="00750D48" w:rsidRPr="00B227EA">
            <w:pPr>
              <w:autoSpaceDE w:val="0"/>
              <w:autoSpaceDN w:val="0"/>
              <w:adjustRightInd w:val="0"/>
              <w:spacing w:before="29" w:line="360" w:lineRule="auto"/>
              <w:ind w:left="15"/>
              <w:jc w:val="center"/>
              <w:rPr>
                <w:color w:val="000000"/>
                <w:kern w:val="0"/>
                <w:sz w:val="24"/>
                <w:szCs w:val="24"/>
              </w:rPr>
            </w:pPr>
            <w:r w:rsidRPr="00B227EA">
              <w:rPr>
                <w:color w:val="000000"/>
                <w:kern w:val="0"/>
                <w:sz w:val="24"/>
                <w:szCs w:val="24"/>
              </w:rPr>
              <w:t>9</w:t>
            </w:r>
          </w:p>
        </w:tc>
        <w:tc>
          <w:tcPr>
            <w:tcW w:type="dxa" w:w="2470"/>
            <w:vAlign w:val="center"/>
          </w:tcPr>
          <w:p w:rsidP="00B05049" w:rsidR="00750D48" w:rsidRDefault="00750D48" w:rsidRPr="00B227EA">
            <w:pPr>
              <w:autoSpaceDE w:val="0"/>
              <w:autoSpaceDN w:val="0"/>
              <w:adjustRightInd w:val="0"/>
              <w:spacing w:before="29" w:line="360" w:lineRule="auto"/>
              <w:ind w:left="15"/>
              <w:jc w:val="left"/>
              <w:rPr>
                <w:color w:val="000000"/>
                <w:kern w:val="0"/>
                <w:sz w:val="24"/>
                <w:szCs w:val="24"/>
              </w:rPr>
            </w:pPr>
            <w:r w:rsidRPr="00B227EA">
              <w:rPr>
                <w:color w:val="000000"/>
                <w:kern w:val="0"/>
                <w:sz w:val="24"/>
                <w:szCs w:val="24"/>
              </w:rPr>
              <w:t>合计</w:t>
            </w:r>
          </w:p>
        </w:tc>
        <w:tc>
          <w:tcPr>
            <w:tcW w:type="dxa" w:w="4808"/>
            <w:vAlign w:val="center"/>
          </w:tcPr>
          <w:p w:rsidP="00B05049" w:rsidR="00750D48" w:rsidRDefault="00750D48" w:rsidRPr="00B227EA">
            <w:pPr>
              <w:autoSpaceDE w:val="0"/>
              <w:autoSpaceDN w:val="0"/>
              <w:adjustRightInd w:val="0"/>
              <w:spacing w:before="29" w:line="360" w:lineRule="auto"/>
              <w:ind w:left="15"/>
              <w:jc w:val="righ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22,202,568.32</w:t>
            </w:r>
          </w:p>
        </w:tc>
      </w:tr>
    </w:tbl>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5.11.4</w:t>
      </w:r>
      <w:r w:rsidRPr="001C7E00">
        <w:rPr>
          <w:rFonts w:ascii="宋体" w:hAnsi="宋体" w:hint="eastAsia"/>
          <w:bCs/>
          <w:color w:val="000000"/>
          <w:kern w:val="0"/>
          <w:sz w:val="24"/>
          <w:szCs w:val="24"/>
        </w:rPr>
        <w:t>报告期末持有的处于转股期的可转换债券明细</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本基金本报告期末未持有处于转股期的可转换债券。</w:t>
      </w:r>
    </w:p>
    <w:p w:rsidP="001B0A62" w:rsidR="00750D48" w:rsidRDefault="00750D48" w:rsidRPr="001C7E00">
      <w:pPr>
        <w:autoSpaceDE w:val="0"/>
        <w:autoSpaceDN w:val="0"/>
        <w:adjustRightInd w:val="0"/>
        <w:spacing w:line="360" w:lineRule="auto"/>
        <w:jc w:val="left"/>
        <w:rPr>
          <w:rFonts w:ascii="宋体"/>
          <w:bCs/>
          <w:color w:val="000000"/>
          <w:kern w:val="0"/>
          <w:sz w:val="24"/>
          <w:szCs w:val="24"/>
        </w:rPr>
      </w:pPr>
      <w:r w:rsidRPr="001C7E00">
        <w:rPr>
          <w:rFonts w:ascii="宋体"/>
          <w:bCs/>
          <w:color w:val="000000"/>
          <w:kern w:val="0"/>
          <w:sz w:val="24"/>
          <w:szCs w:val="24"/>
        </w:rPr>
        <w:t/>
      </w:r>
      <w:r w:rsidRPr="001C7E00">
        <w:rPr>
          <w:rFonts w:ascii="宋体" w:hAnsi="宋体"/>
          <w:bCs/>
          <w:color w:val="000000"/>
          <w:kern w:val="0"/>
          <w:sz w:val="24"/>
          <w:szCs w:val="24"/>
        </w:rPr>
        <w:t>5.11.5</w:t>
      </w:r>
      <w:r w:rsidRPr="001C7E00">
        <w:rPr>
          <w:rFonts w:ascii="宋体" w:hAnsi="宋体" w:hint="eastAsia"/>
          <w:bCs/>
          <w:color w:val="000000"/>
          <w:kern w:val="0"/>
          <w:sz w:val="24"/>
          <w:szCs w:val="24"/>
        </w:rPr>
        <w:t>报告期末前十名股票中存在流通受限情况的说明</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本基金本报告期末前十名股票中不存在流通受限情况。</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hAnsi="宋体"/>
          <w:color w:val="000000"/>
          <w:kern w:val="0"/>
          <w:sz w:val="24"/>
          <w:szCs w:val="24"/>
        </w:rPr>
        <w:t xml:space="preserve">6  </w:t>
      </w:r>
      <w:r w:rsidRPr="00264E55">
        <w:rPr>
          <w:rFonts w:ascii="宋体" w:hAnsi="宋体" w:hint="eastAsia"/>
          <w:color w:val="000000"/>
          <w:kern w:val="0"/>
          <w:sz w:val="24"/>
          <w:szCs w:val="24"/>
        </w:rPr>
        <w:t>开放式基金份额变动</w:t>
      </w:r>
    </w:p>
    <w:p w:rsidP="004061AC" w:rsidR="00750D48" w:rsidRDefault="00750D48" w:rsidRPr="00264E55">
      <w:pPr>
        <w:autoSpaceDE w:val="0"/>
        <w:autoSpaceDN w:val="0"/>
        <w:adjustRightInd w:val="0"/>
        <w:spacing w:before="29" w:line="360" w:lineRule="auto"/>
        <w:ind w:left="15"/>
        <w:jc w:val="right"/>
        <w:rPr>
          <w:rFonts w:ascii="宋体"/>
          <w:color w:val="000000"/>
          <w:kern w:val="0"/>
          <w:sz w:val="24"/>
          <w:szCs w:val="24"/>
        </w:rPr>
      </w:pPr>
      <w:r w:rsidRPr="00264E55">
        <w:rPr>
          <w:rFonts w:ascii="宋体" w:cs="宋体" w:hAnsi="宋体" w:hint="eastAsia"/>
          <w:color w:val="000000"/>
          <w:kern w:val="0"/>
          <w:sz w:val="24"/>
          <w:szCs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4609"/>
        <w:gridCol w:w="4025"/>
      </w:tblGrid>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报告期期初基金份额总额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2,122,708,633.12</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基金总申购份额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1,304,804,241.34</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减：</w:t>
            </w: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基金总赎回份额</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1,320,971,316.57</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t/>
            </w:r>
            <w:proofErr w:type="spellStart"/>
            <w:r w:rsidRPr="00B227EA">
              <w:rPr>
                <w:color w:val="000000"/>
                <w:kern w:val="0"/>
                <w:sz w:val="24"/>
                <w:szCs w:val="24"/>
              </w:rPr>
              <w:t/>
            </w:r>
            <w:proofErr w:type="spellEnd"/>
            <w:r w:rsidRPr="00B227EA">
              <w:rPr>
                <w:color w:val="000000"/>
                <w:kern w:val="0"/>
                <w:sz w:val="24"/>
                <w:szCs w:val="24"/>
              </w:rPr>
              <w:t>报告期</w:t>
            </w:r>
            <w:r w:rsidRPr="00B227EA">
              <w:rPr>
                <w:color w:val="000000"/>
                <w:kern w:val="0"/>
                <w:sz w:val="24"/>
                <w:szCs w:val="24"/>
              </w:rPr>
              <w:t>基金拆分变动份额</w:t>
            </w:r>
            <w:r w:rsidR="00921BFA" w:rsidRPr="00921BFA">
              <w:rPr>
                <w:rFonts w:hint="eastAsia"/>
                <w:color w:val="000000"/>
                <w:kern w:val="0"/>
                <w:sz w:val="24"/>
                <w:szCs w:val="24"/>
              </w:rPr>
              <w:t>（份额减少以“</w:t>
            </w:r>
            <w:r w:rsidR="00921BFA" w:rsidRPr="00921BFA">
              <w:rPr>
                <w:rFonts w:hint="eastAsia"/>
                <w:color w:val="000000"/>
                <w:kern w:val="0"/>
                <w:sz w:val="24"/>
                <w:szCs w:val="24"/>
              </w:rPr>
              <w:t>-</w:t>
            </w:r>
            <w:r w:rsidR="00921BFA" w:rsidRPr="00921BFA">
              <w:rPr>
                <w:rFonts w:hint="eastAsia"/>
                <w:color w:val="000000"/>
                <w:kern w:val="0"/>
                <w:sz w:val="24"/>
                <w:szCs w:val="24"/>
              </w:rPr>
              <w:t>”填列）</w:t>
            </w:r>
          </w:p>
        </w:tc>
        <w:tc>
          <w:tcPr>
            <w:tcW w:type="dxa" w:w="4025"/>
            <w:vAlign w:val="center"/>
          </w:tcPr>
          <w:p w:rsidP="00924582"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w:t>
            </w:r>
          </w:p>
        </w:tc>
      </w:tr>
      <w:tr w:rsidR="00750D48" w:rsidRPr="00264E55" w:rsidTr="003B5535">
        <w:tc>
          <w:tcPr>
            <w:tcW w:type="dxa" w:w="4609"/>
            <w:vAlign w:val="center"/>
          </w:tcPr>
          <w:p w:rsidP="00924582" w:rsidR="00750D48" w:rsidRDefault="00750D48" w:rsidRPr="00B227EA">
            <w:pPr>
              <w:autoSpaceDE w:val="0"/>
              <w:autoSpaceDN w:val="0"/>
              <w:adjustRightInd w:val="0"/>
              <w:spacing w:before="29" w:line="360" w:lineRule="auto"/>
              <w:ind w:left="17"/>
              <w:jc w:val="left"/>
              <w:rPr>
                <w:color w:val="000000"/>
                <w:kern w:val="0"/>
                <w:sz w:val="24"/>
                <w:szCs w:val="24"/>
              </w:rPr>
            </w:pPr>
            <w:r w:rsidRPr="00B227EA">
              <w:rPr>
                <w:color w:val="000000"/>
                <w:kern w:val="0"/>
                <w:sz w:val="24"/>
                <w:szCs w:val="24"/>
              </w:rPr>
              <w:lastRenderedPageBreak/>
              <w:t>报告期期末基金份额总额</w:t>
            </w:r>
          </w:p>
        </w:tc>
        <w:tc>
          <w:tcPr>
            <w:tcW w:type="dxa" w:w="4025"/>
            <w:vAlign w:val="center"/>
          </w:tcPr>
          <w:p w:rsidP="000A2B53" w:rsidR="00750D48" w:rsidRDefault="00750D48" w:rsidRPr="00B227EA">
            <w:pPr>
              <w:autoSpaceDE w:val="0"/>
              <w:autoSpaceDN w:val="0"/>
              <w:adjustRightInd w:val="0"/>
              <w:spacing w:before="29" w:line="360" w:lineRule="auto"/>
              <w:ind w:left="17"/>
              <w:jc w:val="right"/>
              <w:rPr>
                <w:color w:val="000000"/>
                <w:sz w:val="24"/>
                <w:szCs w:val="24"/>
              </w:rPr>
            </w:pPr>
            <w:r w:rsidRPr="00B227EA">
              <w:rPr>
                <w:color w:val="000000"/>
                <w:sz w:val="24"/>
                <w:szCs w:val="24"/>
              </w:rPr>
              <w:t/>
            </w:r>
            <w:proofErr w:type="spellStart"/>
            <w:r w:rsidRPr="00B227EA">
              <w:rPr>
                <w:color w:val="000000"/>
                <w:sz w:val="24"/>
                <w:szCs w:val="24"/>
              </w:rPr>
              <w:t/>
            </w:r>
            <w:proofErr w:type="spellEnd"/>
            <w:r w:rsidRPr="00B227EA">
              <w:rPr>
                <w:color w:val="000000"/>
                <w:sz w:val="24"/>
                <w:szCs w:val="24"/>
              </w:rPr>
              <w:t>2,106,541,557.89</w:t>
            </w:r>
          </w:p>
        </w:tc>
      </w:tr>
    </w:tbl>
    <w:p w:rsidP="004D28A3" w:rsidR="00750D48" w:rsidRDefault="00750D48">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EB374A" w:rsidR="00750D48" w:rsidRDefault="00750D48">
      <w:pPr>
        <w:spacing w:line="360" w:lineRule="auto"/>
        <w:jc w:val="left"/>
        <w:rPr>
          <w:sz w:val="24"/>
          <w:szCs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232B03" w:rsidR="00750D48" w:rsidRDefault="00AC11B0" w:rsidRPr="00232B03">
      <w:pPr>
        <w:spacing w:line="360" w:lineRule="auto"/>
        <w:ind w:firstLine="480" w:firstLineChars="200"/>
        <w:rPr>
          <w:color w:val="000000"/>
          <w:sz w:val="24"/>
          <w:szCs w:val="24"/>
        </w:rPr>
      </w:pPr>
      <w:r w:rsidRPr="00403A06">
        <w:rPr>
          <w:color w:val="000000"/>
          <w:sz w:val="24"/>
          <w:szCs w:val="24"/>
        </w:rPr>
        <w:t/>
      </w:r>
      <w:proofErr w:type="spellStart"/>
      <w:r w:rsidRPr="00403A06">
        <w:rPr>
          <w:color w:val="000000"/>
          <w:sz w:val="24"/>
          <w:szCs w:val="24"/>
        </w:rPr>
        <w:t/>
      </w:r>
      <w:proofErr w:type="spellEnd"/>
      <w:r w:rsidRPr="00403A06">
        <w:rPr>
          <w:color w:val="000000"/>
          <w:sz w:val="24"/>
          <w:szCs w:val="24"/>
        </w:rPr>
        <w:t xml:space="preserve">本报告期内基金管理人未持有本基金份额。 </w:t>
      </w:r>
    </w:p>
    <w:p w:rsidP="00EB374A" w:rsidR="00750D48" w:rsidRDefault="00750D48">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6C56AA"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 xml:space="preserve">本报告期内基金管理人未运用固有资金申购、赎回、买卖本基金份额。 </w:t>
      </w:r>
    </w:p>
    <w:p w:rsidP="004D28A3" w:rsidR="00750D48" w:rsidRDefault="00750D48" w:rsidRPr="00264E55">
      <w:pPr>
        <w:pStyle w:val="1"/>
        <w:spacing w:after="312" w:afterLines="100" w:before="312" w:beforeLines="100" w:line="360" w:lineRule="auto"/>
        <w:jc w:val="center"/>
        <w:rPr>
          <w:rFonts w:ascii="宋体"/>
          <w:color w:val="000000"/>
          <w:kern w:val="0"/>
          <w:sz w:val="24"/>
          <w:szCs w:val="24"/>
        </w:rPr>
      </w:pPr>
      <w:r w:rsidRPr="00264E55">
        <w:rPr>
          <w:rFonts w:ascii="宋体" w:hAnsi="宋体" w:hint="eastAsia"/>
          <w:color w:val="000000"/>
          <w:kern w:val="0"/>
          <w:sz w:val="24"/>
          <w:szCs w:val="24"/>
        </w:rPr>
        <w:t>§</w:t>
      </w:r>
      <w:r w:rsidRPr="00264E55">
        <w:rPr>
          <w:rFonts w:ascii="宋体"/>
          <w:color w:val="000000"/>
          <w:kern w:val="0"/>
          <w:sz w:val="24"/>
          <w:szCs w:val="24"/>
        </w:rPr>
        <w:t/>
      </w:r>
      <w:r w:rsidRPr="00264E55">
        <w:rPr>
          <w:rFonts w:ascii="宋体" w:hAnsi="宋体"/>
          <w:color w:val="000000"/>
          <w:kern w:val="0"/>
          <w:sz w:val="24"/>
          <w:szCs w:val="24"/>
        </w:rPr>
        <w:t xml:space="preserve">8  </w:t>
      </w:r>
      <w:r w:rsidRPr="00264E55">
        <w:rPr>
          <w:rFonts w:ascii="宋体" w:hAnsi="宋体" w:hint="eastAsia"/>
          <w:color w:val="000000"/>
          <w:kern w:val="0"/>
          <w:sz w:val="24"/>
          <w:szCs w:val="24"/>
        </w:rPr>
        <w:t>备查文件目录</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8.1 </w:t>
      </w:r>
      <w:r w:rsidRPr="00264E55">
        <w:rPr>
          <w:rFonts w:ascii="宋体" w:hAnsi="宋体" w:hint="eastAsia"/>
          <w:b/>
          <w:bCs/>
          <w:color w:val="000000"/>
          <w:kern w:val="0"/>
          <w:sz w:val="24"/>
          <w:szCs w:val="24"/>
        </w:rPr>
        <w:t>备查文件目录</w:t>
      </w:r>
    </w:p>
    <w:p>
      <w:pPr>
        <w:spacing w:line="360" w:lineRule="auto"/>
        <w:ind w:firstLine="480" w:firstLineChars="200"/>
        <w:rPr>
          <w:color w:val="000000"/>
          <w:sz w:val="24"/>
          <w:szCs w:val="24"/>
        </w:rPr>
      </w:pPr>
      <w:r>
        <w:rPr>
          <w:color w:val="000000"/>
          <w:sz w:val="24"/>
          <w:szCs w:val="24"/>
        </w:rPr>
        <w:t>1.中国证监会核准易方达新兴成长灵活配置混合型证券投资基金募集的文件；</w:t>
      </w:r>
    </w:p>
    <w:p>
      <w:pPr>
        <w:spacing w:line="360" w:lineRule="auto"/>
        <w:ind w:firstLine="480" w:firstLineChars="200"/>
        <w:rPr>
          <w:color w:val="000000"/>
          <w:sz w:val="24"/>
          <w:szCs w:val="24"/>
        </w:rPr>
      </w:pPr>
      <w:r>
        <w:rPr>
          <w:color w:val="000000"/>
          <w:sz w:val="24"/>
          <w:szCs w:val="24"/>
        </w:rPr>
        <w:t>2.《易方达新兴成长灵活配置混合型证券投资基金基金合同》；</w:t>
      </w:r>
    </w:p>
    <w:p>
      <w:pPr>
        <w:spacing w:line="360" w:lineRule="auto"/>
        <w:ind w:firstLine="480" w:firstLineChars="200"/>
        <w:rPr>
          <w:color w:val="000000"/>
          <w:sz w:val="24"/>
          <w:szCs w:val="24"/>
        </w:rPr>
      </w:pPr>
      <w:r>
        <w:rPr>
          <w:color w:val="000000"/>
          <w:sz w:val="24"/>
          <w:szCs w:val="24"/>
        </w:rPr>
        <w:t>3.《易方达新兴成长灵活配置混合型证券投资基金托管协议》；</w:t>
      </w:r>
    </w:p>
    <w:p>
      <w:pPr>
        <w:spacing w:line="360" w:lineRule="auto"/>
        <w:ind w:firstLine="480" w:firstLineChars="200"/>
        <w:rPr>
          <w:color w:val="000000"/>
          <w:sz w:val="24"/>
          <w:szCs w:val="24"/>
        </w:rPr>
      </w:pPr>
      <w:r>
        <w:rPr>
          <w:color w:val="000000"/>
          <w:sz w:val="24"/>
          <w:szCs w:val="24"/>
        </w:rPr>
        <w:t>4.《易方达基金管理有限公司开放式基金业务规则》；</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5.基金管理人业务资格批件、营业执照。</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8.2 </w:t>
      </w:r>
      <w:r w:rsidRPr="00264E55">
        <w:rPr>
          <w:rFonts w:ascii="宋体" w:hAnsi="宋体" w:hint="eastAsia"/>
          <w:b/>
          <w:bCs/>
          <w:color w:val="000000"/>
          <w:kern w:val="0"/>
          <w:sz w:val="24"/>
          <w:szCs w:val="24"/>
        </w:rPr>
        <w:t>存放地点</w:t>
      </w:r>
    </w:p>
    <w:p w:rsidP="00232B03" w:rsidR="00750D48" w:rsidRDefault="00750D48" w:rsidRPr="00232B03">
      <w:pPr>
        <w:spacing w:line="360" w:lineRule="auto"/>
        <w:ind w:firstLine="480" w:firstLineChars="200"/>
        <w:rPr>
          <w:color w:val="000000"/>
          <w:sz w:val="24"/>
          <w:szCs w:val="24"/>
        </w:rPr>
      </w:pPr>
      <w:r w:rsidRPr="006C56AA">
        <w:rPr>
          <w:color w:val="000000"/>
          <w:sz w:val="24"/>
          <w:szCs w:val="24"/>
        </w:rPr>
        <w:lastRenderedPageBreak/>
        <w:t/>
      </w:r>
      <w:proofErr w:type="spellStart"/>
      <w:r w:rsidRPr="006C56AA">
        <w:rPr>
          <w:color w:val="000000"/>
          <w:sz w:val="24"/>
          <w:szCs w:val="24"/>
        </w:rPr>
        <w:t/>
      </w:r>
      <w:proofErr w:type="spellEnd"/>
      <w:r w:rsidRPr="006C56AA">
        <w:rPr>
          <w:color w:val="000000"/>
          <w:sz w:val="24"/>
          <w:szCs w:val="24"/>
        </w:rPr>
        <w:t>广州市天河区珠江新城珠江东路30号广州银行大厦40-43楼。</w:t>
      </w:r>
    </w:p>
    <w:p w:rsidP="00C71497" w:rsidR="00750D48" w:rsidRDefault="00750D48" w:rsidRPr="00264E55">
      <w:pPr>
        <w:autoSpaceDE w:val="0"/>
        <w:autoSpaceDN w:val="0"/>
        <w:adjustRightInd w:val="0"/>
        <w:spacing w:line="360" w:lineRule="auto"/>
        <w:jc w:val="left"/>
        <w:rPr>
          <w:rFonts w:ascii="宋体"/>
          <w:b/>
          <w:bCs/>
          <w:color w:val="000000"/>
          <w:kern w:val="0"/>
          <w:sz w:val="24"/>
          <w:szCs w:val="24"/>
        </w:rPr>
      </w:pPr>
      <w:r w:rsidRPr="00264E55">
        <w:rPr>
          <w:rFonts w:ascii="宋体"/>
          <w:b/>
          <w:bCs/>
          <w:color w:val="000000"/>
          <w:kern w:val="0"/>
          <w:sz w:val="24"/>
          <w:szCs w:val="24"/>
        </w:rPr>
        <w:t/>
      </w:r>
      <w:r w:rsidRPr="00264E55">
        <w:rPr>
          <w:rFonts w:ascii="宋体" w:hAnsi="宋体"/>
          <w:b/>
          <w:bCs/>
          <w:color w:val="000000"/>
          <w:kern w:val="0"/>
          <w:sz w:val="24"/>
          <w:szCs w:val="24"/>
        </w:rPr>
        <w:t xml:space="preserve">8.3 </w:t>
      </w:r>
      <w:r w:rsidRPr="00264E55">
        <w:rPr>
          <w:rFonts w:ascii="宋体" w:hAnsi="宋体" w:hint="eastAsia"/>
          <w:b/>
          <w:bCs/>
          <w:color w:val="000000"/>
          <w:kern w:val="0"/>
          <w:sz w:val="24"/>
          <w:szCs w:val="24"/>
        </w:rPr>
        <w:t>查阅方式</w:t>
      </w:r>
    </w:p>
    <w:p w:rsidP="00EB572F" w:rsidR="00750D48" w:rsidRDefault="00750D48" w:rsidRPr="006C56AA">
      <w:pPr>
        <w:spacing w:line="360" w:lineRule="auto"/>
        <w:ind w:firstLine="480" w:firstLineChars="200"/>
        <w:rPr>
          <w:color w:val="000000"/>
          <w:sz w:val="24"/>
          <w:szCs w:val="24"/>
        </w:rPr>
      </w:pPr>
      <w:r w:rsidRPr="006C56AA">
        <w:rPr>
          <w:color w:val="000000"/>
          <w:sz w:val="24"/>
          <w:szCs w:val="24"/>
        </w:rPr>
        <w:t/>
      </w:r>
      <w:proofErr w:type="spellStart"/>
      <w:r w:rsidRPr="006C56AA">
        <w:rPr>
          <w:color w:val="000000"/>
          <w:sz w:val="24"/>
          <w:szCs w:val="24"/>
        </w:rPr>
        <w:t/>
      </w:r>
      <w:proofErr w:type="spellEnd"/>
      <w:r w:rsidRPr="006C56AA">
        <w:rPr>
          <w:color w:val="000000"/>
          <w:sz w:val="24"/>
          <w:szCs w:val="24"/>
        </w:rPr>
        <w:t>投资者可在营业时间免费查阅，也可按工本费购买复印件。</w:t>
      </w: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4061AC" w:rsidR="00750D48" w:rsidRDefault="00750D48" w:rsidRPr="00264E55">
      <w:pPr>
        <w:spacing w:line="360" w:lineRule="auto"/>
        <w:ind w:left="840"/>
        <w:jc w:val="right"/>
        <w:rPr>
          <w:rFonts w:ascii="宋体"/>
          <w:color w:val="000000"/>
          <w:sz w:val="24"/>
          <w:szCs w:val="24"/>
        </w:rPr>
      </w:pPr>
    </w:p>
    <w:p w:rsidP="00C71497" w:rsidR="00750D48" w:rsidRDefault="00750D48" w:rsidRPr="00264E55">
      <w:pPr>
        <w:spacing w:line="360" w:lineRule="auto"/>
        <w:jc w:val="right"/>
        <w:rPr>
          <w:rFonts w:ascii="宋体" w:hAnsi="宋体"/>
          <w:b/>
          <w:bCs/>
          <w:sz w:val="24"/>
          <w:szCs w:val="24"/>
        </w:rPr>
      </w:pPr>
      <w:r w:rsidRPr="00264E55">
        <w:rPr>
          <w:rFonts w:asci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易方达基金管理有限公司</w:t>
      </w:r>
    </w:p>
    <w:p w:rsidP="00191817" w:rsidR="00750D48" w:rsidRDefault="00750D48" w:rsidRPr="00191817">
      <w:pPr>
        <w:spacing w:line="360" w:lineRule="auto"/>
        <w:jc w:val="right"/>
        <w:rPr>
          <w:rFonts w:ascii="宋体" w:hAnsi="宋体"/>
          <w:b/>
          <w:bCs/>
          <w:sz w:val="24"/>
          <w:szCs w:val="24"/>
        </w:rPr>
      </w:pPr>
      <w:r w:rsidRPr="00264E55">
        <w:rPr>
          <w:rFonts w:ascii="宋体" w:hAnsi="宋体"/>
          <w:b/>
          <w:bCs/>
          <w:sz w:val="24"/>
          <w:szCs w:val="24"/>
        </w:rPr>
        <w:t/>
      </w:r>
      <w:proofErr w:type="spellStart"/>
      <w:r w:rsidRPr="00264E55">
        <w:rPr>
          <w:rFonts w:ascii="宋体" w:hAnsi="宋体"/>
          <w:b/>
          <w:bCs/>
          <w:sz w:val="24"/>
          <w:szCs w:val="24"/>
        </w:rPr>
        <w:t/>
      </w:r>
      <w:proofErr w:type="spellEnd"/>
      <w:r w:rsidRPr="00264E55">
        <w:rPr>
          <w:rFonts w:ascii="宋体" w:hAnsi="宋体"/>
          <w:b/>
          <w:bCs/>
          <w:sz w:val="24"/>
          <w:szCs w:val="24"/>
        </w:rPr>
        <w:t>二〇二〇年十月二十八日</w:t>
      </w:r>
    </w:p>
    <w:sectPr w:rsidR="00750D48" w:rsidRPr="00191817" w:rsidSect="00304A12">
      <w:footerReference r:id="rId12"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00" w:rsidRDefault="008E0E00" w:rsidP="00876D65">
      <w:r>
        <w:separator/>
      </w:r>
    </w:p>
  </w:endnote>
  <w:endnote w:type="continuationSeparator" w:id="0">
    <w:p w:rsidR="008E0E00" w:rsidRDefault="008E0E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EF56B5"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1</w:t>
    </w:r>
    <w:r>
      <w:rPr>
        <w:rStyle w:val="a7"/>
      </w:rPr>
      <w:fldChar w:fldCharType="end"/>
    </w:r>
    <w:proofErr w:type="gramStart"/>
    <w:r>
      <w:rPr>
        <w:rStyle w:val="a7"/>
        <w:rFonts w:hint="eastAsia"/>
      </w:rPr>
      <w:t>页共</w:t>
    </w:r>
    <w:proofErr w:type="gramEnd"/>
    <w:r w:rsidR="00764C38">
      <w:fldChar w:fldCharType="begin"/>
    </w:r>
    <w:r w:rsidR="00764C38">
      <w:instrText xml:space="preserve"> NUMPAGES  \* Arabic  \* MERGEFORMAT </w:instrText>
    </w:r>
    <w:r w:rsidR="00764C38">
      <w:fldChar w:fldCharType="separate"/>
    </w:r>
    <w:r w:rsidR="000D33A8" w:rsidRPr="000D33A8">
      <w:rPr>
        <w:rStyle w:val="a7"/>
        <w:noProof/>
      </w:rPr>
      <w:t>28</w:t>
    </w:r>
    <w:r w:rsidR="00764C38">
      <w:rPr>
        <w:rStyle w:val="a7"/>
        <w:noProof/>
      </w:rPr>
      <w:fldChar w:fldCharType="end"/>
    </w:r>
    <w:r>
      <w:rPr>
        <w:rStyle w:val="a7"/>
        <w:rFonts w:hint="eastAsia"/>
      </w:rPr>
      <w:t>页</w:t>
    </w:r>
  </w:p>
  <w:p w:rsidP="00EF56B5" w:rsidR="003328D9" w:rsidRDefault="003328D9" w:rsidRPr="00EF56B5">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3328D9" w:rsidRDefault="003328D9">
    <w:pPr>
      <w:pStyle w:val="a6"/>
      <w:framePr w:hAnchor="margin" w:vAnchor="text" w:wrap="auto" w:xAlign="center" w:y="1"/>
      <w:rPr>
        <w:rStyle w:val="a7"/>
      </w:rPr>
    </w:pPr>
    <w:r>
      <w:rPr>
        <w:rStyle w:val="a7"/>
        <w:rFonts w:hint="eastAsia"/>
      </w:rPr>
      <w:t>第</w:t>
    </w:r>
    <w:r>
      <w:rPr>
        <w:rStyle w:val="a7"/>
      </w:rPr>
      <w:fldChar w:fldCharType="begin"/>
    </w:r>
    <w:r>
      <w:rPr>
        <w:rStyle w:val="a7"/>
      </w:rPr>
      <w:instrText xml:space="preserve">PAGE  </w:instrText>
    </w:r>
    <w:r>
      <w:rPr>
        <w:rStyle w:val="a7"/>
      </w:rPr>
      <w:fldChar w:fldCharType="separate"/>
    </w:r>
    <w:r w:rsidR="000D33A8">
      <w:rPr>
        <w:rStyle w:val="a7"/>
        <w:noProof/>
      </w:rPr>
      <w:t>6</w:t>
    </w:r>
    <w:r>
      <w:rPr>
        <w:rStyle w:val="a7"/>
      </w:rPr>
      <w:fldChar w:fldCharType="end"/>
    </w:r>
    <w:proofErr w:type="gramStart"/>
    <w:r>
      <w:rPr>
        <w:rStyle w:val="a7"/>
        <w:rFonts w:hint="eastAsia"/>
      </w:rPr>
      <w:t>页共</w:t>
    </w:r>
    <w:proofErr w:type="gramEnd"/>
    <w:fldSimple w:instr=" NUMPAGES  \* Arabic  \* MERGEFORMAT ">
      <w:r w:rsidR="000D33A8" w:rsidRPr="000D33A8">
        <w:rPr>
          <w:rStyle w:val="a7"/>
          <w:noProof/>
        </w:rPr>
        <w:t>28</w:t>
      </w:r>
    </w:fldSimple>
    <w:r>
      <w:rPr>
        <w:rStyle w:val="a7"/>
        <w:rFonts w:hint="eastAsia"/>
      </w:rPr>
      <w:t>页</w:t>
    </w:r>
  </w:p>
  <w:p w:rsidR="003328D9" w:rsidRDefault="003328D9">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P="00876D65" w:rsidR="008E0E00" w:rsidRDefault="008E0E00">
      <w:r>
        <w:separator/>
      </w:r>
    </w:p>
  </w:footnote>
  <w:footnote w:id="0" w:type="continuationSeparator">
    <w:p w:rsidP="00876D65" w:rsidR="008E0E00" w:rsidRDefault="008E0E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090A26" w:rsidR="003328D9" w:rsidRDefault="003328D9" w:rsidRPr="00093704">
    <w:pPr>
      <w:pStyle w:val="a9"/>
      <w:pBdr>
        <w:bottom w:color="auto" w:space="0" w:sz="6" w:val="single"/>
      </w:pBdr>
      <w:jc w:val="right"/>
    </w:pPr>
    <w:r w:rsidRPr="00093704">
      <w:t/>
    </w:r>
    <w:proofErr w:type="spellStart"/>
    <w:proofErr w:type="gramStart"/>
    <w:r w:rsidRPr="00093704">
      <w:t/>
    </w:r>
    <w:proofErr w:type="spellEnd"/>
    <w:proofErr w:type="gramEnd"/>
    <w:r w:rsidRPr="00093704">
      <w:t>易方达新兴成长灵活配置混合型证券投资基金</w:t>
    </w:r>
    <w:proofErr w:type="spellStart"/>
    <w:r w:rsidRPr="00093704">
      <w:t/>
    </w:r>
    <w:proofErr w:type="spellEnd"/>
    <w:r w:rsidRPr="0009370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hAnsi="Wingdings" w:hint="default"/>
      </w:rPr>
    </w:lvl>
    <w:lvl w:ilvl="2" w:tplc="04090005">
      <w:start w:val="1"/>
      <w:numFmt w:val="bullet"/>
      <w:lvlText w:val=""/>
      <w:lvlJc w:val="left"/>
      <w:pPr>
        <w:tabs>
          <w:tab w:pos="1680" w:val="num"/>
        </w:tabs>
        <w:ind w:hanging="420" w:left="1680"/>
      </w:pPr>
      <w:rPr>
        <w:rFonts w:ascii="Wingdings" w:hAnsi="Wingdings" w:hint="default"/>
      </w:rPr>
    </w:lvl>
    <w:lvl w:ilvl="3" w:tplc="04090001">
      <w:start w:val="1"/>
      <w:numFmt w:val="bullet"/>
      <w:lvlText w:val=""/>
      <w:lvlJc w:val="left"/>
      <w:pPr>
        <w:tabs>
          <w:tab w:pos="2100" w:val="num"/>
        </w:tabs>
        <w:ind w:hanging="420" w:left="2100"/>
      </w:pPr>
      <w:rPr>
        <w:rFonts w:ascii="Wingdings" w:hAnsi="Wingdings" w:hint="default"/>
      </w:rPr>
    </w:lvl>
    <w:lvl w:ilvl="4" w:tplc="04090003">
      <w:start w:val="1"/>
      <w:numFmt w:val="bullet"/>
      <w:lvlText w:val=""/>
      <w:lvlJc w:val="left"/>
      <w:pPr>
        <w:tabs>
          <w:tab w:pos="2520" w:val="num"/>
        </w:tabs>
        <w:ind w:hanging="420" w:left="2520"/>
      </w:pPr>
      <w:rPr>
        <w:rFonts w:ascii="Wingdings" w:hAnsi="Wingdings" w:hint="default"/>
      </w:rPr>
    </w:lvl>
    <w:lvl w:ilvl="5" w:tplc="04090005">
      <w:start w:val="1"/>
      <w:numFmt w:val="bullet"/>
      <w:lvlText w:val=""/>
      <w:lvlJc w:val="left"/>
      <w:pPr>
        <w:tabs>
          <w:tab w:pos="2940" w:val="num"/>
        </w:tabs>
        <w:ind w:hanging="420" w:left="2940"/>
      </w:pPr>
      <w:rPr>
        <w:rFonts w:ascii="Wingdings" w:hAnsi="Wingdings" w:hint="default"/>
      </w:rPr>
    </w:lvl>
    <w:lvl w:ilvl="6" w:tplc="04090001">
      <w:start w:val="1"/>
      <w:numFmt w:val="bullet"/>
      <w:lvlText w:val=""/>
      <w:lvlJc w:val="left"/>
      <w:pPr>
        <w:tabs>
          <w:tab w:pos="3360" w:val="num"/>
        </w:tabs>
        <w:ind w:hanging="420" w:left="3360"/>
      </w:pPr>
      <w:rPr>
        <w:rFonts w:ascii="Wingdings" w:hAnsi="Wingdings" w:hint="default"/>
      </w:rPr>
    </w:lvl>
    <w:lvl w:ilvl="7" w:tplc="04090003">
      <w:start w:val="1"/>
      <w:numFmt w:val="bullet"/>
      <w:lvlText w:val=""/>
      <w:lvlJc w:val="left"/>
      <w:pPr>
        <w:tabs>
          <w:tab w:pos="3780" w:val="num"/>
        </w:tabs>
        <w:ind w:hanging="420" w:left="3780"/>
      </w:pPr>
      <w:rPr>
        <w:rFonts w:ascii="Wingdings" w:hAnsi="Wingdings" w:hint="default"/>
      </w:rPr>
    </w:lvl>
    <w:lvl w:ilvl="8"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szCs w:val="24"/>
      </w:rPr>
    </w:lvl>
    <w:lvl w:ilvl="1" w:tplc="04090019">
      <w:start w:val="1"/>
      <w:numFmt w:val="lowerLetter"/>
      <w:lvlText w:val="%2)"/>
      <w:lvlJc w:val="left"/>
      <w:pPr>
        <w:tabs>
          <w:tab w:pos="1320" w:val="num"/>
        </w:tabs>
        <w:ind w:hanging="420" w:left="1320"/>
      </w:pPr>
      <w:rPr>
        <w:rFonts w:cs="Times New Roman"/>
      </w:rPr>
    </w:lvl>
    <w:lvl w:ilvl="2" w:tplc="0409001B">
      <w:start w:val="1"/>
      <w:numFmt w:val="lowerRoman"/>
      <w:lvlText w:val="%3."/>
      <w:lvlJc w:val="right"/>
      <w:pPr>
        <w:tabs>
          <w:tab w:pos="1740" w:val="num"/>
        </w:tabs>
        <w:ind w:hanging="420" w:left="1740"/>
      </w:pPr>
      <w:rPr>
        <w:rFonts w:cs="Times New Roman"/>
      </w:rPr>
    </w:lvl>
    <w:lvl w:ilvl="3" w:tplc="0409000F">
      <w:start w:val="1"/>
      <w:numFmt w:val="decimal"/>
      <w:lvlText w:val="%4."/>
      <w:lvlJc w:val="left"/>
      <w:pPr>
        <w:tabs>
          <w:tab w:pos="2160" w:val="num"/>
        </w:tabs>
        <w:ind w:hanging="420" w:left="2160"/>
      </w:pPr>
      <w:rPr>
        <w:rFonts w:cs="Times New Roman"/>
      </w:rPr>
    </w:lvl>
    <w:lvl w:ilvl="4" w:tplc="04090019">
      <w:start w:val="1"/>
      <w:numFmt w:val="lowerLetter"/>
      <w:lvlText w:val="%5)"/>
      <w:lvlJc w:val="left"/>
      <w:pPr>
        <w:tabs>
          <w:tab w:pos="2580" w:val="num"/>
        </w:tabs>
        <w:ind w:hanging="420" w:left="2580"/>
      </w:pPr>
      <w:rPr>
        <w:rFonts w:cs="Times New Roman"/>
      </w:rPr>
    </w:lvl>
    <w:lvl w:ilvl="5" w:tplc="0409001B">
      <w:start w:val="1"/>
      <w:numFmt w:val="lowerRoman"/>
      <w:lvlText w:val="%6."/>
      <w:lvlJc w:val="right"/>
      <w:pPr>
        <w:tabs>
          <w:tab w:pos="3000" w:val="num"/>
        </w:tabs>
        <w:ind w:hanging="420" w:left="3000"/>
      </w:pPr>
      <w:rPr>
        <w:rFonts w:cs="Times New Roman"/>
      </w:rPr>
    </w:lvl>
    <w:lvl w:ilvl="6" w:tplc="0409000F">
      <w:start w:val="1"/>
      <w:numFmt w:val="decimal"/>
      <w:lvlText w:val="%7."/>
      <w:lvlJc w:val="left"/>
      <w:pPr>
        <w:tabs>
          <w:tab w:pos="3420" w:val="num"/>
        </w:tabs>
        <w:ind w:hanging="420" w:left="3420"/>
      </w:pPr>
      <w:rPr>
        <w:rFonts w:cs="Times New Roman"/>
      </w:rPr>
    </w:lvl>
    <w:lvl w:ilvl="7" w:tplc="04090019">
      <w:start w:val="1"/>
      <w:numFmt w:val="lowerLetter"/>
      <w:lvlText w:val="%8)"/>
      <w:lvlJc w:val="left"/>
      <w:pPr>
        <w:tabs>
          <w:tab w:pos="3840" w:val="num"/>
        </w:tabs>
        <w:ind w:hanging="420" w:left="3840"/>
      </w:pPr>
      <w:rPr>
        <w:rFonts w:cs="Times New Roman"/>
      </w:rPr>
    </w:lvl>
    <w:lvl w:ilvl="8"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plc="0409000F">
      <w:start w:val="1"/>
      <w:numFmt w:val="decimal"/>
      <w:lvlText w:val="%4."/>
      <w:lvlJc w:val="left"/>
      <w:pPr>
        <w:tabs>
          <w:tab w:pos="1680" w:val="num"/>
        </w:tabs>
        <w:ind w:hanging="420" w:left="1680"/>
      </w:pPr>
      <w:rPr>
        <w:rFonts w:cs="Times New Roman"/>
      </w:rPr>
    </w:lvl>
    <w:lvl w:ilvl="4" w:tplc="04090019">
      <w:start w:val="1"/>
      <w:numFmt w:val="lowerLetter"/>
      <w:lvlText w:val="%5)"/>
      <w:lvlJc w:val="left"/>
      <w:pPr>
        <w:tabs>
          <w:tab w:pos="2100" w:val="num"/>
        </w:tabs>
        <w:ind w:hanging="420" w:left="2100"/>
      </w:pPr>
      <w:rPr>
        <w:rFonts w:cs="Times New Roman"/>
      </w:rPr>
    </w:lvl>
    <w:lvl w:ilvl="5" w:tplc="0409001B">
      <w:start w:val="1"/>
      <w:numFmt w:val="lowerRoman"/>
      <w:lvlText w:val="%6."/>
      <w:lvlJc w:val="right"/>
      <w:pPr>
        <w:tabs>
          <w:tab w:pos="2520" w:val="num"/>
        </w:tabs>
        <w:ind w:hanging="420" w:left="2520"/>
      </w:pPr>
      <w:rPr>
        <w:rFonts w:cs="Times New Roman"/>
      </w:rPr>
    </w:lvl>
    <w:lvl w:ilvl="6" w:tplc="0409000F">
      <w:start w:val="1"/>
      <w:numFmt w:val="decimal"/>
      <w:lvlText w:val="%7."/>
      <w:lvlJc w:val="left"/>
      <w:pPr>
        <w:tabs>
          <w:tab w:pos="2940" w:val="num"/>
        </w:tabs>
        <w:ind w:hanging="420" w:left="2940"/>
      </w:pPr>
      <w:rPr>
        <w:rFonts w:cs="Times New Roman"/>
      </w:rPr>
    </w:lvl>
    <w:lvl w:ilvl="7" w:tplc="04090019">
      <w:start w:val="1"/>
      <w:numFmt w:val="lowerLetter"/>
      <w:lvlText w:val="%8)"/>
      <w:lvlJc w:val="left"/>
      <w:pPr>
        <w:tabs>
          <w:tab w:pos="3360" w:val="num"/>
        </w:tabs>
        <w:ind w:hanging="420" w:left="3360"/>
      </w:pPr>
      <w:rPr>
        <w:rFonts w:cs="Times New Roman"/>
      </w:rPr>
    </w:lvl>
    <w:lvl w:ilvl="8"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bordersDoNotSurroundHeader/>
  <w:bordersDoNotSurroundFooter/>
  <w:proofState w:grammar="clean"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061AC"/>
    <w:rsid w:val="000018BC"/>
    <w:rsid w:val="00007D64"/>
    <w:rsid w:val="00013E6E"/>
    <w:rsid w:val="00014099"/>
    <w:rsid w:val="000160C5"/>
    <w:rsid w:val="000210E7"/>
    <w:rsid w:val="000212F7"/>
    <w:rsid w:val="00031EBB"/>
    <w:rsid w:val="00033B8D"/>
    <w:rsid w:val="00043852"/>
    <w:rsid w:val="000450DD"/>
    <w:rsid w:val="000463DE"/>
    <w:rsid w:val="000553BD"/>
    <w:rsid w:val="00065E3C"/>
    <w:rsid w:val="0008313A"/>
    <w:rsid w:val="000875EA"/>
    <w:rsid w:val="000907D2"/>
    <w:rsid w:val="00090A26"/>
    <w:rsid w:val="00093704"/>
    <w:rsid w:val="00095F2A"/>
    <w:rsid w:val="000A2B53"/>
    <w:rsid w:val="000A438A"/>
    <w:rsid w:val="000B5257"/>
    <w:rsid w:val="000B624F"/>
    <w:rsid w:val="000B73C6"/>
    <w:rsid w:val="000C190B"/>
    <w:rsid w:val="000C1E17"/>
    <w:rsid w:val="000C493C"/>
    <w:rsid w:val="000C5216"/>
    <w:rsid w:val="000D0E6C"/>
    <w:rsid w:val="000D33A8"/>
    <w:rsid w:val="000D3ED4"/>
    <w:rsid w:val="000F2DE1"/>
    <w:rsid w:val="000F6CC8"/>
    <w:rsid w:val="00111261"/>
    <w:rsid w:val="00133843"/>
    <w:rsid w:val="00137452"/>
    <w:rsid w:val="00142CAF"/>
    <w:rsid w:val="00144F93"/>
    <w:rsid w:val="00147376"/>
    <w:rsid w:val="00150E7E"/>
    <w:rsid w:val="00154BE1"/>
    <w:rsid w:val="00154C17"/>
    <w:rsid w:val="00160EDC"/>
    <w:rsid w:val="0016180A"/>
    <w:rsid w:val="001675CD"/>
    <w:rsid w:val="00170435"/>
    <w:rsid w:val="00171EF0"/>
    <w:rsid w:val="001761D2"/>
    <w:rsid w:val="001830D7"/>
    <w:rsid w:val="00185A34"/>
    <w:rsid w:val="001878B0"/>
    <w:rsid w:val="0019049E"/>
    <w:rsid w:val="00191817"/>
    <w:rsid w:val="00191BDE"/>
    <w:rsid w:val="00196E6C"/>
    <w:rsid w:val="001A73E8"/>
    <w:rsid w:val="001B0A62"/>
    <w:rsid w:val="001B2F35"/>
    <w:rsid w:val="001B3C1C"/>
    <w:rsid w:val="001B6E7E"/>
    <w:rsid w:val="001C0993"/>
    <w:rsid w:val="001C79F2"/>
    <w:rsid w:val="001C7E00"/>
    <w:rsid w:val="001D0DB0"/>
    <w:rsid w:val="001D5B8F"/>
    <w:rsid w:val="001D63BB"/>
    <w:rsid w:val="001D6A4B"/>
    <w:rsid w:val="001D74DB"/>
    <w:rsid w:val="001E4630"/>
    <w:rsid w:val="001F0964"/>
    <w:rsid w:val="001F0EB2"/>
    <w:rsid w:val="001F30DA"/>
    <w:rsid w:val="001F5DC5"/>
    <w:rsid w:val="001F5F5D"/>
    <w:rsid w:val="00200FAB"/>
    <w:rsid w:val="002111CB"/>
    <w:rsid w:val="00213821"/>
    <w:rsid w:val="00215133"/>
    <w:rsid w:val="00217B92"/>
    <w:rsid w:val="002279D3"/>
    <w:rsid w:val="00232B03"/>
    <w:rsid w:val="00240248"/>
    <w:rsid w:val="0024363B"/>
    <w:rsid w:val="00261111"/>
    <w:rsid w:val="00264E55"/>
    <w:rsid w:val="002661ED"/>
    <w:rsid w:val="00266337"/>
    <w:rsid w:val="00275745"/>
    <w:rsid w:val="0027688F"/>
    <w:rsid w:val="00276E44"/>
    <w:rsid w:val="00277FAE"/>
    <w:rsid w:val="00280C9F"/>
    <w:rsid w:val="00286BEF"/>
    <w:rsid w:val="00286FA2"/>
    <w:rsid w:val="002918E3"/>
    <w:rsid w:val="002973A9"/>
    <w:rsid w:val="002B1D1A"/>
    <w:rsid w:val="002C28F2"/>
    <w:rsid w:val="002C5960"/>
    <w:rsid w:val="002D6FB6"/>
    <w:rsid w:val="002E2255"/>
    <w:rsid w:val="002E3B09"/>
    <w:rsid w:val="002E4594"/>
    <w:rsid w:val="002E52B3"/>
    <w:rsid w:val="00303679"/>
    <w:rsid w:val="00304A12"/>
    <w:rsid w:val="00305636"/>
    <w:rsid w:val="00306390"/>
    <w:rsid w:val="00311662"/>
    <w:rsid w:val="00312A9F"/>
    <w:rsid w:val="00312F1C"/>
    <w:rsid w:val="00312F30"/>
    <w:rsid w:val="00315D5D"/>
    <w:rsid w:val="00316484"/>
    <w:rsid w:val="00316E01"/>
    <w:rsid w:val="00317067"/>
    <w:rsid w:val="00320300"/>
    <w:rsid w:val="00324508"/>
    <w:rsid w:val="003259C8"/>
    <w:rsid w:val="0032741D"/>
    <w:rsid w:val="003307FE"/>
    <w:rsid w:val="003328D9"/>
    <w:rsid w:val="003350A8"/>
    <w:rsid w:val="003376B7"/>
    <w:rsid w:val="00342369"/>
    <w:rsid w:val="003470E2"/>
    <w:rsid w:val="00352719"/>
    <w:rsid w:val="00354432"/>
    <w:rsid w:val="00355364"/>
    <w:rsid w:val="00364A60"/>
    <w:rsid w:val="00364CCB"/>
    <w:rsid w:val="0039085F"/>
    <w:rsid w:val="00392044"/>
    <w:rsid w:val="00394069"/>
    <w:rsid w:val="003A6061"/>
    <w:rsid w:val="003B5535"/>
    <w:rsid w:val="003B6FBC"/>
    <w:rsid w:val="003D7406"/>
    <w:rsid w:val="003D7FAF"/>
    <w:rsid w:val="003E62FB"/>
    <w:rsid w:val="003F39DF"/>
    <w:rsid w:val="003F63BE"/>
    <w:rsid w:val="00403A06"/>
    <w:rsid w:val="004061AC"/>
    <w:rsid w:val="00407DBB"/>
    <w:rsid w:val="004149AC"/>
    <w:rsid w:val="00415AEF"/>
    <w:rsid w:val="0042009D"/>
    <w:rsid w:val="00427F58"/>
    <w:rsid w:val="0043199A"/>
    <w:rsid w:val="00433805"/>
    <w:rsid w:val="0046668C"/>
    <w:rsid w:val="00466850"/>
    <w:rsid w:val="00467048"/>
    <w:rsid w:val="00471408"/>
    <w:rsid w:val="004858E0"/>
    <w:rsid w:val="004934E9"/>
    <w:rsid w:val="004943C2"/>
    <w:rsid w:val="004A11A7"/>
    <w:rsid w:val="004A4D5B"/>
    <w:rsid w:val="004B5343"/>
    <w:rsid w:val="004B7A92"/>
    <w:rsid w:val="004C0259"/>
    <w:rsid w:val="004C702F"/>
    <w:rsid w:val="004D28A3"/>
    <w:rsid w:val="004D495A"/>
    <w:rsid w:val="004D75CD"/>
    <w:rsid w:val="004E5975"/>
    <w:rsid w:val="004E790A"/>
    <w:rsid w:val="004F04C1"/>
    <w:rsid w:val="004F50FD"/>
    <w:rsid w:val="004F6891"/>
    <w:rsid w:val="00500A03"/>
    <w:rsid w:val="00501495"/>
    <w:rsid w:val="00507F99"/>
    <w:rsid w:val="00512200"/>
    <w:rsid w:val="005143CD"/>
    <w:rsid w:val="005144F2"/>
    <w:rsid w:val="005242A5"/>
    <w:rsid w:val="005249DD"/>
    <w:rsid w:val="00531BA5"/>
    <w:rsid w:val="00531F10"/>
    <w:rsid w:val="00532E86"/>
    <w:rsid w:val="00540B13"/>
    <w:rsid w:val="00542434"/>
    <w:rsid w:val="00542470"/>
    <w:rsid w:val="00542546"/>
    <w:rsid w:val="005425BA"/>
    <w:rsid w:val="005454FB"/>
    <w:rsid w:val="005602F3"/>
    <w:rsid w:val="005659E4"/>
    <w:rsid w:val="005761EE"/>
    <w:rsid w:val="00582D99"/>
    <w:rsid w:val="0058551C"/>
    <w:rsid w:val="00590656"/>
    <w:rsid w:val="0059076B"/>
    <w:rsid w:val="005973CB"/>
    <w:rsid w:val="00597E49"/>
    <w:rsid w:val="005A0F1F"/>
    <w:rsid w:val="005A2B83"/>
    <w:rsid w:val="005A478E"/>
    <w:rsid w:val="005A6675"/>
    <w:rsid w:val="005B2E9C"/>
    <w:rsid w:val="005B4F93"/>
    <w:rsid w:val="005B73D2"/>
    <w:rsid w:val="005C5E5B"/>
    <w:rsid w:val="005D2B36"/>
    <w:rsid w:val="005E1093"/>
    <w:rsid w:val="005E475E"/>
    <w:rsid w:val="005E78C0"/>
    <w:rsid w:val="005F3996"/>
    <w:rsid w:val="005F6AF6"/>
    <w:rsid w:val="005F7730"/>
    <w:rsid w:val="005F7917"/>
    <w:rsid w:val="005F7E00"/>
    <w:rsid w:val="00604C26"/>
    <w:rsid w:val="006066D2"/>
    <w:rsid w:val="0061286A"/>
    <w:rsid w:val="00613D7A"/>
    <w:rsid w:val="00614CC4"/>
    <w:rsid w:val="0062025E"/>
    <w:rsid w:val="00626998"/>
    <w:rsid w:val="006269FB"/>
    <w:rsid w:val="00631ED8"/>
    <w:rsid w:val="00635B05"/>
    <w:rsid w:val="00636DB7"/>
    <w:rsid w:val="0063783A"/>
    <w:rsid w:val="006423B9"/>
    <w:rsid w:val="00654B0D"/>
    <w:rsid w:val="00655CD8"/>
    <w:rsid w:val="006571DC"/>
    <w:rsid w:val="00660D4B"/>
    <w:rsid w:val="00664ECC"/>
    <w:rsid w:val="00670989"/>
    <w:rsid w:val="006757DC"/>
    <w:rsid w:val="00676095"/>
    <w:rsid w:val="006926A7"/>
    <w:rsid w:val="00693843"/>
    <w:rsid w:val="0069426C"/>
    <w:rsid w:val="00694DFB"/>
    <w:rsid w:val="006A1C62"/>
    <w:rsid w:val="006A48FD"/>
    <w:rsid w:val="006A67F8"/>
    <w:rsid w:val="006A7AF1"/>
    <w:rsid w:val="006B11BB"/>
    <w:rsid w:val="006B4C11"/>
    <w:rsid w:val="006C12B8"/>
    <w:rsid w:val="006C37FC"/>
    <w:rsid w:val="006C56AA"/>
    <w:rsid w:val="006C7EA3"/>
    <w:rsid w:val="006D07F3"/>
    <w:rsid w:val="006D39E9"/>
    <w:rsid w:val="006D3BE3"/>
    <w:rsid w:val="006D7004"/>
    <w:rsid w:val="006D789D"/>
    <w:rsid w:val="006D7FF8"/>
    <w:rsid w:val="006E042A"/>
    <w:rsid w:val="006E322B"/>
    <w:rsid w:val="006F49EE"/>
    <w:rsid w:val="006F5E68"/>
    <w:rsid w:val="00706D60"/>
    <w:rsid w:val="007075E3"/>
    <w:rsid w:val="00707F66"/>
    <w:rsid w:val="00710AB6"/>
    <w:rsid w:val="007125DB"/>
    <w:rsid w:val="00717B71"/>
    <w:rsid w:val="00720D28"/>
    <w:rsid w:val="00722333"/>
    <w:rsid w:val="00722509"/>
    <w:rsid w:val="00727FCD"/>
    <w:rsid w:val="00733DDD"/>
    <w:rsid w:val="00744628"/>
    <w:rsid w:val="0074694E"/>
    <w:rsid w:val="00750CDF"/>
    <w:rsid w:val="00750D48"/>
    <w:rsid w:val="00752BA5"/>
    <w:rsid w:val="00755D86"/>
    <w:rsid w:val="00764C38"/>
    <w:rsid w:val="00767C98"/>
    <w:rsid w:val="00770971"/>
    <w:rsid w:val="00773B02"/>
    <w:rsid w:val="00780186"/>
    <w:rsid w:val="0078089C"/>
    <w:rsid w:val="00787D16"/>
    <w:rsid w:val="00796CA8"/>
    <w:rsid w:val="00797305"/>
    <w:rsid w:val="007B035B"/>
    <w:rsid w:val="007B4C04"/>
    <w:rsid w:val="007B5AFB"/>
    <w:rsid w:val="007C1B9B"/>
    <w:rsid w:val="007C54B1"/>
    <w:rsid w:val="007C5862"/>
    <w:rsid w:val="007C7EC8"/>
    <w:rsid w:val="007F31E6"/>
    <w:rsid w:val="008014F9"/>
    <w:rsid w:val="0080358B"/>
    <w:rsid w:val="008059BD"/>
    <w:rsid w:val="00812D46"/>
    <w:rsid w:val="00815999"/>
    <w:rsid w:val="00815A38"/>
    <w:rsid w:val="00815D8D"/>
    <w:rsid w:val="0082103F"/>
    <w:rsid w:val="008279FE"/>
    <w:rsid w:val="00831259"/>
    <w:rsid w:val="0083208A"/>
    <w:rsid w:val="0083218A"/>
    <w:rsid w:val="00832A00"/>
    <w:rsid w:val="00837845"/>
    <w:rsid w:val="008442C4"/>
    <w:rsid w:val="00846739"/>
    <w:rsid w:val="00853140"/>
    <w:rsid w:val="00854537"/>
    <w:rsid w:val="008606B6"/>
    <w:rsid w:val="008635E6"/>
    <w:rsid w:val="00866CF2"/>
    <w:rsid w:val="008700EC"/>
    <w:rsid w:val="008768CB"/>
    <w:rsid w:val="00876D65"/>
    <w:rsid w:val="00891261"/>
    <w:rsid w:val="00895A8A"/>
    <w:rsid w:val="008A09E5"/>
    <w:rsid w:val="008A21B2"/>
    <w:rsid w:val="008B2FDD"/>
    <w:rsid w:val="008C2A4F"/>
    <w:rsid w:val="008C75E7"/>
    <w:rsid w:val="008C7CA8"/>
    <w:rsid w:val="008D09EC"/>
    <w:rsid w:val="008D799F"/>
    <w:rsid w:val="008E07EB"/>
    <w:rsid w:val="008E0E00"/>
    <w:rsid w:val="008E2DCB"/>
    <w:rsid w:val="008E326D"/>
    <w:rsid w:val="008F5A8D"/>
    <w:rsid w:val="008F5F67"/>
    <w:rsid w:val="008F60F2"/>
    <w:rsid w:val="0090217D"/>
    <w:rsid w:val="00904749"/>
    <w:rsid w:val="00905C5E"/>
    <w:rsid w:val="009078DC"/>
    <w:rsid w:val="00907B61"/>
    <w:rsid w:val="00910586"/>
    <w:rsid w:val="009161AF"/>
    <w:rsid w:val="00921AC7"/>
    <w:rsid w:val="00921BFA"/>
    <w:rsid w:val="00922880"/>
    <w:rsid w:val="00924582"/>
    <w:rsid w:val="00931291"/>
    <w:rsid w:val="00932DC0"/>
    <w:rsid w:val="0093367D"/>
    <w:rsid w:val="00933B24"/>
    <w:rsid w:val="009431FA"/>
    <w:rsid w:val="00943BB5"/>
    <w:rsid w:val="00945AF6"/>
    <w:rsid w:val="009510DE"/>
    <w:rsid w:val="00951C43"/>
    <w:rsid w:val="0095204B"/>
    <w:rsid w:val="0095280A"/>
    <w:rsid w:val="00954A4B"/>
    <w:rsid w:val="009550BE"/>
    <w:rsid w:val="00955531"/>
    <w:rsid w:val="00955BE8"/>
    <w:rsid w:val="00957594"/>
    <w:rsid w:val="009577D9"/>
    <w:rsid w:val="00963F40"/>
    <w:rsid w:val="00965CFB"/>
    <w:rsid w:val="0098122D"/>
    <w:rsid w:val="00986596"/>
    <w:rsid w:val="00990685"/>
    <w:rsid w:val="00991411"/>
    <w:rsid w:val="00992238"/>
    <w:rsid w:val="009A0ABE"/>
    <w:rsid w:val="009B2D4B"/>
    <w:rsid w:val="009B3243"/>
    <w:rsid w:val="009C4E99"/>
    <w:rsid w:val="009C5186"/>
    <w:rsid w:val="009C60F7"/>
    <w:rsid w:val="009D0952"/>
    <w:rsid w:val="009D54EA"/>
    <w:rsid w:val="009E285B"/>
    <w:rsid w:val="009E31DA"/>
    <w:rsid w:val="009E402C"/>
    <w:rsid w:val="009E7C6A"/>
    <w:rsid w:val="009F7ED4"/>
    <w:rsid w:val="00A03AAC"/>
    <w:rsid w:val="00A047D1"/>
    <w:rsid w:val="00A22AD0"/>
    <w:rsid w:val="00A22DA8"/>
    <w:rsid w:val="00A234BE"/>
    <w:rsid w:val="00A31671"/>
    <w:rsid w:val="00A45320"/>
    <w:rsid w:val="00A52C6D"/>
    <w:rsid w:val="00A5612C"/>
    <w:rsid w:val="00A5689C"/>
    <w:rsid w:val="00A57AE4"/>
    <w:rsid w:val="00A63F19"/>
    <w:rsid w:val="00A66F3F"/>
    <w:rsid w:val="00A66F42"/>
    <w:rsid w:val="00A727C1"/>
    <w:rsid w:val="00A746EB"/>
    <w:rsid w:val="00A76625"/>
    <w:rsid w:val="00A82CBA"/>
    <w:rsid w:val="00A83500"/>
    <w:rsid w:val="00A90049"/>
    <w:rsid w:val="00A917BF"/>
    <w:rsid w:val="00A96A94"/>
    <w:rsid w:val="00AA257D"/>
    <w:rsid w:val="00AA3A38"/>
    <w:rsid w:val="00AA4F94"/>
    <w:rsid w:val="00AB047E"/>
    <w:rsid w:val="00AC11B0"/>
    <w:rsid w:val="00AC592E"/>
    <w:rsid w:val="00AC6C10"/>
    <w:rsid w:val="00AC7BC6"/>
    <w:rsid w:val="00AD24AA"/>
    <w:rsid w:val="00AE7962"/>
    <w:rsid w:val="00AF5BA0"/>
    <w:rsid w:val="00B014D7"/>
    <w:rsid w:val="00B05049"/>
    <w:rsid w:val="00B12B7D"/>
    <w:rsid w:val="00B16985"/>
    <w:rsid w:val="00B221B8"/>
    <w:rsid w:val="00B227EA"/>
    <w:rsid w:val="00B27206"/>
    <w:rsid w:val="00B32AA7"/>
    <w:rsid w:val="00B3392B"/>
    <w:rsid w:val="00B371D4"/>
    <w:rsid w:val="00B4012D"/>
    <w:rsid w:val="00B40F64"/>
    <w:rsid w:val="00B42A76"/>
    <w:rsid w:val="00B53067"/>
    <w:rsid w:val="00B66B7D"/>
    <w:rsid w:val="00B7378D"/>
    <w:rsid w:val="00B82413"/>
    <w:rsid w:val="00B85352"/>
    <w:rsid w:val="00B87214"/>
    <w:rsid w:val="00B912D0"/>
    <w:rsid w:val="00B92FF5"/>
    <w:rsid w:val="00B959E6"/>
    <w:rsid w:val="00BA0A6A"/>
    <w:rsid w:val="00BA40BB"/>
    <w:rsid w:val="00BA4338"/>
    <w:rsid w:val="00BA604D"/>
    <w:rsid w:val="00BB6813"/>
    <w:rsid w:val="00BC4585"/>
    <w:rsid w:val="00BC50F1"/>
    <w:rsid w:val="00BC73E5"/>
    <w:rsid w:val="00BD7473"/>
    <w:rsid w:val="00BD7703"/>
    <w:rsid w:val="00BE12B4"/>
    <w:rsid w:val="00BE3D2D"/>
    <w:rsid w:val="00BE420D"/>
    <w:rsid w:val="00BE5A26"/>
    <w:rsid w:val="00C11A5E"/>
    <w:rsid w:val="00C21520"/>
    <w:rsid w:val="00C222B2"/>
    <w:rsid w:val="00C225FB"/>
    <w:rsid w:val="00C41870"/>
    <w:rsid w:val="00C46B88"/>
    <w:rsid w:val="00C5218C"/>
    <w:rsid w:val="00C52191"/>
    <w:rsid w:val="00C5642F"/>
    <w:rsid w:val="00C57A3E"/>
    <w:rsid w:val="00C63554"/>
    <w:rsid w:val="00C71497"/>
    <w:rsid w:val="00C71BA1"/>
    <w:rsid w:val="00C72F5B"/>
    <w:rsid w:val="00C73619"/>
    <w:rsid w:val="00C73BCD"/>
    <w:rsid w:val="00C77AEF"/>
    <w:rsid w:val="00C77E37"/>
    <w:rsid w:val="00C84CB0"/>
    <w:rsid w:val="00C86EB7"/>
    <w:rsid w:val="00C87129"/>
    <w:rsid w:val="00C91E1B"/>
    <w:rsid w:val="00CA2BD3"/>
    <w:rsid w:val="00CA4677"/>
    <w:rsid w:val="00CA5FD5"/>
    <w:rsid w:val="00CA7703"/>
    <w:rsid w:val="00CB0F92"/>
    <w:rsid w:val="00CD4E6D"/>
    <w:rsid w:val="00CD5707"/>
    <w:rsid w:val="00CD7702"/>
    <w:rsid w:val="00CD7FC9"/>
    <w:rsid w:val="00CE06DF"/>
    <w:rsid w:val="00CE0716"/>
    <w:rsid w:val="00CE075A"/>
    <w:rsid w:val="00CE29EA"/>
    <w:rsid w:val="00CF47EB"/>
    <w:rsid w:val="00CF6572"/>
    <w:rsid w:val="00CF7885"/>
    <w:rsid w:val="00D02347"/>
    <w:rsid w:val="00D04755"/>
    <w:rsid w:val="00D13737"/>
    <w:rsid w:val="00D15D27"/>
    <w:rsid w:val="00D1638E"/>
    <w:rsid w:val="00D21D10"/>
    <w:rsid w:val="00D21FFF"/>
    <w:rsid w:val="00D272A5"/>
    <w:rsid w:val="00D34206"/>
    <w:rsid w:val="00D43AFB"/>
    <w:rsid w:val="00D5071D"/>
    <w:rsid w:val="00D564C7"/>
    <w:rsid w:val="00D57B7C"/>
    <w:rsid w:val="00D62BEE"/>
    <w:rsid w:val="00D65B44"/>
    <w:rsid w:val="00D8099B"/>
    <w:rsid w:val="00D866A8"/>
    <w:rsid w:val="00D87469"/>
    <w:rsid w:val="00D90B03"/>
    <w:rsid w:val="00D92F47"/>
    <w:rsid w:val="00D94B8D"/>
    <w:rsid w:val="00D96C8D"/>
    <w:rsid w:val="00DA2876"/>
    <w:rsid w:val="00DA718D"/>
    <w:rsid w:val="00DB0A8D"/>
    <w:rsid w:val="00DB348F"/>
    <w:rsid w:val="00DC0B51"/>
    <w:rsid w:val="00DD03DC"/>
    <w:rsid w:val="00DD5919"/>
    <w:rsid w:val="00DE27F7"/>
    <w:rsid w:val="00DE38CC"/>
    <w:rsid w:val="00E06069"/>
    <w:rsid w:val="00E115C0"/>
    <w:rsid w:val="00E168D7"/>
    <w:rsid w:val="00E44E18"/>
    <w:rsid w:val="00E54301"/>
    <w:rsid w:val="00E5483F"/>
    <w:rsid w:val="00E55ABD"/>
    <w:rsid w:val="00E60817"/>
    <w:rsid w:val="00E6412C"/>
    <w:rsid w:val="00E645C0"/>
    <w:rsid w:val="00E8246B"/>
    <w:rsid w:val="00E90C35"/>
    <w:rsid w:val="00EA70F1"/>
    <w:rsid w:val="00EB2516"/>
    <w:rsid w:val="00EB2C07"/>
    <w:rsid w:val="00EB374A"/>
    <w:rsid w:val="00EB3CE7"/>
    <w:rsid w:val="00EB572F"/>
    <w:rsid w:val="00EC1B4D"/>
    <w:rsid w:val="00ED040B"/>
    <w:rsid w:val="00ED62BE"/>
    <w:rsid w:val="00EF17AB"/>
    <w:rsid w:val="00EF56B5"/>
    <w:rsid w:val="00EF6FA5"/>
    <w:rsid w:val="00F078B5"/>
    <w:rsid w:val="00F11104"/>
    <w:rsid w:val="00F126C4"/>
    <w:rsid w:val="00F13122"/>
    <w:rsid w:val="00F16E3F"/>
    <w:rsid w:val="00F171C5"/>
    <w:rsid w:val="00F22499"/>
    <w:rsid w:val="00F22B0F"/>
    <w:rsid w:val="00F234A0"/>
    <w:rsid w:val="00F24B42"/>
    <w:rsid w:val="00F24F73"/>
    <w:rsid w:val="00F27299"/>
    <w:rsid w:val="00F31F6E"/>
    <w:rsid w:val="00F3389C"/>
    <w:rsid w:val="00F375F2"/>
    <w:rsid w:val="00F40868"/>
    <w:rsid w:val="00F54EAE"/>
    <w:rsid w:val="00F66A51"/>
    <w:rsid w:val="00F71057"/>
    <w:rsid w:val="00F71A4B"/>
    <w:rsid w:val="00F728CF"/>
    <w:rsid w:val="00F743D4"/>
    <w:rsid w:val="00F83B17"/>
    <w:rsid w:val="00F87EDA"/>
    <w:rsid w:val="00F932F8"/>
    <w:rsid w:val="00F970EE"/>
    <w:rsid w:val="00FB0BC9"/>
    <w:rsid w:val="00FB0F9B"/>
    <w:rsid w:val="00FB41D3"/>
    <w:rsid w:val="00FB4F70"/>
    <w:rsid w:val="00FB5EFC"/>
    <w:rsid w:val="00FB77BB"/>
    <w:rsid w:val="00FC15AA"/>
    <w:rsid w:val="00FD1375"/>
    <w:rsid w:val="00FD359E"/>
    <w:rsid w:val="00FD5F37"/>
    <w:rsid w:val="00FE0A17"/>
    <w:rsid w:val="00FE179F"/>
    <w:rsid w:val="00FF0244"/>
    <w:rsid w:val="00FF213A"/>
    <w:rsid w:val="00FF3C2E"/>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cs="Times New Roman" w:eastAsia="宋体" w:hAnsi="Calibri"/>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footnote text" w:semiHidden="0" w:uiPriority="0" w:unhideWhenUsed="0"/>
    <w:lsdException w:locked="1" w:name="caption" w:qFormat="1" w:uiPriority="0"/>
    <w:lsdException w:locked="1" w:name="footnote reference" w:semiHidden="0" w:uiPriority="0" w:unhideWhenUsed="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Date" w:semiHidden="0" w:uiPriority="0" w:unhideWhenUsed="0"/>
    <w:lsdException w:locked="1" w:name="Strong" w:qFormat="1" w:semiHidden="0" w:uiPriority="22" w:unhideWhenUsed="0"/>
    <w:lsdException w:locked="1" w:name="Emphasis" w:qFormat="1"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hAnsi="Times New Roman"/>
      <w:kern w:val="2"/>
      <w:sz w:val="21"/>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hAnsi="Arial"/>
      <w:b/>
      <w:bCs/>
      <w:kern w:val="0"/>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061AC"/>
    <w:rPr>
      <w:rFonts w:ascii="Times New Roman" w:cs="Times New Roman" w:eastAsia="宋体" w:hAnsi="Times New Roman"/>
      <w:b/>
      <w:bCs/>
      <w:kern w:val="44"/>
      <w:sz w:val="44"/>
      <w:szCs w:val="44"/>
    </w:rPr>
  </w:style>
  <w:style w:customStyle="1" w:styleId="2Char" w:type="character">
    <w:name w:val="标题 2 Char"/>
    <w:link w:val="2"/>
    <w:uiPriority w:val="99"/>
    <w:locked/>
    <w:rsid w:val="004061AC"/>
    <w:rPr>
      <w:rFonts w:ascii="Arial" w:cs="Arial" w:eastAsia="宋体" w:hAnsi="Arial"/>
      <w:b/>
      <w:bCs/>
      <w:sz w:val="24"/>
      <w:szCs w:val="24"/>
    </w:rPr>
  </w:style>
  <w:style w:customStyle="1" w:styleId="3Char" w:type="character">
    <w:name w:val="标题 3 Char"/>
    <w:link w:val="3"/>
    <w:uiPriority w:val="99"/>
    <w:locked/>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eastAsia="Arial Unicode MS" w:hAnsi="Arial Unicode MS"/>
      <w:kern w:val="0"/>
      <w:sz w:val="24"/>
      <w:szCs w:val="24"/>
    </w:rPr>
  </w:style>
  <w:style w:customStyle="1" w:styleId="Char" w:type="character">
    <w:name w:val="正文文本缩进 Char"/>
    <w:link w:val="a4"/>
    <w:uiPriority w:val="99"/>
    <w:locked/>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hAnsi="Courier New"/>
      <w:kern w:val="0"/>
    </w:rPr>
  </w:style>
  <w:style w:customStyle="1" w:styleId="Char0" w:type="character">
    <w:name w:val="纯文本 Char"/>
    <w:link w:val="a5"/>
    <w:uiPriority w:val="99"/>
    <w:locked/>
    <w:rsid w:val="004061AC"/>
    <w:rPr>
      <w:rFonts w:ascii="宋体" w:cs="宋体" w:eastAsia="宋体" w:hAnsi="Courier New"/>
      <w:sz w:val="21"/>
      <w:szCs w:val="21"/>
    </w:rPr>
  </w:style>
  <w:style w:styleId="20" w:type="paragraph">
    <w:name w:val="Body Text Indent 2"/>
    <w:basedOn w:val="a"/>
    <w:link w:val="2Char0"/>
    <w:uiPriority w:val="99"/>
    <w:rsid w:val="004061AC"/>
    <w:pPr>
      <w:spacing w:line="560" w:lineRule="exact"/>
      <w:ind w:firstLine="480" w:firstLineChars="200"/>
    </w:pPr>
    <w:rPr>
      <w:rFonts w:ascii="宋体" w:hAnsi="宋体"/>
      <w:color w:val="FF0000"/>
      <w:kern w:val="0"/>
      <w:sz w:val="24"/>
      <w:szCs w:val="24"/>
    </w:rPr>
  </w:style>
  <w:style w:customStyle="1" w:styleId="2Char0" w:type="character">
    <w:name w:val="正文文本缩进 2 Char"/>
    <w:link w:val="20"/>
    <w:uiPriority w:val="99"/>
    <w:locked/>
    <w:rsid w:val="004061AC"/>
    <w:rPr>
      <w:rFonts w:ascii="宋体" w:cs="宋体" w:eastAsia="宋体" w:hAnsi="宋体"/>
      <w:color w:val="FF0000"/>
      <w:sz w:val="24"/>
      <w:szCs w:val="24"/>
    </w:rPr>
  </w:style>
  <w:style w:styleId="a6" w:type="paragraph">
    <w:name w:val="footer"/>
    <w:basedOn w:val="a"/>
    <w:link w:val="Char1"/>
    <w:uiPriority w:val="99"/>
    <w:rsid w:val="004061AC"/>
    <w:pPr>
      <w:tabs>
        <w:tab w:pos="4153" w:val="center"/>
        <w:tab w:pos="8306" w:val="right"/>
      </w:tabs>
      <w:snapToGrid w:val="0"/>
      <w:jc w:val="left"/>
    </w:pPr>
    <w:rPr>
      <w:kern w:val="0"/>
      <w:sz w:val="18"/>
      <w:szCs w:val="18"/>
    </w:rPr>
  </w:style>
  <w:style w:customStyle="1" w:styleId="Char1" w:type="character">
    <w:name w:val="页脚 Char"/>
    <w:link w:val="a6"/>
    <w:uiPriority w:val="99"/>
    <w:locked/>
    <w:rsid w:val="004061AC"/>
    <w:rPr>
      <w:rFonts w:ascii="Times New Roman" w:cs="Times New Roman" w:eastAsia="宋体" w:hAnsi="Times New Roman"/>
      <w:sz w:val="18"/>
      <w:szCs w:val="18"/>
    </w:rPr>
  </w:style>
  <w:style w:styleId="a7" w:type="character">
    <w:name w:val="page number"/>
    <w:uiPriority w:val="99"/>
    <w:rsid w:val="004061AC"/>
    <w:rPr>
      <w:rFonts w:cs="Times New Roman"/>
    </w:rPr>
  </w:style>
  <w:style w:styleId="a8" w:type="character">
    <w:name w:val="Hyperlink"/>
    <w:uiPriority w:val="99"/>
    <w:rsid w:val="004061AC"/>
    <w:rPr>
      <w:rFonts w:cs="Times New Roman"/>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hAnsi="Arial"/>
      <w:color w:val="FF0000"/>
      <w:kern w:val="0"/>
    </w:rPr>
  </w:style>
  <w:style w:customStyle="1" w:styleId="3Char0" w:type="character">
    <w:name w:val="正文文本缩进 3 Char"/>
    <w:link w:val="30"/>
    <w:uiPriority w:val="99"/>
    <w:locked/>
    <w:rsid w:val="004061AC"/>
    <w:rPr>
      <w:rFonts w:ascii="Arial" w:cs="Arial" w:eastAsia="宋体" w:hAnsi="Arial"/>
      <w:color w:val="FF0000"/>
      <w:sz w:val="21"/>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kern w:val="0"/>
      <w:sz w:val="18"/>
      <w:szCs w:val="18"/>
    </w:rPr>
  </w:style>
  <w:style w:customStyle="1" w:styleId="Char2" w:type="character">
    <w:name w:val="页眉 Char"/>
    <w:link w:val="a9"/>
    <w:uiPriority w:val="99"/>
    <w:locked/>
    <w:rsid w:val="004061AC"/>
    <w:rPr>
      <w:rFonts w:ascii="Times New Roman" w:cs="Times New Roman" w:eastAsia="宋体" w:hAnsi="Times New Roman"/>
      <w:sz w:val="18"/>
      <w:szCs w:val="18"/>
    </w:rPr>
  </w:style>
  <w:style w:styleId="aa" w:type="character">
    <w:name w:val="FollowedHyperlink"/>
    <w:uiPriority w:val="99"/>
    <w:rsid w:val="004061AC"/>
    <w:rPr>
      <w:rFonts w:cs="Times New Roman"/>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rPr>
      <w:kern w:val="0"/>
    </w:rPr>
  </w:style>
  <w:style w:customStyle="1" w:styleId="Char3" w:type="character">
    <w:name w:val="正文文本 Char"/>
    <w:link w:val="ac"/>
    <w:uiPriority w:val="99"/>
    <w:locked/>
    <w:rsid w:val="004061AC"/>
    <w:rPr>
      <w:rFonts w:ascii="Times New Roman" w:cs="Times New Roman" w:eastAsia="宋体" w:hAnsi="Times New Roman"/>
      <w:sz w:val="21"/>
      <w:szCs w:val="21"/>
    </w:rPr>
  </w:style>
  <w:style w:styleId="ad" w:type="paragraph">
    <w:name w:val="Date"/>
    <w:basedOn w:val="a"/>
    <w:next w:val="a"/>
    <w:link w:val="Char4"/>
    <w:uiPriority w:val="99"/>
    <w:rsid w:val="004061AC"/>
    <w:rPr>
      <w:kern w:val="0"/>
      <w:sz w:val="24"/>
      <w:szCs w:val="24"/>
    </w:rPr>
  </w:style>
  <w:style w:customStyle="1" w:styleId="Char4" w:type="character">
    <w:name w:val="日期 Char"/>
    <w:link w:val="ad"/>
    <w:uiPriority w:val="99"/>
    <w:locked/>
    <w:rsid w:val="004061AC"/>
    <w:rPr>
      <w:rFonts w:ascii="Times New Roman" w:cs="Times New Roman" w:eastAsia="宋体" w:hAnsi="Times New Roman"/>
      <w:sz w:val="24"/>
      <w:szCs w:val="24"/>
    </w:rPr>
  </w:style>
  <w:style w:customStyle="1" w:styleId="c1" w:type="character">
    <w:name w:val="c1"/>
    <w:uiPriority w:val="99"/>
    <w:rsid w:val="004061AC"/>
    <w:rPr>
      <w:rFonts w:cs="Times New Roman"/>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kern w:val="0"/>
      <w:sz w:val="18"/>
      <w:szCs w:val="18"/>
    </w:rPr>
  </w:style>
  <w:style w:customStyle="1" w:styleId="Char5" w:type="character">
    <w:name w:val="批注框文本 Char"/>
    <w:link w:val="ae"/>
    <w:uiPriority w:val="99"/>
    <w:semiHidden/>
    <w:locked/>
    <w:rsid w:val="004061AC"/>
    <w:rPr>
      <w:rFonts w:ascii="Times New Roman" w:cs="Times New Roman" w:eastAsia="宋体" w:hAnsi="Times New Roman"/>
      <w:sz w:val="18"/>
      <w:szCs w:val="18"/>
    </w:rPr>
  </w:style>
  <w:style w:styleId="af" w:type="character">
    <w:name w:val="annotation reference"/>
    <w:uiPriority w:val="99"/>
    <w:semiHidden/>
    <w:rsid w:val="004061AC"/>
    <w:rPr>
      <w:rFonts w:cs="Times New Roman"/>
      <w:sz w:val="21"/>
      <w:szCs w:val="21"/>
    </w:rPr>
  </w:style>
  <w:style w:styleId="af0" w:type="paragraph">
    <w:name w:val="annotation text"/>
    <w:basedOn w:val="a"/>
    <w:link w:val="Char6"/>
    <w:uiPriority w:val="99"/>
    <w:semiHidden/>
    <w:rsid w:val="004061AC"/>
    <w:pPr>
      <w:jc w:val="left"/>
    </w:pPr>
    <w:rPr>
      <w:kern w:val="0"/>
    </w:rPr>
  </w:style>
  <w:style w:customStyle="1" w:styleId="Char6" w:type="character">
    <w:name w:val="批注文字 Char"/>
    <w:link w:val="af0"/>
    <w:uiPriority w:val="99"/>
    <w:semiHidden/>
    <w:locked/>
    <w:rsid w:val="004061AC"/>
    <w:rPr>
      <w:rFonts w:ascii="Times New Roman" w:cs="Times New Roman" w:eastAsia="宋体" w:hAnsi="Times New Roman"/>
      <w:sz w:val="21"/>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link w:val="af1"/>
    <w:uiPriority w:val="99"/>
    <w:semiHidden/>
    <w:locked/>
    <w:rsid w:val="004061AC"/>
    <w:rPr>
      <w:rFonts w:ascii="Times New Roman" w:cs="Times New Roman" w:eastAsia="宋体" w:hAnsi="Times New Roman"/>
      <w:b/>
      <w:bCs/>
      <w:sz w:val="21"/>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rPr>
      <w:kern w:val="0"/>
    </w:rPr>
  </w:style>
  <w:style w:customStyle="1" w:styleId="Char9" w:type="character">
    <w:name w:val="文档结构图 Char"/>
    <w:link w:val="af2"/>
    <w:uiPriority w:val="99"/>
    <w:semiHidden/>
    <w:locked/>
    <w:rsid w:val="004061AC"/>
    <w:rPr>
      <w:rFonts w:ascii="Times New Roman" w:cs="Times New Roman" w:eastAsia="宋体" w:hAnsi="Times New Roman"/>
      <w:sz w:val="21"/>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uiPriority w:val="99"/>
    <w:rsid w:val="004061AC"/>
    <w:pPr>
      <w:snapToGrid w:val="0"/>
      <w:jc w:val="left"/>
    </w:pPr>
    <w:rPr>
      <w:kern w:val="0"/>
      <w:sz w:val="18"/>
      <w:szCs w:val="18"/>
    </w:rPr>
  </w:style>
  <w:style w:customStyle="1" w:styleId="Chara" w:type="character">
    <w:name w:val="脚注文本 Char"/>
    <w:link w:val="af4"/>
    <w:uiPriority w:val="99"/>
    <w:locked/>
    <w:rsid w:val="004061AC"/>
    <w:rPr>
      <w:rFonts w:ascii="Times New Roman" w:cs="Times New Roman" w:eastAsia="宋体" w:hAnsi="Times New Roman"/>
      <w:sz w:val="18"/>
      <w:szCs w:val="18"/>
    </w:rPr>
  </w:style>
  <w:style w:styleId="af5" w:type="character">
    <w:name w:val="footnote reference"/>
    <w:uiPriority w:val="99"/>
    <w:rsid w:val="004061AC"/>
    <w:rPr>
      <w:rFonts w:cs="Times New Roman"/>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hAnsi="Times New Roman"/>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hAnsi="Cambria"/>
      <w:b/>
      <w:bCs/>
      <w:kern w:val="0"/>
      <w:sz w:val="32"/>
      <w:szCs w:val="32"/>
    </w:rPr>
  </w:style>
  <w:style w:customStyle="1" w:styleId="Charb" w:type="character">
    <w:name w:val="标题 Char"/>
    <w:link w:val="af8"/>
    <w:uiPriority w:val="99"/>
    <w:locked/>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99"/>
    <w:qFormat/>
    <w:rsid w:val="004061AC"/>
    <w:rPr>
      <w:rFonts w:cs="Calibri"/>
      <w:sz w:val="22"/>
      <w:szCs w:val="22"/>
    </w:rPr>
  </w:style>
  <w:style w:customStyle="1" w:styleId="Charc" w:type="character">
    <w:name w:val="无间隔 Char"/>
    <w:link w:val="af9"/>
    <w:uiPriority w:val="99"/>
    <w:locked/>
    <w:rsid w:val="004061AC"/>
    <w:rPr>
      <w:rFonts w:cs="Calibri"/>
      <w:sz w:val="22"/>
      <w:szCs w:val="22"/>
      <w:lang w:bidi="ar-SA" w:eastAsia="zh-CN" w:val="en-US"/>
    </w:rPr>
  </w:style>
  <w:style w:customStyle="1" w:styleId="t1" w:type="character">
    <w:name w:val="t1"/>
    <w:uiPriority w:val="99"/>
    <w:rsid w:val="004061AC"/>
    <w:rPr>
      <w:rFonts w:cs="Times New Roman"/>
      <w:color w:val="auto"/>
    </w:rPr>
  </w:style>
  <w:style w:styleId="afa" w:type="paragraph">
    <w:name w:val="List Paragraph"/>
    <w:basedOn w:val="a"/>
    <w:uiPriority w:val="99"/>
    <w:qFormat/>
    <w:rsid w:val="00154BE1"/>
    <w:pPr>
      <w:ind w:firstLine="420" w:firstLineChars="200"/>
    </w:pPr>
  </w:style>
  <w:style w:customStyle="1" w:styleId="Default" w:type="paragraph">
    <w:name w:val="Default"/>
    <w:uiPriority w:val="99"/>
    <w:rsid w:val="00275745"/>
    <w:pPr>
      <w:widowControl w:val="0"/>
      <w:autoSpaceDE w:val="0"/>
      <w:autoSpaceDN w:val="0"/>
      <w:adjustRightInd w:val="0"/>
    </w:pPr>
    <w:rPr>
      <w:rFonts w:ascii="FangSong" w:cs="FangSong" w:hAnsi="FangSong"/>
      <w:color w:val="000000"/>
      <w:sz w:val="24"/>
      <w:szCs w:val="24"/>
    </w:rPr>
  </w:style>
  <w:style w:styleId="afb" w:type="character">
    <w:name w:val="Strong"/>
    <w:uiPriority w:val="22"/>
    <w:qFormat/>
    <w:locked/>
    <w:rsid w:val="00D874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32">
      <w:bodyDiv w:val="1"/>
      <w:marLeft w:val="0"/>
      <w:marRight w:val="0"/>
      <w:marTop w:val="0"/>
      <w:marBottom w:val="0"/>
      <w:divBdr>
        <w:top w:val="none" w:sz="0" w:space="0" w:color="auto"/>
        <w:left w:val="none" w:sz="0" w:space="0" w:color="auto"/>
        <w:bottom w:val="none" w:sz="0" w:space="0" w:color="auto"/>
        <w:right w:val="none" w:sz="0" w:space="0" w:color="auto"/>
      </w:divBdr>
    </w:div>
    <w:div w:id="105783393">
      <w:bodyDiv w:val="1"/>
      <w:marLeft w:val="0"/>
      <w:marRight w:val="0"/>
      <w:marTop w:val="0"/>
      <w:marBottom w:val="0"/>
      <w:divBdr>
        <w:top w:val="none" w:sz="0" w:space="0" w:color="auto"/>
        <w:left w:val="none" w:sz="0" w:space="0" w:color="auto"/>
        <w:bottom w:val="none" w:sz="0" w:space="0" w:color="auto"/>
        <w:right w:val="none" w:sz="0" w:space="0" w:color="auto"/>
      </w:divBdr>
    </w:div>
    <w:div w:id="1494878767">
      <w:marLeft w:val="0"/>
      <w:marRight w:val="0"/>
      <w:marTop w:val="0"/>
      <w:marBottom w:val="0"/>
      <w:divBdr>
        <w:top w:val="none" w:sz="0" w:space="0" w:color="auto"/>
        <w:left w:val="none" w:sz="0" w:space="0" w:color="auto"/>
        <w:bottom w:val="none" w:sz="0" w:space="0" w:color="auto"/>
        <w:right w:val="none" w:sz="0" w:space="0" w:color="auto"/>
      </w:divBdr>
    </w:div>
    <w:div w:id="1494878768">
      <w:marLeft w:val="0"/>
      <w:marRight w:val="0"/>
      <w:marTop w:val="0"/>
      <w:marBottom w:val="0"/>
      <w:divBdr>
        <w:top w:val="none" w:sz="0" w:space="0" w:color="auto"/>
        <w:left w:val="none" w:sz="0" w:space="0" w:color="auto"/>
        <w:bottom w:val="none" w:sz="0" w:space="0" w:color="auto"/>
        <w:right w:val="none" w:sz="0" w:space="0" w:color="auto"/>
      </w:divBdr>
    </w:div>
    <w:div w:id="1830948889">
      <w:bodyDiv w:val="1"/>
      <w:marLeft w:val="0"/>
      <w:marRight w:val="0"/>
      <w:marTop w:val="0"/>
      <w:marBottom w:val="0"/>
      <w:divBdr>
        <w:top w:val="none" w:sz="0" w:space="0" w:color="auto"/>
        <w:left w:val="none" w:sz="0" w:space="0" w:color="auto"/>
        <w:bottom w:val="none" w:sz="0" w:space="0" w:color="auto"/>
        <w:right w:val="none" w:sz="0" w:space="0" w:color="auto"/>
      </w:divBdr>
    </w:div>
    <w:div w:id="20179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media/image1.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428B9-6F43-4DF9-B921-60ACE4E4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1857</TotalTime>
  <Pages>28</Pages>
  <Words>4055</Words>
  <Characters>23118</Characters>
  <Application>Microsoft Office Word</Application>
  <DocSecurity>0</DocSecurity>
  <Lines>192</Lines>
  <Paragraphs>54</Paragraphs>
  <ScaleCrop>false</ScaleCrop>
  <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sirong han</cp:lastModifiedBy>
  <dcterms:modified xsi:type="dcterms:W3CDTF">2020-10-20T06:18:00Z</dcterms:modified>
  <cp:revision>357</cp:revision>
</cp:coreProperties>
</file>