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0F11D2" w:rsidRDefault="00AE3F5B" w:rsidP="0044723E">
      <w:pPr>
        <w:jc w:val="center"/>
        <w:rPr>
          <w:rFonts w:ascii="宋体" w:hAnsi="宋体"/>
          <w:b/>
          <w:bCs/>
          <w:sz w:val="48"/>
          <w:szCs w:val="30"/>
        </w:rPr>
      </w:pPr>
      <w:r w:rsidRPr="0044723E">
        <w:rPr>
          <w:rFonts w:ascii="宋体" w:hAnsi="宋体"/>
          <w:b/>
          <w:bCs/>
          <w:sz w:val="48"/>
          <w:szCs w:val="30"/>
        </w:rPr>
        <w:t xml:space="preserve"> </w:t>
      </w:r>
      <w:r w:rsidR="002B0942">
        <w:rPr>
          <w:rFonts w:ascii="宋体" w:hAnsi="宋体" w:hint="eastAsia"/>
          <w:b/>
          <w:bCs/>
          <w:sz w:val="48"/>
          <w:szCs w:val="30"/>
        </w:rPr>
        <w:t>南方全球精选配置证券投资基金</w:t>
      </w:r>
    </w:p>
    <w:p w:rsidR="0044723E" w:rsidRPr="0044723E" w:rsidRDefault="002B0942" w:rsidP="0044723E">
      <w:pPr>
        <w:jc w:val="center"/>
        <w:rPr>
          <w:rFonts w:ascii="宋体" w:hAnsi="宋体"/>
          <w:b/>
          <w:bCs/>
          <w:sz w:val="48"/>
          <w:szCs w:val="30"/>
        </w:rPr>
      </w:pPr>
      <w:r>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2B0942"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2B0942">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2B0942">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2B0942">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2B0942">
      <w:pPr>
        <w:pStyle w:val="-1"/>
        <w:ind w:left="281" w:hanging="281"/>
      </w:pPr>
      <w:r>
        <w:br w:type="page"/>
      </w:r>
      <w:r w:rsidR="002B0942">
        <w:rPr>
          <w:rFonts w:hint="eastAsia"/>
        </w:rPr>
        <w:lastRenderedPageBreak/>
        <w:t>重要提示</w:t>
      </w:r>
    </w:p>
    <w:p w:rsidR="002B0942" w:rsidRDefault="002B0942" w:rsidP="002B0942">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2B0942" w:rsidRDefault="002B0942" w:rsidP="002B0942">
      <w:pPr>
        <w:pStyle w:val="-"/>
        <w:ind w:firstLine="420"/>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2B0942" w:rsidRDefault="002B0942" w:rsidP="002B0942">
      <w:pPr>
        <w:pStyle w:val="-"/>
        <w:ind w:firstLine="420"/>
      </w:pPr>
      <w:r>
        <w:rPr>
          <w:rFonts w:hint="eastAsia"/>
        </w:rPr>
        <w:t>基金管理人承诺以诚实信用、勤勉尽责的原则管理和运用基金资产，但不保证基金一定盈利。</w:t>
      </w:r>
      <w:bookmarkStart w:id="2" w:name="_GoBack"/>
      <w:bookmarkEnd w:id="2"/>
    </w:p>
    <w:p w:rsidR="002B0942" w:rsidRDefault="002B0942" w:rsidP="002B0942">
      <w:pPr>
        <w:pStyle w:val="-"/>
        <w:ind w:firstLine="420"/>
      </w:pPr>
      <w:r>
        <w:rPr>
          <w:rFonts w:hint="eastAsia"/>
        </w:rPr>
        <w:t>基金的过往业绩并不代表其未来表现。投资有风险，投资者在作出投资决策前应仔细阅读本基金的招募说明书。</w:t>
      </w:r>
    </w:p>
    <w:p w:rsidR="002B0942" w:rsidRDefault="002B0942" w:rsidP="002B0942">
      <w:pPr>
        <w:pStyle w:val="-"/>
        <w:ind w:firstLine="420"/>
      </w:pPr>
      <w:r>
        <w:rPr>
          <w:rFonts w:hint="eastAsia"/>
        </w:rPr>
        <w:t>本报告中财务资料未经审计。</w:t>
      </w:r>
    </w:p>
    <w:p w:rsidR="002B0942" w:rsidRDefault="002B0942" w:rsidP="002B0942">
      <w:pPr>
        <w:pStyle w:val="-"/>
        <w:ind w:firstLine="420"/>
      </w:pPr>
      <w:r>
        <w:rPr>
          <w:rFonts w:hint="eastAsia"/>
        </w:rPr>
        <w:t>本报告期自2020年7月1日起至9月30日止。</w:t>
      </w:r>
    </w:p>
    <w:p w:rsidR="002B0942" w:rsidRDefault="002B0942" w:rsidP="002B0942">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2660"/>
        <w:gridCol w:w="5862"/>
      </w:tblGrid>
      <w:tr w:rsidR="002B0942" w:rsidTr="000F11D2">
        <w:tc>
          <w:tcPr>
            <w:tcW w:w="2660" w:type="dxa"/>
          </w:tcPr>
          <w:p w:rsidR="002B0942" w:rsidRDefault="002B0942" w:rsidP="002B0942">
            <w:pPr>
              <w:jc w:val="left"/>
            </w:pPr>
            <w:r>
              <w:rPr>
                <w:rFonts w:hint="eastAsia"/>
              </w:rPr>
              <w:t>基金简称</w:t>
            </w:r>
          </w:p>
        </w:tc>
        <w:tc>
          <w:tcPr>
            <w:tcW w:w="5862" w:type="dxa"/>
          </w:tcPr>
          <w:p w:rsidR="002B0942" w:rsidRDefault="002B0942" w:rsidP="002B0942">
            <w:pPr>
              <w:jc w:val="left"/>
            </w:pPr>
            <w:r>
              <w:rPr>
                <w:rFonts w:hint="eastAsia"/>
              </w:rPr>
              <w:t>南方全球精选配置</w:t>
            </w:r>
            <w:r>
              <w:rPr>
                <w:rFonts w:hint="eastAsia"/>
              </w:rPr>
              <w:t>(QDII-FOF)</w:t>
            </w:r>
          </w:p>
        </w:tc>
      </w:tr>
      <w:tr w:rsidR="002B0942" w:rsidTr="000F11D2">
        <w:tc>
          <w:tcPr>
            <w:tcW w:w="2660" w:type="dxa"/>
          </w:tcPr>
          <w:p w:rsidR="002B0942" w:rsidRDefault="002B0942" w:rsidP="002B0942">
            <w:pPr>
              <w:jc w:val="left"/>
            </w:pPr>
            <w:r>
              <w:rPr>
                <w:rFonts w:hint="eastAsia"/>
              </w:rPr>
              <w:t>基金主代码</w:t>
            </w:r>
          </w:p>
        </w:tc>
        <w:tc>
          <w:tcPr>
            <w:tcW w:w="5862" w:type="dxa"/>
          </w:tcPr>
          <w:p w:rsidR="002B0942" w:rsidRDefault="002B0942" w:rsidP="002B0942">
            <w:pPr>
              <w:jc w:val="left"/>
            </w:pPr>
            <w:r>
              <w:t>202801</w:t>
            </w:r>
          </w:p>
        </w:tc>
      </w:tr>
      <w:tr w:rsidR="002B0942" w:rsidTr="000F11D2">
        <w:tc>
          <w:tcPr>
            <w:tcW w:w="2660" w:type="dxa"/>
          </w:tcPr>
          <w:p w:rsidR="002B0942" w:rsidRDefault="002B0942" w:rsidP="002B0942">
            <w:pPr>
              <w:jc w:val="left"/>
            </w:pPr>
            <w:r>
              <w:rPr>
                <w:rFonts w:hint="eastAsia"/>
              </w:rPr>
              <w:t>交易代码</w:t>
            </w:r>
          </w:p>
        </w:tc>
        <w:tc>
          <w:tcPr>
            <w:tcW w:w="5862" w:type="dxa"/>
          </w:tcPr>
          <w:p w:rsidR="002B0942" w:rsidRDefault="002B0942" w:rsidP="002B0942">
            <w:pPr>
              <w:jc w:val="left"/>
            </w:pPr>
            <w:r>
              <w:t>202801</w:t>
            </w:r>
          </w:p>
        </w:tc>
      </w:tr>
      <w:tr w:rsidR="002B0942" w:rsidTr="000F11D2">
        <w:tc>
          <w:tcPr>
            <w:tcW w:w="2660" w:type="dxa"/>
          </w:tcPr>
          <w:p w:rsidR="002B0942" w:rsidRDefault="002B0942" w:rsidP="002B0942">
            <w:pPr>
              <w:jc w:val="left"/>
            </w:pPr>
            <w:r>
              <w:rPr>
                <w:rFonts w:hint="eastAsia"/>
              </w:rPr>
              <w:t>基金运作方式</w:t>
            </w:r>
          </w:p>
        </w:tc>
        <w:tc>
          <w:tcPr>
            <w:tcW w:w="5862" w:type="dxa"/>
          </w:tcPr>
          <w:p w:rsidR="002B0942" w:rsidRDefault="002B0942" w:rsidP="002B0942">
            <w:pPr>
              <w:jc w:val="left"/>
            </w:pPr>
            <w:r>
              <w:rPr>
                <w:rFonts w:hint="eastAsia"/>
              </w:rPr>
              <w:t>契约型开放式</w:t>
            </w:r>
          </w:p>
        </w:tc>
      </w:tr>
      <w:tr w:rsidR="002B0942" w:rsidTr="000F11D2">
        <w:tc>
          <w:tcPr>
            <w:tcW w:w="2660" w:type="dxa"/>
          </w:tcPr>
          <w:p w:rsidR="002B0942" w:rsidRDefault="002B0942" w:rsidP="002B0942">
            <w:pPr>
              <w:jc w:val="left"/>
            </w:pPr>
            <w:r>
              <w:rPr>
                <w:rFonts w:hint="eastAsia"/>
              </w:rPr>
              <w:t>基金合同生效日</w:t>
            </w:r>
          </w:p>
        </w:tc>
        <w:tc>
          <w:tcPr>
            <w:tcW w:w="5862" w:type="dxa"/>
          </w:tcPr>
          <w:p w:rsidR="002B0942" w:rsidRDefault="002B0942" w:rsidP="002B0942">
            <w:pPr>
              <w:jc w:val="left"/>
            </w:pPr>
            <w:r>
              <w:rPr>
                <w:rFonts w:hint="eastAsia"/>
              </w:rPr>
              <w:t>2007</w:t>
            </w:r>
            <w:r>
              <w:rPr>
                <w:rFonts w:hint="eastAsia"/>
              </w:rPr>
              <w:t>年</w:t>
            </w:r>
            <w:r>
              <w:rPr>
                <w:rFonts w:hint="eastAsia"/>
              </w:rPr>
              <w:t>9</w:t>
            </w:r>
            <w:r>
              <w:rPr>
                <w:rFonts w:hint="eastAsia"/>
              </w:rPr>
              <w:t>月</w:t>
            </w:r>
            <w:r>
              <w:rPr>
                <w:rFonts w:hint="eastAsia"/>
              </w:rPr>
              <w:t>19</w:t>
            </w:r>
            <w:r>
              <w:rPr>
                <w:rFonts w:hint="eastAsia"/>
              </w:rPr>
              <w:t>日</w:t>
            </w:r>
          </w:p>
        </w:tc>
      </w:tr>
      <w:tr w:rsidR="002B0942" w:rsidTr="000F11D2">
        <w:tc>
          <w:tcPr>
            <w:tcW w:w="2660" w:type="dxa"/>
          </w:tcPr>
          <w:p w:rsidR="002B0942" w:rsidRDefault="002B0942" w:rsidP="002B0942">
            <w:pPr>
              <w:jc w:val="left"/>
            </w:pPr>
            <w:r>
              <w:rPr>
                <w:rFonts w:hint="eastAsia"/>
              </w:rPr>
              <w:t>报告期末基金份额总额</w:t>
            </w:r>
          </w:p>
        </w:tc>
        <w:tc>
          <w:tcPr>
            <w:tcW w:w="5862" w:type="dxa"/>
          </w:tcPr>
          <w:p w:rsidR="002B0942" w:rsidRDefault="002B0942" w:rsidP="002B0942">
            <w:pPr>
              <w:jc w:val="left"/>
            </w:pPr>
            <w:r>
              <w:rPr>
                <w:rFonts w:hint="eastAsia"/>
              </w:rPr>
              <w:t>2,536,993,013.87</w:t>
            </w:r>
            <w:r>
              <w:rPr>
                <w:rFonts w:hint="eastAsia"/>
              </w:rPr>
              <w:t>份</w:t>
            </w:r>
          </w:p>
        </w:tc>
      </w:tr>
      <w:tr w:rsidR="002B0942" w:rsidTr="000F11D2">
        <w:tc>
          <w:tcPr>
            <w:tcW w:w="2660" w:type="dxa"/>
          </w:tcPr>
          <w:p w:rsidR="002B0942" w:rsidRDefault="002B0942" w:rsidP="002B0942">
            <w:pPr>
              <w:jc w:val="left"/>
            </w:pPr>
            <w:r>
              <w:rPr>
                <w:rFonts w:hint="eastAsia"/>
              </w:rPr>
              <w:t>投资目标</w:t>
            </w:r>
          </w:p>
        </w:tc>
        <w:tc>
          <w:tcPr>
            <w:tcW w:w="5862" w:type="dxa"/>
          </w:tcPr>
          <w:p w:rsidR="002B0942" w:rsidRDefault="002B0942" w:rsidP="002B0942">
            <w:pPr>
              <w:jc w:val="left"/>
            </w:pPr>
            <w:r>
              <w:rPr>
                <w:rFonts w:hint="eastAsia"/>
              </w:rPr>
              <w:t>通过基金全球化的资产配置和组合管理，实现组合资产的分散化投资，在降低组合波动性的同时，实现基金资产的最大增值。</w:t>
            </w:r>
          </w:p>
        </w:tc>
      </w:tr>
      <w:tr w:rsidR="002B0942" w:rsidTr="000F11D2">
        <w:tc>
          <w:tcPr>
            <w:tcW w:w="2660" w:type="dxa"/>
          </w:tcPr>
          <w:p w:rsidR="002B0942" w:rsidRDefault="002B0942" w:rsidP="002B0942">
            <w:pPr>
              <w:jc w:val="left"/>
            </w:pPr>
            <w:r>
              <w:rPr>
                <w:rFonts w:hint="eastAsia"/>
              </w:rPr>
              <w:t>投资策略</w:t>
            </w:r>
          </w:p>
        </w:tc>
        <w:tc>
          <w:tcPr>
            <w:tcW w:w="5862" w:type="dxa"/>
          </w:tcPr>
          <w:p w:rsidR="002B0942" w:rsidRDefault="002B0942" w:rsidP="002B0942">
            <w:pPr>
              <w:jc w:val="left"/>
            </w:pPr>
            <w:r>
              <w:rPr>
                <w:rFonts w:hint="eastAsia"/>
              </w:rPr>
              <w:t>本基金在基金资产的配置上采取战略性资产配置和战术性资产配置相结合的配置策略，在有效分散风险的基础上，提高基金资产的收益。</w:t>
            </w:r>
            <w:r>
              <w:rPr>
                <w:rFonts w:hint="eastAsia"/>
              </w:rPr>
              <w:t xml:space="preserve"> 1</w:t>
            </w:r>
            <w:r>
              <w:rPr>
                <w:rFonts w:hint="eastAsia"/>
              </w:rPr>
              <w:t>、战略性资产配置策略（</w:t>
            </w:r>
            <w:r>
              <w:rPr>
                <w:rFonts w:hint="eastAsia"/>
              </w:rPr>
              <w:t>Strategic Asset Allocation</w:t>
            </w:r>
            <w:r>
              <w:rPr>
                <w:rFonts w:hint="eastAsia"/>
              </w:rPr>
              <w:t>）</w:t>
            </w:r>
            <w:r>
              <w:rPr>
                <w:rFonts w:hint="eastAsia"/>
              </w:rPr>
              <w:t xml:space="preserve"> </w:t>
            </w:r>
            <w:r>
              <w:rPr>
                <w:rFonts w:hint="eastAsia"/>
              </w:rPr>
              <w:t>在宏观经济与地区经济分析、掌握全球经济趋势的基础上，通过量化分析，确定资产种类</w:t>
            </w:r>
            <w:r>
              <w:rPr>
                <w:rFonts w:hint="eastAsia"/>
              </w:rPr>
              <w:t>(Asset Class)</w:t>
            </w:r>
            <w:r>
              <w:rPr>
                <w:rFonts w:hint="eastAsia"/>
              </w:rPr>
              <w:t>与权重，并定期进行回顾和动态调整。</w:t>
            </w:r>
            <w:r>
              <w:rPr>
                <w:rFonts w:hint="eastAsia"/>
              </w:rPr>
              <w:t xml:space="preserve"> 2</w:t>
            </w:r>
            <w:r>
              <w:rPr>
                <w:rFonts w:hint="eastAsia"/>
              </w:rPr>
              <w:t>、战术性资产配置策略（</w:t>
            </w:r>
            <w:r>
              <w:rPr>
                <w:rFonts w:hint="eastAsia"/>
              </w:rPr>
              <w:t>Tactical Asset Allocation</w:t>
            </w:r>
            <w:r>
              <w:rPr>
                <w:rFonts w:hint="eastAsia"/>
              </w:rPr>
              <w:t>）</w:t>
            </w:r>
            <w:r>
              <w:rPr>
                <w:rFonts w:hint="eastAsia"/>
              </w:rPr>
              <w:t xml:space="preserve"> </w:t>
            </w:r>
            <w:r>
              <w:rPr>
                <w:rFonts w:hint="eastAsia"/>
              </w:rPr>
              <w:t>在成熟市场和新兴市场中根据不同国家和地区经济发展及证券市场的发展变化对资产进行国家及区域配置，在不同国家的配置比例上采用“全球资产配置量化”模型进行配置和调整。由于短期市场会受到一些非理性或者非基本面因素的影响而产生波动，基金经理将根据对不同因素的研究与判断，对基金投资组合进行调整，以降低投资组合的投资风险。本基金的大部分资产将投资于</w:t>
            </w:r>
            <w:r>
              <w:rPr>
                <w:rFonts w:hint="eastAsia"/>
              </w:rPr>
              <w:t>ETF</w:t>
            </w:r>
            <w:r>
              <w:rPr>
                <w:rFonts w:hint="eastAsia"/>
              </w:rPr>
              <w:t>基金、股票型基金和在香港市场投资于公开发行、上市的股票。利用定量和定性的方</w:t>
            </w:r>
            <w:r>
              <w:rPr>
                <w:rFonts w:hint="eastAsia"/>
              </w:rPr>
              <w:lastRenderedPageBreak/>
              <w:t>式筛选基金，在香港市场的选股策略的主要标准：</w:t>
            </w:r>
            <w:r>
              <w:rPr>
                <w:rFonts w:hint="eastAsia"/>
              </w:rPr>
              <w:t xml:space="preserve"> </w:t>
            </w:r>
            <w:r>
              <w:rPr>
                <w:rFonts w:hint="eastAsia"/>
              </w:rPr>
              <w:t>市场及行业地位（</w:t>
            </w:r>
            <w:r>
              <w:rPr>
                <w:rFonts w:hint="eastAsia"/>
              </w:rPr>
              <w:t>market position</w:t>
            </w:r>
            <w:r>
              <w:rPr>
                <w:rFonts w:hint="eastAsia"/>
              </w:rPr>
              <w:t>）、估值（</w:t>
            </w:r>
            <w:r>
              <w:rPr>
                <w:rFonts w:hint="eastAsia"/>
              </w:rPr>
              <w:t>intrinsic value</w:t>
            </w:r>
            <w:r>
              <w:rPr>
                <w:rFonts w:hint="eastAsia"/>
              </w:rPr>
              <w:t>）、盈利预期（</w:t>
            </w:r>
            <w:r>
              <w:rPr>
                <w:rFonts w:hint="eastAsia"/>
              </w:rPr>
              <w:t>earning surprise</w:t>
            </w:r>
            <w:r>
              <w:rPr>
                <w:rFonts w:hint="eastAsia"/>
              </w:rPr>
              <w:t>）、和良好的趋势（</w:t>
            </w:r>
            <w:r>
              <w:rPr>
                <w:rFonts w:hint="eastAsia"/>
              </w:rPr>
              <w:t>investment trend</w:t>
            </w:r>
            <w:r>
              <w:rPr>
                <w:rFonts w:hint="eastAsia"/>
              </w:rPr>
              <w:t>）。</w:t>
            </w:r>
          </w:p>
        </w:tc>
      </w:tr>
      <w:tr w:rsidR="002B0942" w:rsidTr="000F11D2">
        <w:tc>
          <w:tcPr>
            <w:tcW w:w="2660" w:type="dxa"/>
          </w:tcPr>
          <w:p w:rsidR="002B0942" w:rsidRDefault="002B0942" w:rsidP="002B0942">
            <w:pPr>
              <w:jc w:val="left"/>
            </w:pPr>
            <w:r>
              <w:rPr>
                <w:rFonts w:hint="eastAsia"/>
              </w:rPr>
              <w:lastRenderedPageBreak/>
              <w:t>业绩比较基准</w:t>
            </w:r>
          </w:p>
        </w:tc>
        <w:tc>
          <w:tcPr>
            <w:tcW w:w="5862" w:type="dxa"/>
          </w:tcPr>
          <w:p w:rsidR="002B0942" w:rsidRDefault="002B0942" w:rsidP="002B0942">
            <w:pPr>
              <w:jc w:val="left"/>
            </w:pPr>
            <w:r>
              <w:rPr>
                <w:rFonts w:hint="eastAsia"/>
              </w:rPr>
              <w:t>60%</w:t>
            </w:r>
            <w:r>
              <w:rPr>
                <w:rFonts w:hint="eastAsia"/>
              </w:rPr>
              <w:t>×</w:t>
            </w:r>
            <w:r>
              <w:rPr>
                <w:rFonts w:hint="eastAsia"/>
              </w:rPr>
              <w:t>MSCI</w:t>
            </w:r>
            <w:r>
              <w:rPr>
                <w:rFonts w:hint="eastAsia"/>
              </w:rPr>
              <w:t>世界指数（</w:t>
            </w:r>
            <w:r>
              <w:rPr>
                <w:rFonts w:hint="eastAsia"/>
              </w:rPr>
              <w:t>MSCI World Index</w:t>
            </w:r>
            <w:r>
              <w:rPr>
                <w:rFonts w:hint="eastAsia"/>
              </w:rPr>
              <w:t>）</w:t>
            </w:r>
            <w:r>
              <w:rPr>
                <w:rFonts w:hint="eastAsia"/>
              </w:rPr>
              <w:t>+40%</w:t>
            </w:r>
            <w:r>
              <w:rPr>
                <w:rFonts w:hint="eastAsia"/>
              </w:rPr>
              <w:t>×</w:t>
            </w:r>
            <w:r>
              <w:rPr>
                <w:rFonts w:hint="eastAsia"/>
              </w:rPr>
              <w:t>MSCI</w:t>
            </w:r>
            <w:r>
              <w:rPr>
                <w:rFonts w:hint="eastAsia"/>
              </w:rPr>
              <w:t>新兴市场指数（</w:t>
            </w:r>
            <w:r>
              <w:rPr>
                <w:rFonts w:hint="eastAsia"/>
              </w:rPr>
              <w:t>MSCI Emerging Markets Index</w:t>
            </w:r>
            <w:r>
              <w:rPr>
                <w:rFonts w:hint="eastAsia"/>
              </w:rPr>
              <w:t>）。</w:t>
            </w:r>
          </w:p>
        </w:tc>
      </w:tr>
      <w:tr w:rsidR="002B0942" w:rsidTr="000F11D2">
        <w:tc>
          <w:tcPr>
            <w:tcW w:w="2660" w:type="dxa"/>
          </w:tcPr>
          <w:p w:rsidR="002B0942" w:rsidRDefault="002B0942" w:rsidP="002B0942">
            <w:pPr>
              <w:jc w:val="left"/>
            </w:pPr>
            <w:r>
              <w:rPr>
                <w:rFonts w:hint="eastAsia"/>
              </w:rPr>
              <w:t>风险收益特征</w:t>
            </w:r>
          </w:p>
        </w:tc>
        <w:tc>
          <w:tcPr>
            <w:tcW w:w="5862" w:type="dxa"/>
          </w:tcPr>
          <w:p w:rsidR="002B0942" w:rsidRDefault="002B0942" w:rsidP="002B0942">
            <w:pPr>
              <w:jc w:val="left"/>
            </w:pPr>
            <w:r>
              <w:rPr>
                <w:rFonts w:hint="eastAsia"/>
              </w:rPr>
              <w:t>本基金为基金中基金，属于中等偏高预期风险和预期收益的证券投资基金品种，其预期风险和收益水平低于全球股票型基金、高于债券基金及货币市场基金。</w:t>
            </w:r>
          </w:p>
        </w:tc>
      </w:tr>
      <w:tr w:rsidR="002B0942" w:rsidTr="000F11D2">
        <w:tc>
          <w:tcPr>
            <w:tcW w:w="2660" w:type="dxa"/>
          </w:tcPr>
          <w:p w:rsidR="002B0942" w:rsidRDefault="002B0942" w:rsidP="002B0942">
            <w:pPr>
              <w:jc w:val="left"/>
            </w:pPr>
            <w:r>
              <w:rPr>
                <w:rFonts w:hint="eastAsia"/>
              </w:rPr>
              <w:t>基金管理人</w:t>
            </w:r>
          </w:p>
        </w:tc>
        <w:tc>
          <w:tcPr>
            <w:tcW w:w="5862" w:type="dxa"/>
          </w:tcPr>
          <w:p w:rsidR="002B0942" w:rsidRDefault="002B0942" w:rsidP="002B0942">
            <w:pPr>
              <w:jc w:val="left"/>
            </w:pPr>
            <w:r>
              <w:rPr>
                <w:rFonts w:hint="eastAsia"/>
              </w:rPr>
              <w:t>南方基金管理股份有限公司</w:t>
            </w:r>
          </w:p>
        </w:tc>
      </w:tr>
      <w:tr w:rsidR="002B0942" w:rsidTr="000F11D2">
        <w:tc>
          <w:tcPr>
            <w:tcW w:w="2660" w:type="dxa"/>
          </w:tcPr>
          <w:p w:rsidR="002B0942" w:rsidRDefault="002B0942" w:rsidP="002B0942">
            <w:pPr>
              <w:jc w:val="left"/>
            </w:pPr>
            <w:r>
              <w:rPr>
                <w:rFonts w:hint="eastAsia"/>
              </w:rPr>
              <w:t>基金托管人</w:t>
            </w:r>
          </w:p>
        </w:tc>
        <w:tc>
          <w:tcPr>
            <w:tcW w:w="5862" w:type="dxa"/>
          </w:tcPr>
          <w:p w:rsidR="002B0942" w:rsidRDefault="002B0942" w:rsidP="002B0942">
            <w:pPr>
              <w:jc w:val="left"/>
            </w:pPr>
            <w:r>
              <w:rPr>
                <w:rFonts w:hint="eastAsia"/>
              </w:rPr>
              <w:t>中国工商银行股份有限公司</w:t>
            </w:r>
          </w:p>
        </w:tc>
      </w:tr>
      <w:tr w:rsidR="002B0942" w:rsidTr="000F11D2">
        <w:tc>
          <w:tcPr>
            <w:tcW w:w="2660" w:type="dxa"/>
            <w:vMerge w:val="restart"/>
          </w:tcPr>
          <w:p w:rsidR="002B0942" w:rsidRDefault="002B0942" w:rsidP="002B0942">
            <w:pPr>
              <w:jc w:val="left"/>
            </w:pPr>
            <w:r>
              <w:rPr>
                <w:rFonts w:hint="eastAsia"/>
              </w:rPr>
              <w:t>境外资产托管人</w:t>
            </w:r>
          </w:p>
        </w:tc>
        <w:tc>
          <w:tcPr>
            <w:tcW w:w="5862" w:type="dxa"/>
          </w:tcPr>
          <w:p w:rsidR="002B0942" w:rsidRDefault="002B0942" w:rsidP="002B0942">
            <w:pPr>
              <w:jc w:val="left"/>
            </w:pPr>
            <w:r>
              <w:rPr>
                <w:rFonts w:hint="eastAsia"/>
              </w:rPr>
              <w:t>英文名称：</w:t>
            </w:r>
            <w:r>
              <w:rPr>
                <w:rFonts w:hint="eastAsia"/>
              </w:rPr>
              <w:t>The Bank of New York Mellon Corporation</w:t>
            </w:r>
          </w:p>
        </w:tc>
      </w:tr>
      <w:tr w:rsidR="002B0942" w:rsidTr="000F11D2">
        <w:tc>
          <w:tcPr>
            <w:tcW w:w="2660" w:type="dxa"/>
            <w:vMerge/>
          </w:tcPr>
          <w:p w:rsidR="002B0942" w:rsidRDefault="002B0942" w:rsidP="002B0942">
            <w:pPr>
              <w:jc w:val="left"/>
            </w:pPr>
          </w:p>
        </w:tc>
        <w:tc>
          <w:tcPr>
            <w:tcW w:w="5862" w:type="dxa"/>
          </w:tcPr>
          <w:p w:rsidR="002B0942" w:rsidRDefault="002B0942" w:rsidP="002B0942">
            <w:pPr>
              <w:jc w:val="left"/>
            </w:pPr>
            <w:r>
              <w:rPr>
                <w:rFonts w:hint="eastAsia"/>
              </w:rPr>
              <w:t>中文名称：纽约梅隆银行股份有限公司</w:t>
            </w:r>
          </w:p>
        </w:tc>
      </w:tr>
    </w:tbl>
    <w:p w:rsidR="002B0942" w:rsidRDefault="002B0942" w:rsidP="002B0942">
      <w:pPr>
        <w:pStyle w:val="-8"/>
      </w:pPr>
      <w:r>
        <w:rPr>
          <w:rFonts w:hint="eastAsia"/>
        </w:rPr>
        <w:t>注：本基金在交易所行情系统净值揭示等其他信息披露场合下，可简称为“南方全球”。</w:t>
      </w:r>
    </w:p>
    <w:p w:rsidR="002B0942" w:rsidRDefault="002B0942" w:rsidP="002B0942">
      <w:pPr>
        <w:pStyle w:val="-1"/>
        <w:ind w:left="281" w:hanging="281"/>
      </w:pPr>
      <w:r>
        <w:rPr>
          <w:rFonts w:hint="eastAsia"/>
        </w:rPr>
        <w:t>主要财务指标和基金净值表现</w:t>
      </w:r>
    </w:p>
    <w:p w:rsidR="002B0942" w:rsidRDefault="002B0942" w:rsidP="002B0942">
      <w:pPr>
        <w:pStyle w:val="-2"/>
        <w:spacing w:before="312"/>
      </w:pPr>
      <w:r>
        <w:rPr>
          <w:rFonts w:hint="eastAsia"/>
        </w:rPr>
        <w:t>主要财务指标</w:t>
      </w:r>
    </w:p>
    <w:p w:rsidR="002B0942" w:rsidRDefault="002B0942" w:rsidP="002B0942">
      <w:pPr>
        <w:jc w:val="right"/>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2B0942" w:rsidTr="002B0942">
        <w:trPr>
          <w:cnfStyle w:val="100000000000" w:firstRow="1" w:lastRow="0" w:firstColumn="0" w:lastColumn="0" w:oddVBand="0" w:evenVBand="0" w:oddHBand="0" w:evenHBand="0" w:firstRowFirstColumn="0" w:firstRowLastColumn="0" w:lastRowFirstColumn="0" w:lastRowLastColumn="0"/>
        </w:trPr>
        <w:tc>
          <w:tcPr>
            <w:tcW w:w="3345" w:type="dxa"/>
          </w:tcPr>
          <w:p w:rsidR="002B0942" w:rsidRDefault="002B0942" w:rsidP="002B0942">
            <w:pPr>
              <w:jc w:val="center"/>
            </w:pPr>
            <w:r>
              <w:rPr>
                <w:rFonts w:hint="eastAsia"/>
              </w:rPr>
              <w:t>主要财务指标</w:t>
            </w:r>
          </w:p>
        </w:tc>
        <w:tc>
          <w:tcPr>
            <w:tcW w:w="5160" w:type="dxa"/>
          </w:tcPr>
          <w:p w:rsidR="002B0942" w:rsidRDefault="002B0942" w:rsidP="002B0942">
            <w:pPr>
              <w:jc w:val="cente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2B0942" w:rsidTr="002B0942">
        <w:tc>
          <w:tcPr>
            <w:tcW w:w="3345" w:type="dxa"/>
          </w:tcPr>
          <w:p w:rsidR="002B0942" w:rsidRDefault="002B0942" w:rsidP="002B0942">
            <w:pPr>
              <w:jc w:val="left"/>
            </w:pPr>
            <w:r>
              <w:rPr>
                <w:rFonts w:hint="eastAsia"/>
              </w:rPr>
              <w:t>1.</w:t>
            </w:r>
            <w:r>
              <w:rPr>
                <w:rFonts w:hint="eastAsia"/>
              </w:rPr>
              <w:t>本期已实现收益</w:t>
            </w:r>
          </w:p>
        </w:tc>
        <w:tc>
          <w:tcPr>
            <w:tcW w:w="5160" w:type="dxa"/>
          </w:tcPr>
          <w:p w:rsidR="002B0942" w:rsidRDefault="002B0942" w:rsidP="002B0942">
            <w:pPr>
              <w:jc w:val="right"/>
            </w:pPr>
            <w:r>
              <w:t>137,560,889.64</w:t>
            </w:r>
          </w:p>
        </w:tc>
      </w:tr>
      <w:tr w:rsidR="002B0942" w:rsidTr="002B0942">
        <w:tc>
          <w:tcPr>
            <w:tcW w:w="3345" w:type="dxa"/>
          </w:tcPr>
          <w:p w:rsidR="002B0942" w:rsidRDefault="002B0942" w:rsidP="002B0942">
            <w:pPr>
              <w:jc w:val="left"/>
            </w:pPr>
            <w:r>
              <w:rPr>
                <w:rFonts w:hint="eastAsia"/>
              </w:rPr>
              <w:t>2.</w:t>
            </w:r>
            <w:r>
              <w:rPr>
                <w:rFonts w:hint="eastAsia"/>
              </w:rPr>
              <w:t>本期利润</w:t>
            </w:r>
          </w:p>
        </w:tc>
        <w:tc>
          <w:tcPr>
            <w:tcW w:w="5160" w:type="dxa"/>
          </w:tcPr>
          <w:p w:rsidR="002B0942" w:rsidRDefault="002B0942" w:rsidP="002B0942">
            <w:pPr>
              <w:jc w:val="right"/>
            </w:pPr>
            <w:r>
              <w:t>211,844,391.95</w:t>
            </w:r>
          </w:p>
        </w:tc>
      </w:tr>
      <w:tr w:rsidR="002B0942" w:rsidTr="002B0942">
        <w:tc>
          <w:tcPr>
            <w:tcW w:w="3345" w:type="dxa"/>
          </w:tcPr>
          <w:p w:rsidR="002B0942" w:rsidRDefault="002B0942" w:rsidP="002B0942">
            <w:pPr>
              <w:jc w:val="left"/>
            </w:pPr>
            <w:r>
              <w:rPr>
                <w:rFonts w:hint="eastAsia"/>
              </w:rPr>
              <w:t>3.</w:t>
            </w:r>
            <w:r>
              <w:rPr>
                <w:rFonts w:hint="eastAsia"/>
              </w:rPr>
              <w:t>加权平均基金份额本期利润</w:t>
            </w:r>
          </w:p>
        </w:tc>
        <w:tc>
          <w:tcPr>
            <w:tcW w:w="5160" w:type="dxa"/>
          </w:tcPr>
          <w:p w:rsidR="002B0942" w:rsidRDefault="002B0942" w:rsidP="002B0942">
            <w:pPr>
              <w:jc w:val="right"/>
            </w:pPr>
            <w:r>
              <w:t>0.0787</w:t>
            </w:r>
          </w:p>
        </w:tc>
      </w:tr>
      <w:tr w:rsidR="002B0942" w:rsidTr="002B0942">
        <w:tc>
          <w:tcPr>
            <w:tcW w:w="3345" w:type="dxa"/>
          </w:tcPr>
          <w:p w:rsidR="002B0942" w:rsidRDefault="002B0942" w:rsidP="002B0942">
            <w:pPr>
              <w:jc w:val="left"/>
            </w:pPr>
            <w:r>
              <w:rPr>
                <w:rFonts w:hint="eastAsia"/>
              </w:rPr>
              <w:t>4.</w:t>
            </w:r>
            <w:r>
              <w:rPr>
                <w:rFonts w:hint="eastAsia"/>
              </w:rPr>
              <w:t>期末基金资产净值</w:t>
            </w:r>
          </w:p>
        </w:tc>
        <w:tc>
          <w:tcPr>
            <w:tcW w:w="5160" w:type="dxa"/>
          </w:tcPr>
          <w:p w:rsidR="002B0942" w:rsidRDefault="002B0942" w:rsidP="002B0942">
            <w:pPr>
              <w:jc w:val="right"/>
            </w:pPr>
            <w:r>
              <w:t>3,016,188,032.18</w:t>
            </w:r>
          </w:p>
        </w:tc>
      </w:tr>
      <w:tr w:rsidR="002B0942" w:rsidTr="002B0942">
        <w:tc>
          <w:tcPr>
            <w:tcW w:w="3345" w:type="dxa"/>
          </w:tcPr>
          <w:p w:rsidR="002B0942" w:rsidRDefault="002B0942" w:rsidP="002B0942">
            <w:pPr>
              <w:jc w:val="left"/>
            </w:pPr>
            <w:r>
              <w:rPr>
                <w:rFonts w:hint="eastAsia"/>
              </w:rPr>
              <w:t>5.</w:t>
            </w:r>
            <w:r>
              <w:rPr>
                <w:rFonts w:hint="eastAsia"/>
              </w:rPr>
              <w:t>期末基金份额净值</w:t>
            </w:r>
          </w:p>
        </w:tc>
        <w:tc>
          <w:tcPr>
            <w:tcW w:w="5160" w:type="dxa"/>
          </w:tcPr>
          <w:p w:rsidR="002B0942" w:rsidRDefault="002B0942" w:rsidP="002B0942">
            <w:pPr>
              <w:jc w:val="right"/>
            </w:pPr>
            <w:r>
              <w:t>1.189</w:t>
            </w:r>
          </w:p>
        </w:tc>
      </w:tr>
    </w:tbl>
    <w:p w:rsidR="002B0942" w:rsidRDefault="002B0942" w:rsidP="002B0942">
      <w:pPr>
        <w:pStyle w:val="-8"/>
      </w:pPr>
      <w:r>
        <w:rPr>
          <w:rFonts w:hint="eastAsia"/>
        </w:rPr>
        <w:t>注：1、上述基金业绩指标不包括持有人认购或交易基金的各项费用，计入费用后实际收益水平要低于所列数字；</w:t>
      </w:r>
    </w:p>
    <w:p w:rsidR="002B0942" w:rsidRDefault="002B0942" w:rsidP="002B0942">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2B0942" w:rsidRDefault="002B0942" w:rsidP="002B0942">
      <w:pPr>
        <w:pStyle w:val="-2"/>
        <w:spacing w:before="312"/>
      </w:pPr>
      <w:r>
        <w:rPr>
          <w:rFonts w:hint="eastAsia"/>
        </w:rPr>
        <w:t>基金净值表现</w:t>
      </w:r>
    </w:p>
    <w:p w:rsidR="002B0942" w:rsidRDefault="002B0942" w:rsidP="002B0942">
      <w:pPr>
        <w:pStyle w:val="-3"/>
        <w:spacing w:before="156" w:after="156"/>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2B0942" w:rsidTr="002B0942">
        <w:trPr>
          <w:cnfStyle w:val="100000000000" w:firstRow="1" w:lastRow="0" w:firstColumn="0" w:lastColumn="0" w:oddVBand="0" w:evenVBand="0" w:oddHBand="0" w:evenHBand="0" w:firstRowFirstColumn="0" w:firstRowLastColumn="0" w:lastRowFirstColumn="0" w:lastRowLastColumn="0"/>
        </w:trPr>
        <w:tc>
          <w:tcPr>
            <w:tcW w:w="1429" w:type="dxa"/>
          </w:tcPr>
          <w:p w:rsidR="002B0942" w:rsidRDefault="002B0942" w:rsidP="002B0942">
            <w:pPr>
              <w:jc w:val="center"/>
            </w:pPr>
            <w:r>
              <w:rPr>
                <w:rFonts w:hint="eastAsia"/>
              </w:rPr>
              <w:t>阶段</w:t>
            </w:r>
          </w:p>
        </w:tc>
        <w:tc>
          <w:tcPr>
            <w:tcW w:w="1315" w:type="dxa"/>
          </w:tcPr>
          <w:p w:rsidR="002B0942" w:rsidRDefault="002B0942" w:rsidP="002B0942">
            <w:pPr>
              <w:jc w:val="center"/>
            </w:pPr>
            <w:r>
              <w:rPr>
                <w:rFonts w:hint="eastAsia"/>
              </w:rPr>
              <w:t>份额净值增长率①</w:t>
            </w:r>
          </w:p>
        </w:tc>
        <w:tc>
          <w:tcPr>
            <w:tcW w:w="1315" w:type="dxa"/>
          </w:tcPr>
          <w:p w:rsidR="002B0942" w:rsidRDefault="002B0942" w:rsidP="002B0942">
            <w:pPr>
              <w:jc w:val="center"/>
            </w:pPr>
            <w:r>
              <w:rPr>
                <w:rFonts w:hint="eastAsia"/>
              </w:rPr>
              <w:t>份额净值增长率标准差②</w:t>
            </w:r>
          </w:p>
        </w:tc>
        <w:tc>
          <w:tcPr>
            <w:tcW w:w="1315" w:type="dxa"/>
          </w:tcPr>
          <w:p w:rsidR="002B0942" w:rsidRDefault="002B0942" w:rsidP="002B0942">
            <w:pPr>
              <w:jc w:val="center"/>
            </w:pPr>
            <w:r>
              <w:rPr>
                <w:rFonts w:hint="eastAsia"/>
              </w:rPr>
              <w:t>业绩比较基准收益率③</w:t>
            </w:r>
          </w:p>
        </w:tc>
        <w:tc>
          <w:tcPr>
            <w:tcW w:w="1315" w:type="dxa"/>
          </w:tcPr>
          <w:p w:rsidR="002B0942" w:rsidRDefault="002B0942" w:rsidP="002B0942">
            <w:pPr>
              <w:jc w:val="center"/>
            </w:pPr>
            <w:r>
              <w:rPr>
                <w:rFonts w:hint="eastAsia"/>
              </w:rPr>
              <w:t>业绩比较基准收益率标准差④</w:t>
            </w:r>
          </w:p>
        </w:tc>
        <w:tc>
          <w:tcPr>
            <w:tcW w:w="907" w:type="dxa"/>
          </w:tcPr>
          <w:p w:rsidR="002B0942" w:rsidRDefault="002B0942" w:rsidP="002B0942">
            <w:pPr>
              <w:jc w:val="center"/>
            </w:pPr>
            <w:r>
              <w:rPr>
                <w:rFonts w:hint="eastAsia"/>
              </w:rPr>
              <w:t>①</w:t>
            </w:r>
            <w:r>
              <w:rPr>
                <w:rFonts w:hint="eastAsia"/>
              </w:rPr>
              <w:t>-</w:t>
            </w:r>
            <w:r>
              <w:rPr>
                <w:rFonts w:hint="eastAsia"/>
              </w:rPr>
              <w:t>③</w:t>
            </w:r>
          </w:p>
        </w:tc>
        <w:tc>
          <w:tcPr>
            <w:tcW w:w="907" w:type="dxa"/>
          </w:tcPr>
          <w:p w:rsidR="002B0942" w:rsidRDefault="002B0942" w:rsidP="002B0942">
            <w:pPr>
              <w:jc w:val="center"/>
            </w:pPr>
            <w:r>
              <w:rPr>
                <w:rFonts w:hint="eastAsia"/>
              </w:rPr>
              <w:t>②</w:t>
            </w:r>
            <w:r>
              <w:rPr>
                <w:rFonts w:hint="eastAsia"/>
              </w:rPr>
              <w:t>-</w:t>
            </w:r>
            <w:r>
              <w:rPr>
                <w:rFonts w:hint="eastAsia"/>
              </w:rPr>
              <w:t>④</w:t>
            </w:r>
          </w:p>
        </w:tc>
      </w:tr>
      <w:tr w:rsidR="002B0942" w:rsidTr="002B0942">
        <w:tc>
          <w:tcPr>
            <w:tcW w:w="1429" w:type="dxa"/>
          </w:tcPr>
          <w:p w:rsidR="002B0942" w:rsidRDefault="002B0942" w:rsidP="002B0942">
            <w:pPr>
              <w:jc w:val="left"/>
            </w:pPr>
            <w:r>
              <w:rPr>
                <w:rFonts w:hint="eastAsia"/>
              </w:rPr>
              <w:t>过去三个月</w:t>
            </w:r>
          </w:p>
        </w:tc>
        <w:tc>
          <w:tcPr>
            <w:tcW w:w="1315" w:type="dxa"/>
          </w:tcPr>
          <w:p w:rsidR="002B0942" w:rsidRDefault="002B0942" w:rsidP="002B0942">
            <w:pPr>
              <w:jc w:val="right"/>
            </w:pPr>
            <w:r>
              <w:t>6.45%</w:t>
            </w:r>
          </w:p>
        </w:tc>
        <w:tc>
          <w:tcPr>
            <w:tcW w:w="1315" w:type="dxa"/>
          </w:tcPr>
          <w:p w:rsidR="002B0942" w:rsidRDefault="002B0942" w:rsidP="002B0942">
            <w:pPr>
              <w:jc w:val="right"/>
            </w:pPr>
            <w:r>
              <w:t>0.85%</w:t>
            </w:r>
          </w:p>
        </w:tc>
        <w:tc>
          <w:tcPr>
            <w:tcW w:w="1315" w:type="dxa"/>
          </w:tcPr>
          <w:p w:rsidR="002B0942" w:rsidRDefault="002B0942" w:rsidP="002B0942">
            <w:pPr>
              <w:jc w:val="right"/>
            </w:pPr>
            <w:r>
              <w:t>3.97%</w:t>
            </w:r>
          </w:p>
        </w:tc>
        <w:tc>
          <w:tcPr>
            <w:tcW w:w="1315" w:type="dxa"/>
          </w:tcPr>
          <w:p w:rsidR="002B0942" w:rsidRDefault="002B0942" w:rsidP="002B0942">
            <w:pPr>
              <w:jc w:val="right"/>
            </w:pPr>
            <w:r>
              <w:t>0.84%</w:t>
            </w:r>
          </w:p>
        </w:tc>
        <w:tc>
          <w:tcPr>
            <w:tcW w:w="907" w:type="dxa"/>
          </w:tcPr>
          <w:p w:rsidR="002B0942" w:rsidRDefault="002B0942" w:rsidP="002B0942">
            <w:pPr>
              <w:jc w:val="right"/>
            </w:pPr>
            <w:r>
              <w:t>2.48%</w:t>
            </w:r>
          </w:p>
        </w:tc>
        <w:tc>
          <w:tcPr>
            <w:tcW w:w="907" w:type="dxa"/>
          </w:tcPr>
          <w:p w:rsidR="002B0942" w:rsidRDefault="002B0942" w:rsidP="002B0942">
            <w:pPr>
              <w:jc w:val="right"/>
            </w:pPr>
            <w:r>
              <w:t>0.01%</w:t>
            </w:r>
          </w:p>
        </w:tc>
      </w:tr>
      <w:tr w:rsidR="002B0942" w:rsidTr="002B0942">
        <w:tc>
          <w:tcPr>
            <w:tcW w:w="1429" w:type="dxa"/>
          </w:tcPr>
          <w:p w:rsidR="002B0942" w:rsidRDefault="002B0942" w:rsidP="002B0942">
            <w:pPr>
              <w:jc w:val="left"/>
            </w:pPr>
            <w:r>
              <w:rPr>
                <w:rFonts w:hint="eastAsia"/>
              </w:rPr>
              <w:t>过去六个月</w:t>
            </w:r>
          </w:p>
        </w:tc>
        <w:tc>
          <w:tcPr>
            <w:tcW w:w="1315" w:type="dxa"/>
          </w:tcPr>
          <w:p w:rsidR="002B0942" w:rsidRDefault="002B0942" w:rsidP="002B0942">
            <w:pPr>
              <w:jc w:val="right"/>
            </w:pPr>
            <w:r>
              <w:t>24.63%</w:t>
            </w:r>
          </w:p>
        </w:tc>
        <w:tc>
          <w:tcPr>
            <w:tcW w:w="1315" w:type="dxa"/>
          </w:tcPr>
          <w:p w:rsidR="002B0942" w:rsidRDefault="002B0942" w:rsidP="002B0942">
            <w:pPr>
              <w:jc w:val="right"/>
            </w:pPr>
            <w:r>
              <w:t>1.00%</w:t>
            </w:r>
          </w:p>
        </w:tc>
        <w:tc>
          <w:tcPr>
            <w:tcW w:w="1315" w:type="dxa"/>
          </w:tcPr>
          <w:p w:rsidR="002B0942" w:rsidRDefault="002B0942" w:rsidP="002B0942">
            <w:pPr>
              <w:jc w:val="right"/>
            </w:pPr>
            <w:r>
              <w:t>22.92%</w:t>
            </w:r>
          </w:p>
        </w:tc>
        <w:tc>
          <w:tcPr>
            <w:tcW w:w="1315" w:type="dxa"/>
          </w:tcPr>
          <w:p w:rsidR="002B0942" w:rsidRDefault="002B0942" w:rsidP="002B0942">
            <w:pPr>
              <w:jc w:val="right"/>
            </w:pPr>
            <w:r>
              <w:t>1.23%</w:t>
            </w:r>
          </w:p>
        </w:tc>
        <w:tc>
          <w:tcPr>
            <w:tcW w:w="907" w:type="dxa"/>
          </w:tcPr>
          <w:p w:rsidR="002B0942" w:rsidRDefault="002B0942" w:rsidP="002B0942">
            <w:pPr>
              <w:jc w:val="right"/>
            </w:pPr>
            <w:r>
              <w:t>1.71%</w:t>
            </w:r>
          </w:p>
        </w:tc>
        <w:tc>
          <w:tcPr>
            <w:tcW w:w="907" w:type="dxa"/>
          </w:tcPr>
          <w:p w:rsidR="002B0942" w:rsidRDefault="002B0942" w:rsidP="002B0942">
            <w:pPr>
              <w:jc w:val="right"/>
            </w:pPr>
            <w:r>
              <w:t>-0.23%</w:t>
            </w:r>
          </w:p>
        </w:tc>
      </w:tr>
      <w:tr w:rsidR="002B0942" w:rsidTr="002B0942">
        <w:tc>
          <w:tcPr>
            <w:tcW w:w="1429" w:type="dxa"/>
          </w:tcPr>
          <w:p w:rsidR="002B0942" w:rsidRDefault="002B0942" w:rsidP="002B0942">
            <w:pPr>
              <w:jc w:val="left"/>
            </w:pPr>
            <w:r>
              <w:rPr>
                <w:rFonts w:hint="eastAsia"/>
              </w:rPr>
              <w:t>过去一年</w:t>
            </w:r>
          </w:p>
        </w:tc>
        <w:tc>
          <w:tcPr>
            <w:tcW w:w="1315" w:type="dxa"/>
          </w:tcPr>
          <w:p w:rsidR="002B0942" w:rsidRDefault="002B0942" w:rsidP="002B0942">
            <w:pPr>
              <w:jc w:val="right"/>
            </w:pPr>
            <w:r>
              <w:t>19.69%</w:t>
            </w:r>
          </w:p>
        </w:tc>
        <w:tc>
          <w:tcPr>
            <w:tcW w:w="1315" w:type="dxa"/>
          </w:tcPr>
          <w:p w:rsidR="002B0942" w:rsidRDefault="002B0942" w:rsidP="002B0942">
            <w:pPr>
              <w:jc w:val="right"/>
            </w:pPr>
            <w:r>
              <w:t>1.29%</w:t>
            </w:r>
          </w:p>
        </w:tc>
        <w:tc>
          <w:tcPr>
            <w:tcW w:w="1315" w:type="dxa"/>
          </w:tcPr>
          <w:p w:rsidR="002B0942" w:rsidRDefault="002B0942" w:rsidP="002B0942">
            <w:pPr>
              <w:jc w:val="right"/>
            </w:pPr>
            <w:r>
              <w:t>4.88%</w:t>
            </w:r>
          </w:p>
        </w:tc>
        <w:tc>
          <w:tcPr>
            <w:tcW w:w="1315" w:type="dxa"/>
          </w:tcPr>
          <w:p w:rsidR="002B0942" w:rsidRDefault="002B0942" w:rsidP="002B0942">
            <w:pPr>
              <w:jc w:val="right"/>
            </w:pPr>
            <w:r>
              <w:t>1.61%</w:t>
            </w:r>
          </w:p>
        </w:tc>
        <w:tc>
          <w:tcPr>
            <w:tcW w:w="907" w:type="dxa"/>
          </w:tcPr>
          <w:p w:rsidR="002B0942" w:rsidRDefault="002B0942" w:rsidP="002B0942">
            <w:pPr>
              <w:jc w:val="right"/>
            </w:pPr>
            <w:r>
              <w:t>14.81%</w:t>
            </w:r>
          </w:p>
        </w:tc>
        <w:tc>
          <w:tcPr>
            <w:tcW w:w="907" w:type="dxa"/>
          </w:tcPr>
          <w:p w:rsidR="002B0942" w:rsidRDefault="002B0942" w:rsidP="002B0942">
            <w:pPr>
              <w:jc w:val="right"/>
            </w:pPr>
            <w:r>
              <w:t>-0.32%</w:t>
            </w:r>
          </w:p>
        </w:tc>
      </w:tr>
      <w:tr w:rsidR="002B0942" w:rsidTr="002B0942">
        <w:tc>
          <w:tcPr>
            <w:tcW w:w="1429" w:type="dxa"/>
          </w:tcPr>
          <w:p w:rsidR="002B0942" w:rsidRDefault="002B0942" w:rsidP="002B0942">
            <w:pPr>
              <w:jc w:val="left"/>
            </w:pPr>
            <w:r>
              <w:rPr>
                <w:rFonts w:hint="eastAsia"/>
              </w:rPr>
              <w:t>过去三年</w:t>
            </w:r>
          </w:p>
        </w:tc>
        <w:tc>
          <w:tcPr>
            <w:tcW w:w="1315" w:type="dxa"/>
          </w:tcPr>
          <w:p w:rsidR="002B0942" w:rsidRDefault="002B0942" w:rsidP="002B0942">
            <w:pPr>
              <w:jc w:val="right"/>
            </w:pPr>
            <w:r>
              <w:t>36.52%</w:t>
            </w:r>
          </w:p>
        </w:tc>
        <w:tc>
          <w:tcPr>
            <w:tcW w:w="1315" w:type="dxa"/>
          </w:tcPr>
          <w:p w:rsidR="002B0942" w:rsidRDefault="002B0942" w:rsidP="002B0942">
            <w:pPr>
              <w:jc w:val="right"/>
            </w:pPr>
            <w:r>
              <w:t>0.99%</w:t>
            </w:r>
          </w:p>
        </w:tc>
        <w:tc>
          <w:tcPr>
            <w:tcW w:w="1315" w:type="dxa"/>
          </w:tcPr>
          <w:p w:rsidR="002B0942" w:rsidRDefault="002B0942" w:rsidP="002B0942">
            <w:pPr>
              <w:jc w:val="right"/>
            </w:pPr>
            <w:r>
              <w:t>14.44%</w:t>
            </w:r>
          </w:p>
        </w:tc>
        <w:tc>
          <w:tcPr>
            <w:tcW w:w="1315" w:type="dxa"/>
          </w:tcPr>
          <w:p w:rsidR="002B0942" w:rsidRDefault="002B0942" w:rsidP="002B0942">
            <w:pPr>
              <w:jc w:val="right"/>
            </w:pPr>
            <w:r>
              <w:t>1.10%</w:t>
            </w:r>
          </w:p>
        </w:tc>
        <w:tc>
          <w:tcPr>
            <w:tcW w:w="907" w:type="dxa"/>
          </w:tcPr>
          <w:p w:rsidR="002B0942" w:rsidRDefault="002B0942" w:rsidP="002B0942">
            <w:pPr>
              <w:jc w:val="right"/>
            </w:pPr>
            <w:r>
              <w:t>22.08%</w:t>
            </w:r>
          </w:p>
        </w:tc>
        <w:tc>
          <w:tcPr>
            <w:tcW w:w="907" w:type="dxa"/>
          </w:tcPr>
          <w:p w:rsidR="002B0942" w:rsidRDefault="002B0942" w:rsidP="002B0942">
            <w:pPr>
              <w:jc w:val="right"/>
            </w:pPr>
            <w:r>
              <w:t>-0.11%</w:t>
            </w:r>
          </w:p>
        </w:tc>
      </w:tr>
      <w:tr w:rsidR="002B0942" w:rsidTr="002B0942">
        <w:tc>
          <w:tcPr>
            <w:tcW w:w="1429" w:type="dxa"/>
          </w:tcPr>
          <w:p w:rsidR="002B0942" w:rsidRDefault="002B0942" w:rsidP="002B0942">
            <w:pPr>
              <w:jc w:val="left"/>
            </w:pPr>
            <w:r>
              <w:rPr>
                <w:rFonts w:hint="eastAsia"/>
              </w:rPr>
              <w:t>过去五年</w:t>
            </w:r>
          </w:p>
        </w:tc>
        <w:tc>
          <w:tcPr>
            <w:tcW w:w="1315" w:type="dxa"/>
          </w:tcPr>
          <w:p w:rsidR="002B0942" w:rsidRDefault="002B0942" w:rsidP="002B0942">
            <w:pPr>
              <w:jc w:val="right"/>
            </w:pPr>
            <w:r>
              <w:t>52.95%</w:t>
            </w:r>
          </w:p>
        </w:tc>
        <w:tc>
          <w:tcPr>
            <w:tcW w:w="1315" w:type="dxa"/>
          </w:tcPr>
          <w:p w:rsidR="002B0942" w:rsidRDefault="002B0942" w:rsidP="002B0942">
            <w:pPr>
              <w:jc w:val="right"/>
            </w:pPr>
            <w:r>
              <w:t>0.90%</w:t>
            </w:r>
          </w:p>
        </w:tc>
        <w:tc>
          <w:tcPr>
            <w:tcW w:w="1315" w:type="dxa"/>
          </w:tcPr>
          <w:p w:rsidR="002B0942" w:rsidRDefault="002B0942" w:rsidP="002B0942">
            <w:pPr>
              <w:jc w:val="right"/>
            </w:pPr>
            <w:r>
              <w:t>60.22%</w:t>
            </w:r>
          </w:p>
        </w:tc>
        <w:tc>
          <w:tcPr>
            <w:tcW w:w="1315" w:type="dxa"/>
          </w:tcPr>
          <w:p w:rsidR="002B0942" w:rsidRDefault="002B0942" w:rsidP="002B0942">
            <w:pPr>
              <w:jc w:val="right"/>
            </w:pPr>
            <w:r>
              <w:t>0.97%</w:t>
            </w:r>
          </w:p>
        </w:tc>
        <w:tc>
          <w:tcPr>
            <w:tcW w:w="907" w:type="dxa"/>
          </w:tcPr>
          <w:p w:rsidR="002B0942" w:rsidRDefault="002B0942" w:rsidP="002B0942">
            <w:pPr>
              <w:jc w:val="right"/>
            </w:pPr>
            <w:r>
              <w:t>-7.27%</w:t>
            </w:r>
          </w:p>
        </w:tc>
        <w:tc>
          <w:tcPr>
            <w:tcW w:w="907" w:type="dxa"/>
          </w:tcPr>
          <w:p w:rsidR="002B0942" w:rsidRDefault="002B0942" w:rsidP="002B0942">
            <w:pPr>
              <w:jc w:val="right"/>
            </w:pPr>
            <w:r>
              <w:t>-0.07%</w:t>
            </w:r>
          </w:p>
        </w:tc>
      </w:tr>
      <w:tr w:rsidR="002B0942" w:rsidTr="002B0942">
        <w:tc>
          <w:tcPr>
            <w:tcW w:w="1429" w:type="dxa"/>
          </w:tcPr>
          <w:p w:rsidR="002B0942" w:rsidRDefault="002B0942" w:rsidP="002B0942">
            <w:pPr>
              <w:jc w:val="left"/>
            </w:pPr>
            <w:r>
              <w:rPr>
                <w:rFonts w:hint="eastAsia"/>
              </w:rPr>
              <w:lastRenderedPageBreak/>
              <w:t>自基金合同生效起至今</w:t>
            </w:r>
          </w:p>
        </w:tc>
        <w:tc>
          <w:tcPr>
            <w:tcW w:w="1315" w:type="dxa"/>
          </w:tcPr>
          <w:p w:rsidR="002B0942" w:rsidRDefault="002B0942" w:rsidP="002B0942">
            <w:pPr>
              <w:jc w:val="right"/>
            </w:pPr>
            <w:r>
              <w:t>19.45%</w:t>
            </w:r>
          </w:p>
        </w:tc>
        <w:tc>
          <w:tcPr>
            <w:tcW w:w="1315" w:type="dxa"/>
          </w:tcPr>
          <w:p w:rsidR="002B0942" w:rsidRDefault="002B0942" w:rsidP="002B0942">
            <w:pPr>
              <w:jc w:val="right"/>
            </w:pPr>
            <w:r>
              <w:t>1.11%</w:t>
            </w:r>
          </w:p>
        </w:tc>
        <w:tc>
          <w:tcPr>
            <w:tcW w:w="1315" w:type="dxa"/>
          </w:tcPr>
          <w:p w:rsidR="002B0942" w:rsidRDefault="002B0942" w:rsidP="002B0942">
            <w:pPr>
              <w:jc w:val="right"/>
            </w:pPr>
            <w:r>
              <w:t>43.31%</w:t>
            </w:r>
          </w:p>
        </w:tc>
        <w:tc>
          <w:tcPr>
            <w:tcW w:w="1315" w:type="dxa"/>
          </w:tcPr>
          <w:p w:rsidR="002B0942" w:rsidRDefault="002B0942" w:rsidP="002B0942">
            <w:pPr>
              <w:jc w:val="right"/>
            </w:pPr>
            <w:r>
              <w:t>1.17%</w:t>
            </w:r>
          </w:p>
        </w:tc>
        <w:tc>
          <w:tcPr>
            <w:tcW w:w="907" w:type="dxa"/>
          </w:tcPr>
          <w:p w:rsidR="002B0942" w:rsidRDefault="002B0942" w:rsidP="002B0942">
            <w:pPr>
              <w:jc w:val="right"/>
            </w:pPr>
            <w:r>
              <w:t>-23.86%</w:t>
            </w:r>
          </w:p>
        </w:tc>
        <w:tc>
          <w:tcPr>
            <w:tcW w:w="907" w:type="dxa"/>
          </w:tcPr>
          <w:p w:rsidR="002B0942" w:rsidRDefault="002B0942" w:rsidP="002B0942">
            <w:pPr>
              <w:jc w:val="right"/>
            </w:pPr>
            <w:r>
              <w:t>-0.06%</w:t>
            </w:r>
          </w:p>
        </w:tc>
      </w:tr>
    </w:tbl>
    <w:p w:rsidR="002B0942" w:rsidRDefault="002B0942" w:rsidP="002B0942">
      <w:pPr>
        <w:pStyle w:val="-3"/>
        <w:spacing w:before="156" w:after="156"/>
      </w:pPr>
      <w:r>
        <w:rPr>
          <w:rFonts w:hint="eastAsia"/>
        </w:rPr>
        <w:t>自基金合同生效以来基金累计净值增长率变动及其与同期业绩比较基准收益率变动的比较</w:t>
      </w:r>
    </w:p>
    <w:p w:rsidR="002B0942" w:rsidRDefault="002B0942" w:rsidP="002B0942">
      <w:r>
        <w:rPr>
          <w:rFonts w:hint="eastAsia"/>
          <w:noProof/>
        </w:rPr>
        <w:drawing>
          <wp:inline distT="0" distB="0" distL="0" distR="0">
            <wp:extent cx="5274310" cy="3672205"/>
            <wp:effectExtent l="0" t="0" r="2540" b="444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672205"/>
                    </a:xfrm>
                    <a:prstGeom prst="rect">
                      <a:avLst/>
                    </a:prstGeom>
                  </pic:spPr>
                </pic:pic>
              </a:graphicData>
            </a:graphic>
          </wp:inline>
        </w:drawing>
      </w:r>
    </w:p>
    <w:p w:rsidR="002B0942" w:rsidRDefault="002B0942" w:rsidP="002B0942">
      <w:pPr>
        <w:pStyle w:val="-1"/>
        <w:ind w:left="281" w:hanging="281"/>
      </w:pPr>
      <w:r>
        <w:rPr>
          <w:rFonts w:hint="eastAsia"/>
        </w:rPr>
        <w:t>管理人报告</w:t>
      </w:r>
    </w:p>
    <w:p w:rsidR="002B0942" w:rsidRDefault="002B0942" w:rsidP="002B0942">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2B0942" w:rsidTr="00F954C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2B0942" w:rsidRDefault="002B0942" w:rsidP="002B0942">
            <w:pPr>
              <w:jc w:val="center"/>
            </w:pPr>
            <w:r>
              <w:rPr>
                <w:rFonts w:hint="eastAsia"/>
              </w:rPr>
              <w:t>姓名</w:t>
            </w:r>
          </w:p>
        </w:tc>
        <w:tc>
          <w:tcPr>
            <w:tcW w:w="851" w:type="dxa"/>
            <w:vMerge w:val="restart"/>
          </w:tcPr>
          <w:p w:rsidR="002B0942" w:rsidRDefault="002B0942" w:rsidP="002B0942">
            <w:pPr>
              <w:jc w:val="center"/>
            </w:pPr>
            <w:r>
              <w:rPr>
                <w:rFonts w:hint="eastAsia"/>
              </w:rPr>
              <w:t>职务</w:t>
            </w:r>
          </w:p>
        </w:tc>
        <w:tc>
          <w:tcPr>
            <w:tcW w:w="2234" w:type="dxa"/>
            <w:gridSpan w:val="2"/>
            <w:tcBorders>
              <w:bottom w:val="single" w:sz="4" w:space="0" w:color="auto"/>
            </w:tcBorders>
          </w:tcPr>
          <w:p w:rsidR="002B0942" w:rsidRDefault="002B0942" w:rsidP="002B0942">
            <w:pPr>
              <w:jc w:val="center"/>
            </w:pPr>
            <w:r>
              <w:rPr>
                <w:rFonts w:hint="eastAsia"/>
              </w:rPr>
              <w:t>任本基金的基金经理期限</w:t>
            </w:r>
          </w:p>
        </w:tc>
        <w:tc>
          <w:tcPr>
            <w:tcW w:w="703" w:type="dxa"/>
            <w:vMerge w:val="restart"/>
          </w:tcPr>
          <w:p w:rsidR="002B0942" w:rsidRDefault="002B0942" w:rsidP="002B0942">
            <w:pPr>
              <w:jc w:val="center"/>
            </w:pPr>
            <w:r>
              <w:rPr>
                <w:rFonts w:hint="eastAsia"/>
              </w:rPr>
              <w:t>证券从业年限</w:t>
            </w:r>
          </w:p>
        </w:tc>
        <w:tc>
          <w:tcPr>
            <w:tcW w:w="3856" w:type="dxa"/>
            <w:vMerge w:val="restart"/>
          </w:tcPr>
          <w:p w:rsidR="002B0942" w:rsidRDefault="002B0942" w:rsidP="002B0942">
            <w:pPr>
              <w:jc w:val="center"/>
            </w:pPr>
            <w:r>
              <w:rPr>
                <w:rFonts w:hint="eastAsia"/>
              </w:rPr>
              <w:t>说明</w:t>
            </w:r>
          </w:p>
        </w:tc>
      </w:tr>
      <w:tr w:rsidR="002B0942" w:rsidTr="002B0942">
        <w:tc>
          <w:tcPr>
            <w:tcW w:w="862" w:type="dxa"/>
            <w:vMerge/>
          </w:tcPr>
          <w:p w:rsidR="002B0942" w:rsidRDefault="002B0942" w:rsidP="002B0942">
            <w:pPr>
              <w:jc w:val="left"/>
            </w:pPr>
          </w:p>
        </w:tc>
        <w:tc>
          <w:tcPr>
            <w:tcW w:w="851" w:type="dxa"/>
            <w:vMerge/>
          </w:tcPr>
          <w:p w:rsidR="002B0942" w:rsidRDefault="002B0942" w:rsidP="002B0942">
            <w:pPr>
              <w:jc w:val="left"/>
            </w:pPr>
          </w:p>
        </w:tc>
        <w:tc>
          <w:tcPr>
            <w:tcW w:w="1117" w:type="dxa"/>
            <w:shd w:val="clear" w:color="auto" w:fill="BFBFBF"/>
          </w:tcPr>
          <w:p w:rsidR="002B0942" w:rsidRDefault="002B0942" w:rsidP="002B0942">
            <w:pPr>
              <w:jc w:val="center"/>
            </w:pPr>
            <w:r>
              <w:rPr>
                <w:rFonts w:hint="eastAsia"/>
              </w:rPr>
              <w:t>任职日期</w:t>
            </w:r>
          </w:p>
        </w:tc>
        <w:tc>
          <w:tcPr>
            <w:tcW w:w="1117" w:type="dxa"/>
            <w:shd w:val="clear" w:color="auto" w:fill="BFBFBF"/>
          </w:tcPr>
          <w:p w:rsidR="002B0942" w:rsidRDefault="002B0942" w:rsidP="002B0942">
            <w:pPr>
              <w:jc w:val="center"/>
            </w:pPr>
            <w:r>
              <w:rPr>
                <w:rFonts w:hint="eastAsia"/>
              </w:rPr>
              <w:t>离任日期</w:t>
            </w:r>
          </w:p>
        </w:tc>
        <w:tc>
          <w:tcPr>
            <w:tcW w:w="703" w:type="dxa"/>
            <w:vMerge/>
          </w:tcPr>
          <w:p w:rsidR="002B0942" w:rsidRDefault="002B0942" w:rsidP="002B0942">
            <w:pPr>
              <w:jc w:val="left"/>
            </w:pPr>
          </w:p>
        </w:tc>
        <w:tc>
          <w:tcPr>
            <w:tcW w:w="3856" w:type="dxa"/>
            <w:vMerge/>
          </w:tcPr>
          <w:p w:rsidR="002B0942" w:rsidRDefault="002B0942" w:rsidP="002B0942">
            <w:pPr>
              <w:jc w:val="left"/>
            </w:pPr>
          </w:p>
        </w:tc>
      </w:tr>
      <w:tr w:rsidR="002B0942" w:rsidTr="002B0942">
        <w:tc>
          <w:tcPr>
            <w:tcW w:w="862" w:type="dxa"/>
          </w:tcPr>
          <w:p w:rsidR="002B0942" w:rsidRDefault="002B0942" w:rsidP="002B0942">
            <w:pPr>
              <w:jc w:val="left"/>
            </w:pPr>
            <w:r>
              <w:rPr>
                <w:rFonts w:hint="eastAsia"/>
              </w:rPr>
              <w:t>黄亮</w:t>
            </w:r>
          </w:p>
        </w:tc>
        <w:tc>
          <w:tcPr>
            <w:tcW w:w="851" w:type="dxa"/>
          </w:tcPr>
          <w:p w:rsidR="002B0942" w:rsidRDefault="002B0942" w:rsidP="002B0942">
            <w:pPr>
              <w:jc w:val="left"/>
            </w:pPr>
            <w:r>
              <w:rPr>
                <w:rFonts w:hint="eastAsia"/>
              </w:rPr>
              <w:t>本基金基金经理</w:t>
            </w:r>
          </w:p>
        </w:tc>
        <w:tc>
          <w:tcPr>
            <w:tcW w:w="1117" w:type="dxa"/>
          </w:tcPr>
          <w:p w:rsidR="002B0942" w:rsidRDefault="002B0942" w:rsidP="002B0942">
            <w:pPr>
              <w:jc w:val="left"/>
            </w:pPr>
            <w:r>
              <w:rPr>
                <w:rFonts w:hint="eastAsia"/>
              </w:rPr>
              <w:t>2009</w:t>
            </w:r>
            <w:r>
              <w:rPr>
                <w:rFonts w:hint="eastAsia"/>
              </w:rPr>
              <w:t>年</w:t>
            </w:r>
            <w:r>
              <w:rPr>
                <w:rFonts w:hint="eastAsia"/>
              </w:rPr>
              <w:t>6</w:t>
            </w:r>
            <w:r>
              <w:rPr>
                <w:rFonts w:hint="eastAsia"/>
              </w:rPr>
              <w:t>月</w:t>
            </w:r>
            <w:r>
              <w:rPr>
                <w:rFonts w:hint="eastAsia"/>
              </w:rPr>
              <w:t>25</w:t>
            </w:r>
            <w:r>
              <w:rPr>
                <w:rFonts w:hint="eastAsia"/>
              </w:rPr>
              <w:t>日</w:t>
            </w:r>
          </w:p>
        </w:tc>
        <w:tc>
          <w:tcPr>
            <w:tcW w:w="1117" w:type="dxa"/>
          </w:tcPr>
          <w:p w:rsidR="002B0942" w:rsidRDefault="002B0942" w:rsidP="002B0942">
            <w:pPr>
              <w:jc w:val="right"/>
            </w:pPr>
            <w:r>
              <w:t>-</w:t>
            </w:r>
          </w:p>
        </w:tc>
        <w:tc>
          <w:tcPr>
            <w:tcW w:w="703" w:type="dxa"/>
          </w:tcPr>
          <w:p w:rsidR="002B0942" w:rsidRDefault="002B0942" w:rsidP="002B0942">
            <w:pPr>
              <w:jc w:val="left"/>
            </w:pPr>
            <w:r>
              <w:rPr>
                <w:rFonts w:hint="eastAsia"/>
              </w:rPr>
              <w:t>19</w:t>
            </w:r>
            <w:r>
              <w:rPr>
                <w:rFonts w:hint="eastAsia"/>
              </w:rPr>
              <w:t>年</w:t>
            </w:r>
          </w:p>
        </w:tc>
        <w:tc>
          <w:tcPr>
            <w:tcW w:w="3856" w:type="dxa"/>
          </w:tcPr>
          <w:p w:rsidR="002B0942" w:rsidRDefault="002B0942" w:rsidP="002B0942">
            <w:pPr>
              <w:jc w:val="left"/>
            </w:pPr>
            <w:r>
              <w:rPr>
                <w:rFonts w:hint="eastAsia"/>
              </w:rPr>
              <w:t>北京大学工商管理硕士，具有基金从业资格。曾任职于招商证券股份有限公司、天华投资有限责任公司，</w:t>
            </w:r>
            <w:r>
              <w:rPr>
                <w:rFonts w:hint="eastAsia"/>
              </w:rPr>
              <w:t>2005</w:t>
            </w:r>
            <w:r>
              <w:rPr>
                <w:rFonts w:hint="eastAsia"/>
              </w:rPr>
              <w:t>年加入南方基金国际业务部，现任国际业务部总经理、国际投资决策委员会委员；</w:t>
            </w:r>
            <w:r>
              <w:rPr>
                <w:rFonts w:hint="eastAsia"/>
              </w:rPr>
              <w:t>2011</w:t>
            </w:r>
            <w:r>
              <w:rPr>
                <w:rFonts w:hint="eastAsia"/>
              </w:rPr>
              <w:t>年</w:t>
            </w:r>
            <w:r>
              <w:rPr>
                <w:rFonts w:hint="eastAsia"/>
              </w:rPr>
              <w:t>9</w:t>
            </w:r>
            <w:r>
              <w:rPr>
                <w:rFonts w:hint="eastAsia"/>
              </w:rPr>
              <w:t>月</w:t>
            </w:r>
            <w:r>
              <w:rPr>
                <w:rFonts w:hint="eastAsia"/>
              </w:rPr>
              <w:t>26</w:t>
            </w:r>
            <w:r>
              <w:rPr>
                <w:rFonts w:hint="eastAsia"/>
              </w:rPr>
              <w:t>日至</w:t>
            </w:r>
            <w:r>
              <w:rPr>
                <w:rFonts w:hint="eastAsia"/>
              </w:rPr>
              <w:t>2015</w:t>
            </w:r>
            <w:r>
              <w:rPr>
                <w:rFonts w:hint="eastAsia"/>
              </w:rPr>
              <w:t>年</w:t>
            </w:r>
            <w:r>
              <w:rPr>
                <w:rFonts w:hint="eastAsia"/>
              </w:rPr>
              <w:t>5</w:t>
            </w:r>
            <w:r>
              <w:rPr>
                <w:rFonts w:hint="eastAsia"/>
              </w:rPr>
              <w:t>月</w:t>
            </w:r>
            <w:r>
              <w:rPr>
                <w:rFonts w:hint="eastAsia"/>
              </w:rPr>
              <w:t>13</w:t>
            </w:r>
            <w:r>
              <w:rPr>
                <w:rFonts w:hint="eastAsia"/>
              </w:rPr>
              <w:t>日，任南方中国中小盘基金经理；</w:t>
            </w:r>
            <w:r>
              <w:rPr>
                <w:rFonts w:hint="eastAsia"/>
              </w:rPr>
              <w:t>2015</w:t>
            </w:r>
            <w:r>
              <w:rPr>
                <w:rFonts w:hint="eastAsia"/>
              </w:rPr>
              <w:t>年</w:t>
            </w:r>
            <w:r>
              <w:rPr>
                <w:rFonts w:hint="eastAsia"/>
              </w:rPr>
              <w:t>5</w:t>
            </w:r>
            <w:r>
              <w:rPr>
                <w:rFonts w:hint="eastAsia"/>
              </w:rPr>
              <w:t>月</w:t>
            </w:r>
            <w:r>
              <w:rPr>
                <w:rFonts w:hint="eastAsia"/>
              </w:rPr>
              <w:t>13</w:t>
            </w:r>
            <w:r>
              <w:rPr>
                <w:rFonts w:hint="eastAsia"/>
              </w:rPr>
              <w:t>日至</w:t>
            </w:r>
            <w:r>
              <w:rPr>
                <w:rFonts w:hint="eastAsia"/>
              </w:rPr>
              <w:t>2017</w:t>
            </w:r>
            <w:r>
              <w:rPr>
                <w:rFonts w:hint="eastAsia"/>
              </w:rPr>
              <w:t>年</w:t>
            </w:r>
            <w:r>
              <w:rPr>
                <w:rFonts w:hint="eastAsia"/>
              </w:rPr>
              <w:t>11</w:t>
            </w:r>
            <w:r>
              <w:rPr>
                <w:rFonts w:hint="eastAsia"/>
              </w:rPr>
              <w:t>月</w:t>
            </w:r>
            <w:r>
              <w:rPr>
                <w:rFonts w:hint="eastAsia"/>
              </w:rPr>
              <w:t>9</w:t>
            </w:r>
            <w:r>
              <w:rPr>
                <w:rFonts w:hint="eastAsia"/>
              </w:rPr>
              <w:t>日，任南方香港优选基金经理；</w:t>
            </w:r>
            <w:r>
              <w:rPr>
                <w:rFonts w:hint="eastAsia"/>
              </w:rPr>
              <w:t>2017</w:t>
            </w:r>
            <w:r>
              <w:rPr>
                <w:rFonts w:hint="eastAsia"/>
              </w:rPr>
              <w:t>年</w:t>
            </w:r>
            <w:r>
              <w:rPr>
                <w:rFonts w:hint="eastAsia"/>
              </w:rPr>
              <w:t>4</w:t>
            </w:r>
            <w:r>
              <w:rPr>
                <w:rFonts w:hint="eastAsia"/>
              </w:rPr>
              <w:t>月</w:t>
            </w:r>
            <w:r>
              <w:rPr>
                <w:rFonts w:hint="eastAsia"/>
              </w:rPr>
              <w:t>26</w:t>
            </w:r>
            <w:r>
              <w:rPr>
                <w:rFonts w:hint="eastAsia"/>
              </w:rPr>
              <w:t>日至</w:t>
            </w:r>
            <w:r>
              <w:rPr>
                <w:rFonts w:hint="eastAsia"/>
              </w:rPr>
              <w:t>2019</w:t>
            </w:r>
            <w:r>
              <w:rPr>
                <w:rFonts w:hint="eastAsia"/>
              </w:rPr>
              <w:t>年</w:t>
            </w:r>
            <w:r>
              <w:rPr>
                <w:rFonts w:hint="eastAsia"/>
              </w:rPr>
              <w:t>4</w:t>
            </w:r>
            <w:r>
              <w:rPr>
                <w:rFonts w:hint="eastAsia"/>
              </w:rPr>
              <w:t>月</w:t>
            </w:r>
            <w:r>
              <w:rPr>
                <w:rFonts w:hint="eastAsia"/>
              </w:rPr>
              <w:t>22</w:t>
            </w:r>
            <w:r>
              <w:rPr>
                <w:rFonts w:hint="eastAsia"/>
              </w:rPr>
              <w:t>日，任国企精明基金经理；</w:t>
            </w:r>
            <w:r>
              <w:rPr>
                <w:rFonts w:hint="eastAsia"/>
              </w:rPr>
              <w:t>2010</w:t>
            </w:r>
            <w:r>
              <w:rPr>
                <w:rFonts w:hint="eastAsia"/>
              </w:rPr>
              <w:t>年</w:t>
            </w:r>
            <w:r>
              <w:rPr>
                <w:rFonts w:hint="eastAsia"/>
              </w:rPr>
              <w:t>12</w:t>
            </w:r>
            <w:r>
              <w:rPr>
                <w:rFonts w:hint="eastAsia"/>
              </w:rPr>
              <w:t>月</w:t>
            </w:r>
            <w:r>
              <w:rPr>
                <w:rFonts w:hint="eastAsia"/>
              </w:rPr>
              <w:t>9</w:t>
            </w:r>
            <w:r>
              <w:rPr>
                <w:rFonts w:hint="eastAsia"/>
              </w:rPr>
              <w:t>日至</w:t>
            </w:r>
            <w:r>
              <w:rPr>
                <w:rFonts w:hint="eastAsia"/>
              </w:rPr>
              <w:t>2020</w:t>
            </w:r>
            <w:r>
              <w:rPr>
                <w:rFonts w:hint="eastAsia"/>
              </w:rPr>
              <w:t>年</w:t>
            </w:r>
            <w:r>
              <w:rPr>
                <w:rFonts w:hint="eastAsia"/>
              </w:rPr>
              <w:t>9</w:t>
            </w:r>
            <w:r>
              <w:rPr>
                <w:rFonts w:hint="eastAsia"/>
              </w:rPr>
              <w:t>月</w:t>
            </w:r>
            <w:r>
              <w:rPr>
                <w:rFonts w:hint="eastAsia"/>
              </w:rPr>
              <w:t>18</w:t>
            </w:r>
            <w:r>
              <w:rPr>
                <w:rFonts w:hint="eastAsia"/>
              </w:rPr>
              <w:t>日，任南</w:t>
            </w:r>
            <w:r>
              <w:rPr>
                <w:rFonts w:hint="eastAsia"/>
              </w:rPr>
              <w:lastRenderedPageBreak/>
              <w:t>方金砖基金经理；</w:t>
            </w:r>
            <w:r>
              <w:rPr>
                <w:rFonts w:hint="eastAsia"/>
              </w:rPr>
              <w:t>2009</w:t>
            </w:r>
            <w:r>
              <w:rPr>
                <w:rFonts w:hint="eastAsia"/>
              </w:rPr>
              <w:t>年</w:t>
            </w:r>
            <w:r>
              <w:rPr>
                <w:rFonts w:hint="eastAsia"/>
              </w:rPr>
              <w:t>6</w:t>
            </w:r>
            <w:r>
              <w:rPr>
                <w:rFonts w:hint="eastAsia"/>
              </w:rPr>
              <w:t>月</w:t>
            </w:r>
            <w:r>
              <w:rPr>
                <w:rFonts w:hint="eastAsia"/>
              </w:rPr>
              <w:t>25</w:t>
            </w:r>
            <w:r>
              <w:rPr>
                <w:rFonts w:hint="eastAsia"/>
              </w:rPr>
              <w:t>日至今，任南方全球基金经理；</w:t>
            </w:r>
            <w:r>
              <w:rPr>
                <w:rFonts w:hint="eastAsia"/>
              </w:rPr>
              <w:t>2016</w:t>
            </w:r>
            <w:r>
              <w:rPr>
                <w:rFonts w:hint="eastAsia"/>
              </w:rPr>
              <w:t>年</w:t>
            </w:r>
            <w:r>
              <w:rPr>
                <w:rFonts w:hint="eastAsia"/>
              </w:rPr>
              <w:t>6</w:t>
            </w:r>
            <w:r>
              <w:rPr>
                <w:rFonts w:hint="eastAsia"/>
              </w:rPr>
              <w:t>月</w:t>
            </w:r>
            <w:r>
              <w:rPr>
                <w:rFonts w:hint="eastAsia"/>
              </w:rPr>
              <w:t>15</w:t>
            </w:r>
            <w:r>
              <w:rPr>
                <w:rFonts w:hint="eastAsia"/>
              </w:rPr>
              <w:t>日至今，任南方原油基金经理；</w:t>
            </w:r>
            <w:r>
              <w:rPr>
                <w:rFonts w:hint="eastAsia"/>
              </w:rPr>
              <w:t>2017</w:t>
            </w:r>
            <w:r>
              <w:rPr>
                <w:rFonts w:hint="eastAsia"/>
              </w:rPr>
              <w:t>年</w:t>
            </w:r>
            <w:r>
              <w:rPr>
                <w:rFonts w:hint="eastAsia"/>
              </w:rPr>
              <w:t>10</w:t>
            </w:r>
            <w:r>
              <w:rPr>
                <w:rFonts w:hint="eastAsia"/>
              </w:rPr>
              <w:t>月</w:t>
            </w:r>
            <w:r>
              <w:rPr>
                <w:rFonts w:hint="eastAsia"/>
              </w:rPr>
              <w:t>26</w:t>
            </w:r>
            <w:r>
              <w:rPr>
                <w:rFonts w:hint="eastAsia"/>
              </w:rPr>
              <w:t>日至今，任美国</w:t>
            </w:r>
            <w:r>
              <w:rPr>
                <w:rFonts w:hint="eastAsia"/>
              </w:rPr>
              <w:t>REIT</w:t>
            </w:r>
            <w:r>
              <w:rPr>
                <w:rFonts w:hint="eastAsia"/>
              </w:rPr>
              <w:t>基金经理；</w:t>
            </w:r>
            <w:r>
              <w:rPr>
                <w:rFonts w:hint="eastAsia"/>
              </w:rPr>
              <w:t>2019</w:t>
            </w:r>
            <w:r>
              <w:rPr>
                <w:rFonts w:hint="eastAsia"/>
              </w:rPr>
              <w:t>年</w:t>
            </w:r>
            <w:r>
              <w:rPr>
                <w:rFonts w:hint="eastAsia"/>
              </w:rPr>
              <w:t>4</w:t>
            </w:r>
            <w:r>
              <w:rPr>
                <w:rFonts w:hint="eastAsia"/>
              </w:rPr>
              <w:t>月</w:t>
            </w:r>
            <w:r>
              <w:rPr>
                <w:rFonts w:hint="eastAsia"/>
              </w:rPr>
              <w:t>3</w:t>
            </w:r>
            <w:r>
              <w:rPr>
                <w:rFonts w:hint="eastAsia"/>
              </w:rPr>
              <w:t>日至今，任南方香港成长基金经理。</w:t>
            </w:r>
          </w:p>
        </w:tc>
      </w:tr>
    </w:tbl>
    <w:p w:rsidR="002B0942" w:rsidRDefault="002B0942" w:rsidP="002B0942">
      <w:pPr>
        <w:pStyle w:val="-8"/>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2B0942" w:rsidRDefault="002B0942" w:rsidP="002B0942">
      <w:pPr>
        <w:pStyle w:val="-"/>
        <w:ind w:firstLine="420"/>
      </w:pPr>
      <w:r>
        <w:rPr>
          <w:rFonts w:hint="eastAsia"/>
        </w:rPr>
        <w:t>2、证券从业年限计算标准遵从行业协会《证券业从业人员资格管理办法》中关于证券从业人员范围的相关规定。</w:t>
      </w:r>
    </w:p>
    <w:p w:rsidR="002B0942" w:rsidRDefault="002B0942" w:rsidP="002B0942">
      <w:pPr>
        <w:pStyle w:val="-3"/>
        <w:spacing w:before="156" w:after="156"/>
      </w:pPr>
      <w:r>
        <w:rPr>
          <w:rFonts w:hint="eastAsia"/>
        </w:rPr>
        <w:t>期末兼任私募资产管理计划投资经理的基金经理同时管理的产品情况</w:t>
      </w:r>
    </w:p>
    <w:p w:rsidR="002B0942" w:rsidRDefault="002B0942" w:rsidP="002B0942">
      <w:pPr>
        <w:pStyle w:val="-"/>
        <w:ind w:firstLine="420"/>
      </w:pPr>
      <w:r>
        <w:rPr>
          <w:rFonts w:hint="eastAsia"/>
        </w:rPr>
        <w:t>本期末本基金基金经理无兼任私募资产管理计划投资经理的情况。</w:t>
      </w:r>
    </w:p>
    <w:p w:rsidR="002B0942" w:rsidRDefault="002B0942" w:rsidP="002B0942">
      <w:pPr>
        <w:pStyle w:val="-2"/>
        <w:spacing w:before="312"/>
      </w:pPr>
      <w:r>
        <w:rPr>
          <w:rFonts w:hint="eastAsia"/>
        </w:rPr>
        <w:t>境外投资顾问为本基金提供投资建议的主要成员简介</w:t>
      </w:r>
    </w:p>
    <w:p w:rsidR="002B0942" w:rsidRDefault="002B0942" w:rsidP="002B0942">
      <w:pPr>
        <w:pStyle w:val="-"/>
        <w:ind w:firstLine="420"/>
      </w:pPr>
      <w:r>
        <w:rPr>
          <w:rFonts w:hint="eastAsia"/>
        </w:rPr>
        <w:t>本基金无境外投资顾问。</w:t>
      </w:r>
    </w:p>
    <w:p w:rsidR="002B0942" w:rsidRDefault="002B0942" w:rsidP="002B0942">
      <w:pPr>
        <w:pStyle w:val="-2"/>
        <w:spacing w:before="312"/>
      </w:pPr>
      <w:r>
        <w:rPr>
          <w:rFonts w:hint="eastAsia"/>
        </w:rPr>
        <w:t>报告期内本基金运作遵规守信情况的说明</w:t>
      </w:r>
    </w:p>
    <w:p w:rsidR="002B0942" w:rsidRDefault="002B0942" w:rsidP="002B0942">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2B0942" w:rsidRDefault="002B0942" w:rsidP="002B0942">
      <w:pPr>
        <w:pStyle w:val="-2"/>
        <w:spacing w:before="312"/>
      </w:pPr>
      <w:r>
        <w:rPr>
          <w:rFonts w:hint="eastAsia"/>
        </w:rPr>
        <w:t>公平交易专项说明</w:t>
      </w:r>
    </w:p>
    <w:p w:rsidR="002B0942" w:rsidRDefault="002B0942" w:rsidP="002B0942">
      <w:pPr>
        <w:pStyle w:val="-3"/>
        <w:spacing w:before="156" w:after="156"/>
      </w:pPr>
      <w:r>
        <w:rPr>
          <w:rFonts w:hint="eastAsia"/>
        </w:rPr>
        <w:t>公平交易制度的执行情况</w:t>
      </w:r>
    </w:p>
    <w:p w:rsidR="002B0942" w:rsidRDefault="002B0942" w:rsidP="002B0942">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2B0942" w:rsidRDefault="002B0942" w:rsidP="002B0942">
      <w:pPr>
        <w:pStyle w:val="-3"/>
        <w:spacing w:before="156" w:after="156"/>
      </w:pPr>
      <w:r>
        <w:rPr>
          <w:rFonts w:hint="eastAsia"/>
        </w:rPr>
        <w:t>异常交易行为的专项说明</w:t>
      </w:r>
    </w:p>
    <w:p w:rsidR="002B0942" w:rsidRDefault="002B0942" w:rsidP="002B0942">
      <w:pPr>
        <w:pStyle w:val="-"/>
        <w:ind w:firstLine="420"/>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2B0942" w:rsidRDefault="002B0942" w:rsidP="002B0942">
      <w:pPr>
        <w:pStyle w:val="-2"/>
        <w:spacing w:before="312"/>
      </w:pPr>
      <w:r>
        <w:rPr>
          <w:rFonts w:hint="eastAsia"/>
        </w:rPr>
        <w:t>报告期内基金的投资策略和业绩表现说明</w:t>
      </w:r>
    </w:p>
    <w:p w:rsidR="002B0942" w:rsidRDefault="002B0942" w:rsidP="002B0942">
      <w:pPr>
        <w:pStyle w:val="-3"/>
        <w:spacing w:before="156" w:after="156"/>
      </w:pPr>
      <w:r>
        <w:rPr>
          <w:rFonts w:hint="eastAsia"/>
        </w:rPr>
        <w:lastRenderedPageBreak/>
        <w:t>报告期内基金投资策略和运作分析</w:t>
      </w:r>
    </w:p>
    <w:p w:rsidR="002B0942" w:rsidRDefault="002B0942" w:rsidP="002B0942">
      <w:pPr>
        <w:pStyle w:val="-"/>
        <w:ind w:firstLine="420"/>
      </w:pPr>
      <w:r>
        <w:rPr>
          <w:rFonts w:hint="eastAsia"/>
        </w:rPr>
        <w:t>2020年第三季度尽管新冠疫情对于经济活动仍存在一定拖累，但全球经济基本面延续复苏态势。根据Bloomberg的统计，2020年7月至2020年9月发达市场Markit制造业月度PMI分别为49.8、51.2和52.2，逐月取得改善，其中美国Markit制造业月度PMI分别为50.9、53.1和53.2；新兴市场Markit制造业月度PMI分别为51.4、52.5和52.8，均回到荣枯线以上。从风格上来看，成长类个股继续跑赢价值类个股。按美元计价全收益口径计算，2020年第三季度MSCI全球价值指数上涨4.1%，MSCI全球成长指数上涨11.7%；年初至今MSCI全球价值指数下跌14.0%，MSCI全球成长指数上涨19.2%。</w:t>
      </w:r>
    </w:p>
    <w:p w:rsidR="002B0942" w:rsidRDefault="002B0942" w:rsidP="002B0942">
      <w:pPr>
        <w:pStyle w:val="-"/>
        <w:ind w:firstLine="420"/>
      </w:pPr>
      <w:r>
        <w:rPr>
          <w:rFonts w:hint="eastAsia"/>
        </w:rPr>
        <w:t>报告期间，MSCI全球指数按美元计价上涨7.52%，MSCI新兴市场指数按美元计价上涨8.73%，恒生指数按港币计价下跌3.96%，黄金价格按美元计价上涨5.89%，十年期美国国债、十年期日本国债及十年期德国国债收益率分别上涨3个基点、下降1个基点和下降7个基点。新兴市场方面,巴西圣保罗证交所指数按本币计价下跌0.48%,印度Nifty指数按本币计价上涨9.18%，俄罗斯MOEX指数按本币计价上涨5.93%。美元指数继续回落,由97.39下跌至93.89。</w:t>
      </w:r>
    </w:p>
    <w:p w:rsidR="002B0942" w:rsidRDefault="002B0942" w:rsidP="002B0942">
      <w:pPr>
        <w:pStyle w:val="-"/>
        <w:ind w:firstLine="420"/>
      </w:pPr>
      <w:r>
        <w:rPr>
          <w:rFonts w:hint="eastAsia"/>
        </w:rPr>
        <w:t>港股市场方面，2020年第三季度恒生指数下跌的3.96%，恒生国企指数下跌3.70%。从市值角度来看，恒生大型股指数上涨2.41%，恒生中型股指数上涨10.28%，恒生小型股指数上涨4.37%，均好于恒生指数。根据Wind统计，2020年三季度港股通南下资金累计净买入1531亿元人民币，较二季度的657亿人民币显著回升，但低于一季度的2217亿元人民币，年初至今累计流入已经超过4000亿元人民币，南下资金的流入对于港股形成了重要的底部支撑。恒生AH股溢价指数于报告期内大幅抬升，由128.57点升至147.46点。恒生行业方面，原材料、资讯科技、消费品制造及服务业板块分别跑赢恒生指数20.82%、20.59%和19.73%，而综合、能源和金融板块分别落后恒生指数6.52%、3.68%和 2.68%。</w:t>
      </w:r>
    </w:p>
    <w:p w:rsidR="002B0942" w:rsidRDefault="002B0942" w:rsidP="002B0942">
      <w:pPr>
        <w:pStyle w:val="-"/>
        <w:ind w:firstLine="420"/>
      </w:pPr>
      <w:r>
        <w:rPr>
          <w:rFonts w:hint="eastAsia"/>
        </w:rPr>
        <w:t>大类资产配置方面，报告期内本基金保持了相对均衡的资产配置，把握了三季度全球权益市场延续二季度继续上涨的机会。在区域配置上，对除美国外的发达市场依然保持了谨慎的观点，超配美国、低配非美国发达市场。对港股保持了长期积极的观点，坚持以价值投资为导向，遵循自下而上为主的原则，利用内部投研一体的优势，在大消费、大科技、大周期、大金融四个行业投研团队的支持下，在行业中精选管理层优质、盈利长期成长强劲、估值水平合理的公司，并长期持有。报告期内，基金在保持港股行业长期相对均衡的配置的基础上，超配了可选消费和医药行业，同时通过深入的自下而上的基本面研究和长期跟踪，把握了港股IPO中优质个股的投资机会。</w:t>
      </w:r>
    </w:p>
    <w:p w:rsidR="002B0942" w:rsidRDefault="002B0942" w:rsidP="002B0942">
      <w:pPr>
        <w:pStyle w:val="-"/>
        <w:ind w:firstLine="420"/>
      </w:pPr>
      <w:r>
        <w:rPr>
          <w:rFonts w:hint="eastAsia"/>
        </w:rPr>
        <w:t>展望2020年四季度，我们对于全球权益市场持谨慎乐观的判断。以中美为代表的全球主要经济体的推动复工复产的政策效果明显，全球经济将继续企稳并好转。同时，全球主要经济体的宽松政策未来将进一步推升市场流动性，提升投资者的风险偏好。在风险方面，美国大选是四季度的最大的不确定因素，大选的结果将阶段性影响全球权益市场的变化，</w:t>
      </w:r>
      <w:r>
        <w:rPr>
          <w:rFonts w:hint="eastAsia"/>
        </w:rPr>
        <w:lastRenderedPageBreak/>
        <w:t>但全球经济低增长、低通胀和低利率的态势中长期内依然是投资的主线。我们对于全球权益市场中长期依然保持积极乐观的观点。在市场风格方面，接下来要重点关注经济持续复苏带来的顺周期行业的投资机会。</w:t>
      </w:r>
    </w:p>
    <w:p w:rsidR="002B0942" w:rsidRDefault="002B0942" w:rsidP="002B0942">
      <w:pPr>
        <w:pStyle w:val="-"/>
        <w:ind w:firstLine="420"/>
      </w:pPr>
      <w:r>
        <w:rPr>
          <w:rFonts w:hint="eastAsia"/>
        </w:rPr>
        <w:t>港股方面，我们维持相对乐观的判断。港股市场整体生态的变化将有助于吸引更多的南下资金以及海外资金沉淀在港股市场，对港股估值形成支持。同时，考虑到2018-2019年港股连续两年在全球主要股市中涨幅相对较为落后，在目前低利率环境下，相比于其他主要股市，港股估值层面仍然具有较好的相对优势。因此，我们认为香港局势的逐步稳定，海外资金以及南下资金的持续流入，未来中期内港股有望在主要风险资产中取得较好的相对表现。行业和个股层面，在持续关注新经济长期成长投资回报的同时对于基本面改善或者没有明显下滑、分红稳定、低估值的传统行业个股进行适当配置，保持整个组合长期稳定的投资策略和风格。</w:t>
      </w:r>
    </w:p>
    <w:p w:rsidR="002B0942" w:rsidRDefault="002B0942" w:rsidP="002B0942">
      <w:pPr>
        <w:pStyle w:val="-"/>
        <w:ind w:firstLine="420"/>
      </w:pPr>
      <w:r>
        <w:rPr>
          <w:rFonts w:hint="eastAsia"/>
        </w:rPr>
        <w:t>本基金投资团队通过大类资产配置、区域配置、行业配置和个股选择等多层面投资策略的实施，在控制基金的回撤水平，力争稳定战胜业绩比较基准，为投资者创造持续稳健的投资回报。</w:t>
      </w:r>
    </w:p>
    <w:p w:rsidR="002B0942" w:rsidRDefault="002B0942" w:rsidP="002B0942">
      <w:pPr>
        <w:pStyle w:val="-3"/>
        <w:spacing w:before="156" w:after="156"/>
      </w:pPr>
      <w:r>
        <w:rPr>
          <w:rFonts w:hint="eastAsia"/>
        </w:rPr>
        <w:t>报告期内基金的业绩表现</w:t>
      </w:r>
    </w:p>
    <w:p w:rsidR="002B0942" w:rsidRDefault="002B0942" w:rsidP="002B0942">
      <w:pPr>
        <w:pStyle w:val="-"/>
        <w:ind w:firstLine="420"/>
      </w:pPr>
      <w:r>
        <w:rPr>
          <w:rFonts w:hint="eastAsia"/>
        </w:rPr>
        <w:t>截至报告期末，本基金份额净值为1.189元，报告期内，份额净值增长率为6.45%，同期业绩基准增长率为3.97%。</w:t>
      </w:r>
    </w:p>
    <w:p w:rsidR="002B0942" w:rsidRDefault="002B0942" w:rsidP="002B0942">
      <w:pPr>
        <w:pStyle w:val="-2"/>
        <w:spacing w:before="312"/>
      </w:pPr>
      <w:r>
        <w:rPr>
          <w:rFonts w:hint="eastAsia"/>
        </w:rPr>
        <w:t>报告期内基金持有人数或基金资产净值预警说明</w:t>
      </w:r>
    </w:p>
    <w:p w:rsidR="002B0942" w:rsidRDefault="002B0942" w:rsidP="002B0942">
      <w:pPr>
        <w:pStyle w:val="-"/>
        <w:ind w:firstLine="420"/>
      </w:pPr>
      <w:r>
        <w:rPr>
          <w:rFonts w:hint="eastAsia"/>
        </w:rPr>
        <w:t>报告期内，本基金未出现连续二十个交易日基金份额持有人数量不满二百人或者基金资产净值低于五千万元的情形。</w:t>
      </w:r>
    </w:p>
    <w:p w:rsidR="002B0942" w:rsidRDefault="002B0942" w:rsidP="002B0942">
      <w:pPr>
        <w:pStyle w:val="-1"/>
        <w:ind w:left="281" w:hanging="281"/>
      </w:pPr>
      <w:r>
        <w:rPr>
          <w:rFonts w:hint="eastAsia"/>
        </w:rPr>
        <w:t>投资组合报告</w:t>
      </w:r>
    </w:p>
    <w:p w:rsidR="002B0942" w:rsidRDefault="002B0942" w:rsidP="002B0942">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817"/>
        <w:gridCol w:w="3443"/>
        <w:gridCol w:w="2131"/>
        <w:gridCol w:w="2131"/>
      </w:tblGrid>
      <w:tr w:rsidR="002B0942" w:rsidTr="006D580F">
        <w:trPr>
          <w:cnfStyle w:val="100000000000" w:firstRow="1" w:lastRow="0" w:firstColumn="0" w:lastColumn="0" w:oddVBand="0" w:evenVBand="0" w:oddHBand="0" w:evenHBand="0" w:firstRowFirstColumn="0" w:firstRowLastColumn="0" w:lastRowFirstColumn="0" w:lastRowLastColumn="0"/>
        </w:trPr>
        <w:tc>
          <w:tcPr>
            <w:tcW w:w="817" w:type="dxa"/>
          </w:tcPr>
          <w:p w:rsidR="002B0942" w:rsidRDefault="002B0942" w:rsidP="002B0942">
            <w:pPr>
              <w:jc w:val="center"/>
            </w:pPr>
            <w:r>
              <w:rPr>
                <w:rFonts w:hint="eastAsia"/>
              </w:rPr>
              <w:t>序号</w:t>
            </w:r>
          </w:p>
        </w:tc>
        <w:tc>
          <w:tcPr>
            <w:tcW w:w="3443" w:type="dxa"/>
          </w:tcPr>
          <w:p w:rsidR="002B0942" w:rsidRDefault="002B0942" w:rsidP="002B0942">
            <w:pPr>
              <w:jc w:val="center"/>
            </w:pPr>
            <w:r>
              <w:rPr>
                <w:rFonts w:hint="eastAsia"/>
              </w:rPr>
              <w:t>项目</w:t>
            </w:r>
          </w:p>
        </w:tc>
        <w:tc>
          <w:tcPr>
            <w:tcW w:w="2131" w:type="dxa"/>
          </w:tcPr>
          <w:p w:rsidR="002B0942" w:rsidRDefault="002B0942" w:rsidP="002B0942">
            <w:pPr>
              <w:jc w:val="center"/>
            </w:pPr>
            <w:r>
              <w:rPr>
                <w:rFonts w:hint="eastAsia"/>
              </w:rPr>
              <w:t>金额（人民币元）</w:t>
            </w:r>
          </w:p>
        </w:tc>
        <w:tc>
          <w:tcPr>
            <w:tcW w:w="2131" w:type="dxa"/>
          </w:tcPr>
          <w:p w:rsidR="002B0942" w:rsidRDefault="002B0942" w:rsidP="002B0942">
            <w:pPr>
              <w:jc w:val="center"/>
            </w:pPr>
            <w:r>
              <w:rPr>
                <w:rFonts w:hint="eastAsia"/>
              </w:rPr>
              <w:t>占基金总资产的比例（</w:t>
            </w:r>
            <w:r>
              <w:rPr>
                <w:rFonts w:hint="eastAsia"/>
              </w:rPr>
              <w:t>%</w:t>
            </w:r>
            <w:r>
              <w:rPr>
                <w:rFonts w:hint="eastAsia"/>
              </w:rPr>
              <w:t>）</w:t>
            </w:r>
          </w:p>
        </w:tc>
      </w:tr>
      <w:tr w:rsidR="002B0942" w:rsidTr="006D580F">
        <w:tc>
          <w:tcPr>
            <w:tcW w:w="817" w:type="dxa"/>
          </w:tcPr>
          <w:p w:rsidR="002B0942" w:rsidRDefault="002B0942" w:rsidP="002B0942">
            <w:pPr>
              <w:jc w:val="center"/>
            </w:pPr>
            <w:r>
              <w:t>1</w:t>
            </w:r>
          </w:p>
        </w:tc>
        <w:tc>
          <w:tcPr>
            <w:tcW w:w="3443" w:type="dxa"/>
          </w:tcPr>
          <w:p w:rsidR="002B0942" w:rsidRDefault="002B0942" w:rsidP="002B0942">
            <w:pPr>
              <w:jc w:val="left"/>
            </w:pPr>
            <w:r>
              <w:rPr>
                <w:rFonts w:hint="eastAsia"/>
              </w:rPr>
              <w:t>权益投资</w:t>
            </w:r>
          </w:p>
        </w:tc>
        <w:tc>
          <w:tcPr>
            <w:tcW w:w="2131" w:type="dxa"/>
          </w:tcPr>
          <w:p w:rsidR="002B0942" w:rsidRDefault="002B0942" w:rsidP="002B0942">
            <w:pPr>
              <w:jc w:val="right"/>
            </w:pPr>
            <w:r>
              <w:t>894,869,726.54</w:t>
            </w:r>
          </w:p>
        </w:tc>
        <w:tc>
          <w:tcPr>
            <w:tcW w:w="2131" w:type="dxa"/>
          </w:tcPr>
          <w:p w:rsidR="002B0942" w:rsidRDefault="002B0942" w:rsidP="002B0942">
            <w:pPr>
              <w:jc w:val="right"/>
            </w:pPr>
            <w:r>
              <w:t>29.45</w:t>
            </w:r>
          </w:p>
        </w:tc>
      </w:tr>
      <w:tr w:rsidR="002B0942" w:rsidTr="006D580F">
        <w:tc>
          <w:tcPr>
            <w:tcW w:w="817" w:type="dxa"/>
          </w:tcPr>
          <w:p w:rsidR="002B0942" w:rsidRDefault="002B0942" w:rsidP="002B0942">
            <w:pPr>
              <w:jc w:val="center"/>
            </w:pPr>
          </w:p>
        </w:tc>
        <w:tc>
          <w:tcPr>
            <w:tcW w:w="3443" w:type="dxa"/>
          </w:tcPr>
          <w:p w:rsidR="002B0942" w:rsidRDefault="002B0942" w:rsidP="002B0942">
            <w:pPr>
              <w:jc w:val="left"/>
            </w:pPr>
            <w:r>
              <w:rPr>
                <w:rFonts w:hint="eastAsia"/>
              </w:rPr>
              <w:t>其中：普通股</w:t>
            </w:r>
          </w:p>
        </w:tc>
        <w:tc>
          <w:tcPr>
            <w:tcW w:w="2131" w:type="dxa"/>
          </w:tcPr>
          <w:p w:rsidR="002B0942" w:rsidRDefault="002B0942" w:rsidP="002B0942">
            <w:pPr>
              <w:jc w:val="right"/>
            </w:pPr>
            <w:r>
              <w:t>894,869,726.54</w:t>
            </w:r>
          </w:p>
        </w:tc>
        <w:tc>
          <w:tcPr>
            <w:tcW w:w="2131" w:type="dxa"/>
          </w:tcPr>
          <w:p w:rsidR="002B0942" w:rsidRDefault="002B0942" w:rsidP="002B0942">
            <w:pPr>
              <w:jc w:val="right"/>
            </w:pPr>
            <w:r>
              <w:t>29.45</w:t>
            </w:r>
          </w:p>
        </w:tc>
      </w:tr>
      <w:tr w:rsidR="002B0942" w:rsidTr="006D580F">
        <w:tc>
          <w:tcPr>
            <w:tcW w:w="817" w:type="dxa"/>
          </w:tcPr>
          <w:p w:rsidR="002B0942" w:rsidRDefault="002B0942" w:rsidP="002B0942">
            <w:pPr>
              <w:jc w:val="center"/>
            </w:pPr>
          </w:p>
        </w:tc>
        <w:tc>
          <w:tcPr>
            <w:tcW w:w="3443" w:type="dxa"/>
          </w:tcPr>
          <w:p w:rsidR="002B0942" w:rsidRDefault="002B0942" w:rsidP="002B0942">
            <w:pPr>
              <w:jc w:val="left"/>
            </w:pPr>
            <w:r>
              <w:rPr>
                <w:rFonts w:hint="eastAsia"/>
              </w:rPr>
              <w:t xml:space="preserve">      </w:t>
            </w:r>
            <w:r>
              <w:rPr>
                <w:rFonts w:hint="eastAsia"/>
              </w:rPr>
              <w:t>存托凭证</w:t>
            </w:r>
          </w:p>
        </w:tc>
        <w:tc>
          <w:tcPr>
            <w:tcW w:w="2131" w:type="dxa"/>
          </w:tcPr>
          <w:p w:rsidR="002B0942" w:rsidRDefault="002B0942" w:rsidP="002B0942">
            <w:pPr>
              <w:jc w:val="right"/>
            </w:pPr>
            <w:r>
              <w:t>-</w:t>
            </w:r>
          </w:p>
        </w:tc>
        <w:tc>
          <w:tcPr>
            <w:tcW w:w="2131" w:type="dxa"/>
          </w:tcPr>
          <w:p w:rsidR="002B0942" w:rsidRDefault="002B0942" w:rsidP="002B0942">
            <w:pPr>
              <w:jc w:val="right"/>
            </w:pPr>
            <w:r>
              <w:t>-</w:t>
            </w:r>
          </w:p>
        </w:tc>
      </w:tr>
      <w:tr w:rsidR="002B0942" w:rsidTr="006D580F">
        <w:tc>
          <w:tcPr>
            <w:tcW w:w="817" w:type="dxa"/>
          </w:tcPr>
          <w:p w:rsidR="002B0942" w:rsidRDefault="002B0942" w:rsidP="002B0942">
            <w:pPr>
              <w:jc w:val="center"/>
            </w:pPr>
            <w:r>
              <w:t>2</w:t>
            </w:r>
          </w:p>
        </w:tc>
        <w:tc>
          <w:tcPr>
            <w:tcW w:w="3443" w:type="dxa"/>
          </w:tcPr>
          <w:p w:rsidR="002B0942" w:rsidRDefault="002B0942" w:rsidP="002B0942">
            <w:pPr>
              <w:jc w:val="left"/>
            </w:pPr>
            <w:r>
              <w:rPr>
                <w:rFonts w:hint="eastAsia"/>
              </w:rPr>
              <w:t>基金投资</w:t>
            </w:r>
          </w:p>
        </w:tc>
        <w:tc>
          <w:tcPr>
            <w:tcW w:w="2131" w:type="dxa"/>
          </w:tcPr>
          <w:p w:rsidR="002B0942" w:rsidRDefault="002B0942" w:rsidP="002B0942">
            <w:pPr>
              <w:jc w:val="right"/>
            </w:pPr>
            <w:r>
              <w:t>1,822,152,306.22</w:t>
            </w:r>
          </w:p>
        </w:tc>
        <w:tc>
          <w:tcPr>
            <w:tcW w:w="2131" w:type="dxa"/>
          </w:tcPr>
          <w:p w:rsidR="002B0942" w:rsidRDefault="002B0942" w:rsidP="002B0942">
            <w:pPr>
              <w:jc w:val="right"/>
            </w:pPr>
            <w:r>
              <w:t>59.96</w:t>
            </w:r>
          </w:p>
        </w:tc>
      </w:tr>
      <w:tr w:rsidR="002B0942" w:rsidTr="006D580F">
        <w:tc>
          <w:tcPr>
            <w:tcW w:w="817" w:type="dxa"/>
          </w:tcPr>
          <w:p w:rsidR="002B0942" w:rsidRDefault="002B0942" w:rsidP="002B0942">
            <w:pPr>
              <w:jc w:val="center"/>
            </w:pPr>
            <w:r>
              <w:t>3</w:t>
            </w:r>
          </w:p>
        </w:tc>
        <w:tc>
          <w:tcPr>
            <w:tcW w:w="3443" w:type="dxa"/>
          </w:tcPr>
          <w:p w:rsidR="002B0942" w:rsidRDefault="002B0942" w:rsidP="002B0942">
            <w:pPr>
              <w:jc w:val="left"/>
            </w:pPr>
            <w:r>
              <w:rPr>
                <w:rFonts w:hint="eastAsia"/>
              </w:rPr>
              <w:t>固定收益投资</w:t>
            </w:r>
          </w:p>
        </w:tc>
        <w:tc>
          <w:tcPr>
            <w:tcW w:w="2131" w:type="dxa"/>
          </w:tcPr>
          <w:p w:rsidR="002B0942" w:rsidRDefault="002B0942" w:rsidP="002B0942">
            <w:pPr>
              <w:jc w:val="right"/>
            </w:pPr>
            <w:r>
              <w:t>-</w:t>
            </w:r>
          </w:p>
        </w:tc>
        <w:tc>
          <w:tcPr>
            <w:tcW w:w="2131" w:type="dxa"/>
          </w:tcPr>
          <w:p w:rsidR="002B0942" w:rsidRDefault="002B0942" w:rsidP="002B0942">
            <w:pPr>
              <w:jc w:val="right"/>
            </w:pPr>
            <w:r>
              <w:t>-</w:t>
            </w:r>
          </w:p>
        </w:tc>
      </w:tr>
      <w:tr w:rsidR="002B0942" w:rsidTr="006D580F">
        <w:tc>
          <w:tcPr>
            <w:tcW w:w="817" w:type="dxa"/>
          </w:tcPr>
          <w:p w:rsidR="002B0942" w:rsidRDefault="002B0942" w:rsidP="002B0942">
            <w:pPr>
              <w:jc w:val="center"/>
            </w:pPr>
          </w:p>
        </w:tc>
        <w:tc>
          <w:tcPr>
            <w:tcW w:w="3443" w:type="dxa"/>
          </w:tcPr>
          <w:p w:rsidR="002B0942" w:rsidRDefault="002B0942" w:rsidP="002B0942">
            <w:pPr>
              <w:jc w:val="left"/>
            </w:pPr>
            <w:r>
              <w:rPr>
                <w:rFonts w:hint="eastAsia"/>
              </w:rPr>
              <w:t>其中：债券</w:t>
            </w:r>
          </w:p>
        </w:tc>
        <w:tc>
          <w:tcPr>
            <w:tcW w:w="2131" w:type="dxa"/>
          </w:tcPr>
          <w:p w:rsidR="002B0942" w:rsidRDefault="002B0942" w:rsidP="002B0942">
            <w:pPr>
              <w:jc w:val="right"/>
            </w:pPr>
            <w:r>
              <w:t>-</w:t>
            </w:r>
          </w:p>
        </w:tc>
        <w:tc>
          <w:tcPr>
            <w:tcW w:w="2131" w:type="dxa"/>
          </w:tcPr>
          <w:p w:rsidR="002B0942" w:rsidRDefault="002B0942" w:rsidP="002B0942">
            <w:pPr>
              <w:jc w:val="right"/>
            </w:pPr>
            <w:r>
              <w:t>-</w:t>
            </w:r>
          </w:p>
        </w:tc>
      </w:tr>
      <w:tr w:rsidR="002B0942" w:rsidTr="006D580F">
        <w:tc>
          <w:tcPr>
            <w:tcW w:w="817" w:type="dxa"/>
          </w:tcPr>
          <w:p w:rsidR="002B0942" w:rsidRDefault="002B0942" w:rsidP="002B0942">
            <w:pPr>
              <w:jc w:val="center"/>
            </w:pPr>
          </w:p>
        </w:tc>
        <w:tc>
          <w:tcPr>
            <w:tcW w:w="3443" w:type="dxa"/>
          </w:tcPr>
          <w:p w:rsidR="002B0942" w:rsidRDefault="002B0942" w:rsidP="002B0942">
            <w:pPr>
              <w:jc w:val="left"/>
            </w:pPr>
            <w:r>
              <w:rPr>
                <w:rFonts w:hint="eastAsia"/>
              </w:rPr>
              <w:t xml:space="preserve">      </w:t>
            </w:r>
            <w:r>
              <w:rPr>
                <w:rFonts w:hint="eastAsia"/>
              </w:rPr>
              <w:t>资产支持证券</w:t>
            </w:r>
          </w:p>
        </w:tc>
        <w:tc>
          <w:tcPr>
            <w:tcW w:w="2131" w:type="dxa"/>
          </w:tcPr>
          <w:p w:rsidR="002B0942" w:rsidRDefault="002B0942" w:rsidP="002B0942">
            <w:pPr>
              <w:jc w:val="right"/>
            </w:pPr>
            <w:r>
              <w:t>-</w:t>
            </w:r>
          </w:p>
        </w:tc>
        <w:tc>
          <w:tcPr>
            <w:tcW w:w="2131" w:type="dxa"/>
          </w:tcPr>
          <w:p w:rsidR="002B0942" w:rsidRDefault="002B0942" w:rsidP="002B0942">
            <w:pPr>
              <w:jc w:val="right"/>
            </w:pPr>
            <w:r>
              <w:t>-</w:t>
            </w:r>
          </w:p>
        </w:tc>
      </w:tr>
      <w:tr w:rsidR="002B0942" w:rsidTr="006D580F">
        <w:tc>
          <w:tcPr>
            <w:tcW w:w="817" w:type="dxa"/>
          </w:tcPr>
          <w:p w:rsidR="002B0942" w:rsidRDefault="002B0942" w:rsidP="002B0942">
            <w:pPr>
              <w:jc w:val="center"/>
            </w:pPr>
            <w:r>
              <w:t>4</w:t>
            </w:r>
          </w:p>
        </w:tc>
        <w:tc>
          <w:tcPr>
            <w:tcW w:w="3443" w:type="dxa"/>
          </w:tcPr>
          <w:p w:rsidR="002B0942" w:rsidRDefault="002B0942" w:rsidP="002B0942">
            <w:pPr>
              <w:jc w:val="left"/>
            </w:pPr>
            <w:r>
              <w:rPr>
                <w:rFonts w:hint="eastAsia"/>
              </w:rPr>
              <w:t>金融衍生品投资</w:t>
            </w:r>
          </w:p>
        </w:tc>
        <w:tc>
          <w:tcPr>
            <w:tcW w:w="2131" w:type="dxa"/>
          </w:tcPr>
          <w:p w:rsidR="002B0942" w:rsidRDefault="002B0942" w:rsidP="002B0942">
            <w:pPr>
              <w:jc w:val="right"/>
            </w:pPr>
            <w:r>
              <w:t>-</w:t>
            </w:r>
          </w:p>
        </w:tc>
        <w:tc>
          <w:tcPr>
            <w:tcW w:w="2131" w:type="dxa"/>
          </w:tcPr>
          <w:p w:rsidR="002B0942" w:rsidRDefault="002B0942" w:rsidP="002B0942">
            <w:pPr>
              <w:jc w:val="right"/>
            </w:pPr>
            <w:r>
              <w:t>-</w:t>
            </w:r>
          </w:p>
        </w:tc>
      </w:tr>
      <w:tr w:rsidR="002B0942" w:rsidTr="006D580F">
        <w:tc>
          <w:tcPr>
            <w:tcW w:w="817" w:type="dxa"/>
          </w:tcPr>
          <w:p w:rsidR="002B0942" w:rsidRDefault="002B0942" w:rsidP="002B0942">
            <w:pPr>
              <w:jc w:val="center"/>
            </w:pPr>
          </w:p>
        </w:tc>
        <w:tc>
          <w:tcPr>
            <w:tcW w:w="3443" w:type="dxa"/>
          </w:tcPr>
          <w:p w:rsidR="002B0942" w:rsidRDefault="002B0942" w:rsidP="002B0942">
            <w:pPr>
              <w:jc w:val="left"/>
            </w:pPr>
            <w:r>
              <w:rPr>
                <w:rFonts w:hint="eastAsia"/>
              </w:rPr>
              <w:t>其中：远期</w:t>
            </w:r>
          </w:p>
        </w:tc>
        <w:tc>
          <w:tcPr>
            <w:tcW w:w="2131" w:type="dxa"/>
          </w:tcPr>
          <w:p w:rsidR="002B0942" w:rsidRDefault="002B0942" w:rsidP="002B0942">
            <w:pPr>
              <w:jc w:val="right"/>
            </w:pPr>
            <w:r>
              <w:t>-</w:t>
            </w:r>
          </w:p>
        </w:tc>
        <w:tc>
          <w:tcPr>
            <w:tcW w:w="2131" w:type="dxa"/>
          </w:tcPr>
          <w:p w:rsidR="002B0942" w:rsidRDefault="002B0942" w:rsidP="002B0942">
            <w:pPr>
              <w:jc w:val="right"/>
            </w:pPr>
            <w:r>
              <w:t>-</w:t>
            </w:r>
          </w:p>
        </w:tc>
      </w:tr>
      <w:tr w:rsidR="002B0942" w:rsidTr="006D580F">
        <w:tc>
          <w:tcPr>
            <w:tcW w:w="817" w:type="dxa"/>
          </w:tcPr>
          <w:p w:rsidR="002B0942" w:rsidRDefault="002B0942" w:rsidP="002B0942">
            <w:pPr>
              <w:jc w:val="center"/>
            </w:pPr>
          </w:p>
        </w:tc>
        <w:tc>
          <w:tcPr>
            <w:tcW w:w="3443" w:type="dxa"/>
          </w:tcPr>
          <w:p w:rsidR="002B0942" w:rsidRDefault="002B0942" w:rsidP="002B0942">
            <w:pPr>
              <w:jc w:val="left"/>
            </w:pPr>
            <w:r>
              <w:rPr>
                <w:rFonts w:hint="eastAsia"/>
              </w:rPr>
              <w:t xml:space="preserve">      </w:t>
            </w:r>
            <w:r>
              <w:rPr>
                <w:rFonts w:hint="eastAsia"/>
              </w:rPr>
              <w:t>期货</w:t>
            </w:r>
          </w:p>
        </w:tc>
        <w:tc>
          <w:tcPr>
            <w:tcW w:w="2131" w:type="dxa"/>
          </w:tcPr>
          <w:p w:rsidR="002B0942" w:rsidRDefault="002B0942" w:rsidP="002B0942">
            <w:pPr>
              <w:jc w:val="right"/>
            </w:pPr>
            <w:r>
              <w:t>-</w:t>
            </w:r>
          </w:p>
        </w:tc>
        <w:tc>
          <w:tcPr>
            <w:tcW w:w="2131" w:type="dxa"/>
          </w:tcPr>
          <w:p w:rsidR="002B0942" w:rsidRDefault="002B0942" w:rsidP="002B0942">
            <w:pPr>
              <w:jc w:val="right"/>
            </w:pPr>
            <w:r>
              <w:t>-</w:t>
            </w:r>
          </w:p>
        </w:tc>
      </w:tr>
      <w:tr w:rsidR="002B0942" w:rsidTr="006D580F">
        <w:tc>
          <w:tcPr>
            <w:tcW w:w="817" w:type="dxa"/>
          </w:tcPr>
          <w:p w:rsidR="002B0942" w:rsidRDefault="002B0942" w:rsidP="002B0942">
            <w:pPr>
              <w:jc w:val="center"/>
            </w:pPr>
          </w:p>
        </w:tc>
        <w:tc>
          <w:tcPr>
            <w:tcW w:w="3443" w:type="dxa"/>
          </w:tcPr>
          <w:p w:rsidR="002B0942" w:rsidRDefault="002B0942" w:rsidP="002B0942">
            <w:pPr>
              <w:jc w:val="left"/>
            </w:pPr>
            <w:r>
              <w:rPr>
                <w:rFonts w:hint="eastAsia"/>
              </w:rPr>
              <w:t xml:space="preserve">      </w:t>
            </w:r>
            <w:r>
              <w:rPr>
                <w:rFonts w:hint="eastAsia"/>
              </w:rPr>
              <w:t>期权</w:t>
            </w:r>
          </w:p>
        </w:tc>
        <w:tc>
          <w:tcPr>
            <w:tcW w:w="2131" w:type="dxa"/>
          </w:tcPr>
          <w:p w:rsidR="002B0942" w:rsidRDefault="002B0942" w:rsidP="002B0942">
            <w:pPr>
              <w:jc w:val="right"/>
            </w:pPr>
            <w:r>
              <w:t>-</w:t>
            </w:r>
          </w:p>
        </w:tc>
        <w:tc>
          <w:tcPr>
            <w:tcW w:w="2131" w:type="dxa"/>
          </w:tcPr>
          <w:p w:rsidR="002B0942" w:rsidRDefault="002B0942" w:rsidP="002B0942">
            <w:pPr>
              <w:jc w:val="right"/>
            </w:pPr>
            <w:r>
              <w:t>-</w:t>
            </w:r>
          </w:p>
        </w:tc>
      </w:tr>
      <w:tr w:rsidR="002B0942" w:rsidTr="006D580F">
        <w:tc>
          <w:tcPr>
            <w:tcW w:w="817" w:type="dxa"/>
          </w:tcPr>
          <w:p w:rsidR="002B0942" w:rsidRDefault="002B0942" w:rsidP="002B0942">
            <w:pPr>
              <w:jc w:val="center"/>
            </w:pPr>
          </w:p>
        </w:tc>
        <w:tc>
          <w:tcPr>
            <w:tcW w:w="3443" w:type="dxa"/>
          </w:tcPr>
          <w:p w:rsidR="002B0942" w:rsidRDefault="002B0942" w:rsidP="002B0942">
            <w:pPr>
              <w:jc w:val="left"/>
            </w:pPr>
            <w:r>
              <w:rPr>
                <w:rFonts w:hint="eastAsia"/>
              </w:rPr>
              <w:t xml:space="preserve">      </w:t>
            </w:r>
            <w:r>
              <w:rPr>
                <w:rFonts w:hint="eastAsia"/>
              </w:rPr>
              <w:t>权证</w:t>
            </w:r>
          </w:p>
        </w:tc>
        <w:tc>
          <w:tcPr>
            <w:tcW w:w="2131" w:type="dxa"/>
          </w:tcPr>
          <w:p w:rsidR="002B0942" w:rsidRDefault="002B0942" w:rsidP="002B0942">
            <w:pPr>
              <w:jc w:val="right"/>
            </w:pPr>
            <w:r>
              <w:t>-</w:t>
            </w:r>
          </w:p>
        </w:tc>
        <w:tc>
          <w:tcPr>
            <w:tcW w:w="2131" w:type="dxa"/>
          </w:tcPr>
          <w:p w:rsidR="002B0942" w:rsidRDefault="002B0942" w:rsidP="002B0942">
            <w:pPr>
              <w:jc w:val="right"/>
            </w:pPr>
            <w:r>
              <w:t>-</w:t>
            </w:r>
          </w:p>
        </w:tc>
      </w:tr>
      <w:tr w:rsidR="002B0942" w:rsidTr="006D580F">
        <w:tc>
          <w:tcPr>
            <w:tcW w:w="817" w:type="dxa"/>
          </w:tcPr>
          <w:p w:rsidR="002B0942" w:rsidRDefault="002B0942" w:rsidP="002B0942">
            <w:pPr>
              <w:jc w:val="center"/>
            </w:pPr>
            <w:r>
              <w:t>5</w:t>
            </w:r>
          </w:p>
        </w:tc>
        <w:tc>
          <w:tcPr>
            <w:tcW w:w="3443" w:type="dxa"/>
          </w:tcPr>
          <w:p w:rsidR="002B0942" w:rsidRDefault="002B0942" w:rsidP="002B0942">
            <w:pPr>
              <w:jc w:val="left"/>
            </w:pPr>
            <w:r>
              <w:rPr>
                <w:rFonts w:hint="eastAsia"/>
              </w:rPr>
              <w:t>买入返售金融资产</w:t>
            </w:r>
          </w:p>
        </w:tc>
        <w:tc>
          <w:tcPr>
            <w:tcW w:w="2131" w:type="dxa"/>
          </w:tcPr>
          <w:p w:rsidR="002B0942" w:rsidRDefault="002B0942" w:rsidP="002B0942">
            <w:pPr>
              <w:jc w:val="right"/>
            </w:pPr>
            <w:r>
              <w:t>-</w:t>
            </w:r>
          </w:p>
        </w:tc>
        <w:tc>
          <w:tcPr>
            <w:tcW w:w="2131" w:type="dxa"/>
          </w:tcPr>
          <w:p w:rsidR="002B0942" w:rsidRDefault="002B0942" w:rsidP="002B0942">
            <w:pPr>
              <w:jc w:val="right"/>
            </w:pPr>
            <w:r>
              <w:t>-</w:t>
            </w:r>
          </w:p>
        </w:tc>
      </w:tr>
      <w:tr w:rsidR="002B0942" w:rsidTr="006D580F">
        <w:tc>
          <w:tcPr>
            <w:tcW w:w="817" w:type="dxa"/>
          </w:tcPr>
          <w:p w:rsidR="002B0942" w:rsidRDefault="002B0942" w:rsidP="002B0942">
            <w:pPr>
              <w:jc w:val="center"/>
            </w:pPr>
          </w:p>
        </w:tc>
        <w:tc>
          <w:tcPr>
            <w:tcW w:w="3443" w:type="dxa"/>
          </w:tcPr>
          <w:p w:rsidR="002B0942" w:rsidRDefault="002B0942" w:rsidP="002B0942">
            <w:pPr>
              <w:jc w:val="left"/>
            </w:pPr>
            <w:r>
              <w:rPr>
                <w:rFonts w:hint="eastAsia"/>
              </w:rPr>
              <w:t>其中：买断式回购的买入返售金融资产</w:t>
            </w:r>
          </w:p>
        </w:tc>
        <w:tc>
          <w:tcPr>
            <w:tcW w:w="2131" w:type="dxa"/>
          </w:tcPr>
          <w:p w:rsidR="002B0942" w:rsidRDefault="002B0942" w:rsidP="002B0942">
            <w:pPr>
              <w:jc w:val="right"/>
            </w:pPr>
            <w:r>
              <w:t>-</w:t>
            </w:r>
          </w:p>
        </w:tc>
        <w:tc>
          <w:tcPr>
            <w:tcW w:w="2131" w:type="dxa"/>
          </w:tcPr>
          <w:p w:rsidR="002B0942" w:rsidRDefault="002B0942" w:rsidP="002B0942">
            <w:pPr>
              <w:jc w:val="right"/>
            </w:pPr>
            <w:r>
              <w:t>-</w:t>
            </w:r>
          </w:p>
        </w:tc>
      </w:tr>
      <w:tr w:rsidR="002B0942" w:rsidTr="006D580F">
        <w:tc>
          <w:tcPr>
            <w:tcW w:w="817" w:type="dxa"/>
          </w:tcPr>
          <w:p w:rsidR="002B0942" w:rsidRDefault="002B0942" w:rsidP="002B0942">
            <w:pPr>
              <w:jc w:val="center"/>
            </w:pPr>
            <w:r>
              <w:t>6</w:t>
            </w:r>
          </w:p>
        </w:tc>
        <w:tc>
          <w:tcPr>
            <w:tcW w:w="3443" w:type="dxa"/>
          </w:tcPr>
          <w:p w:rsidR="002B0942" w:rsidRDefault="002B0942" w:rsidP="002B0942">
            <w:pPr>
              <w:jc w:val="left"/>
            </w:pPr>
            <w:r>
              <w:rPr>
                <w:rFonts w:hint="eastAsia"/>
              </w:rPr>
              <w:t>货币市场工具</w:t>
            </w:r>
          </w:p>
        </w:tc>
        <w:tc>
          <w:tcPr>
            <w:tcW w:w="2131" w:type="dxa"/>
          </w:tcPr>
          <w:p w:rsidR="002B0942" w:rsidRDefault="002B0942" w:rsidP="002B0942">
            <w:pPr>
              <w:jc w:val="right"/>
            </w:pPr>
            <w:r>
              <w:t>122,090,168.12</w:t>
            </w:r>
          </w:p>
        </w:tc>
        <w:tc>
          <w:tcPr>
            <w:tcW w:w="2131" w:type="dxa"/>
          </w:tcPr>
          <w:p w:rsidR="002B0942" w:rsidRDefault="002B0942" w:rsidP="002B0942">
            <w:pPr>
              <w:jc w:val="right"/>
            </w:pPr>
            <w:r>
              <w:t>4.02</w:t>
            </w:r>
          </w:p>
        </w:tc>
      </w:tr>
      <w:tr w:rsidR="002B0942" w:rsidTr="006D580F">
        <w:tc>
          <w:tcPr>
            <w:tcW w:w="817" w:type="dxa"/>
          </w:tcPr>
          <w:p w:rsidR="002B0942" w:rsidRDefault="002B0942" w:rsidP="002B0942">
            <w:pPr>
              <w:jc w:val="center"/>
            </w:pPr>
            <w:r>
              <w:t>7</w:t>
            </w:r>
          </w:p>
        </w:tc>
        <w:tc>
          <w:tcPr>
            <w:tcW w:w="3443" w:type="dxa"/>
          </w:tcPr>
          <w:p w:rsidR="002B0942" w:rsidRDefault="002B0942" w:rsidP="002B0942">
            <w:pPr>
              <w:jc w:val="left"/>
            </w:pPr>
            <w:r>
              <w:rPr>
                <w:rFonts w:hint="eastAsia"/>
              </w:rPr>
              <w:t>银行存款和结算备付金合计</w:t>
            </w:r>
          </w:p>
        </w:tc>
        <w:tc>
          <w:tcPr>
            <w:tcW w:w="2131" w:type="dxa"/>
          </w:tcPr>
          <w:p w:rsidR="002B0942" w:rsidRDefault="002B0942" w:rsidP="002B0942">
            <w:pPr>
              <w:jc w:val="right"/>
            </w:pPr>
            <w:r>
              <w:t>188,744,939.71</w:t>
            </w:r>
          </w:p>
        </w:tc>
        <w:tc>
          <w:tcPr>
            <w:tcW w:w="2131" w:type="dxa"/>
          </w:tcPr>
          <w:p w:rsidR="002B0942" w:rsidRDefault="002B0942" w:rsidP="002B0942">
            <w:pPr>
              <w:jc w:val="right"/>
            </w:pPr>
            <w:r>
              <w:t>6.21</w:t>
            </w:r>
          </w:p>
        </w:tc>
      </w:tr>
      <w:tr w:rsidR="002B0942" w:rsidTr="006D580F">
        <w:tc>
          <w:tcPr>
            <w:tcW w:w="817" w:type="dxa"/>
          </w:tcPr>
          <w:p w:rsidR="002B0942" w:rsidRDefault="002B0942" w:rsidP="002B0942">
            <w:pPr>
              <w:jc w:val="center"/>
            </w:pPr>
            <w:r>
              <w:t>8</w:t>
            </w:r>
          </w:p>
        </w:tc>
        <w:tc>
          <w:tcPr>
            <w:tcW w:w="3443" w:type="dxa"/>
          </w:tcPr>
          <w:p w:rsidR="002B0942" w:rsidRDefault="002B0942" w:rsidP="002B0942">
            <w:pPr>
              <w:jc w:val="left"/>
            </w:pPr>
            <w:r>
              <w:rPr>
                <w:rFonts w:hint="eastAsia"/>
              </w:rPr>
              <w:t>其他资产</w:t>
            </w:r>
          </w:p>
        </w:tc>
        <w:tc>
          <w:tcPr>
            <w:tcW w:w="2131" w:type="dxa"/>
          </w:tcPr>
          <w:p w:rsidR="002B0942" w:rsidRDefault="002B0942" w:rsidP="002B0942">
            <w:pPr>
              <w:jc w:val="right"/>
            </w:pPr>
            <w:r>
              <w:t>11,220,260.75</w:t>
            </w:r>
          </w:p>
        </w:tc>
        <w:tc>
          <w:tcPr>
            <w:tcW w:w="2131" w:type="dxa"/>
          </w:tcPr>
          <w:p w:rsidR="002B0942" w:rsidRDefault="002B0942" w:rsidP="002B0942">
            <w:pPr>
              <w:jc w:val="right"/>
            </w:pPr>
            <w:r>
              <w:t>0.37</w:t>
            </w:r>
          </w:p>
        </w:tc>
      </w:tr>
      <w:tr w:rsidR="002B0942" w:rsidTr="006D580F">
        <w:tc>
          <w:tcPr>
            <w:tcW w:w="817" w:type="dxa"/>
          </w:tcPr>
          <w:p w:rsidR="002B0942" w:rsidRDefault="002B0942" w:rsidP="002B0942">
            <w:pPr>
              <w:jc w:val="center"/>
            </w:pPr>
            <w:r>
              <w:t>9</w:t>
            </w:r>
          </w:p>
        </w:tc>
        <w:tc>
          <w:tcPr>
            <w:tcW w:w="3443" w:type="dxa"/>
          </w:tcPr>
          <w:p w:rsidR="002B0942" w:rsidRDefault="002B0942" w:rsidP="002B0942">
            <w:pPr>
              <w:jc w:val="left"/>
            </w:pPr>
            <w:r>
              <w:rPr>
                <w:rFonts w:hint="eastAsia"/>
              </w:rPr>
              <w:t>合计</w:t>
            </w:r>
          </w:p>
        </w:tc>
        <w:tc>
          <w:tcPr>
            <w:tcW w:w="2131" w:type="dxa"/>
          </w:tcPr>
          <w:p w:rsidR="002B0942" w:rsidRDefault="002B0942" w:rsidP="002B0942">
            <w:pPr>
              <w:jc w:val="right"/>
            </w:pPr>
            <w:r>
              <w:t>3,039,077,401.34</w:t>
            </w:r>
          </w:p>
        </w:tc>
        <w:tc>
          <w:tcPr>
            <w:tcW w:w="2131" w:type="dxa"/>
          </w:tcPr>
          <w:p w:rsidR="002B0942" w:rsidRDefault="002B0942" w:rsidP="002B0942">
            <w:pPr>
              <w:jc w:val="right"/>
            </w:pPr>
            <w:r>
              <w:t>100.00</w:t>
            </w:r>
          </w:p>
        </w:tc>
      </w:tr>
    </w:tbl>
    <w:p w:rsidR="00590F36" w:rsidRDefault="002B0942" w:rsidP="002B0942">
      <w:pPr>
        <w:pStyle w:val="-8"/>
        <w:rPr>
          <w:lang w:eastAsia="zh-CN"/>
        </w:rPr>
      </w:pPr>
      <w:r>
        <w:rPr>
          <w:rFonts w:hint="eastAsia"/>
        </w:rPr>
        <w:t>注：</w:t>
      </w:r>
      <w:r w:rsidR="00590F36">
        <w:rPr>
          <w:rFonts w:hint="eastAsia"/>
          <w:lang w:eastAsia="zh-CN"/>
        </w:rPr>
        <w:t>1、</w:t>
      </w:r>
      <w:r w:rsidR="00590F36">
        <w:rPr>
          <w:rFonts w:hint="eastAsia"/>
        </w:rPr>
        <w:t>上述货币市场工具均为货币市场基金投资。</w:t>
      </w:r>
    </w:p>
    <w:p w:rsidR="002B0942" w:rsidRDefault="00590F36" w:rsidP="00590F36">
      <w:pPr>
        <w:pStyle w:val="-8"/>
        <w:ind w:firstLineChars="200" w:firstLine="420"/>
      </w:pPr>
      <w:r>
        <w:rPr>
          <w:lang w:eastAsia="zh-CN"/>
        </w:rPr>
        <w:t>2</w:t>
      </w:r>
      <w:r>
        <w:rPr>
          <w:rFonts w:hint="eastAsia"/>
          <w:lang w:eastAsia="zh-CN"/>
        </w:rPr>
        <w:t>、</w:t>
      </w:r>
      <w:r w:rsidR="002B0942">
        <w:rPr>
          <w:rFonts w:hint="eastAsia"/>
        </w:rPr>
        <w:t>本基金本报告期末通过沪港通交易机制投资的港股市值为人民币263,470,415.43元，占基金资产净值比例8.74%;通过深港通交易机制投资的港股市值为人民币10,012,135.68元，占基金资产净值比例0.33%。</w:t>
      </w:r>
    </w:p>
    <w:p w:rsidR="002B0942" w:rsidRDefault="002B0942" w:rsidP="002B0942">
      <w:pPr>
        <w:pStyle w:val="-2"/>
        <w:spacing w:before="312"/>
      </w:pPr>
      <w:r>
        <w:rPr>
          <w:rFonts w:hint="eastAsia"/>
        </w:rPr>
        <w:t>报告期末在各个国家（地区）证券市场的股票及存托凭证投资分布</w:t>
      </w:r>
    </w:p>
    <w:tbl>
      <w:tblPr>
        <w:tblStyle w:val="-0"/>
        <w:tblW w:w="0" w:type="auto"/>
        <w:tblLayout w:type="fixed"/>
        <w:tblLook w:val="04A0" w:firstRow="1" w:lastRow="0" w:firstColumn="1" w:lastColumn="0" w:noHBand="0" w:noVBand="1"/>
      </w:tblPr>
      <w:tblGrid>
        <w:gridCol w:w="2840"/>
        <w:gridCol w:w="2841"/>
        <w:gridCol w:w="2841"/>
      </w:tblGrid>
      <w:tr w:rsidR="002B0942" w:rsidTr="002B0942">
        <w:trPr>
          <w:cnfStyle w:val="100000000000" w:firstRow="1" w:lastRow="0" w:firstColumn="0" w:lastColumn="0" w:oddVBand="0" w:evenVBand="0" w:oddHBand="0" w:evenHBand="0" w:firstRowFirstColumn="0" w:firstRowLastColumn="0" w:lastRowFirstColumn="0" w:lastRowLastColumn="0"/>
        </w:trPr>
        <w:tc>
          <w:tcPr>
            <w:tcW w:w="2840" w:type="dxa"/>
          </w:tcPr>
          <w:p w:rsidR="002B0942" w:rsidRDefault="002B0942" w:rsidP="002B0942">
            <w:pPr>
              <w:jc w:val="center"/>
            </w:pPr>
            <w:r>
              <w:rPr>
                <w:rFonts w:hint="eastAsia"/>
              </w:rPr>
              <w:t>国家（地区）</w:t>
            </w:r>
          </w:p>
        </w:tc>
        <w:tc>
          <w:tcPr>
            <w:tcW w:w="2841" w:type="dxa"/>
          </w:tcPr>
          <w:p w:rsidR="002B0942" w:rsidRDefault="002B0942" w:rsidP="002B0942">
            <w:pPr>
              <w:jc w:val="center"/>
            </w:pPr>
            <w:r>
              <w:rPr>
                <w:rFonts w:hint="eastAsia"/>
              </w:rPr>
              <w:t>公允价值（人民币元）</w:t>
            </w:r>
          </w:p>
        </w:tc>
        <w:tc>
          <w:tcPr>
            <w:tcW w:w="2841" w:type="dxa"/>
          </w:tcPr>
          <w:p w:rsidR="002B0942" w:rsidRDefault="002B0942" w:rsidP="002B0942">
            <w:pPr>
              <w:jc w:val="center"/>
            </w:pPr>
            <w:r>
              <w:rPr>
                <w:rFonts w:hint="eastAsia"/>
              </w:rPr>
              <w:t>占基金资产净值比例（％）</w:t>
            </w:r>
          </w:p>
        </w:tc>
      </w:tr>
      <w:tr w:rsidR="002B0942" w:rsidTr="002B0942">
        <w:tc>
          <w:tcPr>
            <w:tcW w:w="2840" w:type="dxa"/>
          </w:tcPr>
          <w:p w:rsidR="002B0942" w:rsidRDefault="002B0942" w:rsidP="002B0942">
            <w:pPr>
              <w:jc w:val="left"/>
            </w:pPr>
            <w:r>
              <w:rPr>
                <w:rFonts w:hint="eastAsia"/>
              </w:rPr>
              <w:t>中国香港</w:t>
            </w:r>
          </w:p>
        </w:tc>
        <w:tc>
          <w:tcPr>
            <w:tcW w:w="2841" w:type="dxa"/>
          </w:tcPr>
          <w:p w:rsidR="002B0942" w:rsidRDefault="002B0942" w:rsidP="002B0942">
            <w:pPr>
              <w:jc w:val="right"/>
            </w:pPr>
            <w:r>
              <w:t>894,869,726.54</w:t>
            </w:r>
          </w:p>
        </w:tc>
        <w:tc>
          <w:tcPr>
            <w:tcW w:w="2841" w:type="dxa"/>
          </w:tcPr>
          <w:p w:rsidR="002B0942" w:rsidRDefault="002B0942" w:rsidP="002B0942">
            <w:pPr>
              <w:jc w:val="right"/>
            </w:pPr>
            <w:r>
              <w:t>29.67</w:t>
            </w:r>
          </w:p>
        </w:tc>
      </w:tr>
      <w:tr w:rsidR="002B0942" w:rsidTr="002B0942">
        <w:tc>
          <w:tcPr>
            <w:tcW w:w="2840" w:type="dxa"/>
          </w:tcPr>
          <w:p w:rsidR="002B0942" w:rsidRDefault="002B0942" w:rsidP="002B0942">
            <w:pPr>
              <w:jc w:val="left"/>
            </w:pPr>
            <w:r>
              <w:rPr>
                <w:rFonts w:hint="eastAsia"/>
              </w:rPr>
              <w:t>合计</w:t>
            </w:r>
          </w:p>
        </w:tc>
        <w:tc>
          <w:tcPr>
            <w:tcW w:w="2841" w:type="dxa"/>
          </w:tcPr>
          <w:p w:rsidR="002B0942" w:rsidRDefault="002B0942" w:rsidP="002B0942">
            <w:pPr>
              <w:jc w:val="right"/>
            </w:pPr>
            <w:r>
              <w:t>894,869,726.54</w:t>
            </w:r>
          </w:p>
        </w:tc>
        <w:tc>
          <w:tcPr>
            <w:tcW w:w="2841" w:type="dxa"/>
          </w:tcPr>
          <w:p w:rsidR="002B0942" w:rsidRDefault="002B0942" w:rsidP="002B0942">
            <w:pPr>
              <w:jc w:val="right"/>
            </w:pPr>
            <w:r>
              <w:t>29.67</w:t>
            </w:r>
          </w:p>
        </w:tc>
      </w:tr>
    </w:tbl>
    <w:p w:rsidR="002B0942" w:rsidRDefault="002B0942" w:rsidP="002B0942">
      <w:pPr>
        <w:pStyle w:val="-2"/>
        <w:spacing w:before="312"/>
      </w:pPr>
      <w:r>
        <w:rPr>
          <w:rFonts w:hint="eastAsia"/>
        </w:rPr>
        <w:t>报告期末按行业分类的股票及存托凭证投资组合</w:t>
      </w:r>
    </w:p>
    <w:tbl>
      <w:tblPr>
        <w:tblStyle w:val="-0"/>
        <w:tblW w:w="0" w:type="auto"/>
        <w:tblLayout w:type="fixed"/>
        <w:tblLook w:val="04A0" w:firstRow="1" w:lastRow="0" w:firstColumn="1" w:lastColumn="0" w:noHBand="0" w:noVBand="1"/>
      </w:tblPr>
      <w:tblGrid>
        <w:gridCol w:w="2840"/>
        <w:gridCol w:w="2841"/>
        <w:gridCol w:w="2841"/>
      </w:tblGrid>
      <w:tr w:rsidR="002B0942" w:rsidTr="002B0942">
        <w:trPr>
          <w:cnfStyle w:val="100000000000" w:firstRow="1" w:lastRow="0" w:firstColumn="0" w:lastColumn="0" w:oddVBand="0" w:evenVBand="0" w:oddHBand="0" w:evenHBand="0" w:firstRowFirstColumn="0" w:firstRowLastColumn="0" w:lastRowFirstColumn="0" w:lastRowLastColumn="0"/>
        </w:trPr>
        <w:tc>
          <w:tcPr>
            <w:tcW w:w="2840" w:type="dxa"/>
          </w:tcPr>
          <w:p w:rsidR="002B0942" w:rsidRDefault="002B0942" w:rsidP="002B0942">
            <w:pPr>
              <w:jc w:val="center"/>
            </w:pPr>
            <w:r>
              <w:rPr>
                <w:rFonts w:hint="eastAsia"/>
              </w:rPr>
              <w:t>行业类别</w:t>
            </w:r>
          </w:p>
        </w:tc>
        <w:tc>
          <w:tcPr>
            <w:tcW w:w="2841" w:type="dxa"/>
          </w:tcPr>
          <w:p w:rsidR="002B0942" w:rsidRDefault="002B0942" w:rsidP="002B0942">
            <w:pPr>
              <w:jc w:val="center"/>
            </w:pPr>
            <w:r>
              <w:rPr>
                <w:rFonts w:hint="eastAsia"/>
              </w:rPr>
              <w:t>公允价值（人民币元）</w:t>
            </w:r>
          </w:p>
        </w:tc>
        <w:tc>
          <w:tcPr>
            <w:tcW w:w="2841" w:type="dxa"/>
          </w:tcPr>
          <w:p w:rsidR="002B0942" w:rsidRDefault="002B0942" w:rsidP="002B0942">
            <w:pPr>
              <w:jc w:val="center"/>
            </w:pPr>
            <w:r>
              <w:rPr>
                <w:rFonts w:hint="eastAsia"/>
              </w:rPr>
              <w:t>占基金资产净值比例（％）</w:t>
            </w:r>
          </w:p>
        </w:tc>
      </w:tr>
      <w:tr w:rsidR="002B0942" w:rsidTr="002B0942">
        <w:tc>
          <w:tcPr>
            <w:tcW w:w="2840" w:type="dxa"/>
          </w:tcPr>
          <w:p w:rsidR="002B0942" w:rsidRDefault="002B0942" w:rsidP="002B0942">
            <w:pPr>
              <w:jc w:val="left"/>
            </w:pPr>
            <w:r>
              <w:rPr>
                <w:rFonts w:hint="eastAsia"/>
              </w:rPr>
              <w:t>能源</w:t>
            </w:r>
          </w:p>
        </w:tc>
        <w:tc>
          <w:tcPr>
            <w:tcW w:w="2841" w:type="dxa"/>
          </w:tcPr>
          <w:p w:rsidR="002B0942" w:rsidRDefault="002B0942" w:rsidP="002B0942">
            <w:pPr>
              <w:jc w:val="right"/>
            </w:pPr>
            <w:r>
              <w:t>-</w:t>
            </w:r>
          </w:p>
        </w:tc>
        <w:tc>
          <w:tcPr>
            <w:tcW w:w="2841" w:type="dxa"/>
          </w:tcPr>
          <w:p w:rsidR="002B0942" w:rsidRDefault="002B0942" w:rsidP="002B0942">
            <w:pPr>
              <w:jc w:val="right"/>
            </w:pPr>
            <w:r>
              <w:t>-</w:t>
            </w:r>
          </w:p>
        </w:tc>
      </w:tr>
      <w:tr w:rsidR="002B0942" w:rsidTr="002B0942">
        <w:tc>
          <w:tcPr>
            <w:tcW w:w="2840" w:type="dxa"/>
          </w:tcPr>
          <w:p w:rsidR="002B0942" w:rsidRDefault="002B0942" w:rsidP="002B0942">
            <w:pPr>
              <w:jc w:val="left"/>
            </w:pPr>
            <w:r>
              <w:rPr>
                <w:rFonts w:hint="eastAsia"/>
              </w:rPr>
              <w:t>材料</w:t>
            </w:r>
          </w:p>
        </w:tc>
        <w:tc>
          <w:tcPr>
            <w:tcW w:w="2841" w:type="dxa"/>
          </w:tcPr>
          <w:p w:rsidR="002B0942" w:rsidRDefault="002B0942" w:rsidP="002B0942">
            <w:pPr>
              <w:jc w:val="right"/>
            </w:pPr>
            <w:r>
              <w:t>11,730,316.23</w:t>
            </w:r>
          </w:p>
        </w:tc>
        <w:tc>
          <w:tcPr>
            <w:tcW w:w="2841" w:type="dxa"/>
          </w:tcPr>
          <w:p w:rsidR="002B0942" w:rsidRDefault="002B0942" w:rsidP="002B0942">
            <w:pPr>
              <w:jc w:val="right"/>
            </w:pPr>
            <w:r>
              <w:t>0.39</w:t>
            </w:r>
          </w:p>
        </w:tc>
      </w:tr>
      <w:tr w:rsidR="002B0942" w:rsidTr="002B0942">
        <w:tc>
          <w:tcPr>
            <w:tcW w:w="2840" w:type="dxa"/>
          </w:tcPr>
          <w:p w:rsidR="002B0942" w:rsidRDefault="002B0942" w:rsidP="002B0942">
            <w:pPr>
              <w:jc w:val="left"/>
            </w:pPr>
            <w:r>
              <w:rPr>
                <w:rFonts w:hint="eastAsia"/>
              </w:rPr>
              <w:t>工业</w:t>
            </w:r>
          </w:p>
        </w:tc>
        <w:tc>
          <w:tcPr>
            <w:tcW w:w="2841" w:type="dxa"/>
          </w:tcPr>
          <w:p w:rsidR="002B0942" w:rsidRDefault="002B0942" w:rsidP="002B0942">
            <w:pPr>
              <w:jc w:val="right"/>
            </w:pPr>
            <w:r>
              <w:t>28,594,163.90</w:t>
            </w:r>
          </w:p>
        </w:tc>
        <w:tc>
          <w:tcPr>
            <w:tcW w:w="2841" w:type="dxa"/>
          </w:tcPr>
          <w:p w:rsidR="002B0942" w:rsidRDefault="002B0942" w:rsidP="002B0942">
            <w:pPr>
              <w:jc w:val="right"/>
            </w:pPr>
            <w:r>
              <w:t>0.95</w:t>
            </w:r>
          </w:p>
        </w:tc>
      </w:tr>
      <w:tr w:rsidR="002B0942" w:rsidTr="002B0942">
        <w:tc>
          <w:tcPr>
            <w:tcW w:w="2840" w:type="dxa"/>
          </w:tcPr>
          <w:p w:rsidR="002B0942" w:rsidRDefault="002B0942" w:rsidP="002B0942">
            <w:pPr>
              <w:jc w:val="left"/>
            </w:pPr>
            <w:r>
              <w:rPr>
                <w:rFonts w:hint="eastAsia"/>
              </w:rPr>
              <w:t>非必需消费品</w:t>
            </w:r>
          </w:p>
        </w:tc>
        <w:tc>
          <w:tcPr>
            <w:tcW w:w="2841" w:type="dxa"/>
          </w:tcPr>
          <w:p w:rsidR="002B0942" w:rsidRDefault="002B0942" w:rsidP="002B0942">
            <w:pPr>
              <w:jc w:val="right"/>
            </w:pPr>
            <w:r>
              <w:t>189,956,969.13</w:t>
            </w:r>
          </w:p>
        </w:tc>
        <w:tc>
          <w:tcPr>
            <w:tcW w:w="2841" w:type="dxa"/>
          </w:tcPr>
          <w:p w:rsidR="002B0942" w:rsidRDefault="002B0942" w:rsidP="002B0942">
            <w:pPr>
              <w:jc w:val="right"/>
            </w:pPr>
            <w:r>
              <w:t>6.30</w:t>
            </w:r>
          </w:p>
        </w:tc>
      </w:tr>
      <w:tr w:rsidR="002B0942" w:rsidTr="002B0942">
        <w:tc>
          <w:tcPr>
            <w:tcW w:w="2840" w:type="dxa"/>
          </w:tcPr>
          <w:p w:rsidR="002B0942" w:rsidRDefault="002B0942" w:rsidP="002B0942">
            <w:pPr>
              <w:jc w:val="left"/>
            </w:pPr>
            <w:r>
              <w:rPr>
                <w:rFonts w:hint="eastAsia"/>
              </w:rPr>
              <w:t>必需消费品</w:t>
            </w:r>
          </w:p>
        </w:tc>
        <w:tc>
          <w:tcPr>
            <w:tcW w:w="2841" w:type="dxa"/>
          </w:tcPr>
          <w:p w:rsidR="002B0942" w:rsidRDefault="002B0942" w:rsidP="002B0942">
            <w:pPr>
              <w:jc w:val="right"/>
            </w:pPr>
            <w:r>
              <w:t>31,598,771.20</w:t>
            </w:r>
          </w:p>
        </w:tc>
        <w:tc>
          <w:tcPr>
            <w:tcW w:w="2841" w:type="dxa"/>
          </w:tcPr>
          <w:p w:rsidR="002B0942" w:rsidRDefault="002B0942" w:rsidP="002B0942">
            <w:pPr>
              <w:jc w:val="right"/>
            </w:pPr>
            <w:r>
              <w:t>1.05</w:t>
            </w:r>
          </w:p>
        </w:tc>
      </w:tr>
      <w:tr w:rsidR="002B0942" w:rsidTr="002B0942">
        <w:tc>
          <w:tcPr>
            <w:tcW w:w="2840" w:type="dxa"/>
          </w:tcPr>
          <w:p w:rsidR="002B0942" w:rsidRDefault="002B0942" w:rsidP="002B0942">
            <w:pPr>
              <w:jc w:val="left"/>
            </w:pPr>
            <w:r>
              <w:rPr>
                <w:rFonts w:hint="eastAsia"/>
              </w:rPr>
              <w:t>医疗保健</w:t>
            </w:r>
          </w:p>
        </w:tc>
        <w:tc>
          <w:tcPr>
            <w:tcW w:w="2841" w:type="dxa"/>
          </w:tcPr>
          <w:p w:rsidR="002B0942" w:rsidRDefault="002B0942" w:rsidP="002B0942">
            <w:pPr>
              <w:jc w:val="right"/>
            </w:pPr>
            <w:r>
              <w:t>225,414,131.30</w:t>
            </w:r>
          </w:p>
        </w:tc>
        <w:tc>
          <w:tcPr>
            <w:tcW w:w="2841" w:type="dxa"/>
          </w:tcPr>
          <w:p w:rsidR="002B0942" w:rsidRDefault="002B0942" w:rsidP="002B0942">
            <w:pPr>
              <w:jc w:val="right"/>
            </w:pPr>
            <w:r>
              <w:t>7.47</w:t>
            </w:r>
          </w:p>
        </w:tc>
      </w:tr>
      <w:tr w:rsidR="002B0942" w:rsidTr="002B0942">
        <w:tc>
          <w:tcPr>
            <w:tcW w:w="2840" w:type="dxa"/>
          </w:tcPr>
          <w:p w:rsidR="002B0942" w:rsidRDefault="002B0942" w:rsidP="002B0942">
            <w:pPr>
              <w:jc w:val="left"/>
            </w:pPr>
            <w:r>
              <w:rPr>
                <w:rFonts w:hint="eastAsia"/>
              </w:rPr>
              <w:t>金融</w:t>
            </w:r>
          </w:p>
        </w:tc>
        <w:tc>
          <w:tcPr>
            <w:tcW w:w="2841" w:type="dxa"/>
          </w:tcPr>
          <w:p w:rsidR="002B0942" w:rsidRDefault="002B0942" w:rsidP="002B0942">
            <w:pPr>
              <w:jc w:val="right"/>
            </w:pPr>
            <w:r>
              <w:t>169,839,001.60</w:t>
            </w:r>
          </w:p>
        </w:tc>
        <w:tc>
          <w:tcPr>
            <w:tcW w:w="2841" w:type="dxa"/>
          </w:tcPr>
          <w:p w:rsidR="002B0942" w:rsidRDefault="002B0942" w:rsidP="002B0942">
            <w:pPr>
              <w:jc w:val="right"/>
            </w:pPr>
            <w:r>
              <w:t>5.63</w:t>
            </w:r>
          </w:p>
        </w:tc>
      </w:tr>
      <w:tr w:rsidR="002B0942" w:rsidTr="002B0942">
        <w:tc>
          <w:tcPr>
            <w:tcW w:w="2840" w:type="dxa"/>
          </w:tcPr>
          <w:p w:rsidR="002B0942" w:rsidRDefault="002B0942" w:rsidP="002B0942">
            <w:pPr>
              <w:jc w:val="left"/>
            </w:pPr>
            <w:r>
              <w:rPr>
                <w:rFonts w:hint="eastAsia"/>
              </w:rPr>
              <w:t>科技</w:t>
            </w:r>
          </w:p>
        </w:tc>
        <w:tc>
          <w:tcPr>
            <w:tcW w:w="2841" w:type="dxa"/>
          </w:tcPr>
          <w:p w:rsidR="002B0942" w:rsidRDefault="002B0942" w:rsidP="002B0942">
            <w:pPr>
              <w:jc w:val="right"/>
            </w:pPr>
            <w:r>
              <w:t>55,437,706.68</w:t>
            </w:r>
          </w:p>
        </w:tc>
        <w:tc>
          <w:tcPr>
            <w:tcW w:w="2841" w:type="dxa"/>
          </w:tcPr>
          <w:p w:rsidR="002B0942" w:rsidRDefault="002B0942" w:rsidP="002B0942">
            <w:pPr>
              <w:jc w:val="right"/>
            </w:pPr>
            <w:r>
              <w:t>1.84</w:t>
            </w:r>
          </w:p>
        </w:tc>
      </w:tr>
      <w:tr w:rsidR="002B0942" w:rsidTr="002B0942">
        <w:tc>
          <w:tcPr>
            <w:tcW w:w="2840" w:type="dxa"/>
          </w:tcPr>
          <w:p w:rsidR="002B0942" w:rsidRDefault="002B0942" w:rsidP="002B0942">
            <w:pPr>
              <w:jc w:val="left"/>
            </w:pPr>
            <w:r>
              <w:rPr>
                <w:rFonts w:hint="eastAsia"/>
              </w:rPr>
              <w:t>通讯</w:t>
            </w:r>
          </w:p>
        </w:tc>
        <w:tc>
          <w:tcPr>
            <w:tcW w:w="2841" w:type="dxa"/>
          </w:tcPr>
          <w:p w:rsidR="002B0942" w:rsidRDefault="002B0942" w:rsidP="002B0942">
            <w:pPr>
              <w:jc w:val="right"/>
            </w:pPr>
            <w:r>
              <w:t>97,713,664.00</w:t>
            </w:r>
          </w:p>
        </w:tc>
        <w:tc>
          <w:tcPr>
            <w:tcW w:w="2841" w:type="dxa"/>
          </w:tcPr>
          <w:p w:rsidR="002B0942" w:rsidRDefault="002B0942" w:rsidP="002B0942">
            <w:pPr>
              <w:jc w:val="right"/>
            </w:pPr>
            <w:r>
              <w:t>3.24</w:t>
            </w:r>
          </w:p>
        </w:tc>
      </w:tr>
      <w:tr w:rsidR="002B0942" w:rsidTr="002B0942">
        <w:tc>
          <w:tcPr>
            <w:tcW w:w="2840" w:type="dxa"/>
          </w:tcPr>
          <w:p w:rsidR="002B0942" w:rsidRDefault="002B0942" w:rsidP="002B0942">
            <w:pPr>
              <w:jc w:val="left"/>
            </w:pPr>
            <w:r>
              <w:rPr>
                <w:rFonts w:hint="eastAsia"/>
              </w:rPr>
              <w:t>公用事业</w:t>
            </w:r>
          </w:p>
        </w:tc>
        <w:tc>
          <w:tcPr>
            <w:tcW w:w="2841" w:type="dxa"/>
          </w:tcPr>
          <w:p w:rsidR="002B0942" w:rsidRDefault="002B0942" w:rsidP="002B0942">
            <w:pPr>
              <w:jc w:val="right"/>
            </w:pPr>
            <w:r>
              <w:t>-</w:t>
            </w:r>
          </w:p>
        </w:tc>
        <w:tc>
          <w:tcPr>
            <w:tcW w:w="2841" w:type="dxa"/>
          </w:tcPr>
          <w:p w:rsidR="002B0942" w:rsidRDefault="002B0942" w:rsidP="002B0942">
            <w:pPr>
              <w:jc w:val="right"/>
            </w:pPr>
            <w:r>
              <w:t>-</w:t>
            </w:r>
          </w:p>
        </w:tc>
      </w:tr>
      <w:tr w:rsidR="002B0942" w:rsidTr="002B0942">
        <w:tc>
          <w:tcPr>
            <w:tcW w:w="2840" w:type="dxa"/>
          </w:tcPr>
          <w:p w:rsidR="002B0942" w:rsidRDefault="002B0942" w:rsidP="002B0942">
            <w:pPr>
              <w:jc w:val="left"/>
            </w:pPr>
            <w:r>
              <w:rPr>
                <w:rFonts w:hint="eastAsia"/>
              </w:rPr>
              <w:t>房地产</w:t>
            </w:r>
          </w:p>
        </w:tc>
        <w:tc>
          <w:tcPr>
            <w:tcW w:w="2841" w:type="dxa"/>
          </w:tcPr>
          <w:p w:rsidR="002B0942" w:rsidRDefault="002B0942" w:rsidP="002B0942">
            <w:pPr>
              <w:jc w:val="right"/>
            </w:pPr>
            <w:r>
              <w:t>84,585,002.50</w:t>
            </w:r>
          </w:p>
        </w:tc>
        <w:tc>
          <w:tcPr>
            <w:tcW w:w="2841" w:type="dxa"/>
          </w:tcPr>
          <w:p w:rsidR="002B0942" w:rsidRDefault="002B0942" w:rsidP="002B0942">
            <w:pPr>
              <w:jc w:val="right"/>
            </w:pPr>
            <w:r>
              <w:t>2.80</w:t>
            </w:r>
          </w:p>
        </w:tc>
      </w:tr>
      <w:tr w:rsidR="002B0942" w:rsidTr="002B0942">
        <w:tc>
          <w:tcPr>
            <w:tcW w:w="2840" w:type="dxa"/>
          </w:tcPr>
          <w:p w:rsidR="002B0942" w:rsidRDefault="002B0942" w:rsidP="002B0942">
            <w:pPr>
              <w:jc w:val="left"/>
            </w:pPr>
            <w:r>
              <w:rPr>
                <w:rFonts w:hint="eastAsia"/>
              </w:rPr>
              <w:t>政府</w:t>
            </w:r>
          </w:p>
        </w:tc>
        <w:tc>
          <w:tcPr>
            <w:tcW w:w="2841" w:type="dxa"/>
          </w:tcPr>
          <w:p w:rsidR="002B0942" w:rsidRDefault="002B0942" w:rsidP="002B0942">
            <w:pPr>
              <w:jc w:val="right"/>
            </w:pPr>
            <w:r>
              <w:t>-</w:t>
            </w:r>
          </w:p>
        </w:tc>
        <w:tc>
          <w:tcPr>
            <w:tcW w:w="2841" w:type="dxa"/>
          </w:tcPr>
          <w:p w:rsidR="002B0942" w:rsidRDefault="002B0942" w:rsidP="002B0942">
            <w:pPr>
              <w:jc w:val="right"/>
            </w:pPr>
            <w:r>
              <w:t>-</w:t>
            </w:r>
          </w:p>
        </w:tc>
      </w:tr>
      <w:tr w:rsidR="002B0942" w:rsidTr="002B0942">
        <w:tc>
          <w:tcPr>
            <w:tcW w:w="2840" w:type="dxa"/>
          </w:tcPr>
          <w:p w:rsidR="002B0942" w:rsidRDefault="002B0942" w:rsidP="002B0942">
            <w:pPr>
              <w:jc w:val="left"/>
            </w:pPr>
            <w:r>
              <w:rPr>
                <w:rFonts w:hint="eastAsia"/>
              </w:rPr>
              <w:t>合计</w:t>
            </w:r>
          </w:p>
        </w:tc>
        <w:tc>
          <w:tcPr>
            <w:tcW w:w="2841" w:type="dxa"/>
          </w:tcPr>
          <w:p w:rsidR="002B0942" w:rsidRDefault="002B0942" w:rsidP="002B0942">
            <w:pPr>
              <w:jc w:val="right"/>
            </w:pPr>
            <w:r>
              <w:t>894,869,726.54</w:t>
            </w:r>
          </w:p>
        </w:tc>
        <w:tc>
          <w:tcPr>
            <w:tcW w:w="2841" w:type="dxa"/>
          </w:tcPr>
          <w:p w:rsidR="002B0942" w:rsidRDefault="002B0942" w:rsidP="002B0942">
            <w:pPr>
              <w:jc w:val="right"/>
            </w:pPr>
            <w:r>
              <w:t>29.67</w:t>
            </w:r>
          </w:p>
        </w:tc>
      </w:tr>
    </w:tbl>
    <w:p w:rsidR="002B0942" w:rsidRDefault="002B0942" w:rsidP="002B0942">
      <w:pPr>
        <w:pStyle w:val="-8"/>
      </w:pPr>
      <w:r>
        <w:rPr>
          <w:rFonts w:hint="eastAsia"/>
        </w:rPr>
        <w:t>注：本基金对以上行业分类采用彭博行业分类标准。</w:t>
      </w:r>
    </w:p>
    <w:p w:rsidR="002B0942" w:rsidRDefault="002B0942" w:rsidP="002B0942">
      <w:pPr>
        <w:pStyle w:val="-2"/>
        <w:spacing w:before="312"/>
      </w:pPr>
      <w:r>
        <w:rPr>
          <w:rFonts w:hint="eastAsia"/>
        </w:rPr>
        <w:t>报告期末按公允价值占基金资产净值比例大小排序的前十名股票及存托凭证投资明细</w:t>
      </w:r>
    </w:p>
    <w:tbl>
      <w:tblPr>
        <w:tblStyle w:val="-0"/>
        <w:tblW w:w="0" w:type="auto"/>
        <w:tblLayout w:type="fixed"/>
        <w:tblLook w:val="04A0" w:firstRow="1" w:lastRow="0" w:firstColumn="1" w:lastColumn="0" w:noHBand="0" w:noVBand="1"/>
      </w:tblPr>
      <w:tblGrid>
        <w:gridCol w:w="534"/>
        <w:gridCol w:w="1275"/>
        <w:gridCol w:w="851"/>
        <w:gridCol w:w="709"/>
        <w:gridCol w:w="850"/>
        <w:gridCol w:w="709"/>
        <w:gridCol w:w="1276"/>
        <w:gridCol w:w="1559"/>
        <w:gridCol w:w="759"/>
      </w:tblGrid>
      <w:tr w:rsidR="006D580F" w:rsidTr="005E47F6">
        <w:trPr>
          <w:cnfStyle w:val="100000000000" w:firstRow="1" w:lastRow="0" w:firstColumn="0" w:lastColumn="0" w:oddVBand="0" w:evenVBand="0" w:oddHBand="0" w:evenHBand="0" w:firstRowFirstColumn="0" w:firstRowLastColumn="0" w:lastRowFirstColumn="0" w:lastRowLastColumn="0"/>
        </w:trPr>
        <w:tc>
          <w:tcPr>
            <w:tcW w:w="534" w:type="dxa"/>
          </w:tcPr>
          <w:p w:rsidR="002B0942" w:rsidRDefault="002B0942" w:rsidP="002B0942">
            <w:pPr>
              <w:jc w:val="center"/>
            </w:pPr>
            <w:r>
              <w:rPr>
                <w:rFonts w:hint="eastAsia"/>
              </w:rPr>
              <w:lastRenderedPageBreak/>
              <w:t>序号</w:t>
            </w:r>
          </w:p>
        </w:tc>
        <w:tc>
          <w:tcPr>
            <w:tcW w:w="1275" w:type="dxa"/>
          </w:tcPr>
          <w:p w:rsidR="002B0942" w:rsidRDefault="002B0942" w:rsidP="002B0942">
            <w:pPr>
              <w:jc w:val="center"/>
            </w:pPr>
            <w:r>
              <w:rPr>
                <w:rFonts w:hint="eastAsia"/>
              </w:rPr>
              <w:t>公司名称（英文）</w:t>
            </w:r>
          </w:p>
        </w:tc>
        <w:tc>
          <w:tcPr>
            <w:tcW w:w="851" w:type="dxa"/>
          </w:tcPr>
          <w:p w:rsidR="002B0942" w:rsidRDefault="002B0942" w:rsidP="002B0942">
            <w:pPr>
              <w:jc w:val="center"/>
            </w:pPr>
            <w:r>
              <w:rPr>
                <w:rFonts w:hint="eastAsia"/>
              </w:rPr>
              <w:t>公司名称（中文）</w:t>
            </w:r>
          </w:p>
        </w:tc>
        <w:tc>
          <w:tcPr>
            <w:tcW w:w="709" w:type="dxa"/>
          </w:tcPr>
          <w:p w:rsidR="002B0942" w:rsidRDefault="002B0942" w:rsidP="002B0942">
            <w:pPr>
              <w:jc w:val="center"/>
            </w:pPr>
            <w:r>
              <w:rPr>
                <w:rFonts w:hint="eastAsia"/>
              </w:rPr>
              <w:t>证券代码</w:t>
            </w:r>
          </w:p>
        </w:tc>
        <w:tc>
          <w:tcPr>
            <w:tcW w:w="850" w:type="dxa"/>
          </w:tcPr>
          <w:p w:rsidR="002B0942" w:rsidRDefault="002B0942" w:rsidP="002B0942">
            <w:pPr>
              <w:jc w:val="center"/>
            </w:pPr>
            <w:r>
              <w:rPr>
                <w:rFonts w:hint="eastAsia"/>
              </w:rPr>
              <w:t>所在证券市场</w:t>
            </w:r>
          </w:p>
        </w:tc>
        <w:tc>
          <w:tcPr>
            <w:tcW w:w="709" w:type="dxa"/>
          </w:tcPr>
          <w:p w:rsidR="002B0942" w:rsidRDefault="002B0942" w:rsidP="002B0942">
            <w:pPr>
              <w:jc w:val="center"/>
            </w:pPr>
            <w:r>
              <w:rPr>
                <w:rFonts w:hint="eastAsia"/>
              </w:rPr>
              <w:t>所属国家（地区）</w:t>
            </w:r>
          </w:p>
        </w:tc>
        <w:tc>
          <w:tcPr>
            <w:tcW w:w="1276" w:type="dxa"/>
          </w:tcPr>
          <w:p w:rsidR="002B0942" w:rsidRDefault="002B0942" w:rsidP="002B0942">
            <w:pPr>
              <w:jc w:val="center"/>
            </w:pPr>
            <w:r>
              <w:rPr>
                <w:rFonts w:hint="eastAsia"/>
              </w:rPr>
              <w:t>数量（股）</w:t>
            </w:r>
          </w:p>
        </w:tc>
        <w:tc>
          <w:tcPr>
            <w:tcW w:w="1559" w:type="dxa"/>
          </w:tcPr>
          <w:p w:rsidR="002B0942" w:rsidRDefault="002B0942" w:rsidP="002B0942">
            <w:pPr>
              <w:jc w:val="center"/>
            </w:pPr>
            <w:r>
              <w:rPr>
                <w:rFonts w:hint="eastAsia"/>
              </w:rPr>
              <w:t>公允价值（人民币元）</w:t>
            </w:r>
          </w:p>
        </w:tc>
        <w:tc>
          <w:tcPr>
            <w:tcW w:w="759" w:type="dxa"/>
          </w:tcPr>
          <w:p w:rsidR="002B0942" w:rsidRDefault="002B0942" w:rsidP="002B0942">
            <w:pPr>
              <w:jc w:val="center"/>
            </w:pPr>
            <w:r>
              <w:rPr>
                <w:rFonts w:hint="eastAsia"/>
              </w:rPr>
              <w:t>占基金资产净值比例（％）</w:t>
            </w:r>
          </w:p>
        </w:tc>
      </w:tr>
      <w:tr w:rsidR="005E47F6" w:rsidTr="005E47F6">
        <w:tc>
          <w:tcPr>
            <w:tcW w:w="534" w:type="dxa"/>
          </w:tcPr>
          <w:p w:rsidR="002B0942" w:rsidRDefault="002B0942" w:rsidP="002B0942">
            <w:pPr>
              <w:jc w:val="center"/>
            </w:pPr>
            <w:r>
              <w:t>1</w:t>
            </w:r>
          </w:p>
        </w:tc>
        <w:tc>
          <w:tcPr>
            <w:tcW w:w="1275" w:type="dxa"/>
          </w:tcPr>
          <w:p w:rsidR="002B0942" w:rsidRDefault="002B0942" w:rsidP="002B0942">
            <w:pPr>
              <w:jc w:val="left"/>
            </w:pPr>
            <w:r>
              <w:t>Hygeia Healthcare Holdings Co., Limited</w:t>
            </w:r>
          </w:p>
        </w:tc>
        <w:tc>
          <w:tcPr>
            <w:tcW w:w="851" w:type="dxa"/>
          </w:tcPr>
          <w:p w:rsidR="002B0942" w:rsidRDefault="002B0942" w:rsidP="002B0942">
            <w:pPr>
              <w:jc w:val="left"/>
            </w:pPr>
            <w:r>
              <w:rPr>
                <w:rFonts w:hint="eastAsia"/>
              </w:rPr>
              <w:t>海吉亚医疗控股有限公司</w:t>
            </w:r>
          </w:p>
        </w:tc>
        <w:tc>
          <w:tcPr>
            <w:tcW w:w="709" w:type="dxa"/>
          </w:tcPr>
          <w:p w:rsidR="002B0942" w:rsidRDefault="002B0942" w:rsidP="002B0942">
            <w:pPr>
              <w:jc w:val="left"/>
            </w:pPr>
            <w:r>
              <w:t>6078 HK</w:t>
            </w:r>
          </w:p>
        </w:tc>
        <w:tc>
          <w:tcPr>
            <w:tcW w:w="850" w:type="dxa"/>
          </w:tcPr>
          <w:p w:rsidR="002B0942" w:rsidRDefault="002B0942" w:rsidP="002B0942">
            <w:pPr>
              <w:jc w:val="left"/>
            </w:pPr>
            <w:r>
              <w:rPr>
                <w:rFonts w:hint="eastAsia"/>
              </w:rPr>
              <w:t>中国香港联合交易所</w:t>
            </w:r>
          </w:p>
        </w:tc>
        <w:tc>
          <w:tcPr>
            <w:tcW w:w="709" w:type="dxa"/>
          </w:tcPr>
          <w:p w:rsidR="002B0942" w:rsidRDefault="002B0942" w:rsidP="002B0942">
            <w:pPr>
              <w:jc w:val="left"/>
            </w:pPr>
            <w:r>
              <w:rPr>
                <w:rFonts w:hint="eastAsia"/>
              </w:rPr>
              <w:t>中国香港</w:t>
            </w:r>
          </w:p>
        </w:tc>
        <w:tc>
          <w:tcPr>
            <w:tcW w:w="1276" w:type="dxa"/>
          </w:tcPr>
          <w:p w:rsidR="002B0942" w:rsidRDefault="002B0942" w:rsidP="002B0942">
            <w:pPr>
              <w:jc w:val="right"/>
            </w:pPr>
            <w:r>
              <w:t>4,817,400</w:t>
            </w:r>
          </w:p>
        </w:tc>
        <w:tc>
          <w:tcPr>
            <w:tcW w:w="1559" w:type="dxa"/>
          </w:tcPr>
          <w:p w:rsidR="002B0942" w:rsidRDefault="002B0942" w:rsidP="002B0942">
            <w:pPr>
              <w:jc w:val="right"/>
            </w:pPr>
            <w:r>
              <w:t>196,629,619.07</w:t>
            </w:r>
          </w:p>
        </w:tc>
        <w:tc>
          <w:tcPr>
            <w:tcW w:w="759" w:type="dxa"/>
          </w:tcPr>
          <w:p w:rsidR="002B0942" w:rsidRDefault="002B0942" w:rsidP="002B0942">
            <w:pPr>
              <w:jc w:val="right"/>
            </w:pPr>
            <w:r>
              <w:t>6.52</w:t>
            </w:r>
          </w:p>
        </w:tc>
      </w:tr>
      <w:tr w:rsidR="005E47F6" w:rsidTr="005E47F6">
        <w:tc>
          <w:tcPr>
            <w:tcW w:w="534" w:type="dxa"/>
          </w:tcPr>
          <w:p w:rsidR="002B0942" w:rsidRDefault="002B0942" w:rsidP="002B0942">
            <w:pPr>
              <w:jc w:val="center"/>
            </w:pPr>
            <w:r>
              <w:t>2</w:t>
            </w:r>
          </w:p>
        </w:tc>
        <w:tc>
          <w:tcPr>
            <w:tcW w:w="1275" w:type="dxa"/>
          </w:tcPr>
          <w:p w:rsidR="002B0942" w:rsidRDefault="002B0942" w:rsidP="002B0942">
            <w:pPr>
              <w:jc w:val="left"/>
            </w:pPr>
            <w:r>
              <w:t>Tencent Holdings Ltd</w:t>
            </w:r>
          </w:p>
        </w:tc>
        <w:tc>
          <w:tcPr>
            <w:tcW w:w="851" w:type="dxa"/>
          </w:tcPr>
          <w:p w:rsidR="002B0942" w:rsidRDefault="002B0942" w:rsidP="002B0942">
            <w:pPr>
              <w:jc w:val="left"/>
            </w:pPr>
            <w:r>
              <w:rPr>
                <w:rFonts w:hint="eastAsia"/>
              </w:rPr>
              <w:t>腾讯控股有限公司</w:t>
            </w:r>
          </w:p>
        </w:tc>
        <w:tc>
          <w:tcPr>
            <w:tcW w:w="709" w:type="dxa"/>
          </w:tcPr>
          <w:p w:rsidR="002B0942" w:rsidRDefault="002B0942" w:rsidP="002B0942">
            <w:pPr>
              <w:jc w:val="left"/>
            </w:pPr>
            <w:r>
              <w:t>0700 HK</w:t>
            </w:r>
          </w:p>
        </w:tc>
        <w:tc>
          <w:tcPr>
            <w:tcW w:w="850" w:type="dxa"/>
          </w:tcPr>
          <w:p w:rsidR="002B0942" w:rsidRDefault="002B0942" w:rsidP="002B0942">
            <w:pPr>
              <w:jc w:val="left"/>
            </w:pPr>
            <w:r>
              <w:rPr>
                <w:rFonts w:hint="eastAsia"/>
              </w:rPr>
              <w:t>中国香港联合交易所</w:t>
            </w:r>
          </w:p>
        </w:tc>
        <w:tc>
          <w:tcPr>
            <w:tcW w:w="709" w:type="dxa"/>
          </w:tcPr>
          <w:p w:rsidR="002B0942" w:rsidRDefault="002B0942" w:rsidP="002B0942">
            <w:pPr>
              <w:jc w:val="left"/>
            </w:pPr>
            <w:r>
              <w:rPr>
                <w:rFonts w:hint="eastAsia"/>
              </w:rPr>
              <w:t>中国香港</w:t>
            </w:r>
          </w:p>
        </w:tc>
        <w:tc>
          <w:tcPr>
            <w:tcW w:w="1276" w:type="dxa"/>
          </w:tcPr>
          <w:p w:rsidR="002B0942" w:rsidRDefault="002B0942" w:rsidP="002B0942">
            <w:pPr>
              <w:jc w:val="right"/>
            </w:pPr>
            <w:r>
              <w:t>150,000</w:t>
            </w:r>
          </w:p>
        </w:tc>
        <w:tc>
          <w:tcPr>
            <w:tcW w:w="1559" w:type="dxa"/>
          </w:tcPr>
          <w:p w:rsidR="002B0942" w:rsidRDefault="002B0942" w:rsidP="002B0942">
            <w:pPr>
              <w:jc w:val="right"/>
            </w:pPr>
            <w:r>
              <w:t>67,419,792.00</w:t>
            </w:r>
          </w:p>
        </w:tc>
        <w:tc>
          <w:tcPr>
            <w:tcW w:w="759" w:type="dxa"/>
          </w:tcPr>
          <w:p w:rsidR="002B0942" w:rsidRDefault="002B0942" w:rsidP="002B0942">
            <w:pPr>
              <w:jc w:val="right"/>
            </w:pPr>
            <w:r>
              <w:t>2.24</w:t>
            </w:r>
          </w:p>
        </w:tc>
      </w:tr>
      <w:tr w:rsidR="005E47F6" w:rsidTr="005E47F6">
        <w:tc>
          <w:tcPr>
            <w:tcW w:w="534" w:type="dxa"/>
          </w:tcPr>
          <w:p w:rsidR="002B0942" w:rsidRDefault="002B0942" w:rsidP="002B0942">
            <w:pPr>
              <w:jc w:val="center"/>
            </w:pPr>
            <w:r>
              <w:t>3</w:t>
            </w:r>
          </w:p>
        </w:tc>
        <w:tc>
          <w:tcPr>
            <w:tcW w:w="1275" w:type="dxa"/>
          </w:tcPr>
          <w:p w:rsidR="002B0942" w:rsidRDefault="002B0942" w:rsidP="002B0942">
            <w:pPr>
              <w:jc w:val="left"/>
            </w:pPr>
            <w:r>
              <w:t>AIA Group Limited</w:t>
            </w:r>
          </w:p>
        </w:tc>
        <w:tc>
          <w:tcPr>
            <w:tcW w:w="851" w:type="dxa"/>
          </w:tcPr>
          <w:p w:rsidR="002B0942" w:rsidRDefault="002B0942" w:rsidP="002B0942">
            <w:pPr>
              <w:jc w:val="left"/>
            </w:pPr>
            <w:r>
              <w:rPr>
                <w:rFonts w:hint="eastAsia"/>
              </w:rPr>
              <w:t>友邦保险控股有限公司</w:t>
            </w:r>
          </w:p>
        </w:tc>
        <w:tc>
          <w:tcPr>
            <w:tcW w:w="709" w:type="dxa"/>
          </w:tcPr>
          <w:p w:rsidR="002B0942" w:rsidRDefault="002B0942" w:rsidP="002B0942">
            <w:pPr>
              <w:jc w:val="left"/>
            </w:pPr>
            <w:r>
              <w:t>1299 HK</w:t>
            </w:r>
          </w:p>
        </w:tc>
        <w:tc>
          <w:tcPr>
            <w:tcW w:w="850" w:type="dxa"/>
          </w:tcPr>
          <w:p w:rsidR="002B0942" w:rsidRDefault="002B0942" w:rsidP="002B0942">
            <w:pPr>
              <w:jc w:val="left"/>
            </w:pPr>
            <w:r>
              <w:rPr>
                <w:rFonts w:hint="eastAsia"/>
              </w:rPr>
              <w:t>中国香港联合交易所</w:t>
            </w:r>
          </w:p>
        </w:tc>
        <w:tc>
          <w:tcPr>
            <w:tcW w:w="709" w:type="dxa"/>
          </w:tcPr>
          <w:p w:rsidR="002B0942" w:rsidRDefault="002B0942" w:rsidP="002B0942">
            <w:pPr>
              <w:jc w:val="left"/>
            </w:pPr>
            <w:r>
              <w:rPr>
                <w:rFonts w:hint="eastAsia"/>
              </w:rPr>
              <w:t>中国香港</w:t>
            </w:r>
          </w:p>
        </w:tc>
        <w:tc>
          <w:tcPr>
            <w:tcW w:w="1276" w:type="dxa"/>
          </w:tcPr>
          <w:p w:rsidR="002B0942" w:rsidRDefault="002B0942" w:rsidP="002B0942">
            <w:pPr>
              <w:jc w:val="right"/>
            </w:pPr>
            <w:r>
              <w:t>1,000,000</w:t>
            </w:r>
          </w:p>
        </w:tc>
        <w:tc>
          <w:tcPr>
            <w:tcW w:w="1559" w:type="dxa"/>
          </w:tcPr>
          <w:p w:rsidR="002B0942" w:rsidRDefault="002B0942" w:rsidP="002B0942">
            <w:pPr>
              <w:jc w:val="right"/>
            </w:pPr>
            <w:r>
              <w:t>66,694,848.00</w:t>
            </w:r>
          </w:p>
        </w:tc>
        <w:tc>
          <w:tcPr>
            <w:tcW w:w="759" w:type="dxa"/>
          </w:tcPr>
          <w:p w:rsidR="002B0942" w:rsidRDefault="002B0942" w:rsidP="002B0942">
            <w:pPr>
              <w:jc w:val="right"/>
            </w:pPr>
            <w:r>
              <w:t>2.21</w:t>
            </w:r>
          </w:p>
        </w:tc>
      </w:tr>
      <w:tr w:rsidR="005E47F6" w:rsidTr="005E47F6">
        <w:tc>
          <w:tcPr>
            <w:tcW w:w="534" w:type="dxa"/>
          </w:tcPr>
          <w:p w:rsidR="002B0942" w:rsidRDefault="002B0942" w:rsidP="002B0942">
            <w:pPr>
              <w:jc w:val="center"/>
            </w:pPr>
            <w:r>
              <w:t>4</w:t>
            </w:r>
          </w:p>
        </w:tc>
        <w:tc>
          <w:tcPr>
            <w:tcW w:w="1275" w:type="dxa"/>
          </w:tcPr>
          <w:p w:rsidR="002B0942" w:rsidRDefault="002B0942" w:rsidP="002B0942">
            <w:pPr>
              <w:jc w:val="left"/>
            </w:pPr>
            <w:r>
              <w:t>Hong Kong Exchanges and Clearing Ltd.</w:t>
            </w:r>
          </w:p>
        </w:tc>
        <w:tc>
          <w:tcPr>
            <w:tcW w:w="851" w:type="dxa"/>
          </w:tcPr>
          <w:p w:rsidR="002B0942" w:rsidRDefault="002B0942" w:rsidP="002B0942">
            <w:pPr>
              <w:jc w:val="left"/>
            </w:pPr>
            <w:r>
              <w:rPr>
                <w:rFonts w:hint="eastAsia"/>
              </w:rPr>
              <w:t>香港交易及结算所有限公司</w:t>
            </w:r>
          </w:p>
        </w:tc>
        <w:tc>
          <w:tcPr>
            <w:tcW w:w="709" w:type="dxa"/>
          </w:tcPr>
          <w:p w:rsidR="002B0942" w:rsidRDefault="002B0942" w:rsidP="002B0942">
            <w:pPr>
              <w:jc w:val="left"/>
            </w:pPr>
            <w:r>
              <w:t>0388 HK</w:t>
            </w:r>
          </w:p>
        </w:tc>
        <w:tc>
          <w:tcPr>
            <w:tcW w:w="850" w:type="dxa"/>
          </w:tcPr>
          <w:p w:rsidR="002B0942" w:rsidRDefault="002B0942" w:rsidP="002B0942">
            <w:pPr>
              <w:jc w:val="left"/>
            </w:pPr>
            <w:r>
              <w:rPr>
                <w:rFonts w:hint="eastAsia"/>
              </w:rPr>
              <w:t>中国香港联合交易所</w:t>
            </w:r>
          </w:p>
        </w:tc>
        <w:tc>
          <w:tcPr>
            <w:tcW w:w="709" w:type="dxa"/>
          </w:tcPr>
          <w:p w:rsidR="002B0942" w:rsidRDefault="002B0942" w:rsidP="002B0942">
            <w:pPr>
              <w:jc w:val="left"/>
            </w:pPr>
            <w:r>
              <w:rPr>
                <w:rFonts w:hint="eastAsia"/>
              </w:rPr>
              <w:t>中国香港</w:t>
            </w:r>
          </w:p>
        </w:tc>
        <w:tc>
          <w:tcPr>
            <w:tcW w:w="1276" w:type="dxa"/>
          </w:tcPr>
          <w:p w:rsidR="002B0942" w:rsidRDefault="002B0942" w:rsidP="002B0942">
            <w:pPr>
              <w:jc w:val="right"/>
            </w:pPr>
            <w:r>
              <w:t>200,000</w:t>
            </w:r>
          </w:p>
        </w:tc>
        <w:tc>
          <w:tcPr>
            <w:tcW w:w="1559" w:type="dxa"/>
          </w:tcPr>
          <w:p w:rsidR="002B0942" w:rsidRDefault="002B0942" w:rsidP="002B0942">
            <w:pPr>
              <w:jc w:val="right"/>
            </w:pPr>
            <w:r>
              <w:t>63,584,179.20</w:t>
            </w:r>
          </w:p>
        </w:tc>
        <w:tc>
          <w:tcPr>
            <w:tcW w:w="759" w:type="dxa"/>
          </w:tcPr>
          <w:p w:rsidR="002B0942" w:rsidRDefault="002B0942" w:rsidP="002B0942">
            <w:pPr>
              <w:jc w:val="right"/>
            </w:pPr>
            <w:r>
              <w:t>2.11</w:t>
            </w:r>
          </w:p>
        </w:tc>
      </w:tr>
      <w:tr w:rsidR="005E47F6" w:rsidTr="005E47F6">
        <w:tc>
          <w:tcPr>
            <w:tcW w:w="534" w:type="dxa"/>
          </w:tcPr>
          <w:p w:rsidR="002B0942" w:rsidRDefault="002B0942" w:rsidP="002B0942">
            <w:pPr>
              <w:jc w:val="center"/>
            </w:pPr>
            <w:r>
              <w:t>5</w:t>
            </w:r>
          </w:p>
        </w:tc>
        <w:tc>
          <w:tcPr>
            <w:tcW w:w="1275" w:type="dxa"/>
          </w:tcPr>
          <w:p w:rsidR="002B0942" w:rsidRDefault="002B0942" w:rsidP="002B0942">
            <w:pPr>
              <w:jc w:val="left"/>
            </w:pPr>
            <w:r>
              <w:t>China New Higher Education Group Limited</w:t>
            </w:r>
          </w:p>
        </w:tc>
        <w:tc>
          <w:tcPr>
            <w:tcW w:w="851" w:type="dxa"/>
          </w:tcPr>
          <w:p w:rsidR="002B0942" w:rsidRDefault="002B0942" w:rsidP="002B0942">
            <w:pPr>
              <w:jc w:val="left"/>
            </w:pPr>
            <w:r>
              <w:rPr>
                <w:rFonts w:hint="eastAsia"/>
              </w:rPr>
              <w:t>中国新高教集团有限公司</w:t>
            </w:r>
          </w:p>
        </w:tc>
        <w:tc>
          <w:tcPr>
            <w:tcW w:w="709" w:type="dxa"/>
          </w:tcPr>
          <w:p w:rsidR="002B0942" w:rsidRDefault="002B0942" w:rsidP="002B0942">
            <w:pPr>
              <w:jc w:val="left"/>
            </w:pPr>
            <w:r>
              <w:t>2001 HK</w:t>
            </w:r>
          </w:p>
        </w:tc>
        <w:tc>
          <w:tcPr>
            <w:tcW w:w="850" w:type="dxa"/>
          </w:tcPr>
          <w:p w:rsidR="002B0942" w:rsidRDefault="002B0942" w:rsidP="002B0942">
            <w:pPr>
              <w:jc w:val="left"/>
            </w:pPr>
            <w:r>
              <w:rPr>
                <w:rFonts w:hint="eastAsia"/>
              </w:rPr>
              <w:t>中国香港联合交易所</w:t>
            </w:r>
          </w:p>
        </w:tc>
        <w:tc>
          <w:tcPr>
            <w:tcW w:w="709" w:type="dxa"/>
          </w:tcPr>
          <w:p w:rsidR="002B0942" w:rsidRDefault="002B0942" w:rsidP="002B0942">
            <w:pPr>
              <w:jc w:val="left"/>
            </w:pPr>
            <w:r>
              <w:rPr>
                <w:rFonts w:hint="eastAsia"/>
              </w:rPr>
              <w:t>中国香港</w:t>
            </w:r>
          </w:p>
        </w:tc>
        <w:tc>
          <w:tcPr>
            <w:tcW w:w="1276" w:type="dxa"/>
          </w:tcPr>
          <w:p w:rsidR="002B0942" w:rsidRDefault="002B0942" w:rsidP="002B0942">
            <w:pPr>
              <w:jc w:val="right"/>
            </w:pPr>
            <w:r>
              <w:t>10,000,000</w:t>
            </w:r>
          </w:p>
        </w:tc>
        <w:tc>
          <w:tcPr>
            <w:tcW w:w="1559" w:type="dxa"/>
          </w:tcPr>
          <w:p w:rsidR="002B0942" w:rsidRDefault="002B0942" w:rsidP="002B0942">
            <w:pPr>
              <w:jc w:val="right"/>
            </w:pPr>
            <w:r>
              <w:t>43,760,256.00</w:t>
            </w:r>
          </w:p>
        </w:tc>
        <w:tc>
          <w:tcPr>
            <w:tcW w:w="759" w:type="dxa"/>
          </w:tcPr>
          <w:p w:rsidR="002B0942" w:rsidRDefault="002B0942" w:rsidP="002B0942">
            <w:pPr>
              <w:jc w:val="right"/>
            </w:pPr>
            <w:r>
              <w:t>1.45</w:t>
            </w:r>
          </w:p>
        </w:tc>
      </w:tr>
      <w:tr w:rsidR="005E47F6" w:rsidTr="005E47F6">
        <w:tc>
          <w:tcPr>
            <w:tcW w:w="534" w:type="dxa"/>
          </w:tcPr>
          <w:p w:rsidR="002B0942" w:rsidRDefault="002B0942" w:rsidP="002B0942">
            <w:pPr>
              <w:jc w:val="center"/>
            </w:pPr>
            <w:r>
              <w:t>6</w:t>
            </w:r>
          </w:p>
        </w:tc>
        <w:tc>
          <w:tcPr>
            <w:tcW w:w="1275" w:type="dxa"/>
          </w:tcPr>
          <w:p w:rsidR="002B0942" w:rsidRDefault="002B0942" w:rsidP="002B0942">
            <w:pPr>
              <w:jc w:val="left"/>
            </w:pPr>
            <w:r>
              <w:t>Alibaba Group Holding Limited</w:t>
            </w:r>
          </w:p>
        </w:tc>
        <w:tc>
          <w:tcPr>
            <w:tcW w:w="851" w:type="dxa"/>
          </w:tcPr>
          <w:p w:rsidR="002B0942" w:rsidRDefault="002B0942" w:rsidP="002B0942">
            <w:pPr>
              <w:jc w:val="left"/>
            </w:pPr>
            <w:r>
              <w:rPr>
                <w:rFonts w:hint="eastAsia"/>
              </w:rPr>
              <w:t>阿里巴巴集团控股有限公司</w:t>
            </w:r>
          </w:p>
        </w:tc>
        <w:tc>
          <w:tcPr>
            <w:tcW w:w="709" w:type="dxa"/>
          </w:tcPr>
          <w:p w:rsidR="002B0942" w:rsidRDefault="002B0942" w:rsidP="002B0942">
            <w:pPr>
              <w:jc w:val="left"/>
            </w:pPr>
            <w:r>
              <w:t>9988 HK</w:t>
            </w:r>
          </w:p>
        </w:tc>
        <w:tc>
          <w:tcPr>
            <w:tcW w:w="850" w:type="dxa"/>
          </w:tcPr>
          <w:p w:rsidR="002B0942" w:rsidRDefault="002B0942" w:rsidP="002B0942">
            <w:pPr>
              <w:jc w:val="left"/>
            </w:pPr>
            <w:r>
              <w:rPr>
                <w:rFonts w:hint="eastAsia"/>
              </w:rPr>
              <w:t>中国香港联合交易所</w:t>
            </w:r>
          </w:p>
        </w:tc>
        <w:tc>
          <w:tcPr>
            <w:tcW w:w="709" w:type="dxa"/>
          </w:tcPr>
          <w:p w:rsidR="002B0942" w:rsidRDefault="002B0942" w:rsidP="002B0942">
            <w:pPr>
              <w:jc w:val="left"/>
            </w:pPr>
            <w:r>
              <w:rPr>
                <w:rFonts w:hint="eastAsia"/>
              </w:rPr>
              <w:t>中国香港</w:t>
            </w:r>
          </w:p>
        </w:tc>
        <w:tc>
          <w:tcPr>
            <w:tcW w:w="1276" w:type="dxa"/>
          </w:tcPr>
          <w:p w:rsidR="002B0942" w:rsidRDefault="002B0942" w:rsidP="002B0942">
            <w:pPr>
              <w:jc w:val="right"/>
            </w:pPr>
            <w:r>
              <w:t>150,000</w:t>
            </w:r>
          </w:p>
        </w:tc>
        <w:tc>
          <w:tcPr>
            <w:tcW w:w="1559" w:type="dxa"/>
          </w:tcPr>
          <w:p w:rsidR="002B0942" w:rsidRDefault="002B0942" w:rsidP="002B0942">
            <w:pPr>
              <w:jc w:val="right"/>
            </w:pPr>
            <w:r>
              <w:t>36,326,284.80</w:t>
            </w:r>
          </w:p>
        </w:tc>
        <w:tc>
          <w:tcPr>
            <w:tcW w:w="759" w:type="dxa"/>
          </w:tcPr>
          <w:p w:rsidR="002B0942" w:rsidRDefault="002B0942" w:rsidP="002B0942">
            <w:pPr>
              <w:jc w:val="right"/>
            </w:pPr>
            <w:r>
              <w:t>1.20</w:t>
            </w:r>
          </w:p>
        </w:tc>
      </w:tr>
      <w:tr w:rsidR="005E47F6" w:rsidTr="005E47F6">
        <w:tc>
          <w:tcPr>
            <w:tcW w:w="534" w:type="dxa"/>
          </w:tcPr>
          <w:p w:rsidR="002B0942" w:rsidRDefault="002B0942" w:rsidP="002B0942">
            <w:pPr>
              <w:jc w:val="center"/>
            </w:pPr>
            <w:r>
              <w:t>7</w:t>
            </w:r>
          </w:p>
        </w:tc>
        <w:tc>
          <w:tcPr>
            <w:tcW w:w="1275" w:type="dxa"/>
          </w:tcPr>
          <w:p w:rsidR="002B0942" w:rsidRDefault="002B0942" w:rsidP="002B0942">
            <w:pPr>
              <w:jc w:val="left"/>
            </w:pPr>
            <w:r>
              <w:t>Ping An Insurance (Group) Company of China, Ltd.</w:t>
            </w:r>
          </w:p>
        </w:tc>
        <w:tc>
          <w:tcPr>
            <w:tcW w:w="851" w:type="dxa"/>
          </w:tcPr>
          <w:p w:rsidR="002B0942" w:rsidRDefault="002B0942" w:rsidP="002B0942">
            <w:pPr>
              <w:jc w:val="left"/>
            </w:pPr>
            <w:r>
              <w:rPr>
                <w:rFonts w:hint="eastAsia"/>
              </w:rPr>
              <w:t>中国平安保险</w:t>
            </w:r>
            <w:r>
              <w:rPr>
                <w:rFonts w:hint="eastAsia"/>
              </w:rPr>
              <w:t>(</w:t>
            </w:r>
            <w:r>
              <w:rPr>
                <w:rFonts w:hint="eastAsia"/>
              </w:rPr>
              <w:t>集团</w:t>
            </w:r>
            <w:r>
              <w:rPr>
                <w:rFonts w:hint="eastAsia"/>
              </w:rPr>
              <w:t>)</w:t>
            </w:r>
            <w:r>
              <w:rPr>
                <w:rFonts w:hint="eastAsia"/>
              </w:rPr>
              <w:t>股份有限公司</w:t>
            </w:r>
          </w:p>
        </w:tc>
        <w:tc>
          <w:tcPr>
            <w:tcW w:w="709" w:type="dxa"/>
          </w:tcPr>
          <w:p w:rsidR="002B0942" w:rsidRDefault="002B0942" w:rsidP="002B0942">
            <w:pPr>
              <w:jc w:val="left"/>
            </w:pPr>
            <w:r>
              <w:t>2318 HK</w:t>
            </w:r>
          </w:p>
        </w:tc>
        <w:tc>
          <w:tcPr>
            <w:tcW w:w="850" w:type="dxa"/>
          </w:tcPr>
          <w:p w:rsidR="002B0942" w:rsidRDefault="002B0942" w:rsidP="002B0942">
            <w:pPr>
              <w:jc w:val="left"/>
            </w:pPr>
            <w:r>
              <w:rPr>
                <w:rFonts w:hint="eastAsia"/>
              </w:rPr>
              <w:t>中国香港联合交易所</w:t>
            </w:r>
          </w:p>
        </w:tc>
        <w:tc>
          <w:tcPr>
            <w:tcW w:w="709" w:type="dxa"/>
          </w:tcPr>
          <w:p w:rsidR="002B0942" w:rsidRDefault="002B0942" w:rsidP="002B0942">
            <w:pPr>
              <w:jc w:val="left"/>
            </w:pPr>
            <w:r>
              <w:rPr>
                <w:rFonts w:hint="eastAsia"/>
              </w:rPr>
              <w:t>中国香港</w:t>
            </w:r>
          </w:p>
        </w:tc>
        <w:tc>
          <w:tcPr>
            <w:tcW w:w="1276" w:type="dxa"/>
          </w:tcPr>
          <w:p w:rsidR="002B0942" w:rsidRDefault="002B0942" w:rsidP="002B0942">
            <w:pPr>
              <w:jc w:val="right"/>
            </w:pPr>
            <w:r>
              <w:t>500,000</w:t>
            </w:r>
          </w:p>
        </w:tc>
        <w:tc>
          <w:tcPr>
            <w:tcW w:w="1559" w:type="dxa"/>
          </w:tcPr>
          <w:p w:rsidR="002B0942" w:rsidRDefault="002B0942" w:rsidP="002B0942">
            <w:pPr>
              <w:jc w:val="right"/>
            </w:pPr>
            <w:r>
              <w:t>34,929,120.00</w:t>
            </w:r>
          </w:p>
        </w:tc>
        <w:tc>
          <w:tcPr>
            <w:tcW w:w="759" w:type="dxa"/>
          </w:tcPr>
          <w:p w:rsidR="002B0942" w:rsidRDefault="002B0942" w:rsidP="002B0942">
            <w:pPr>
              <w:jc w:val="right"/>
            </w:pPr>
            <w:r>
              <w:t>1.16</w:t>
            </w:r>
          </w:p>
        </w:tc>
      </w:tr>
      <w:tr w:rsidR="005E47F6" w:rsidTr="005E47F6">
        <w:tc>
          <w:tcPr>
            <w:tcW w:w="534" w:type="dxa"/>
          </w:tcPr>
          <w:p w:rsidR="002B0942" w:rsidRDefault="002B0942" w:rsidP="002B0942">
            <w:pPr>
              <w:jc w:val="center"/>
            </w:pPr>
            <w:r>
              <w:t>8</w:t>
            </w:r>
          </w:p>
        </w:tc>
        <w:tc>
          <w:tcPr>
            <w:tcW w:w="1275" w:type="dxa"/>
          </w:tcPr>
          <w:p w:rsidR="002B0942" w:rsidRDefault="002B0942" w:rsidP="002B0942">
            <w:pPr>
              <w:jc w:val="left"/>
            </w:pPr>
            <w:r>
              <w:t>China Feihe Limited</w:t>
            </w:r>
          </w:p>
        </w:tc>
        <w:tc>
          <w:tcPr>
            <w:tcW w:w="851" w:type="dxa"/>
          </w:tcPr>
          <w:p w:rsidR="002B0942" w:rsidRDefault="002B0942" w:rsidP="002B0942">
            <w:pPr>
              <w:jc w:val="left"/>
            </w:pPr>
            <w:r>
              <w:rPr>
                <w:rFonts w:hint="eastAsia"/>
              </w:rPr>
              <w:t>中国飞鹤有限公司</w:t>
            </w:r>
          </w:p>
        </w:tc>
        <w:tc>
          <w:tcPr>
            <w:tcW w:w="709" w:type="dxa"/>
          </w:tcPr>
          <w:p w:rsidR="002B0942" w:rsidRDefault="002B0942" w:rsidP="002B0942">
            <w:pPr>
              <w:jc w:val="left"/>
            </w:pPr>
            <w:r>
              <w:t>6186 HK</w:t>
            </w:r>
          </w:p>
        </w:tc>
        <w:tc>
          <w:tcPr>
            <w:tcW w:w="850" w:type="dxa"/>
          </w:tcPr>
          <w:p w:rsidR="002B0942" w:rsidRDefault="002B0942" w:rsidP="002B0942">
            <w:pPr>
              <w:jc w:val="left"/>
            </w:pPr>
            <w:r>
              <w:rPr>
                <w:rFonts w:hint="eastAsia"/>
              </w:rPr>
              <w:t>中国香港联合交易所</w:t>
            </w:r>
          </w:p>
        </w:tc>
        <w:tc>
          <w:tcPr>
            <w:tcW w:w="709" w:type="dxa"/>
          </w:tcPr>
          <w:p w:rsidR="002B0942" w:rsidRDefault="002B0942" w:rsidP="002B0942">
            <w:pPr>
              <w:jc w:val="left"/>
            </w:pPr>
            <w:r>
              <w:rPr>
                <w:rFonts w:hint="eastAsia"/>
              </w:rPr>
              <w:t>中国香港</w:t>
            </w:r>
          </w:p>
        </w:tc>
        <w:tc>
          <w:tcPr>
            <w:tcW w:w="1276" w:type="dxa"/>
          </w:tcPr>
          <w:p w:rsidR="002B0942" w:rsidRDefault="002B0942" w:rsidP="002B0942">
            <w:pPr>
              <w:jc w:val="right"/>
            </w:pPr>
            <w:r>
              <w:t>2,000,000</w:t>
            </w:r>
          </w:p>
        </w:tc>
        <w:tc>
          <w:tcPr>
            <w:tcW w:w="1559" w:type="dxa"/>
          </w:tcPr>
          <w:p w:rsidR="002B0942" w:rsidRDefault="002B0942" w:rsidP="002B0942">
            <w:pPr>
              <w:jc w:val="right"/>
            </w:pPr>
            <w:r>
              <w:t>31,598,771.20</w:t>
            </w:r>
          </w:p>
        </w:tc>
        <w:tc>
          <w:tcPr>
            <w:tcW w:w="759" w:type="dxa"/>
          </w:tcPr>
          <w:p w:rsidR="002B0942" w:rsidRDefault="002B0942" w:rsidP="002B0942">
            <w:pPr>
              <w:jc w:val="right"/>
            </w:pPr>
            <w:r>
              <w:t>1.05</w:t>
            </w:r>
          </w:p>
        </w:tc>
      </w:tr>
      <w:tr w:rsidR="005E47F6" w:rsidTr="005E47F6">
        <w:tc>
          <w:tcPr>
            <w:tcW w:w="534" w:type="dxa"/>
          </w:tcPr>
          <w:p w:rsidR="002B0942" w:rsidRDefault="002B0942" w:rsidP="002B0942">
            <w:pPr>
              <w:jc w:val="center"/>
            </w:pPr>
            <w:r>
              <w:t>9</w:t>
            </w:r>
          </w:p>
        </w:tc>
        <w:tc>
          <w:tcPr>
            <w:tcW w:w="1275" w:type="dxa"/>
          </w:tcPr>
          <w:p w:rsidR="002B0942" w:rsidRDefault="002B0942" w:rsidP="002B0942">
            <w:pPr>
              <w:jc w:val="left"/>
            </w:pPr>
            <w:r>
              <w:t>NetEase, Inc</w:t>
            </w:r>
          </w:p>
        </w:tc>
        <w:tc>
          <w:tcPr>
            <w:tcW w:w="851" w:type="dxa"/>
          </w:tcPr>
          <w:p w:rsidR="002B0942" w:rsidRDefault="002B0942" w:rsidP="002B0942">
            <w:pPr>
              <w:jc w:val="left"/>
            </w:pPr>
            <w:r>
              <w:rPr>
                <w:rFonts w:hint="eastAsia"/>
              </w:rPr>
              <w:t>网易公司</w:t>
            </w:r>
          </w:p>
        </w:tc>
        <w:tc>
          <w:tcPr>
            <w:tcW w:w="709" w:type="dxa"/>
          </w:tcPr>
          <w:p w:rsidR="002B0942" w:rsidRDefault="002B0942" w:rsidP="002B0942">
            <w:pPr>
              <w:jc w:val="left"/>
            </w:pPr>
            <w:r>
              <w:t>9999 HK</w:t>
            </w:r>
          </w:p>
        </w:tc>
        <w:tc>
          <w:tcPr>
            <w:tcW w:w="850" w:type="dxa"/>
          </w:tcPr>
          <w:p w:rsidR="002B0942" w:rsidRDefault="002B0942" w:rsidP="002B0942">
            <w:pPr>
              <w:jc w:val="left"/>
            </w:pPr>
            <w:r>
              <w:rPr>
                <w:rFonts w:hint="eastAsia"/>
              </w:rPr>
              <w:t>中国香港联合交易所</w:t>
            </w:r>
          </w:p>
        </w:tc>
        <w:tc>
          <w:tcPr>
            <w:tcW w:w="709" w:type="dxa"/>
          </w:tcPr>
          <w:p w:rsidR="002B0942" w:rsidRDefault="002B0942" w:rsidP="002B0942">
            <w:pPr>
              <w:jc w:val="left"/>
            </w:pPr>
            <w:r>
              <w:rPr>
                <w:rFonts w:hint="eastAsia"/>
              </w:rPr>
              <w:t>中国香港</w:t>
            </w:r>
          </w:p>
        </w:tc>
        <w:tc>
          <w:tcPr>
            <w:tcW w:w="1276" w:type="dxa"/>
          </w:tcPr>
          <w:p w:rsidR="002B0942" w:rsidRDefault="002B0942" w:rsidP="002B0942">
            <w:pPr>
              <w:jc w:val="right"/>
            </w:pPr>
            <w:r>
              <w:t>250,000</w:t>
            </w:r>
          </w:p>
        </w:tc>
        <w:tc>
          <w:tcPr>
            <w:tcW w:w="1559" w:type="dxa"/>
          </w:tcPr>
          <w:p w:rsidR="002B0942" w:rsidRDefault="002B0942" w:rsidP="002B0942">
            <w:pPr>
              <w:jc w:val="right"/>
            </w:pPr>
            <w:r>
              <w:t>30,293,872.00</w:t>
            </w:r>
          </w:p>
        </w:tc>
        <w:tc>
          <w:tcPr>
            <w:tcW w:w="759" w:type="dxa"/>
          </w:tcPr>
          <w:p w:rsidR="002B0942" w:rsidRDefault="002B0942" w:rsidP="002B0942">
            <w:pPr>
              <w:jc w:val="right"/>
            </w:pPr>
            <w:r>
              <w:t>1.00</w:t>
            </w:r>
          </w:p>
        </w:tc>
      </w:tr>
      <w:tr w:rsidR="005E47F6" w:rsidTr="005E47F6">
        <w:tc>
          <w:tcPr>
            <w:tcW w:w="534" w:type="dxa"/>
          </w:tcPr>
          <w:p w:rsidR="002B0942" w:rsidRDefault="002B0942" w:rsidP="002B0942">
            <w:pPr>
              <w:jc w:val="center"/>
            </w:pPr>
            <w:r>
              <w:t>10</w:t>
            </w:r>
          </w:p>
        </w:tc>
        <w:tc>
          <w:tcPr>
            <w:tcW w:w="1275" w:type="dxa"/>
          </w:tcPr>
          <w:p w:rsidR="002B0942" w:rsidRDefault="002B0942" w:rsidP="002B0942">
            <w:pPr>
              <w:jc w:val="left"/>
            </w:pPr>
            <w:r>
              <w:t xml:space="preserve">Cathay </w:t>
            </w:r>
            <w:r>
              <w:lastRenderedPageBreak/>
              <w:t>Media And Education Group Inc.</w:t>
            </w:r>
          </w:p>
        </w:tc>
        <w:tc>
          <w:tcPr>
            <w:tcW w:w="851" w:type="dxa"/>
          </w:tcPr>
          <w:p w:rsidR="002B0942" w:rsidRDefault="002B0942" w:rsidP="002B0942">
            <w:pPr>
              <w:jc w:val="left"/>
            </w:pPr>
            <w:r>
              <w:rPr>
                <w:rFonts w:hint="eastAsia"/>
              </w:rPr>
              <w:lastRenderedPageBreak/>
              <w:t>华夏视</w:t>
            </w:r>
            <w:r>
              <w:rPr>
                <w:rFonts w:hint="eastAsia"/>
              </w:rPr>
              <w:lastRenderedPageBreak/>
              <w:t>听教育集团</w:t>
            </w:r>
          </w:p>
        </w:tc>
        <w:tc>
          <w:tcPr>
            <w:tcW w:w="709" w:type="dxa"/>
          </w:tcPr>
          <w:p w:rsidR="002B0942" w:rsidRDefault="002B0942" w:rsidP="002B0942">
            <w:pPr>
              <w:jc w:val="left"/>
            </w:pPr>
            <w:r>
              <w:lastRenderedPageBreak/>
              <w:t xml:space="preserve">1981 </w:t>
            </w:r>
            <w:r>
              <w:lastRenderedPageBreak/>
              <w:t>HK</w:t>
            </w:r>
          </w:p>
        </w:tc>
        <w:tc>
          <w:tcPr>
            <w:tcW w:w="850" w:type="dxa"/>
          </w:tcPr>
          <w:p w:rsidR="002B0942" w:rsidRDefault="002B0942" w:rsidP="002B0942">
            <w:pPr>
              <w:jc w:val="left"/>
            </w:pPr>
            <w:r>
              <w:rPr>
                <w:rFonts w:hint="eastAsia"/>
              </w:rPr>
              <w:lastRenderedPageBreak/>
              <w:t>中国香</w:t>
            </w:r>
            <w:r>
              <w:rPr>
                <w:rFonts w:hint="eastAsia"/>
              </w:rPr>
              <w:lastRenderedPageBreak/>
              <w:t>港联合交易所</w:t>
            </w:r>
          </w:p>
        </w:tc>
        <w:tc>
          <w:tcPr>
            <w:tcW w:w="709" w:type="dxa"/>
          </w:tcPr>
          <w:p w:rsidR="002B0942" w:rsidRDefault="002B0942" w:rsidP="002B0942">
            <w:pPr>
              <w:jc w:val="left"/>
            </w:pPr>
            <w:r>
              <w:rPr>
                <w:rFonts w:hint="eastAsia"/>
              </w:rPr>
              <w:lastRenderedPageBreak/>
              <w:t>中国</w:t>
            </w:r>
            <w:r>
              <w:rPr>
                <w:rFonts w:hint="eastAsia"/>
              </w:rPr>
              <w:lastRenderedPageBreak/>
              <w:t>香港</w:t>
            </w:r>
          </w:p>
        </w:tc>
        <w:tc>
          <w:tcPr>
            <w:tcW w:w="1276" w:type="dxa"/>
          </w:tcPr>
          <w:p w:rsidR="002B0942" w:rsidRDefault="002B0942" w:rsidP="002B0942">
            <w:pPr>
              <w:jc w:val="right"/>
            </w:pPr>
            <w:r>
              <w:lastRenderedPageBreak/>
              <w:t>6,660,000</w:t>
            </w:r>
          </w:p>
        </w:tc>
        <w:tc>
          <w:tcPr>
            <w:tcW w:w="1559" w:type="dxa"/>
          </w:tcPr>
          <w:p w:rsidR="002B0942" w:rsidRDefault="002B0942" w:rsidP="002B0942">
            <w:pPr>
              <w:jc w:val="right"/>
            </w:pPr>
            <w:r>
              <w:t>27,154,556.93</w:t>
            </w:r>
          </w:p>
        </w:tc>
        <w:tc>
          <w:tcPr>
            <w:tcW w:w="759" w:type="dxa"/>
          </w:tcPr>
          <w:p w:rsidR="002B0942" w:rsidRDefault="002B0942" w:rsidP="002B0942">
            <w:pPr>
              <w:jc w:val="right"/>
            </w:pPr>
            <w:r>
              <w:t>0.90</w:t>
            </w:r>
          </w:p>
        </w:tc>
      </w:tr>
    </w:tbl>
    <w:p w:rsidR="002B0942" w:rsidRDefault="002B0942" w:rsidP="002B0942">
      <w:pPr>
        <w:pStyle w:val="-8"/>
      </w:pPr>
      <w:r>
        <w:rPr>
          <w:rFonts w:hint="eastAsia"/>
        </w:rPr>
        <w:t>注：本基金对以上证券代码采用当地市场代码。</w:t>
      </w:r>
    </w:p>
    <w:p w:rsidR="002B0942" w:rsidRDefault="002B0942" w:rsidP="002B0942">
      <w:pPr>
        <w:pStyle w:val="-2"/>
        <w:spacing w:before="312"/>
      </w:pPr>
      <w:r>
        <w:rPr>
          <w:rFonts w:hint="eastAsia"/>
        </w:rPr>
        <w:t>报告期末按债券信用等级分类的债券投资组合</w:t>
      </w:r>
    </w:p>
    <w:p w:rsidR="002B0942" w:rsidRDefault="002B0942" w:rsidP="002B0942">
      <w:pPr>
        <w:pStyle w:val="-"/>
        <w:ind w:firstLine="420"/>
      </w:pPr>
      <w:r>
        <w:rPr>
          <w:rFonts w:hint="eastAsia"/>
        </w:rPr>
        <w:t>本基金本报告期末未持有债券。</w:t>
      </w:r>
    </w:p>
    <w:p w:rsidR="002B0942" w:rsidRDefault="002B0942" w:rsidP="002B0942">
      <w:pPr>
        <w:pStyle w:val="-2"/>
        <w:spacing w:before="312"/>
      </w:pPr>
      <w:r>
        <w:rPr>
          <w:rFonts w:hint="eastAsia"/>
        </w:rPr>
        <w:t>报告期末按公允价值占基金资产净值比例大小排名的前五名债券投资明细</w:t>
      </w:r>
    </w:p>
    <w:p w:rsidR="002B0942" w:rsidRDefault="002B0942" w:rsidP="002B0942">
      <w:pPr>
        <w:pStyle w:val="-"/>
        <w:ind w:firstLine="420"/>
      </w:pPr>
      <w:r>
        <w:rPr>
          <w:rFonts w:hint="eastAsia"/>
        </w:rPr>
        <w:t>本基金本报告期末未持有债券。</w:t>
      </w:r>
    </w:p>
    <w:p w:rsidR="002B0942" w:rsidRDefault="002B0942" w:rsidP="002B0942">
      <w:pPr>
        <w:pStyle w:val="-2"/>
        <w:spacing w:before="312"/>
      </w:pPr>
      <w:r>
        <w:rPr>
          <w:rFonts w:hint="eastAsia"/>
        </w:rPr>
        <w:t>报告期末按公允价值占基金资产净值比例大小排名的前十名资产支持证券投资明细</w:t>
      </w:r>
    </w:p>
    <w:p w:rsidR="002B0942" w:rsidRDefault="002B0942" w:rsidP="002B0942">
      <w:pPr>
        <w:pStyle w:val="-"/>
        <w:ind w:firstLine="420"/>
      </w:pPr>
      <w:r>
        <w:rPr>
          <w:rFonts w:hint="eastAsia"/>
        </w:rPr>
        <w:t>本基金本报告期末未持有资产支持证券。</w:t>
      </w:r>
    </w:p>
    <w:p w:rsidR="002B0942" w:rsidRDefault="002B0942" w:rsidP="002B0942">
      <w:pPr>
        <w:pStyle w:val="-2"/>
        <w:spacing w:before="312"/>
      </w:pPr>
      <w:r>
        <w:rPr>
          <w:rFonts w:hint="eastAsia"/>
        </w:rPr>
        <w:t>报告期末按公允价值占基金资产净值比例大小排名的前五名金融衍生品投资明细</w:t>
      </w:r>
    </w:p>
    <w:p w:rsidR="002B0942" w:rsidRDefault="002B0942" w:rsidP="002B0942">
      <w:pPr>
        <w:pStyle w:val="-"/>
        <w:ind w:firstLine="420"/>
      </w:pPr>
      <w:r>
        <w:rPr>
          <w:rFonts w:hint="eastAsia"/>
        </w:rPr>
        <w:t>本基金本报告期末未持有金融衍生品。</w:t>
      </w:r>
    </w:p>
    <w:p w:rsidR="002B0942" w:rsidRDefault="002B0942" w:rsidP="002B0942">
      <w:pPr>
        <w:pStyle w:val="-2"/>
        <w:spacing w:before="312"/>
      </w:pPr>
      <w:r>
        <w:rPr>
          <w:rFonts w:hint="eastAsia"/>
        </w:rPr>
        <w:t>报告期末按公允价值占基金资产净值比例大小排序的前十名基金投资明细</w:t>
      </w:r>
    </w:p>
    <w:p w:rsidR="002B0942" w:rsidRDefault="002B0942" w:rsidP="002B0942">
      <w:pPr>
        <w:jc w:val="right"/>
      </w:pPr>
      <w:r>
        <w:rPr>
          <w:rFonts w:hint="eastAsia"/>
        </w:rPr>
        <w:t>金额单位：人民币元</w:t>
      </w:r>
    </w:p>
    <w:tbl>
      <w:tblPr>
        <w:tblStyle w:val="-0"/>
        <w:tblW w:w="0" w:type="auto"/>
        <w:tblLayout w:type="fixed"/>
        <w:tblLook w:val="04A0" w:firstRow="1" w:lastRow="0" w:firstColumn="1" w:lastColumn="0" w:noHBand="0" w:noVBand="1"/>
      </w:tblPr>
      <w:tblGrid>
        <w:gridCol w:w="534"/>
        <w:gridCol w:w="1900"/>
        <w:gridCol w:w="935"/>
        <w:gridCol w:w="992"/>
        <w:gridCol w:w="1725"/>
        <w:gridCol w:w="1535"/>
        <w:gridCol w:w="901"/>
      </w:tblGrid>
      <w:tr w:rsidR="002B0942" w:rsidTr="006D580F">
        <w:trPr>
          <w:cnfStyle w:val="100000000000" w:firstRow="1" w:lastRow="0" w:firstColumn="0" w:lastColumn="0" w:oddVBand="0" w:evenVBand="0" w:oddHBand="0" w:evenHBand="0" w:firstRowFirstColumn="0" w:firstRowLastColumn="0" w:lastRowFirstColumn="0" w:lastRowLastColumn="0"/>
        </w:trPr>
        <w:tc>
          <w:tcPr>
            <w:tcW w:w="534" w:type="dxa"/>
          </w:tcPr>
          <w:p w:rsidR="002B0942" w:rsidRDefault="002B0942" w:rsidP="002B0942">
            <w:pPr>
              <w:jc w:val="center"/>
            </w:pPr>
            <w:r>
              <w:rPr>
                <w:rFonts w:hint="eastAsia"/>
              </w:rPr>
              <w:t>序号</w:t>
            </w:r>
          </w:p>
        </w:tc>
        <w:tc>
          <w:tcPr>
            <w:tcW w:w="1900" w:type="dxa"/>
          </w:tcPr>
          <w:p w:rsidR="002B0942" w:rsidRDefault="002B0942" w:rsidP="002B0942">
            <w:pPr>
              <w:jc w:val="center"/>
            </w:pPr>
            <w:r>
              <w:rPr>
                <w:rFonts w:hint="eastAsia"/>
              </w:rPr>
              <w:t>基金名称</w:t>
            </w:r>
          </w:p>
        </w:tc>
        <w:tc>
          <w:tcPr>
            <w:tcW w:w="935" w:type="dxa"/>
          </w:tcPr>
          <w:p w:rsidR="002B0942" w:rsidRDefault="002B0942" w:rsidP="002B0942">
            <w:pPr>
              <w:jc w:val="center"/>
            </w:pPr>
            <w:r>
              <w:rPr>
                <w:rFonts w:hint="eastAsia"/>
              </w:rPr>
              <w:t>基金类型</w:t>
            </w:r>
          </w:p>
        </w:tc>
        <w:tc>
          <w:tcPr>
            <w:tcW w:w="992" w:type="dxa"/>
          </w:tcPr>
          <w:p w:rsidR="002B0942" w:rsidRDefault="002B0942" w:rsidP="002B0942">
            <w:pPr>
              <w:jc w:val="center"/>
            </w:pPr>
            <w:r>
              <w:rPr>
                <w:rFonts w:hint="eastAsia"/>
              </w:rPr>
              <w:t>运作方式</w:t>
            </w:r>
          </w:p>
        </w:tc>
        <w:tc>
          <w:tcPr>
            <w:tcW w:w="1725" w:type="dxa"/>
          </w:tcPr>
          <w:p w:rsidR="002B0942" w:rsidRDefault="002B0942" w:rsidP="002B0942">
            <w:pPr>
              <w:jc w:val="center"/>
            </w:pPr>
            <w:r>
              <w:rPr>
                <w:rFonts w:hint="eastAsia"/>
              </w:rPr>
              <w:t>管理人</w:t>
            </w:r>
          </w:p>
        </w:tc>
        <w:tc>
          <w:tcPr>
            <w:tcW w:w="1535" w:type="dxa"/>
          </w:tcPr>
          <w:p w:rsidR="002B0942" w:rsidRDefault="002B0942" w:rsidP="002B0942">
            <w:pPr>
              <w:jc w:val="center"/>
            </w:pPr>
            <w:r>
              <w:rPr>
                <w:rFonts w:hint="eastAsia"/>
              </w:rPr>
              <w:t>公允价值（人民币元）</w:t>
            </w:r>
          </w:p>
        </w:tc>
        <w:tc>
          <w:tcPr>
            <w:tcW w:w="901" w:type="dxa"/>
          </w:tcPr>
          <w:p w:rsidR="002B0942" w:rsidRDefault="002B0942" w:rsidP="002B0942">
            <w:pPr>
              <w:jc w:val="center"/>
            </w:pPr>
            <w:r>
              <w:rPr>
                <w:rFonts w:hint="eastAsia"/>
              </w:rPr>
              <w:t>占基金资产净值比例（</w:t>
            </w:r>
            <w:r>
              <w:rPr>
                <w:rFonts w:hint="eastAsia"/>
              </w:rPr>
              <w:t>%</w:t>
            </w:r>
            <w:r>
              <w:rPr>
                <w:rFonts w:hint="eastAsia"/>
              </w:rPr>
              <w:t>）</w:t>
            </w:r>
          </w:p>
        </w:tc>
      </w:tr>
      <w:tr w:rsidR="002B0942" w:rsidTr="006D580F">
        <w:tc>
          <w:tcPr>
            <w:tcW w:w="534" w:type="dxa"/>
          </w:tcPr>
          <w:p w:rsidR="002B0942" w:rsidRDefault="002B0942" w:rsidP="002B0942">
            <w:pPr>
              <w:jc w:val="center"/>
            </w:pPr>
            <w:r>
              <w:t>1</w:t>
            </w:r>
          </w:p>
        </w:tc>
        <w:tc>
          <w:tcPr>
            <w:tcW w:w="1900" w:type="dxa"/>
          </w:tcPr>
          <w:p w:rsidR="002B0942" w:rsidRDefault="002B0942" w:rsidP="002B0942">
            <w:pPr>
              <w:jc w:val="left"/>
            </w:pPr>
            <w:r>
              <w:t>T Rowe Price Funds SICAV - Global Focused Growth Equity Fund</w:t>
            </w:r>
          </w:p>
        </w:tc>
        <w:tc>
          <w:tcPr>
            <w:tcW w:w="935" w:type="dxa"/>
          </w:tcPr>
          <w:p w:rsidR="002B0942" w:rsidRDefault="002B0942" w:rsidP="002B0942">
            <w:pPr>
              <w:jc w:val="left"/>
            </w:pPr>
            <w:r>
              <w:rPr>
                <w:rFonts w:hint="eastAsia"/>
              </w:rPr>
              <w:t>股票型基金</w:t>
            </w:r>
          </w:p>
        </w:tc>
        <w:tc>
          <w:tcPr>
            <w:tcW w:w="992" w:type="dxa"/>
          </w:tcPr>
          <w:p w:rsidR="002B0942" w:rsidRDefault="002B0942" w:rsidP="002B0942">
            <w:pPr>
              <w:jc w:val="left"/>
            </w:pPr>
            <w:r>
              <w:rPr>
                <w:rFonts w:hint="eastAsia"/>
              </w:rPr>
              <w:t>契约型开放式</w:t>
            </w:r>
          </w:p>
        </w:tc>
        <w:tc>
          <w:tcPr>
            <w:tcW w:w="1725" w:type="dxa"/>
          </w:tcPr>
          <w:p w:rsidR="002B0942" w:rsidRDefault="002B0942" w:rsidP="002B0942">
            <w:pPr>
              <w:jc w:val="left"/>
            </w:pPr>
            <w:r>
              <w:t>T Rowe Price Luxembourg Management Sarl</w:t>
            </w:r>
          </w:p>
        </w:tc>
        <w:tc>
          <w:tcPr>
            <w:tcW w:w="1535" w:type="dxa"/>
          </w:tcPr>
          <w:p w:rsidR="002B0942" w:rsidRDefault="002B0942" w:rsidP="002B0942">
            <w:pPr>
              <w:jc w:val="right"/>
            </w:pPr>
            <w:r>
              <w:t>498,635,522.00</w:t>
            </w:r>
          </w:p>
        </w:tc>
        <w:tc>
          <w:tcPr>
            <w:tcW w:w="901" w:type="dxa"/>
          </w:tcPr>
          <w:p w:rsidR="002B0942" w:rsidRDefault="002B0942" w:rsidP="002B0942">
            <w:pPr>
              <w:jc w:val="right"/>
            </w:pPr>
            <w:r>
              <w:t>16.53</w:t>
            </w:r>
          </w:p>
        </w:tc>
      </w:tr>
      <w:tr w:rsidR="002B0942" w:rsidTr="006D580F">
        <w:tc>
          <w:tcPr>
            <w:tcW w:w="534" w:type="dxa"/>
          </w:tcPr>
          <w:p w:rsidR="002B0942" w:rsidRDefault="002B0942" w:rsidP="002B0942">
            <w:pPr>
              <w:jc w:val="center"/>
            </w:pPr>
            <w:r>
              <w:t>2</w:t>
            </w:r>
          </w:p>
        </w:tc>
        <w:tc>
          <w:tcPr>
            <w:tcW w:w="1900" w:type="dxa"/>
          </w:tcPr>
          <w:p w:rsidR="002B0942" w:rsidRDefault="002B0942" w:rsidP="002B0942">
            <w:pPr>
              <w:jc w:val="left"/>
            </w:pPr>
            <w:r>
              <w:t>Wellington Global Quality Growth Fund</w:t>
            </w:r>
          </w:p>
        </w:tc>
        <w:tc>
          <w:tcPr>
            <w:tcW w:w="935" w:type="dxa"/>
          </w:tcPr>
          <w:p w:rsidR="002B0942" w:rsidRDefault="002B0942" w:rsidP="002B0942">
            <w:pPr>
              <w:jc w:val="left"/>
            </w:pPr>
            <w:r>
              <w:rPr>
                <w:rFonts w:hint="eastAsia"/>
              </w:rPr>
              <w:t>股票型基金</w:t>
            </w:r>
          </w:p>
        </w:tc>
        <w:tc>
          <w:tcPr>
            <w:tcW w:w="992" w:type="dxa"/>
          </w:tcPr>
          <w:p w:rsidR="002B0942" w:rsidRDefault="002B0942" w:rsidP="002B0942">
            <w:pPr>
              <w:jc w:val="left"/>
            </w:pPr>
            <w:r>
              <w:rPr>
                <w:rFonts w:hint="eastAsia"/>
              </w:rPr>
              <w:t>契约型开放式</w:t>
            </w:r>
          </w:p>
        </w:tc>
        <w:tc>
          <w:tcPr>
            <w:tcW w:w="1725" w:type="dxa"/>
          </w:tcPr>
          <w:p w:rsidR="002B0942" w:rsidRDefault="002B0942" w:rsidP="002B0942">
            <w:pPr>
              <w:jc w:val="left"/>
            </w:pPr>
            <w:r>
              <w:t>Wellington Luxembourg Sarl</w:t>
            </w:r>
          </w:p>
        </w:tc>
        <w:tc>
          <w:tcPr>
            <w:tcW w:w="1535" w:type="dxa"/>
          </w:tcPr>
          <w:p w:rsidR="002B0942" w:rsidRDefault="002B0942" w:rsidP="002B0942">
            <w:pPr>
              <w:jc w:val="right"/>
            </w:pPr>
            <w:r>
              <w:t>484,741,555.98</w:t>
            </w:r>
          </w:p>
        </w:tc>
        <w:tc>
          <w:tcPr>
            <w:tcW w:w="901" w:type="dxa"/>
          </w:tcPr>
          <w:p w:rsidR="002B0942" w:rsidRDefault="002B0942" w:rsidP="002B0942">
            <w:pPr>
              <w:jc w:val="right"/>
            </w:pPr>
            <w:r>
              <w:t>16.07</w:t>
            </w:r>
          </w:p>
        </w:tc>
      </w:tr>
      <w:tr w:rsidR="002B0942" w:rsidTr="006D580F">
        <w:tc>
          <w:tcPr>
            <w:tcW w:w="534" w:type="dxa"/>
          </w:tcPr>
          <w:p w:rsidR="002B0942" w:rsidRDefault="002B0942" w:rsidP="002B0942">
            <w:pPr>
              <w:jc w:val="center"/>
            </w:pPr>
            <w:r>
              <w:t>3</w:t>
            </w:r>
          </w:p>
        </w:tc>
        <w:tc>
          <w:tcPr>
            <w:tcW w:w="1900" w:type="dxa"/>
          </w:tcPr>
          <w:p w:rsidR="002B0942" w:rsidRDefault="002B0942" w:rsidP="002B0942">
            <w:pPr>
              <w:jc w:val="left"/>
            </w:pPr>
            <w:r>
              <w:t>Wellington Global Health Care Equity Fund</w:t>
            </w:r>
          </w:p>
        </w:tc>
        <w:tc>
          <w:tcPr>
            <w:tcW w:w="935" w:type="dxa"/>
          </w:tcPr>
          <w:p w:rsidR="002B0942" w:rsidRDefault="002B0942" w:rsidP="002B0942">
            <w:pPr>
              <w:jc w:val="left"/>
            </w:pPr>
            <w:r>
              <w:rPr>
                <w:rFonts w:hint="eastAsia"/>
              </w:rPr>
              <w:t>股票型基金</w:t>
            </w:r>
          </w:p>
        </w:tc>
        <w:tc>
          <w:tcPr>
            <w:tcW w:w="992" w:type="dxa"/>
          </w:tcPr>
          <w:p w:rsidR="002B0942" w:rsidRDefault="002B0942" w:rsidP="002B0942">
            <w:pPr>
              <w:jc w:val="left"/>
            </w:pPr>
            <w:r>
              <w:rPr>
                <w:rFonts w:hint="eastAsia"/>
              </w:rPr>
              <w:t>契约型开放式</w:t>
            </w:r>
          </w:p>
        </w:tc>
        <w:tc>
          <w:tcPr>
            <w:tcW w:w="1725" w:type="dxa"/>
          </w:tcPr>
          <w:p w:rsidR="002B0942" w:rsidRDefault="002B0942" w:rsidP="002B0942">
            <w:pPr>
              <w:jc w:val="left"/>
            </w:pPr>
            <w:r>
              <w:t>Wellington Management Group LLP</w:t>
            </w:r>
          </w:p>
        </w:tc>
        <w:tc>
          <w:tcPr>
            <w:tcW w:w="1535" w:type="dxa"/>
          </w:tcPr>
          <w:p w:rsidR="002B0942" w:rsidRDefault="002B0942" w:rsidP="002B0942">
            <w:pPr>
              <w:jc w:val="right"/>
            </w:pPr>
            <w:r>
              <w:t>310,209,997.75</w:t>
            </w:r>
          </w:p>
        </w:tc>
        <w:tc>
          <w:tcPr>
            <w:tcW w:w="901" w:type="dxa"/>
          </w:tcPr>
          <w:p w:rsidR="002B0942" w:rsidRDefault="002B0942" w:rsidP="002B0942">
            <w:pPr>
              <w:jc w:val="right"/>
            </w:pPr>
            <w:r>
              <w:t>10.28</w:t>
            </w:r>
          </w:p>
        </w:tc>
      </w:tr>
      <w:tr w:rsidR="002B0942" w:rsidTr="006D580F">
        <w:tc>
          <w:tcPr>
            <w:tcW w:w="534" w:type="dxa"/>
          </w:tcPr>
          <w:p w:rsidR="002B0942" w:rsidRDefault="002B0942" w:rsidP="002B0942">
            <w:pPr>
              <w:jc w:val="center"/>
            </w:pPr>
            <w:r>
              <w:t>4</w:t>
            </w:r>
          </w:p>
        </w:tc>
        <w:tc>
          <w:tcPr>
            <w:tcW w:w="1900" w:type="dxa"/>
          </w:tcPr>
          <w:p w:rsidR="002B0942" w:rsidRDefault="002B0942" w:rsidP="002B0942">
            <w:pPr>
              <w:jc w:val="left"/>
            </w:pPr>
            <w:r>
              <w:t>SPDR Gold Shares</w:t>
            </w:r>
          </w:p>
        </w:tc>
        <w:tc>
          <w:tcPr>
            <w:tcW w:w="935" w:type="dxa"/>
          </w:tcPr>
          <w:p w:rsidR="002B0942" w:rsidRDefault="002B0942" w:rsidP="002B0942">
            <w:pPr>
              <w:jc w:val="left"/>
            </w:pPr>
            <w:r>
              <w:rPr>
                <w:rFonts w:hint="eastAsia"/>
              </w:rPr>
              <w:t>ETF</w:t>
            </w:r>
            <w:r>
              <w:rPr>
                <w:rFonts w:hint="eastAsia"/>
              </w:rPr>
              <w:t>基金</w:t>
            </w:r>
          </w:p>
        </w:tc>
        <w:tc>
          <w:tcPr>
            <w:tcW w:w="992" w:type="dxa"/>
          </w:tcPr>
          <w:p w:rsidR="002B0942" w:rsidRDefault="002B0942" w:rsidP="002B0942">
            <w:pPr>
              <w:jc w:val="left"/>
            </w:pPr>
            <w:r>
              <w:rPr>
                <w:rFonts w:hint="eastAsia"/>
              </w:rPr>
              <w:t>交易型开放式</w:t>
            </w:r>
          </w:p>
        </w:tc>
        <w:tc>
          <w:tcPr>
            <w:tcW w:w="1725" w:type="dxa"/>
          </w:tcPr>
          <w:p w:rsidR="002B0942" w:rsidRDefault="002B0942" w:rsidP="002B0942">
            <w:pPr>
              <w:jc w:val="left"/>
            </w:pPr>
            <w:r>
              <w:t>World Gold Trust Services LLC</w:t>
            </w:r>
          </w:p>
        </w:tc>
        <w:tc>
          <w:tcPr>
            <w:tcW w:w="1535" w:type="dxa"/>
          </w:tcPr>
          <w:p w:rsidR="002B0942" w:rsidRDefault="002B0942" w:rsidP="002B0942">
            <w:pPr>
              <w:jc w:val="right"/>
            </w:pPr>
            <w:r>
              <w:t>241,240,982.40</w:t>
            </w:r>
          </w:p>
        </w:tc>
        <w:tc>
          <w:tcPr>
            <w:tcW w:w="901" w:type="dxa"/>
          </w:tcPr>
          <w:p w:rsidR="002B0942" w:rsidRDefault="002B0942" w:rsidP="002B0942">
            <w:pPr>
              <w:jc w:val="right"/>
            </w:pPr>
            <w:r>
              <w:t>8.00</w:t>
            </w:r>
          </w:p>
        </w:tc>
      </w:tr>
      <w:tr w:rsidR="002B0942" w:rsidTr="006D580F">
        <w:tc>
          <w:tcPr>
            <w:tcW w:w="534" w:type="dxa"/>
          </w:tcPr>
          <w:p w:rsidR="002B0942" w:rsidRDefault="002B0942" w:rsidP="002B0942">
            <w:pPr>
              <w:jc w:val="center"/>
            </w:pPr>
            <w:r>
              <w:lastRenderedPageBreak/>
              <w:t>5</w:t>
            </w:r>
          </w:p>
        </w:tc>
        <w:tc>
          <w:tcPr>
            <w:tcW w:w="1900" w:type="dxa"/>
          </w:tcPr>
          <w:p w:rsidR="002B0942" w:rsidRDefault="002B0942" w:rsidP="002B0942">
            <w:pPr>
              <w:jc w:val="left"/>
            </w:pPr>
            <w:r>
              <w:t>Vanguard Utilities ETF</w:t>
            </w:r>
          </w:p>
        </w:tc>
        <w:tc>
          <w:tcPr>
            <w:tcW w:w="935" w:type="dxa"/>
          </w:tcPr>
          <w:p w:rsidR="002B0942" w:rsidRDefault="002B0942" w:rsidP="002B0942">
            <w:pPr>
              <w:jc w:val="left"/>
            </w:pPr>
            <w:r>
              <w:rPr>
                <w:rFonts w:hint="eastAsia"/>
              </w:rPr>
              <w:t>ETF</w:t>
            </w:r>
            <w:r>
              <w:rPr>
                <w:rFonts w:hint="eastAsia"/>
              </w:rPr>
              <w:t>基金</w:t>
            </w:r>
          </w:p>
        </w:tc>
        <w:tc>
          <w:tcPr>
            <w:tcW w:w="992" w:type="dxa"/>
          </w:tcPr>
          <w:p w:rsidR="002B0942" w:rsidRDefault="002B0942" w:rsidP="002B0942">
            <w:pPr>
              <w:jc w:val="left"/>
            </w:pPr>
            <w:r>
              <w:rPr>
                <w:rFonts w:hint="eastAsia"/>
              </w:rPr>
              <w:t>交易型开放式</w:t>
            </w:r>
          </w:p>
        </w:tc>
        <w:tc>
          <w:tcPr>
            <w:tcW w:w="1725" w:type="dxa"/>
          </w:tcPr>
          <w:p w:rsidR="002B0942" w:rsidRDefault="00457B76" w:rsidP="002B0942">
            <w:pPr>
              <w:jc w:val="left"/>
            </w:pPr>
            <w:r>
              <w:t>Vanguard Group Inc</w:t>
            </w:r>
          </w:p>
        </w:tc>
        <w:tc>
          <w:tcPr>
            <w:tcW w:w="1535" w:type="dxa"/>
          </w:tcPr>
          <w:p w:rsidR="002B0942" w:rsidRDefault="002B0942" w:rsidP="002B0942">
            <w:pPr>
              <w:jc w:val="right"/>
            </w:pPr>
            <w:r>
              <w:t>131,877,586.50</w:t>
            </w:r>
          </w:p>
        </w:tc>
        <w:tc>
          <w:tcPr>
            <w:tcW w:w="901" w:type="dxa"/>
          </w:tcPr>
          <w:p w:rsidR="002B0942" w:rsidRDefault="002B0942" w:rsidP="002B0942">
            <w:pPr>
              <w:jc w:val="right"/>
            </w:pPr>
            <w:r>
              <w:t>4.37</w:t>
            </w:r>
          </w:p>
        </w:tc>
      </w:tr>
      <w:tr w:rsidR="002B0942" w:rsidTr="006D580F">
        <w:tc>
          <w:tcPr>
            <w:tcW w:w="534" w:type="dxa"/>
          </w:tcPr>
          <w:p w:rsidR="002B0942" w:rsidRDefault="002B0942" w:rsidP="002B0942">
            <w:pPr>
              <w:jc w:val="center"/>
            </w:pPr>
            <w:r>
              <w:t>6</w:t>
            </w:r>
          </w:p>
        </w:tc>
        <w:tc>
          <w:tcPr>
            <w:tcW w:w="1900" w:type="dxa"/>
          </w:tcPr>
          <w:p w:rsidR="002B0942" w:rsidRDefault="002B0942" w:rsidP="002B0942">
            <w:pPr>
              <w:jc w:val="left"/>
            </w:pPr>
            <w:r>
              <w:t>BNY Mellon U.S. Dollar Liquidity Fund</w:t>
            </w:r>
          </w:p>
        </w:tc>
        <w:tc>
          <w:tcPr>
            <w:tcW w:w="935" w:type="dxa"/>
          </w:tcPr>
          <w:p w:rsidR="002B0942" w:rsidRDefault="002B0942" w:rsidP="002B0942">
            <w:pPr>
              <w:jc w:val="left"/>
            </w:pPr>
            <w:r>
              <w:rPr>
                <w:rFonts w:hint="eastAsia"/>
              </w:rPr>
              <w:t>货币市场基金</w:t>
            </w:r>
          </w:p>
        </w:tc>
        <w:tc>
          <w:tcPr>
            <w:tcW w:w="992" w:type="dxa"/>
          </w:tcPr>
          <w:p w:rsidR="002B0942" w:rsidRDefault="002B0942" w:rsidP="002B0942">
            <w:pPr>
              <w:jc w:val="left"/>
            </w:pPr>
            <w:r>
              <w:rPr>
                <w:rFonts w:hint="eastAsia"/>
              </w:rPr>
              <w:t>契约型开放式</w:t>
            </w:r>
          </w:p>
        </w:tc>
        <w:tc>
          <w:tcPr>
            <w:tcW w:w="1725" w:type="dxa"/>
          </w:tcPr>
          <w:p w:rsidR="002B0942" w:rsidRDefault="002B0942" w:rsidP="002B0942">
            <w:pPr>
              <w:jc w:val="left"/>
            </w:pPr>
            <w:r>
              <w:t>BNY Mellon Fund Management Luxembourg SA</w:t>
            </w:r>
          </w:p>
        </w:tc>
        <w:tc>
          <w:tcPr>
            <w:tcW w:w="1535" w:type="dxa"/>
          </w:tcPr>
          <w:p w:rsidR="002B0942" w:rsidRDefault="002B0942" w:rsidP="002B0942">
            <w:pPr>
              <w:jc w:val="right"/>
            </w:pPr>
            <w:r>
              <w:t>122,090,168.12</w:t>
            </w:r>
          </w:p>
        </w:tc>
        <w:tc>
          <w:tcPr>
            <w:tcW w:w="901" w:type="dxa"/>
          </w:tcPr>
          <w:p w:rsidR="002B0942" w:rsidRDefault="002B0942" w:rsidP="002B0942">
            <w:pPr>
              <w:jc w:val="right"/>
            </w:pPr>
            <w:r>
              <w:t>4.05</w:t>
            </w:r>
          </w:p>
        </w:tc>
      </w:tr>
      <w:tr w:rsidR="002B0942" w:rsidTr="006D580F">
        <w:tc>
          <w:tcPr>
            <w:tcW w:w="534" w:type="dxa"/>
          </w:tcPr>
          <w:p w:rsidR="002B0942" w:rsidRDefault="002B0942" w:rsidP="002B0942">
            <w:pPr>
              <w:jc w:val="center"/>
            </w:pPr>
            <w:r>
              <w:t>7</w:t>
            </w:r>
          </w:p>
        </w:tc>
        <w:tc>
          <w:tcPr>
            <w:tcW w:w="1900" w:type="dxa"/>
          </w:tcPr>
          <w:p w:rsidR="002B0942" w:rsidRDefault="002B0942" w:rsidP="002B0942">
            <w:pPr>
              <w:jc w:val="left"/>
            </w:pPr>
            <w:r>
              <w:t>iShares MSCI USA Min Vol Factor ETF</w:t>
            </w:r>
          </w:p>
        </w:tc>
        <w:tc>
          <w:tcPr>
            <w:tcW w:w="935" w:type="dxa"/>
          </w:tcPr>
          <w:p w:rsidR="002B0942" w:rsidRDefault="002B0942" w:rsidP="002B0942">
            <w:pPr>
              <w:jc w:val="left"/>
            </w:pPr>
            <w:r>
              <w:rPr>
                <w:rFonts w:hint="eastAsia"/>
              </w:rPr>
              <w:t>ETF</w:t>
            </w:r>
            <w:r>
              <w:rPr>
                <w:rFonts w:hint="eastAsia"/>
              </w:rPr>
              <w:t>基金</w:t>
            </w:r>
          </w:p>
        </w:tc>
        <w:tc>
          <w:tcPr>
            <w:tcW w:w="992" w:type="dxa"/>
          </w:tcPr>
          <w:p w:rsidR="002B0942" w:rsidRDefault="002B0942" w:rsidP="002B0942">
            <w:pPr>
              <w:jc w:val="left"/>
            </w:pPr>
            <w:r>
              <w:rPr>
                <w:rFonts w:hint="eastAsia"/>
              </w:rPr>
              <w:t>交易型开放式</w:t>
            </w:r>
          </w:p>
        </w:tc>
        <w:tc>
          <w:tcPr>
            <w:tcW w:w="1725" w:type="dxa"/>
          </w:tcPr>
          <w:p w:rsidR="002B0942" w:rsidRDefault="002B0942" w:rsidP="002B0942">
            <w:pPr>
              <w:jc w:val="left"/>
            </w:pPr>
            <w:r>
              <w:t>BlackRock Fund Advisors</w:t>
            </w:r>
          </w:p>
        </w:tc>
        <w:tc>
          <w:tcPr>
            <w:tcW w:w="1535" w:type="dxa"/>
          </w:tcPr>
          <w:p w:rsidR="002B0942" w:rsidRDefault="002B0942" w:rsidP="002B0942">
            <w:pPr>
              <w:jc w:val="right"/>
            </w:pPr>
            <w:r>
              <w:t>99,821,764.79</w:t>
            </w:r>
          </w:p>
        </w:tc>
        <w:tc>
          <w:tcPr>
            <w:tcW w:w="901" w:type="dxa"/>
          </w:tcPr>
          <w:p w:rsidR="002B0942" w:rsidRDefault="002B0942" w:rsidP="002B0942">
            <w:pPr>
              <w:jc w:val="right"/>
            </w:pPr>
            <w:r>
              <w:t>3.31</w:t>
            </w:r>
          </w:p>
        </w:tc>
      </w:tr>
      <w:tr w:rsidR="002B0942" w:rsidTr="006D580F">
        <w:tc>
          <w:tcPr>
            <w:tcW w:w="534" w:type="dxa"/>
          </w:tcPr>
          <w:p w:rsidR="002B0942" w:rsidRDefault="002B0942" w:rsidP="002B0942">
            <w:pPr>
              <w:jc w:val="center"/>
            </w:pPr>
            <w:r>
              <w:t>8</w:t>
            </w:r>
          </w:p>
        </w:tc>
        <w:tc>
          <w:tcPr>
            <w:tcW w:w="1900" w:type="dxa"/>
          </w:tcPr>
          <w:p w:rsidR="002B0942" w:rsidRDefault="002B0942" w:rsidP="002B0942">
            <w:pPr>
              <w:jc w:val="left"/>
            </w:pPr>
            <w:r>
              <w:t>Vanguard Consumer Staples ETF</w:t>
            </w:r>
          </w:p>
        </w:tc>
        <w:tc>
          <w:tcPr>
            <w:tcW w:w="935" w:type="dxa"/>
          </w:tcPr>
          <w:p w:rsidR="002B0942" w:rsidRDefault="002B0942" w:rsidP="002B0942">
            <w:pPr>
              <w:jc w:val="left"/>
            </w:pPr>
            <w:r>
              <w:rPr>
                <w:rFonts w:hint="eastAsia"/>
              </w:rPr>
              <w:t>ETF</w:t>
            </w:r>
            <w:r>
              <w:rPr>
                <w:rFonts w:hint="eastAsia"/>
              </w:rPr>
              <w:t>基金</w:t>
            </w:r>
          </w:p>
        </w:tc>
        <w:tc>
          <w:tcPr>
            <w:tcW w:w="992" w:type="dxa"/>
          </w:tcPr>
          <w:p w:rsidR="002B0942" w:rsidRDefault="002B0942" w:rsidP="002B0942">
            <w:pPr>
              <w:jc w:val="left"/>
            </w:pPr>
            <w:r>
              <w:rPr>
                <w:rFonts w:hint="eastAsia"/>
              </w:rPr>
              <w:t>交易型开放式</w:t>
            </w:r>
          </w:p>
        </w:tc>
        <w:tc>
          <w:tcPr>
            <w:tcW w:w="1725" w:type="dxa"/>
          </w:tcPr>
          <w:p w:rsidR="002B0942" w:rsidRDefault="002B0942" w:rsidP="002B0942">
            <w:pPr>
              <w:jc w:val="left"/>
            </w:pPr>
            <w:r>
              <w:t>Vanguard Group Inc/The</w:t>
            </w:r>
          </w:p>
        </w:tc>
        <w:tc>
          <w:tcPr>
            <w:tcW w:w="1535" w:type="dxa"/>
          </w:tcPr>
          <w:p w:rsidR="002B0942" w:rsidRDefault="002B0942" w:rsidP="002B0942">
            <w:pPr>
              <w:jc w:val="right"/>
            </w:pPr>
            <w:r>
              <w:t>55,624,896.80</w:t>
            </w:r>
          </w:p>
        </w:tc>
        <w:tc>
          <w:tcPr>
            <w:tcW w:w="901" w:type="dxa"/>
          </w:tcPr>
          <w:p w:rsidR="002B0942" w:rsidRDefault="002B0942" w:rsidP="002B0942">
            <w:pPr>
              <w:jc w:val="right"/>
            </w:pPr>
            <w:r>
              <w:t>1.84</w:t>
            </w:r>
          </w:p>
        </w:tc>
      </w:tr>
    </w:tbl>
    <w:p w:rsidR="002B0942" w:rsidRDefault="002B0942" w:rsidP="002B0942">
      <w:pPr>
        <w:pStyle w:val="-2"/>
        <w:spacing w:before="312"/>
      </w:pPr>
      <w:r>
        <w:rPr>
          <w:rFonts w:hint="eastAsia"/>
        </w:rPr>
        <w:t>投资组合报告附注</w:t>
      </w:r>
    </w:p>
    <w:p w:rsidR="002B0942" w:rsidRDefault="002B0942" w:rsidP="002B0942">
      <w:pPr>
        <w:pStyle w:val="-3"/>
        <w:spacing w:before="156" w:after="156"/>
      </w:pPr>
      <w:r>
        <w:t xml:space="preserve"> </w:t>
      </w:r>
    </w:p>
    <w:p w:rsidR="002B0942" w:rsidRDefault="002B0942" w:rsidP="002B0942">
      <w:pPr>
        <w:pStyle w:val="-"/>
        <w:ind w:firstLine="420"/>
      </w:pPr>
      <w:r>
        <w:rPr>
          <w:rFonts w:hint="eastAsia"/>
        </w:rPr>
        <w:t>报告期内基金投资的前十名证券除腾讯控股（证券代码700 HK）外其他证券的发行主体未有被监管部门立案调查，不存在报告编制日前一年内受到公开谴责、处罚的情形。</w:t>
      </w:r>
    </w:p>
    <w:p w:rsidR="002B0942" w:rsidRDefault="002B0942" w:rsidP="002B0942">
      <w:pPr>
        <w:pStyle w:val="-"/>
        <w:ind w:firstLine="420"/>
      </w:pPr>
      <w:r>
        <w:rPr>
          <w:rFonts w:hint="eastAsia"/>
        </w:rPr>
        <w:t>腾讯控股有限公司在报告编制期前一年内受到处罚，于2020年1月3日因广告违法行为被南山市场监督管理局行政处罚20万。</w:t>
      </w:r>
    </w:p>
    <w:p w:rsidR="002B0942" w:rsidRDefault="002B0942" w:rsidP="002B0942">
      <w:pPr>
        <w:pStyle w:val="-"/>
        <w:ind w:firstLine="420"/>
      </w:pPr>
      <w:r>
        <w:rPr>
          <w:rFonts w:hint="eastAsia"/>
        </w:rPr>
        <w:t>对上述证券的投资决策程序的说明：本基金投资上述证券的投资决策程序符合相关法律法规和公司制度的要求。</w:t>
      </w:r>
    </w:p>
    <w:p w:rsidR="002B0942" w:rsidRDefault="002B0942" w:rsidP="002B0942">
      <w:pPr>
        <w:pStyle w:val="-3"/>
        <w:spacing w:before="156" w:after="156"/>
      </w:pPr>
      <w:r>
        <w:t xml:space="preserve"> </w:t>
      </w:r>
    </w:p>
    <w:p w:rsidR="002B0942" w:rsidRDefault="002B0942" w:rsidP="002B0942">
      <w:pPr>
        <w:pStyle w:val="-"/>
        <w:ind w:firstLine="420"/>
      </w:pPr>
      <w:r>
        <w:rPr>
          <w:rFonts w:hint="eastAsia"/>
        </w:rPr>
        <w:t>本基金投资的前十名股票没有超出基金合同规定的备选股票库，本基金管理人从制度和流程上要求股票必须先入库再买入。</w:t>
      </w:r>
    </w:p>
    <w:p w:rsidR="002B0942" w:rsidRDefault="002B0942" w:rsidP="002B0942">
      <w:pPr>
        <w:pStyle w:val="-3"/>
        <w:spacing w:before="156" w:after="156"/>
      </w:pPr>
      <w:r>
        <w:rPr>
          <w:rFonts w:hint="eastAsia"/>
        </w:rPr>
        <w:t>其他资产构成</w:t>
      </w:r>
    </w:p>
    <w:p w:rsidR="002B0942" w:rsidRDefault="002B0942" w:rsidP="002B0942">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2B0942" w:rsidTr="002B0942">
        <w:trPr>
          <w:cnfStyle w:val="100000000000" w:firstRow="1" w:lastRow="0" w:firstColumn="0" w:lastColumn="0" w:oddVBand="0" w:evenVBand="0" w:oddHBand="0" w:evenHBand="0" w:firstRowFirstColumn="0" w:firstRowLastColumn="0" w:lastRowFirstColumn="0" w:lastRowLastColumn="0"/>
        </w:trPr>
        <w:tc>
          <w:tcPr>
            <w:tcW w:w="743" w:type="dxa"/>
          </w:tcPr>
          <w:p w:rsidR="002B0942" w:rsidRDefault="002B0942" w:rsidP="002B0942">
            <w:pPr>
              <w:jc w:val="center"/>
            </w:pPr>
            <w:r>
              <w:rPr>
                <w:rFonts w:hint="eastAsia"/>
              </w:rPr>
              <w:t>序号</w:t>
            </w:r>
          </w:p>
        </w:tc>
        <w:tc>
          <w:tcPr>
            <w:tcW w:w="2977" w:type="dxa"/>
          </w:tcPr>
          <w:p w:rsidR="002B0942" w:rsidRDefault="002B0942" w:rsidP="002B0942">
            <w:pPr>
              <w:jc w:val="center"/>
            </w:pPr>
            <w:r>
              <w:rPr>
                <w:rFonts w:hint="eastAsia"/>
              </w:rPr>
              <w:t>名称</w:t>
            </w:r>
          </w:p>
        </w:tc>
        <w:tc>
          <w:tcPr>
            <w:tcW w:w="4785" w:type="dxa"/>
          </w:tcPr>
          <w:p w:rsidR="002B0942" w:rsidRDefault="002B0942" w:rsidP="002B0942">
            <w:pPr>
              <w:jc w:val="center"/>
            </w:pPr>
            <w:r>
              <w:rPr>
                <w:rFonts w:hint="eastAsia"/>
              </w:rPr>
              <w:t>金额（元）</w:t>
            </w:r>
          </w:p>
        </w:tc>
      </w:tr>
      <w:tr w:rsidR="002B0942" w:rsidTr="002B0942">
        <w:tc>
          <w:tcPr>
            <w:tcW w:w="743" w:type="dxa"/>
          </w:tcPr>
          <w:p w:rsidR="002B0942" w:rsidRDefault="002B0942" w:rsidP="002B0942">
            <w:pPr>
              <w:jc w:val="center"/>
            </w:pPr>
            <w:r>
              <w:t>1</w:t>
            </w:r>
          </w:p>
        </w:tc>
        <w:tc>
          <w:tcPr>
            <w:tcW w:w="2977" w:type="dxa"/>
          </w:tcPr>
          <w:p w:rsidR="002B0942" w:rsidRDefault="002B0942" w:rsidP="002B0942">
            <w:pPr>
              <w:jc w:val="left"/>
            </w:pPr>
            <w:r>
              <w:rPr>
                <w:rFonts w:hint="eastAsia"/>
              </w:rPr>
              <w:t>存出保证金</w:t>
            </w:r>
          </w:p>
        </w:tc>
        <w:tc>
          <w:tcPr>
            <w:tcW w:w="4785" w:type="dxa"/>
          </w:tcPr>
          <w:p w:rsidR="002B0942" w:rsidRDefault="002B0942" w:rsidP="002B0942">
            <w:pPr>
              <w:jc w:val="right"/>
            </w:pPr>
            <w:r>
              <w:t>10,001,977.12</w:t>
            </w:r>
          </w:p>
        </w:tc>
      </w:tr>
      <w:tr w:rsidR="002B0942" w:rsidTr="002B0942">
        <w:tc>
          <w:tcPr>
            <w:tcW w:w="743" w:type="dxa"/>
          </w:tcPr>
          <w:p w:rsidR="002B0942" w:rsidRDefault="002B0942" w:rsidP="002B0942">
            <w:pPr>
              <w:jc w:val="center"/>
            </w:pPr>
            <w:r>
              <w:t>2</w:t>
            </w:r>
          </w:p>
        </w:tc>
        <w:tc>
          <w:tcPr>
            <w:tcW w:w="2977" w:type="dxa"/>
          </w:tcPr>
          <w:p w:rsidR="002B0942" w:rsidRDefault="002B0942" w:rsidP="002B0942">
            <w:pPr>
              <w:jc w:val="left"/>
            </w:pPr>
            <w:r>
              <w:rPr>
                <w:rFonts w:hint="eastAsia"/>
              </w:rPr>
              <w:t>应收证券清算款</w:t>
            </w:r>
          </w:p>
        </w:tc>
        <w:tc>
          <w:tcPr>
            <w:tcW w:w="4785" w:type="dxa"/>
          </w:tcPr>
          <w:p w:rsidR="002B0942" w:rsidRDefault="002B0942" w:rsidP="002B0942">
            <w:pPr>
              <w:jc w:val="right"/>
            </w:pPr>
            <w:r>
              <w:t>-</w:t>
            </w:r>
          </w:p>
        </w:tc>
      </w:tr>
      <w:tr w:rsidR="002B0942" w:rsidTr="002B0942">
        <w:tc>
          <w:tcPr>
            <w:tcW w:w="743" w:type="dxa"/>
          </w:tcPr>
          <w:p w:rsidR="002B0942" w:rsidRDefault="002B0942" w:rsidP="002B0942">
            <w:pPr>
              <w:jc w:val="center"/>
            </w:pPr>
            <w:r>
              <w:t>3</w:t>
            </w:r>
          </w:p>
        </w:tc>
        <w:tc>
          <w:tcPr>
            <w:tcW w:w="2977" w:type="dxa"/>
          </w:tcPr>
          <w:p w:rsidR="002B0942" w:rsidRDefault="002B0942" w:rsidP="002B0942">
            <w:pPr>
              <w:jc w:val="left"/>
            </w:pPr>
            <w:r>
              <w:rPr>
                <w:rFonts w:hint="eastAsia"/>
              </w:rPr>
              <w:t>应收股利</w:t>
            </w:r>
          </w:p>
        </w:tc>
        <w:tc>
          <w:tcPr>
            <w:tcW w:w="4785" w:type="dxa"/>
          </w:tcPr>
          <w:p w:rsidR="002B0942" w:rsidRDefault="002B0942" w:rsidP="002B0942">
            <w:pPr>
              <w:jc w:val="right"/>
            </w:pPr>
            <w:r>
              <w:t>919,150.15</w:t>
            </w:r>
          </w:p>
        </w:tc>
      </w:tr>
      <w:tr w:rsidR="002B0942" w:rsidTr="002B0942">
        <w:tc>
          <w:tcPr>
            <w:tcW w:w="743" w:type="dxa"/>
          </w:tcPr>
          <w:p w:rsidR="002B0942" w:rsidRDefault="002B0942" w:rsidP="002B0942">
            <w:pPr>
              <w:jc w:val="center"/>
            </w:pPr>
            <w:r>
              <w:t>4</w:t>
            </w:r>
          </w:p>
        </w:tc>
        <w:tc>
          <w:tcPr>
            <w:tcW w:w="2977" w:type="dxa"/>
          </w:tcPr>
          <w:p w:rsidR="002B0942" w:rsidRDefault="002B0942" w:rsidP="002B0942">
            <w:pPr>
              <w:jc w:val="left"/>
            </w:pPr>
            <w:r>
              <w:rPr>
                <w:rFonts w:hint="eastAsia"/>
              </w:rPr>
              <w:t>应收利息</w:t>
            </w:r>
          </w:p>
        </w:tc>
        <w:tc>
          <w:tcPr>
            <w:tcW w:w="4785" w:type="dxa"/>
          </w:tcPr>
          <w:p w:rsidR="002B0942" w:rsidRDefault="002B0942" w:rsidP="002B0942">
            <w:pPr>
              <w:jc w:val="right"/>
            </w:pPr>
            <w:r>
              <w:t>8,188.47</w:t>
            </w:r>
          </w:p>
        </w:tc>
      </w:tr>
      <w:tr w:rsidR="002B0942" w:rsidTr="002B0942">
        <w:tc>
          <w:tcPr>
            <w:tcW w:w="743" w:type="dxa"/>
          </w:tcPr>
          <w:p w:rsidR="002B0942" w:rsidRDefault="002B0942" w:rsidP="002B0942">
            <w:pPr>
              <w:jc w:val="center"/>
            </w:pPr>
            <w:r>
              <w:t>5</w:t>
            </w:r>
          </w:p>
        </w:tc>
        <w:tc>
          <w:tcPr>
            <w:tcW w:w="2977" w:type="dxa"/>
          </w:tcPr>
          <w:p w:rsidR="002B0942" w:rsidRDefault="002B0942" w:rsidP="002B0942">
            <w:pPr>
              <w:jc w:val="left"/>
            </w:pPr>
            <w:r>
              <w:rPr>
                <w:rFonts w:hint="eastAsia"/>
              </w:rPr>
              <w:t>应收申购款</w:t>
            </w:r>
          </w:p>
        </w:tc>
        <w:tc>
          <w:tcPr>
            <w:tcW w:w="4785" w:type="dxa"/>
          </w:tcPr>
          <w:p w:rsidR="002B0942" w:rsidRDefault="002B0942" w:rsidP="002B0942">
            <w:pPr>
              <w:jc w:val="right"/>
            </w:pPr>
            <w:r>
              <w:t>290,945.01</w:t>
            </w:r>
          </w:p>
        </w:tc>
      </w:tr>
      <w:tr w:rsidR="002B0942" w:rsidTr="002B0942">
        <w:tc>
          <w:tcPr>
            <w:tcW w:w="743" w:type="dxa"/>
          </w:tcPr>
          <w:p w:rsidR="002B0942" w:rsidRDefault="002B0942" w:rsidP="002B0942">
            <w:pPr>
              <w:jc w:val="center"/>
            </w:pPr>
            <w:r>
              <w:t>6</w:t>
            </w:r>
          </w:p>
        </w:tc>
        <w:tc>
          <w:tcPr>
            <w:tcW w:w="2977" w:type="dxa"/>
          </w:tcPr>
          <w:p w:rsidR="002B0942" w:rsidRDefault="002B0942" w:rsidP="002B0942">
            <w:pPr>
              <w:jc w:val="left"/>
            </w:pPr>
            <w:r>
              <w:rPr>
                <w:rFonts w:hint="eastAsia"/>
              </w:rPr>
              <w:t>其他应收款</w:t>
            </w:r>
          </w:p>
        </w:tc>
        <w:tc>
          <w:tcPr>
            <w:tcW w:w="4785" w:type="dxa"/>
          </w:tcPr>
          <w:p w:rsidR="002B0942" w:rsidRDefault="002B0942" w:rsidP="002B0942">
            <w:pPr>
              <w:jc w:val="right"/>
            </w:pPr>
            <w:r>
              <w:t>-</w:t>
            </w:r>
          </w:p>
        </w:tc>
      </w:tr>
      <w:tr w:rsidR="002B0942" w:rsidTr="002B0942">
        <w:tc>
          <w:tcPr>
            <w:tcW w:w="743" w:type="dxa"/>
          </w:tcPr>
          <w:p w:rsidR="002B0942" w:rsidRDefault="002B0942" w:rsidP="002B0942">
            <w:pPr>
              <w:jc w:val="center"/>
            </w:pPr>
            <w:r>
              <w:t>7</w:t>
            </w:r>
          </w:p>
        </w:tc>
        <w:tc>
          <w:tcPr>
            <w:tcW w:w="2977" w:type="dxa"/>
          </w:tcPr>
          <w:p w:rsidR="002B0942" w:rsidRDefault="002B0942" w:rsidP="002B0942">
            <w:pPr>
              <w:jc w:val="left"/>
            </w:pPr>
            <w:r>
              <w:rPr>
                <w:rFonts w:hint="eastAsia"/>
              </w:rPr>
              <w:t>待摊费用</w:t>
            </w:r>
          </w:p>
        </w:tc>
        <w:tc>
          <w:tcPr>
            <w:tcW w:w="4785" w:type="dxa"/>
          </w:tcPr>
          <w:p w:rsidR="002B0942" w:rsidRDefault="002B0942" w:rsidP="002B0942">
            <w:pPr>
              <w:jc w:val="right"/>
            </w:pPr>
            <w:r>
              <w:t>-</w:t>
            </w:r>
          </w:p>
        </w:tc>
      </w:tr>
      <w:tr w:rsidR="002B0942" w:rsidTr="002B0942">
        <w:tc>
          <w:tcPr>
            <w:tcW w:w="743" w:type="dxa"/>
          </w:tcPr>
          <w:p w:rsidR="002B0942" w:rsidRDefault="002B0942" w:rsidP="002B0942">
            <w:pPr>
              <w:jc w:val="center"/>
            </w:pPr>
            <w:r>
              <w:t>8</w:t>
            </w:r>
          </w:p>
        </w:tc>
        <w:tc>
          <w:tcPr>
            <w:tcW w:w="2977" w:type="dxa"/>
          </w:tcPr>
          <w:p w:rsidR="002B0942" w:rsidRDefault="002B0942" w:rsidP="002B0942">
            <w:pPr>
              <w:jc w:val="left"/>
            </w:pPr>
            <w:r>
              <w:rPr>
                <w:rFonts w:hint="eastAsia"/>
              </w:rPr>
              <w:t>其他</w:t>
            </w:r>
          </w:p>
        </w:tc>
        <w:tc>
          <w:tcPr>
            <w:tcW w:w="4785" w:type="dxa"/>
          </w:tcPr>
          <w:p w:rsidR="002B0942" w:rsidRDefault="002B0942" w:rsidP="002B0942">
            <w:pPr>
              <w:jc w:val="right"/>
            </w:pPr>
            <w:r>
              <w:t>-</w:t>
            </w:r>
          </w:p>
        </w:tc>
      </w:tr>
      <w:tr w:rsidR="002B0942" w:rsidTr="002B0942">
        <w:tc>
          <w:tcPr>
            <w:tcW w:w="743" w:type="dxa"/>
          </w:tcPr>
          <w:p w:rsidR="002B0942" w:rsidRDefault="002B0942" w:rsidP="002B0942">
            <w:pPr>
              <w:jc w:val="center"/>
            </w:pPr>
            <w:r>
              <w:t>9</w:t>
            </w:r>
          </w:p>
        </w:tc>
        <w:tc>
          <w:tcPr>
            <w:tcW w:w="2977" w:type="dxa"/>
          </w:tcPr>
          <w:p w:rsidR="002B0942" w:rsidRDefault="002B0942" w:rsidP="002B0942">
            <w:pPr>
              <w:jc w:val="left"/>
            </w:pPr>
            <w:r>
              <w:rPr>
                <w:rFonts w:hint="eastAsia"/>
              </w:rPr>
              <w:t>合计</w:t>
            </w:r>
          </w:p>
        </w:tc>
        <w:tc>
          <w:tcPr>
            <w:tcW w:w="4785" w:type="dxa"/>
          </w:tcPr>
          <w:p w:rsidR="002B0942" w:rsidRDefault="002B0942" w:rsidP="002B0942">
            <w:pPr>
              <w:jc w:val="right"/>
            </w:pPr>
            <w:r>
              <w:t>11,220,260.75</w:t>
            </w:r>
          </w:p>
        </w:tc>
      </w:tr>
    </w:tbl>
    <w:p w:rsidR="002B0942" w:rsidRDefault="002B0942" w:rsidP="002B0942">
      <w:pPr>
        <w:pStyle w:val="-3"/>
        <w:spacing w:before="156" w:after="156"/>
      </w:pPr>
      <w:r>
        <w:rPr>
          <w:rFonts w:hint="eastAsia"/>
        </w:rPr>
        <w:t>报告期末持有的处于转股期的可转换债券明细</w:t>
      </w:r>
    </w:p>
    <w:p w:rsidR="002B0942" w:rsidRDefault="002B0942" w:rsidP="002B0942">
      <w:pPr>
        <w:pStyle w:val="-"/>
        <w:ind w:firstLine="420"/>
      </w:pPr>
      <w:r>
        <w:rPr>
          <w:rFonts w:hint="eastAsia"/>
        </w:rPr>
        <w:lastRenderedPageBreak/>
        <w:t>本基金本报告期末未持有处于转股期的可转换债券。</w:t>
      </w:r>
    </w:p>
    <w:p w:rsidR="002B0942" w:rsidRDefault="002B0942" w:rsidP="002B0942">
      <w:pPr>
        <w:pStyle w:val="-3"/>
        <w:spacing w:before="156" w:after="156"/>
      </w:pPr>
      <w:r>
        <w:rPr>
          <w:rFonts w:hint="eastAsia"/>
        </w:rPr>
        <w:t>报告期末前十名股票中存在流通受限情况的说明</w:t>
      </w:r>
    </w:p>
    <w:p w:rsidR="002B0942" w:rsidRDefault="002B0942" w:rsidP="002B0942">
      <w:pPr>
        <w:pStyle w:val="-"/>
        <w:ind w:firstLine="420"/>
      </w:pPr>
      <w:r>
        <w:rPr>
          <w:rFonts w:hint="eastAsia"/>
        </w:rPr>
        <w:t>本基金本报告期末投资前十名股票中不存在流通受限情况。</w:t>
      </w:r>
    </w:p>
    <w:p w:rsidR="002B0942" w:rsidRDefault="002B0942" w:rsidP="002B0942">
      <w:pPr>
        <w:pStyle w:val="-1"/>
        <w:ind w:left="281" w:hanging="281"/>
      </w:pPr>
      <w:r>
        <w:rPr>
          <w:rFonts w:hint="eastAsia"/>
        </w:rPr>
        <w:t>开放式基金份额变动</w:t>
      </w:r>
    </w:p>
    <w:p w:rsidR="002B0942" w:rsidRDefault="002B0942" w:rsidP="002B0942">
      <w:pPr>
        <w:jc w:val="right"/>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2B0942" w:rsidTr="002B0942">
        <w:tc>
          <w:tcPr>
            <w:tcW w:w="5670" w:type="dxa"/>
          </w:tcPr>
          <w:p w:rsidR="002B0942" w:rsidRDefault="002B0942" w:rsidP="002B0942">
            <w:pPr>
              <w:jc w:val="left"/>
            </w:pPr>
            <w:r>
              <w:rPr>
                <w:rFonts w:hint="eastAsia"/>
              </w:rPr>
              <w:t>报告期期初基金份额总额</w:t>
            </w:r>
          </w:p>
        </w:tc>
        <w:tc>
          <w:tcPr>
            <w:tcW w:w="2835" w:type="dxa"/>
          </w:tcPr>
          <w:p w:rsidR="002B0942" w:rsidRDefault="002B0942" w:rsidP="002B0942">
            <w:pPr>
              <w:jc w:val="right"/>
            </w:pPr>
            <w:r>
              <w:t>2,971,271,041.08</w:t>
            </w:r>
          </w:p>
        </w:tc>
      </w:tr>
      <w:tr w:rsidR="002B0942" w:rsidTr="002B0942">
        <w:tc>
          <w:tcPr>
            <w:tcW w:w="5670" w:type="dxa"/>
          </w:tcPr>
          <w:p w:rsidR="002B0942" w:rsidRDefault="002B0942" w:rsidP="002B0942">
            <w:pPr>
              <w:jc w:val="left"/>
            </w:pPr>
            <w:r>
              <w:rPr>
                <w:rFonts w:hint="eastAsia"/>
              </w:rPr>
              <w:t>报告期期间基金总申购份额</w:t>
            </w:r>
          </w:p>
        </w:tc>
        <w:tc>
          <w:tcPr>
            <w:tcW w:w="2835" w:type="dxa"/>
          </w:tcPr>
          <w:p w:rsidR="002B0942" w:rsidRDefault="002B0942" w:rsidP="002B0942">
            <w:pPr>
              <w:jc w:val="right"/>
            </w:pPr>
            <w:r>
              <w:t>9,135,389.23</w:t>
            </w:r>
          </w:p>
        </w:tc>
      </w:tr>
      <w:tr w:rsidR="002B0942" w:rsidTr="002B0942">
        <w:tc>
          <w:tcPr>
            <w:tcW w:w="5670" w:type="dxa"/>
          </w:tcPr>
          <w:p w:rsidR="002B0942" w:rsidRDefault="002B0942" w:rsidP="002B0942">
            <w:pPr>
              <w:jc w:val="left"/>
            </w:pPr>
            <w:r>
              <w:rPr>
                <w:rFonts w:hint="eastAsia"/>
              </w:rPr>
              <w:t>减：报告期期间基金总赎回份额</w:t>
            </w:r>
          </w:p>
        </w:tc>
        <w:tc>
          <w:tcPr>
            <w:tcW w:w="2835" w:type="dxa"/>
          </w:tcPr>
          <w:p w:rsidR="002B0942" w:rsidRDefault="002B0942" w:rsidP="002B0942">
            <w:pPr>
              <w:jc w:val="right"/>
            </w:pPr>
            <w:r>
              <w:t>443,413,416.44</w:t>
            </w:r>
          </w:p>
        </w:tc>
      </w:tr>
      <w:tr w:rsidR="002B0942" w:rsidTr="002B0942">
        <w:tc>
          <w:tcPr>
            <w:tcW w:w="5670" w:type="dxa"/>
          </w:tcPr>
          <w:p w:rsidR="002B0942" w:rsidRDefault="002B0942" w:rsidP="002B0942">
            <w:pPr>
              <w:jc w:val="left"/>
            </w:pPr>
            <w:r>
              <w:rPr>
                <w:rFonts w:hint="eastAsia"/>
              </w:rPr>
              <w:t>报告期期间基金拆分变动份额（份额减少以</w:t>
            </w:r>
            <w:r>
              <w:rPr>
                <w:rFonts w:hint="eastAsia"/>
              </w:rPr>
              <w:t>"-"</w:t>
            </w:r>
            <w:r>
              <w:rPr>
                <w:rFonts w:hint="eastAsia"/>
              </w:rPr>
              <w:t>填列）</w:t>
            </w:r>
          </w:p>
        </w:tc>
        <w:tc>
          <w:tcPr>
            <w:tcW w:w="2835" w:type="dxa"/>
          </w:tcPr>
          <w:p w:rsidR="002B0942" w:rsidRDefault="002B0942" w:rsidP="002B0942">
            <w:pPr>
              <w:jc w:val="right"/>
            </w:pPr>
            <w:r>
              <w:t>-</w:t>
            </w:r>
          </w:p>
        </w:tc>
      </w:tr>
      <w:tr w:rsidR="002B0942" w:rsidTr="002B0942">
        <w:tc>
          <w:tcPr>
            <w:tcW w:w="5670" w:type="dxa"/>
          </w:tcPr>
          <w:p w:rsidR="002B0942" w:rsidRDefault="002B0942" w:rsidP="002B0942">
            <w:pPr>
              <w:jc w:val="left"/>
            </w:pPr>
            <w:r>
              <w:rPr>
                <w:rFonts w:hint="eastAsia"/>
              </w:rPr>
              <w:t>报告期期末基金份额总额</w:t>
            </w:r>
          </w:p>
        </w:tc>
        <w:tc>
          <w:tcPr>
            <w:tcW w:w="2835" w:type="dxa"/>
          </w:tcPr>
          <w:p w:rsidR="002B0942" w:rsidRDefault="002B0942" w:rsidP="002B0942">
            <w:pPr>
              <w:jc w:val="right"/>
            </w:pPr>
            <w:r>
              <w:t>2,536,993,013.87</w:t>
            </w:r>
          </w:p>
        </w:tc>
      </w:tr>
    </w:tbl>
    <w:p w:rsidR="002B0942" w:rsidRDefault="002B0942" w:rsidP="002B0942">
      <w:pPr>
        <w:pStyle w:val="-1"/>
        <w:ind w:left="281" w:hanging="281"/>
      </w:pPr>
      <w:r>
        <w:rPr>
          <w:rFonts w:hint="eastAsia"/>
        </w:rPr>
        <w:t>基金管理人运用固有资金投资本基金情况</w:t>
      </w:r>
    </w:p>
    <w:p w:rsidR="002B0942" w:rsidRDefault="002B0942" w:rsidP="002B0942">
      <w:pPr>
        <w:pStyle w:val="-2"/>
        <w:spacing w:before="312"/>
      </w:pPr>
      <w:r>
        <w:rPr>
          <w:rFonts w:hint="eastAsia"/>
        </w:rPr>
        <w:t>基金管理人持有本基金份额变动情况</w:t>
      </w:r>
    </w:p>
    <w:p w:rsidR="002B0942" w:rsidRDefault="002B0942" w:rsidP="002B0942">
      <w:pPr>
        <w:pStyle w:val="-"/>
        <w:ind w:firstLine="420"/>
      </w:pPr>
      <w:r>
        <w:rPr>
          <w:rFonts w:hint="eastAsia"/>
        </w:rPr>
        <w:t>本报告期末，基金管理人未持有本基金份额。</w:t>
      </w:r>
    </w:p>
    <w:p w:rsidR="002B0942" w:rsidRDefault="002B0942" w:rsidP="002B0942">
      <w:pPr>
        <w:pStyle w:val="-2"/>
        <w:spacing w:before="312"/>
      </w:pPr>
      <w:r>
        <w:rPr>
          <w:rFonts w:hint="eastAsia"/>
        </w:rPr>
        <w:t>基金管理人运用固有资金投资本基金交易明细</w:t>
      </w:r>
    </w:p>
    <w:p w:rsidR="002B0942" w:rsidRDefault="002B0942" w:rsidP="002B0942">
      <w:pPr>
        <w:pStyle w:val="-"/>
        <w:ind w:firstLine="420"/>
      </w:pPr>
      <w:r>
        <w:rPr>
          <w:rFonts w:hint="eastAsia"/>
        </w:rPr>
        <w:t>本报告期内，基金管理人不存在申购、赎回或买卖本基金的情况。</w:t>
      </w:r>
    </w:p>
    <w:p w:rsidR="002B0942" w:rsidRDefault="002B0942" w:rsidP="002B0942">
      <w:pPr>
        <w:pStyle w:val="-1"/>
        <w:ind w:left="281" w:hanging="281"/>
      </w:pPr>
      <w:r>
        <w:rPr>
          <w:rFonts w:hint="eastAsia"/>
        </w:rPr>
        <w:t>影响投资者决策的其他重要信息</w:t>
      </w:r>
    </w:p>
    <w:p w:rsidR="002B0942" w:rsidRDefault="002B0942" w:rsidP="002B0942">
      <w:pPr>
        <w:pStyle w:val="-2"/>
        <w:spacing w:before="312"/>
      </w:pPr>
      <w:r>
        <w:rPr>
          <w:rFonts w:hint="eastAsia"/>
        </w:rPr>
        <w:t>报告期内单一投资者持有基金份额比例达到或超过20%的情况</w:t>
      </w:r>
    </w:p>
    <w:p w:rsidR="002B0942" w:rsidRDefault="002B0942" w:rsidP="002B0942">
      <w:pPr>
        <w:pStyle w:val="-"/>
        <w:ind w:firstLine="420"/>
      </w:pPr>
      <w:r>
        <w:rPr>
          <w:rFonts w:hint="eastAsia"/>
        </w:rPr>
        <w:t>报告期内单一投资者持有基金份额比例不存在达到或超过20%的情况。</w:t>
      </w:r>
    </w:p>
    <w:p w:rsidR="002B0942" w:rsidRDefault="002B0942" w:rsidP="002B0942">
      <w:pPr>
        <w:pStyle w:val="-2"/>
        <w:spacing w:before="312"/>
      </w:pPr>
      <w:r>
        <w:rPr>
          <w:rFonts w:hint="eastAsia"/>
        </w:rPr>
        <w:t>影响投资者决策的其他重要信息</w:t>
      </w:r>
    </w:p>
    <w:p w:rsidR="002B0942" w:rsidRDefault="002B0942" w:rsidP="002B0942">
      <w:pPr>
        <w:pStyle w:val="-"/>
        <w:ind w:firstLine="420"/>
      </w:pPr>
      <w:r>
        <w:rPr>
          <w:rFonts w:hint="eastAsia"/>
        </w:rPr>
        <w:t>无。</w:t>
      </w:r>
    </w:p>
    <w:p w:rsidR="002B0942" w:rsidRDefault="002B0942" w:rsidP="002B0942">
      <w:pPr>
        <w:pStyle w:val="-1"/>
        <w:ind w:left="281" w:hanging="281"/>
      </w:pPr>
      <w:r>
        <w:rPr>
          <w:rFonts w:hint="eastAsia"/>
        </w:rPr>
        <w:t>备查文件目录</w:t>
      </w:r>
    </w:p>
    <w:p w:rsidR="002B0942" w:rsidRDefault="002B0942" w:rsidP="002B0942">
      <w:pPr>
        <w:pStyle w:val="-2"/>
        <w:spacing w:before="312"/>
      </w:pPr>
      <w:r>
        <w:rPr>
          <w:rFonts w:hint="eastAsia"/>
        </w:rPr>
        <w:t>备查文件目录</w:t>
      </w:r>
    </w:p>
    <w:p w:rsidR="002B0942" w:rsidRDefault="002B0942" w:rsidP="002B0942">
      <w:pPr>
        <w:pStyle w:val="-"/>
        <w:ind w:firstLine="420"/>
      </w:pPr>
      <w:r>
        <w:rPr>
          <w:rFonts w:hint="eastAsia"/>
        </w:rPr>
        <w:t>1、《南方全球精选配置证券投资基金基金合同》；</w:t>
      </w:r>
    </w:p>
    <w:p w:rsidR="002B0942" w:rsidRDefault="002B0942" w:rsidP="002B0942">
      <w:pPr>
        <w:pStyle w:val="-"/>
        <w:ind w:firstLine="420"/>
      </w:pPr>
      <w:r>
        <w:rPr>
          <w:rFonts w:hint="eastAsia"/>
        </w:rPr>
        <w:lastRenderedPageBreak/>
        <w:t>2、《南方全球精选配置证券投资基金托管协议》；</w:t>
      </w:r>
    </w:p>
    <w:p w:rsidR="002B0942" w:rsidRDefault="002B0942" w:rsidP="002B0942">
      <w:pPr>
        <w:pStyle w:val="-"/>
        <w:ind w:firstLine="420"/>
      </w:pPr>
      <w:r>
        <w:rPr>
          <w:rFonts w:hint="eastAsia"/>
        </w:rPr>
        <w:t>3、南方全球精选配置证券投资基金2020年3季度报告原文。</w:t>
      </w:r>
    </w:p>
    <w:p w:rsidR="002B0942" w:rsidRDefault="002B0942" w:rsidP="002B0942">
      <w:pPr>
        <w:pStyle w:val="-2"/>
        <w:spacing w:before="312"/>
      </w:pPr>
      <w:r>
        <w:rPr>
          <w:rFonts w:hint="eastAsia"/>
        </w:rPr>
        <w:t>存放地点</w:t>
      </w:r>
    </w:p>
    <w:p w:rsidR="002B0942" w:rsidRDefault="002B0942" w:rsidP="002B0942">
      <w:pPr>
        <w:pStyle w:val="-"/>
        <w:ind w:firstLine="420"/>
      </w:pPr>
      <w:r>
        <w:rPr>
          <w:rFonts w:hint="eastAsia"/>
        </w:rPr>
        <w:t>深圳市福田区莲花街道益田路5999号基金大厦32-42楼。</w:t>
      </w:r>
    </w:p>
    <w:p w:rsidR="002B0942" w:rsidRDefault="002B0942" w:rsidP="002B0942">
      <w:pPr>
        <w:pStyle w:val="-2"/>
        <w:spacing w:before="312"/>
      </w:pPr>
      <w:r>
        <w:rPr>
          <w:rFonts w:hint="eastAsia"/>
        </w:rPr>
        <w:t>查阅方式</w:t>
      </w:r>
    </w:p>
    <w:p w:rsidR="002B0942" w:rsidRDefault="002B0942" w:rsidP="002B0942">
      <w:pPr>
        <w:pStyle w:val="-"/>
        <w:ind w:firstLine="420"/>
      </w:pPr>
      <w:r>
        <w:rPr>
          <w:rFonts w:hint="eastAsia"/>
        </w:rPr>
        <w:t>网站：http://www.nffund.com</w:t>
      </w:r>
    </w:p>
    <w:p w:rsidR="002B0942" w:rsidRDefault="002B0942" w:rsidP="002B0942">
      <w:pPr>
        <w:pStyle w:val="-"/>
        <w:ind w:firstLine="420"/>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42" w:rsidRDefault="002B0942" w:rsidP="00D17C56">
      <w:r>
        <w:separator/>
      </w:r>
    </w:p>
  </w:endnote>
  <w:endnote w:type="continuationSeparator" w:id="0">
    <w:p w:rsidR="002B0942" w:rsidRDefault="002B0942"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Semilight"/>
    <w:panose1 w:val="020F0302020204030204"/>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942" w:rsidRDefault="002B09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A74702" w:rsidRPr="00A74702">
      <w:rPr>
        <w:rFonts w:ascii="宋体" w:hAnsi="宋体"/>
        <w:bCs/>
        <w:noProof/>
        <w:lang w:val="zh-CN"/>
      </w:rPr>
      <w:t>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A74702">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A74702">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942" w:rsidRDefault="002B09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42" w:rsidRDefault="002B0942" w:rsidP="00D17C56">
      <w:r>
        <w:separator/>
      </w:r>
    </w:p>
  </w:footnote>
  <w:footnote w:type="continuationSeparator" w:id="0">
    <w:p w:rsidR="002B0942" w:rsidRDefault="002B0942"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942" w:rsidRDefault="002B094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2B0942" w:rsidP="00AE3F5B">
    <w:pPr>
      <w:pStyle w:val="a7"/>
      <w:pBdr>
        <w:bottom w:val="single" w:sz="4" w:space="1" w:color="auto"/>
      </w:pBdr>
      <w:jc w:val="right"/>
    </w:pPr>
    <w:r>
      <w:rPr>
        <w:rFonts w:hint="eastAsia"/>
      </w:rPr>
      <w:t>南方全球精选配置证券投资基金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0F11D2"/>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0942"/>
    <w:rsid w:val="002B191A"/>
    <w:rsid w:val="002C0575"/>
    <w:rsid w:val="00300A78"/>
    <w:rsid w:val="00321580"/>
    <w:rsid w:val="003433CF"/>
    <w:rsid w:val="00377AC4"/>
    <w:rsid w:val="003C0F9E"/>
    <w:rsid w:val="00425AEE"/>
    <w:rsid w:val="00434355"/>
    <w:rsid w:val="0044118E"/>
    <w:rsid w:val="0044723E"/>
    <w:rsid w:val="00457B76"/>
    <w:rsid w:val="00491C2B"/>
    <w:rsid w:val="004A3B54"/>
    <w:rsid w:val="004A57DB"/>
    <w:rsid w:val="004B29EB"/>
    <w:rsid w:val="004B41FD"/>
    <w:rsid w:val="004B6CA1"/>
    <w:rsid w:val="004B7673"/>
    <w:rsid w:val="004E571F"/>
    <w:rsid w:val="00532A63"/>
    <w:rsid w:val="00544CE0"/>
    <w:rsid w:val="005805A4"/>
    <w:rsid w:val="00590F36"/>
    <w:rsid w:val="005A028D"/>
    <w:rsid w:val="005B22CA"/>
    <w:rsid w:val="005C29BB"/>
    <w:rsid w:val="005C314A"/>
    <w:rsid w:val="005C4F6F"/>
    <w:rsid w:val="005C6D52"/>
    <w:rsid w:val="005D489A"/>
    <w:rsid w:val="005E47F6"/>
    <w:rsid w:val="0061364E"/>
    <w:rsid w:val="00622588"/>
    <w:rsid w:val="0063383B"/>
    <w:rsid w:val="0066091F"/>
    <w:rsid w:val="00666AF5"/>
    <w:rsid w:val="006760FB"/>
    <w:rsid w:val="00685A42"/>
    <w:rsid w:val="006A2E19"/>
    <w:rsid w:val="006C1E63"/>
    <w:rsid w:val="006D580F"/>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7470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 w:type="paragraph" w:styleId="af">
    <w:name w:val="Balloon Text"/>
    <w:basedOn w:val="a"/>
    <w:link w:val="af0"/>
    <w:semiHidden/>
    <w:unhideWhenUsed/>
    <w:rsid w:val="005E47F6"/>
    <w:rPr>
      <w:sz w:val="18"/>
      <w:szCs w:val="18"/>
    </w:rPr>
  </w:style>
  <w:style w:type="character" w:customStyle="1" w:styleId="af0">
    <w:name w:val="批注框文本 字符"/>
    <w:basedOn w:val="a0"/>
    <w:link w:val="af"/>
    <w:semiHidden/>
    <w:rsid w:val="005E47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784C1-8A6A-493D-8E7B-197EC151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1416</Words>
  <Characters>8074</Characters>
  <Application>Microsoft Office Word</Application>
  <DocSecurity>0</DocSecurity>
  <Lines>67</Lines>
  <Paragraphs>18</Paragraphs>
  <ScaleCrop>false</ScaleCrop>
  <Company>MC SYSTEM</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 </cp:lastModifiedBy>
  <cp:revision>7</cp:revision>
  <cp:lastPrinted>2020-10-27T06:51:00Z</cp:lastPrinted>
  <dcterms:created xsi:type="dcterms:W3CDTF">2020-10-22T11:02:00Z</dcterms:created>
  <dcterms:modified xsi:type="dcterms:W3CDTF">2020-10-27T06:55:00Z</dcterms:modified>
</cp:coreProperties>
</file>