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420"/>
      </w:pPr>
    </w:p>
    <w:p>
      <w:pPr>
        <w:jc w:val="center"/>
        <w:rPr>
          <w:rFonts w:ascii="宋体" w:hAnsi="宋体"/>
          <w:b/>
          <w:bCs/>
          <w:sz w:val="28"/>
          <w:szCs w:val="30"/>
        </w:rPr>
      </w:pPr>
    </w:p>
    <w:p>
      <w:pPr>
        <w:jc w:val="center"/>
        <w:rPr>
          <w:rFonts w:ascii="宋体" w:hAnsi="宋体"/>
          <w:b/>
          <w:bCs/>
          <w:sz w:val="48"/>
          <w:szCs w:val="30"/>
        </w:rPr>
      </w:pPr>
      <w:r>
        <w:rPr>
          <w:rFonts w:ascii="宋体" w:hAnsi="宋体"/>
          <w:b/>
          <w:bCs/>
          <w:sz w:val="48"/>
          <w:szCs w:val="30"/>
        </w:rPr>
        <w:t xml:space="preserve"> </w:t>
      </w:r>
      <w:r>
        <w:rPr>
          <w:rFonts w:hint="eastAsia" w:ascii="宋体" w:hAnsi="宋体"/>
          <w:b/>
          <w:bCs/>
          <w:sz w:val="48"/>
          <w:szCs w:val="30"/>
        </w:rPr>
        <w:t>南方道琼斯美国精选</w:t>
      </w:r>
      <w:r>
        <w:rPr>
          <w:rFonts w:ascii="宋体" w:hAnsi="宋体"/>
          <w:b/>
          <w:bCs/>
          <w:sz w:val="48"/>
          <w:szCs w:val="30"/>
        </w:rPr>
        <w:t>REIT指数证券投资基金2020年第3季度报告</w:t>
      </w:r>
    </w:p>
    <w:p>
      <w:pPr>
        <w:jc w:val="center"/>
        <w:rPr>
          <w:rFonts w:ascii="宋体" w:hAnsi="宋体"/>
          <w:b/>
          <w:bCs/>
          <w:sz w:val="48"/>
          <w:szCs w:val="30"/>
        </w:rPr>
      </w:pPr>
      <w:bookmarkStart w:id="0" w:name="OLE_LINK2"/>
      <w:bookmarkStart w:id="1" w:name="OLE_LINK1"/>
    </w:p>
    <w:p>
      <w:pPr>
        <w:jc w:val="center"/>
        <w:rPr>
          <w:rFonts w:ascii="宋体" w:hAnsi="宋体"/>
          <w:b/>
          <w:bCs/>
          <w:sz w:val="28"/>
          <w:szCs w:val="30"/>
        </w:rPr>
      </w:pPr>
    </w:p>
    <w:bookmarkEnd w:id="0"/>
    <w:bookmarkEnd w:id="1"/>
    <w:p>
      <w:pPr>
        <w:jc w:val="center"/>
        <w:rPr>
          <w:rFonts w:ascii="宋体" w:hAnsi="宋体"/>
          <w:b/>
          <w:bCs/>
          <w:sz w:val="28"/>
          <w:szCs w:val="30"/>
        </w:rPr>
      </w:pPr>
      <w:r>
        <w:rPr>
          <w:rFonts w:ascii="宋体" w:hAnsi="宋体"/>
          <w:b/>
          <w:bCs/>
          <w:sz w:val="28"/>
          <w:szCs w:val="30"/>
        </w:rPr>
        <w:t>2020年09月30日</w:t>
      </w: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jc w:val="center"/>
        <w:rPr>
          <w:rFonts w:ascii="宋体" w:hAnsi="宋体"/>
          <w:sz w:val="28"/>
          <w:szCs w:val="30"/>
        </w:rPr>
      </w:pPr>
    </w:p>
    <w:p>
      <w:pPr>
        <w:ind w:firstLine="1687" w:firstLineChars="600"/>
        <w:rPr>
          <w:rFonts w:ascii="宋体" w:hAnsi="宋体"/>
          <w:b/>
          <w:bCs/>
          <w:sz w:val="28"/>
          <w:szCs w:val="30"/>
        </w:rPr>
      </w:pPr>
      <w:r>
        <w:rPr>
          <w:rFonts w:hint="eastAsia" w:ascii="宋体" w:hAnsi="宋体"/>
          <w:b/>
          <w:bCs/>
          <w:sz w:val="28"/>
          <w:szCs w:val="30"/>
        </w:rPr>
        <w:t>基金管理人：南方基金管理股份有限公司</w:t>
      </w:r>
      <w:r>
        <w:rPr>
          <w:rFonts w:ascii="宋体" w:hAnsi="宋体"/>
          <w:b/>
          <w:bCs/>
          <w:sz w:val="28"/>
          <w:szCs w:val="30"/>
        </w:rPr>
        <w:t xml:space="preserve"> </w:t>
      </w:r>
    </w:p>
    <w:p>
      <w:pPr>
        <w:ind w:firstLine="1687" w:firstLineChars="600"/>
        <w:rPr>
          <w:rFonts w:ascii="宋体" w:hAnsi="宋体"/>
          <w:b/>
          <w:bCs/>
          <w:sz w:val="28"/>
          <w:szCs w:val="30"/>
        </w:rPr>
      </w:pPr>
      <w:r>
        <w:rPr>
          <w:rFonts w:hint="eastAsia" w:ascii="宋体" w:hAnsi="宋体"/>
          <w:b/>
          <w:bCs/>
          <w:sz w:val="28"/>
          <w:szCs w:val="30"/>
        </w:rPr>
        <w:t>基金托管人：中国工商银行股份有限公司</w:t>
      </w:r>
      <w:r>
        <w:rPr>
          <w:rFonts w:ascii="宋体" w:hAnsi="宋体"/>
          <w:b/>
          <w:bCs/>
          <w:sz w:val="28"/>
          <w:szCs w:val="30"/>
        </w:rPr>
        <w:t xml:space="preserve"> </w:t>
      </w:r>
    </w:p>
    <w:p>
      <w:pPr>
        <w:ind w:firstLine="1687" w:firstLineChars="600"/>
        <w:rPr>
          <w:rFonts w:ascii="宋体" w:hAnsi="宋体"/>
          <w:b/>
          <w:bCs/>
          <w:sz w:val="28"/>
          <w:szCs w:val="30"/>
        </w:rPr>
      </w:pPr>
      <w:r>
        <w:rPr>
          <w:rFonts w:hint="eastAsia" w:ascii="宋体" w:hAnsi="宋体"/>
          <w:b/>
          <w:bCs/>
          <w:sz w:val="28"/>
          <w:szCs w:val="30"/>
        </w:rPr>
        <w:t>送出日期：</w:t>
      </w:r>
      <w:r>
        <w:rPr>
          <w:rFonts w:ascii="宋体" w:hAnsi="宋体"/>
          <w:b/>
          <w:bCs/>
          <w:sz w:val="28"/>
          <w:szCs w:val="30"/>
        </w:rPr>
        <w:t xml:space="preserve">2020年10月28日 </w:t>
      </w:r>
    </w:p>
    <w:p>
      <w:pPr>
        <w:ind w:firstLine="1687" w:firstLineChars="600"/>
        <w:rPr>
          <w:rFonts w:ascii="宋体" w:hAnsi="宋体"/>
          <w:b/>
          <w:bCs/>
          <w:sz w:val="28"/>
          <w:szCs w:val="30"/>
        </w:rPr>
      </w:pPr>
    </w:p>
    <w:p>
      <w:pPr>
        <w:pStyle w:val="25"/>
        <w:ind w:left="281" w:hanging="281"/>
        <w:rPr>
          <w:rFonts w:hint="eastAsia"/>
        </w:rPr>
      </w:pPr>
      <w:r>
        <w:br w:type="page"/>
      </w:r>
      <w:r>
        <w:rPr>
          <w:rFonts w:hint="eastAsia"/>
        </w:rPr>
        <w:t>重要提示</w:t>
      </w:r>
    </w:p>
    <w:p>
      <w:pPr>
        <w:pStyle w:val="17"/>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pPr>
        <w:pStyle w:val="17"/>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pPr>
        <w:pStyle w:val="17"/>
        <w:ind w:firstLine="420"/>
        <w:rPr>
          <w:rFonts w:hint="eastAsia"/>
        </w:rPr>
      </w:pPr>
      <w:r>
        <w:rPr>
          <w:rFonts w:hint="eastAsia"/>
        </w:rPr>
        <w:t>基金管理人承诺以诚实信用、勤勉尽责的原则管理和运用基金资产，但不保证基金一定盈利。</w:t>
      </w:r>
    </w:p>
    <w:p>
      <w:pPr>
        <w:pStyle w:val="17"/>
        <w:ind w:firstLine="420"/>
        <w:rPr>
          <w:rFonts w:hint="eastAsia"/>
        </w:rPr>
      </w:pPr>
      <w:r>
        <w:rPr>
          <w:rFonts w:hint="eastAsia"/>
        </w:rPr>
        <w:t>基金的过往业绩并不代表其未来表现。投资有风险，投资者在作出投资决策前应仔细阅读本基金的招募说明书。</w:t>
      </w:r>
    </w:p>
    <w:p>
      <w:pPr>
        <w:pStyle w:val="17"/>
        <w:ind w:firstLine="420"/>
        <w:rPr>
          <w:rFonts w:hint="eastAsia"/>
        </w:rPr>
      </w:pPr>
      <w:r>
        <w:rPr>
          <w:rFonts w:hint="eastAsia"/>
        </w:rPr>
        <w:t>本报告中财务资料未经审计。</w:t>
      </w:r>
    </w:p>
    <w:p>
      <w:pPr>
        <w:pStyle w:val="17"/>
        <w:ind w:firstLine="420"/>
        <w:rPr>
          <w:rFonts w:hint="eastAsia"/>
        </w:rPr>
      </w:pPr>
      <w:r>
        <w:rPr>
          <w:rFonts w:hint="eastAsia"/>
        </w:rPr>
        <w:t>本报告期自2020年7月1日起至9月30日止。</w:t>
      </w:r>
    </w:p>
    <w:p>
      <w:pPr>
        <w:pStyle w:val="25"/>
        <w:ind w:left="281" w:hanging="281"/>
        <w:rPr>
          <w:rFonts w:hint="eastAsia"/>
        </w:rPr>
      </w:pPr>
      <w:r>
        <w:rPr>
          <w:rFonts w:hint="eastAsia"/>
        </w:rPr>
        <w:t>基金产品概况</w:t>
      </w:r>
    </w:p>
    <w:p>
      <w:pPr>
        <w:pStyle w:val="22"/>
        <w:spacing w:before="312"/>
        <w:rPr>
          <w:rFonts w:hint="eastAsia"/>
        </w:rPr>
      </w:pPr>
      <w:r>
        <w:rPr>
          <w:rFonts w:hint="eastAsia"/>
        </w:rPr>
        <w:t>基金基本情况</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基金简称</w:t>
            </w:r>
          </w:p>
        </w:tc>
        <w:tc>
          <w:tcPr>
            <w:gridSpan w:val="2"/>
            <w:vAlign w:val="center"/>
          </w:tcPr>
          <w:p>
            <w:pPr>
              <w:jc w:val="left"/>
              <w:rPr>
                <w:rFonts w:hint="eastAsia"/>
              </w:rPr>
            </w:pPr>
            <w:r>
              <w:rPr>
                <w:rFonts w:hint="eastAsia"/>
              </w:rPr>
              <w:t>南方道琼斯美国精选REIT指数(QDII-LOF)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场内简称</w:t>
            </w:r>
          </w:p>
        </w:tc>
        <w:tc>
          <w:tcPr>
            <w:gridSpan w:val="2"/>
            <w:vAlign w:val="center"/>
          </w:tcPr>
          <w:p>
            <w:pPr>
              <w:jc w:val="left"/>
              <w:rPr>
                <w:rFonts w:hint="eastAsia"/>
              </w:rPr>
            </w:pPr>
            <w:r>
              <w:rPr>
                <w:rFonts w:hint="eastAsia"/>
              </w:rPr>
              <w:t>美国REIT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基金主代码</w:t>
            </w:r>
          </w:p>
        </w:tc>
        <w:tc>
          <w:tcPr>
            <w:gridSpan w:val="2"/>
            <w:vAlign w:val="center"/>
          </w:tcPr>
          <w:p>
            <w:pPr>
              <w:jc w:val="left"/>
              <w:rPr>
                <w:rFonts w:hint="eastAsia"/>
              </w:rPr>
            </w:pPr>
            <w:r>
              <w:t>160140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交易代码</w:t>
            </w:r>
          </w:p>
        </w:tc>
        <w:tc>
          <w:tcPr>
            <w:gridSpan w:val="2"/>
            <w:vAlign w:val="center"/>
          </w:tcPr>
          <w:p>
            <w:pPr>
              <w:jc w:val="left"/>
              <w:rPr>
                <w:rFonts w:hint="eastAsia"/>
              </w:rPr>
            </w:pPr>
            <w:r>
              <w:t>160140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基金运作方式</w:t>
            </w:r>
          </w:p>
        </w:tc>
        <w:tc>
          <w:tcPr>
            <w:gridSpan w:val="2"/>
            <w:vAlign w:val="center"/>
          </w:tcPr>
          <w:p>
            <w:pPr>
              <w:jc w:val="left"/>
              <w:rPr>
                <w:rFonts w:hint="eastAsia"/>
              </w:rPr>
            </w:pPr>
            <w:r>
              <w:rPr>
                <w:rFonts w:hint="eastAsia"/>
              </w:rPr>
              <w:t>上市契约型开放式（LOF）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基金合同生效日</w:t>
            </w:r>
          </w:p>
        </w:tc>
        <w:tc>
          <w:tcPr>
            <w:gridSpan w:val="2"/>
            <w:vAlign w:val="center"/>
          </w:tcPr>
          <w:p>
            <w:pPr>
              <w:jc w:val="left"/>
              <w:rPr>
                <w:rFonts w:hint="eastAsia"/>
              </w:rPr>
            </w:pPr>
            <w:r>
              <w:rPr>
                <w:rFonts w:hint="eastAsia"/>
              </w:rPr>
              <w:t>2017年10月26日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报告期末基金份额总额</w:t>
            </w:r>
          </w:p>
        </w:tc>
        <w:tc>
          <w:tcPr>
            <w:gridSpan w:val="2"/>
            <w:vAlign w:val="center"/>
          </w:tcPr>
          <w:p>
            <w:pPr>
              <w:jc w:val="left"/>
              <w:rPr>
                <w:rFonts w:hint="eastAsia"/>
              </w:rPr>
            </w:pPr>
            <w:r>
              <w:rPr>
                <w:rFonts w:hint="eastAsia"/>
              </w:rPr>
              <w:t>84,284,910.33份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投资目标</w:t>
            </w:r>
          </w:p>
        </w:tc>
        <w:tc>
          <w:tcPr>
            <w:gridSpan w:val="2"/>
            <w:vAlign w:val="center"/>
          </w:tcPr>
          <w:p>
            <w:pPr>
              <w:jc w:val="left"/>
              <w:rPr>
                <w:rFonts w:hint="eastAsia"/>
              </w:rPr>
            </w:pPr>
            <w:r>
              <w:rPr>
                <w:rFonts w:hint="eastAsia"/>
              </w:rPr>
              <w:t>在有效分散风险的基础上，力争获得与业绩比较基准相似的回报。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投资策略</w:t>
            </w:r>
          </w:p>
        </w:tc>
        <w:tc>
          <w:tcPr>
            <w:gridSpan w:val="2"/>
            <w:vAlign w:val="center"/>
          </w:tcPr>
          <w:p>
            <w:pPr>
              <w:jc w:val="left"/>
              <w:rPr>
                <w:rFonts w:hint="eastAsia"/>
              </w:rPr>
            </w:pPr>
            <w:r>
              <w:rPr>
                <w:rFonts w:hint="eastAsia"/>
              </w:rPr>
              <w:t>本基金采用被动式指数化投资，以实现对标的指数的有效跟踪。主要采用完全复制法，即完全按照标的指数的成份券组成及其权重构建REIT投资组合，并根据标的指数成份券及其权重的变动进行相应调整。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业绩比较基准</w:t>
            </w:r>
          </w:p>
        </w:tc>
        <w:tc>
          <w:tcPr>
            <w:gridSpan w:val="2"/>
            <w:vAlign w:val="center"/>
          </w:tcPr>
          <w:p>
            <w:pPr>
              <w:jc w:val="left"/>
              <w:rPr>
                <w:rFonts w:hint="eastAsia"/>
              </w:rPr>
            </w:pPr>
            <w:r>
              <w:rPr>
                <w:rFonts w:hint="eastAsia"/>
              </w:rPr>
              <w:t>道琼斯美国精选REIT指数收益率×95%+银行人民币活期存款利率（税后）×5%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风险收益特征</w:t>
            </w:r>
          </w:p>
        </w:tc>
        <w:tc>
          <w:tcPr>
            <w:gridSpan w:val="2"/>
            <w:vAlign w:val="center"/>
          </w:tcPr>
          <w:p>
            <w:pPr>
              <w:jc w:val="left"/>
              <w:rPr>
                <w:rFonts w:hint="eastAsia"/>
              </w:rPr>
            </w:pPr>
            <w:r>
              <w:rPr>
                <w:rFonts w:hint="eastAsia"/>
              </w:rPr>
              <w:t>本基金为股票型基金，属于较高预期风险和预期收益的证券投资基金品种，其预期风险和预期收益水平高于混合型基金、债券型基金及货币市场基金。</w:t>
            </w:r>
          </w:p>
          <w:p>
            <w:pPr>
              <w:jc w:val="left"/>
              <w:rPr>
                <w:rFonts w:hint="eastAsia"/>
              </w:rPr>
            </w:pPr>
            <w:r>
              <w:rPr>
                <w:rFonts w:hint="eastAsia"/>
              </w:rPr>
              <w:t>本基金主要投资于境外市场，需承担汇率风险以及境外市场的风险。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基金管理人</w:t>
            </w:r>
          </w:p>
        </w:tc>
        <w:tc>
          <w:tcPr>
            <w:gridSpan w:val="2"/>
            <w:vAlign w:val="center"/>
          </w:tcPr>
          <w:p>
            <w:pPr>
              <w:jc w:val="left"/>
              <w:rPr>
                <w:rFonts w:hint="eastAsia"/>
              </w:rPr>
            </w:pPr>
            <w:r>
              <w:rPr>
                <w:rFonts w:hint="eastAsia"/>
              </w:rPr>
              <w:t>南方基金管理股份有限公司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基金托管人</w:t>
            </w:r>
          </w:p>
        </w:tc>
        <w:tc>
          <w:tcPr>
            <w:gridSpan w:val="2"/>
            <w:vAlign w:val="center"/>
          </w:tcPr>
          <w:p>
            <w:pPr>
              <w:jc w:val="left"/>
              <w:rPr>
                <w:rFonts w:hint="eastAsia"/>
              </w:rPr>
            </w:pPr>
            <w:r>
              <w:rPr>
                <w:rFonts w:hint="eastAsia"/>
              </w:rPr>
              <w:t>中国工商银行股份有限公司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下属分级基金的基金简称</w:t>
            </w:r>
          </w:p>
        </w:tc>
        <w:tc>
          <w:tcPr>
            <w:vAlign w:val="center"/>
          </w:tcPr>
          <w:p>
            <w:pPr>
              <w:jc w:val="left"/>
              <w:rPr>
                <w:rFonts w:hint="eastAsia"/>
              </w:rPr>
            </w:pPr>
            <w:r>
              <w:rPr>
                <w:rFonts w:hint="eastAsia"/>
              </w:rPr>
              <w:t>美国REIT</w:t>
            </w:r>
          </w:p>
        </w:tc>
        <w:tc>
          <w:tcPr>
            <w:vAlign w:val="center"/>
          </w:tcPr>
          <w:p>
            <w:pPr>
              <w:jc w:val="left"/>
              <w:rPr>
                <w:rFonts w:hint="eastAsia"/>
              </w:rPr>
            </w:pPr>
            <w:r>
              <w:rPr>
                <w:rFonts w:hint="eastAsia"/>
              </w:rPr>
              <w:t>美国RE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下属分级基金的场内简称</w:t>
            </w:r>
          </w:p>
        </w:tc>
        <w:tc>
          <w:tcPr>
            <w:vAlign w:val="center"/>
          </w:tcPr>
          <w:p>
            <w:pPr>
              <w:jc w:val="left"/>
              <w:rPr>
                <w:rFonts w:hint="eastAsia"/>
              </w:rPr>
            </w:pPr>
            <w:r>
              <w:rPr>
                <w:rFonts w:hint="eastAsia"/>
              </w:rPr>
              <w:t>美国REIT</w:t>
            </w:r>
          </w:p>
        </w:tc>
        <w:tc>
          <w:tcPr>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下属分级基金的交易代码</w:t>
            </w:r>
          </w:p>
        </w:tc>
        <w:tc>
          <w:tcPr>
            <w:vAlign w:val="center"/>
          </w:tcPr>
          <w:p>
            <w:pPr>
              <w:jc w:val="left"/>
              <w:rPr>
                <w:rFonts w:hint="eastAsia"/>
              </w:rPr>
            </w:pPr>
            <w:r>
              <w:t>160140</w:t>
            </w:r>
          </w:p>
        </w:tc>
        <w:tc>
          <w:tcPr>
            <w:vAlign w:val="center"/>
          </w:tcPr>
          <w:p>
            <w:pPr>
              <w:jc w:val="left"/>
              <w:rPr>
                <w:rFonts w:hint="eastAsia"/>
              </w:rPr>
            </w:pPr>
            <w:r>
              <w:t>160141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left"/>
              <w:rPr>
                <w:rFonts w:hint="eastAsia"/>
              </w:rPr>
            </w:pPr>
            <w:r>
              <w:rPr>
                <w:rFonts w:hint="eastAsia"/>
              </w:rPr>
              <w:t>报告期末下属分级基金的份额总额</w:t>
            </w:r>
          </w:p>
        </w:tc>
        <w:tc>
          <w:tcPr>
            <w:vAlign w:val="center"/>
          </w:tcPr>
          <w:p>
            <w:pPr>
              <w:jc w:val="left"/>
              <w:rPr>
                <w:rFonts w:hint="eastAsia"/>
              </w:rPr>
            </w:pPr>
            <w:r>
              <w:rPr>
                <w:rFonts w:hint="eastAsia"/>
              </w:rPr>
              <w:t>55,351,784.77份</w:t>
            </w:r>
          </w:p>
        </w:tc>
        <w:tc>
          <w:tcPr>
            <w:vAlign w:val="center"/>
          </w:tcPr>
          <w:p>
            <w:pPr>
              <w:jc w:val="left"/>
              <w:rPr>
                <w:rFonts w:hint="eastAsia"/>
              </w:rPr>
            </w:pPr>
            <w:r>
              <w:rPr>
                <w:rFonts w:hint="eastAsia"/>
              </w:rPr>
              <w:t>28,933,125.56份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restart"/>
            <w:vAlign w:val="center"/>
          </w:tcPr>
          <w:p>
            <w:pPr>
              <w:jc w:val="left"/>
              <w:rPr>
                <w:rFonts w:hint="eastAsia"/>
              </w:rPr>
            </w:pPr>
            <w:r>
              <w:rPr>
                <w:rFonts w:hint="eastAsia"/>
              </w:rPr>
              <w:t>境外资产托管人</w:t>
            </w:r>
          </w:p>
        </w:tc>
        <w:tc>
          <w:tcPr>
            <w:gridSpan w:val="2"/>
            <w:vAlign w:val="center"/>
          </w:tcPr>
          <w:p>
            <w:pPr>
              <w:jc w:val="left"/>
              <w:rPr>
                <w:rFonts w:hint="eastAsia"/>
              </w:rPr>
            </w:pPr>
            <w:r>
              <w:rPr>
                <w:rFonts w:hint="eastAsia"/>
              </w:rPr>
              <w:t>英文名称：Brown Brothers Harriman &amp; 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Merge w:val="continue"/>
            <w:vAlign w:val="center"/>
          </w:tcPr>
          <w:p>
            <w:pPr>
              <w:jc w:val="left"/>
              <w:rPr>
                <w:rFonts w:hint="eastAsia"/>
              </w:rPr>
            </w:pPr>
          </w:p>
        </w:tc>
        <w:tc>
          <w:tcPr>
            <w:gridSpan w:val="2"/>
            <w:vAlign w:val="center"/>
          </w:tcPr>
          <w:p>
            <w:pPr>
              <w:jc w:val="left"/>
              <w:rPr>
                <w:rFonts w:hint="eastAsia"/>
              </w:rPr>
            </w:pPr>
            <w:r>
              <w:rPr>
                <w:rFonts w:hint="eastAsia"/>
              </w:rPr>
              <w:t>中文名称：布朗兄弟哈里曼银行</w:t>
            </w:r>
          </w:p>
        </w:tc>
      </w:tr>
    </w:tbl>
    <w:p>
      <w:pPr>
        <w:pStyle w:val="46"/>
        <w:rPr>
          <w:rFonts w:hint="eastAsia"/>
        </w:rPr>
      </w:pPr>
      <w:r>
        <w:rPr>
          <w:rFonts w:hint="eastAsia"/>
        </w:rPr>
        <w:t>注：本基金在交易所行情系统净值揭示等其他信息披露场合下，可简称为“美国REIT”。</w:t>
      </w:r>
    </w:p>
    <w:p>
      <w:pPr>
        <w:pStyle w:val="25"/>
        <w:ind w:left="281" w:hanging="281"/>
        <w:rPr>
          <w:rFonts w:hint="eastAsia"/>
        </w:rPr>
      </w:pPr>
      <w:r>
        <w:rPr>
          <w:rFonts w:hint="eastAsia"/>
        </w:rPr>
        <w:t>主要财务指标和基金净值表现</w:t>
      </w:r>
    </w:p>
    <w:p>
      <w:pPr>
        <w:pStyle w:val="22"/>
        <w:spacing w:before="312"/>
        <w:rPr>
          <w:rFonts w:hint="eastAsia"/>
        </w:rPr>
      </w:pPr>
      <w:r>
        <w:rPr>
          <w:rFonts w:hint="eastAsia"/>
        </w:rPr>
        <w:t>主要财务指标</w:t>
      </w:r>
    </w:p>
    <w:p>
      <w:pPr>
        <w:jc w:val="right"/>
        <w:rPr>
          <w:rFonts w:hint="eastAsia"/>
        </w:rPr>
      </w:pPr>
      <w:r>
        <w:rPr>
          <w:rFonts w:hint="eastAsia"/>
        </w:rPr>
        <w:t>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shd w:val="clear" w:color="auto" w:fill="BFBFBF"/>
            <w:vAlign w:val="center"/>
          </w:tcPr>
          <w:p>
            <w:pPr>
              <w:jc w:val="center"/>
              <w:rPr>
                <w:rFonts w:hint="eastAsia"/>
              </w:rPr>
            </w:pPr>
            <w:r>
              <w:rPr>
                <w:rFonts w:hint="eastAsia"/>
              </w:rPr>
              <w:t>主要财务指标</w:t>
            </w:r>
          </w:p>
        </w:tc>
        <w:tc>
          <w:tcPr>
            <w:tcW w:w="5682" w:type="dxa"/>
            <w:gridSpan w:val="2"/>
            <w:tcBorders>
              <w:bottom w:val="single" w:color="auto" w:sz="4" w:space="0"/>
            </w:tcBorders>
            <w:shd w:val="clear" w:color="auto" w:fill="BFBFBF"/>
            <w:vAlign w:val="center"/>
          </w:tcPr>
          <w:p>
            <w:pPr>
              <w:jc w:val="center"/>
              <w:rPr>
                <w:rFonts w:hint="eastAsia"/>
              </w:rPr>
            </w:pPr>
            <w:r>
              <w:rPr>
                <w:rFonts w:hint="eastAsia"/>
              </w:rPr>
              <w:t>报告期（2020年7月1日－2020年9月30日）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vAlign w:val="center"/>
          </w:tcPr>
          <w:p>
            <w:pPr>
              <w:jc w:val="left"/>
              <w:rPr>
                <w:rFonts w:hint="eastAsia"/>
              </w:rPr>
            </w:pPr>
          </w:p>
        </w:tc>
        <w:tc>
          <w:tcPr>
            <w:tcW w:w="2841" w:type="dxa"/>
            <w:shd w:val="clear" w:color="auto" w:fill="BFBFBF"/>
            <w:vAlign w:val="center"/>
          </w:tcPr>
          <w:p>
            <w:pPr>
              <w:jc w:val="center"/>
              <w:rPr>
                <w:rFonts w:hint="eastAsia"/>
              </w:rPr>
            </w:pPr>
            <w:r>
              <w:rPr>
                <w:rFonts w:hint="eastAsia"/>
              </w:rPr>
              <w:t>美国REIT</w:t>
            </w:r>
          </w:p>
        </w:tc>
        <w:tc>
          <w:tcPr>
            <w:tcW w:w="2841" w:type="dxa"/>
            <w:shd w:val="clear" w:color="auto" w:fill="BFBFBF"/>
            <w:vAlign w:val="center"/>
          </w:tcPr>
          <w:p>
            <w:pPr>
              <w:jc w:val="center"/>
              <w:rPr>
                <w:rFonts w:hint="eastAsia"/>
              </w:rPr>
            </w:pPr>
            <w:r>
              <w:rPr>
                <w:rFonts w:hint="eastAsia"/>
              </w:rPr>
              <w:t>美国RE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1.本期已实现收益</w:t>
            </w:r>
          </w:p>
        </w:tc>
        <w:tc>
          <w:tcPr>
            <w:tcW w:w="2841" w:type="dxa"/>
            <w:vAlign w:val="center"/>
          </w:tcPr>
          <w:p>
            <w:pPr>
              <w:jc w:val="right"/>
              <w:rPr>
                <w:rFonts w:hint="eastAsia"/>
              </w:rPr>
            </w:pPr>
            <w:r>
              <w:t>174,891.38</w:t>
            </w:r>
          </w:p>
        </w:tc>
        <w:tc>
          <w:tcPr>
            <w:tcW w:w="2841" w:type="dxa"/>
            <w:vAlign w:val="center"/>
          </w:tcPr>
          <w:p>
            <w:pPr>
              <w:jc w:val="right"/>
              <w:rPr>
                <w:rFonts w:hint="eastAsia"/>
              </w:rPr>
            </w:pPr>
            <w:r>
              <w:t>65,989.94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2.本期利润</w:t>
            </w:r>
          </w:p>
        </w:tc>
        <w:tc>
          <w:tcPr>
            <w:tcW w:w="2841" w:type="dxa"/>
            <w:vAlign w:val="center"/>
          </w:tcPr>
          <w:p>
            <w:pPr>
              <w:jc w:val="right"/>
              <w:rPr>
                <w:rFonts w:hint="eastAsia"/>
              </w:rPr>
            </w:pPr>
            <w:r>
              <w:t>-1,684,491.75</w:t>
            </w:r>
          </w:p>
        </w:tc>
        <w:tc>
          <w:tcPr>
            <w:tcW w:w="2841" w:type="dxa"/>
            <w:vAlign w:val="center"/>
          </w:tcPr>
          <w:p>
            <w:pPr>
              <w:jc w:val="right"/>
              <w:rPr>
                <w:rFonts w:hint="eastAsia"/>
              </w:rPr>
            </w:pPr>
            <w:r>
              <w:t>-773,916.42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3.加权平均基金份额本期利润</w:t>
            </w:r>
          </w:p>
        </w:tc>
        <w:tc>
          <w:tcPr>
            <w:tcW w:w="2841" w:type="dxa"/>
            <w:vAlign w:val="center"/>
          </w:tcPr>
          <w:p>
            <w:pPr>
              <w:jc w:val="right"/>
              <w:rPr>
                <w:rFonts w:hint="eastAsia"/>
              </w:rPr>
            </w:pPr>
            <w:r>
              <w:t>-0.0353</w:t>
            </w:r>
          </w:p>
        </w:tc>
        <w:tc>
          <w:tcPr>
            <w:tcW w:w="2841" w:type="dxa"/>
            <w:vAlign w:val="center"/>
          </w:tcPr>
          <w:p>
            <w:pPr>
              <w:jc w:val="right"/>
              <w:rPr>
                <w:rFonts w:hint="eastAsia"/>
              </w:rPr>
            </w:pPr>
            <w:r>
              <w:t>-0.0273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4.期末基金资产净值</w:t>
            </w:r>
          </w:p>
        </w:tc>
        <w:tc>
          <w:tcPr>
            <w:tcW w:w="2841" w:type="dxa"/>
            <w:vAlign w:val="center"/>
          </w:tcPr>
          <w:p>
            <w:pPr>
              <w:jc w:val="right"/>
              <w:rPr>
                <w:rFonts w:hint="eastAsia"/>
              </w:rPr>
            </w:pPr>
            <w:r>
              <w:t>50,075,434.79</w:t>
            </w:r>
          </w:p>
        </w:tc>
        <w:tc>
          <w:tcPr>
            <w:tcW w:w="2841" w:type="dxa"/>
            <w:vAlign w:val="center"/>
          </w:tcPr>
          <w:p>
            <w:pPr>
              <w:jc w:val="right"/>
              <w:rPr>
                <w:rFonts w:hint="eastAsia"/>
              </w:rPr>
            </w:pPr>
            <w:r>
              <w:t>25,866,376.82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5.期末基金份额净值</w:t>
            </w:r>
          </w:p>
        </w:tc>
        <w:tc>
          <w:tcPr>
            <w:tcW w:w="2841" w:type="dxa"/>
            <w:vAlign w:val="center"/>
          </w:tcPr>
          <w:p>
            <w:pPr>
              <w:jc w:val="right"/>
              <w:rPr>
                <w:rFonts w:hint="eastAsia"/>
              </w:rPr>
            </w:pPr>
            <w:r>
              <w:t>0.9047</w:t>
            </w:r>
          </w:p>
        </w:tc>
        <w:tc>
          <w:tcPr>
            <w:tcW w:w="2841" w:type="dxa"/>
            <w:vAlign w:val="center"/>
          </w:tcPr>
          <w:p>
            <w:pPr>
              <w:jc w:val="right"/>
              <w:rPr>
                <w:rFonts w:hint="eastAsia"/>
              </w:rPr>
            </w:pPr>
            <w:r>
              <w:t>0.8940</w:t>
            </w:r>
          </w:p>
        </w:tc>
      </w:tr>
    </w:tbl>
    <w:p>
      <w:pPr>
        <w:pStyle w:val="46"/>
        <w:rPr>
          <w:rFonts w:hint="eastAsia"/>
        </w:rPr>
      </w:pPr>
      <w:r>
        <w:rPr>
          <w:rFonts w:hint="eastAsia"/>
        </w:rPr>
        <w:t>注：1、上述基金业绩指标不包括持有人认购或交易基金的各项费用，计入费用后实际收益水平要低于所列数字；</w:t>
      </w:r>
    </w:p>
    <w:p>
      <w:pPr>
        <w:pStyle w:val="17"/>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pPr>
        <w:pStyle w:val="22"/>
        <w:spacing w:before="312"/>
        <w:rPr>
          <w:rFonts w:hint="eastAsia"/>
        </w:rPr>
      </w:pPr>
      <w:r>
        <w:rPr>
          <w:rFonts w:hint="eastAsia"/>
        </w:rPr>
        <w:t>基金净值表现</w:t>
      </w:r>
    </w:p>
    <w:p>
      <w:pPr>
        <w:pStyle w:val="27"/>
        <w:spacing w:before="156" w:after="156"/>
        <w:rPr>
          <w:rFonts w:hint="eastAsia"/>
        </w:rPr>
      </w:pPr>
      <w:r>
        <w:rPr>
          <w:rFonts w:hint="eastAsia"/>
        </w:rPr>
        <w:t>本报告期基金份额净值增长率及其与同期业绩比较基准收益率的比较</w:t>
      </w:r>
    </w:p>
    <w:p>
      <w:pPr>
        <w:pStyle w:val="17"/>
        <w:ind w:firstLine="420"/>
        <w:rPr>
          <w:rFonts w:hint="eastAsia"/>
        </w:rPr>
      </w:pPr>
      <w:r>
        <w:rPr>
          <w:rFonts w:hint="eastAsia"/>
        </w:rPr>
        <w:t>美国REIT</w:t>
      </w:r>
    </w:p>
    <w:tbl>
      <w:tblPr>
        <w:tblStyle w:val="29"/>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315"/>
        <w:gridCol w:w="1315"/>
        <w:gridCol w:w="1315"/>
        <w:gridCol w:w="1315"/>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shd w:val="clear" w:color="auto" w:fill="BFBFBF"/>
            <w:vAlign w:val="center"/>
          </w:tcPr>
          <w:p>
            <w:pPr>
              <w:pStyle w:val="17"/>
              <w:ind w:firstLine="0" w:firstLineChars="0"/>
              <w:jc w:val="center"/>
              <w:rPr>
                <w:rFonts w:hint="eastAsia"/>
              </w:rPr>
            </w:pPr>
            <w:r>
              <w:rPr>
                <w:rFonts w:hint="eastAsia"/>
              </w:rPr>
              <w:t>阶段</w:t>
            </w:r>
          </w:p>
        </w:tc>
        <w:tc>
          <w:tcPr>
            <w:tcW w:w="1315" w:type="dxa"/>
            <w:shd w:val="clear" w:color="auto" w:fill="BFBFBF"/>
            <w:vAlign w:val="center"/>
          </w:tcPr>
          <w:p>
            <w:pPr>
              <w:pStyle w:val="17"/>
              <w:ind w:firstLine="0" w:firstLineChars="0"/>
              <w:jc w:val="center"/>
              <w:rPr>
                <w:rFonts w:hint="eastAsia"/>
              </w:rPr>
            </w:pPr>
            <w:r>
              <w:rPr>
                <w:rFonts w:hint="eastAsia"/>
              </w:rPr>
              <w:t>份额净值增长率①</w:t>
            </w:r>
          </w:p>
        </w:tc>
        <w:tc>
          <w:tcPr>
            <w:tcW w:w="1315" w:type="dxa"/>
            <w:shd w:val="clear" w:color="auto" w:fill="BFBFBF"/>
            <w:vAlign w:val="center"/>
          </w:tcPr>
          <w:p>
            <w:pPr>
              <w:pStyle w:val="17"/>
              <w:ind w:firstLine="0" w:firstLineChars="0"/>
              <w:jc w:val="center"/>
              <w:rPr>
                <w:rFonts w:hint="eastAsia"/>
              </w:rPr>
            </w:pPr>
            <w:r>
              <w:rPr>
                <w:rFonts w:hint="eastAsia"/>
              </w:rPr>
              <w:t>份额净值增长率标准差②</w:t>
            </w:r>
          </w:p>
        </w:tc>
        <w:tc>
          <w:tcPr>
            <w:tcW w:w="1315" w:type="dxa"/>
            <w:shd w:val="clear" w:color="auto" w:fill="BFBFBF"/>
            <w:vAlign w:val="center"/>
          </w:tcPr>
          <w:p>
            <w:pPr>
              <w:pStyle w:val="17"/>
              <w:ind w:firstLine="0" w:firstLineChars="0"/>
              <w:jc w:val="center"/>
              <w:rPr>
                <w:rFonts w:hint="eastAsia"/>
              </w:rPr>
            </w:pPr>
            <w:r>
              <w:rPr>
                <w:rFonts w:hint="eastAsia"/>
              </w:rPr>
              <w:t>业绩比较基准收益率③</w:t>
            </w:r>
          </w:p>
        </w:tc>
        <w:tc>
          <w:tcPr>
            <w:tcW w:w="1315" w:type="dxa"/>
            <w:shd w:val="clear" w:color="auto" w:fill="BFBFBF"/>
            <w:vAlign w:val="center"/>
          </w:tcPr>
          <w:p>
            <w:pPr>
              <w:pStyle w:val="17"/>
              <w:ind w:firstLine="0" w:firstLineChars="0"/>
              <w:jc w:val="center"/>
              <w:rPr>
                <w:rFonts w:hint="eastAsia"/>
              </w:rPr>
            </w:pPr>
            <w:r>
              <w:rPr>
                <w:rFonts w:hint="eastAsia"/>
              </w:rPr>
              <w:t>业绩比较基准收益率标准差④</w:t>
            </w:r>
          </w:p>
        </w:tc>
        <w:tc>
          <w:tcPr>
            <w:tcW w:w="907" w:type="dxa"/>
            <w:shd w:val="clear" w:color="auto" w:fill="BFBFBF"/>
            <w:vAlign w:val="center"/>
          </w:tcPr>
          <w:p>
            <w:pPr>
              <w:pStyle w:val="17"/>
              <w:ind w:firstLine="0" w:firstLineChars="0"/>
              <w:jc w:val="center"/>
              <w:rPr>
                <w:rFonts w:hint="eastAsia"/>
              </w:rPr>
            </w:pPr>
            <w:r>
              <w:rPr>
                <w:rFonts w:hint="eastAsia"/>
              </w:rPr>
              <w:t>①</w:t>
            </w:r>
            <w:r>
              <w:t>-③</w:t>
            </w:r>
          </w:p>
        </w:tc>
        <w:tc>
          <w:tcPr>
            <w:tcW w:w="907" w:type="dxa"/>
            <w:shd w:val="clear" w:color="auto" w:fill="BFBFBF"/>
            <w:vAlign w:val="center"/>
          </w:tcPr>
          <w:p>
            <w:pPr>
              <w:pStyle w:val="17"/>
              <w:ind w:firstLine="0" w:firstLineChars="0"/>
              <w:jc w:val="center"/>
              <w:rPr>
                <w:rFonts w:hint="eastAsia"/>
              </w:rPr>
            </w:pPr>
            <w:r>
              <w:rPr>
                <w:rFonts w:hint="eastAsia"/>
              </w:rPr>
              <w:t>②</w:t>
            </w:r>
            <w: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17"/>
              <w:ind w:firstLine="0" w:firstLineChars="0"/>
              <w:jc w:val="left"/>
              <w:rPr>
                <w:rFonts w:hint="eastAsia"/>
              </w:rPr>
            </w:pPr>
            <w:r>
              <w:rPr>
                <w:rFonts w:hint="eastAsia"/>
              </w:rPr>
              <w:t>过去三个月</w:t>
            </w:r>
          </w:p>
        </w:tc>
        <w:tc>
          <w:tcPr>
            <w:tcW w:w="1315" w:type="dxa"/>
            <w:vAlign w:val="center"/>
          </w:tcPr>
          <w:p>
            <w:pPr>
              <w:pStyle w:val="17"/>
              <w:ind w:firstLine="0" w:firstLineChars="0"/>
              <w:jc w:val="right"/>
              <w:rPr>
                <w:rFonts w:hint="eastAsia"/>
              </w:rPr>
            </w:pPr>
            <w:r>
              <w:t>-3.37%</w:t>
            </w:r>
          </w:p>
        </w:tc>
        <w:tc>
          <w:tcPr>
            <w:tcW w:w="1315" w:type="dxa"/>
            <w:vAlign w:val="center"/>
          </w:tcPr>
          <w:p>
            <w:pPr>
              <w:pStyle w:val="17"/>
              <w:ind w:firstLine="0" w:firstLineChars="0"/>
              <w:jc w:val="right"/>
              <w:rPr>
                <w:rFonts w:hint="eastAsia"/>
              </w:rPr>
            </w:pPr>
            <w:r>
              <w:t>1.38%</w:t>
            </w:r>
          </w:p>
        </w:tc>
        <w:tc>
          <w:tcPr>
            <w:tcW w:w="1315" w:type="dxa"/>
            <w:vAlign w:val="center"/>
          </w:tcPr>
          <w:p>
            <w:pPr>
              <w:pStyle w:val="17"/>
              <w:ind w:firstLine="0" w:firstLineChars="0"/>
              <w:jc w:val="right"/>
              <w:rPr>
                <w:rFonts w:hint="eastAsia"/>
              </w:rPr>
            </w:pPr>
            <w:r>
              <w:t>-3.73%</w:t>
            </w:r>
          </w:p>
        </w:tc>
        <w:tc>
          <w:tcPr>
            <w:tcW w:w="1315" w:type="dxa"/>
            <w:vAlign w:val="center"/>
          </w:tcPr>
          <w:p>
            <w:pPr>
              <w:pStyle w:val="17"/>
              <w:ind w:firstLine="0" w:firstLineChars="0"/>
              <w:jc w:val="right"/>
              <w:rPr>
                <w:rFonts w:hint="eastAsia"/>
              </w:rPr>
            </w:pPr>
            <w:r>
              <w:t>1.41%</w:t>
            </w:r>
          </w:p>
        </w:tc>
        <w:tc>
          <w:tcPr>
            <w:tcW w:w="907" w:type="dxa"/>
            <w:vAlign w:val="center"/>
          </w:tcPr>
          <w:p>
            <w:pPr>
              <w:pStyle w:val="17"/>
              <w:ind w:firstLine="0" w:firstLineChars="0"/>
              <w:jc w:val="right"/>
              <w:rPr>
                <w:rFonts w:hint="eastAsia"/>
              </w:rPr>
            </w:pPr>
            <w:r>
              <w:t>0.36%</w:t>
            </w:r>
          </w:p>
        </w:tc>
        <w:tc>
          <w:tcPr>
            <w:tcW w:w="907" w:type="dxa"/>
            <w:vAlign w:val="center"/>
          </w:tcPr>
          <w:p>
            <w:pPr>
              <w:pStyle w:val="17"/>
              <w:ind w:firstLine="0" w:firstLineChars="0"/>
              <w:jc w:val="right"/>
              <w:rPr>
                <w:rFonts w:hint="eastAsia"/>
              </w:rPr>
            </w:pPr>
            <w: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17"/>
              <w:ind w:firstLine="0" w:firstLineChars="0"/>
              <w:jc w:val="left"/>
              <w:rPr>
                <w:rFonts w:hint="eastAsia"/>
              </w:rPr>
            </w:pPr>
            <w:r>
              <w:rPr>
                <w:rFonts w:hint="eastAsia"/>
              </w:rPr>
              <w:t>过去六个月</w:t>
            </w:r>
          </w:p>
        </w:tc>
        <w:tc>
          <w:tcPr>
            <w:tcW w:w="1315" w:type="dxa"/>
            <w:vAlign w:val="center"/>
          </w:tcPr>
          <w:p>
            <w:pPr>
              <w:pStyle w:val="17"/>
              <w:ind w:firstLine="0" w:firstLineChars="0"/>
              <w:jc w:val="right"/>
              <w:rPr>
                <w:rFonts w:hint="eastAsia"/>
              </w:rPr>
            </w:pPr>
            <w:r>
              <w:t>4.82%</w:t>
            </w:r>
          </w:p>
        </w:tc>
        <w:tc>
          <w:tcPr>
            <w:tcW w:w="1315" w:type="dxa"/>
            <w:vAlign w:val="center"/>
          </w:tcPr>
          <w:p>
            <w:pPr>
              <w:pStyle w:val="17"/>
              <w:ind w:firstLine="0" w:firstLineChars="0"/>
              <w:jc w:val="right"/>
              <w:rPr>
                <w:rFonts w:hint="eastAsia"/>
              </w:rPr>
            </w:pPr>
            <w:r>
              <w:t>2.47%</w:t>
            </w:r>
          </w:p>
        </w:tc>
        <w:tc>
          <w:tcPr>
            <w:tcW w:w="1315" w:type="dxa"/>
            <w:vAlign w:val="center"/>
          </w:tcPr>
          <w:p>
            <w:pPr>
              <w:pStyle w:val="17"/>
              <w:ind w:firstLine="0" w:firstLineChars="0"/>
              <w:jc w:val="right"/>
              <w:rPr>
                <w:rFonts w:hint="eastAsia"/>
              </w:rPr>
            </w:pPr>
            <w:r>
              <w:t>3.73%</w:t>
            </w:r>
          </w:p>
        </w:tc>
        <w:tc>
          <w:tcPr>
            <w:tcW w:w="1315" w:type="dxa"/>
            <w:vAlign w:val="center"/>
          </w:tcPr>
          <w:p>
            <w:pPr>
              <w:pStyle w:val="17"/>
              <w:ind w:firstLine="0" w:firstLineChars="0"/>
              <w:jc w:val="right"/>
              <w:rPr>
                <w:rFonts w:hint="eastAsia"/>
              </w:rPr>
            </w:pPr>
            <w:r>
              <w:t>2.46%</w:t>
            </w:r>
          </w:p>
        </w:tc>
        <w:tc>
          <w:tcPr>
            <w:tcW w:w="907" w:type="dxa"/>
            <w:vAlign w:val="center"/>
          </w:tcPr>
          <w:p>
            <w:pPr>
              <w:pStyle w:val="17"/>
              <w:ind w:firstLine="0" w:firstLineChars="0"/>
              <w:jc w:val="right"/>
              <w:rPr>
                <w:rFonts w:hint="eastAsia"/>
              </w:rPr>
            </w:pPr>
            <w:r>
              <w:t>1.09%</w:t>
            </w:r>
          </w:p>
        </w:tc>
        <w:tc>
          <w:tcPr>
            <w:tcW w:w="907" w:type="dxa"/>
            <w:vAlign w:val="center"/>
          </w:tcPr>
          <w:p>
            <w:pPr>
              <w:pStyle w:val="17"/>
              <w:ind w:firstLine="0" w:firstLineChars="0"/>
              <w:jc w:val="right"/>
              <w:rPr>
                <w:rFonts w:hint="eastAsia"/>
              </w:rPr>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17"/>
              <w:ind w:firstLine="0" w:firstLineChars="0"/>
              <w:jc w:val="left"/>
              <w:rPr>
                <w:rFonts w:hint="eastAsia"/>
              </w:rPr>
            </w:pPr>
            <w:r>
              <w:rPr>
                <w:rFonts w:hint="eastAsia"/>
              </w:rPr>
              <w:t>过去一年</w:t>
            </w:r>
          </w:p>
        </w:tc>
        <w:tc>
          <w:tcPr>
            <w:tcW w:w="1315" w:type="dxa"/>
            <w:vAlign w:val="center"/>
          </w:tcPr>
          <w:p>
            <w:pPr>
              <w:pStyle w:val="17"/>
              <w:ind w:firstLine="0" w:firstLineChars="0"/>
              <w:jc w:val="right"/>
              <w:rPr>
                <w:rFonts w:hint="eastAsia"/>
              </w:rPr>
            </w:pPr>
            <w:r>
              <w:t>-24.69%</w:t>
            </w:r>
          </w:p>
        </w:tc>
        <w:tc>
          <w:tcPr>
            <w:tcW w:w="1315" w:type="dxa"/>
            <w:vAlign w:val="center"/>
          </w:tcPr>
          <w:p>
            <w:pPr>
              <w:pStyle w:val="17"/>
              <w:ind w:firstLine="0" w:firstLineChars="0"/>
              <w:jc w:val="right"/>
              <w:rPr>
                <w:rFonts w:hint="eastAsia"/>
              </w:rPr>
            </w:pPr>
            <w:r>
              <w:t>2.66%</w:t>
            </w:r>
          </w:p>
        </w:tc>
        <w:tc>
          <w:tcPr>
            <w:tcW w:w="1315" w:type="dxa"/>
            <w:vAlign w:val="center"/>
          </w:tcPr>
          <w:p>
            <w:pPr>
              <w:pStyle w:val="17"/>
              <w:ind w:firstLine="0" w:firstLineChars="0"/>
              <w:jc w:val="right"/>
              <w:rPr>
                <w:rFonts w:hint="eastAsia"/>
              </w:rPr>
            </w:pPr>
            <w:r>
              <w:t>-26.55%</w:t>
            </w:r>
          </w:p>
        </w:tc>
        <w:tc>
          <w:tcPr>
            <w:tcW w:w="1315" w:type="dxa"/>
            <w:vAlign w:val="center"/>
          </w:tcPr>
          <w:p>
            <w:pPr>
              <w:pStyle w:val="17"/>
              <w:ind w:firstLine="0" w:firstLineChars="0"/>
              <w:jc w:val="right"/>
              <w:rPr>
                <w:rFonts w:hint="eastAsia"/>
              </w:rPr>
            </w:pPr>
            <w:r>
              <w:t>2.67%</w:t>
            </w:r>
          </w:p>
        </w:tc>
        <w:tc>
          <w:tcPr>
            <w:tcW w:w="907" w:type="dxa"/>
            <w:vAlign w:val="center"/>
          </w:tcPr>
          <w:p>
            <w:pPr>
              <w:pStyle w:val="17"/>
              <w:ind w:firstLine="0" w:firstLineChars="0"/>
              <w:jc w:val="right"/>
              <w:rPr>
                <w:rFonts w:hint="eastAsia"/>
              </w:rPr>
            </w:pPr>
            <w:r>
              <w:t>1.86%</w:t>
            </w:r>
          </w:p>
        </w:tc>
        <w:tc>
          <w:tcPr>
            <w:tcW w:w="907" w:type="dxa"/>
            <w:vAlign w:val="center"/>
          </w:tcPr>
          <w:p>
            <w:pPr>
              <w:pStyle w:val="17"/>
              <w:ind w:firstLine="0" w:firstLineChars="0"/>
              <w:jc w:val="right"/>
              <w:rPr>
                <w:rFonts w:hint="eastAsia"/>
              </w:rPr>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17"/>
              <w:ind w:firstLine="0" w:firstLineChars="0"/>
              <w:jc w:val="left"/>
              <w:rPr>
                <w:rFonts w:hint="eastAsia"/>
              </w:rPr>
            </w:pPr>
            <w:r>
              <w:rPr>
                <w:rFonts w:hint="eastAsia"/>
              </w:rPr>
              <w:t>自基金合同生效起至今</w:t>
            </w:r>
          </w:p>
        </w:tc>
        <w:tc>
          <w:tcPr>
            <w:tcW w:w="1315" w:type="dxa"/>
            <w:vAlign w:val="center"/>
          </w:tcPr>
          <w:p>
            <w:pPr>
              <w:pStyle w:val="17"/>
              <w:ind w:firstLine="0" w:firstLineChars="0"/>
              <w:jc w:val="right"/>
              <w:rPr>
                <w:rFonts w:hint="eastAsia"/>
              </w:rPr>
            </w:pPr>
            <w:r>
              <w:t>-7.97%</w:t>
            </w:r>
          </w:p>
        </w:tc>
        <w:tc>
          <w:tcPr>
            <w:tcW w:w="1315" w:type="dxa"/>
            <w:vAlign w:val="center"/>
          </w:tcPr>
          <w:p>
            <w:pPr>
              <w:pStyle w:val="17"/>
              <w:ind w:firstLine="0" w:firstLineChars="0"/>
              <w:jc w:val="right"/>
              <w:rPr>
                <w:rFonts w:hint="eastAsia"/>
              </w:rPr>
            </w:pPr>
            <w:r>
              <w:t>1.65%</w:t>
            </w:r>
          </w:p>
        </w:tc>
        <w:tc>
          <w:tcPr>
            <w:tcW w:w="1315" w:type="dxa"/>
            <w:vAlign w:val="center"/>
          </w:tcPr>
          <w:p>
            <w:pPr>
              <w:pStyle w:val="17"/>
              <w:ind w:firstLine="0" w:firstLineChars="0"/>
              <w:jc w:val="right"/>
              <w:rPr>
                <w:rFonts w:hint="eastAsia"/>
              </w:rPr>
            </w:pPr>
            <w:r>
              <w:t>-10.32%</w:t>
            </w:r>
          </w:p>
        </w:tc>
        <w:tc>
          <w:tcPr>
            <w:tcW w:w="1315" w:type="dxa"/>
            <w:vAlign w:val="center"/>
          </w:tcPr>
          <w:p>
            <w:pPr>
              <w:pStyle w:val="17"/>
              <w:ind w:firstLine="0" w:firstLineChars="0"/>
              <w:jc w:val="right"/>
              <w:rPr>
                <w:rFonts w:hint="eastAsia"/>
              </w:rPr>
            </w:pPr>
            <w:r>
              <w:t>1.66%</w:t>
            </w:r>
          </w:p>
        </w:tc>
        <w:tc>
          <w:tcPr>
            <w:tcW w:w="907" w:type="dxa"/>
            <w:vAlign w:val="center"/>
          </w:tcPr>
          <w:p>
            <w:pPr>
              <w:pStyle w:val="17"/>
              <w:ind w:firstLine="0" w:firstLineChars="0"/>
              <w:jc w:val="right"/>
              <w:rPr>
                <w:rFonts w:hint="eastAsia"/>
              </w:rPr>
            </w:pPr>
            <w:r>
              <w:t>2.35%</w:t>
            </w:r>
          </w:p>
        </w:tc>
        <w:tc>
          <w:tcPr>
            <w:tcW w:w="907" w:type="dxa"/>
            <w:vAlign w:val="center"/>
          </w:tcPr>
          <w:p>
            <w:pPr>
              <w:pStyle w:val="17"/>
              <w:ind w:firstLine="0" w:firstLineChars="0"/>
              <w:jc w:val="right"/>
              <w:rPr>
                <w:rFonts w:hint="eastAsia"/>
              </w:rPr>
            </w:pPr>
            <w:r>
              <w:t>-0.01%</w:t>
            </w:r>
          </w:p>
        </w:tc>
      </w:tr>
    </w:tbl>
    <w:p>
      <w:pPr>
        <w:pStyle w:val="17"/>
        <w:ind w:firstLine="420"/>
      </w:pPr>
      <w:r>
        <w:rPr>
          <w:rFonts w:hint="eastAsia"/>
        </w:rPr>
        <w:t>美国</w:t>
      </w:r>
      <w:r>
        <w:t>RE C</w:t>
      </w:r>
    </w:p>
    <w:tbl>
      <w:tblPr>
        <w:tblStyle w:val="29"/>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315"/>
        <w:gridCol w:w="1315"/>
        <w:gridCol w:w="1315"/>
        <w:gridCol w:w="1315"/>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shd w:val="clear" w:color="auto" w:fill="BFBFBF"/>
            <w:vAlign w:val="center"/>
          </w:tcPr>
          <w:p>
            <w:pPr>
              <w:pStyle w:val="17"/>
              <w:ind w:firstLine="0" w:firstLineChars="0"/>
              <w:jc w:val="center"/>
              <w:rPr>
                <w:rFonts w:hint="eastAsia"/>
              </w:rPr>
            </w:pPr>
            <w:r>
              <w:rPr>
                <w:rFonts w:hint="eastAsia"/>
              </w:rPr>
              <w:t>阶段</w:t>
            </w:r>
          </w:p>
        </w:tc>
        <w:tc>
          <w:tcPr>
            <w:tcW w:w="1315" w:type="dxa"/>
            <w:shd w:val="clear" w:color="auto" w:fill="BFBFBF"/>
            <w:vAlign w:val="center"/>
          </w:tcPr>
          <w:p>
            <w:pPr>
              <w:pStyle w:val="17"/>
              <w:ind w:firstLine="0" w:firstLineChars="0"/>
              <w:jc w:val="center"/>
              <w:rPr>
                <w:rFonts w:hint="eastAsia"/>
              </w:rPr>
            </w:pPr>
            <w:r>
              <w:rPr>
                <w:rFonts w:hint="eastAsia"/>
              </w:rPr>
              <w:t>份额净值增长率①</w:t>
            </w:r>
          </w:p>
        </w:tc>
        <w:tc>
          <w:tcPr>
            <w:tcW w:w="1315" w:type="dxa"/>
            <w:shd w:val="clear" w:color="auto" w:fill="BFBFBF"/>
            <w:vAlign w:val="center"/>
          </w:tcPr>
          <w:p>
            <w:pPr>
              <w:pStyle w:val="17"/>
              <w:ind w:firstLine="0" w:firstLineChars="0"/>
              <w:jc w:val="center"/>
              <w:rPr>
                <w:rFonts w:hint="eastAsia"/>
              </w:rPr>
            </w:pPr>
            <w:r>
              <w:rPr>
                <w:rFonts w:hint="eastAsia"/>
              </w:rPr>
              <w:t>份额净值增长率标准差②</w:t>
            </w:r>
          </w:p>
        </w:tc>
        <w:tc>
          <w:tcPr>
            <w:tcW w:w="1315" w:type="dxa"/>
            <w:shd w:val="clear" w:color="auto" w:fill="BFBFBF"/>
            <w:vAlign w:val="center"/>
          </w:tcPr>
          <w:p>
            <w:pPr>
              <w:pStyle w:val="17"/>
              <w:ind w:firstLine="0" w:firstLineChars="0"/>
              <w:jc w:val="center"/>
              <w:rPr>
                <w:rFonts w:hint="eastAsia"/>
              </w:rPr>
            </w:pPr>
            <w:r>
              <w:rPr>
                <w:rFonts w:hint="eastAsia"/>
              </w:rPr>
              <w:t>业绩比较基准收益率③</w:t>
            </w:r>
          </w:p>
        </w:tc>
        <w:tc>
          <w:tcPr>
            <w:tcW w:w="1315" w:type="dxa"/>
            <w:shd w:val="clear" w:color="auto" w:fill="BFBFBF"/>
            <w:vAlign w:val="center"/>
          </w:tcPr>
          <w:p>
            <w:pPr>
              <w:pStyle w:val="17"/>
              <w:ind w:firstLine="0" w:firstLineChars="0"/>
              <w:jc w:val="center"/>
              <w:rPr>
                <w:rFonts w:hint="eastAsia"/>
              </w:rPr>
            </w:pPr>
            <w:r>
              <w:rPr>
                <w:rFonts w:hint="eastAsia"/>
              </w:rPr>
              <w:t>业绩比较基准收益率标准差④</w:t>
            </w:r>
          </w:p>
        </w:tc>
        <w:tc>
          <w:tcPr>
            <w:tcW w:w="907" w:type="dxa"/>
            <w:shd w:val="clear" w:color="auto" w:fill="BFBFBF"/>
            <w:vAlign w:val="center"/>
          </w:tcPr>
          <w:p>
            <w:pPr>
              <w:pStyle w:val="17"/>
              <w:ind w:firstLine="0" w:firstLineChars="0"/>
              <w:jc w:val="center"/>
              <w:rPr>
                <w:rFonts w:hint="eastAsia"/>
              </w:rPr>
            </w:pPr>
            <w:r>
              <w:rPr>
                <w:rFonts w:hint="eastAsia"/>
              </w:rPr>
              <w:t>①</w:t>
            </w:r>
            <w:r>
              <w:t>-③</w:t>
            </w:r>
          </w:p>
        </w:tc>
        <w:tc>
          <w:tcPr>
            <w:tcW w:w="907" w:type="dxa"/>
            <w:shd w:val="clear" w:color="auto" w:fill="BFBFBF"/>
            <w:vAlign w:val="center"/>
          </w:tcPr>
          <w:p>
            <w:pPr>
              <w:pStyle w:val="17"/>
              <w:ind w:firstLine="0" w:firstLineChars="0"/>
              <w:jc w:val="center"/>
              <w:rPr>
                <w:rFonts w:hint="eastAsia"/>
              </w:rPr>
            </w:pPr>
            <w:r>
              <w:rPr>
                <w:rFonts w:hint="eastAsia"/>
              </w:rPr>
              <w:t>②</w:t>
            </w:r>
            <w: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17"/>
              <w:ind w:firstLine="0" w:firstLineChars="0"/>
              <w:jc w:val="left"/>
              <w:rPr>
                <w:rFonts w:hint="eastAsia"/>
              </w:rPr>
            </w:pPr>
            <w:r>
              <w:rPr>
                <w:rFonts w:hint="eastAsia"/>
              </w:rPr>
              <w:t>过去三个月</w:t>
            </w:r>
          </w:p>
        </w:tc>
        <w:tc>
          <w:tcPr>
            <w:tcW w:w="1315" w:type="dxa"/>
            <w:vAlign w:val="center"/>
          </w:tcPr>
          <w:p>
            <w:pPr>
              <w:pStyle w:val="17"/>
              <w:ind w:firstLine="0" w:firstLineChars="0"/>
              <w:jc w:val="right"/>
              <w:rPr>
                <w:rFonts w:hint="eastAsia"/>
              </w:rPr>
            </w:pPr>
            <w:r>
              <w:t>-3.48%</w:t>
            </w:r>
          </w:p>
        </w:tc>
        <w:tc>
          <w:tcPr>
            <w:tcW w:w="1315" w:type="dxa"/>
            <w:vAlign w:val="center"/>
          </w:tcPr>
          <w:p>
            <w:pPr>
              <w:pStyle w:val="17"/>
              <w:ind w:firstLine="0" w:firstLineChars="0"/>
              <w:jc w:val="right"/>
              <w:rPr>
                <w:rFonts w:hint="eastAsia"/>
              </w:rPr>
            </w:pPr>
            <w:r>
              <w:t>1.38%</w:t>
            </w:r>
          </w:p>
        </w:tc>
        <w:tc>
          <w:tcPr>
            <w:tcW w:w="1315" w:type="dxa"/>
            <w:vAlign w:val="center"/>
          </w:tcPr>
          <w:p>
            <w:pPr>
              <w:pStyle w:val="17"/>
              <w:ind w:firstLine="0" w:firstLineChars="0"/>
              <w:jc w:val="right"/>
              <w:rPr>
                <w:rFonts w:hint="eastAsia"/>
              </w:rPr>
            </w:pPr>
            <w:r>
              <w:t>-3.73%</w:t>
            </w:r>
          </w:p>
        </w:tc>
        <w:tc>
          <w:tcPr>
            <w:tcW w:w="1315" w:type="dxa"/>
            <w:vAlign w:val="center"/>
          </w:tcPr>
          <w:p>
            <w:pPr>
              <w:pStyle w:val="17"/>
              <w:ind w:firstLine="0" w:firstLineChars="0"/>
              <w:jc w:val="right"/>
              <w:rPr>
                <w:rFonts w:hint="eastAsia"/>
              </w:rPr>
            </w:pPr>
            <w:r>
              <w:t>1.41%</w:t>
            </w:r>
          </w:p>
        </w:tc>
        <w:tc>
          <w:tcPr>
            <w:tcW w:w="907" w:type="dxa"/>
            <w:vAlign w:val="center"/>
          </w:tcPr>
          <w:p>
            <w:pPr>
              <w:pStyle w:val="17"/>
              <w:ind w:firstLine="0" w:firstLineChars="0"/>
              <w:jc w:val="right"/>
              <w:rPr>
                <w:rFonts w:hint="eastAsia"/>
              </w:rPr>
            </w:pPr>
            <w:r>
              <w:t>0.25%</w:t>
            </w:r>
          </w:p>
        </w:tc>
        <w:tc>
          <w:tcPr>
            <w:tcW w:w="907" w:type="dxa"/>
            <w:vAlign w:val="center"/>
          </w:tcPr>
          <w:p>
            <w:pPr>
              <w:pStyle w:val="17"/>
              <w:ind w:firstLine="0" w:firstLineChars="0"/>
              <w:jc w:val="right"/>
              <w:rPr>
                <w:rFonts w:hint="eastAsia"/>
              </w:rPr>
            </w:pPr>
            <w: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17"/>
              <w:ind w:firstLine="0" w:firstLineChars="0"/>
              <w:jc w:val="left"/>
              <w:rPr>
                <w:rFonts w:hint="eastAsia"/>
              </w:rPr>
            </w:pPr>
            <w:r>
              <w:rPr>
                <w:rFonts w:hint="eastAsia"/>
              </w:rPr>
              <w:t>过去六个月</w:t>
            </w:r>
          </w:p>
        </w:tc>
        <w:tc>
          <w:tcPr>
            <w:tcW w:w="1315" w:type="dxa"/>
            <w:vAlign w:val="center"/>
          </w:tcPr>
          <w:p>
            <w:pPr>
              <w:pStyle w:val="17"/>
              <w:ind w:firstLine="0" w:firstLineChars="0"/>
              <w:jc w:val="right"/>
              <w:rPr>
                <w:rFonts w:hint="eastAsia"/>
              </w:rPr>
            </w:pPr>
            <w:r>
              <w:t>4.65%</w:t>
            </w:r>
          </w:p>
        </w:tc>
        <w:tc>
          <w:tcPr>
            <w:tcW w:w="1315" w:type="dxa"/>
            <w:vAlign w:val="center"/>
          </w:tcPr>
          <w:p>
            <w:pPr>
              <w:pStyle w:val="17"/>
              <w:ind w:firstLine="0" w:firstLineChars="0"/>
              <w:jc w:val="right"/>
              <w:rPr>
                <w:rFonts w:hint="eastAsia"/>
              </w:rPr>
            </w:pPr>
            <w:r>
              <w:t>2.47%</w:t>
            </w:r>
          </w:p>
        </w:tc>
        <w:tc>
          <w:tcPr>
            <w:tcW w:w="1315" w:type="dxa"/>
            <w:vAlign w:val="center"/>
          </w:tcPr>
          <w:p>
            <w:pPr>
              <w:pStyle w:val="17"/>
              <w:ind w:firstLine="0" w:firstLineChars="0"/>
              <w:jc w:val="right"/>
              <w:rPr>
                <w:rFonts w:hint="eastAsia"/>
              </w:rPr>
            </w:pPr>
            <w:r>
              <w:t>3.73%</w:t>
            </w:r>
          </w:p>
        </w:tc>
        <w:tc>
          <w:tcPr>
            <w:tcW w:w="1315" w:type="dxa"/>
            <w:vAlign w:val="center"/>
          </w:tcPr>
          <w:p>
            <w:pPr>
              <w:pStyle w:val="17"/>
              <w:ind w:firstLine="0" w:firstLineChars="0"/>
              <w:jc w:val="right"/>
              <w:rPr>
                <w:rFonts w:hint="eastAsia"/>
              </w:rPr>
            </w:pPr>
            <w:r>
              <w:t>2.46%</w:t>
            </w:r>
          </w:p>
        </w:tc>
        <w:tc>
          <w:tcPr>
            <w:tcW w:w="907" w:type="dxa"/>
            <w:vAlign w:val="center"/>
          </w:tcPr>
          <w:p>
            <w:pPr>
              <w:pStyle w:val="17"/>
              <w:ind w:firstLine="0" w:firstLineChars="0"/>
              <w:jc w:val="right"/>
              <w:rPr>
                <w:rFonts w:hint="eastAsia"/>
              </w:rPr>
            </w:pPr>
            <w:r>
              <w:t>0.92%</w:t>
            </w:r>
          </w:p>
        </w:tc>
        <w:tc>
          <w:tcPr>
            <w:tcW w:w="907" w:type="dxa"/>
            <w:vAlign w:val="center"/>
          </w:tcPr>
          <w:p>
            <w:pPr>
              <w:pStyle w:val="17"/>
              <w:ind w:firstLine="0" w:firstLineChars="0"/>
              <w:jc w:val="right"/>
              <w:rPr>
                <w:rFonts w:hint="eastAsia"/>
              </w:rPr>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17"/>
              <w:ind w:firstLine="0" w:firstLineChars="0"/>
              <w:jc w:val="left"/>
              <w:rPr>
                <w:rFonts w:hint="eastAsia"/>
              </w:rPr>
            </w:pPr>
            <w:r>
              <w:rPr>
                <w:rFonts w:hint="eastAsia"/>
              </w:rPr>
              <w:t>过去一年</w:t>
            </w:r>
          </w:p>
        </w:tc>
        <w:tc>
          <w:tcPr>
            <w:tcW w:w="1315" w:type="dxa"/>
            <w:vAlign w:val="center"/>
          </w:tcPr>
          <w:p>
            <w:pPr>
              <w:pStyle w:val="17"/>
              <w:ind w:firstLine="0" w:firstLineChars="0"/>
              <w:jc w:val="right"/>
              <w:rPr>
                <w:rFonts w:hint="eastAsia"/>
              </w:rPr>
            </w:pPr>
            <w:r>
              <w:t>-24.96%</w:t>
            </w:r>
          </w:p>
        </w:tc>
        <w:tc>
          <w:tcPr>
            <w:tcW w:w="1315" w:type="dxa"/>
            <w:vAlign w:val="center"/>
          </w:tcPr>
          <w:p>
            <w:pPr>
              <w:pStyle w:val="17"/>
              <w:ind w:firstLine="0" w:firstLineChars="0"/>
              <w:jc w:val="right"/>
              <w:rPr>
                <w:rFonts w:hint="eastAsia"/>
              </w:rPr>
            </w:pPr>
            <w:r>
              <w:t>2.66%</w:t>
            </w:r>
          </w:p>
        </w:tc>
        <w:tc>
          <w:tcPr>
            <w:tcW w:w="1315" w:type="dxa"/>
            <w:vAlign w:val="center"/>
          </w:tcPr>
          <w:p>
            <w:pPr>
              <w:pStyle w:val="17"/>
              <w:ind w:firstLine="0" w:firstLineChars="0"/>
              <w:jc w:val="right"/>
              <w:rPr>
                <w:rFonts w:hint="eastAsia"/>
              </w:rPr>
            </w:pPr>
            <w:r>
              <w:t>-26.55%</w:t>
            </w:r>
          </w:p>
        </w:tc>
        <w:tc>
          <w:tcPr>
            <w:tcW w:w="1315" w:type="dxa"/>
            <w:vAlign w:val="center"/>
          </w:tcPr>
          <w:p>
            <w:pPr>
              <w:pStyle w:val="17"/>
              <w:ind w:firstLine="0" w:firstLineChars="0"/>
              <w:jc w:val="right"/>
              <w:rPr>
                <w:rFonts w:hint="eastAsia"/>
              </w:rPr>
            </w:pPr>
            <w:r>
              <w:t>2.67%</w:t>
            </w:r>
          </w:p>
        </w:tc>
        <w:tc>
          <w:tcPr>
            <w:tcW w:w="907" w:type="dxa"/>
            <w:vAlign w:val="center"/>
          </w:tcPr>
          <w:p>
            <w:pPr>
              <w:pStyle w:val="17"/>
              <w:ind w:firstLine="0" w:firstLineChars="0"/>
              <w:jc w:val="right"/>
              <w:rPr>
                <w:rFonts w:hint="eastAsia"/>
              </w:rPr>
            </w:pPr>
            <w:r>
              <w:t>1.59%</w:t>
            </w:r>
          </w:p>
        </w:tc>
        <w:tc>
          <w:tcPr>
            <w:tcW w:w="907" w:type="dxa"/>
            <w:vAlign w:val="center"/>
          </w:tcPr>
          <w:p>
            <w:pPr>
              <w:pStyle w:val="17"/>
              <w:ind w:firstLine="0" w:firstLineChars="0"/>
              <w:jc w:val="right"/>
              <w:rPr>
                <w:rFonts w:hint="eastAsia"/>
              </w:rPr>
            </w:pPr>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17"/>
              <w:ind w:firstLine="0" w:firstLineChars="0"/>
              <w:jc w:val="left"/>
              <w:rPr>
                <w:rFonts w:hint="eastAsia"/>
              </w:rPr>
            </w:pPr>
            <w:r>
              <w:rPr>
                <w:rFonts w:hint="eastAsia"/>
              </w:rPr>
              <w:t>自基金合同生效起至今</w:t>
            </w:r>
          </w:p>
        </w:tc>
        <w:tc>
          <w:tcPr>
            <w:tcW w:w="1315" w:type="dxa"/>
            <w:vAlign w:val="center"/>
          </w:tcPr>
          <w:p>
            <w:pPr>
              <w:pStyle w:val="17"/>
              <w:ind w:firstLine="0" w:firstLineChars="0"/>
              <w:jc w:val="right"/>
              <w:rPr>
                <w:rFonts w:hint="eastAsia"/>
              </w:rPr>
            </w:pPr>
            <w:r>
              <w:t>-9.05%</w:t>
            </w:r>
          </w:p>
        </w:tc>
        <w:tc>
          <w:tcPr>
            <w:tcW w:w="1315" w:type="dxa"/>
            <w:vAlign w:val="center"/>
          </w:tcPr>
          <w:p>
            <w:pPr>
              <w:pStyle w:val="17"/>
              <w:ind w:firstLine="0" w:firstLineChars="0"/>
              <w:jc w:val="right"/>
              <w:rPr>
                <w:rFonts w:hint="eastAsia"/>
              </w:rPr>
            </w:pPr>
            <w:r>
              <w:t>1.70%</w:t>
            </w:r>
          </w:p>
        </w:tc>
        <w:tc>
          <w:tcPr>
            <w:tcW w:w="1315" w:type="dxa"/>
            <w:vAlign w:val="center"/>
          </w:tcPr>
          <w:p>
            <w:pPr>
              <w:pStyle w:val="17"/>
              <w:ind w:firstLine="0" w:firstLineChars="0"/>
              <w:jc w:val="right"/>
              <w:rPr>
                <w:rFonts w:hint="eastAsia"/>
              </w:rPr>
            </w:pPr>
            <w:r>
              <w:t>-10.32%</w:t>
            </w:r>
          </w:p>
        </w:tc>
        <w:tc>
          <w:tcPr>
            <w:tcW w:w="1315" w:type="dxa"/>
            <w:vAlign w:val="center"/>
          </w:tcPr>
          <w:p>
            <w:pPr>
              <w:pStyle w:val="17"/>
              <w:ind w:firstLine="0" w:firstLineChars="0"/>
              <w:jc w:val="right"/>
              <w:rPr>
                <w:rFonts w:hint="eastAsia"/>
              </w:rPr>
            </w:pPr>
            <w:r>
              <w:t>1.71%</w:t>
            </w:r>
          </w:p>
        </w:tc>
        <w:tc>
          <w:tcPr>
            <w:tcW w:w="907" w:type="dxa"/>
            <w:vAlign w:val="center"/>
          </w:tcPr>
          <w:p>
            <w:pPr>
              <w:pStyle w:val="17"/>
              <w:ind w:firstLine="0" w:firstLineChars="0"/>
              <w:jc w:val="right"/>
              <w:rPr>
                <w:rFonts w:hint="eastAsia"/>
              </w:rPr>
            </w:pPr>
            <w:r>
              <w:t>1.27%</w:t>
            </w:r>
          </w:p>
        </w:tc>
        <w:tc>
          <w:tcPr>
            <w:tcW w:w="907" w:type="dxa"/>
            <w:vAlign w:val="center"/>
          </w:tcPr>
          <w:p>
            <w:pPr>
              <w:pStyle w:val="17"/>
              <w:ind w:firstLine="0" w:firstLineChars="0"/>
              <w:jc w:val="right"/>
              <w:rPr>
                <w:rFonts w:hint="eastAsia"/>
              </w:rPr>
            </w:pPr>
            <w:r>
              <w:t>-0.01%</w:t>
            </w:r>
          </w:p>
        </w:tc>
      </w:tr>
    </w:tbl>
    <w:p>
      <w:pPr>
        <w:pStyle w:val="27"/>
        <w:spacing w:before="156" w:after="156"/>
        <w:rPr>
          <w:rFonts w:hint="eastAsia"/>
        </w:rPr>
      </w:pPr>
      <w:r>
        <w:rPr>
          <w:rFonts w:hint="eastAsia"/>
        </w:rPr>
        <w:t>自基金合同生效以来基金份额累计净值增长率变动及其与同期业绩比较基准收益率变动的比较</w:t>
      </w:r>
    </w:p>
    <w:p>
      <w:pPr>
        <w:rPr>
          <w:rFonts w:hint="eastAsia"/>
        </w:rPr>
      </w:pPr>
      <w:r>
        <w:rPr>
          <w:rFonts w:hint="eastAsia"/>
        </w:rPr>
        <w:drawing>
          <wp:inline distT="0" distB="0" distL="0" distR="0">
            <wp:extent cx="5274310" cy="4352290"/>
            <wp:effectExtent l="0" t="0" r="2540" b="1016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28A0092B-C50C-407E-A947-70E740481C1C}">
                          <a14:useLocalDpi xmlns:a14="http://schemas.microsoft.com/office/drawing/2010/main" val="0"/>
                        </a:ext>
                      </a:extLst>
                    </a:blip>
                    <a:stretch>
                      <a:fillRect/>
                    </a:stretch>
                  </pic:blipFill>
                  <pic:spPr>
                    <a:xfrm>
                      <a:off x="0" y="0"/>
                      <a:ext cx="5274310" cy="4352290"/>
                    </a:xfrm>
                    <a:prstGeom prst="rect">
                      <a:avLst/>
                    </a:prstGeom>
                  </pic:spPr>
                </pic:pic>
              </a:graphicData>
            </a:graphic>
          </wp:inline>
        </w:drawing>
      </w:r>
      <w:bookmarkStart w:id="2" w:name="_GoBack"/>
      <w:bookmarkEnd w:id="2"/>
    </w:p>
    <w:p>
      <w:pPr>
        <w:rPr>
          <w:rFonts w:hint="eastAsia"/>
        </w:rPr>
      </w:pPr>
      <w:r>
        <w:rPr>
          <w:rFonts w:hint="eastAsia"/>
        </w:rPr>
        <w:drawing>
          <wp:inline distT="0" distB="0" distL="0" distR="0">
            <wp:extent cx="5274310" cy="435229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a:extLst>
                        <a:ext uri="{28A0092B-C50C-407E-A947-70E740481C1C}">
                          <a14:useLocalDpi xmlns:a14="http://schemas.microsoft.com/office/drawing/2010/main" val="0"/>
                        </a:ext>
                      </a:extLst>
                    </a:blip>
                    <a:stretch>
                      <a:fillRect/>
                    </a:stretch>
                  </pic:blipFill>
                  <pic:spPr>
                    <a:xfrm>
                      <a:off x="0" y="0"/>
                      <a:ext cx="5274310" cy="4352290"/>
                    </a:xfrm>
                    <a:prstGeom prst="rect">
                      <a:avLst/>
                    </a:prstGeom>
                  </pic:spPr>
                </pic:pic>
              </a:graphicData>
            </a:graphic>
          </wp:inline>
        </w:drawing>
      </w:r>
    </w:p>
    <w:p>
      <w:pPr>
        <w:pStyle w:val="25"/>
        <w:ind w:left="281" w:hanging="281"/>
        <w:rPr>
          <w:rFonts w:hint="eastAsia"/>
        </w:rPr>
      </w:pPr>
      <w:r>
        <w:rPr>
          <w:rFonts w:hint="eastAsia"/>
        </w:rPr>
        <w:t>管理人报告</w:t>
      </w:r>
    </w:p>
    <w:p>
      <w:pPr>
        <w:pStyle w:val="22"/>
        <w:spacing w:before="312"/>
        <w:rPr>
          <w:rFonts w:hint="eastAsia"/>
        </w:rPr>
      </w:pPr>
      <w:r>
        <w:rPr>
          <w:rFonts w:hint="eastAsia"/>
        </w:rPr>
        <w:t>基金经理（或基金经理小组）简介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851"/>
        <w:gridCol w:w="1117"/>
        <w:gridCol w:w="1117"/>
        <w:gridCol w:w="703"/>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Merge w:val="restart"/>
            <w:shd w:val="clear" w:color="auto" w:fill="BFBFBF"/>
            <w:vAlign w:val="center"/>
          </w:tcPr>
          <w:p>
            <w:pPr>
              <w:jc w:val="center"/>
              <w:rPr>
                <w:rFonts w:hint="eastAsia"/>
              </w:rPr>
            </w:pPr>
            <w:r>
              <w:rPr>
                <w:rFonts w:hint="eastAsia"/>
              </w:rPr>
              <w:t>姓名</w:t>
            </w:r>
          </w:p>
        </w:tc>
        <w:tc>
          <w:tcPr>
            <w:tcW w:w="851" w:type="dxa"/>
            <w:vMerge w:val="restart"/>
            <w:shd w:val="clear" w:color="auto" w:fill="BFBFBF"/>
            <w:vAlign w:val="center"/>
          </w:tcPr>
          <w:p>
            <w:pPr>
              <w:jc w:val="center"/>
              <w:rPr>
                <w:rFonts w:hint="eastAsia"/>
              </w:rPr>
            </w:pPr>
            <w:r>
              <w:rPr>
                <w:rFonts w:hint="eastAsia"/>
              </w:rPr>
              <w:t>职务</w:t>
            </w:r>
          </w:p>
        </w:tc>
        <w:tc>
          <w:tcPr>
            <w:tcW w:w="2234" w:type="dxa"/>
            <w:gridSpan w:val="2"/>
            <w:tcBorders>
              <w:bottom w:val="single" w:color="auto" w:sz="4" w:space="0"/>
            </w:tcBorders>
            <w:shd w:val="clear" w:color="auto" w:fill="BFBFBF"/>
            <w:vAlign w:val="center"/>
          </w:tcPr>
          <w:p>
            <w:pPr>
              <w:jc w:val="center"/>
              <w:rPr>
                <w:rFonts w:hint="eastAsia"/>
              </w:rPr>
            </w:pPr>
            <w:r>
              <w:rPr>
                <w:rFonts w:hint="eastAsia"/>
              </w:rPr>
              <w:t>任本基金的基金经理期限</w:t>
            </w:r>
          </w:p>
        </w:tc>
        <w:tc>
          <w:tcPr>
            <w:tcW w:w="703" w:type="dxa"/>
            <w:vMerge w:val="restart"/>
            <w:shd w:val="clear" w:color="auto" w:fill="BFBFBF"/>
            <w:vAlign w:val="center"/>
          </w:tcPr>
          <w:p>
            <w:pPr>
              <w:jc w:val="center"/>
              <w:rPr>
                <w:rFonts w:hint="eastAsia"/>
              </w:rPr>
            </w:pPr>
            <w:r>
              <w:rPr>
                <w:rFonts w:hint="eastAsia"/>
              </w:rPr>
              <w:t>证券从业年限</w:t>
            </w:r>
          </w:p>
        </w:tc>
        <w:tc>
          <w:tcPr>
            <w:tcW w:w="3856" w:type="dxa"/>
            <w:vMerge w:val="restart"/>
            <w:shd w:val="clear" w:color="auto" w:fill="BFBFBF"/>
            <w:vAlign w:val="center"/>
          </w:tcPr>
          <w:p>
            <w:pPr>
              <w:jc w:val="center"/>
              <w:rPr>
                <w:rFonts w:hint="eastAsia"/>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Merge w:val="continue"/>
            <w:vAlign w:val="center"/>
          </w:tcPr>
          <w:p>
            <w:pPr>
              <w:jc w:val="left"/>
              <w:rPr>
                <w:rFonts w:hint="eastAsia"/>
              </w:rPr>
            </w:pPr>
          </w:p>
        </w:tc>
        <w:tc>
          <w:tcPr>
            <w:tcW w:w="851" w:type="dxa"/>
            <w:vMerge w:val="continue"/>
            <w:vAlign w:val="center"/>
          </w:tcPr>
          <w:p>
            <w:pPr>
              <w:jc w:val="left"/>
              <w:rPr>
                <w:rFonts w:hint="eastAsia"/>
              </w:rPr>
            </w:pPr>
          </w:p>
        </w:tc>
        <w:tc>
          <w:tcPr>
            <w:tcW w:w="1117" w:type="dxa"/>
            <w:shd w:val="clear" w:color="auto" w:fill="BFBFBF"/>
            <w:vAlign w:val="center"/>
          </w:tcPr>
          <w:p>
            <w:pPr>
              <w:jc w:val="center"/>
              <w:rPr>
                <w:rFonts w:hint="eastAsia"/>
              </w:rPr>
            </w:pPr>
            <w:r>
              <w:rPr>
                <w:rFonts w:hint="eastAsia"/>
              </w:rPr>
              <w:t>任职日期</w:t>
            </w:r>
          </w:p>
        </w:tc>
        <w:tc>
          <w:tcPr>
            <w:tcW w:w="1117" w:type="dxa"/>
            <w:shd w:val="clear" w:color="auto" w:fill="BFBFBF"/>
            <w:vAlign w:val="center"/>
          </w:tcPr>
          <w:p>
            <w:pPr>
              <w:jc w:val="center"/>
              <w:rPr>
                <w:rFonts w:hint="eastAsia"/>
              </w:rPr>
            </w:pPr>
            <w:r>
              <w:rPr>
                <w:rFonts w:hint="eastAsia"/>
              </w:rPr>
              <w:t>离任日期</w:t>
            </w:r>
          </w:p>
        </w:tc>
        <w:tc>
          <w:tcPr>
            <w:tcW w:w="703" w:type="dxa"/>
            <w:vMerge w:val="continue"/>
            <w:vAlign w:val="center"/>
          </w:tcPr>
          <w:p>
            <w:pPr>
              <w:jc w:val="left"/>
              <w:rPr>
                <w:rFonts w:hint="eastAsia"/>
              </w:rPr>
            </w:pPr>
          </w:p>
        </w:tc>
        <w:tc>
          <w:tcPr>
            <w:tcW w:w="3856" w:type="dxa"/>
            <w:vMerge w:val="continue"/>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dxa"/>
            <w:vAlign w:val="center"/>
          </w:tcPr>
          <w:p>
            <w:pPr>
              <w:jc w:val="left"/>
              <w:rPr>
                <w:rFonts w:hint="eastAsia"/>
              </w:rPr>
            </w:pPr>
            <w:r>
              <w:rPr>
                <w:rFonts w:hint="eastAsia"/>
              </w:rPr>
              <w:t>黄亮</w:t>
            </w:r>
          </w:p>
        </w:tc>
        <w:tc>
          <w:tcPr>
            <w:tcW w:w="851" w:type="dxa"/>
            <w:vAlign w:val="center"/>
          </w:tcPr>
          <w:p>
            <w:pPr>
              <w:jc w:val="left"/>
              <w:rPr>
                <w:rFonts w:hint="eastAsia"/>
              </w:rPr>
            </w:pPr>
            <w:r>
              <w:rPr>
                <w:rFonts w:hint="eastAsia"/>
              </w:rPr>
              <w:t>本基金基金经理</w:t>
            </w:r>
          </w:p>
        </w:tc>
        <w:tc>
          <w:tcPr>
            <w:tcW w:w="1117" w:type="dxa"/>
            <w:vAlign w:val="center"/>
          </w:tcPr>
          <w:p>
            <w:pPr>
              <w:jc w:val="left"/>
              <w:rPr>
                <w:rFonts w:hint="eastAsia"/>
              </w:rPr>
            </w:pPr>
            <w:r>
              <w:rPr>
                <w:rFonts w:hint="eastAsia"/>
              </w:rPr>
              <w:t>2017年10月26日</w:t>
            </w:r>
          </w:p>
        </w:tc>
        <w:tc>
          <w:tcPr>
            <w:tcW w:w="1117" w:type="dxa"/>
            <w:vAlign w:val="center"/>
          </w:tcPr>
          <w:p>
            <w:pPr>
              <w:jc w:val="right"/>
              <w:rPr>
                <w:rFonts w:hint="eastAsia"/>
              </w:rPr>
            </w:pPr>
            <w:r>
              <w:t>-</w:t>
            </w:r>
          </w:p>
        </w:tc>
        <w:tc>
          <w:tcPr>
            <w:tcW w:w="703" w:type="dxa"/>
            <w:vAlign w:val="center"/>
          </w:tcPr>
          <w:p>
            <w:pPr>
              <w:jc w:val="left"/>
              <w:rPr>
                <w:rFonts w:hint="eastAsia"/>
              </w:rPr>
            </w:pPr>
            <w:r>
              <w:rPr>
                <w:rFonts w:hint="eastAsia"/>
              </w:rPr>
              <w:t>19年</w:t>
            </w:r>
          </w:p>
        </w:tc>
        <w:tc>
          <w:tcPr>
            <w:tcW w:w="3856" w:type="dxa"/>
            <w:vAlign w:val="center"/>
          </w:tcPr>
          <w:p>
            <w:pPr>
              <w:jc w:val="left"/>
              <w:rPr>
                <w:rFonts w:hint="eastAsia"/>
              </w:rPr>
            </w:pPr>
            <w:r>
              <w:rPr>
                <w:rFonts w:hint="eastAsia"/>
              </w:rPr>
              <w:t>北京大学工商管理硕士，具有基金从业资格。曾任职于招商证券股份有限公司、天华投资有限责任公司，2005年加入南方基金国际业务部，现任国际业务部总经理、国际投资决策委员会委员；2011年9月26日至2015年5月13日，任南方中国中小盘基金经理；2015年5月13日至2017年11月9日，任南方香港优选基金经理；2017年4月26日至2019年4月22日，任国企精明基金经理；2010年12月9日至2020年9月18日，任南方金砖基金经理；2009年6月25日至今，任南方全球基金经理；2016年6月15日至今，任南方原油基金经理；2017年10月26日至今，任美国REIT基金经理；2019年4月3日至今，任南方香港成长基金经理。</w:t>
            </w:r>
          </w:p>
        </w:tc>
      </w:tr>
    </w:tbl>
    <w:p>
      <w:pPr>
        <w:pStyle w:val="46"/>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pPr>
        <w:pStyle w:val="17"/>
        <w:ind w:firstLine="420"/>
        <w:rPr>
          <w:rFonts w:hint="eastAsia"/>
        </w:rPr>
      </w:pPr>
      <w:r>
        <w:rPr>
          <w:rFonts w:hint="eastAsia"/>
        </w:rPr>
        <w:t>2、证券从业年限计算标准遵从行业协会《证券业从业人员资格管理办法》中关于证券从业人员范围的相关规定。</w:t>
      </w:r>
    </w:p>
    <w:p>
      <w:pPr>
        <w:pStyle w:val="27"/>
        <w:spacing w:before="156" w:after="156"/>
        <w:rPr>
          <w:rFonts w:hint="eastAsia"/>
        </w:rPr>
      </w:pPr>
      <w:r>
        <w:rPr>
          <w:rFonts w:hint="eastAsia"/>
        </w:rPr>
        <w:t>期末兼任私募资产管理计划投资经理的基金经理同时管理的产品情况</w:t>
      </w:r>
    </w:p>
    <w:p>
      <w:pPr>
        <w:pStyle w:val="22"/>
        <w:spacing w:before="312"/>
        <w:rPr>
          <w:rFonts w:hint="eastAsia"/>
        </w:rPr>
      </w:pPr>
      <w:r>
        <w:rPr>
          <w:rFonts w:hint="eastAsia"/>
        </w:rPr>
        <w:t>境外投资顾问为本基金提供投资建议的主要成员简介</w:t>
      </w:r>
    </w:p>
    <w:p>
      <w:pPr>
        <w:pStyle w:val="17"/>
        <w:ind w:firstLine="420"/>
        <w:rPr>
          <w:rFonts w:hint="eastAsia"/>
        </w:rPr>
      </w:pPr>
      <w:r>
        <w:rPr>
          <w:rFonts w:hint="eastAsia"/>
        </w:rPr>
        <w:t>本基金无境外投资顾问。</w:t>
      </w:r>
    </w:p>
    <w:p>
      <w:pPr>
        <w:pStyle w:val="22"/>
        <w:spacing w:before="312"/>
        <w:rPr>
          <w:rFonts w:hint="eastAsia"/>
        </w:rPr>
      </w:pPr>
      <w:r>
        <w:rPr>
          <w:rFonts w:hint="eastAsia"/>
        </w:rPr>
        <w:t>报告期内本基金运作遵规守信情况的说明</w:t>
      </w:r>
    </w:p>
    <w:p>
      <w:pPr>
        <w:pStyle w:val="17"/>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pPr>
        <w:pStyle w:val="22"/>
        <w:spacing w:before="312"/>
        <w:rPr>
          <w:rFonts w:hint="eastAsia"/>
        </w:rPr>
      </w:pPr>
      <w:r>
        <w:rPr>
          <w:rFonts w:hint="eastAsia"/>
        </w:rPr>
        <w:t>公平交易专项说明</w:t>
      </w:r>
    </w:p>
    <w:p>
      <w:pPr>
        <w:pStyle w:val="27"/>
        <w:spacing w:before="156" w:after="156"/>
        <w:rPr>
          <w:rFonts w:hint="eastAsia"/>
        </w:rPr>
      </w:pPr>
      <w:r>
        <w:rPr>
          <w:rFonts w:hint="eastAsia"/>
        </w:rPr>
        <w:t>公平交易制度的执行情况</w:t>
      </w:r>
    </w:p>
    <w:p>
      <w:pPr>
        <w:pStyle w:val="17"/>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pPr>
        <w:pStyle w:val="27"/>
        <w:spacing w:before="156" w:after="156"/>
        <w:rPr>
          <w:rFonts w:hint="eastAsia"/>
        </w:rPr>
      </w:pPr>
      <w:r>
        <w:rPr>
          <w:rFonts w:hint="eastAsia"/>
        </w:rPr>
        <w:t>异常交易行为的专项说明</w:t>
      </w:r>
    </w:p>
    <w:p>
      <w:pPr>
        <w:pStyle w:val="17"/>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pPr>
        <w:pStyle w:val="22"/>
        <w:spacing w:before="312"/>
        <w:rPr>
          <w:rFonts w:hint="eastAsia"/>
        </w:rPr>
      </w:pPr>
      <w:r>
        <w:rPr>
          <w:rFonts w:hint="eastAsia"/>
        </w:rPr>
        <w:t>报告期内基金的投资策略和业绩表现说明</w:t>
      </w:r>
    </w:p>
    <w:p>
      <w:pPr>
        <w:pStyle w:val="27"/>
        <w:spacing w:before="156" w:after="156"/>
        <w:rPr>
          <w:rFonts w:hint="eastAsia"/>
        </w:rPr>
      </w:pPr>
      <w:r>
        <w:rPr>
          <w:rFonts w:hint="eastAsia"/>
        </w:rPr>
        <w:t>报告期内基金投资策略和运作分析</w:t>
      </w:r>
    </w:p>
    <w:p>
      <w:pPr>
        <w:pStyle w:val="17"/>
        <w:ind w:firstLine="420"/>
        <w:rPr>
          <w:rFonts w:hint="eastAsia"/>
        </w:rPr>
      </w:pPr>
      <w:r>
        <w:rPr>
          <w:rFonts w:hint="eastAsia"/>
        </w:rPr>
        <w:t>2020年初全球受到新冠疫情全面冲击，对全球经济造成整体重大影响。本次疫情对原本就处于后周期的经济造成了重大打击，美国国家经济研究局（NBER）已正式宣布美国经济进入衰退，国际货币基金组织等机构也预计全球将陷入经济衰退。三季度以来，全球商业活动逐步开放，但经济复苏速度仍然较慢，经济活动水平恢复到疫情前水平仍需一定时间。</w:t>
      </w:r>
    </w:p>
    <w:p>
      <w:pPr>
        <w:pStyle w:val="17"/>
        <w:ind w:firstLine="420"/>
        <w:rPr>
          <w:rFonts w:hint="eastAsia"/>
        </w:rPr>
      </w:pPr>
      <w:r>
        <w:rPr>
          <w:rFonts w:hint="eastAsia"/>
        </w:rPr>
        <w:t>较为积极的方面是，目前各国政府和资本市场展现出较强的历史经验学习能力，政策跟进和资本市场反应均较以往周期更为迅速。主要国家的政府及央行通过大规模临时性财政政策及央行扩表等方式缓解了资本市场出现的流动性枯竭的局面。政府对经济的支持政策主要体现在三个方向：1）直升机撒钱缓解大规模失业带来的民生压力，避免贫富差距大幅扩大 2）政府通过信用扩张纾解企业的违约风险，避免企业资金链断裂导致的信贷危机蔓延 3）财政政策发力，通过政府端需求来弥补居民端需求和企业端需求的下滑。</w:t>
      </w:r>
    </w:p>
    <w:p>
      <w:pPr>
        <w:pStyle w:val="17"/>
        <w:ind w:firstLine="420"/>
        <w:rPr>
          <w:rFonts w:hint="eastAsia"/>
        </w:rPr>
      </w:pPr>
      <w:r>
        <w:rPr>
          <w:rFonts w:hint="eastAsia"/>
        </w:rPr>
        <w:t>目前市场的资本价格主要由资金面支撑，随着疫情缓和，经济逐渐复苏，基本面应会对市场逐渐起到稳定作用。</w:t>
      </w:r>
    </w:p>
    <w:p>
      <w:pPr>
        <w:pStyle w:val="17"/>
        <w:ind w:firstLine="420"/>
        <w:rPr>
          <w:rFonts w:hint="eastAsia"/>
        </w:rPr>
      </w:pPr>
      <w:r>
        <w:rPr>
          <w:rFonts w:hint="eastAsia"/>
        </w:rPr>
        <w:t>上半年美国房地产市场也受到了疫情的较大冲击，但美联储的低息政策给房地产行业的复苏提供有利环境，三季度美国房地产业出现亮眼表现，7月、8月美国新屋销售分别为96.5万户、101.1万户，同比上涨36.3%、43.2%，8月销售量创2006年9月以来的十四年新高，也是2006年9月以来新屋销售经季调后的年率首次超过100万整数关口，同比增速则创1996年以来新高。据美联储官员预计，低息货币政策预计能够持续较长时间，应可持续成为房地产投资的支撑，促进房地产市场上升。</w:t>
      </w:r>
    </w:p>
    <w:p>
      <w:pPr>
        <w:pStyle w:val="17"/>
        <w:ind w:firstLine="420"/>
        <w:rPr>
          <w:rFonts w:hint="eastAsia"/>
        </w:rPr>
      </w:pPr>
      <w:r>
        <w:rPr>
          <w:rFonts w:hint="eastAsia"/>
        </w:rPr>
        <w:t>美元计价的道琼斯美国精选REIT全收益指数2020年三度收益率为0.83%。</w:t>
      </w:r>
    </w:p>
    <w:p>
      <w:pPr>
        <w:pStyle w:val="17"/>
        <w:ind w:firstLine="420"/>
        <w:rPr>
          <w:rFonts w:hint="eastAsia"/>
        </w:rPr>
      </w:pPr>
      <w:r>
        <w:rPr>
          <w:rFonts w:hint="eastAsia"/>
        </w:rPr>
        <w:t>展望后市，我们对于美国房地产市场长期表现持积极态度。短期经济复苏缓慢，国际政治局势不确定性较高，资本市场仍可能出现一些震荡。明年在美国大选、英国脱欧等不确定性消除后，全球经济复苏可能加速，风险资产情绪预计会有所提振。美联储已推出了极为宽松的货币政策，对于房地产行业应可起到积极的作用。同时，我们预计宽松的货币环境将有利于利率相关资产价格的恢复，具备较强债性、稳定分红收益的REIT有望受到更多投资者的关注、吸引更多的防御避险资金的流入，投资价值值得重点关注。</w:t>
      </w:r>
    </w:p>
    <w:p>
      <w:pPr>
        <w:pStyle w:val="17"/>
        <w:ind w:firstLine="420"/>
        <w:rPr>
          <w:rFonts w:hint="eastAsia"/>
        </w:rPr>
      </w:pPr>
      <w:r>
        <w:rPr>
          <w:rFonts w:hint="eastAsia"/>
        </w:rPr>
        <w:t>未来，本基金投资团队将密切关注市场变化趋势，谨慎勤勉、恪尽职守，力争实现对标的指数的有效跟踪。</w:t>
      </w:r>
    </w:p>
    <w:p>
      <w:pPr>
        <w:pStyle w:val="27"/>
        <w:spacing w:before="156" w:after="156"/>
        <w:rPr>
          <w:rFonts w:hint="eastAsia"/>
        </w:rPr>
      </w:pPr>
      <w:r>
        <w:rPr>
          <w:rFonts w:hint="eastAsia"/>
        </w:rPr>
        <w:t>报告期内基金的业绩表现</w:t>
      </w:r>
    </w:p>
    <w:p>
      <w:pPr>
        <w:pStyle w:val="17"/>
        <w:ind w:firstLine="420"/>
        <w:rPr>
          <w:rFonts w:hint="eastAsia"/>
        </w:rPr>
      </w:pPr>
      <w:r>
        <w:rPr>
          <w:rFonts w:hint="eastAsia"/>
        </w:rPr>
        <w:t>截至报告期末，本基金A份额净值为0.9047元，报告期内，份额净值增长率为-3.37%，同期业绩基准增长率为-3.73%；本基金C份额净值为0.8940元，报告期内，份额净值增长率为-3.48%，同期业绩基准增长率为-3.73%。</w:t>
      </w:r>
    </w:p>
    <w:p>
      <w:pPr>
        <w:pStyle w:val="22"/>
        <w:spacing w:before="312"/>
        <w:rPr>
          <w:rFonts w:hint="eastAsia"/>
        </w:rPr>
      </w:pPr>
      <w:r>
        <w:rPr>
          <w:rFonts w:hint="eastAsia"/>
        </w:rPr>
        <w:t>报告期内基金持有人数或基金资产净值预警说明</w:t>
      </w:r>
    </w:p>
    <w:p>
      <w:pPr>
        <w:pStyle w:val="17"/>
        <w:ind w:firstLine="420"/>
        <w:rPr>
          <w:rFonts w:hint="eastAsia"/>
        </w:rPr>
      </w:pPr>
      <w:r>
        <w:rPr>
          <w:rFonts w:hint="eastAsia"/>
        </w:rPr>
        <w:t>报告期内，本基金未出现连续二十个交易日基金份额持有人数量不满二百人或者基金资产净值低于五千万元的情形。</w:t>
      </w:r>
    </w:p>
    <w:p>
      <w:pPr>
        <w:pStyle w:val="25"/>
        <w:ind w:left="281" w:hanging="281"/>
        <w:rPr>
          <w:rFonts w:hint="eastAsia"/>
        </w:rPr>
      </w:pPr>
      <w:r>
        <w:rPr>
          <w:rFonts w:hint="eastAsia"/>
        </w:rPr>
        <w:t>投资组合报告</w:t>
      </w:r>
    </w:p>
    <w:p>
      <w:pPr>
        <w:pStyle w:val="22"/>
        <w:spacing w:before="312"/>
        <w:rPr>
          <w:rFonts w:hint="eastAsia"/>
        </w:rPr>
      </w:pPr>
      <w:r>
        <w:rPr>
          <w:rFonts w:hint="eastAsia"/>
        </w:rPr>
        <w:t>报告期末基金资产组合情况</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BFBFBF"/>
            <w:vAlign w:val="center"/>
          </w:tcPr>
          <w:p>
            <w:pPr>
              <w:jc w:val="center"/>
              <w:rPr>
                <w:rFonts w:hint="eastAsia"/>
              </w:rPr>
            </w:pPr>
            <w:r>
              <w:rPr>
                <w:rFonts w:hint="eastAsia"/>
              </w:rPr>
              <w:t>序号</w:t>
            </w:r>
          </w:p>
        </w:tc>
        <w:tc>
          <w:tcPr>
            <w:tcW w:w="2130" w:type="dxa"/>
            <w:shd w:val="clear" w:color="auto" w:fill="BFBFBF"/>
            <w:vAlign w:val="center"/>
          </w:tcPr>
          <w:p>
            <w:pPr>
              <w:jc w:val="center"/>
              <w:rPr>
                <w:rFonts w:hint="eastAsia"/>
              </w:rPr>
            </w:pPr>
            <w:r>
              <w:rPr>
                <w:rFonts w:hint="eastAsia"/>
              </w:rPr>
              <w:t>项目</w:t>
            </w:r>
          </w:p>
        </w:tc>
        <w:tc>
          <w:tcPr>
            <w:tcW w:w="2131" w:type="dxa"/>
            <w:shd w:val="clear" w:color="auto" w:fill="BFBFBF"/>
            <w:vAlign w:val="center"/>
          </w:tcPr>
          <w:p>
            <w:pPr>
              <w:jc w:val="center"/>
              <w:rPr>
                <w:rFonts w:hint="eastAsia"/>
              </w:rPr>
            </w:pPr>
            <w:r>
              <w:rPr>
                <w:rFonts w:hint="eastAsia"/>
              </w:rPr>
              <w:t>金额（人民币元）</w:t>
            </w:r>
          </w:p>
        </w:tc>
        <w:tc>
          <w:tcPr>
            <w:tcW w:w="2131" w:type="dxa"/>
            <w:shd w:val="clear" w:color="auto" w:fill="BFBFBF"/>
            <w:vAlign w:val="center"/>
          </w:tcPr>
          <w:p>
            <w:pPr>
              <w:jc w:val="center"/>
              <w:rPr>
                <w:rFonts w:hint="eastAsia"/>
              </w:rPr>
            </w:pPr>
            <w:r>
              <w:rPr>
                <w:rFonts w:hint="eastAsia"/>
              </w:rPr>
              <w:t>占基金总资产的比例（%）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r>
              <w:t>1</w:t>
            </w:r>
          </w:p>
        </w:tc>
        <w:tc>
          <w:tcPr>
            <w:tcW w:w="2130" w:type="dxa"/>
            <w:vAlign w:val="center"/>
          </w:tcPr>
          <w:p>
            <w:pPr>
              <w:jc w:val="left"/>
              <w:rPr>
                <w:rFonts w:hint="eastAsia"/>
              </w:rPr>
            </w:pPr>
            <w:r>
              <w:rPr>
                <w:rFonts w:hint="eastAsia"/>
              </w:rPr>
              <w:t>权益投资</w:t>
            </w:r>
          </w:p>
        </w:tc>
        <w:tc>
          <w:tcPr>
            <w:tcW w:w="2131" w:type="dxa"/>
            <w:vAlign w:val="center"/>
          </w:tcPr>
          <w:p>
            <w:pPr>
              <w:jc w:val="right"/>
              <w:rPr>
                <w:rFonts w:hint="eastAsia"/>
              </w:rPr>
            </w:pPr>
            <w:r>
              <w:t>63,689,580.26</w:t>
            </w:r>
          </w:p>
        </w:tc>
        <w:tc>
          <w:tcPr>
            <w:tcW w:w="2131" w:type="dxa"/>
            <w:vAlign w:val="center"/>
          </w:tcPr>
          <w:p>
            <w:pPr>
              <w:jc w:val="right"/>
              <w:rPr>
                <w:rFonts w:hint="eastAsia"/>
              </w:rPr>
            </w:pPr>
            <w:r>
              <w:t>82.76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p>
        </w:tc>
        <w:tc>
          <w:tcPr>
            <w:tcW w:w="2130" w:type="dxa"/>
            <w:vAlign w:val="center"/>
          </w:tcPr>
          <w:p>
            <w:pPr>
              <w:jc w:val="left"/>
              <w:rPr>
                <w:rFonts w:hint="eastAsia"/>
              </w:rPr>
            </w:pPr>
            <w:r>
              <w:rPr>
                <w:rFonts w:hint="eastAsia"/>
              </w:rPr>
              <w:t>其中：普通股</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p>
        </w:tc>
        <w:tc>
          <w:tcPr>
            <w:tcW w:w="2130" w:type="dxa"/>
            <w:vAlign w:val="center"/>
          </w:tcPr>
          <w:p>
            <w:pPr>
              <w:jc w:val="left"/>
              <w:rPr>
                <w:rFonts w:hint="eastAsia"/>
              </w:rPr>
            </w:pPr>
            <w:r>
              <w:rPr>
                <w:rFonts w:hint="eastAsia"/>
              </w:rPr>
              <w:t xml:space="preserve">    </w:t>
            </w:r>
            <w:r>
              <w:rPr>
                <w:rFonts w:hint="eastAsia"/>
                <w:lang w:eastAsia="zh-CN"/>
              </w:rPr>
              <w:t>房地产存</w:t>
            </w:r>
            <w:r>
              <w:rPr>
                <w:rFonts w:hint="eastAsia"/>
              </w:rPr>
              <w:t>托凭证</w:t>
            </w:r>
          </w:p>
        </w:tc>
        <w:tc>
          <w:tcPr>
            <w:tcW w:w="2131" w:type="dxa"/>
            <w:vAlign w:val="center"/>
          </w:tcPr>
          <w:p>
            <w:pPr>
              <w:jc w:val="right"/>
              <w:rPr>
                <w:rFonts w:hint="eastAsia"/>
              </w:rPr>
            </w:pPr>
            <w:r>
              <w:t>63,689,580.26</w:t>
            </w:r>
          </w:p>
        </w:tc>
        <w:tc>
          <w:tcPr>
            <w:tcW w:w="2131" w:type="dxa"/>
            <w:vAlign w:val="center"/>
          </w:tcPr>
          <w:p>
            <w:pPr>
              <w:jc w:val="right"/>
              <w:rPr>
                <w:rFonts w:hint="eastAsia"/>
              </w:rPr>
            </w:pPr>
            <w:r>
              <w:t>82.76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r>
              <w:t>2</w:t>
            </w:r>
          </w:p>
        </w:tc>
        <w:tc>
          <w:tcPr>
            <w:tcW w:w="2130" w:type="dxa"/>
            <w:vAlign w:val="center"/>
          </w:tcPr>
          <w:p>
            <w:pPr>
              <w:jc w:val="left"/>
              <w:rPr>
                <w:rFonts w:hint="eastAsia"/>
              </w:rPr>
            </w:pPr>
            <w:r>
              <w:rPr>
                <w:rFonts w:hint="eastAsia"/>
              </w:rPr>
              <w:t>基金投资</w:t>
            </w:r>
          </w:p>
        </w:tc>
        <w:tc>
          <w:tcPr>
            <w:tcW w:w="2131" w:type="dxa"/>
            <w:vAlign w:val="center"/>
          </w:tcPr>
          <w:p>
            <w:pPr>
              <w:jc w:val="right"/>
              <w:rPr>
                <w:rFonts w:hint="eastAsia"/>
              </w:rPr>
            </w:pPr>
            <w:r>
              <w:t>7,270,242.79</w:t>
            </w:r>
          </w:p>
        </w:tc>
        <w:tc>
          <w:tcPr>
            <w:tcW w:w="2131" w:type="dxa"/>
            <w:vAlign w:val="center"/>
          </w:tcPr>
          <w:p>
            <w:pPr>
              <w:jc w:val="right"/>
              <w:rPr>
                <w:rFonts w:hint="eastAsia"/>
              </w:rPr>
            </w:pPr>
            <w: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r>
              <w:t>3</w:t>
            </w:r>
          </w:p>
        </w:tc>
        <w:tc>
          <w:tcPr>
            <w:tcW w:w="2130" w:type="dxa"/>
            <w:vAlign w:val="center"/>
          </w:tcPr>
          <w:p>
            <w:pPr>
              <w:jc w:val="left"/>
              <w:rPr>
                <w:rFonts w:hint="eastAsia"/>
              </w:rPr>
            </w:pPr>
            <w:r>
              <w:rPr>
                <w:rFonts w:hint="eastAsia"/>
              </w:rPr>
              <w:t>固定收益投资</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p>
        </w:tc>
        <w:tc>
          <w:tcPr>
            <w:tcW w:w="2130" w:type="dxa"/>
            <w:vAlign w:val="center"/>
          </w:tcPr>
          <w:p>
            <w:pPr>
              <w:jc w:val="left"/>
              <w:rPr>
                <w:rFonts w:hint="eastAsia"/>
              </w:rPr>
            </w:pPr>
            <w:r>
              <w:rPr>
                <w:rFonts w:hint="eastAsia"/>
              </w:rPr>
              <w:t>其中：债券</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p>
        </w:tc>
        <w:tc>
          <w:tcPr>
            <w:tcW w:w="2130" w:type="dxa"/>
            <w:vAlign w:val="center"/>
          </w:tcPr>
          <w:p>
            <w:pPr>
              <w:jc w:val="left"/>
              <w:rPr>
                <w:rFonts w:hint="eastAsia"/>
              </w:rPr>
            </w:pPr>
            <w:r>
              <w:rPr>
                <w:rFonts w:hint="eastAsia"/>
              </w:rPr>
              <w:t xml:space="preserve">      资产支持证券</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r>
              <w:t>4</w:t>
            </w:r>
          </w:p>
        </w:tc>
        <w:tc>
          <w:tcPr>
            <w:tcW w:w="2130" w:type="dxa"/>
            <w:vAlign w:val="center"/>
          </w:tcPr>
          <w:p>
            <w:pPr>
              <w:jc w:val="left"/>
              <w:rPr>
                <w:rFonts w:hint="eastAsia"/>
              </w:rPr>
            </w:pPr>
            <w:r>
              <w:rPr>
                <w:rFonts w:hint="eastAsia"/>
              </w:rPr>
              <w:t>金融衍生品投资</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p>
        </w:tc>
        <w:tc>
          <w:tcPr>
            <w:tcW w:w="2130" w:type="dxa"/>
            <w:vAlign w:val="center"/>
          </w:tcPr>
          <w:p>
            <w:pPr>
              <w:jc w:val="left"/>
              <w:rPr>
                <w:rFonts w:hint="eastAsia"/>
              </w:rPr>
            </w:pPr>
            <w:r>
              <w:rPr>
                <w:rFonts w:hint="eastAsia"/>
              </w:rPr>
              <w:t>其中：远期</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p>
        </w:tc>
        <w:tc>
          <w:tcPr>
            <w:tcW w:w="2130" w:type="dxa"/>
            <w:vAlign w:val="center"/>
          </w:tcPr>
          <w:p>
            <w:pPr>
              <w:jc w:val="left"/>
              <w:rPr>
                <w:rFonts w:hint="eastAsia"/>
              </w:rPr>
            </w:pPr>
            <w:r>
              <w:rPr>
                <w:rFonts w:hint="eastAsia"/>
              </w:rPr>
              <w:t xml:space="preserve">      期货</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p>
        </w:tc>
        <w:tc>
          <w:tcPr>
            <w:tcW w:w="2130" w:type="dxa"/>
            <w:vAlign w:val="center"/>
          </w:tcPr>
          <w:p>
            <w:pPr>
              <w:jc w:val="left"/>
              <w:rPr>
                <w:rFonts w:hint="eastAsia"/>
              </w:rPr>
            </w:pPr>
            <w:r>
              <w:rPr>
                <w:rFonts w:hint="eastAsia"/>
              </w:rPr>
              <w:t xml:space="preserve">      期权</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p>
        </w:tc>
        <w:tc>
          <w:tcPr>
            <w:tcW w:w="2130" w:type="dxa"/>
            <w:vAlign w:val="center"/>
          </w:tcPr>
          <w:p>
            <w:pPr>
              <w:jc w:val="left"/>
              <w:rPr>
                <w:rFonts w:hint="eastAsia"/>
              </w:rPr>
            </w:pPr>
            <w:r>
              <w:rPr>
                <w:rFonts w:hint="eastAsia"/>
              </w:rPr>
              <w:t xml:space="preserve">      权证</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r>
              <w:t>5</w:t>
            </w:r>
          </w:p>
        </w:tc>
        <w:tc>
          <w:tcPr>
            <w:tcW w:w="2130" w:type="dxa"/>
            <w:vAlign w:val="center"/>
          </w:tcPr>
          <w:p>
            <w:pPr>
              <w:jc w:val="left"/>
              <w:rPr>
                <w:rFonts w:hint="eastAsia"/>
              </w:rPr>
            </w:pPr>
            <w:r>
              <w:rPr>
                <w:rFonts w:hint="eastAsia"/>
              </w:rPr>
              <w:t>买入返售金融资产</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p>
        </w:tc>
        <w:tc>
          <w:tcPr>
            <w:tcW w:w="2130" w:type="dxa"/>
            <w:vAlign w:val="center"/>
          </w:tcPr>
          <w:p>
            <w:pPr>
              <w:jc w:val="left"/>
              <w:rPr>
                <w:rFonts w:hint="eastAsia"/>
              </w:rPr>
            </w:pPr>
            <w:r>
              <w:rPr>
                <w:rFonts w:hint="eastAsia"/>
              </w:rPr>
              <w:t>其中：买断式回购的买入返售金融资产</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r>
              <w:t>6</w:t>
            </w:r>
          </w:p>
        </w:tc>
        <w:tc>
          <w:tcPr>
            <w:tcW w:w="2130" w:type="dxa"/>
            <w:vAlign w:val="center"/>
          </w:tcPr>
          <w:p>
            <w:pPr>
              <w:jc w:val="left"/>
              <w:rPr>
                <w:rFonts w:hint="eastAsia"/>
              </w:rPr>
            </w:pPr>
            <w:r>
              <w:rPr>
                <w:rFonts w:hint="eastAsia"/>
              </w:rPr>
              <w:t>货币市场工具</w:t>
            </w:r>
          </w:p>
        </w:tc>
        <w:tc>
          <w:tcPr>
            <w:tcW w:w="2131" w:type="dxa"/>
            <w:vAlign w:val="center"/>
          </w:tcPr>
          <w:p>
            <w:pPr>
              <w:jc w:val="right"/>
              <w:rPr>
                <w:rFonts w:hint="eastAsia"/>
              </w:rPr>
            </w:pPr>
            <w:r>
              <w:t>-</w:t>
            </w:r>
          </w:p>
        </w:tc>
        <w:tc>
          <w:tcPr>
            <w:tcW w:w="213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r>
              <w:t>7</w:t>
            </w:r>
          </w:p>
        </w:tc>
        <w:tc>
          <w:tcPr>
            <w:tcW w:w="2130" w:type="dxa"/>
            <w:vAlign w:val="center"/>
          </w:tcPr>
          <w:p>
            <w:pPr>
              <w:jc w:val="left"/>
              <w:rPr>
                <w:rFonts w:hint="eastAsia"/>
              </w:rPr>
            </w:pPr>
            <w:r>
              <w:rPr>
                <w:rFonts w:hint="eastAsia"/>
              </w:rPr>
              <w:t>银行存款和结算备付金合计</w:t>
            </w:r>
          </w:p>
        </w:tc>
        <w:tc>
          <w:tcPr>
            <w:tcW w:w="2131" w:type="dxa"/>
            <w:vAlign w:val="center"/>
          </w:tcPr>
          <w:p>
            <w:pPr>
              <w:jc w:val="right"/>
              <w:rPr>
                <w:rFonts w:hint="eastAsia"/>
              </w:rPr>
            </w:pPr>
            <w:r>
              <w:t>4,900,649.47</w:t>
            </w:r>
          </w:p>
        </w:tc>
        <w:tc>
          <w:tcPr>
            <w:tcW w:w="2131" w:type="dxa"/>
            <w:vAlign w:val="center"/>
          </w:tcPr>
          <w:p>
            <w:pPr>
              <w:jc w:val="right"/>
              <w:rPr>
                <w:rFonts w:hint="eastAsia"/>
              </w:rPr>
            </w:pPr>
            <w: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r>
              <w:t>8</w:t>
            </w:r>
          </w:p>
        </w:tc>
        <w:tc>
          <w:tcPr>
            <w:tcW w:w="2130" w:type="dxa"/>
            <w:vAlign w:val="center"/>
          </w:tcPr>
          <w:p>
            <w:pPr>
              <w:jc w:val="left"/>
              <w:rPr>
                <w:rFonts w:hint="eastAsia"/>
              </w:rPr>
            </w:pPr>
            <w:r>
              <w:rPr>
                <w:rFonts w:hint="eastAsia"/>
              </w:rPr>
              <w:t>其他资产</w:t>
            </w:r>
          </w:p>
        </w:tc>
        <w:tc>
          <w:tcPr>
            <w:tcW w:w="2131" w:type="dxa"/>
            <w:vAlign w:val="center"/>
          </w:tcPr>
          <w:p>
            <w:pPr>
              <w:jc w:val="right"/>
              <w:rPr>
                <w:rFonts w:hint="eastAsia"/>
              </w:rPr>
            </w:pPr>
            <w:r>
              <w:t>1,092,457.15</w:t>
            </w:r>
          </w:p>
        </w:tc>
        <w:tc>
          <w:tcPr>
            <w:tcW w:w="2131" w:type="dxa"/>
            <w:vAlign w:val="center"/>
          </w:tcPr>
          <w:p>
            <w:pPr>
              <w:jc w:val="right"/>
              <w:rPr>
                <w:rFonts w:hint="eastAsia"/>
              </w:rPr>
            </w:pPr>
            <w: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rPr>
            </w:pPr>
            <w:r>
              <w:t>9</w:t>
            </w:r>
          </w:p>
        </w:tc>
        <w:tc>
          <w:tcPr>
            <w:tcW w:w="2130" w:type="dxa"/>
            <w:vAlign w:val="center"/>
          </w:tcPr>
          <w:p>
            <w:pPr>
              <w:jc w:val="left"/>
              <w:rPr>
                <w:rFonts w:hint="eastAsia"/>
              </w:rPr>
            </w:pPr>
            <w:r>
              <w:rPr>
                <w:rFonts w:hint="eastAsia"/>
              </w:rPr>
              <w:t>合计</w:t>
            </w:r>
          </w:p>
        </w:tc>
        <w:tc>
          <w:tcPr>
            <w:tcW w:w="2131" w:type="dxa"/>
            <w:vAlign w:val="center"/>
          </w:tcPr>
          <w:p>
            <w:pPr>
              <w:jc w:val="right"/>
              <w:rPr>
                <w:rFonts w:hint="eastAsia"/>
              </w:rPr>
            </w:pPr>
            <w:r>
              <w:t>76,952,929.67</w:t>
            </w:r>
          </w:p>
        </w:tc>
        <w:tc>
          <w:tcPr>
            <w:tcW w:w="2131" w:type="dxa"/>
            <w:vAlign w:val="center"/>
          </w:tcPr>
          <w:p>
            <w:pPr>
              <w:jc w:val="right"/>
              <w:rPr>
                <w:rFonts w:hint="eastAsia"/>
              </w:rPr>
            </w:pPr>
            <w:r>
              <w:t>100.00</w:t>
            </w:r>
          </w:p>
        </w:tc>
      </w:tr>
    </w:tbl>
    <w:p>
      <w:pPr>
        <w:pStyle w:val="22"/>
        <w:spacing w:before="312"/>
        <w:rPr>
          <w:rFonts w:hint="eastAsia"/>
        </w:rPr>
      </w:pPr>
      <w:r>
        <w:rPr>
          <w:rFonts w:hint="eastAsia"/>
        </w:rPr>
        <w:t>报告期末在各个国家（地区）证券市场的股票及存托凭证投资分布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shd w:val="clear" w:color="auto" w:fill="BFBFBF"/>
            <w:vAlign w:val="center"/>
          </w:tcPr>
          <w:p>
            <w:pPr>
              <w:jc w:val="center"/>
              <w:rPr>
                <w:rFonts w:hint="eastAsia"/>
              </w:rPr>
            </w:pPr>
            <w:r>
              <w:rPr>
                <w:rFonts w:hint="eastAsia"/>
              </w:rPr>
              <w:t>国家（地区）</w:t>
            </w:r>
          </w:p>
        </w:tc>
        <w:tc>
          <w:tcPr>
            <w:tcW w:w="2841" w:type="dxa"/>
            <w:shd w:val="clear" w:color="auto" w:fill="BFBFBF"/>
            <w:vAlign w:val="center"/>
          </w:tcPr>
          <w:p>
            <w:pPr>
              <w:jc w:val="center"/>
              <w:rPr>
                <w:rFonts w:hint="eastAsia"/>
              </w:rPr>
            </w:pPr>
            <w:r>
              <w:rPr>
                <w:rFonts w:hint="eastAsia"/>
              </w:rPr>
              <w:t>公允价值（人民币元）</w:t>
            </w:r>
          </w:p>
        </w:tc>
        <w:tc>
          <w:tcPr>
            <w:tcW w:w="2841" w:type="dxa"/>
            <w:shd w:val="clear" w:color="auto" w:fill="BFBFBF"/>
            <w:vAlign w:val="center"/>
          </w:tcPr>
          <w:p>
            <w:pPr>
              <w:jc w:val="center"/>
              <w:rPr>
                <w:rFonts w:hint="eastAsia"/>
              </w:rPr>
            </w:pPr>
            <w:r>
              <w:rPr>
                <w:rFonts w:hint="eastAsia"/>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美国</w:t>
            </w:r>
          </w:p>
        </w:tc>
        <w:tc>
          <w:tcPr>
            <w:tcW w:w="2841" w:type="dxa"/>
            <w:vAlign w:val="center"/>
          </w:tcPr>
          <w:p>
            <w:pPr>
              <w:jc w:val="right"/>
              <w:rPr>
                <w:rFonts w:hint="eastAsia"/>
              </w:rPr>
            </w:pPr>
            <w:r>
              <w:t>63,689,580.26</w:t>
            </w:r>
          </w:p>
        </w:tc>
        <w:tc>
          <w:tcPr>
            <w:tcW w:w="2841" w:type="dxa"/>
            <w:vAlign w:val="center"/>
          </w:tcPr>
          <w:p>
            <w:pPr>
              <w:jc w:val="right"/>
              <w:rPr>
                <w:rFonts w:hint="eastAsia"/>
              </w:rPr>
            </w:pPr>
            <w:r>
              <w:t>83.87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合计</w:t>
            </w:r>
          </w:p>
        </w:tc>
        <w:tc>
          <w:tcPr>
            <w:tcW w:w="2841" w:type="dxa"/>
            <w:vAlign w:val="center"/>
          </w:tcPr>
          <w:p>
            <w:pPr>
              <w:jc w:val="right"/>
              <w:rPr>
                <w:rFonts w:hint="eastAsia"/>
              </w:rPr>
            </w:pPr>
            <w:r>
              <w:t>63,689,580.26</w:t>
            </w:r>
          </w:p>
        </w:tc>
        <w:tc>
          <w:tcPr>
            <w:tcW w:w="2841" w:type="dxa"/>
            <w:vAlign w:val="center"/>
          </w:tcPr>
          <w:p>
            <w:pPr>
              <w:jc w:val="right"/>
              <w:rPr>
                <w:rFonts w:hint="eastAsia"/>
              </w:rPr>
            </w:pPr>
            <w:r>
              <w:t>83.87</w:t>
            </w:r>
          </w:p>
        </w:tc>
      </w:tr>
    </w:tbl>
    <w:p>
      <w:pPr>
        <w:pStyle w:val="22"/>
        <w:spacing w:before="312"/>
        <w:rPr>
          <w:rFonts w:hint="eastAsia"/>
        </w:rPr>
      </w:pPr>
      <w:r>
        <w:rPr>
          <w:rFonts w:hint="eastAsia"/>
        </w:rPr>
        <w:t>报告期末按行业分类的股票及存托凭证投资组合</w:t>
      </w:r>
    </w:p>
    <w:p>
      <w:pPr>
        <w:pStyle w:val="27"/>
        <w:spacing w:before="156" w:after="156"/>
        <w:rPr>
          <w:rFonts w:hint="eastAsia"/>
        </w:rPr>
      </w:pPr>
      <w:r>
        <w:rPr>
          <w:rFonts w:hint="eastAsia"/>
        </w:rPr>
        <w:t>报告期末指数投资按行业分类的股票及存托凭证投资组合</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BFBFBF"/>
            <w:vAlign w:val="center"/>
          </w:tcPr>
          <w:p>
            <w:pPr>
              <w:jc w:val="center"/>
              <w:rPr>
                <w:rFonts w:hint="eastAsia"/>
              </w:rPr>
            </w:pPr>
            <w:r>
              <w:rPr>
                <w:rFonts w:hint="eastAsia"/>
              </w:rPr>
              <w:t>行业类别</w:t>
            </w:r>
          </w:p>
        </w:tc>
        <w:tc>
          <w:tcPr>
            <w:tcW w:w="2841" w:type="dxa"/>
            <w:shd w:val="clear" w:color="auto" w:fill="BFBFBF"/>
            <w:vAlign w:val="center"/>
          </w:tcPr>
          <w:p>
            <w:pPr>
              <w:jc w:val="center"/>
              <w:rPr>
                <w:rFonts w:hint="eastAsia"/>
              </w:rPr>
            </w:pPr>
            <w:r>
              <w:rPr>
                <w:rFonts w:hint="eastAsia"/>
              </w:rPr>
              <w:t>公允价值（人民币元）</w:t>
            </w:r>
          </w:p>
        </w:tc>
        <w:tc>
          <w:tcPr>
            <w:tcW w:w="2841" w:type="dxa"/>
            <w:shd w:val="clear" w:color="auto" w:fill="BFBFBF"/>
            <w:vAlign w:val="center"/>
          </w:tcPr>
          <w:p>
            <w:pPr>
              <w:jc w:val="center"/>
              <w:rPr>
                <w:rFonts w:hint="eastAsia"/>
              </w:rPr>
            </w:pPr>
            <w:r>
              <w:rPr>
                <w:rFonts w:hint="eastAsia"/>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保健REIT</w:t>
            </w:r>
          </w:p>
        </w:tc>
        <w:tc>
          <w:tcPr>
            <w:tcW w:w="2841" w:type="dxa"/>
            <w:vAlign w:val="center"/>
          </w:tcPr>
          <w:p>
            <w:pPr>
              <w:jc w:val="right"/>
              <w:rPr>
                <w:rFonts w:hint="eastAsia"/>
              </w:rPr>
            </w:pPr>
            <w:r>
              <w:t>7,080,931.96</w:t>
            </w:r>
          </w:p>
        </w:tc>
        <w:tc>
          <w:tcPr>
            <w:tcW w:w="2841" w:type="dxa"/>
            <w:vAlign w:val="center"/>
          </w:tcPr>
          <w:p>
            <w:pPr>
              <w:jc w:val="right"/>
              <w:rPr>
                <w:rFonts w:hint="eastAsia"/>
              </w:rPr>
            </w:pPr>
            <w:r>
              <w:t>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酒店REIT</w:t>
            </w:r>
          </w:p>
        </w:tc>
        <w:tc>
          <w:tcPr>
            <w:tcW w:w="2841" w:type="dxa"/>
            <w:vAlign w:val="center"/>
          </w:tcPr>
          <w:p>
            <w:pPr>
              <w:jc w:val="right"/>
              <w:rPr>
                <w:rFonts w:hint="eastAsia"/>
              </w:rPr>
            </w:pPr>
            <w:r>
              <w:t>2,198,217.61</w:t>
            </w:r>
          </w:p>
        </w:tc>
        <w:tc>
          <w:tcPr>
            <w:tcW w:w="2841" w:type="dxa"/>
            <w:vAlign w:val="center"/>
          </w:tcPr>
          <w:p>
            <w:pPr>
              <w:jc w:val="right"/>
              <w:rPr>
                <w:rFonts w:hint="eastAsia"/>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住宅REIT</w:t>
            </w:r>
          </w:p>
        </w:tc>
        <w:tc>
          <w:tcPr>
            <w:tcW w:w="2841" w:type="dxa"/>
            <w:vAlign w:val="center"/>
          </w:tcPr>
          <w:p>
            <w:pPr>
              <w:jc w:val="right"/>
              <w:rPr>
                <w:rFonts w:hint="eastAsia"/>
              </w:rPr>
            </w:pPr>
            <w:r>
              <w:t>13,228,866.80</w:t>
            </w:r>
          </w:p>
        </w:tc>
        <w:tc>
          <w:tcPr>
            <w:tcW w:w="2841" w:type="dxa"/>
            <w:vAlign w:val="center"/>
          </w:tcPr>
          <w:p>
            <w:pPr>
              <w:jc w:val="right"/>
              <w:rPr>
                <w:rFonts w:hint="eastAsia"/>
              </w:rPr>
            </w:pPr>
            <w:r>
              <w:t>17.42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工业REIT</w:t>
            </w:r>
          </w:p>
        </w:tc>
        <w:tc>
          <w:tcPr>
            <w:tcW w:w="2841" w:type="dxa"/>
            <w:vAlign w:val="center"/>
          </w:tcPr>
          <w:p>
            <w:pPr>
              <w:jc w:val="right"/>
              <w:rPr>
                <w:rFonts w:hint="eastAsia"/>
              </w:rPr>
            </w:pPr>
            <w:r>
              <w:t>12,194,135.70</w:t>
            </w:r>
          </w:p>
        </w:tc>
        <w:tc>
          <w:tcPr>
            <w:tcW w:w="2841" w:type="dxa"/>
            <w:vAlign w:val="center"/>
          </w:tcPr>
          <w:p>
            <w:pPr>
              <w:jc w:val="right"/>
              <w:rPr>
                <w:rFonts w:hint="eastAsia"/>
              </w:rPr>
            </w:pPr>
            <w:r>
              <w:t>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多种资产类别REIT</w:t>
            </w:r>
          </w:p>
        </w:tc>
        <w:tc>
          <w:tcPr>
            <w:tcW w:w="2841" w:type="dxa"/>
            <w:vAlign w:val="center"/>
          </w:tcPr>
          <w:p>
            <w:pPr>
              <w:jc w:val="right"/>
              <w:rPr>
                <w:rFonts w:hint="eastAsia"/>
              </w:rPr>
            </w:pPr>
            <w:r>
              <w:t>1,519,487.36</w:t>
            </w:r>
          </w:p>
        </w:tc>
        <w:tc>
          <w:tcPr>
            <w:tcW w:w="2841" w:type="dxa"/>
            <w:vAlign w:val="center"/>
          </w:tcPr>
          <w:p>
            <w:pPr>
              <w:jc w:val="right"/>
              <w:rPr>
                <w:rFonts w:hint="eastAsia"/>
              </w:rPr>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办公楼REIT</w:t>
            </w:r>
          </w:p>
        </w:tc>
        <w:tc>
          <w:tcPr>
            <w:tcW w:w="2841" w:type="dxa"/>
            <w:vAlign w:val="center"/>
          </w:tcPr>
          <w:p>
            <w:pPr>
              <w:jc w:val="right"/>
              <w:rPr>
                <w:rFonts w:hint="eastAsia"/>
              </w:rPr>
            </w:pPr>
            <w:r>
              <w:t>7,987,966.59</w:t>
            </w:r>
          </w:p>
        </w:tc>
        <w:tc>
          <w:tcPr>
            <w:tcW w:w="2841" w:type="dxa"/>
            <w:vAlign w:val="center"/>
          </w:tcPr>
          <w:p>
            <w:pPr>
              <w:jc w:val="right"/>
              <w:rPr>
                <w:rFonts w:hint="eastAsia"/>
              </w:rPr>
            </w:pPr>
            <w:r>
              <w:t>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停车场REIT</w:t>
            </w:r>
          </w:p>
        </w:tc>
        <w:tc>
          <w:tcPr>
            <w:tcW w:w="2841" w:type="dxa"/>
            <w:vAlign w:val="center"/>
          </w:tcPr>
          <w:p>
            <w:pPr>
              <w:jc w:val="right"/>
              <w:rPr>
                <w:rFonts w:hint="eastAsia"/>
              </w:rPr>
            </w:pPr>
            <w:r>
              <w:t>-</w:t>
            </w:r>
          </w:p>
        </w:tc>
        <w:tc>
          <w:tcPr>
            <w:tcW w:w="284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零售REIT</w:t>
            </w:r>
          </w:p>
        </w:tc>
        <w:tc>
          <w:tcPr>
            <w:tcW w:w="2841" w:type="dxa"/>
            <w:vAlign w:val="center"/>
          </w:tcPr>
          <w:p>
            <w:pPr>
              <w:jc w:val="right"/>
              <w:rPr>
                <w:rFonts w:hint="eastAsia"/>
              </w:rPr>
            </w:pPr>
            <w:r>
              <w:t>9,235,945.60</w:t>
            </w:r>
          </w:p>
        </w:tc>
        <w:tc>
          <w:tcPr>
            <w:tcW w:w="2841" w:type="dxa"/>
            <w:vAlign w:val="center"/>
          </w:tcPr>
          <w:p>
            <w:pPr>
              <w:jc w:val="right"/>
              <w:rPr>
                <w:rFonts w:hint="eastAsia"/>
              </w:rPr>
            </w:pPr>
            <w: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自助仓库REIT</w:t>
            </w:r>
          </w:p>
        </w:tc>
        <w:tc>
          <w:tcPr>
            <w:tcW w:w="2841" w:type="dxa"/>
            <w:vAlign w:val="center"/>
          </w:tcPr>
          <w:p>
            <w:pPr>
              <w:jc w:val="right"/>
              <w:rPr>
                <w:rFonts w:hint="eastAsia"/>
              </w:rPr>
            </w:pPr>
            <w:r>
              <w:t>5,868,692.48</w:t>
            </w:r>
          </w:p>
        </w:tc>
        <w:tc>
          <w:tcPr>
            <w:tcW w:w="2841" w:type="dxa"/>
            <w:vAlign w:val="center"/>
          </w:tcPr>
          <w:p>
            <w:pPr>
              <w:jc w:val="right"/>
              <w:rPr>
                <w:rFonts w:hint="eastAsia"/>
              </w:rPr>
            </w:pPr>
            <w: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数据中心REIT</w:t>
            </w:r>
          </w:p>
        </w:tc>
        <w:tc>
          <w:tcPr>
            <w:tcW w:w="2841" w:type="dxa"/>
            <w:vAlign w:val="center"/>
          </w:tcPr>
          <w:p>
            <w:pPr>
              <w:jc w:val="right"/>
              <w:rPr>
                <w:rFonts w:hint="eastAsia"/>
              </w:rPr>
            </w:pPr>
            <w:r>
              <w:t>4,213,902.74</w:t>
            </w:r>
          </w:p>
        </w:tc>
        <w:tc>
          <w:tcPr>
            <w:tcW w:w="2841" w:type="dxa"/>
            <w:vAlign w:val="center"/>
          </w:tcPr>
          <w:p>
            <w:pPr>
              <w:jc w:val="right"/>
              <w:rPr>
                <w:rFonts w:hint="eastAsia"/>
              </w:rPr>
            </w:pPr>
            <w: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特种REIT</w:t>
            </w:r>
          </w:p>
        </w:tc>
        <w:tc>
          <w:tcPr>
            <w:tcW w:w="2841" w:type="dxa"/>
            <w:vAlign w:val="center"/>
          </w:tcPr>
          <w:p>
            <w:pPr>
              <w:jc w:val="right"/>
              <w:rPr>
                <w:rFonts w:hint="eastAsia"/>
              </w:rPr>
            </w:pPr>
            <w:r>
              <w:t>161,433.42</w:t>
            </w:r>
          </w:p>
        </w:tc>
        <w:tc>
          <w:tcPr>
            <w:tcW w:w="2841" w:type="dxa"/>
            <w:vAlign w:val="center"/>
          </w:tcPr>
          <w:p>
            <w:pPr>
              <w:jc w:val="right"/>
              <w:rPr>
                <w:rFonts w:hint="eastAsia"/>
              </w:rPr>
            </w:pPr>
            <w: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特殊与其他REIT</w:t>
            </w:r>
          </w:p>
        </w:tc>
        <w:tc>
          <w:tcPr>
            <w:tcW w:w="2841" w:type="dxa"/>
            <w:vAlign w:val="center"/>
          </w:tcPr>
          <w:p>
            <w:pPr>
              <w:jc w:val="right"/>
              <w:rPr>
                <w:rFonts w:hint="eastAsia"/>
              </w:rPr>
            </w:pPr>
            <w:r>
              <w:t>-</w:t>
            </w:r>
          </w:p>
        </w:tc>
        <w:tc>
          <w:tcPr>
            <w:tcW w:w="284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合计</w:t>
            </w:r>
          </w:p>
        </w:tc>
        <w:tc>
          <w:tcPr>
            <w:tcW w:w="2841" w:type="dxa"/>
            <w:vAlign w:val="center"/>
          </w:tcPr>
          <w:p>
            <w:pPr>
              <w:jc w:val="right"/>
              <w:rPr>
                <w:rFonts w:hint="eastAsia"/>
              </w:rPr>
            </w:pPr>
            <w:r>
              <w:t>63,689,580.26</w:t>
            </w:r>
          </w:p>
        </w:tc>
        <w:tc>
          <w:tcPr>
            <w:tcW w:w="2841" w:type="dxa"/>
            <w:vAlign w:val="center"/>
          </w:tcPr>
          <w:p>
            <w:pPr>
              <w:jc w:val="right"/>
              <w:rPr>
                <w:rFonts w:hint="eastAsia"/>
              </w:rPr>
            </w:pPr>
            <w:r>
              <w:t>83.87</w:t>
            </w:r>
          </w:p>
        </w:tc>
      </w:tr>
    </w:tbl>
    <w:p>
      <w:pPr>
        <w:pStyle w:val="46"/>
        <w:rPr>
          <w:rFonts w:hint="eastAsia"/>
        </w:rPr>
      </w:pPr>
      <w:r>
        <w:rPr>
          <w:rFonts w:hint="eastAsia"/>
        </w:rPr>
        <w:t>注：比例由于单项和汇总原因，有可能存在尾差。本基金对以上行业分类采用彭博行业分类标准。</w:t>
      </w:r>
    </w:p>
    <w:p>
      <w:pPr>
        <w:pStyle w:val="27"/>
        <w:spacing w:before="156" w:after="156"/>
        <w:rPr>
          <w:rFonts w:hint="eastAsia"/>
        </w:rPr>
      </w:pPr>
      <w:r>
        <w:rPr>
          <w:rFonts w:hint="eastAsia"/>
        </w:rPr>
        <w:t>报告期末积极投资按行业分类的股票及存托凭证投资组合</w:t>
      </w:r>
    </w:p>
    <w:p>
      <w:pPr>
        <w:pStyle w:val="17"/>
        <w:ind w:firstLine="420"/>
        <w:rPr>
          <w:rFonts w:hint="eastAsia"/>
        </w:rPr>
      </w:pPr>
      <w:r>
        <w:rPr>
          <w:rFonts w:hint="eastAsia"/>
        </w:rPr>
        <w:t>本基金本报告期末未持有积极投资的权益投资。</w:t>
      </w:r>
    </w:p>
    <w:p>
      <w:pPr>
        <w:pStyle w:val="22"/>
        <w:spacing w:before="312"/>
        <w:rPr>
          <w:rFonts w:hint="eastAsia"/>
        </w:rPr>
      </w:pPr>
      <w:r>
        <w:rPr>
          <w:rFonts w:hint="eastAsia"/>
        </w:rPr>
        <w:t>报告期末按公允价值占基金资产净值比例大小排序的前十名股票及存托凭证投资明细</w:t>
      </w:r>
    </w:p>
    <w:p>
      <w:pPr>
        <w:pStyle w:val="27"/>
        <w:spacing w:before="156" w:after="156"/>
        <w:rPr>
          <w:rFonts w:hint="eastAsia"/>
        </w:rPr>
      </w:pPr>
      <w:r>
        <w:rPr>
          <w:rFonts w:hint="eastAsia"/>
        </w:rPr>
        <w:t>报告期末指数投资按公允价值占基金资产净值比例大小排序的前十名股票及存托凭证投资明细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110"/>
        <w:gridCol w:w="1140"/>
        <w:gridCol w:w="855"/>
        <w:gridCol w:w="1095"/>
        <w:gridCol w:w="675"/>
        <w:gridCol w:w="870"/>
        <w:gridCol w:w="1440"/>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shd w:val="clear" w:color="auto" w:fill="BFBFBF"/>
            <w:vAlign w:val="center"/>
          </w:tcPr>
          <w:p>
            <w:pPr>
              <w:jc w:val="center"/>
              <w:rPr>
                <w:rFonts w:hint="eastAsia"/>
              </w:rPr>
            </w:pPr>
            <w:r>
              <w:rPr>
                <w:rFonts w:hint="eastAsia"/>
              </w:rPr>
              <w:t>序号</w:t>
            </w:r>
          </w:p>
        </w:tc>
        <w:tc>
          <w:tcPr>
            <w:tcW w:w="1110" w:type="dxa"/>
            <w:shd w:val="clear" w:color="auto" w:fill="BFBFBF"/>
            <w:vAlign w:val="center"/>
          </w:tcPr>
          <w:p>
            <w:pPr>
              <w:jc w:val="center"/>
              <w:rPr>
                <w:rFonts w:hint="eastAsia"/>
              </w:rPr>
            </w:pPr>
            <w:r>
              <w:rPr>
                <w:rFonts w:hint="eastAsia"/>
              </w:rPr>
              <w:t>公司名称（英文）</w:t>
            </w:r>
          </w:p>
        </w:tc>
        <w:tc>
          <w:tcPr>
            <w:tcW w:w="1140" w:type="dxa"/>
            <w:shd w:val="clear" w:color="auto" w:fill="BFBFBF"/>
            <w:vAlign w:val="center"/>
          </w:tcPr>
          <w:p>
            <w:pPr>
              <w:jc w:val="center"/>
              <w:rPr>
                <w:rFonts w:hint="eastAsia"/>
              </w:rPr>
            </w:pPr>
            <w:r>
              <w:rPr>
                <w:rFonts w:hint="eastAsia"/>
              </w:rPr>
              <w:t>公司名称（中文）</w:t>
            </w:r>
          </w:p>
        </w:tc>
        <w:tc>
          <w:tcPr>
            <w:tcW w:w="855" w:type="dxa"/>
            <w:shd w:val="clear" w:color="auto" w:fill="BFBFBF"/>
            <w:vAlign w:val="center"/>
          </w:tcPr>
          <w:p>
            <w:pPr>
              <w:jc w:val="center"/>
              <w:rPr>
                <w:rFonts w:hint="eastAsia"/>
              </w:rPr>
            </w:pPr>
            <w:r>
              <w:rPr>
                <w:rFonts w:hint="eastAsia"/>
              </w:rPr>
              <w:t>证券代码</w:t>
            </w:r>
          </w:p>
        </w:tc>
        <w:tc>
          <w:tcPr>
            <w:tcW w:w="1095" w:type="dxa"/>
            <w:shd w:val="clear" w:color="auto" w:fill="BFBFBF"/>
            <w:vAlign w:val="center"/>
          </w:tcPr>
          <w:p>
            <w:pPr>
              <w:jc w:val="center"/>
              <w:rPr>
                <w:rFonts w:hint="eastAsia"/>
              </w:rPr>
            </w:pPr>
            <w:r>
              <w:rPr>
                <w:rFonts w:hint="eastAsia"/>
              </w:rPr>
              <w:t>所在证券市场</w:t>
            </w:r>
          </w:p>
        </w:tc>
        <w:tc>
          <w:tcPr>
            <w:tcW w:w="675" w:type="dxa"/>
            <w:shd w:val="clear" w:color="auto" w:fill="BFBFBF"/>
            <w:vAlign w:val="center"/>
          </w:tcPr>
          <w:p>
            <w:pPr>
              <w:jc w:val="center"/>
              <w:rPr>
                <w:rFonts w:hint="eastAsia"/>
              </w:rPr>
            </w:pPr>
            <w:r>
              <w:rPr>
                <w:rFonts w:hint="eastAsia"/>
              </w:rPr>
              <w:t>所属国家（地区）</w:t>
            </w:r>
          </w:p>
        </w:tc>
        <w:tc>
          <w:tcPr>
            <w:tcW w:w="870" w:type="dxa"/>
            <w:shd w:val="clear" w:color="auto" w:fill="BFBFBF"/>
            <w:vAlign w:val="center"/>
          </w:tcPr>
          <w:p>
            <w:pPr>
              <w:jc w:val="center"/>
              <w:rPr>
                <w:rFonts w:hint="eastAsia"/>
              </w:rPr>
            </w:pPr>
            <w:r>
              <w:rPr>
                <w:rFonts w:hint="eastAsia"/>
              </w:rPr>
              <w:t>数量（股）</w:t>
            </w:r>
          </w:p>
        </w:tc>
        <w:tc>
          <w:tcPr>
            <w:tcW w:w="1440" w:type="dxa"/>
            <w:shd w:val="clear" w:color="auto" w:fill="BFBFBF"/>
            <w:vAlign w:val="center"/>
          </w:tcPr>
          <w:p>
            <w:pPr>
              <w:jc w:val="center"/>
              <w:rPr>
                <w:rFonts w:hint="eastAsia"/>
              </w:rPr>
            </w:pPr>
            <w:r>
              <w:rPr>
                <w:rFonts w:hint="eastAsia"/>
              </w:rPr>
              <w:t>公允价值（人民币元）</w:t>
            </w:r>
          </w:p>
        </w:tc>
        <w:tc>
          <w:tcPr>
            <w:tcW w:w="826" w:type="dxa"/>
            <w:shd w:val="clear" w:color="auto" w:fill="BFBFBF"/>
            <w:vAlign w:val="center"/>
          </w:tcPr>
          <w:p>
            <w:pPr>
              <w:jc w:val="center"/>
              <w:rPr>
                <w:rFonts w:hint="eastAsia"/>
              </w:rPr>
            </w:pPr>
            <w:r>
              <w:rPr>
                <w:rFonts w:hint="eastAsia"/>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1</w:t>
            </w:r>
          </w:p>
        </w:tc>
        <w:tc>
          <w:tcPr>
            <w:tcW w:w="1110" w:type="dxa"/>
            <w:vAlign w:val="center"/>
          </w:tcPr>
          <w:p>
            <w:pPr>
              <w:jc w:val="left"/>
              <w:rPr>
                <w:rFonts w:hint="eastAsia"/>
              </w:rPr>
            </w:pPr>
            <w:r>
              <w:t>Prologis Inc</w:t>
            </w:r>
          </w:p>
        </w:tc>
        <w:tc>
          <w:tcPr>
            <w:tcW w:w="1140" w:type="dxa"/>
            <w:vAlign w:val="center"/>
          </w:tcPr>
          <w:p>
            <w:pPr>
              <w:jc w:val="left"/>
              <w:rPr>
                <w:rFonts w:hint="eastAsia"/>
              </w:rPr>
            </w:pPr>
            <w:r>
              <w:rPr>
                <w:rFonts w:hint="eastAsia"/>
              </w:rPr>
              <w:t>安博</w:t>
            </w:r>
          </w:p>
        </w:tc>
        <w:tc>
          <w:tcPr>
            <w:tcW w:w="855" w:type="dxa"/>
            <w:vAlign w:val="center"/>
          </w:tcPr>
          <w:p>
            <w:pPr>
              <w:jc w:val="left"/>
              <w:rPr>
                <w:rFonts w:hint="eastAsia"/>
              </w:rPr>
            </w:pPr>
            <w:r>
              <w:t>PLD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10,540</w:t>
            </w:r>
          </w:p>
        </w:tc>
        <w:tc>
          <w:tcPr>
            <w:tcW w:w="1440" w:type="dxa"/>
            <w:vAlign w:val="center"/>
          </w:tcPr>
          <w:p>
            <w:pPr>
              <w:jc w:val="right"/>
              <w:rPr>
                <w:rFonts w:hint="eastAsia"/>
              </w:rPr>
            </w:pPr>
            <w:r>
              <w:t>7,222,348.04</w:t>
            </w:r>
          </w:p>
        </w:tc>
        <w:tc>
          <w:tcPr>
            <w:tcW w:w="826" w:type="dxa"/>
            <w:vAlign w:val="center"/>
          </w:tcPr>
          <w:p>
            <w:pPr>
              <w:jc w:val="right"/>
              <w:rPr>
                <w:rFonts w:hint="eastAsia"/>
              </w:rPr>
            </w:pPr>
            <w: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2</w:t>
            </w:r>
          </w:p>
        </w:tc>
        <w:tc>
          <w:tcPr>
            <w:tcW w:w="1110" w:type="dxa"/>
            <w:vAlign w:val="center"/>
          </w:tcPr>
          <w:p>
            <w:pPr>
              <w:jc w:val="left"/>
              <w:rPr>
                <w:rFonts w:hint="eastAsia"/>
              </w:rPr>
            </w:pPr>
            <w:r>
              <w:t>Digital Realty Trust Inc</w:t>
            </w:r>
          </w:p>
        </w:tc>
        <w:tc>
          <w:tcPr>
            <w:tcW w:w="1140" w:type="dxa"/>
            <w:vAlign w:val="center"/>
          </w:tcPr>
          <w:p>
            <w:pPr>
              <w:jc w:val="left"/>
              <w:rPr>
                <w:rFonts w:hint="eastAsia"/>
              </w:rPr>
            </w:pPr>
            <w:r>
              <w:rPr>
                <w:rFonts w:hint="eastAsia"/>
              </w:rPr>
              <w:t>数字房地产信托有限公司</w:t>
            </w:r>
          </w:p>
        </w:tc>
        <w:tc>
          <w:tcPr>
            <w:tcW w:w="855" w:type="dxa"/>
            <w:vAlign w:val="center"/>
          </w:tcPr>
          <w:p>
            <w:pPr>
              <w:jc w:val="left"/>
              <w:rPr>
                <w:rFonts w:hint="eastAsia"/>
              </w:rPr>
            </w:pPr>
            <w:r>
              <w:t>DLR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3,810</w:t>
            </w:r>
          </w:p>
        </w:tc>
        <w:tc>
          <w:tcPr>
            <w:tcW w:w="1440" w:type="dxa"/>
            <w:vAlign w:val="center"/>
          </w:tcPr>
          <w:p>
            <w:pPr>
              <w:jc w:val="right"/>
              <w:rPr>
                <w:rFonts w:hint="eastAsia"/>
              </w:rPr>
            </w:pPr>
            <w:r>
              <w:t>3,807,905.55</w:t>
            </w:r>
          </w:p>
        </w:tc>
        <w:tc>
          <w:tcPr>
            <w:tcW w:w="826" w:type="dxa"/>
            <w:vAlign w:val="center"/>
          </w:tcPr>
          <w:p>
            <w:pPr>
              <w:jc w:val="right"/>
              <w:rPr>
                <w:rFonts w:hint="eastAsia"/>
              </w:rPr>
            </w:pPr>
            <w: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3</w:t>
            </w:r>
          </w:p>
        </w:tc>
        <w:tc>
          <w:tcPr>
            <w:tcW w:w="1110" w:type="dxa"/>
            <w:vAlign w:val="center"/>
          </w:tcPr>
          <w:p>
            <w:pPr>
              <w:jc w:val="left"/>
              <w:rPr>
                <w:rFonts w:hint="eastAsia"/>
              </w:rPr>
            </w:pPr>
            <w:r>
              <w:t>Public Storage</w:t>
            </w:r>
          </w:p>
        </w:tc>
        <w:tc>
          <w:tcPr>
            <w:tcW w:w="1140" w:type="dxa"/>
            <w:vAlign w:val="center"/>
          </w:tcPr>
          <w:p>
            <w:pPr>
              <w:jc w:val="left"/>
              <w:rPr>
                <w:rFonts w:hint="eastAsia"/>
              </w:rPr>
            </w:pPr>
            <w:r>
              <w:rPr>
                <w:rFonts w:hint="eastAsia"/>
              </w:rPr>
              <w:t>公共存储公司</w:t>
            </w:r>
          </w:p>
        </w:tc>
        <w:tc>
          <w:tcPr>
            <w:tcW w:w="855" w:type="dxa"/>
            <w:vAlign w:val="center"/>
          </w:tcPr>
          <w:p>
            <w:pPr>
              <w:jc w:val="left"/>
              <w:rPr>
                <w:rFonts w:hint="eastAsia"/>
              </w:rPr>
            </w:pPr>
            <w:r>
              <w:t>PSA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2,140</w:t>
            </w:r>
          </w:p>
        </w:tc>
        <w:tc>
          <w:tcPr>
            <w:tcW w:w="1440" w:type="dxa"/>
            <w:vAlign w:val="center"/>
          </w:tcPr>
          <w:p>
            <w:pPr>
              <w:jc w:val="right"/>
              <w:rPr>
                <w:rFonts w:hint="eastAsia"/>
              </w:rPr>
            </w:pPr>
            <w:r>
              <w:t>3,245,835.31</w:t>
            </w:r>
          </w:p>
        </w:tc>
        <w:tc>
          <w:tcPr>
            <w:tcW w:w="826" w:type="dxa"/>
            <w:vAlign w:val="center"/>
          </w:tcPr>
          <w:p>
            <w:pPr>
              <w:jc w:val="right"/>
              <w:rPr>
                <w:rFonts w:hint="eastAsia"/>
              </w:rPr>
            </w:pPr>
            <w: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4</w:t>
            </w:r>
          </w:p>
        </w:tc>
        <w:tc>
          <w:tcPr>
            <w:tcW w:w="1110" w:type="dxa"/>
            <w:vAlign w:val="center"/>
          </w:tcPr>
          <w:p>
            <w:pPr>
              <w:jc w:val="left"/>
              <w:rPr>
                <w:rFonts w:hint="eastAsia"/>
              </w:rPr>
            </w:pPr>
            <w:r>
              <w:t>Welltower Inc</w:t>
            </w:r>
          </w:p>
        </w:tc>
        <w:tc>
          <w:tcPr>
            <w:tcW w:w="1140" w:type="dxa"/>
            <w:vAlign w:val="center"/>
          </w:tcPr>
          <w:p>
            <w:pPr>
              <w:jc w:val="left"/>
              <w:rPr>
                <w:rFonts w:hint="eastAsia"/>
              </w:rPr>
            </w:pPr>
            <w:r>
              <w:rPr>
                <w:rFonts w:hint="eastAsia"/>
              </w:rPr>
              <w:t>Welltower股份有限公司</w:t>
            </w:r>
          </w:p>
        </w:tc>
        <w:tc>
          <w:tcPr>
            <w:tcW w:w="855" w:type="dxa"/>
            <w:vAlign w:val="center"/>
          </w:tcPr>
          <w:p>
            <w:pPr>
              <w:jc w:val="left"/>
              <w:rPr>
                <w:rFonts w:hint="eastAsia"/>
              </w:rPr>
            </w:pPr>
            <w:r>
              <w:t>WELL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5,930</w:t>
            </w:r>
          </w:p>
        </w:tc>
        <w:tc>
          <w:tcPr>
            <w:tcW w:w="1440" w:type="dxa"/>
            <w:vAlign w:val="center"/>
          </w:tcPr>
          <w:p>
            <w:pPr>
              <w:jc w:val="right"/>
              <w:rPr>
                <w:rFonts w:hint="eastAsia"/>
              </w:rPr>
            </w:pPr>
            <w:r>
              <w:t>2,224,748.67</w:t>
            </w:r>
          </w:p>
        </w:tc>
        <w:tc>
          <w:tcPr>
            <w:tcW w:w="826" w:type="dxa"/>
            <w:vAlign w:val="center"/>
          </w:tcPr>
          <w:p>
            <w:pPr>
              <w:jc w:val="right"/>
              <w:rPr>
                <w:rFonts w:hint="eastAsia"/>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5</w:t>
            </w:r>
          </w:p>
        </w:tc>
        <w:tc>
          <w:tcPr>
            <w:tcW w:w="1110" w:type="dxa"/>
            <w:vAlign w:val="center"/>
          </w:tcPr>
          <w:p>
            <w:pPr>
              <w:jc w:val="left"/>
              <w:rPr>
                <w:rFonts w:hint="eastAsia"/>
              </w:rPr>
            </w:pPr>
            <w:r>
              <w:t>Realty Income Corp</w:t>
            </w:r>
          </w:p>
        </w:tc>
        <w:tc>
          <w:tcPr>
            <w:tcW w:w="1140" w:type="dxa"/>
            <w:vAlign w:val="center"/>
          </w:tcPr>
          <w:p>
            <w:pPr>
              <w:jc w:val="left"/>
              <w:rPr>
                <w:rFonts w:hint="eastAsia"/>
              </w:rPr>
            </w:pPr>
            <w:r>
              <w:rPr>
                <w:rFonts w:hint="eastAsia"/>
              </w:rPr>
              <w:t>Realty Income公司</w:t>
            </w:r>
          </w:p>
        </w:tc>
        <w:tc>
          <w:tcPr>
            <w:tcW w:w="855" w:type="dxa"/>
            <w:vAlign w:val="center"/>
          </w:tcPr>
          <w:p>
            <w:pPr>
              <w:jc w:val="left"/>
              <w:rPr>
                <w:rFonts w:hint="eastAsia"/>
              </w:rPr>
            </w:pPr>
            <w:r>
              <w:t>O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4,920</w:t>
            </w:r>
          </w:p>
        </w:tc>
        <w:tc>
          <w:tcPr>
            <w:tcW w:w="1440" w:type="dxa"/>
            <w:vAlign w:val="center"/>
          </w:tcPr>
          <w:p>
            <w:pPr>
              <w:jc w:val="right"/>
              <w:rPr>
                <w:rFonts w:hint="eastAsia"/>
              </w:rPr>
            </w:pPr>
            <w:r>
              <w:t>2,035,470.79</w:t>
            </w:r>
          </w:p>
        </w:tc>
        <w:tc>
          <w:tcPr>
            <w:tcW w:w="826" w:type="dxa"/>
            <w:vAlign w:val="center"/>
          </w:tcPr>
          <w:p>
            <w:pPr>
              <w:jc w:val="right"/>
              <w:rPr>
                <w:rFonts w:hint="eastAsia"/>
              </w:rPr>
            </w:pPr>
            <w: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6</w:t>
            </w:r>
          </w:p>
        </w:tc>
        <w:tc>
          <w:tcPr>
            <w:tcW w:w="1110" w:type="dxa"/>
            <w:vAlign w:val="center"/>
          </w:tcPr>
          <w:p>
            <w:pPr>
              <w:jc w:val="left"/>
              <w:rPr>
                <w:rFonts w:hint="eastAsia"/>
              </w:rPr>
            </w:pPr>
            <w:r>
              <w:t>AvalonBay Communities Inc</w:t>
            </w:r>
          </w:p>
        </w:tc>
        <w:tc>
          <w:tcPr>
            <w:tcW w:w="1140" w:type="dxa"/>
            <w:vAlign w:val="center"/>
          </w:tcPr>
          <w:p>
            <w:pPr>
              <w:jc w:val="left"/>
              <w:rPr>
                <w:rFonts w:hint="eastAsia"/>
              </w:rPr>
            </w:pPr>
            <w:r>
              <w:rPr>
                <w:rFonts w:hint="eastAsia"/>
              </w:rPr>
              <w:t>AvalonBay社区股份有限公司</w:t>
            </w:r>
          </w:p>
        </w:tc>
        <w:tc>
          <w:tcPr>
            <w:tcW w:w="855" w:type="dxa"/>
            <w:vAlign w:val="center"/>
          </w:tcPr>
          <w:p>
            <w:pPr>
              <w:jc w:val="left"/>
              <w:rPr>
                <w:rFonts w:hint="eastAsia"/>
              </w:rPr>
            </w:pPr>
            <w:r>
              <w:t>AVB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1,950</w:t>
            </w:r>
          </w:p>
        </w:tc>
        <w:tc>
          <w:tcPr>
            <w:tcW w:w="1440" w:type="dxa"/>
            <w:vAlign w:val="center"/>
          </w:tcPr>
          <w:p>
            <w:pPr>
              <w:jc w:val="right"/>
              <w:rPr>
                <w:rFonts w:hint="eastAsia"/>
              </w:rPr>
            </w:pPr>
            <w:r>
              <w:t>1,983,189.65</w:t>
            </w:r>
          </w:p>
        </w:tc>
        <w:tc>
          <w:tcPr>
            <w:tcW w:w="826" w:type="dxa"/>
            <w:vAlign w:val="center"/>
          </w:tcPr>
          <w:p>
            <w:pPr>
              <w:jc w:val="right"/>
              <w:rPr>
                <w:rFonts w:hint="eastAsia"/>
              </w:rPr>
            </w:pPr>
            <w: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7</w:t>
            </w:r>
          </w:p>
        </w:tc>
        <w:tc>
          <w:tcPr>
            <w:tcW w:w="1110" w:type="dxa"/>
            <w:vAlign w:val="center"/>
          </w:tcPr>
          <w:p>
            <w:pPr>
              <w:jc w:val="left"/>
              <w:rPr>
                <w:rFonts w:hint="eastAsia"/>
              </w:rPr>
            </w:pPr>
            <w:r>
              <w:t>Alexandria Real Estate Equities Inc</w:t>
            </w:r>
          </w:p>
        </w:tc>
        <w:tc>
          <w:tcPr>
            <w:tcW w:w="1140" w:type="dxa"/>
            <w:vAlign w:val="center"/>
          </w:tcPr>
          <w:p>
            <w:pPr>
              <w:jc w:val="left"/>
              <w:rPr>
                <w:rFonts w:hint="eastAsia"/>
              </w:rPr>
            </w:pPr>
            <w:r>
              <w:rPr>
                <w:rFonts w:hint="eastAsia"/>
              </w:rPr>
              <w:t>亚历山大房地产股份有限公司</w:t>
            </w:r>
          </w:p>
        </w:tc>
        <w:tc>
          <w:tcPr>
            <w:tcW w:w="855" w:type="dxa"/>
            <w:vAlign w:val="center"/>
          </w:tcPr>
          <w:p>
            <w:pPr>
              <w:jc w:val="left"/>
              <w:rPr>
                <w:rFonts w:hint="eastAsia"/>
              </w:rPr>
            </w:pPr>
            <w:r>
              <w:t>ARE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1,630</w:t>
            </w:r>
          </w:p>
        </w:tc>
        <w:tc>
          <w:tcPr>
            <w:tcW w:w="1440" w:type="dxa"/>
            <w:vAlign w:val="center"/>
          </w:tcPr>
          <w:p>
            <w:pPr>
              <w:jc w:val="right"/>
              <w:rPr>
                <w:rFonts w:hint="eastAsia"/>
              </w:rPr>
            </w:pPr>
            <w:r>
              <w:t>1,776,074.08</w:t>
            </w:r>
          </w:p>
        </w:tc>
        <w:tc>
          <w:tcPr>
            <w:tcW w:w="826" w:type="dxa"/>
            <w:vAlign w:val="center"/>
          </w:tcPr>
          <w:p>
            <w:pPr>
              <w:jc w:val="right"/>
              <w:rPr>
                <w:rFonts w:hint="eastAsia"/>
              </w:rPr>
            </w:pPr>
            <w: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8</w:t>
            </w:r>
          </w:p>
        </w:tc>
        <w:tc>
          <w:tcPr>
            <w:tcW w:w="1110" w:type="dxa"/>
            <w:vAlign w:val="center"/>
          </w:tcPr>
          <w:p>
            <w:pPr>
              <w:jc w:val="left"/>
              <w:rPr>
                <w:rFonts w:hint="eastAsia"/>
              </w:rPr>
            </w:pPr>
            <w:r>
              <w:t>Simon Property Group Inc</w:t>
            </w:r>
          </w:p>
        </w:tc>
        <w:tc>
          <w:tcPr>
            <w:tcW w:w="1140" w:type="dxa"/>
            <w:vAlign w:val="center"/>
          </w:tcPr>
          <w:p>
            <w:pPr>
              <w:jc w:val="left"/>
              <w:rPr>
                <w:rFonts w:hint="eastAsia"/>
              </w:rPr>
            </w:pPr>
            <w:r>
              <w:rPr>
                <w:rFonts w:hint="eastAsia"/>
              </w:rPr>
              <w:t>西蒙房地产集团公司</w:t>
            </w:r>
          </w:p>
        </w:tc>
        <w:tc>
          <w:tcPr>
            <w:tcW w:w="855" w:type="dxa"/>
            <w:vAlign w:val="center"/>
          </w:tcPr>
          <w:p>
            <w:pPr>
              <w:jc w:val="left"/>
              <w:rPr>
                <w:rFonts w:hint="eastAsia"/>
              </w:rPr>
            </w:pPr>
            <w:r>
              <w:t>SPG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4,030</w:t>
            </w:r>
          </w:p>
        </w:tc>
        <w:tc>
          <w:tcPr>
            <w:tcW w:w="1440" w:type="dxa"/>
            <w:vAlign w:val="center"/>
          </w:tcPr>
          <w:p>
            <w:pPr>
              <w:jc w:val="right"/>
              <w:rPr>
                <w:rFonts w:hint="eastAsia"/>
              </w:rPr>
            </w:pPr>
            <w:r>
              <w:t>1,775,123.39</w:t>
            </w:r>
          </w:p>
        </w:tc>
        <w:tc>
          <w:tcPr>
            <w:tcW w:w="826" w:type="dxa"/>
            <w:vAlign w:val="center"/>
          </w:tcPr>
          <w:p>
            <w:pPr>
              <w:jc w:val="right"/>
              <w:rPr>
                <w:rFonts w:hint="eastAsia"/>
              </w:rPr>
            </w:pPr>
            <w: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9</w:t>
            </w:r>
          </w:p>
        </w:tc>
        <w:tc>
          <w:tcPr>
            <w:tcW w:w="1110" w:type="dxa"/>
            <w:vAlign w:val="center"/>
          </w:tcPr>
          <w:p>
            <w:pPr>
              <w:jc w:val="left"/>
              <w:rPr>
                <w:rFonts w:hint="eastAsia"/>
              </w:rPr>
            </w:pPr>
            <w:r>
              <w:t>Equity Residential</w:t>
            </w:r>
          </w:p>
        </w:tc>
        <w:tc>
          <w:tcPr>
            <w:tcW w:w="1140" w:type="dxa"/>
            <w:vAlign w:val="center"/>
          </w:tcPr>
          <w:p>
            <w:pPr>
              <w:jc w:val="left"/>
              <w:rPr>
                <w:rFonts w:hint="eastAsia"/>
              </w:rPr>
            </w:pPr>
            <w:r>
              <w:rPr>
                <w:rFonts w:hint="eastAsia"/>
              </w:rPr>
              <w:t>公寓物业权益信托</w:t>
            </w:r>
          </w:p>
        </w:tc>
        <w:tc>
          <w:tcPr>
            <w:tcW w:w="855" w:type="dxa"/>
            <w:vAlign w:val="center"/>
          </w:tcPr>
          <w:p>
            <w:pPr>
              <w:jc w:val="left"/>
              <w:rPr>
                <w:rFonts w:hint="eastAsia"/>
              </w:rPr>
            </w:pPr>
            <w:r>
              <w:t>EQR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4,590</w:t>
            </w:r>
          </w:p>
        </w:tc>
        <w:tc>
          <w:tcPr>
            <w:tcW w:w="1440" w:type="dxa"/>
            <w:vAlign w:val="center"/>
          </w:tcPr>
          <w:p>
            <w:pPr>
              <w:jc w:val="right"/>
              <w:rPr>
                <w:rFonts w:hint="eastAsia"/>
              </w:rPr>
            </w:pPr>
            <w:r>
              <w:t>1,604,491.57</w:t>
            </w:r>
          </w:p>
        </w:tc>
        <w:tc>
          <w:tcPr>
            <w:tcW w:w="826" w:type="dxa"/>
            <w:vAlign w:val="center"/>
          </w:tcPr>
          <w:p>
            <w:pPr>
              <w:jc w:val="right"/>
              <w:rPr>
                <w:rFonts w:hint="eastAsia"/>
              </w:rPr>
            </w:pPr>
            <w: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jc w:val="center"/>
              <w:rPr>
                <w:rFonts w:hint="eastAsia"/>
              </w:rPr>
            </w:pPr>
            <w:r>
              <w:t>10</w:t>
            </w:r>
          </w:p>
        </w:tc>
        <w:tc>
          <w:tcPr>
            <w:tcW w:w="1110" w:type="dxa"/>
            <w:vAlign w:val="center"/>
          </w:tcPr>
          <w:p>
            <w:pPr>
              <w:jc w:val="left"/>
              <w:rPr>
                <w:rFonts w:hint="eastAsia"/>
              </w:rPr>
            </w:pPr>
            <w:r>
              <w:t>Invitation Homes Inc</w:t>
            </w:r>
          </w:p>
        </w:tc>
        <w:tc>
          <w:tcPr>
            <w:tcW w:w="1140" w:type="dxa"/>
            <w:vAlign w:val="center"/>
          </w:tcPr>
          <w:p>
            <w:pPr>
              <w:jc w:val="left"/>
              <w:rPr>
                <w:rFonts w:hint="eastAsia"/>
              </w:rPr>
            </w:pPr>
            <w:r>
              <w:rPr>
                <w:rFonts w:hint="eastAsia"/>
              </w:rPr>
              <w:t>邀请家园公司</w:t>
            </w:r>
          </w:p>
        </w:tc>
        <w:tc>
          <w:tcPr>
            <w:tcW w:w="855" w:type="dxa"/>
            <w:vAlign w:val="center"/>
          </w:tcPr>
          <w:p>
            <w:pPr>
              <w:jc w:val="left"/>
              <w:rPr>
                <w:rFonts w:hint="eastAsia"/>
              </w:rPr>
            </w:pPr>
            <w:r>
              <w:t>INVH UN</w:t>
            </w:r>
          </w:p>
        </w:tc>
        <w:tc>
          <w:tcPr>
            <w:tcW w:w="1095" w:type="dxa"/>
            <w:vAlign w:val="center"/>
          </w:tcPr>
          <w:p>
            <w:pPr>
              <w:jc w:val="left"/>
              <w:rPr>
                <w:rFonts w:hint="eastAsia"/>
              </w:rPr>
            </w:pPr>
            <w:r>
              <w:rPr>
                <w:rFonts w:hint="eastAsia"/>
              </w:rPr>
              <w:t>美国证券交易所</w:t>
            </w:r>
          </w:p>
        </w:tc>
        <w:tc>
          <w:tcPr>
            <w:tcW w:w="675" w:type="dxa"/>
            <w:vAlign w:val="center"/>
          </w:tcPr>
          <w:p>
            <w:pPr>
              <w:jc w:val="left"/>
              <w:rPr>
                <w:rFonts w:hint="eastAsia"/>
              </w:rPr>
            </w:pPr>
            <w:r>
              <w:rPr>
                <w:rFonts w:hint="eastAsia"/>
              </w:rPr>
              <w:t>美国</w:t>
            </w:r>
          </w:p>
        </w:tc>
        <w:tc>
          <w:tcPr>
            <w:tcW w:w="870" w:type="dxa"/>
            <w:vAlign w:val="center"/>
          </w:tcPr>
          <w:p>
            <w:pPr>
              <w:jc w:val="right"/>
              <w:rPr>
                <w:rFonts w:hint="eastAsia"/>
              </w:rPr>
            </w:pPr>
            <w:r>
              <w:t>7,816</w:t>
            </w:r>
          </w:p>
        </w:tc>
        <w:tc>
          <w:tcPr>
            <w:tcW w:w="1440" w:type="dxa"/>
            <w:vAlign w:val="center"/>
          </w:tcPr>
          <w:p>
            <w:pPr>
              <w:jc w:val="right"/>
              <w:rPr>
                <w:rFonts w:hint="eastAsia"/>
              </w:rPr>
            </w:pPr>
            <w:r>
              <w:t>1,489,844.49</w:t>
            </w:r>
          </w:p>
        </w:tc>
        <w:tc>
          <w:tcPr>
            <w:tcW w:w="826" w:type="dxa"/>
            <w:vAlign w:val="center"/>
          </w:tcPr>
          <w:p>
            <w:pPr>
              <w:jc w:val="right"/>
              <w:rPr>
                <w:rFonts w:hint="eastAsia"/>
              </w:rPr>
            </w:pPr>
            <w:r>
              <w:t>1.96</w:t>
            </w:r>
          </w:p>
        </w:tc>
      </w:tr>
    </w:tbl>
    <w:p>
      <w:pPr>
        <w:pStyle w:val="46"/>
        <w:rPr>
          <w:rFonts w:hint="eastAsia"/>
        </w:rPr>
      </w:pPr>
      <w:r>
        <w:rPr>
          <w:rFonts w:hint="eastAsia"/>
        </w:rPr>
        <w:t>注：本基金对以上证券代码采用当地市场代码。</w:t>
      </w:r>
    </w:p>
    <w:p>
      <w:pPr>
        <w:pStyle w:val="27"/>
        <w:spacing w:before="156" w:after="156"/>
        <w:rPr>
          <w:rFonts w:hint="eastAsia"/>
        </w:rPr>
      </w:pPr>
      <w:r>
        <w:rPr>
          <w:rFonts w:hint="eastAsia"/>
        </w:rPr>
        <w:t>报告期末积极投资按公允价值占基金资产净值比例大小排序的前十名股票及存托凭证投资明细</w:t>
      </w:r>
    </w:p>
    <w:p>
      <w:pPr>
        <w:pStyle w:val="17"/>
        <w:ind w:firstLine="420"/>
        <w:rPr>
          <w:rFonts w:hint="eastAsia"/>
        </w:rPr>
      </w:pPr>
      <w:r>
        <w:rPr>
          <w:rFonts w:hint="eastAsia"/>
        </w:rPr>
        <w:t>本基金本报告期末未持有积极投资的权益投资。</w:t>
      </w:r>
    </w:p>
    <w:p>
      <w:pPr>
        <w:pStyle w:val="22"/>
        <w:spacing w:before="312"/>
        <w:rPr>
          <w:rFonts w:hint="eastAsia"/>
        </w:rPr>
      </w:pPr>
      <w:r>
        <w:rPr>
          <w:rFonts w:hint="eastAsia"/>
        </w:rPr>
        <w:t>报告期末按债券信用等级分类的债券投资组合</w:t>
      </w:r>
    </w:p>
    <w:p>
      <w:pPr>
        <w:pStyle w:val="17"/>
        <w:ind w:firstLine="420"/>
        <w:rPr>
          <w:rFonts w:hint="eastAsia"/>
        </w:rPr>
      </w:pPr>
      <w:r>
        <w:rPr>
          <w:rFonts w:hint="eastAsia"/>
        </w:rPr>
        <w:t>本基金本报告期末未持有债券。</w:t>
      </w:r>
    </w:p>
    <w:p>
      <w:pPr>
        <w:pStyle w:val="22"/>
        <w:spacing w:before="312"/>
        <w:rPr>
          <w:rFonts w:hint="eastAsia"/>
        </w:rPr>
      </w:pPr>
      <w:r>
        <w:rPr>
          <w:rFonts w:hint="eastAsia"/>
        </w:rPr>
        <w:t>报告期末按公允价值占基金资产净值比例大小排名的前五名债券投资明细</w:t>
      </w:r>
    </w:p>
    <w:p>
      <w:pPr>
        <w:pStyle w:val="17"/>
        <w:ind w:firstLine="420"/>
        <w:rPr>
          <w:rFonts w:hint="eastAsia"/>
        </w:rPr>
      </w:pPr>
      <w:r>
        <w:rPr>
          <w:rFonts w:hint="eastAsia"/>
        </w:rPr>
        <w:t>本基金本报告期末未持有债券。</w:t>
      </w:r>
    </w:p>
    <w:p>
      <w:pPr>
        <w:pStyle w:val="22"/>
        <w:spacing w:before="312"/>
        <w:rPr>
          <w:rFonts w:hint="eastAsia"/>
        </w:rPr>
      </w:pPr>
      <w:r>
        <w:rPr>
          <w:rFonts w:hint="eastAsia"/>
        </w:rPr>
        <w:t>报告期末按公允价值占基金资产净值比例大小排名的前十名资产支持证券投资明细</w:t>
      </w:r>
    </w:p>
    <w:p>
      <w:pPr>
        <w:pStyle w:val="17"/>
        <w:ind w:firstLine="420"/>
        <w:rPr>
          <w:rFonts w:hint="eastAsia"/>
        </w:rPr>
      </w:pPr>
      <w:r>
        <w:rPr>
          <w:rFonts w:hint="eastAsia"/>
        </w:rPr>
        <w:t>本基金本报告期末未持有资产支持证券。</w:t>
      </w:r>
    </w:p>
    <w:p>
      <w:pPr>
        <w:pStyle w:val="22"/>
        <w:spacing w:before="312"/>
        <w:rPr>
          <w:rFonts w:hint="eastAsia"/>
        </w:rPr>
      </w:pPr>
      <w:r>
        <w:rPr>
          <w:rFonts w:hint="eastAsia"/>
        </w:rPr>
        <w:t>报告期末按公允价值占基金资产净值比例大小排名的前五名金融衍生品投资明细</w:t>
      </w:r>
    </w:p>
    <w:p>
      <w:pPr>
        <w:pStyle w:val="17"/>
        <w:ind w:firstLine="420"/>
        <w:rPr>
          <w:rFonts w:hint="eastAsia"/>
        </w:rPr>
      </w:pPr>
      <w:r>
        <w:rPr>
          <w:rFonts w:hint="eastAsia"/>
        </w:rPr>
        <w:t>本基金本报告期末未持有金融衍生品。</w:t>
      </w:r>
    </w:p>
    <w:p>
      <w:pPr>
        <w:pStyle w:val="22"/>
        <w:spacing w:before="312"/>
        <w:rPr>
          <w:rFonts w:hint="eastAsia"/>
        </w:rPr>
      </w:pPr>
      <w:r>
        <w:rPr>
          <w:rFonts w:hint="eastAsia"/>
        </w:rPr>
        <w:t>报告期末按公允价值占基金资产净值比例大小排序的前十名基金投资明细</w:t>
      </w:r>
    </w:p>
    <w:p>
      <w:pPr>
        <w:jc w:val="right"/>
        <w:rPr>
          <w:rFonts w:hint="eastAsia"/>
        </w:rPr>
      </w:pPr>
      <w:r>
        <w:rPr>
          <w:rFonts w:hint="eastAsia"/>
        </w:rPr>
        <w:t>金额单位：人民币元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355"/>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BFBFBF"/>
            <w:vAlign w:val="center"/>
          </w:tcPr>
          <w:p>
            <w:pPr>
              <w:jc w:val="center"/>
              <w:rPr>
                <w:rFonts w:hint="eastAsia"/>
              </w:rPr>
            </w:pPr>
            <w:r>
              <w:rPr>
                <w:rFonts w:hint="eastAsia"/>
              </w:rPr>
              <w:t>序号</w:t>
            </w:r>
          </w:p>
        </w:tc>
        <w:tc>
          <w:tcPr>
            <w:tcW w:w="1217" w:type="dxa"/>
            <w:shd w:val="clear" w:color="auto" w:fill="BFBFBF"/>
            <w:vAlign w:val="center"/>
          </w:tcPr>
          <w:p>
            <w:pPr>
              <w:jc w:val="center"/>
              <w:rPr>
                <w:rFonts w:hint="eastAsia"/>
              </w:rPr>
            </w:pPr>
            <w:r>
              <w:rPr>
                <w:rFonts w:hint="eastAsia"/>
              </w:rPr>
              <w:t>基金名称</w:t>
            </w:r>
          </w:p>
        </w:tc>
        <w:tc>
          <w:tcPr>
            <w:tcW w:w="1217" w:type="dxa"/>
            <w:shd w:val="clear" w:color="auto" w:fill="BFBFBF"/>
            <w:vAlign w:val="center"/>
          </w:tcPr>
          <w:p>
            <w:pPr>
              <w:jc w:val="center"/>
              <w:rPr>
                <w:rFonts w:hint="eastAsia"/>
              </w:rPr>
            </w:pPr>
            <w:r>
              <w:rPr>
                <w:rFonts w:hint="eastAsia"/>
              </w:rPr>
              <w:t>基金类型</w:t>
            </w:r>
          </w:p>
        </w:tc>
        <w:tc>
          <w:tcPr>
            <w:tcW w:w="1217" w:type="dxa"/>
            <w:shd w:val="clear" w:color="auto" w:fill="BFBFBF"/>
            <w:vAlign w:val="center"/>
          </w:tcPr>
          <w:p>
            <w:pPr>
              <w:jc w:val="center"/>
              <w:rPr>
                <w:rFonts w:hint="eastAsia"/>
              </w:rPr>
            </w:pPr>
            <w:r>
              <w:rPr>
                <w:rFonts w:hint="eastAsia"/>
              </w:rPr>
              <w:t>运作方式</w:t>
            </w:r>
          </w:p>
        </w:tc>
        <w:tc>
          <w:tcPr>
            <w:tcW w:w="1218" w:type="dxa"/>
            <w:shd w:val="clear" w:color="auto" w:fill="BFBFBF"/>
            <w:vAlign w:val="center"/>
          </w:tcPr>
          <w:p>
            <w:pPr>
              <w:jc w:val="center"/>
              <w:rPr>
                <w:rFonts w:hint="eastAsia"/>
              </w:rPr>
            </w:pPr>
            <w:r>
              <w:rPr>
                <w:rFonts w:hint="eastAsia"/>
              </w:rPr>
              <w:t>管理人</w:t>
            </w:r>
          </w:p>
        </w:tc>
        <w:tc>
          <w:tcPr>
            <w:tcW w:w="1355" w:type="dxa"/>
            <w:shd w:val="clear" w:color="auto" w:fill="BFBFBF"/>
            <w:vAlign w:val="center"/>
          </w:tcPr>
          <w:p>
            <w:pPr>
              <w:jc w:val="center"/>
              <w:rPr>
                <w:rFonts w:hint="eastAsia"/>
              </w:rPr>
            </w:pPr>
            <w:r>
              <w:rPr>
                <w:rFonts w:hint="eastAsia"/>
              </w:rPr>
              <w:t>公允价值（人民币元）</w:t>
            </w:r>
          </w:p>
        </w:tc>
        <w:tc>
          <w:tcPr>
            <w:tcW w:w="1081" w:type="dxa"/>
            <w:shd w:val="clear" w:color="auto" w:fill="BFBFBF"/>
            <w:vAlign w:val="center"/>
          </w:tcPr>
          <w:p>
            <w:pPr>
              <w:jc w:val="center"/>
              <w:rPr>
                <w:rFonts w:hint="eastAsia"/>
              </w:rPr>
            </w:pPr>
            <w:r>
              <w:rPr>
                <w:rFonts w:hint="eastAsia"/>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hint="eastAsia"/>
              </w:rPr>
            </w:pPr>
            <w:r>
              <w:t>1</w:t>
            </w:r>
          </w:p>
        </w:tc>
        <w:tc>
          <w:tcPr>
            <w:tcW w:w="1217" w:type="dxa"/>
            <w:vAlign w:val="center"/>
          </w:tcPr>
          <w:p>
            <w:pPr>
              <w:jc w:val="left"/>
              <w:rPr>
                <w:rFonts w:hint="eastAsia"/>
              </w:rPr>
            </w:pPr>
            <w:r>
              <w:t>SPDR Dow Jones REIT ETF</w:t>
            </w:r>
          </w:p>
        </w:tc>
        <w:tc>
          <w:tcPr>
            <w:tcW w:w="1217" w:type="dxa"/>
            <w:vAlign w:val="center"/>
          </w:tcPr>
          <w:p>
            <w:pPr>
              <w:jc w:val="left"/>
              <w:rPr>
                <w:rFonts w:hint="eastAsia"/>
              </w:rPr>
            </w:pPr>
            <w:r>
              <w:t>ETF</w:t>
            </w:r>
          </w:p>
        </w:tc>
        <w:tc>
          <w:tcPr>
            <w:tcW w:w="1217" w:type="dxa"/>
            <w:vAlign w:val="center"/>
          </w:tcPr>
          <w:p>
            <w:pPr>
              <w:jc w:val="left"/>
              <w:rPr>
                <w:rFonts w:hint="eastAsia"/>
              </w:rPr>
            </w:pPr>
            <w:r>
              <w:rPr>
                <w:rFonts w:hint="eastAsia"/>
              </w:rPr>
              <w:t>交易型开放式</w:t>
            </w:r>
          </w:p>
        </w:tc>
        <w:tc>
          <w:tcPr>
            <w:tcW w:w="1218" w:type="dxa"/>
            <w:vAlign w:val="center"/>
          </w:tcPr>
          <w:p>
            <w:pPr>
              <w:jc w:val="left"/>
              <w:rPr>
                <w:rFonts w:hint="eastAsia"/>
              </w:rPr>
            </w:pPr>
            <w:r>
              <w:t>SSgA Funds Management Inc</w:t>
            </w:r>
          </w:p>
        </w:tc>
        <w:tc>
          <w:tcPr>
            <w:tcW w:w="1355" w:type="dxa"/>
            <w:vAlign w:val="center"/>
          </w:tcPr>
          <w:p>
            <w:pPr>
              <w:jc w:val="right"/>
              <w:rPr>
                <w:rFonts w:hint="eastAsia"/>
              </w:rPr>
            </w:pPr>
            <w:r>
              <w:t>3,955,827.05</w:t>
            </w:r>
          </w:p>
        </w:tc>
        <w:tc>
          <w:tcPr>
            <w:tcW w:w="1081" w:type="dxa"/>
            <w:vAlign w:val="center"/>
          </w:tcPr>
          <w:p>
            <w:pPr>
              <w:jc w:val="right"/>
              <w:rPr>
                <w:rFonts w:hint="eastAsia"/>
              </w:rPr>
            </w:pPr>
            <w: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hint="eastAsia"/>
              </w:rPr>
            </w:pPr>
            <w:r>
              <w:t>2</w:t>
            </w:r>
          </w:p>
        </w:tc>
        <w:tc>
          <w:tcPr>
            <w:tcW w:w="1217" w:type="dxa"/>
            <w:vAlign w:val="center"/>
          </w:tcPr>
          <w:p>
            <w:pPr>
              <w:jc w:val="left"/>
              <w:rPr>
                <w:rFonts w:hint="eastAsia"/>
              </w:rPr>
            </w:pPr>
            <w:r>
              <w:t>Schwab U.S. REIT ETF</w:t>
            </w:r>
          </w:p>
        </w:tc>
        <w:tc>
          <w:tcPr>
            <w:tcW w:w="1217" w:type="dxa"/>
            <w:vAlign w:val="center"/>
          </w:tcPr>
          <w:p>
            <w:pPr>
              <w:jc w:val="left"/>
              <w:rPr>
                <w:rFonts w:hint="eastAsia"/>
              </w:rPr>
            </w:pPr>
            <w:r>
              <w:t>ETF</w:t>
            </w:r>
          </w:p>
        </w:tc>
        <w:tc>
          <w:tcPr>
            <w:tcW w:w="1217" w:type="dxa"/>
            <w:vAlign w:val="center"/>
          </w:tcPr>
          <w:p>
            <w:pPr>
              <w:jc w:val="left"/>
              <w:rPr>
                <w:rFonts w:hint="eastAsia"/>
              </w:rPr>
            </w:pPr>
            <w:r>
              <w:rPr>
                <w:rFonts w:hint="eastAsia"/>
              </w:rPr>
              <w:t>交易型开放式</w:t>
            </w:r>
          </w:p>
        </w:tc>
        <w:tc>
          <w:tcPr>
            <w:tcW w:w="1218" w:type="dxa"/>
            <w:vAlign w:val="center"/>
          </w:tcPr>
          <w:p>
            <w:pPr>
              <w:jc w:val="left"/>
              <w:rPr>
                <w:rFonts w:hint="eastAsia"/>
              </w:rPr>
            </w:pPr>
            <w:r>
              <w:t>Charles Schwab Investment Management Inc</w:t>
            </w:r>
          </w:p>
        </w:tc>
        <w:tc>
          <w:tcPr>
            <w:tcW w:w="1355" w:type="dxa"/>
            <w:vAlign w:val="center"/>
          </w:tcPr>
          <w:p>
            <w:pPr>
              <w:jc w:val="right"/>
              <w:rPr>
                <w:rFonts w:hint="eastAsia"/>
              </w:rPr>
            </w:pPr>
            <w:r>
              <w:t>3,314,415.74</w:t>
            </w:r>
          </w:p>
        </w:tc>
        <w:tc>
          <w:tcPr>
            <w:tcW w:w="1081" w:type="dxa"/>
            <w:vAlign w:val="center"/>
          </w:tcPr>
          <w:p>
            <w:pPr>
              <w:jc w:val="right"/>
              <w:rPr>
                <w:rFonts w:hint="eastAsia"/>
              </w:rPr>
            </w:pPr>
            <w:r>
              <w:t>4.36</w:t>
            </w:r>
          </w:p>
        </w:tc>
      </w:tr>
    </w:tbl>
    <w:p>
      <w:pPr>
        <w:pStyle w:val="22"/>
        <w:spacing w:before="312"/>
        <w:rPr>
          <w:rFonts w:hint="eastAsia"/>
        </w:rPr>
      </w:pPr>
      <w:r>
        <w:rPr>
          <w:rFonts w:hint="eastAsia"/>
        </w:rPr>
        <w:t>投资组合报告附注</w:t>
      </w:r>
    </w:p>
    <w:p>
      <w:pPr>
        <w:pStyle w:val="27"/>
        <w:spacing w:before="156" w:after="156"/>
      </w:pPr>
      <w:r>
        <w:t xml:space="preserve"> </w:t>
      </w:r>
    </w:p>
    <w:p>
      <w:pPr>
        <w:pStyle w:val="17"/>
        <w:ind w:firstLine="420"/>
        <w:rPr>
          <w:rFonts w:hint="eastAsia"/>
        </w:rPr>
      </w:pPr>
      <w:r>
        <w:rPr>
          <w:rFonts w:hint="eastAsia"/>
        </w:rPr>
        <w:t>本基金投资的前十名证券的发行主体本期没有出现被监管部门立案调查，或在报告编制日前一年内受到公开谴责、处罚的情形。</w:t>
      </w:r>
    </w:p>
    <w:p>
      <w:pPr>
        <w:pStyle w:val="27"/>
        <w:spacing w:before="156" w:after="156"/>
      </w:pPr>
      <w:r>
        <w:t xml:space="preserve"> </w:t>
      </w:r>
    </w:p>
    <w:p>
      <w:pPr>
        <w:pStyle w:val="17"/>
        <w:ind w:firstLine="420"/>
        <w:rPr>
          <w:rFonts w:hint="eastAsia"/>
        </w:rPr>
      </w:pPr>
      <w:r>
        <w:rPr>
          <w:rFonts w:hint="eastAsia"/>
        </w:rPr>
        <w:t>本基金投资的前十名股票没有超出基金合同规定的备选股票库，本基金管理人从制度和流程上要求股票必须先入库再买入。</w:t>
      </w:r>
    </w:p>
    <w:p>
      <w:pPr>
        <w:pStyle w:val="27"/>
        <w:spacing w:before="156" w:after="156"/>
        <w:rPr>
          <w:rFonts w:hint="eastAsia"/>
        </w:rPr>
      </w:pPr>
      <w:r>
        <w:rPr>
          <w:rFonts w:hint="eastAsia"/>
        </w:rPr>
        <w:t>其他资产构成</w:t>
      </w:r>
    </w:p>
    <w:p>
      <w:pPr>
        <w:jc w:val="right"/>
        <w:rPr>
          <w:rFonts w:hint="eastAsia"/>
        </w:rPr>
      </w:pPr>
      <w:r>
        <w:rPr>
          <w:rFonts w:hint="eastAsia"/>
        </w:rPr>
        <w:t>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977"/>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shd w:val="clear" w:color="auto" w:fill="BFBFBF"/>
            <w:vAlign w:val="center"/>
          </w:tcPr>
          <w:p>
            <w:pPr>
              <w:jc w:val="center"/>
              <w:rPr>
                <w:rFonts w:hint="eastAsia"/>
              </w:rPr>
            </w:pPr>
            <w:r>
              <w:rPr>
                <w:rFonts w:hint="eastAsia"/>
              </w:rPr>
              <w:t>序号</w:t>
            </w:r>
          </w:p>
        </w:tc>
        <w:tc>
          <w:tcPr>
            <w:tcW w:w="2977" w:type="dxa"/>
            <w:shd w:val="clear" w:color="auto" w:fill="BFBFBF"/>
            <w:vAlign w:val="center"/>
          </w:tcPr>
          <w:p>
            <w:pPr>
              <w:jc w:val="center"/>
              <w:rPr>
                <w:rFonts w:hint="eastAsia"/>
              </w:rPr>
            </w:pPr>
            <w:r>
              <w:rPr>
                <w:rFonts w:hint="eastAsia"/>
              </w:rPr>
              <w:t>名称</w:t>
            </w:r>
          </w:p>
        </w:tc>
        <w:tc>
          <w:tcPr>
            <w:tcW w:w="4785" w:type="dxa"/>
            <w:shd w:val="clear" w:color="auto" w:fill="BFBFBF"/>
            <w:vAlign w:val="center"/>
          </w:tcPr>
          <w:p>
            <w:pPr>
              <w:jc w:val="center"/>
              <w:rPr>
                <w:rFonts w:hint="eastAsia"/>
              </w:rP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jc w:val="center"/>
              <w:rPr>
                <w:rFonts w:hint="eastAsia"/>
              </w:rPr>
            </w:pPr>
            <w:r>
              <w:t>1</w:t>
            </w:r>
          </w:p>
        </w:tc>
        <w:tc>
          <w:tcPr>
            <w:tcW w:w="2977" w:type="dxa"/>
            <w:vAlign w:val="center"/>
          </w:tcPr>
          <w:p>
            <w:pPr>
              <w:jc w:val="left"/>
              <w:rPr>
                <w:rFonts w:hint="eastAsia"/>
              </w:rPr>
            </w:pPr>
            <w:r>
              <w:rPr>
                <w:rFonts w:hint="eastAsia"/>
              </w:rPr>
              <w:t>存出保证金</w:t>
            </w:r>
          </w:p>
        </w:tc>
        <w:tc>
          <w:tcPr>
            <w:tcW w:w="4785"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jc w:val="center"/>
              <w:rPr>
                <w:rFonts w:hint="eastAsia"/>
              </w:rPr>
            </w:pPr>
            <w:r>
              <w:t>2</w:t>
            </w:r>
          </w:p>
        </w:tc>
        <w:tc>
          <w:tcPr>
            <w:tcW w:w="2977" w:type="dxa"/>
            <w:vAlign w:val="center"/>
          </w:tcPr>
          <w:p>
            <w:pPr>
              <w:jc w:val="left"/>
              <w:rPr>
                <w:rFonts w:hint="eastAsia"/>
              </w:rPr>
            </w:pPr>
            <w:r>
              <w:rPr>
                <w:rFonts w:hint="eastAsia"/>
              </w:rPr>
              <w:t>应收证券清算款</w:t>
            </w:r>
          </w:p>
        </w:tc>
        <w:tc>
          <w:tcPr>
            <w:tcW w:w="4785"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jc w:val="center"/>
              <w:rPr>
                <w:rFonts w:hint="eastAsia"/>
              </w:rPr>
            </w:pPr>
            <w:r>
              <w:t>3</w:t>
            </w:r>
          </w:p>
        </w:tc>
        <w:tc>
          <w:tcPr>
            <w:tcW w:w="2977" w:type="dxa"/>
            <w:vAlign w:val="center"/>
          </w:tcPr>
          <w:p>
            <w:pPr>
              <w:jc w:val="left"/>
              <w:rPr>
                <w:rFonts w:hint="eastAsia"/>
              </w:rPr>
            </w:pPr>
            <w:r>
              <w:rPr>
                <w:rFonts w:hint="eastAsia"/>
              </w:rPr>
              <w:t>应收股利</w:t>
            </w:r>
          </w:p>
        </w:tc>
        <w:tc>
          <w:tcPr>
            <w:tcW w:w="4785" w:type="dxa"/>
            <w:vAlign w:val="center"/>
          </w:tcPr>
          <w:p>
            <w:pPr>
              <w:jc w:val="right"/>
              <w:rPr>
                <w:rFonts w:hint="eastAsia"/>
              </w:rPr>
            </w:pPr>
            <w:r>
              <w:t>239,255.41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jc w:val="center"/>
              <w:rPr>
                <w:rFonts w:hint="eastAsia"/>
              </w:rPr>
            </w:pPr>
            <w:r>
              <w:t>4</w:t>
            </w:r>
          </w:p>
        </w:tc>
        <w:tc>
          <w:tcPr>
            <w:tcW w:w="2977" w:type="dxa"/>
            <w:vAlign w:val="center"/>
          </w:tcPr>
          <w:p>
            <w:pPr>
              <w:jc w:val="left"/>
              <w:rPr>
                <w:rFonts w:hint="eastAsia"/>
              </w:rPr>
            </w:pPr>
            <w:r>
              <w:rPr>
                <w:rFonts w:hint="eastAsia"/>
              </w:rPr>
              <w:t>应收利息</w:t>
            </w:r>
          </w:p>
        </w:tc>
        <w:tc>
          <w:tcPr>
            <w:tcW w:w="4785" w:type="dxa"/>
            <w:vAlign w:val="center"/>
          </w:tcPr>
          <w:p>
            <w:pPr>
              <w:jc w:val="right"/>
              <w:rPr>
                <w:rFonts w:hint="eastAsia"/>
              </w:rPr>
            </w:pPr>
            <w:r>
              <w:t>265.14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jc w:val="center"/>
              <w:rPr>
                <w:rFonts w:hint="eastAsia"/>
              </w:rPr>
            </w:pPr>
            <w:r>
              <w:t>5</w:t>
            </w:r>
          </w:p>
        </w:tc>
        <w:tc>
          <w:tcPr>
            <w:tcW w:w="2977" w:type="dxa"/>
            <w:vAlign w:val="center"/>
          </w:tcPr>
          <w:p>
            <w:pPr>
              <w:jc w:val="left"/>
              <w:rPr>
                <w:rFonts w:hint="eastAsia"/>
              </w:rPr>
            </w:pPr>
            <w:r>
              <w:rPr>
                <w:rFonts w:hint="eastAsia"/>
              </w:rPr>
              <w:t>应收申购款</w:t>
            </w:r>
          </w:p>
        </w:tc>
        <w:tc>
          <w:tcPr>
            <w:tcW w:w="4785" w:type="dxa"/>
            <w:vAlign w:val="center"/>
          </w:tcPr>
          <w:p>
            <w:pPr>
              <w:jc w:val="right"/>
              <w:rPr>
                <w:rFonts w:hint="eastAsia"/>
              </w:rPr>
            </w:pPr>
            <w:r>
              <w:t>832,661.05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jc w:val="center"/>
              <w:rPr>
                <w:rFonts w:hint="eastAsia"/>
              </w:rPr>
            </w:pPr>
            <w:r>
              <w:t>6</w:t>
            </w:r>
          </w:p>
        </w:tc>
        <w:tc>
          <w:tcPr>
            <w:tcW w:w="2977" w:type="dxa"/>
            <w:vAlign w:val="center"/>
          </w:tcPr>
          <w:p>
            <w:pPr>
              <w:jc w:val="left"/>
              <w:rPr>
                <w:rFonts w:hint="eastAsia"/>
              </w:rPr>
            </w:pPr>
            <w:r>
              <w:rPr>
                <w:rFonts w:hint="eastAsia"/>
              </w:rPr>
              <w:t>其他应收款</w:t>
            </w:r>
          </w:p>
        </w:tc>
        <w:tc>
          <w:tcPr>
            <w:tcW w:w="4785"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jc w:val="center"/>
              <w:rPr>
                <w:rFonts w:hint="eastAsia"/>
              </w:rPr>
            </w:pPr>
            <w:r>
              <w:t>7</w:t>
            </w:r>
          </w:p>
        </w:tc>
        <w:tc>
          <w:tcPr>
            <w:tcW w:w="2977" w:type="dxa"/>
            <w:vAlign w:val="center"/>
          </w:tcPr>
          <w:p>
            <w:pPr>
              <w:jc w:val="left"/>
              <w:rPr>
                <w:rFonts w:hint="eastAsia"/>
              </w:rPr>
            </w:pPr>
            <w:r>
              <w:rPr>
                <w:rFonts w:hint="eastAsia"/>
              </w:rPr>
              <w:t>待摊费用</w:t>
            </w:r>
          </w:p>
        </w:tc>
        <w:tc>
          <w:tcPr>
            <w:tcW w:w="4785" w:type="dxa"/>
            <w:vAlign w:val="center"/>
          </w:tcPr>
          <w:p>
            <w:pPr>
              <w:jc w:val="right"/>
              <w:rPr>
                <w:rFonts w:hint="eastAsia"/>
              </w:rPr>
            </w:pPr>
            <w:r>
              <w:t>20,275.55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jc w:val="center"/>
              <w:rPr>
                <w:rFonts w:hint="eastAsia"/>
              </w:rPr>
            </w:pPr>
            <w:r>
              <w:t>8</w:t>
            </w:r>
          </w:p>
        </w:tc>
        <w:tc>
          <w:tcPr>
            <w:tcW w:w="2977" w:type="dxa"/>
            <w:vAlign w:val="center"/>
          </w:tcPr>
          <w:p>
            <w:pPr>
              <w:jc w:val="left"/>
              <w:rPr>
                <w:rFonts w:hint="eastAsia"/>
              </w:rPr>
            </w:pPr>
            <w:r>
              <w:rPr>
                <w:rFonts w:hint="eastAsia"/>
              </w:rPr>
              <w:t>其他</w:t>
            </w:r>
          </w:p>
        </w:tc>
        <w:tc>
          <w:tcPr>
            <w:tcW w:w="4785"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jc w:val="center"/>
              <w:rPr>
                <w:rFonts w:hint="eastAsia"/>
              </w:rPr>
            </w:pPr>
            <w:r>
              <w:t>9</w:t>
            </w:r>
          </w:p>
        </w:tc>
        <w:tc>
          <w:tcPr>
            <w:tcW w:w="2977" w:type="dxa"/>
            <w:vAlign w:val="center"/>
          </w:tcPr>
          <w:p>
            <w:pPr>
              <w:jc w:val="left"/>
              <w:rPr>
                <w:rFonts w:hint="eastAsia"/>
              </w:rPr>
            </w:pPr>
            <w:r>
              <w:rPr>
                <w:rFonts w:hint="eastAsia"/>
              </w:rPr>
              <w:t>合计</w:t>
            </w:r>
          </w:p>
        </w:tc>
        <w:tc>
          <w:tcPr>
            <w:tcW w:w="4785" w:type="dxa"/>
            <w:vAlign w:val="center"/>
          </w:tcPr>
          <w:p>
            <w:pPr>
              <w:jc w:val="right"/>
              <w:rPr>
                <w:rFonts w:hint="eastAsia"/>
              </w:rPr>
            </w:pPr>
            <w:r>
              <w:t>1,092,457.15</w:t>
            </w:r>
          </w:p>
        </w:tc>
      </w:tr>
    </w:tbl>
    <w:p>
      <w:pPr>
        <w:pStyle w:val="27"/>
        <w:spacing w:before="156" w:after="156"/>
        <w:rPr>
          <w:rFonts w:hint="eastAsia"/>
        </w:rPr>
      </w:pPr>
      <w:r>
        <w:rPr>
          <w:rFonts w:hint="eastAsia"/>
        </w:rPr>
        <w:t>报告期末持有的处于转股期的可转换债券明细</w:t>
      </w:r>
    </w:p>
    <w:p>
      <w:pPr>
        <w:pStyle w:val="17"/>
        <w:ind w:firstLine="420"/>
        <w:rPr>
          <w:rFonts w:hint="eastAsia"/>
        </w:rPr>
      </w:pPr>
      <w:r>
        <w:rPr>
          <w:rFonts w:hint="eastAsia"/>
        </w:rPr>
        <w:t>本基金本报告期末未持有债券。</w:t>
      </w:r>
    </w:p>
    <w:p>
      <w:pPr>
        <w:pStyle w:val="27"/>
        <w:spacing w:before="156" w:after="156"/>
        <w:rPr>
          <w:rFonts w:hint="eastAsia"/>
        </w:rPr>
      </w:pPr>
      <w:r>
        <w:rPr>
          <w:rFonts w:hint="eastAsia"/>
        </w:rPr>
        <w:t>报告期末前十名股票中存在流通受限情况的说明</w:t>
      </w:r>
    </w:p>
    <w:p>
      <w:pPr>
        <w:pStyle w:val="34"/>
        <w:spacing w:before="156" w:after="156"/>
        <w:rPr>
          <w:rFonts w:hint="eastAsia"/>
        </w:rPr>
      </w:pPr>
      <w:r>
        <w:rPr>
          <w:rFonts w:hint="eastAsia"/>
        </w:rPr>
        <w:t>报告期末指数投资前十名股票中存在流通受限情况说明</w:t>
      </w:r>
    </w:p>
    <w:p>
      <w:pPr>
        <w:pStyle w:val="17"/>
        <w:ind w:firstLine="420"/>
        <w:rPr>
          <w:rFonts w:hint="eastAsia"/>
        </w:rPr>
      </w:pPr>
      <w:r>
        <w:rPr>
          <w:rFonts w:hint="eastAsia"/>
        </w:rPr>
        <w:t>本基金本报告期末指数投资前十名股票中不存在流通受限的情况。</w:t>
      </w:r>
    </w:p>
    <w:p>
      <w:pPr>
        <w:pStyle w:val="34"/>
        <w:spacing w:before="156" w:after="156"/>
        <w:rPr>
          <w:rFonts w:hint="eastAsia"/>
        </w:rPr>
      </w:pPr>
      <w:r>
        <w:rPr>
          <w:rFonts w:hint="eastAsia"/>
        </w:rPr>
        <w:t>报告期末积极投资前五名股票中存在流通受限情况的说明</w:t>
      </w:r>
    </w:p>
    <w:p>
      <w:pPr>
        <w:pStyle w:val="17"/>
        <w:ind w:firstLine="420"/>
        <w:rPr>
          <w:rFonts w:hint="eastAsia"/>
        </w:rPr>
      </w:pPr>
      <w:r>
        <w:rPr>
          <w:rFonts w:hint="eastAsia"/>
        </w:rPr>
        <w:t>本基金本报告期末未持有积极投资的股票。</w:t>
      </w:r>
    </w:p>
    <w:p>
      <w:pPr>
        <w:pStyle w:val="25"/>
        <w:ind w:left="281" w:hanging="281"/>
        <w:rPr>
          <w:rFonts w:hint="eastAsia"/>
        </w:rPr>
      </w:pPr>
      <w:r>
        <w:rPr>
          <w:rFonts w:hint="eastAsia"/>
        </w:rPr>
        <w:t>开放式基金份额变动</w:t>
      </w:r>
    </w:p>
    <w:p>
      <w:pPr>
        <w:jc w:val="right"/>
        <w:rPr>
          <w:rFonts w:hint="eastAsia"/>
        </w:rPr>
      </w:pPr>
      <w:r>
        <w:rPr>
          <w:rFonts w:hint="eastAsia"/>
        </w:rPr>
        <w:t>单位：份</w:t>
      </w:r>
    </w:p>
    <w:tbl>
      <w:tblPr>
        <w:tblStyle w:val="2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shd w:val="clear" w:color="auto" w:fill="BFBFBF"/>
            <w:vAlign w:val="center"/>
          </w:tcPr>
          <w:p>
            <w:pPr>
              <w:jc w:val="center"/>
              <w:rPr>
                <w:rFonts w:hint="eastAsia"/>
              </w:rPr>
            </w:pPr>
            <w:r>
              <w:rPr>
                <w:rFonts w:hint="eastAsia"/>
              </w:rPr>
              <w:t>项目</w:t>
            </w:r>
          </w:p>
        </w:tc>
        <w:tc>
          <w:tcPr>
            <w:tcW w:w="2841" w:type="dxa"/>
            <w:shd w:val="clear" w:color="auto" w:fill="BFBFBF"/>
            <w:vAlign w:val="center"/>
          </w:tcPr>
          <w:p>
            <w:pPr>
              <w:jc w:val="center"/>
              <w:rPr>
                <w:rFonts w:hint="eastAsia"/>
              </w:rPr>
            </w:pPr>
            <w:r>
              <w:rPr>
                <w:rFonts w:hint="eastAsia"/>
              </w:rPr>
              <w:t>美国REIT</w:t>
            </w:r>
          </w:p>
        </w:tc>
        <w:tc>
          <w:tcPr>
            <w:tcW w:w="2841" w:type="dxa"/>
            <w:shd w:val="clear" w:color="auto" w:fill="BFBFBF"/>
            <w:vAlign w:val="center"/>
          </w:tcPr>
          <w:p>
            <w:pPr>
              <w:jc w:val="center"/>
              <w:rPr>
                <w:rFonts w:hint="eastAsia"/>
              </w:rPr>
            </w:pPr>
            <w:r>
              <w:rPr>
                <w:rFonts w:hint="eastAsia"/>
              </w:rPr>
              <w:t>美国RE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报告期期初基金份额总额</w:t>
            </w:r>
          </w:p>
        </w:tc>
        <w:tc>
          <w:tcPr>
            <w:tcW w:w="2841" w:type="dxa"/>
            <w:vAlign w:val="center"/>
          </w:tcPr>
          <w:p>
            <w:pPr>
              <w:jc w:val="right"/>
              <w:rPr>
                <w:rFonts w:hint="eastAsia"/>
              </w:rPr>
            </w:pPr>
            <w:r>
              <w:t>44,865,344.98</w:t>
            </w:r>
          </w:p>
        </w:tc>
        <w:tc>
          <w:tcPr>
            <w:tcW w:w="2841" w:type="dxa"/>
            <w:vAlign w:val="center"/>
          </w:tcPr>
          <w:p>
            <w:pPr>
              <w:jc w:val="right"/>
              <w:rPr>
                <w:rFonts w:hint="eastAsia"/>
              </w:rPr>
            </w:pPr>
            <w:r>
              <w:t>22,909,047.48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报告期期间基金总申购份额</w:t>
            </w:r>
          </w:p>
        </w:tc>
        <w:tc>
          <w:tcPr>
            <w:tcW w:w="2841" w:type="dxa"/>
            <w:vAlign w:val="center"/>
          </w:tcPr>
          <w:p>
            <w:pPr>
              <w:jc w:val="right"/>
              <w:rPr>
                <w:rFonts w:hint="eastAsia"/>
              </w:rPr>
            </w:pPr>
            <w:r>
              <w:t>31,032,183.20</w:t>
            </w:r>
          </w:p>
        </w:tc>
        <w:tc>
          <w:tcPr>
            <w:tcW w:w="2841" w:type="dxa"/>
            <w:vAlign w:val="center"/>
          </w:tcPr>
          <w:p>
            <w:pPr>
              <w:jc w:val="right"/>
              <w:rPr>
                <w:rFonts w:hint="eastAsia"/>
              </w:rPr>
            </w:pPr>
            <w:r>
              <w:t>24,128,496.56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减：报告期期间基金总赎回份额</w:t>
            </w:r>
          </w:p>
        </w:tc>
        <w:tc>
          <w:tcPr>
            <w:tcW w:w="2841" w:type="dxa"/>
            <w:vAlign w:val="center"/>
          </w:tcPr>
          <w:p>
            <w:pPr>
              <w:jc w:val="right"/>
              <w:rPr>
                <w:rFonts w:hint="eastAsia"/>
              </w:rPr>
            </w:pPr>
            <w:r>
              <w:t>20,545,743.41</w:t>
            </w:r>
          </w:p>
        </w:tc>
        <w:tc>
          <w:tcPr>
            <w:tcW w:w="2841" w:type="dxa"/>
            <w:vAlign w:val="center"/>
          </w:tcPr>
          <w:p>
            <w:pPr>
              <w:jc w:val="right"/>
              <w:rPr>
                <w:rFonts w:hint="eastAsia"/>
              </w:rPr>
            </w:pPr>
            <w:r>
              <w:t>18,104,418.48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报告期期间基金拆分变动份额（份额减少以"-"填列）</w:t>
            </w:r>
          </w:p>
        </w:tc>
        <w:tc>
          <w:tcPr>
            <w:tcW w:w="2841" w:type="dxa"/>
            <w:vAlign w:val="center"/>
          </w:tcPr>
          <w:p>
            <w:pPr>
              <w:jc w:val="right"/>
              <w:rPr>
                <w:rFonts w:hint="eastAsia"/>
              </w:rPr>
            </w:pPr>
            <w:r>
              <w:t>-</w:t>
            </w:r>
          </w:p>
        </w:tc>
        <w:tc>
          <w:tcPr>
            <w:tcW w:w="2841"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left"/>
              <w:rPr>
                <w:rFonts w:hint="eastAsia"/>
              </w:rPr>
            </w:pPr>
            <w:r>
              <w:rPr>
                <w:rFonts w:hint="eastAsia"/>
              </w:rPr>
              <w:t>报告期期末基金份额总额</w:t>
            </w:r>
          </w:p>
        </w:tc>
        <w:tc>
          <w:tcPr>
            <w:tcW w:w="2841" w:type="dxa"/>
            <w:vAlign w:val="center"/>
          </w:tcPr>
          <w:p>
            <w:pPr>
              <w:jc w:val="right"/>
              <w:rPr>
                <w:rFonts w:hint="eastAsia"/>
              </w:rPr>
            </w:pPr>
            <w:r>
              <w:t>55,351,784.77</w:t>
            </w:r>
          </w:p>
        </w:tc>
        <w:tc>
          <w:tcPr>
            <w:tcW w:w="2841" w:type="dxa"/>
            <w:vAlign w:val="center"/>
          </w:tcPr>
          <w:p>
            <w:pPr>
              <w:jc w:val="right"/>
              <w:rPr>
                <w:rFonts w:hint="eastAsia"/>
              </w:rPr>
            </w:pPr>
            <w:r>
              <w:t>28,933,125.56</w:t>
            </w:r>
          </w:p>
        </w:tc>
      </w:tr>
    </w:tbl>
    <w:p>
      <w:pPr>
        <w:pStyle w:val="46"/>
        <w:rPr>
          <w:rFonts w:hint="eastAsia"/>
        </w:rPr>
      </w:pPr>
      <w:r>
        <w:rPr>
          <w:rFonts w:hint="eastAsia"/>
        </w:rPr>
        <w:t>注:报告截止日2020年9月30日，南方道琼斯美国精选REIT指数证券投资基金份额总额55,351,784.77份，其中A类基金份额为44,865,344.98份，C类基金份额为28,933,125.56份。</w:t>
      </w:r>
    </w:p>
    <w:p>
      <w:pPr>
        <w:pStyle w:val="25"/>
        <w:ind w:left="281" w:hanging="281"/>
        <w:rPr>
          <w:rFonts w:hint="eastAsia"/>
        </w:rPr>
      </w:pPr>
      <w:r>
        <w:rPr>
          <w:rFonts w:hint="eastAsia"/>
        </w:rPr>
        <w:t>基金管理人运用固有资金投资本基金情况</w:t>
      </w:r>
    </w:p>
    <w:p>
      <w:pPr>
        <w:pStyle w:val="22"/>
        <w:spacing w:before="312"/>
        <w:rPr>
          <w:rFonts w:hint="eastAsia"/>
        </w:rPr>
      </w:pPr>
      <w:r>
        <w:rPr>
          <w:rFonts w:hint="eastAsia"/>
        </w:rPr>
        <w:t>基金管理人持有本基金份额变动情况</w:t>
      </w:r>
    </w:p>
    <w:p>
      <w:pPr>
        <w:jc w:val="right"/>
        <w:rPr>
          <w:rFonts w:hint="eastAsia"/>
        </w:rPr>
      </w:pPr>
      <w:r>
        <w:rPr>
          <w:rFonts w:hint="eastAsia"/>
        </w:rPr>
        <w:t>单位：份</w:t>
      </w:r>
    </w:p>
    <w:tbl>
      <w:tblPr>
        <w:tblStyle w:val="2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2"/>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2" w:type="dxa"/>
            <w:shd w:val="clear" w:color="auto" w:fill="BFBFBF"/>
            <w:vAlign w:val="center"/>
          </w:tcPr>
          <w:p>
            <w:pPr>
              <w:jc w:val="center"/>
              <w:rPr>
                <w:rFonts w:hint="eastAsia"/>
              </w:rPr>
            </w:pPr>
            <w:r>
              <w:rPr>
                <w:rFonts w:hint="eastAsia"/>
              </w:rPr>
              <w:t>项目</w:t>
            </w:r>
          </w:p>
        </w:tc>
        <w:tc>
          <w:tcPr>
            <w:tcW w:w="3153" w:type="dxa"/>
            <w:shd w:val="clear" w:color="auto" w:fill="BFBFBF"/>
            <w:vAlign w:val="center"/>
          </w:tcPr>
          <w:p>
            <w:pPr>
              <w:jc w:val="center"/>
              <w:rPr>
                <w:rFonts w:hint="eastAsia"/>
              </w:rPr>
            </w:pPr>
            <w:r>
              <w:rPr>
                <w:rFonts w:hint="eastAsia"/>
              </w:rPr>
              <w:t>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2" w:type="dxa"/>
            <w:vAlign w:val="center"/>
          </w:tcPr>
          <w:p>
            <w:pPr>
              <w:jc w:val="left"/>
              <w:rPr>
                <w:rFonts w:hint="eastAsia"/>
              </w:rPr>
            </w:pPr>
            <w:r>
              <w:rPr>
                <w:rFonts w:hint="eastAsia"/>
              </w:rPr>
              <w:t>报告期期初管理人持有的本基金份额</w:t>
            </w:r>
          </w:p>
        </w:tc>
        <w:tc>
          <w:tcPr>
            <w:tcW w:w="3153" w:type="dxa"/>
            <w:vAlign w:val="center"/>
          </w:tcPr>
          <w:p>
            <w:pPr>
              <w:jc w:val="right"/>
              <w:rPr>
                <w:rFonts w:hint="eastAsia"/>
              </w:rPr>
            </w:pPr>
            <w:r>
              <w:t>7,412,658.70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2" w:type="dxa"/>
            <w:vAlign w:val="center"/>
          </w:tcPr>
          <w:p>
            <w:pPr>
              <w:jc w:val="left"/>
              <w:rPr>
                <w:rFonts w:hint="eastAsia"/>
              </w:rPr>
            </w:pPr>
            <w:r>
              <w:rPr>
                <w:rFonts w:hint="eastAsia"/>
              </w:rPr>
              <w:t>报告期期间买入/申购总份额</w:t>
            </w:r>
          </w:p>
        </w:tc>
        <w:tc>
          <w:tcPr>
            <w:tcW w:w="3153"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2" w:type="dxa"/>
            <w:vAlign w:val="center"/>
          </w:tcPr>
          <w:p>
            <w:pPr>
              <w:jc w:val="left"/>
              <w:rPr>
                <w:rFonts w:hint="eastAsia"/>
              </w:rPr>
            </w:pPr>
            <w:r>
              <w:rPr>
                <w:rFonts w:hint="eastAsia"/>
              </w:rPr>
              <w:t>报告期期间卖出/赎回总份额</w:t>
            </w:r>
          </w:p>
        </w:tc>
        <w:tc>
          <w:tcPr>
            <w:tcW w:w="3153" w:type="dxa"/>
            <w:vAlign w:val="center"/>
          </w:tcPr>
          <w:p>
            <w:pPr>
              <w:jc w:val="right"/>
              <w:rPr>
                <w:rFonts w:hint="eastAsia"/>
              </w:rPr>
            </w:pPr>
            <w:r>
              <w:t>7,412,658.70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2" w:type="dxa"/>
            <w:vAlign w:val="center"/>
          </w:tcPr>
          <w:p>
            <w:pPr>
              <w:jc w:val="left"/>
              <w:rPr>
                <w:rFonts w:hint="eastAsia"/>
              </w:rPr>
            </w:pPr>
            <w:r>
              <w:rPr>
                <w:rFonts w:hint="eastAsia"/>
              </w:rPr>
              <w:t>报告期期末管理人持有的本基金份额</w:t>
            </w:r>
          </w:p>
        </w:tc>
        <w:tc>
          <w:tcPr>
            <w:tcW w:w="3153" w:type="dxa"/>
            <w:vAlign w:val="center"/>
          </w:tcPr>
          <w:p>
            <w:pPr>
              <w:jc w:val="right"/>
              <w:rPr>
                <w:rFonts w:hint="eastAsia"/>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2" w:type="dxa"/>
            <w:vAlign w:val="center"/>
          </w:tcPr>
          <w:p>
            <w:pPr>
              <w:jc w:val="left"/>
              <w:rPr>
                <w:rFonts w:hint="eastAsia"/>
              </w:rPr>
            </w:pPr>
            <w:r>
              <w:rPr>
                <w:rFonts w:hint="eastAsia"/>
              </w:rPr>
              <w:t>报告期期末持有的本基金份额占基金总份额比例（%）</w:t>
            </w:r>
          </w:p>
        </w:tc>
        <w:tc>
          <w:tcPr>
            <w:tcW w:w="3153" w:type="dxa"/>
            <w:vAlign w:val="center"/>
          </w:tcPr>
          <w:p>
            <w:pPr>
              <w:jc w:val="right"/>
              <w:rPr>
                <w:rFonts w:hint="eastAsia"/>
              </w:rPr>
            </w:pPr>
            <w:r>
              <w:t>-</w:t>
            </w:r>
          </w:p>
        </w:tc>
      </w:tr>
    </w:tbl>
    <w:p>
      <w:pPr>
        <w:pStyle w:val="22"/>
        <w:spacing w:before="312"/>
        <w:rPr>
          <w:rFonts w:hint="eastAsia"/>
        </w:rPr>
      </w:pPr>
      <w:r>
        <w:rPr>
          <w:rFonts w:hint="eastAsia"/>
        </w:rPr>
        <w:t>基金管理人运用固有资金投资本基金交易明细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shd w:val="clear" w:color="auto" w:fill="BFBFBF"/>
            <w:vAlign w:val="center"/>
          </w:tcPr>
          <w:p>
            <w:pPr>
              <w:jc w:val="center"/>
              <w:rPr>
                <w:rFonts w:hint="eastAsia"/>
              </w:rPr>
            </w:pPr>
            <w:r>
              <w:rPr>
                <w:rFonts w:hint="eastAsia"/>
              </w:rPr>
              <w:t>序号</w:t>
            </w:r>
          </w:p>
        </w:tc>
        <w:tc>
          <w:tcPr>
            <w:tcW w:w="1420" w:type="dxa"/>
            <w:shd w:val="clear" w:color="auto" w:fill="BFBFBF"/>
            <w:vAlign w:val="center"/>
          </w:tcPr>
          <w:p>
            <w:pPr>
              <w:jc w:val="center"/>
              <w:rPr>
                <w:rFonts w:hint="eastAsia"/>
              </w:rPr>
            </w:pPr>
            <w:r>
              <w:rPr>
                <w:rFonts w:hint="eastAsia"/>
              </w:rPr>
              <w:t>交易方式</w:t>
            </w:r>
          </w:p>
        </w:tc>
        <w:tc>
          <w:tcPr>
            <w:tcW w:w="1420" w:type="dxa"/>
            <w:shd w:val="clear" w:color="auto" w:fill="BFBFBF"/>
            <w:vAlign w:val="center"/>
          </w:tcPr>
          <w:p>
            <w:pPr>
              <w:jc w:val="center"/>
              <w:rPr>
                <w:rFonts w:hint="eastAsia"/>
              </w:rPr>
            </w:pPr>
            <w:r>
              <w:rPr>
                <w:rFonts w:hint="eastAsia"/>
              </w:rPr>
              <w:t>交易日期</w:t>
            </w:r>
          </w:p>
        </w:tc>
        <w:tc>
          <w:tcPr>
            <w:tcW w:w="1420" w:type="dxa"/>
            <w:shd w:val="clear" w:color="auto" w:fill="BFBFBF"/>
            <w:vAlign w:val="center"/>
          </w:tcPr>
          <w:p>
            <w:pPr>
              <w:jc w:val="center"/>
              <w:rPr>
                <w:rFonts w:hint="eastAsia"/>
              </w:rPr>
            </w:pPr>
            <w:r>
              <w:rPr>
                <w:rFonts w:hint="eastAsia"/>
              </w:rPr>
              <w:t>交易份额（份）</w:t>
            </w:r>
          </w:p>
        </w:tc>
        <w:tc>
          <w:tcPr>
            <w:tcW w:w="1421" w:type="dxa"/>
            <w:shd w:val="clear" w:color="auto" w:fill="BFBFBF"/>
            <w:vAlign w:val="center"/>
          </w:tcPr>
          <w:p>
            <w:pPr>
              <w:jc w:val="center"/>
              <w:rPr>
                <w:rFonts w:hint="eastAsia"/>
              </w:rPr>
            </w:pPr>
            <w:r>
              <w:rPr>
                <w:rFonts w:hint="eastAsia"/>
              </w:rPr>
              <w:t>交易金额（元）</w:t>
            </w:r>
          </w:p>
        </w:tc>
        <w:tc>
          <w:tcPr>
            <w:tcW w:w="1421" w:type="dxa"/>
            <w:shd w:val="clear" w:color="auto" w:fill="BFBFBF"/>
            <w:vAlign w:val="center"/>
          </w:tcPr>
          <w:p>
            <w:pPr>
              <w:jc w:val="center"/>
              <w:rPr>
                <w:rFonts w:hint="eastAsia"/>
              </w:rPr>
            </w:pPr>
            <w:r>
              <w:rPr>
                <w:rFonts w:hint="eastAsia"/>
              </w:rPr>
              <w:t>适用费率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hint="eastAsia"/>
              </w:rPr>
            </w:pPr>
            <w:r>
              <w:t>1</w:t>
            </w:r>
          </w:p>
        </w:tc>
        <w:tc>
          <w:tcPr>
            <w:tcW w:w="1420" w:type="dxa"/>
            <w:vAlign w:val="center"/>
          </w:tcPr>
          <w:p>
            <w:pPr>
              <w:jc w:val="left"/>
              <w:rPr>
                <w:rFonts w:hint="eastAsia"/>
              </w:rPr>
            </w:pPr>
            <w:r>
              <w:rPr>
                <w:rFonts w:hint="eastAsia"/>
              </w:rPr>
              <w:t>赎回</w:t>
            </w:r>
          </w:p>
        </w:tc>
        <w:tc>
          <w:tcPr>
            <w:tcW w:w="1420" w:type="dxa"/>
            <w:vAlign w:val="center"/>
          </w:tcPr>
          <w:p>
            <w:pPr>
              <w:jc w:val="left"/>
              <w:rPr>
                <w:rFonts w:hint="eastAsia"/>
              </w:rPr>
            </w:pPr>
            <w:r>
              <w:rPr>
                <w:rFonts w:hint="eastAsia"/>
              </w:rPr>
              <w:t>2020年7月16日</w:t>
            </w:r>
          </w:p>
        </w:tc>
        <w:tc>
          <w:tcPr>
            <w:tcW w:w="1420" w:type="dxa"/>
            <w:vAlign w:val="center"/>
          </w:tcPr>
          <w:p>
            <w:pPr>
              <w:jc w:val="right"/>
              <w:rPr>
                <w:rFonts w:hint="eastAsia"/>
              </w:rPr>
            </w:pPr>
            <w:r>
              <w:t>7,412,658.70</w:t>
            </w:r>
          </w:p>
        </w:tc>
        <w:tc>
          <w:tcPr>
            <w:tcW w:w="1421" w:type="dxa"/>
            <w:vAlign w:val="center"/>
          </w:tcPr>
          <w:p>
            <w:pPr>
              <w:jc w:val="right"/>
              <w:rPr>
                <w:rFonts w:hint="eastAsia"/>
              </w:rPr>
            </w:pPr>
            <w:r>
              <w:t>6,735,310.33</w:t>
            </w:r>
          </w:p>
        </w:tc>
        <w:tc>
          <w:tcPr>
            <w:tcW w:w="1421" w:type="dxa"/>
            <w:vAlign w:val="center"/>
          </w:tcPr>
          <w:p>
            <w:pPr>
              <w:jc w:val="right"/>
              <w:rPr>
                <w:rFonts w:hint="eastAsia"/>
              </w:rP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hint="eastAsia"/>
              </w:rPr>
            </w:pPr>
            <w:r>
              <w:rPr>
                <w:rFonts w:hint="eastAsia"/>
              </w:rPr>
              <w:t>合计</w:t>
            </w:r>
          </w:p>
        </w:tc>
        <w:tc>
          <w:tcPr>
            <w:tcW w:w="1420" w:type="dxa"/>
            <w:vAlign w:val="center"/>
          </w:tcPr>
          <w:p>
            <w:pPr>
              <w:jc w:val="right"/>
              <w:rPr>
                <w:rFonts w:hint="eastAsia"/>
              </w:rPr>
            </w:pPr>
            <w:r>
              <w:t>-</w:t>
            </w:r>
          </w:p>
        </w:tc>
        <w:tc>
          <w:tcPr>
            <w:tcW w:w="1420" w:type="dxa"/>
            <w:vAlign w:val="center"/>
          </w:tcPr>
          <w:p>
            <w:pPr>
              <w:jc w:val="right"/>
              <w:rPr>
                <w:rFonts w:hint="eastAsia"/>
              </w:rPr>
            </w:pPr>
            <w:r>
              <w:t>-</w:t>
            </w:r>
          </w:p>
        </w:tc>
        <w:tc>
          <w:tcPr>
            <w:tcW w:w="1420" w:type="dxa"/>
            <w:vAlign w:val="center"/>
          </w:tcPr>
          <w:p>
            <w:pPr>
              <w:jc w:val="right"/>
              <w:rPr>
                <w:rFonts w:hint="eastAsia"/>
              </w:rPr>
            </w:pPr>
            <w:r>
              <w:t>7,412,658.70</w:t>
            </w:r>
          </w:p>
        </w:tc>
        <w:tc>
          <w:tcPr>
            <w:tcW w:w="1421" w:type="dxa"/>
            <w:vAlign w:val="center"/>
          </w:tcPr>
          <w:p>
            <w:pPr>
              <w:jc w:val="right"/>
              <w:rPr>
                <w:rFonts w:hint="eastAsia"/>
              </w:rPr>
            </w:pPr>
            <w:r>
              <w:t>6,735,310.33</w:t>
            </w:r>
          </w:p>
        </w:tc>
        <w:tc>
          <w:tcPr>
            <w:tcW w:w="1421" w:type="dxa"/>
            <w:vAlign w:val="center"/>
          </w:tcPr>
          <w:p>
            <w:pPr>
              <w:jc w:val="right"/>
              <w:rPr>
                <w:rFonts w:hint="eastAsia"/>
              </w:rPr>
            </w:pPr>
            <w:r>
              <w:t>-</w:t>
            </w:r>
          </w:p>
        </w:tc>
      </w:tr>
    </w:tbl>
    <w:p>
      <w:pPr>
        <w:pStyle w:val="25"/>
        <w:ind w:left="281" w:hanging="281"/>
        <w:rPr>
          <w:rFonts w:hint="eastAsia"/>
        </w:rPr>
      </w:pPr>
      <w:r>
        <w:rPr>
          <w:rFonts w:hint="eastAsia"/>
        </w:rPr>
        <w:t>影响投资者决策的其他重要信息</w:t>
      </w:r>
    </w:p>
    <w:p>
      <w:pPr>
        <w:pStyle w:val="22"/>
        <w:spacing w:before="312"/>
        <w:rPr>
          <w:rFonts w:hint="eastAsia"/>
        </w:rPr>
      </w:pPr>
      <w:r>
        <w:rPr>
          <w:rFonts w:hint="eastAsia"/>
        </w:rPr>
        <w:t>报告期内单一投资者持有基金份额比例达到或超过20%的情况</w:t>
      </w:r>
    </w:p>
    <w:p>
      <w:pPr>
        <w:pStyle w:val="17"/>
        <w:ind w:firstLine="420"/>
        <w:rPr>
          <w:rFonts w:hint="eastAsia"/>
        </w:rPr>
      </w:pPr>
      <w:r>
        <w:rPr>
          <w:rFonts w:hint="eastAsia"/>
        </w:rPr>
        <w:t>报告期内单一投资者持有基金份额比例不存在达到或超过20%的情况。</w:t>
      </w:r>
    </w:p>
    <w:p>
      <w:pPr>
        <w:pStyle w:val="22"/>
        <w:spacing w:before="312"/>
        <w:rPr>
          <w:rFonts w:hint="eastAsia"/>
        </w:rPr>
      </w:pPr>
      <w:r>
        <w:rPr>
          <w:rFonts w:hint="eastAsia"/>
        </w:rPr>
        <w:t>影响投资者决策的其他重要信息</w:t>
      </w:r>
    </w:p>
    <w:p>
      <w:pPr>
        <w:pStyle w:val="17"/>
        <w:ind w:firstLine="420"/>
        <w:rPr>
          <w:rFonts w:hint="eastAsia"/>
        </w:rPr>
      </w:pPr>
      <w:r>
        <w:rPr>
          <w:rFonts w:hint="eastAsia"/>
        </w:rPr>
        <w:t>无。</w:t>
      </w:r>
    </w:p>
    <w:p>
      <w:pPr>
        <w:pStyle w:val="25"/>
        <w:ind w:left="281" w:hanging="281"/>
        <w:rPr>
          <w:rFonts w:hint="eastAsia"/>
        </w:rPr>
      </w:pPr>
      <w:r>
        <w:rPr>
          <w:rFonts w:hint="eastAsia"/>
        </w:rPr>
        <w:t>备查文件目录</w:t>
      </w:r>
    </w:p>
    <w:p>
      <w:pPr>
        <w:pStyle w:val="22"/>
        <w:spacing w:before="312"/>
        <w:rPr>
          <w:rFonts w:hint="eastAsia"/>
        </w:rPr>
      </w:pPr>
      <w:r>
        <w:rPr>
          <w:rFonts w:hint="eastAsia"/>
        </w:rPr>
        <w:t>备查文件目录</w:t>
      </w:r>
    </w:p>
    <w:p>
      <w:pPr>
        <w:pStyle w:val="17"/>
        <w:ind w:firstLine="420"/>
        <w:rPr>
          <w:rFonts w:hint="eastAsia"/>
        </w:rPr>
      </w:pPr>
      <w:r>
        <w:rPr>
          <w:rFonts w:hint="eastAsia"/>
        </w:rPr>
        <w:t>1、《南方道琼斯美国精选REIT指数证券投资基金基金合同》；</w:t>
      </w:r>
    </w:p>
    <w:p>
      <w:pPr>
        <w:pStyle w:val="17"/>
        <w:ind w:firstLine="420"/>
        <w:rPr>
          <w:rFonts w:hint="eastAsia"/>
        </w:rPr>
      </w:pPr>
      <w:r>
        <w:rPr>
          <w:rFonts w:hint="eastAsia"/>
        </w:rPr>
        <w:t>2、《南方道琼斯美国精选REIT指数证券投资基金托管协议》；</w:t>
      </w:r>
    </w:p>
    <w:p>
      <w:pPr>
        <w:pStyle w:val="17"/>
        <w:ind w:firstLine="420"/>
        <w:rPr>
          <w:rFonts w:hint="eastAsia"/>
        </w:rPr>
      </w:pPr>
      <w:r>
        <w:rPr>
          <w:rFonts w:hint="eastAsia"/>
        </w:rPr>
        <w:t>3、南方道琼斯美国精选REIT指数证券投资基金2020年3季度报告原文。</w:t>
      </w:r>
    </w:p>
    <w:p>
      <w:pPr>
        <w:pStyle w:val="22"/>
        <w:spacing w:before="312"/>
        <w:rPr>
          <w:rFonts w:hint="eastAsia"/>
        </w:rPr>
      </w:pPr>
      <w:r>
        <w:rPr>
          <w:rFonts w:hint="eastAsia"/>
        </w:rPr>
        <w:t>存放地点</w:t>
      </w:r>
    </w:p>
    <w:p>
      <w:pPr>
        <w:pStyle w:val="17"/>
        <w:ind w:firstLine="420"/>
        <w:rPr>
          <w:rFonts w:hint="eastAsia"/>
        </w:rPr>
      </w:pPr>
      <w:r>
        <w:rPr>
          <w:rFonts w:hint="eastAsia"/>
        </w:rPr>
        <w:t>深圳市福田区莲花街道益田路5999号基金大厦32-42楼。</w:t>
      </w:r>
    </w:p>
    <w:p>
      <w:pPr>
        <w:pStyle w:val="22"/>
        <w:spacing w:before="312"/>
        <w:rPr>
          <w:rFonts w:hint="eastAsia"/>
        </w:rPr>
      </w:pPr>
      <w:r>
        <w:rPr>
          <w:rFonts w:hint="eastAsia"/>
        </w:rPr>
        <w:t>查阅方式</w:t>
      </w:r>
    </w:p>
    <w:p>
      <w:pPr>
        <w:pStyle w:val="17"/>
        <w:ind w:firstLine="420"/>
        <w:rPr>
          <w:rFonts w:hint="eastAsia"/>
        </w:rPr>
      </w:pPr>
      <w:r>
        <w:rPr>
          <w:rFonts w:hint="eastAsia"/>
        </w:rPr>
        <w:t>网站：http://www.nffund.com</w:t>
      </w:r>
    </w:p>
    <w:p>
      <w:pPr>
        <w:pStyle w:val="17"/>
        <w:ind w:firstLine="420"/>
        <w:rPr>
          <w:rFonts w:hint="eastAsia"/>
        </w:rPr>
      </w:pPr>
    </w:p>
    <w:p>
      <w:pPr>
        <w:snapToGrid w:val="0"/>
        <w:spacing w:line="360" w:lineRule="auto"/>
        <w:jc w:val="right"/>
      </w:pPr>
      <w: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Fonts w:hint="eastAsia" w:ascii="宋体" w:hAnsi="宋体"/>
        <w:bCs/>
      </w:rPr>
      <w:t>第</w:t>
    </w:r>
    <w:r>
      <w:rPr>
        <w:rFonts w:ascii="宋体" w:hAnsi="宋体"/>
        <w:bCs/>
      </w:rPr>
      <w:t xml:space="preserve"> </w:t>
    </w:r>
    <w:r>
      <w:rPr>
        <w:rFonts w:ascii="宋体" w:hAnsi="宋体"/>
        <w:bCs/>
      </w:rPr>
      <w:fldChar w:fldCharType="begin"/>
    </w:r>
    <w:r>
      <w:rPr>
        <w:rFonts w:ascii="宋体" w:hAnsi="宋体"/>
        <w:bCs/>
      </w:rPr>
      <w:instrText xml:space="preserve">PAGE  \* Arabic  \* MERGEFORMAT</w:instrText>
    </w:r>
    <w:r>
      <w:rPr>
        <w:rFonts w:ascii="宋体" w:hAnsi="宋体"/>
        <w:bCs/>
      </w:rPr>
      <w:fldChar w:fldCharType="separate"/>
    </w:r>
    <w:r>
      <w:rPr>
        <w:rFonts w:ascii="宋体" w:hAnsi="宋体"/>
        <w:bCs/>
        <w:lang w:val="zh-CN"/>
      </w:rPr>
      <w:t>12</w:t>
    </w:r>
    <w:r>
      <w:rPr>
        <w:rFonts w:ascii="宋体" w:hAnsi="宋体"/>
        <w:bCs/>
      </w:rPr>
      <w:fldChar w:fldCharType="end"/>
    </w:r>
    <w:r>
      <w:rPr>
        <w:rFonts w:ascii="宋体" w:hAnsi="宋体"/>
        <w:bCs/>
      </w:rPr>
      <w:t xml:space="preserve"> </w:t>
    </w:r>
    <w:r>
      <w:rPr>
        <w:rFonts w:hint="eastAsia" w:ascii="宋体" w:hAnsi="宋体"/>
        <w:bCs/>
      </w:rPr>
      <w:t>页</w:t>
    </w:r>
    <w:r>
      <w:rPr>
        <w:rFonts w:ascii="宋体" w:hAnsi="宋体"/>
        <w:lang w:val="zh-CN"/>
      </w:rPr>
      <w:t xml:space="preserve"> </w:t>
    </w:r>
    <w:r>
      <w:rPr>
        <w:rFonts w:hint="eastAsia" w:ascii="宋体" w:hAnsi="宋体"/>
        <w:lang w:val="zh-CN"/>
      </w:rPr>
      <w:t>共</w:t>
    </w:r>
    <w:r>
      <w:rPr>
        <w:rFonts w:ascii="宋体" w:hAnsi="宋体"/>
        <w:bCs/>
      </w:rPr>
      <w:fldChar w:fldCharType="begin"/>
    </w:r>
    <w:r>
      <w:rPr>
        <w:rFonts w:hint="eastAsia" w:ascii="宋体" w:hAnsi="宋体"/>
        <w:bCs/>
      </w:rPr>
      <w:instrText xml:space="preserve">=</w:instrText>
    </w:r>
    <w:r>
      <w:rPr>
        <w:rFonts w:ascii="宋体" w:hAnsi="宋体"/>
        <w:bCs/>
      </w:rPr>
      <w:fldChar w:fldCharType="begin"/>
    </w:r>
    <w:r>
      <w:rPr>
        <w:rFonts w:ascii="宋体" w:hAnsi="宋体"/>
        <w:bCs/>
      </w:rPr>
      <w:instrText xml:space="preserve"> NUMPAGES </w:instrText>
    </w:r>
    <w:r>
      <w:rPr>
        <w:rFonts w:ascii="宋体" w:hAnsi="宋体"/>
        <w:bCs/>
      </w:rPr>
      <w:fldChar w:fldCharType="separate"/>
    </w:r>
    <w:r>
      <w:rPr>
        <w:rFonts w:ascii="宋体" w:hAnsi="宋体"/>
        <w:bCs/>
      </w:rPr>
      <w:instrText xml:space="preserve">13</w:instrText>
    </w:r>
    <w:r>
      <w:rPr>
        <w:rFonts w:ascii="宋体" w:hAnsi="宋体"/>
        <w:bCs/>
      </w:rPr>
      <w:fldChar w:fldCharType="end"/>
    </w:r>
    <w:r>
      <w:rPr>
        <w:rFonts w:hint="eastAsia" w:ascii="宋体" w:hAnsi="宋体"/>
        <w:bCs/>
      </w:rPr>
      <w:instrText xml:space="preserve">-1</w:instrText>
    </w:r>
    <w:r>
      <w:rPr>
        <w:rFonts w:ascii="宋体" w:hAnsi="宋体"/>
        <w:bCs/>
      </w:rPr>
      <w:instrText xml:space="preserve">  \* Arabic  \* MERGEFORMAT</w:instrText>
    </w:r>
    <w:r>
      <w:rPr>
        <w:rFonts w:ascii="宋体" w:hAnsi="宋体"/>
        <w:bCs/>
      </w:rPr>
      <w:fldChar w:fldCharType="separate"/>
    </w:r>
    <w:r>
      <w:rPr>
        <w:rFonts w:ascii="宋体" w:hAnsi="宋体"/>
        <w:bCs/>
      </w:rPr>
      <w:t>12</w:t>
    </w:r>
    <w:r>
      <w:rPr>
        <w:rFonts w:ascii="宋体" w:hAnsi="宋体"/>
        <w:bCs/>
      </w:rPr>
      <w:fldChar w:fldCharType="end"/>
    </w:r>
    <w:r>
      <w:rPr>
        <w:rFonts w:ascii="宋体" w:hAnsi="宋体"/>
        <w:bCs/>
      </w:rPr>
      <w:t xml:space="preserve"> </w:t>
    </w:r>
    <w:r>
      <w:rPr>
        <w:rFonts w:hint="eastAsia" w:ascii="宋体" w:hAnsi="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pPr>
    <w:r>
      <w:rPr>
        <w:rFonts w:hint="eastAsia"/>
      </w:rPr>
      <w:t>南方道琼斯美国精选REIT指数证券投资基金2020年第3季度报告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778E"/>
    <w:multiLevelType w:val="multilevel"/>
    <w:tmpl w:val="13E9778E"/>
    <w:lvl w:ilvl="0" w:tentative="0">
      <w:start w:val="1"/>
      <w:numFmt w:val="decimal"/>
      <w:pStyle w:val="25"/>
      <w:suff w:val="space"/>
      <w:lvlText w:val="§%1"/>
      <w:lvlJc w:val="center"/>
      <w:pPr>
        <w:ind w:left="425" w:hanging="425"/>
      </w:pPr>
      <w:rPr>
        <w:rFonts w:hint="eastAsia"/>
      </w:rPr>
    </w:lvl>
    <w:lvl w:ilvl="1" w:tentative="0">
      <w:start w:val="1"/>
      <w:numFmt w:val="decimal"/>
      <w:pStyle w:val="22"/>
      <w:suff w:val="space"/>
      <w:lvlText w:val="%1.%2"/>
      <w:lvlJc w:val="left"/>
      <w:pPr>
        <w:ind w:left="992" w:hanging="992"/>
      </w:pPr>
      <w:rPr>
        <w:rFonts w:hint="eastAsia"/>
      </w:rPr>
    </w:lvl>
    <w:lvl w:ilvl="2" w:tentative="0">
      <w:start w:val="1"/>
      <w:numFmt w:val="decimal"/>
      <w:pStyle w:val="27"/>
      <w:suff w:val="space"/>
      <w:lvlText w:val="%1.%2.%3"/>
      <w:lvlJc w:val="left"/>
      <w:pPr>
        <w:ind w:left="1418" w:hanging="1418"/>
      </w:pPr>
      <w:rPr>
        <w:rFonts w:hint="eastAsia"/>
      </w:rPr>
    </w:lvl>
    <w:lvl w:ilvl="3" w:tentative="0">
      <w:start w:val="1"/>
      <w:numFmt w:val="decimal"/>
      <w:pStyle w:val="34"/>
      <w:suff w:val="space"/>
      <w:lvlText w:val="%1.%2.%3.%4"/>
      <w:lvlJc w:val="left"/>
      <w:pPr>
        <w:ind w:left="1984" w:hanging="1984"/>
      </w:pPr>
      <w:rPr>
        <w:rFonts w:hint="eastAsia"/>
      </w:rPr>
    </w:lvl>
    <w:lvl w:ilvl="4" w:tentative="0">
      <w:start w:val="1"/>
      <w:numFmt w:val="decimal"/>
      <w:pStyle w:val="35"/>
      <w:suff w:val="space"/>
      <w:lvlText w:val="%1.%2.%3.%4.%5"/>
      <w:lvlJc w:val="left"/>
      <w:pPr>
        <w:ind w:left="2551" w:hanging="2551"/>
      </w:pPr>
      <w:rPr>
        <w:rFonts w:hint="eastAsia"/>
      </w:rPr>
    </w:lvl>
    <w:lvl w:ilvl="5" w:tentative="0">
      <w:start w:val="1"/>
      <w:numFmt w:val="decimal"/>
      <w:pStyle w:val="36"/>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0ECF"/>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 w:val="22325238"/>
    <w:rsid w:val="30186438"/>
    <w:rsid w:val="47A47F8A"/>
    <w:rsid w:val="57B27978"/>
    <w:rsid w:val="7347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qFormat="1" w:unhideWhenUsed="0" w:uiPriority="0" w:semiHidden="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b/>
      <w:bCs/>
      <w:kern w:val="0"/>
      <w:sz w:val="18"/>
      <w:szCs w:val="18"/>
      <w:lang w:val="zh-CN" w:eastAsia="zh-CN"/>
    </w:rPr>
  </w:style>
  <w:style w:type="paragraph" w:styleId="4">
    <w:name w:val="heading 4"/>
    <w:basedOn w:val="1"/>
    <w:next w:val="1"/>
    <w:link w:val="42"/>
    <w:semiHidden/>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31"/>
    <w:qFormat/>
    <w:uiPriority w:val="99"/>
    <w:pPr>
      <w:tabs>
        <w:tab w:val="center" w:pos="4153"/>
        <w:tab w:val="right" w:pos="8306"/>
      </w:tabs>
      <w:snapToGrid w:val="0"/>
      <w:jc w:val="left"/>
    </w:pPr>
    <w:rPr>
      <w:sz w:val="18"/>
      <w:szCs w:val="18"/>
    </w:rPr>
  </w:style>
  <w:style w:type="paragraph" w:styleId="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Subtitle"/>
    <w:basedOn w:val="1"/>
    <w:next w:val="1"/>
    <w:link w:val="41"/>
    <w:qFormat/>
    <w:uiPriority w:val="0"/>
    <w:pPr>
      <w:spacing w:before="240" w:after="60" w:line="312" w:lineRule="auto"/>
      <w:jc w:val="center"/>
      <w:outlineLvl w:val="1"/>
    </w:pPr>
    <w:rPr>
      <w:rFonts w:ascii="Calibri Light" w:hAnsi="Calibri Light"/>
      <w:b/>
      <w:bCs/>
      <w:kern w:val="28"/>
      <w:sz w:val="32"/>
      <w:szCs w:val="32"/>
    </w:rPr>
  </w:style>
  <w:style w:type="paragraph" w:styleId="9">
    <w:name w:val="toc 2"/>
    <w:basedOn w:val="1"/>
    <w:next w:val="1"/>
    <w:qFormat/>
    <w:uiPriority w:val="39"/>
    <w:pPr>
      <w:ind w:left="420" w:leftChars="200"/>
    </w:pPr>
  </w:style>
  <w:style w:type="paragraph" w:styleId="10">
    <w:name w:val="Normal (Web)"/>
    <w:basedOn w:val="1"/>
    <w:link w:val="19"/>
    <w:unhideWhenUsed/>
    <w:uiPriority w:val="99"/>
    <w:pPr>
      <w:widowControl/>
      <w:spacing w:before="100" w:beforeAutospacing="1" w:after="100" w:afterAutospacing="1"/>
      <w:jc w:val="left"/>
    </w:pPr>
    <w:rPr>
      <w:rFonts w:ascii="宋体" w:hAnsi="宋体"/>
      <w:kern w:val="0"/>
      <w:sz w:val="24"/>
      <w:lang w:val="zh-CN" w:eastAsia="zh-CN"/>
    </w:rPr>
  </w:style>
  <w:style w:type="paragraph" w:styleId="11">
    <w:name w:val="Title"/>
    <w:basedOn w:val="1"/>
    <w:next w:val="1"/>
    <w:link w:val="32"/>
    <w:qFormat/>
    <w:uiPriority w:val="0"/>
    <w:pPr>
      <w:spacing w:before="240" w:after="60"/>
      <w:jc w:val="center"/>
      <w:outlineLvl w:val="0"/>
    </w:pPr>
    <w:rPr>
      <w:rFonts w:ascii="Cambria" w:hAnsi="Cambria"/>
      <w:b/>
      <w:bCs/>
      <w:sz w:val="32"/>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character" w:styleId="16">
    <w:name w:val="Hyperlink"/>
    <w:unhideWhenUsed/>
    <w:qFormat/>
    <w:uiPriority w:val="99"/>
    <w:rPr>
      <w:color w:val="0000FF"/>
      <w:u w:val="single"/>
    </w:rPr>
  </w:style>
  <w:style w:type="paragraph" w:customStyle="1" w:styleId="17">
    <w:name w:val="模板-正文"/>
    <w:basedOn w:val="10"/>
    <w:link w:val="20"/>
    <w:qFormat/>
    <w:uiPriority w:val="0"/>
    <w:pPr>
      <w:snapToGrid w:val="0"/>
      <w:spacing w:before="0" w:beforeAutospacing="0" w:after="0" w:afterAutospacing="0" w:line="360" w:lineRule="auto"/>
      <w:ind w:firstLine="200" w:firstLineChars="200"/>
      <w:jc w:val="both"/>
    </w:pPr>
    <w:rPr>
      <w:color w:val="222222"/>
      <w:sz w:val="21"/>
      <w:szCs w:val="21"/>
    </w:rPr>
  </w:style>
  <w:style w:type="character" w:customStyle="1" w:styleId="18">
    <w:name w:val="标题 2 Char"/>
    <w:link w:val="3"/>
    <w:uiPriority w:val="9"/>
    <w:rPr>
      <w:rFonts w:ascii="宋体" w:hAnsi="宋体" w:cs="宋体"/>
      <w:b/>
      <w:bCs/>
      <w:sz w:val="18"/>
      <w:szCs w:val="18"/>
    </w:rPr>
  </w:style>
  <w:style w:type="character" w:customStyle="1" w:styleId="19">
    <w:name w:val="普通(网站) Char"/>
    <w:link w:val="10"/>
    <w:uiPriority w:val="99"/>
    <w:rPr>
      <w:rFonts w:ascii="宋体" w:hAnsi="宋体" w:cs="宋体"/>
      <w:sz w:val="24"/>
      <w:szCs w:val="24"/>
    </w:rPr>
  </w:style>
  <w:style w:type="character" w:customStyle="1" w:styleId="20">
    <w:name w:val="模板-正文 Char"/>
    <w:link w:val="17"/>
    <w:uiPriority w:val="0"/>
    <w:rPr>
      <w:rFonts w:ascii="宋体" w:hAnsi="宋体"/>
      <w:color w:val="222222"/>
      <w:sz w:val="21"/>
      <w:szCs w:val="21"/>
      <w:lang w:val="zh-CN" w:eastAsia="zh-CN"/>
    </w:rPr>
  </w:style>
  <w:style w:type="character" w:customStyle="1" w:styleId="21">
    <w:name w:val="doc_order_no"/>
    <w:qFormat/>
    <w:uiPriority w:val="0"/>
  </w:style>
  <w:style w:type="paragraph" w:customStyle="1" w:styleId="22">
    <w:name w:val="模板-标题 2"/>
    <w:basedOn w:val="3"/>
    <w:link w:val="23"/>
    <w:qFormat/>
    <w:uiPriority w:val="0"/>
    <w:pPr>
      <w:numPr>
        <w:ilvl w:val="1"/>
        <w:numId w:val="1"/>
      </w:numPr>
      <w:spacing w:beforeLines="100" w:beforeAutospacing="0"/>
      <w:ind w:left="0" w:firstLine="0"/>
      <w:jc w:val="both"/>
    </w:pPr>
    <w:rPr>
      <w:color w:val="222222"/>
      <w:sz w:val="24"/>
    </w:rPr>
  </w:style>
  <w:style w:type="character" w:customStyle="1" w:styleId="23">
    <w:name w:val="模板-标题 2 Char"/>
    <w:link w:val="22"/>
    <w:uiPriority w:val="0"/>
    <w:rPr>
      <w:rFonts w:ascii="宋体" w:hAnsi="宋体"/>
      <w:b/>
      <w:bCs/>
      <w:color w:val="222222"/>
      <w:sz w:val="24"/>
      <w:szCs w:val="18"/>
      <w:lang w:val="zh-CN" w:eastAsia="zh-CN"/>
    </w:rPr>
  </w:style>
  <w:style w:type="character" w:customStyle="1" w:styleId="24">
    <w:name w:val="标题 1 Char"/>
    <w:link w:val="2"/>
    <w:uiPriority w:val="9"/>
    <w:rPr>
      <w:b/>
      <w:bCs/>
      <w:kern w:val="44"/>
      <w:sz w:val="44"/>
      <w:szCs w:val="44"/>
    </w:rPr>
  </w:style>
  <w:style w:type="paragraph" w:customStyle="1" w:styleId="25">
    <w:name w:val="模板-标题 1"/>
    <w:basedOn w:val="2"/>
    <w:link w:val="26"/>
    <w:qFormat/>
    <w:uiPriority w:val="0"/>
    <w:pPr>
      <w:keepNext w:val="0"/>
      <w:keepLines w:val="0"/>
      <w:widowControl/>
      <w:numPr>
        <w:ilvl w:val="0"/>
        <w:numId w:val="1"/>
      </w:numPr>
      <w:adjustRightInd w:val="0"/>
      <w:spacing w:before="100" w:beforeAutospacing="1" w:after="100" w:afterAutospacing="1" w:line="240" w:lineRule="auto"/>
      <w:ind w:left="100" w:hanging="100" w:hangingChars="100"/>
      <w:jc w:val="center"/>
    </w:pPr>
    <w:rPr>
      <w:rFonts w:ascii="宋体" w:hAnsi="宋体"/>
      <w:color w:val="222222"/>
      <w:kern w:val="36"/>
      <w:sz w:val="28"/>
      <w:szCs w:val="24"/>
    </w:rPr>
  </w:style>
  <w:style w:type="character" w:customStyle="1" w:styleId="26">
    <w:name w:val="模板-标题 1 Char"/>
    <w:link w:val="25"/>
    <w:uiPriority w:val="0"/>
    <w:rPr>
      <w:rFonts w:ascii="宋体" w:hAnsi="宋体"/>
      <w:b/>
      <w:bCs/>
      <w:color w:val="222222"/>
      <w:kern w:val="36"/>
      <w:sz w:val="28"/>
      <w:szCs w:val="24"/>
      <w:lang w:val="zh-CN" w:eastAsia="zh-CN"/>
    </w:rPr>
  </w:style>
  <w:style w:type="paragraph" w:customStyle="1" w:styleId="27">
    <w:name w:val="模板-标题 3"/>
    <w:basedOn w:val="1"/>
    <w:link w:val="28"/>
    <w:qFormat/>
    <w:uiPriority w:val="0"/>
    <w:pPr>
      <w:numPr>
        <w:ilvl w:val="2"/>
        <w:numId w:val="1"/>
      </w:numPr>
      <w:spacing w:before="50" w:beforeLines="50" w:after="50" w:afterLines="50"/>
      <w:ind w:left="0" w:firstLine="0"/>
    </w:pPr>
    <w:rPr>
      <w:b/>
      <w:color w:val="222222"/>
      <w:sz w:val="24"/>
      <w:szCs w:val="18"/>
      <w:lang w:val="zh-CN" w:eastAsia="zh-CN"/>
    </w:rPr>
  </w:style>
  <w:style w:type="character" w:customStyle="1" w:styleId="28">
    <w:name w:val="模板-标题 3 Char"/>
    <w:link w:val="27"/>
    <w:uiPriority w:val="0"/>
    <w:rPr>
      <w:b/>
      <w:color w:val="222222"/>
      <w:kern w:val="2"/>
      <w:sz w:val="24"/>
      <w:szCs w:val="18"/>
      <w:lang w:val="zh-CN" w:eastAsia="zh-CN"/>
    </w:rPr>
  </w:style>
  <w:style w:type="table" w:customStyle="1" w:styleId="29">
    <w:name w:val="模板-表格"/>
    <w:basedOn w:val="12"/>
    <w:uiPriority w:val="0"/>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tcPr>
        <w:shd w:val="clear" w:color="auto" w:fill="BFBFBF"/>
      </w:tcPr>
    </w:tblStylePr>
  </w:style>
  <w:style w:type="character" w:customStyle="1" w:styleId="30">
    <w:name w:val="页眉 Char"/>
    <w:link w:val="6"/>
    <w:uiPriority w:val="0"/>
    <w:rPr>
      <w:kern w:val="2"/>
      <w:sz w:val="18"/>
      <w:szCs w:val="18"/>
    </w:rPr>
  </w:style>
  <w:style w:type="character" w:customStyle="1" w:styleId="31">
    <w:name w:val="页脚 Char"/>
    <w:link w:val="5"/>
    <w:uiPriority w:val="99"/>
    <w:rPr>
      <w:kern w:val="2"/>
      <w:sz w:val="18"/>
      <w:szCs w:val="18"/>
    </w:rPr>
  </w:style>
  <w:style w:type="character" w:customStyle="1" w:styleId="32">
    <w:name w:val="标题 Char"/>
    <w:link w:val="11"/>
    <w:uiPriority w:val="0"/>
    <w:rPr>
      <w:rFonts w:ascii="Cambria" w:hAnsi="Cambria" w:cs="Times New Roman"/>
      <w:b/>
      <w:bCs/>
      <w:kern w:val="2"/>
      <w:sz w:val="32"/>
      <w:szCs w:val="32"/>
    </w:rPr>
  </w:style>
  <w:style w:type="paragraph" w:customStyle="1" w:styleId="33">
    <w:name w:val="模板-标题"/>
    <w:basedOn w:val="11"/>
    <w:qFormat/>
    <w:uiPriority w:val="0"/>
    <w:pPr>
      <w:outlineLvl w:val="9"/>
    </w:pPr>
  </w:style>
  <w:style w:type="paragraph" w:customStyle="1" w:styleId="34">
    <w:name w:val="模板-标题 4"/>
    <w:basedOn w:val="1"/>
    <w:qFormat/>
    <w:uiPriority w:val="0"/>
    <w:pPr>
      <w:numPr>
        <w:ilvl w:val="3"/>
        <w:numId w:val="1"/>
      </w:numPr>
      <w:spacing w:before="50" w:beforeLines="50" w:after="50" w:afterLines="50"/>
      <w:ind w:left="0" w:firstLine="0"/>
    </w:pPr>
    <w:rPr>
      <w:b/>
      <w:sz w:val="24"/>
    </w:rPr>
  </w:style>
  <w:style w:type="paragraph" w:customStyle="1" w:styleId="35">
    <w:name w:val="模板-标题 5"/>
    <w:basedOn w:val="34"/>
    <w:qFormat/>
    <w:uiPriority w:val="0"/>
    <w:pPr>
      <w:numPr>
        <w:ilvl w:val="4"/>
      </w:numPr>
      <w:ind w:left="0" w:firstLine="0"/>
    </w:pPr>
  </w:style>
  <w:style w:type="paragraph" w:customStyle="1" w:styleId="36">
    <w:name w:val="模板-标题 6"/>
    <w:basedOn w:val="35"/>
    <w:qFormat/>
    <w:uiPriority w:val="0"/>
    <w:pPr>
      <w:numPr>
        <w:ilvl w:val="5"/>
      </w:numPr>
      <w:ind w:left="0" w:firstLine="0"/>
    </w:pPr>
  </w:style>
  <w:style w:type="table" w:customStyle="1" w:styleId="37">
    <w:name w:val="模板-表格_noheader"/>
    <w:basedOn w:val="12"/>
    <w:qFormat/>
    <w:uiPriority w:val="0"/>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paragraph" w:customStyle="1" w:styleId="38">
    <w:name w:val="XBRLTitle1"/>
    <w:basedOn w:val="2"/>
    <w:next w:val="3"/>
    <w:qFormat/>
    <w:uiPriority w:val="0"/>
    <w:pPr>
      <w:spacing w:before="0" w:after="0" w:line="360" w:lineRule="auto"/>
      <w:ind w:left="425" w:hanging="425"/>
      <w:jc w:val="center"/>
    </w:pPr>
    <w:rPr>
      <w:sz w:val="28"/>
    </w:rPr>
  </w:style>
  <w:style w:type="paragraph" w:customStyle="1" w:styleId="39">
    <w:name w:val="XBRLTitle2"/>
    <w:basedOn w:val="8"/>
    <w:next w:val="4"/>
    <w:qFormat/>
    <w:uiPriority w:val="0"/>
    <w:pPr>
      <w:spacing w:before="0" w:after="0" w:line="360" w:lineRule="auto"/>
      <w:jc w:val="left"/>
    </w:pPr>
    <w:rPr>
      <w:sz w:val="24"/>
    </w:rPr>
  </w:style>
  <w:style w:type="paragraph" w:customStyle="1" w:styleId="40">
    <w:name w:val="XBRLTitle3"/>
    <w:basedOn w:val="8"/>
    <w:next w:val="4"/>
    <w:qFormat/>
    <w:uiPriority w:val="0"/>
    <w:pPr>
      <w:spacing w:before="0" w:after="0" w:line="360" w:lineRule="auto"/>
      <w:ind w:left="624" w:hanging="624"/>
      <w:jc w:val="left"/>
      <w:outlineLvl w:val="9"/>
    </w:pPr>
    <w:rPr>
      <w:sz w:val="24"/>
    </w:rPr>
  </w:style>
  <w:style w:type="character" w:customStyle="1" w:styleId="41">
    <w:name w:val="副标题 Char"/>
    <w:link w:val="8"/>
    <w:uiPriority w:val="0"/>
    <w:rPr>
      <w:rFonts w:ascii="Calibri Light" w:hAnsi="Calibri Light" w:cs="Times New Roman"/>
      <w:b/>
      <w:bCs/>
      <w:kern w:val="28"/>
      <w:sz w:val="32"/>
      <w:szCs w:val="32"/>
    </w:rPr>
  </w:style>
  <w:style w:type="character" w:customStyle="1" w:styleId="42">
    <w:name w:val="标题 4 Char"/>
    <w:link w:val="4"/>
    <w:semiHidden/>
    <w:qFormat/>
    <w:uiPriority w:val="0"/>
    <w:rPr>
      <w:rFonts w:ascii="Calibri Light" w:hAnsi="Calibri Light" w:eastAsia="宋体" w:cs="Times New Roman"/>
      <w:b/>
      <w:bCs/>
      <w:kern w:val="2"/>
      <w:sz w:val="28"/>
      <w:szCs w:val="28"/>
    </w:rPr>
  </w:style>
  <w:style w:type="paragraph" w:customStyle="1" w:styleId="43">
    <w:name w:val="XBRLTitle4"/>
    <w:basedOn w:val="8"/>
    <w:next w:val="4"/>
    <w:qFormat/>
    <w:uiPriority w:val="0"/>
    <w:pPr>
      <w:spacing w:before="50" w:beforeLines="50" w:after="50" w:afterLines="50" w:line="240" w:lineRule="auto"/>
      <w:ind w:left="794" w:hanging="794"/>
      <w:jc w:val="left"/>
      <w:outlineLvl w:val="9"/>
    </w:pPr>
    <w:rPr>
      <w:sz w:val="24"/>
    </w:rPr>
  </w:style>
  <w:style w:type="paragraph" w:customStyle="1" w:styleId="44">
    <w:name w:val="XBRLTitle5"/>
    <w:basedOn w:val="8"/>
    <w:next w:val="4"/>
    <w:qFormat/>
    <w:uiPriority w:val="0"/>
    <w:pPr>
      <w:spacing w:before="50" w:beforeLines="50" w:after="50" w:afterLines="50" w:line="240" w:lineRule="auto"/>
      <w:ind w:left="1021" w:hanging="1021"/>
      <w:jc w:val="left"/>
      <w:outlineLvl w:val="9"/>
    </w:pPr>
  </w:style>
  <w:style w:type="paragraph" w:customStyle="1" w:styleId="45">
    <w:name w:val="XBRLTitle6"/>
    <w:basedOn w:val="8"/>
    <w:next w:val="4"/>
    <w:qFormat/>
    <w:uiPriority w:val="0"/>
    <w:pPr>
      <w:spacing w:before="50" w:beforeLines="50" w:after="50" w:afterLines="50" w:line="240" w:lineRule="auto"/>
      <w:ind w:left="1021" w:hanging="1021"/>
      <w:jc w:val="left"/>
      <w:outlineLvl w:val="9"/>
    </w:pPr>
    <w:rPr>
      <w:sz w:val="24"/>
    </w:rPr>
  </w:style>
  <w:style w:type="paragraph" w:customStyle="1" w:styleId="46">
    <w:name w:val="模板-正文无缩进"/>
    <w:basedOn w:val="17"/>
    <w:link w:val="47"/>
    <w:qFormat/>
    <w:uiPriority w:val="0"/>
    <w:pPr>
      <w:ind w:firstLine="0" w:firstLineChars="0"/>
    </w:pPr>
    <w:rPr>
      <w:bCs/>
      <w:szCs w:val="30"/>
    </w:rPr>
  </w:style>
  <w:style w:type="character" w:customStyle="1" w:styleId="47">
    <w:name w:val="模板-正文无缩进 Char"/>
    <w:link w:val="46"/>
    <w:uiPriority w:val="0"/>
    <w:rPr>
      <w:rFonts w:ascii="宋体" w:hAnsi="宋体"/>
      <w:bCs/>
      <w:color w:val="222222"/>
      <w:sz w:val="21"/>
      <w:szCs w:val="3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59906-3FBF-470E-992C-265CB298761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13</Pages>
  <Words>1237</Words>
  <Characters>7051</Characters>
  <Lines>58</Lines>
  <Paragraphs>16</Paragraphs>
  <TotalTime>0</TotalTime>
  <ScaleCrop>false</ScaleCrop>
  <LinksUpToDate>false</LinksUpToDate>
  <CharactersWithSpaces>8272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2020-10-23T06:27:00Z</dcterms:created>
  <dc:creator>MC SYSTEM</dc:creator>
  <cp:lastModifiedBy>Doris</cp:lastModifiedBy>
  <dcterms:modified xsi:type="dcterms:W3CDTF">2020-10-27T08:36:21Z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