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284" w:rsidRPr="00243315" w:rsidRDefault="007D7284" w:rsidP="00BB10DC">
      <w:pPr>
        <w:pStyle w:val="1"/>
        <w:spacing w:before="0" w:after="0" w:line="360" w:lineRule="auto"/>
        <w:ind w:firstLineChars="0" w:firstLine="0"/>
        <w:jc w:val="center"/>
        <w:rPr>
          <w:rFonts w:ascii="Times New Roman" w:hAnsi="Times New Roman"/>
          <w:bCs w:val="0"/>
          <w:spacing w:val="-5"/>
          <w:kern w:val="0"/>
          <w:sz w:val="28"/>
          <w:szCs w:val="28"/>
        </w:rPr>
      </w:pPr>
      <w:r w:rsidRPr="00243315">
        <w:rPr>
          <w:rFonts w:ascii="Times New Roman" w:hAnsi="Times New Roman" w:hint="eastAsia"/>
          <w:bCs w:val="0"/>
          <w:spacing w:val="-5"/>
          <w:kern w:val="0"/>
          <w:sz w:val="28"/>
          <w:szCs w:val="28"/>
        </w:rPr>
        <w:t>易方达生物科技指数分级证券投资基金</w:t>
      </w:r>
      <w:r w:rsidRPr="00243315">
        <w:rPr>
          <w:rFonts w:ascii="Times New Roman" w:hAnsi="Times New Roman" w:hint="eastAsia"/>
          <w:bCs w:val="0"/>
          <w:spacing w:val="-5"/>
          <w:kern w:val="0"/>
          <w:sz w:val="28"/>
          <w:szCs w:val="28"/>
        </w:rPr>
        <w:t>B</w:t>
      </w:r>
      <w:r w:rsidRPr="00243315">
        <w:rPr>
          <w:rFonts w:ascii="Times New Roman" w:hAnsi="Times New Roman" w:hint="eastAsia"/>
          <w:bCs w:val="0"/>
          <w:spacing w:val="-5"/>
          <w:kern w:val="0"/>
          <w:sz w:val="28"/>
          <w:szCs w:val="28"/>
        </w:rPr>
        <w:t>类份额溢价风险提示公告</w:t>
      </w:r>
    </w:p>
    <w:p w:rsidR="007D7284" w:rsidRPr="007D1416" w:rsidRDefault="007D7284" w:rsidP="007D7284">
      <w:pPr>
        <w:spacing w:line="360" w:lineRule="auto"/>
        <w:ind w:firstLineChars="0" w:firstLine="0"/>
        <w:rPr>
          <w:sz w:val="24"/>
        </w:rPr>
      </w:pPr>
    </w:p>
    <w:p w:rsidR="007D7284" w:rsidRDefault="007D7284" w:rsidP="007D7284">
      <w:pPr>
        <w:spacing w:line="360" w:lineRule="auto"/>
        <w:ind w:firstLine="420"/>
        <w:rPr>
          <w:rFonts w:asciiTheme="minorEastAsia" w:eastAsiaTheme="minorEastAsia" w:hAnsiTheme="minorEastAsia"/>
          <w:color w:val="000000" w:themeColor="text1"/>
          <w:szCs w:val="21"/>
        </w:rPr>
      </w:pPr>
      <w:r w:rsidRPr="00243315">
        <w:rPr>
          <w:rFonts w:asciiTheme="minorEastAsia" w:eastAsiaTheme="minorEastAsia" w:hAnsiTheme="minorEastAsia" w:hint="eastAsia"/>
          <w:szCs w:val="21"/>
        </w:rPr>
        <w:t>近期，易方达基金管理有限公司（以下简称</w:t>
      </w:r>
      <w:r w:rsidRPr="00243315">
        <w:rPr>
          <w:rFonts w:asciiTheme="minorEastAsia" w:eastAsiaTheme="minorEastAsia" w:hAnsiTheme="minorEastAsia"/>
          <w:szCs w:val="21"/>
        </w:rPr>
        <w:t>“</w:t>
      </w:r>
      <w:r w:rsidRPr="00243315">
        <w:rPr>
          <w:rFonts w:asciiTheme="minorEastAsia" w:eastAsiaTheme="minorEastAsia" w:hAnsiTheme="minorEastAsia" w:hint="eastAsia"/>
          <w:szCs w:val="21"/>
        </w:rPr>
        <w:t>本基金管理人</w:t>
      </w:r>
      <w:r w:rsidRPr="00243315">
        <w:rPr>
          <w:rFonts w:asciiTheme="minorEastAsia" w:eastAsiaTheme="minorEastAsia" w:hAnsiTheme="minorEastAsia"/>
          <w:szCs w:val="21"/>
        </w:rPr>
        <w:t>”</w:t>
      </w:r>
      <w:r w:rsidRPr="00243315">
        <w:rPr>
          <w:rFonts w:asciiTheme="minorEastAsia" w:eastAsiaTheme="minorEastAsia" w:hAnsiTheme="minorEastAsia" w:hint="eastAsia"/>
          <w:szCs w:val="21"/>
        </w:rPr>
        <w:t>）旗下易方达生物科技指数分级证券投资基金之</w:t>
      </w:r>
      <w:r w:rsidRPr="00243315">
        <w:rPr>
          <w:rFonts w:asciiTheme="minorEastAsia" w:eastAsiaTheme="minorEastAsia" w:hAnsiTheme="minorEastAsia"/>
          <w:szCs w:val="21"/>
        </w:rPr>
        <w:t>B</w:t>
      </w:r>
      <w:r w:rsidRPr="00243315">
        <w:rPr>
          <w:rFonts w:asciiTheme="minorEastAsia" w:eastAsiaTheme="minorEastAsia" w:hAnsiTheme="minorEastAsia" w:hint="eastAsia"/>
          <w:szCs w:val="21"/>
        </w:rPr>
        <w:t>类份额（场内简称：生物B，场内代码：150258）</w:t>
      </w:r>
      <w:r w:rsidRPr="00243315">
        <w:rPr>
          <w:rFonts w:asciiTheme="minorEastAsia" w:eastAsiaTheme="minorEastAsia" w:hAnsiTheme="minorEastAsia" w:hint="eastAsia"/>
          <w:color w:val="000000" w:themeColor="text1"/>
          <w:szCs w:val="21"/>
        </w:rPr>
        <w:t>二级市场交易价格波动较大。</w:t>
      </w:r>
      <w:r w:rsidRPr="00243315">
        <w:rPr>
          <w:rFonts w:asciiTheme="minorEastAsia" w:eastAsiaTheme="minorEastAsia" w:hAnsiTheme="minorEastAsia"/>
          <w:color w:val="000000" w:themeColor="text1"/>
          <w:szCs w:val="21"/>
        </w:rPr>
        <w:t>20</w:t>
      </w:r>
      <w:r w:rsidR="00712BD4" w:rsidRPr="00243315">
        <w:rPr>
          <w:rFonts w:asciiTheme="minorEastAsia" w:eastAsiaTheme="minorEastAsia" w:hAnsiTheme="minorEastAsia"/>
          <w:color w:val="000000" w:themeColor="text1"/>
          <w:szCs w:val="21"/>
        </w:rPr>
        <w:t>20</w:t>
      </w:r>
      <w:r w:rsidRPr="00243315">
        <w:rPr>
          <w:rFonts w:asciiTheme="minorEastAsia" w:eastAsiaTheme="minorEastAsia" w:hAnsiTheme="minorEastAsia" w:hint="eastAsia"/>
          <w:color w:val="000000" w:themeColor="text1"/>
          <w:szCs w:val="21"/>
        </w:rPr>
        <w:t>年</w:t>
      </w:r>
      <w:r w:rsidR="000A08BC">
        <w:rPr>
          <w:rFonts w:asciiTheme="minorEastAsia" w:eastAsiaTheme="minorEastAsia" w:hAnsiTheme="minorEastAsia" w:hint="eastAsia"/>
          <w:color w:val="000000" w:themeColor="text1"/>
          <w:szCs w:val="21"/>
        </w:rPr>
        <w:t>10</w:t>
      </w:r>
      <w:r w:rsidRPr="00243315">
        <w:rPr>
          <w:rFonts w:asciiTheme="minorEastAsia" w:eastAsiaTheme="minorEastAsia" w:hAnsiTheme="minorEastAsia" w:hint="eastAsia"/>
          <w:color w:val="000000" w:themeColor="text1"/>
          <w:szCs w:val="21"/>
        </w:rPr>
        <w:t>月</w:t>
      </w:r>
      <w:r w:rsidR="002561AF">
        <w:rPr>
          <w:rFonts w:asciiTheme="minorEastAsia" w:eastAsiaTheme="minorEastAsia" w:hAnsiTheme="minorEastAsia" w:hint="eastAsia"/>
          <w:color w:val="000000" w:themeColor="text1"/>
          <w:szCs w:val="21"/>
        </w:rPr>
        <w:t>2</w:t>
      </w:r>
      <w:r w:rsidR="00BF27A3">
        <w:rPr>
          <w:rFonts w:asciiTheme="minorEastAsia" w:eastAsiaTheme="minorEastAsia" w:hAnsiTheme="minorEastAsia" w:hint="eastAsia"/>
          <w:color w:val="000000" w:themeColor="text1"/>
          <w:szCs w:val="21"/>
        </w:rPr>
        <w:t>6</w:t>
      </w:r>
      <w:r w:rsidRPr="00243315">
        <w:rPr>
          <w:rFonts w:asciiTheme="minorEastAsia" w:eastAsiaTheme="minorEastAsia" w:hAnsiTheme="minorEastAsia" w:hint="eastAsia"/>
          <w:color w:val="000000" w:themeColor="text1"/>
          <w:szCs w:val="21"/>
        </w:rPr>
        <w:t>日，易方达生物科技分级B类份额在二级市场的收盘价为</w:t>
      </w:r>
      <w:r w:rsidR="001A0F43">
        <w:rPr>
          <w:rFonts w:asciiTheme="minorEastAsia" w:eastAsiaTheme="minorEastAsia" w:hAnsiTheme="minorEastAsia"/>
          <w:szCs w:val="21"/>
        </w:rPr>
        <w:t>1</w:t>
      </w:r>
      <w:r w:rsidR="000C6E8C" w:rsidRPr="003B64E2">
        <w:rPr>
          <w:rFonts w:asciiTheme="minorEastAsia" w:eastAsiaTheme="minorEastAsia" w:hAnsiTheme="minorEastAsia"/>
          <w:szCs w:val="21"/>
        </w:rPr>
        <w:t>.</w:t>
      </w:r>
      <w:r w:rsidR="00BF27A3">
        <w:rPr>
          <w:rFonts w:asciiTheme="minorEastAsia" w:eastAsiaTheme="minorEastAsia" w:hAnsiTheme="minorEastAsia"/>
          <w:szCs w:val="21"/>
        </w:rPr>
        <w:t>144</w:t>
      </w:r>
      <w:r w:rsidRPr="00243315">
        <w:rPr>
          <w:rFonts w:asciiTheme="minorEastAsia" w:eastAsiaTheme="minorEastAsia" w:hAnsiTheme="minorEastAsia" w:hint="eastAsia"/>
          <w:color w:val="000000" w:themeColor="text1"/>
          <w:szCs w:val="21"/>
        </w:rPr>
        <w:t>元，相对于当日</w:t>
      </w:r>
      <w:r w:rsidR="00B60042">
        <w:rPr>
          <w:rFonts w:asciiTheme="minorEastAsia" w:eastAsiaTheme="minorEastAsia" w:hAnsiTheme="minorEastAsia"/>
          <w:color w:val="000000" w:themeColor="text1"/>
          <w:szCs w:val="21"/>
        </w:rPr>
        <w:t>0.</w:t>
      </w:r>
      <w:r w:rsidR="00BF27A3">
        <w:rPr>
          <w:rFonts w:asciiTheme="minorEastAsia" w:eastAsiaTheme="minorEastAsia" w:hAnsiTheme="minorEastAsia"/>
          <w:color w:val="000000" w:themeColor="text1"/>
          <w:szCs w:val="21"/>
        </w:rPr>
        <w:t>8636</w:t>
      </w:r>
      <w:r w:rsidR="003B64E2">
        <w:rPr>
          <w:rFonts w:asciiTheme="minorEastAsia" w:eastAsiaTheme="minorEastAsia" w:hAnsiTheme="minorEastAsia" w:hint="eastAsia"/>
          <w:color w:val="000000" w:themeColor="text1"/>
          <w:szCs w:val="21"/>
        </w:rPr>
        <w:t>元的基金份额</w:t>
      </w:r>
      <w:r w:rsidR="000213AF">
        <w:rPr>
          <w:rFonts w:asciiTheme="minorEastAsia" w:eastAsiaTheme="minorEastAsia" w:hAnsiTheme="minorEastAsia" w:hint="eastAsia"/>
          <w:color w:val="000000" w:themeColor="text1"/>
          <w:szCs w:val="21"/>
        </w:rPr>
        <w:t>参考</w:t>
      </w:r>
      <w:r w:rsidRPr="00243315">
        <w:rPr>
          <w:rFonts w:asciiTheme="minorEastAsia" w:eastAsiaTheme="minorEastAsia" w:hAnsiTheme="minorEastAsia" w:hint="eastAsia"/>
          <w:color w:val="000000" w:themeColor="text1"/>
          <w:szCs w:val="21"/>
        </w:rPr>
        <w:t>净值，溢价幅度达到</w:t>
      </w:r>
      <w:r w:rsidR="00BF27A3">
        <w:rPr>
          <w:rFonts w:asciiTheme="minorEastAsia" w:eastAsiaTheme="minorEastAsia" w:hAnsiTheme="minorEastAsia"/>
          <w:color w:val="000000" w:themeColor="text1"/>
          <w:szCs w:val="21"/>
        </w:rPr>
        <w:t>32</w:t>
      </w:r>
      <w:r w:rsidR="000C6E8C" w:rsidRPr="00AB547F">
        <w:rPr>
          <w:rFonts w:asciiTheme="minorEastAsia" w:eastAsiaTheme="minorEastAsia" w:hAnsiTheme="minorEastAsia"/>
          <w:color w:val="000000" w:themeColor="text1"/>
          <w:szCs w:val="21"/>
        </w:rPr>
        <w:t>.</w:t>
      </w:r>
      <w:r w:rsidR="00BF27A3">
        <w:rPr>
          <w:rFonts w:asciiTheme="minorEastAsia" w:eastAsiaTheme="minorEastAsia" w:hAnsiTheme="minorEastAsia"/>
          <w:color w:val="000000" w:themeColor="text1"/>
          <w:szCs w:val="21"/>
        </w:rPr>
        <w:t>47</w:t>
      </w:r>
      <w:r w:rsidRPr="00AB547F">
        <w:rPr>
          <w:rFonts w:asciiTheme="minorEastAsia" w:eastAsiaTheme="minorEastAsia" w:hAnsiTheme="minorEastAsia"/>
          <w:color w:val="000000" w:themeColor="text1"/>
          <w:szCs w:val="21"/>
        </w:rPr>
        <w:t>%</w:t>
      </w:r>
      <w:r w:rsidRPr="00243315">
        <w:rPr>
          <w:rFonts w:asciiTheme="minorEastAsia" w:eastAsiaTheme="minorEastAsia" w:hAnsiTheme="minorEastAsia" w:hint="eastAsia"/>
          <w:color w:val="000000" w:themeColor="text1"/>
          <w:szCs w:val="21"/>
        </w:rPr>
        <w:t>。</w:t>
      </w:r>
      <w:r w:rsidRPr="00243315">
        <w:rPr>
          <w:rFonts w:asciiTheme="minorEastAsia" w:eastAsiaTheme="minorEastAsia" w:hAnsiTheme="minorEastAsia" w:hint="eastAsia"/>
          <w:b/>
          <w:color w:val="000000" w:themeColor="text1"/>
          <w:szCs w:val="21"/>
        </w:rPr>
        <w:t>截</w:t>
      </w:r>
      <w:r w:rsidR="0026505D">
        <w:rPr>
          <w:rFonts w:asciiTheme="minorEastAsia" w:eastAsiaTheme="minorEastAsia" w:hAnsiTheme="minorEastAsia" w:hint="eastAsia"/>
          <w:b/>
          <w:color w:val="000000" w:themeColor="text1"/>
          <w:szCs w:val="21"/>
        </w:rPr>
        <w:t>至</w:t>
      </w:r>
      <w:r w:rsidRPr="00243315">
        <w:rPr>
          <w:rFonts w:asciiTheme="minorEastAsia" w:eastAsiaTheme="minorEastAsia" w:hAnsiTheme="minorEastAsia"/>
          <w:b/>
          <w:color w:val="000000" w:themeColor="text1"/>
          <w:szCs w:val="21"/>
        </w:rPr>
        <w:t>20</w:t>
      </w:r>
      <w:r w:rsidR="006E0354" w:rsidRPr="00243315">
        <w:rPr>
          <w:rFonts w:asciiTheme="minorEastAsia" w:eastAsiaTheme="minorEastAsia" w:hAnsiTheme="minorEastAsia"/>
          <w:b/>
          <w:color w:val="000000" w:themeColor="text1"/>
          <w:szCs w:val="21"/>
        </w:rPr>
        <w:t>20</w:t>
      </w:r>
      <w:r w:rsidRPr="00243315">
        <w:rPr>
          <w:rFonts w:asciiTheme="minorEastAsia" w:eastAsiaTheme="minorEastAsia" w:hAnsiTheme="minorEastAsia" w:hint="eastAsia"/>
          <w:b/>
          <w:color w:val="000000" w:themeColor="text1"/>
          <w:szCs w:val="21"/>
        </w:rPr>
        <w:t>年</w:t>
      </w:r>
      <w:r w:rsidR="000A08BC">
        <w:rPr>
          <w:rFonts w:asciiTheme="minorEastAsia" w:eastAsiaTheme="minorEastAsia" w:hAnsiTheme="minorEastAsia" w:hint="eastAsia"/>
          <w:b/>
          <w:color w:val="000000" w:themeColor="text1"/>
          <w:szCs w:val="21"/>
        </w:rPr>
        <w:t>10</w:t>
      </w:r>
      <w:r w:rsidRPr="00243315">
        <w:rPr>
          <w:rFonts w:asciiTheme="minorEastAsia" w:eastAsiaTheme="minorEastAsia" w:hAnsiTheme="minorEastAsia" w:hint="eastAsia"/>
          <w:b/>
          <w:color w:val="000000" w:themeColor="text1"/>
          <w:szCs w:val="21"/>
        </w:rPr>
        <w:t>月</w:t>
      </w:r>
      <w:r w:rsidR="00604C06">
        <w:rPr>
          <w:rFonts w:asciiTheme="minorEastAsia" w:eastAsiaTheme="minorEastAsia" w:hAnsiTheme="minorEastAsia" w:hint="eastAsia"/>
          <w:b/>
          <w:color w:val="000000" w:themeColor="text1"/>
          <w:szCs w:val="21"/>
        </w:rPr>
        <w:t>2</w:t>
      </w:r>
      <w:r w:rsidR="00BF27A3">
        <w:rPr>
          <w:rFonts w:asciiTheme="minorEastAsia" w:eastAsiaTheme="minorEastAsia" w:hAnsiTheme="minorEastAsia" w:hint="eastAsia"/>
          <w:b/>
          <w:color w:val="000000" w:themeColor="text1"/>
          <w:szCs w:val="21"/>
        </w:rPr>
        <w:t>7</w:t>
      </w:r>
      <w:r w:rsidRPr="00243315">
        <w:rPr>
          <w:rFonts w:asciiTheme="minorEastAsia" w:eastAsiaTheme="minorEastAsia" w:hAnsiTheme="minorEastAsia" w:hint="eastAsia"/>
          <w:b/>
          <w:color w:val="000000" w:themeColor="text1"/>
          <w:szCs w:val="21"/>
        </w:rPr>
        <w:t>日，易方达生物科技分级B类份额二级市场的收盘价</w:t>
      </w:r>
      <w:r w:rsidRPr="0094501C">
        <w:rPr>
          <w:rFonts w:asciiTheme="minorEastAsia" w:eastAsiaTheme="minorEastAsia" w:hAnsiTheme="minorEastAsia" w:hint="eastAsia"/>
          <w:b/>
          <w:color w:val="000000" w:themeColor="text1"/>
          <w:szCs w:val="21"/>
        </w:rPr>
        <w:t>为</w:t>
      </w:r>
      <w:r w:rsidR="002C4067" w:rsidRPr="009A01C0">
        <w:rPr>
          <w:rFonts w:asciiTheme="minorEastAsia" w:eastAsiaTheme="minorEastAsia" w:hAnsiTheme="minorEastAsia"/>
          <w:b/>
          <w:color w:val="000000" w:themeColor="text1"/>
          <w:szCs w:val="21"/>
        </w:rPr>
        <w:t>1.</w:t>
      </w:r>
      <w:r w:rsidR="002D51A6" w:rsidRPr="009A01C0">
        <w:rPr>
          <w:rFonts w:asciiTheme="minorEastAsia" w:eastAsiaTheme="minorEastAsia" w:hAnsiTheme="minorEastAsia"/>
          <w:b/>
          <w:color w:val="000000" w:themeColor="text1"/>
          <w:szCs w:val="21"/>
        </w:rPr>
        <w:t>14</w:t>
      </w:r>
      <w:r w:rsidR="009A01C0" w:rsidRPr="009A01C0">
        <w:rPr>
          <w:rFonts w:asciiTheme="minorEastAsia" w:eastAsiaTheme="minorEastAsia" w:hAnsiTheme="minorEastAsia"/>
          <w:b/>
          <w:color w:val="000000" w:themeColor="text1"/>
          <w:szCs w:val="21"/>
        </w:rPr>
        <w:t>3</w:t>
      </w:r>
      <w:r w:rsidRPr="00243315">
        <w:rPr>
          <w:rFonts w:asciiTheme="minorEastAsia" w:eastAsiaTheme="minorEastAsia" w:hAnsiTheme="minorEastAsia" w:hint="eastAsia"/>
          <w:b/>
          <w:color w:val="000000" w:themeColor="text1"/>
          <w:szCs w:val="21"/>
        </w:rPr>
        <w:t>元，明显高于基金份额参考净值，投资者如果盲目投资于高溢价率的分级基金，可能遭受重大损失。</w:t>
      </w:r>
    </w:p>
    <w:p w:rsidR="007D7284" w:rsidRPr="00243315" w:rsidRDefault="007D7284" w:rsidP="007D7284">
      <w:pPr>
        <w:spacing w:line="360" w:lineRule="auto"/>
        <w:ind w:firstLine="420"/>
        <w:rPr>
          <w:rFonts w:asciiTheme="minorEastAsia" w:eastAsiaTheme="minorEastAsia" w:hAnsiTheme="minorEastAsia"/>
          <w:szCs w:val="21"/>
        </w:rPr>
      </w:pPr>
      <w:bookmarkStart w:id="0" w:name="_GoBack"/>
      <w:bookmarkEnd w:id="0"/>
      <w:r w:rsidRPr="00243315">
        <w:rPr>
          <w:rFonts w:asciiTheme="minorEastAsia" w:eastAsiaTheme="minorEastAsia" w:hAnsiTheme="minorEastAsia" w:hint="eastAsia"/>
          <w:szCs w:val="21"/>
        </w:rPr>
        <w:t>为此，本基金管理人提示如下：</w:t>
      </w:r>
    </w:p>
    <w:p w:rsidR="007D7284" w:rsidRPr="00243315" w:rsidRDefault="007D7284" w:rsidP="007D7284">
      <w:pPr>
        <w:spacing w:line="360" w:lineRule="auto"/>
        <w:ind w:firstLine="422"/>
        <w:rPr>
          <w:rFonts w:asciiTheme="minorEastAsia" w:eastAsiaTheme="minorEastAsia" w:hAnsiTheme="minorEastAsia"/>
          <w:b/>
          <w:szCs w:val="21"/>
        </w:rPr>
      </w:pPr>
      <w:r w:rsidRPr="00243315">
        <w:rPr>
          <w:rFonts w:asciiTheme="minorEastAsia" w:eastAsiaTheme="minorEastAsia" w:hAnsiTheme="minorEastAsia"/>
          <w:b/>
          <w:szCs w:val="21"/>
        </w:rPr>
        <w:t>1</w:t>
      </w:r>
      <w:r w:rsidRPr="00243315">
        <w:rPr>
          <w:rFonts w:asciiTheme="minorEastAsia" w:eastAsiaTheme="minorEastAsia" w:hAnsiTheme="minorEastAsia" w:hint="eastAsia"/>
          <w:b/>
          <w:szCs w:val="21"/>
        </w:rPr>
        <w:t>、根据</w:t>
      </w:r>
      <w:r w:rsidR="00C745C7">
        <w:rPr>
          <w:rFonts w:asciiTheme="minorEastAsia" w:eastAsiaTheme="minorEastAsia" w:hAnsiTheme="minorEastAsia" w:hint="eastAsia"/>
          <w:b/>
          <w:szCs w:val="21"/>
        </w:rPr>
        <w:t>中国人民银行、中国银行保险监督管理委员会、中国证券监督管理委员会、国家外汇管理局联合发布的</w:t>
      </w:r>
      <w:r w:rsidRPr="00243315">
        <w:rPr>
          <w:rFonts w:asciiTheme="minorEastAsia" w:eastAsiaTheme="minorEastAsia" w:hAnsiTheme="minorEastAsia" w:hint="eastAsia"/>
          <w:b/>
          <w:szCs w:val="21"/>
        </w:rPr>
        <w:t>《关于规范金融机构资产管理业务的指导意见》</w:t>
      </w:r>
      <w:r w:rsidR="00C745C7">
        <w:rPr>
          <w:rFonts w:asciiTheme="minorEastAsia" w:eastAsiaTheme="minorEastAsia" w:hAnsiTheme="minorEastAsia" w:hint="eastAsia"/>
          <w:b/>
          <w:szCs w:val="21"/>
        </w:rPr>
        <w:t>，本基金将在2020年底前完成规范整改，投资者如果高溢价买入生物B，可能遭受重大损失</w:t>
      </w:r>
      <w:r w:rsidR="004A5D5A">
        <w:rPr>
          <w:rFonts w:asciiTheme="minorEastAsia" w:eastAsiaTheme="minorEastAsia" w:hAnsiTheme="minorEastAsia" w:hint="eastAsia"/>
          <w:b/>
          <w:szCs w:val="21"/>
        </w:rPr>
        <w:t>,请理性投资</w:t>
      </w:r>
      <w:r w:rsidR="00C745C7">
        <w:rPr>
          <w:rFonts w:asciiTheme="minorEastAsia" w:eastAsiaTheme="minorEastAsia" w:hAnsiTheme="minorEastAsia" w:hint="eastAsia"/>
          <w:b/>
          <w:szCs w:val="21"/>
        </w:rPr>
        <w:t>。</w:t>
      </w:r>
    </w:p>
    <w:p w:rsidR="007D7284" w:rsidRPr="00243315" w:rsidRDefault="007D7284" w:rsidP="007D7284">
      <w:pPr>
        <w:spacing w:line="360" w:lineRule="auto"/>
        <w:ind w:firstLine="420"/>
        <w:rPr>
          <w:rFonts w:asciiTheme="minorEastAsia" w:eastAsiaTheme="minorEastAsia" w:hAnsiTheme="minorEastAsia"/>
          <w:szCs w:val="21"/>
        </w:rPr>
      </w:pPr>
      <w:r w:rsidRPr="00243315">
        <w:rPr>
          <w:rFonts w:asciiTheme="minorEastAsia" w:eastAsiaTheme="minorEastAsia" w:hAnsiTheme="minorEastAsia"/>
          <w:szCs w:val="21"/>
        </w:rPr>
        <w:t>2</w:t>
      </w:r>
      <w:r w:rsidRPr="00243315">
        <w:rPr>
          <w:rFonts w:asciiTheme="minorEastAsia" w:eastAsiaTheme="minorEastAsia" w:hAnsiTheme="minorEastAsia" w:hint="eastAsia"/>
          <w:szCs w:val="21"/>
        </w:rPr>
        <w:t>、易方达生物科技分级B类份额表现为高风险、高收益的特征。由于易方达生物科技分级B类份额内含杠杆机制的设计，易方达生物科技分级B类份额参考净值的变动幅度将大于易方达生物科技分级份额（场内简称：生物分级，场内代码：</w:t>
      </w:r>
      <w:r w:rsidRPr="00243315">
        <w:rPr>
          <w:rFonts w:asciiTheme="minorEastAsia" w:eastAsiaTheme="minorEastAsia" w:hAnsiTheme="minorEastAsia"/>
          <w:szCs w:val="21"/>
        </w:rPr>
        <w:t>161122</w:t>
      </w:r>
      <w:r w:rsidRPr="00243315">
        <w:rPr>
          <w:rFonts w:asciiTheme="minorEastAsia" w:eastAsiaTheme="minorEastAsia" w:hAnsiTheme="minorEastAsia" w:hint="eastAsia"/>
          <w:szCs w:val="21"/>
        </w:rPr>
        <w:t>）净值和易方达生物科技分级A类份额（场内简称：生物A，场内代码：</w:t>
      </w:r>
      <w:r w:rsidRPr="00243315">
        <w:rPr>
          <w:rFonts w:asciiTheme="minorEastAsia" w:eastAsiaTheme="minorEastAsia" w:hAnsiTheme="minorEastAsia"/>
          <w:szCs w:val="21"/>
        </w:rPr>
        <w:t>150257</w:t>
      </w:r>
      <w:r w:rsidRPr="00243315">
        <w:rPr>
          <w:rFonts w:asciiTheme="minorEastAsia" w:eastAsiaTheme="minorEastAsia" w:hAnsiTheme="minorEastAsia" w:hint="eastAsia"/>
          <w:szCs w:val="21"/>
        </w:rPr>
        <w:t>）参考净值的变动幅度，即易方达生物科技分级B类份额的波动性要高于其他两类份额，其承担的风险也较高。易方达生物科技分级B类份额的持有人会因杠杆倍数的变化而承担不同程度的投资风险。</w:t>
      </w:r>
    </w:p>
    <w:p w:rsidR="007D7284" w:rsidRPr="00243315" w:rsidRDefault="007D7284" w:rsidP="007D7284">
      <w:pPr>
        <w:spacing w:line="360" w:lineRule="auto"/>
        <w:ind w:firstLine="420"/>
        <w:rPr>
          <w:rFonts w:asciiTheme="minorEastAsia" w:eastAsiaTheme="minorEastAsia" w:hAnsiTheme="minorEastAsia"/>
          <w:szCs w:val="21"/>
        </w:rPr>
      </w:pPr>
      <w:r w:rsidRPr="00243315">
        <w:rPr>
          <w:rFonts w:asciiTheme="minorEastAsia" w:eastAsiaTheme="minorEastAsia" w:hAnsiTheme="minorEastAsia" w:hint="eastAsia"/>
          <w:szCs w:val="21"/>
        </w:rPr>
        <w:t>3、易方达生物科技分级B类份额的交易价格，除了有份额参考净值变化的风险外，还会受到市场的系统性风险、流动性风险等其他风险影响，可能使投资人面临损失。</w:t>
      </w:r>
      <w:r w:rsidRPr="00243315">
        <w:rPr>
          <w:rFonts w:asciiTheme="minorEastAsia" w:eastAsiaTheme="minorEastAsia" w:hAnsiTheme="minorEastAsia"/>
          <w:szCs w:val="21"/>
        </w:rPr>
        <w:t xml:space="preserve"> </w:t>
      </w:r>
    </w:p>
    <w:p w:rsidR="007D7284" w:rsidRPr="00243315" w:rsidRDefault="007D7284" w:rsidP="007D7284">
      <w:pPr>
        <w:spacing w:line="360" w:lineRule="auto"/>
        <w:ind w:firstLine="420"/>
        <w:rPr>
          <w:rFonts w:asciiTheme="minorEastAsia" w:eastAsiaTheme="minorEastAsia" w:hAnsiTheme="minorEastAsia"/>
          <w:szCs w:val="21"/>
        </w:rPr>
      </w:pPr>
      <w:r w:rsidRPr="00243315">
        <w:rPr>
          <w:rFonts w:asciiTheme="minorEastAsia" w:eastAsiaTheme="minorEastAsia" w:hAnsiTheme="minorEastAsia" w:hint="eastAsia"/>
          <w:szCs w:val="21"/>
        </w:rPr>
        <w:t>4、截至本公告披露日，易方达生物科技指数分级证券投资基金运作正常。本基金管理人仍将严格按照法律法规及基金合同进行投资运作。</w:t>
      </w:r>
      <w:r w:rsidRPr="00243315">
        <w:rPr>
          <w:rFonts w:asciiTheme="minorEastAsia" w:eastAsiaTheme="minorEastAsia" w:hAnsiTheme="minorEastAsia"/>
          <w:szCs w:val="21"/>
        </w:rPr>
        <w:t xml:space="preserve"> </w:t>
      </w:r>
    </w:p>
    <w:p w:rsidR="007D7284" w:rsidRPr="00243315" w:rsidRDefault="007D7284" w:rsidP="007D7284">
      <w:pPr>
        <w:spacing w:line="360" w:lineRule="auto"/>
        <w:ind w:firstLine="420"/>
        <w:rPr>
          <w:rFonts w:asciiTheme="minorEastAsia" w:eastAsiaTheme="minorEastAsia" w:hAnsiTheme="minorEastAsia"/>
          <w:szCs w:val="21"/>
        </w:rPr>
      </w:pPr>
      <w:r w:rsidRPr="00243315">
        <w:rPr>
          <w:rFonts w:asciiTheme="minorEastAsia" w:eastAsiaTheme="minorEastAsia" w:hAnsiTheme="minorEastAsia" w:hint="eastAsia"/>
          <w:szCs w:val="21"/>
        </w:rPr>
        <w:t>5、截至本公告披露日，易方达生物科技指数分级证券投资基金无其他应披露而未披露的重大信息。本基金管理人仍将严格按照有关规定和要求，及时做好信息披露工作。</w:t>
      </w:r>
      <w:r w:rsidRPr="00243315">
        <w:rPr>
          <w:rFonts w:asciiTheme="minorEastAsia" w:eastAsiaTheme="minorEastAsia" w:hAnsiTheme="minorEastAsia"/>
          <w:szCs w:val="21"/>
        </w:rPr>
        <w:t xml:space="preserve"> </w:t>
      </w:r>
    </w:p>
    <w:p w:rsidR="00243315" w:rsidRPr="00243315" w:rsidRDefault="00243315" w:rsidP="00243315">
      <w:pPr>
        <w:spacing w:line="360" w:lineRule="auto"/>
        <w:ind w:firstLine="420"/>
        <w:rPr>
          <w:rFonts w:asciiTheme="minorEastAsia" w:eastAsiaTheme="minorEastAsia" w:hAnsiTheme="minorEastAsia"/>
          <w:szCs w:val="21"/>
        </w:rPr>
      </w:pPr>
      <w:r w:rsidRPr="00243315">
        <w:rPr>
          <w:rFonts w:asciiTheme="minorEastAsia" w:eastAsiaTheme="minorEastAsia" w:hAnsiTheme="minorEastAsia" w:hint="eastAsia"/>
          <w:szCs w:val="21"/>
        </w:rPr>
        <w:t>风险提示：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w:t>
      </w:r>
      <w:r w:rsidR="008271F6">
        <w:rPr>
          <w:rFonts w:asciiTheme="minorEastAsia" w:eastAsiaTheme="minorEastAsia" w:hAnsiTheme="minorEastAsia" w:hint="eastAsia"/>
          <w:szCs w:val="21"/>
        </w:rPr>
        <w:t>、</w:t>
      </w:r>
      <w:r w:rsidRPr="00243315">
        <w:rPr>
          <w:rFonts w:asciiTheme="minorEastAsia" w:eastAsiaTheme="minorEastAsia" w:hAnsiTheme="minorEastAsia" w:hint="eastAsia"/>
          <w:szCs w:val="21"/>
        </w:rPr>
        <w:t>招募说明书（更新）</w:t>
      </w:r>
      <w:r w:rsidR="008271F6" w:rsidRPr="008271F6">
        <w:rPr>
          <w:rFonts w:asciiTheme="minorEastAsia" w:eastAsiaTheme="minorEastAsia" w:hAnsiTheme="minorEastAsia" w:hint="eastAsia"/>
          <w:szCs w:val="21"/>
        </w:rPr>
        <w:t>和基金产品资料概要（更新）</w:t>
      </w:r>
      <w:r w:rsidRPr="00243315">
        <w:rPr>
          <w:rFonts w:asciiTheme="minorEastAsia" w:eastAsiaTheme="minorEastAsia" w:hAnsiTheme="minorEastAsia" w:hint="eastAsia"/>
          <w:szCs w:val="21"/>
        </w:rPr>
        <w:t>等基</w:t>
      </w:r>
      <w:r w:rsidR="00BF1958">
        <w:rPr>
          <w:rFonts w:asciiTheme="minorEastAsia" w:eastAsiaTheme="minorEastAsia" w:hAnsiTheme="minorEastAsia" w:hint="eastAsia"/>
          <w:szCs w:val="21"/>
        </w:rPr>
        <w:t>金法律文件，全面认识基金产品的风险收益特征，在了解产品情况及</w:t>
      </w:r>
      <w:r w:rsidRPr="00243315">
        <w:rPr>
          <w:rFonts w:asciiTheme="minorEastAsia" w:eastAsiaTheme="minorEastAsia" w:hAnsiTheme="minorEastAsia" w:hint="eastAsia"/>
          <w:szCs w:val="21"/>
        </w:rPr>
        <w:t>销售机构适当性意见的基础上，根据自身的风险承受</w:t>
      </w:r>
      <w:r w:rsidRPr="00243315">
        <w:rPr>
          <w:rFonts w:asciiTheme="minorEastAsia" w:eastAsiaTheme="minorEastAsia" w:hAnsiTheme="minorEastAsia" w:hint="eastAsia"/>
          <w:szCs w:val="21"/>
        </w:rPr>
        <w:lastRenderedPageBreak/>
        <w:t>能力、投资期限和投资目标，对基金投资作出独立决策，选择合适的基金产品。基金管理人提醒投资者基金投资的“买者自负”原则，在投资者作出投资决策后，基金运营状况与基金净值变化引致的投资风险，由投资者自行负责。</w:t>
      </w:r>
    </w:p>
    <w:p w:rsidR="007D7284" w:rsidRPr="00243315" w:rsidRDefault="007D7284" w:rsidP="007D7284">
      <w:pPr>
        <w:spacing w:line="360" w:lineRule="auto"/>
        <w:ind w:firstLine="420"/>
        <w:rPr>
          <w:rFonts w:asciiTheme="minorEastAsia" w:eastAsiaTheme="minorEastAsia" w:hAnsiTheme="minorEastAsia"/>
          <w:szCs w:val="21"/>
        </w:rPr>
      </w:pPr>
      <w:r w:rsidRPr="00243315">
        <w:rPr>
          <w:rFonts w:asciiTheme="minorEastAsia" w:eastAsiaTheme="minorEastAsia" w:hAnsiTheme="minorEastAsia" w:hint="eastAsia"/>
          <w:szCs w:val="21"/>
        </w:rPr>
        <w:t>特此公告。</w:t>
      </w:r>
    </w:p>
    <w:p w:rsidR="007D7284" w:rsidRPr="00243315" w:rsidRDefault="007D7284" w:rsidP="007D7284">
      <w:pPr>
        <w:spacing w:line="360" w:lineRule="auto"/>
        <w:ind w:firstLine="420"/>
        <w:rPr>
          <w:rFonts w:asciiTheme="minorEastAsia" w:eastAsiaTheme="minorEastAsia" w:hAnsiTheme="minorEastAsia"/>
          <w:szCs w:val="21"/>
        </w:rPr>
      </w:pPr>
    </w:p>
    <w:p w:rsidR="007D7284" w:rsidRPr="00243315" w:rsidRDefault="007D7284" w:rsidP="007D7284">
      <w:pPr>
        <w:spacing w:line="360" w:lineRule="auto"/>
        <w:ind w:firstLineChars="0" w:firstLine="0"/>
        <w:jc w:val="right"/>
        <w:rPr>
          <w:rFonts w:asciiTheme="minorEastAsia" w:eastAsiaTheme="minorEastAsia" w:hAnsiTheme="minorEastAsia"/>
          <w:szCs w:val="21"/>
        </w:rPr>
      </w:pPr>
      <w:r w:rsidRPr="00243315">
        <w:rPr>
          <w:rFonts w:asciiTheme="minorEastAsia" w:eastAsiaTheme="minorEastAsia" w:hAnsiTheme="minorEastAsia" w:hint="eastAsia"/>
          <w:szCs w:val="21"/>
        </w:rPr>
        <w:t>易方达基金管理有限公司</w:t>
      </w:r>
    </w:p>
    <w:p w:rsidR="00C70F4F" w:rsidRPr="00243315" w:rsidRDefault="007D7284" w:rsidP="006E0354">
      <w:pPr>
        <w:spacing w:line="360" w:lineRule="auto"/>
        <w:ind w:firstLineChars="0" w:firstLine="0"/>
        <w:jc w:val="right"/>
        <w:rPr>
          <w:rFonts w:asciiTheme="minorEastAsia" w:eastAsiaTheme="minorEastAsia" w:hAnsiTheme="minorEastAsia"/>
          <w:szCs w:val="21"/>
        </w:rPr>
      </w:pPr>
      <w:r w:rsidRPr="00243315">
        <w:rPr>
          <w:rFonts w:asciiTheme="minorEastAsia" w:eastAsiaTheme="minorEastAsia" w:hAnsiTheme="minorEastAsia" w:hint="eastAsia"/>
          <w:szCs w:val="21"/>
        </w:rPr>
        <w:t>20</w:t>
      </w:r>
      <w:r w:rsidR="006E0354" w:rsidRPr="00243315">
        <w:rPr>
          <w:rFonts w:asciiTheme="minorEastAsia" w:eastAsiaTheme="minorEastAsia" w:hAnsiTheme="minorEastAsia" w:hint="eastAsia"/>
          <w:szCs w:val="21"/>
        </w:rPr>
        <w:t>20</w:t>
      </w:r>
      <w:r w:rsidRPr="00243315">
        <w:rPr>
          <w:rFonts w:asciiTheme="minorEastAsia" w:eastAsiaTheme="minorEastAsia" w:hAnsiTheme="minorEastAsia" w:hint="eastAsia"/>
          <w:szCs w:val="21"/>
        </w:rPr>
        <w:t>年</w:t>
      </w:r>
      <w:r w:rsidR="000A08BC">
        <w:rPr>
          <w:rFonts w:asciiTheme="minorEastAsia" w:eastAsiaTheme="minorEastAsia" w:hAnsiTheme="minorEastAsia" w:hint="eastAsia"/>
          <w:szCs w:val="21"/>
        </w:rPr>
        <w:t>10</w:t>
      </w:r>
      <w:r w:rsidRPr="00243315">
        <w:rPr>
          <w:rFonts w:asciiTheme="minorEastAsia" w:eastAsiaTheme="minorEastAsia" w:hAnsiTheme="minorEastAsia" w:hint="eastAsia"/>
          <w:szCs w:val="21"/>
        </w:rPr>
        <w:t>月</w:t>
      </w:r>
      <w:r w:rsidR="004D5FF0">
        <w:rPr>
          <w:rFonts w:asciiTheme="minorEastAsia" w:eastAsiaTheme="minorEastAsia" w:hAnsiTheme="minorEastAsia" w:hint="eastAsia"/>
          <w:szCs w:val="21"/>
        </w:rPr>
        <w:t>2</w:t>
      </w:r>
      <w:r w:rsidR="00BF27A3">
        <w:rPr>
          <w:rFonts w:asciiTheme="minorEastAsia" w:eastAsiaTheme="minorEastAsia" w:hAnsiTheme="minorEastAsia" w:hint="eastAsia"/>
          <w:szCs w:val="21"/>
        </w:rPr>
        <w:t>8</w:t>
      </w:r>
      <w:r w:rsidRPr="00243315">
        <w:rPr>
          <w:rFonts w:asciiTheme="minorEastAsia" w:eastAsiaTheme="minorEastAsia" w:hAnsiTheme="minorEastAsia" w:hint="eastAsia"/>
          <w:szCs w:val="21"/>
        </w:rPr>
        <w:t>日</w:t>
      </w:r>
    </w:p>
    <w:sectPr w:rsidR="00C70F4F" w:rsidRPr="00243315" w:rsidSect="00DD364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0"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E64" w:rsidRDefault="00AA3E64" w:rsidP="007D7284">
      <w:pPr>
        <w:ind w:firstLine="420"/>
      </w:pPr>
      <w:r>
        <w:separator/>
      </w:r>
    </w:p>
  </w:endnote>
  <w:endnote w:type="continuationSeparator" w:id="0">
    <w:p w:rsidR="00AA3E64" w:rsidRDefault="00AA3E64" w:rsidP="007D7284">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A8F" w:rsidRDefault="001F3A8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A8F" w:rsidRDefault="001F3A8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A8F" w:rsidRDefault="001F3A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E64" w:rsidRDefault="00AA3E64" w:rsidP="007D7284">
      <w:pPr>
        <w:ind w:firstLine="420"/>
      </w:pPr>
      <w:r>
        <w:separator/>
      </w:r>
    </w:p>
  </w:footnote>
  <w:footnote w:type="continuationSeparator" w:id="0">
    <w:p w:rsidR="00AA3E64" w:rsidRDefault="00AA3E64" w:rsidP="007D7284">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A8F" w:rsidRDefault="001F3A8F">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A8F" w:rsidRPr="00DD364B" w:rsidRDefault="001F3A8F" w:rsidP="00DD364B">
    <w:pPr>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A8F" w:rsidRDefault="001F3A8F">
    <w:pPr>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314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698"/>
    <w:rsid w:val="000025E9"/>
    <w:rsid w:val="00002B29"/>
    <w:rsid w:val="000213AF"/>
    <w:rsid w:val="000230BB"/>
    <w:rsid w:val="00027735"/>
    <w:rsid w:val="00032AF7"/>
    <w:rsid w:val="00035862"/>
    <w:rsid w:val="000617BF"/>
    <w:rsid w:val="00081CEB"/>
    <w:rsid w:val="000A08BC"/>
    <w:rsid w:val="000C6E8C"/>
    <w:rsid w:val="000C71C4"/>
    <w:rsid w:val="000D417C"/>
    <w:rsid w:val="000E7201"/>
    <w:rsid w:val="00146574"/>
    <w:rsid w:val="00161902"/>
    <w:rsid w:val="001A0F43"/>
    <w:rsid w:val="001A2FC9"/>
    <w:rsid w:val="001C26A8"/>
    <w:rsid w:val="001C344F"/>
    <w:rsid w:val="001F052E"/>
    <w:rsid w:val="001F3A8F"/>
    <w:rsid w:val="001F4E6C"/>
    <w:rsid w:val="00210F25"/>
    <w:rsid w:val="00213C11"/>
    <w:rsid w:val="00237AA5"/>
    <w:rsid w:val="0024277B"/>
    <w:rsid w:val="00243315"/>
    <w:rsid w:val="002450E2"/>
    <w:rsid w:val="002561AF"/>
    <w:rsid w:val="00263FBB"/>
    <w:rsid w:val="0026505D"/>
    <w:rsid w:val="00271B35"/>
    <w:rsid w:val="0028710F"/>
    <w:rsid w:val="002A33D1"/>
    <w:rsid w:val="002C4067"/>
    <w:rsid w:val="002D51A6"/>
    <w:rsid w:val="002D62FE"/>
    <w:rsid w:val="00315BD9"/>
    <w:rsid w:val="00327EF5"/>
    <w:rsid w:val="003436DB"/>
    <w:rsid w:val="003754D2"/>
    <w:rsid w:val="003835EC"/>
    <w:rsid w:val="003879C0"/>
    <w:rsid w:val="003B64E2"/>
    <w:rsid w:val="003D4F64"/>
    <w:rsid w:val="003F4048"/>
    <w:rsid w:val="00402076"/>
    <w:rsid w:val="004046D8"/>
    <w:rsid w:val="00411142"/>
    <w:rsid w:val="00415249"/>
    <w:rsid w:val="004762FA"/>
    <w:rsid w:val="0048262E"/>
    <w:rsid w:val="00487D8E"/>
    <w:rsid w:val="004A4849"/>
    <w:rsid w:val="004A4D4D"/>
    <w:rsid w:val="004A5D5A"/>
    <w:rsid w:val="004C26FF"/>
    <w:rsid w:val="004D5FF0"/>
    <w:rsid w:val="00516CA0"/>
    <w:rsid w:val="00544E9B"/>
    <w:rsid w:val="00553A20"/>
    <w:rsid w:val="00554661"/>
    <w:rsid w:val="00555424"/>
    <w:rsid w:val="00564D94"/>
    <w:rsid w:val="00587976"/>
    <w:rsid w:val="00597C16"/>
    <w:rsid w:val="005A0EF4"/>
    <w:rsid w:val="005C2FC1"/>
    <w:rsid w:val="005C391A"/>
    <w:rsid w:val="00604C06"/>
    <w:rsid w:val="00652230"/>
    <w:rsid w:val="006566E7"/>
    <w:rsid w:val="00671F38"/>
    <w:rsid w:val="006A049F"/>
    <w:rsid w:val="006C09C9"/>
    <w:rsid w:val="006E0354"/>
    <w:rsid w:val="006E66CB"/>
    <w:rsid w:val="006F19B9"/>
    <w:rsid w:val="006F39D4"/>
    <w:rsid w:val="00712BD4"/>
    <w:rsid w:val="00732C8E"/>
    <w:rsid w:val="0076614F"/>
    <w:rsid w:val="007666A3"/>
    <w:rsid w:val="00773346"/>
    <w:rsid w:val="007852F5"/>
    <w:rsid w:val="007B5754"/>
    <w:rsid w:val="007B6D44"/>
    <w:rsid w:val="007C638B"/>
    <w:rsid w:val="007D1416"/>
    <w:rsid w:val="007D46FB"/>
    <w:rsid w:val="007D7284"/>
    <w:rsid w:val="007F7B61"/>
    <w:rsid w:val="008271F6"/>
    <w:rsid w:val="00833334"/>
    <w:rsid w:val="00835EB8"/>
    <w:rsid w:val="008505EE"/>
    <w:rsid w:val="008643BD"/>
    <w:rsid w:val="00870470"/>
    <w:rsid w:val="00871A33"/>
    <w:rsid w:val="00873CB5"/>
    <w:rsid w:val="008A3DC9"/>
    <w:rsid w:val="008C215F"/>
    <w:rsid w:val="00912845"/>
    <w:rsid w:val="00923BFA"/>
    <w:rsid w:val="0094501C"/>
    <w:rsid w:val="00955920"/>
    <w:rsid w:val="00957A6D"/>
    <w:rsid w:val="00983F3B"/>
    <w:rsid w:val="009A01C0"/>
    <w:rsid w:val="009A3347"/>
    <w:rsid w:val="009A54BF"/>
    <w:rsid w:val="009B7B21"/>
    <w:rsid w:val="009E2A77"/>
    <w:rsid w:val="009E55D4"/>
    <w:rsid w:val="009F4DAF"/>
    <w:rsid w:val="00A51601"/>
    <w:rsid w:val="00AA3E64"/>
    <w:rsid w:val="00AB52AD"/>
    <w:rsid w:val="00AB547F"/>
    <w:rsid w:val="00AE65F6"/>
    <w:rsid w:val="00B2332F"/>
    <w:rsid w:val="00B4128B"/>
    <w:rsid w:val="00B45EF8"/>
    <w:rsid w:val="00B56A06"/>
    <w:rsid w:val="00B60042"/>
    <w:rsid w:val="00B840F4"/>
    <w:rsid w:val="00BA1EEB"/>
    <w:rsid w:val="00BB10DC"/>
    <w:rsid w:val="00BB6390"/>
    <w:rsid w:val="00BF0284"/>
    <w:rsid w:val="00BF1958"/>
    <w:rsid w:val="00BF27A3"/>
    <w:rsid w:val="00BF4663"/>
    <w:rsid w:val="00C16258"/>
    <w:rsid w:val="00C36289"/>
    <w:rsid w:val="00C36604"/>
    <w:rsid w:val="00C52AB2"/>
    <w:rsid w:val="00C70F4F"/>
    <w:rsid w:val="00C7451F"/>
    <w:rsid w:val="00C745C7"/>
    <w:rsid w:val="00C7510A"/>
    <w:rsid w:val="00C8056D"/>
    <w:rsid w:val="00CD3896"/>
    <w:rsid w:val="00CE4CFA"/>
    <w:rsid w:val="00D16425"/>
    <w:rsid w:val="00D30708"/>
    <w:rsid w:val="00D417DD"/>
    <w:rsid w:val="00D62281"/>
    <w:rsid w:val="00D65297"/>
    <w:rsid w:val="00DD364B"/>
    <w:rsid w:val="00DE3D15"/>
    <w:rsid w:val="00E028AD"/>
    <w:rsid w:val="00E03274"/>
    <w:rsid w:val="00E14EE5"/>
    <w:rsid w:val="00E167F7"/>
    <w:rsid w:val="00E2370D"/>
    <w:rsid w:val="00E64120"/>
    <w:rsid w:val="00EE5270"/>
    <w:rsid w:val="00F30320"/>
    <w:rsid w:val="00F37AFD"/>
    <w:rsid w:val="00FB10F5"/>
    <w:rsid w:val="00FD7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5:chartTrackingRefBased/>
  <w15:docId w15:val="{413AF23A-4002-41F6-8BDB-D44BC06A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284"/>
    <w:pPr>
      <w:widowControl w:val="0"/>
      <w:ind w:firstLineChars="200" w:firstLine="200"/>
      <w:jc w:val="both"/>
    </w:pPr>
    <w:rPr>
      <w:rFonts w:ascii="Calibri" w:eastAsia="宋体" w:hAnsi="Calibri" w:cs="Times New Roman"/>
    </w:rPr>
  </w:style>
  <w:style w:type="paragraph" w:styleId="1">
    <w:name w:val="heading 1"/>
    <w:basedOn w:val="a"/>
    <w:next w:val="a"/>
    <w:link w:val="1Char"/>
    <w:uiPriority w:val="9"/>
    <w:qFormat/>
    <w:rsid w:val="007D728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D7284"/>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Char">
    <w:name w:val="页脚 Char"/>
    <w:basedOn w:val="a0"/>
    <w:link w:val="a3"/>
    <w:uiPriority w:val="99"/>
    <w:rsid w:val="007D7284"/>
    <w:rPr>
      <w:sz w:val="18"/>
      <w:szCs w:val="18"/>
    </w:rPr>
  </w:style>
  <w:style w:type="character" w:customStyle="1" w:styleId="1Char">
    <w:name w:val="标题 1 Char"/>
    <w:basedOn w:val="a0"/>
    <w:link w:val="1"/>
    <w:uiPriority w:val="9"/>
    <w:rsid w:val="007D7284"/>
    <w:rPr>
      <w:rFonts w:ascii="Calibri" w:eastAsia="宋体" w:hAnsi="Calibri" w:cs="Times New Roman"/>
      <w:b/>
      <w:bCs/>
      <w:kern w:val="44"/>
      <w:sz w:val="44"/>
      <w:szCs w:val="44"/>
    </w:rPr>
  </w:style>
  <w:style w:type="paragraph" w:styleId="a4">
    <w:name w:val="Balloon Text"/>
    <w:basedOn w:val="a"/>
    <w:link w:val="Char0"/>
    <w:uiPriority w:val="99"/>
    <w:semiHidden/>
    <w:unhideWhenUsed/>
    <w:rsid w:val="00AB547F"/>
    <w:rPr>
      <w:sz w:val="18"/>
      <w:szCs w:val="18"/>
    </w:rPr>
  </w:style>
  <w:style w:type="character" w:customStyle="1" w:styleId="Char0">
    <w:name w:val="批注框文本 Char"/>
    <w:basedOn w:val="a0"/>
    <w:link w:val="a4"/>
    <w:uiPriority w:val="99"/>
    <w:semiHidden/>
    <w:rsid w:val="00AB547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179</Words>
  <Characters>1023</Characters>
  <Application>Microsoft Office Word</Application>
  <DocSecurity>0</DocSecurity>
  <Lines>8</Lines>
  <Paragraphs>2</Paragraphs>
  <ScaleCrop>false</ScaleCrop>
  <Company>E FUND</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涂博谦</dc:creator>
  <cp:keywords/>
  <dc:description/>
  <cp:lastModifiedBy>涂博谦</cp:lastModifiedBy>
  <cp:revision>12</cp:revision>
  <dcterms:created xsi:type="dcterms:W3CDTF">2020-10-20T07:18:00Z</dcterms:created>
  <dcterms:modified xsi:type="dcterms:W3CDTF">2020-10-27T07:15:00Z</dcterms:modified>
</cp:coreProperties>
</file>